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1"/>
      </w:tblGrid>
      <w:tr w14:paraId="01DC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991" w:type="dxa"/>
          </w:tcPr>
          <w:p w14:paraId="4F6B408E">
            <w:pPr>
              <w:pageBreakBefore w:val="0"/>
              <w:widowControl w:val="0"/>
              <w:kinsoku/>
              <w:overflowPunct/>
              <w:autoSpaceDE w:val="0"/>
              <w:autoSpaceDN w:val="0"/>
              <w:bidi w:val="0"/>
              <w:adjustRightInd w:val="0"/>
              <w:snapToGrid w:val="0"/>
              <w:spacing w:line="324" w:lineRule="auto"/>
              <w:jc w:val="center"/>
              <w:rPr>
                <w:rFonts w:hint="eastAsia" w:ascii="宋体" w:eastAsia="宋体"/>
                <w:color w:val="auto"/>
                <w:sz w:val="32"/>
                <w:szCs w:val="32"/>
                <w:highlight w:val="none"/>
                <w:lang w:val="zh-CN"/>
              </w:rPr>
            </w:pPr>
          </w:p>
          <w:p w14:paraId="5F549DF0">
            <w:pPr>
              <w:pageBreakBefore w:val="0"/>
              <w:widowControl w:val="0"/>
              <w:kinsoku/>
              <w:overflowPunct/>
              <w:bidi w:val="0"/>
              <w:spacing w:line="324" w:lineRule="auto"/>
              <w:jc w:val="center"/>
              <w:rPr>
                <w:rFonts w:hint="eastAsia" w:ascii="宋体" w:eastAsia="宋体"/>
                <w:color w:val="auto"/>
                <w:sz w:val="72"/>
                <w:highlight w:val="none"/>
              </w:rPr>
            </w:pPr>
            <w:r>
              <w:rPr>
                <w:rFonts w:hint="eastAsia" w:ascii="宋体" w:eastAsia="宋体"/>
                <w:color w:val="auto"/>
                <w:sz w:val="72"/>
                <w:highlight w:val="none"/>
              </w:rPr>
              <w:t>浙江新点项目管理有限公司</w:t>
            </w:r>
          </w:p>
          <w:p w14:paraId="4CB0AA89">
            <w:pPr>
              <w:pageBreakBefore w:val="0"/>
              <w:widowControl w:val="0"/>
              <w:kinsoku/>
              <w:overflowPunct/>
              <w:bidi w:val="0"/>
              <w:spacing w:line="324" w:lineRule="auto"/>
              <w:jc w:val="center"/>
              <w:rPr>
                <w:rFonts w:hint="eastAsia" w:ascii="宋体" w:eastAsia="宋体"/>
                <w:color w:val="auto"/>
                <w:sz w:val="72"/>
                <w:highlight w:val="none"/>
              </w:rPr>
            </w:pPr>
            <w:r>
              <w:rPr>
                <w:rFonts w:hint="eastAsia" w:ascii="宋体" w:eastAsia="宋体"/>
                <w:color w:val="auto"/>
                <w:sz w:val="72"/>
                <w:highlight w:val="none"/>
              </w:rPr>
              <w:t>竞争性磋商采购文件</w:t>
            </w:r>
          </w:p>
          <w:p w14:paraId="10907B63">
            <w:pPr>
              <w:pageBreakBefore w:val="0"/>
              <w:widowControl w:val="0"/>
              <w:kinsoku/>
              <w:overflowPunct/>
              <w:bidi w:val="0"/>
              <w:spacing w:line="324" w:lineRule="auto"/>
              <w:rPr>
                <w:rFonts w:hint="eastAsia" w:ascii="宋体" w:eastAsia="宋体"/>
                <w:color w:val="auto"/>
                <w:sz w:val="30"/>
                <w:szCs w:val="30"/>
                <w:highlight w:val="none"/>
              </w:rPr>
            </w:pPr>
          </w:p>
          <w:p w14:paraId="6B62B739">
            <w:pPr>
              <w:pageBreakBefore w:val="0"/>
              <w:widowControl w:val="0"/>
              <w:kinsoku/>
              <w:overflowPunct/>
              <w:bidi w:val="0"/>
              <w:spacing w:line="324" w:lineRule="auto"/>
              <w:ind w:firstLine="1795" w:firstLineChars="596"/>
              <w:rPr>
                <w:rFonts w:hint="eastAsia" w:ascii="宋体" w:eastAsia="宋体"/>
                <w:color w:val="auto"/>
                <w:sz w:val="30"/>
                <w:szCs w:val="30"/>
                <w:highlight w:val="none"/>
              </w:rPr>
            </w:pPr>
          </w:p>
          <w:p w14:paraId="759B3E92">
            <w:pPr>
              <w:pageBreakBefore w:val="0"/>
              <w:widowControl w:val="0"/>
              <w:kinsoku/>
              <w:overflowPunct/>
              <w:bidi w:val="0"/>
              <w:spacing w:line="324" w:lineRule="auto"/>
              <w:ind w:left="3298" w:leftChars="852" w:hanging="1509" w:hangingChars="501"/>
              <w:rPr>
                <w:rFonts w:hint="eastAsia" w:ascii="宋体" w:eastAsia="宋体"/>
                <w:color w:val="auto"/>
                <w:sz w:val="30"/>
                <w:szCs w:val="30"/>
                <w:highlight w:val="none"/>
                <w:lang w:eastAsia="zh-CN"/>
              </w:rPr>
            </w:pPr>
            <w:r>
              <w:rPr>
                <w:rFonts w:hint="eastAsia" w:ascii="宋体" w:eastAsia="宋体"/>
                <w:color w:val="auto"/>
                <w:sz w:val="30"/>
                <w:szCs w:val="30"/>
                <w:highlight w:val="none"/>
              </w:rPr>
              <w:t>项目名称：</w:t>
            </w:r>
            <w:r>
              <w:rPr>
                <w:rFonts w:hint="eastAsia" w:ascii="宋体" w:eastAsia="宋体"/>
                <w:color w:val="auto"/>
                <w:sz w:val="30"/>
                <w:szCs w:val="30"/>
                <w:highlight w:val="none"/>
                <w:lang w:eastAsia="zh-CN"/>
              </w:rPr>
              <w:t>文成县宁静小区创建项目</w:t>
            </w:r>
          </w:p>
          <w:p w14:paraId="6E699827">
            <w:pPr>
              <w:pageBreakBefore w:val="0"/>
              <w:widowControl w:val="0"/>
              <w:kinsoku/>
              <w:overflowPunct/>
              <w:bidi w:val="0"/>
              <w:spacing w:line="324" w:lineRule="auto"/>
              <w:ind w:firstLine="1795" w:firstLineChars="596"/>
              <w:rPr>
                <w:rFonts w:hint="eastAsia" w:ascii="宋体" w:eastAsia="宋体"/>
                <w:color w:val="auto"/>
                <w:sz w:val="30"/>
                <w:szCs w:val="30"/>
                <w:highlight w:val="none"/>
                <w:lang w:eastAsia="zh-CN"/>
              </w:rPr>
            </w:pPr>
            <w:r>
              <w:rPr>
                <w:rFonts w:hint="eastAsia" w:ascii="宋体" w:eastAsia="宋体"/>
                <w:color w:val="auto"/>
                <w:sz w:val="30"/>
                <w:szCs w:val="30"/>
                <w:highlight w:val="none"/>
              </w:rPr>
              <w:t>采购编号：</w:t>
            </w:r>
            <w:bookmarkStart w:id="94" w:name="_GoBack"/>
            <w:bookmarkEnd w:id="94"/>
            <w:r>
              <w:rPr>
                <w:rFonts w:hint="eastAsia" w:ascii="宋体" w:eastAsia="宋体"/>
                <w:color w:val="auto"/>
                <w:sz w:val="30"/>
                <w:szCs w:val="30"/>
                <w:highlight w:val="none"/>
                <w:lang w:eastAsia="zh-CN"/>
              </w:rPr>
              <w:t xml:space="preserve">ZJXDFS2025011 </w:t>
            </w:r>
          </w:p>
          <w:p w14:paraId="419DE01C">
            <w:pPr>
              <w:pageBreakBefore w:val="0"/>
              <w:widowControl w:val="0"/>
              <w:kinsoku/>
              <w:overflowPunct/>
              <w:bidi w:val="0"/>
              <w:spacing w:line="324" w:lineRule="auto"/>
              <w:rPr>
                <w:rFonts w:hint="eastAsia" w:ascii="宋体" w:eastAsia="宋体"/>
                <w:color w:val="auto"/>
                <w:sz w:val="30"/>
                <w:szCs w:val="30"/>
                <w:highlight w:val="none"/>
              </w:rPr>
            </w:pPr>
          </w:p>
          <w:p w14:paraId="13B13334">
            <w:pPr>
              <w:pStyle w:val="25"/>
              <w:pageBreakBefore w:val="0"/>
              <w:widowControl w:val="0"/>
              <w:kinsoku/>
              <w:overflowPunct/>
              <w:bidi w:val="0"/>
              <w:spacing w:line="324" w:lineRule="auto"/>
              <w:rPr>
                <w:rFonts w:hint="eastAsia" w:ascii="宋体" w:hAnsi="宋体" w:cs="宋体"/>
                <w:color w:val="auto"/>
                <w:highlight w:val="none"/>
              </w:rPr>
            </w:pPr>
          </w:p>
          <w:p w14:paraId="3950B637">
            <w:pPr>
              <w:pageBreakBefore w:val="0"/>
              <w:widowControl w:val="0"/>
              <w:kinsoku/>
              <w:overflowPunct/>
              <w:bidi w:val="0"/>
              <w:spacing w:line="324" w:lineRule="auto"/>
              <w:ind w:firstLine="1795" w:firstLineChars="596"/>
              <w:rPr>
                <w:rFonts w:hint="eastAsia" w:ascii="宋体" w:eastAsia="宋体"/>
                <w:color w:val="auto"/>
                <w:sz w:val="30"/>
                <w:szCs w:val="30"/>
                <w:highlight w:val="none"/>
              </w:rPr>
            </w:pPr>
            <w:r>
              <w:rPr>
                <w:rFonts w:hint="eastAsia" w:ascii="宋体" w:eastAsia="宋体"/>
                <w:color w:val="auto"/>
                <w:sz w:val="30"/>
                <w:szCs w:val="30"/>
                <w:highlight w:val="none"/>
              </w:rPr>
              <w:t>采 购 人：</w:t>
            </w:r>
            <w:r>
              <w:rPr>
                <w:rFonts w:hint="eastAsia" w:ascii="宋体" w:eastAsia="宋体"/>
                <w:color w:val="auto"/>
                <w:sz w:val="30"/>
                <w:szCs w:val="30"/>
                <w:highlight w:val="none"/>
                <w:lang w:eastAsia="zh-CN"/>
              </w:rPr>
              <w:t>温州市生态环境局文成分局</w:t>
            </w:r>
          </w:p>
          <w:p w14:paraId="6A2C18D4">
            <w:pPr>
              <w:pageBreakBefore w:val="0"/>
              <w:widowControl w:val="0"/>
              <w:kinsoku/>
              <w:overflowPunct/>
              <w:bidi w:val="0"/>
              <w:spacing w:line="324" w:lineRule="auto"/>
              <w:ind w:firstLine="1795" w:firstLineChars="596"/>
              <w:rPr>
                <w:rFonts w:hint="eastAsia" w:ascii="宋体" w:eastAsia="宋体"/>
                <w:color w:val="auto"/>
                <w:sz w:val="30"/>
                <w:szCs w:val="30"/>
                <w:highlight w:val="none"/>
                <w:lang w:eastAsia="zh-CN"/>
              </w:rPr>
            </w:pPr>
            <w:r>
              <w:rPr>
                <w:rFonts w:hint="eastAsia" w:ascii="宋体" w:eastAsia="宋体"/>
                <w:color w:val="auto"/>
                <w:sz w:val="30"/>
                <w:szCs w:val="30"/>
                <w:highlight w:val="none"/>
              </w:rPr>
              <w:t>联 系 人：</w:t>
            </w:r>
            <w:r>
              <w:rPr>
                <w:rFonts w:hint="eastAsia" w:ascii="宋体" w:eastAsia="宋体"/>
                <w:color w:val="auto"/>
                <w:sz w:val="30"/>
                <w:szCs w:val="30"/>
                <w:highlight w:val="none"/>
                <w:lang w:val="en-US" w:eastAsia="zh-CN"/>
              </w:rPr>
              <w:t xml:space="preserve">吴先生 </w:t>
            </w:r>
          </w:p>
          <w:p w14:paraId="66066144">
            <w:pPr>
              <w:pageBreakBefore w:val="0"/>
              <w:widowControl w:val="0"/>
              <w:kinsoku/>
              <w:overflowPunct/>
              <w:bidi w:val="0"/>
              <w:spacing w:line="324" w:lineRule="auto"/>
              <w:ind w:firstLine="1795" w:firstLineChars="596"/>
              <w:rPr>
                <w:rFonts w:ascii="宋体" w:eastAsia="宋体"/>
                <w:color w:val="auto"/>
                <w:sz w:val="30"/>
                <w:szCs w:val="30"/>
                <w:highlight w:val="none"/>
                <w:lang w:val="en-US" w:eastAsia="zh-CN"/>
              </w:rPr>
            </w:pPr>
            <w:r>
              <w:rPr>
                <w:rFonts w:hint="eastAsia" w:ascii="宋体" w:eastAsia="宋体"/>
                <w:color w:val="auto"/>
                <w:sz w:val="30"/>
                <w:szCs w:val="30"/>
                <w:highlight w:val="none"/>
              </w:rPr>
              <w:t>联系电话：13968913770</w:t>
            </w:r>
            <w:r>
              <w:rPr>
                <w:rFonts w:hint="eastAsia" w:ascii="宋体" w:eastAsia="宋体"/>
                <w:color w:val="auto"/>
                <w:sz w:val="30"/>
                <w:szCs w:val="30"/>
                <w:highlight w:val="none"/>
                <w:lang w:val="en-US" w:eastAsia="zh-CN"/>
              </w:rPr>
              <w:t xml:space="preserve"> </w:t>
            </w:r>
          </w:p>
          <w:p w14:paraId="5F18F14C">
            <w:pPr>
              <w:pageBreakBefore w:val="0"/>
              <w:widowControl w:val="0"/>
              <w:kinsoku/>
              <w:overflowPunct/>
              <w:bidi w:val="0"/>
              <w:spacing w:line="324" w:lineRule="auto"/>
              <w:rPr>
                <w:rFonts w:hint="eastAsia" w:ascii="宋体" w:eastAsia="宋体"/>
                <w:color w:val="auto"/>
                <w:sz w:val="30"/>
                <w:szCs w:val="30"/>
                <w:highlight w:val="none"/>
              </w:rPr>
            </w:pPr>
          </w:p>
          <w:p w14:paraId="4805A441">
            <w:pPr>
              <w:pageBreakBefore w:val="0"/>
              <w:widowControl w:val="0"/>
              <w:kinsoku/>
              <w:overflowPunct/>
              <w:bidi w:val="0"/>
              <w:spacing w:line="324" w:lineRule="auto"/>
              <w:rPr>
                <w:rFonts w:hint="eastAsia" w:ascii="宋体" w:eastAsia="宋体"/>
                <w:color w:val="auto"/>
                <w:sz w:val="30"/>
                <w:szCs w:val="30"/>
                <w:highlight w:val="none"/>
              </w:rPr>
            </w:pPr>
          </w:p>
          <w:p w14:paraId="35576EBA">
            <w:pPr>
              <w:pageBreakBefore w:val="0"/>
              <w:widowControl w:val="0"/>
              <w:kinsoku/>
              <w:overflowPunct/>
              <w:bidi w:val="0"/>
              <w:spacing w:line="324" w:lineRule="auto"/>
              <w:ind w:firstLine="1795" w:firstLineChars="596"/>
              <w:rPr>
                <w:rFonts w:hint="eastAsia" w:ascii="宋体" w:eastAsia="宋体"/>
                <w:color w:val="auto"/>
                <w:sz w:val="30"/>
                <w:szCs w:val="30"/>
                <w:highlight w:val="none"/>
              </w:rPr>
            </w:pPr>
            <w:r>
              <w:rPr>
                <w:rFonts w:hint="eastAsia" w:ascii="宋体" w:eastAsia="宋体"/>
                <w:color w:val="auto"/>
                <w:sz w:val="30"/>
                <w:szCs w:val="30"/>
                <w:highlight w:val="none"/>
              </w:rPr>
              <w:t>代理机构：浙江新点项目管理有限公司</w:t>
            </w:r>
          </w:p>
          <w:p w14:paraId="30AEAA3E">
            <w:pPr>
              <w:pageBreakBefore w:val="0"/>
              <w:widowControl w:val="0"/>
              <w:kinsoku/>
              <w:overflowPunct/>
              <w:bidi w:val="0"/>
              <w:spacing w:line="324" w:lineRule="auto"/>
              <w:ind w:firstLine="1795" w:firstLineChars="596"/>
              <w:rPr>
                <w:rFonts w:hint="eastAsia" w:ascii="宋体" w:eastAsia="宋体"/>
                <w:color w:val="auto"/>
                <w:sz w:val="30"/>
                <w:szCs w:val="30"/>
                <w:highlight w:val="none"/>
                <w:lang w:eastAsia="zh-CN"/>
              </w:rPr>
            </w:pPr>
            <w:r>
              <w:rPr>
                <w:rFonts w:hint="eastAsia" w:ascii="宋体" w:eastAsia="宋体"/>
                <w:color w:val="auto"/>
                <w:sz w:val="30"/>
                <w:szCs w:val="30"/>
                <w:highlight w:val="none"/>
              </w:rPr>
              <w:t>联 系 人：夏</w:t>
            </w:r>
            <w:r>
              <w:rPr>
                <w:rFonts w:hint="eastAsia" w:ascii="宋体" w:eastAsia="宋体"/>
                <w:color w:val="auto"/>
                <w:sz w:val="30"/>
                <w:szCs w:val="30"/>
                <w:highlight w:val="none"/>
                <w:lang w:eastAsia="zh-CN"/>
              </w:rPr>
              <w:t>先生</w:t>
            </w:r>
          </w:p>
          <w:p w14:paraId="60118E54">
            <w:pPr>
              <w:pageBreakBefore w:val="0"/>
              <w:widowControl w:val="0"/>
              <w:kinsoku/>
              <w:overflowPunct/>
              <w:bidi w:val="0"/>
              <w:spacing w:line="324" w:lineRule="auto"/>
              <w:ind w:firstLine="1795" w:firstLineChars="596"/>
              <w:rPr>
                <w:rFonts w:hint="eastAsia" w:ascii="宋体" w:eastAsia="宋体"/>
                <w:color w:val="auto"/>
                <w:sz w:val="30"/>
                <w:szCs w:val="30"/>
                <w:highlight w:val="none"/>
              </w:rPr>
            </w:pPr>
            <w:r>
              <w:rPr>
                <w:rFonts w:hint="eastAsia" w:ascii="宋体" w:eastAsia="宋体"/>
                <w:color w:val="auto"/>
                <w:sz w:val="30"/>
                <w:szCs w:val="30"/>
                <w:highlight w:val="none"/>
              </w:rPr>
              <w:t>联系电话：15267701332</w:t>
            </w:r>
          </w:p>
          <w:p w14:paraId="735F1FDB">
            <w:pPr>
              <w:pageBreakBefore w:val="0"/>
              <w:widowControl w:val="0"/>
              <w:kinsoku/>
              <w:overflowPunct/>
              <w:bidi w:val="0"/>
              <w:spacing w:line="324" w:lineRule="auto"/>
              <w:ind w:firstLine="1795" w:firstLineChars="596"/>
              <w:rPr>
                <w:rFonts w:hint="eastAsia" w:ascii="宋体" w:eastAsia="宋体"/>
                <w:color w:val="auto"/>
                <w:sz w:val="30"/>
                <w:szCs w:val="30"/>
                <w:highlight w:val="none"/>
              </w:rPr>
            </w:pPr>
            <w:r>
              <w:rPr>
                <w:rFonts w:hint="eastAsia" w:ascii="宋体" w:eastAsia="宋体"/>
                <w:color w:val="auto"/>
                <w:sz w:val="30"/>
                <w:szCs w:val="30"/>
                <w:highlight w:val="none"/>
              </w:rPr>
              <w:t>传    真：0577-67897899</w:t>
            </w:r>
          </w:p>
          <w:p w14:paraId="31E0B525">
            <w:pPr>
              <w:pStyle w:val="5"/>
              <w:keepNext/>
              <w:keepLines/>
              <w:pageBreakBefore w:val="0"/>
              <w:widowControl w:val="0"/>
              <w:kinsoku/>
              <w:overflowPunct/>
              <w:bidi w:val="0"/>
              <w:spacing w:line="324" w:lineRule="auto"/>
              <w:rPr>
                <w:rFonts w:hint="eastAsia"/>
                <w:color w:val="auto"/>
                <w:highlight w:val="none"/>
              </w:rPr>
            </w:pPr>
          </w:p>
          <w:p w14:paraId="5E37C618">
            <w:pPr>
              <w:pageBreakBefore w:val="0"/>
              <w:widowControl w:val="0"/>
              <w:kinsoku/>
              <w:overflowPunct/>
              <w:autoSpaceDE w:val="0"/>
              <w:autoSpaceDN w:val="0"/>
              <w:bidi w:val="0"/>
              <w:adjustRightInd w:val="0"/>
              <w:snapToGrid w:val="0"/>
              <w:spacing w:line="324" w:lineRule="auto"/>
              <w:jc w:val="center"/>
              <w:rPr>
                <w:rFonts w:hint="eastAsia" w:ascii="宋体" w:eastAsia="宋体"/>
                <w:b w:val="0"/>
                <w:bCs w:val="0"/>
                <w:color w:val="auto"/>
                <w:sz w:val="32"/>
                <w:szCs w:val="32"/>
                <w:highlight w:val="none"/>
                <w:lang w:val="zh-CN"/>
              </w:rPr>
            </w:pPr>
            <w:r>
              <w:rPr>
                <w:rFonts w:hint="eastAsia" w:ascii="宋体" w:eastAsia="宋体"/>
                <w:color w:val="auto"/>
                <w:sz w:val="30"/>
                <w:szCs w:val="30"/>
                <w:highlight w:val="none"/>
              </w:rPr>
              <w:t>二〇二</w:t>
            </w:r>
            <w:r>
              <w:rPr>
                <w:rFonts w:hint="eastAsia" w:ascii="宋体" w:eastAsia="宋体"/>
                <w:color w:val="auto"/>
                <w:sz w:val="30"/>
                <w:szCs w:val="30"/>
                <w:highlight w:val="none"/>
                <w:lang w:val="en-US" w:eastAsia="zh-CN"/>
              </w:rPr>
              <w:t>五</w:t>
            </w:r>
            <w:r>
              <w:rPr>
                <w:rFonts w:hint="eastAsia" w:ascii="宋体" w:eastAsia="宋体"/>
                <w:color w:val="auto"/>
                <w:sz w:val="30"/>
                <w:szCs w:val="30"/>
                <w:highlight w:val="none"/>
              </w:rPr>
              <w:t>年</w:t>
            </w:r>
            <w:r>
              <w:rPr>
                <w:rFonts w:hint="eastAsia" w:ascii="宋体" w:eastAsia="宋体"/>
                <w:color w:val="auto"/>
                <w:sz w:val="30"/>
                <w:szCs w:val="30"/>
                <w:highlight w:val="none"/>
                <w:lang w:val="en-US" w:eastAsia="zh-CN"/>
              </w:rPr>
              <w:t>六</w:t>
            </w:r>
            <w:r>
              <w:rPr>
                <w:rFonts w:hint="eastAsia" w:ascii="宋体" w:eastAsia="宋体"/>
                <w:color w:val="auto"/>
                <w:sz w:val="30"/>
                <w:szCs w:val="30"/>
                <w:highlight w:val="none"/>
              </w:rPr>
              <w:t>月</w:t>
            </w:r>
          </w:p>
        </w:tc>
      </w:tr>
    </w:tbl>
    <w:p w14:paraId="0491D23A">
      <w:pPr>
        <w:pageBreakBefore w:val="0"/>
        <w:widowControl w:val="0"/>
        <w:kinsoku/>
        <w:overflowPunct/>
        <w:bidi w:val="0"/>
        <w:spacing w:line="324" w:lineRule="auto"/>
        <w:jc w:val="center"/>
        <w:rPr>
          <w:color w:val="auto"/>
          <w:sz w:val="36"/>
          <w:szCs w:val="36"/>
          <w:highlight w:val="none"/>
        </w:rPr>
      </w:pPr>
      <w:r>
        <w:rPr>
          <w:rFonts w:ascii="宋体" w:eastAsia="宋体"/>
          <w:color w:val="auto"/>
          <w:sz w:val="36"/>
          <w:szCs w:val="36"/>
          <w:highlight w:val="none"/>
        </w:rPr>
        <w:t>目录</w:t>
      </w:r>
    </w:p>
    <w:p w14:paraId="0A340F6C">
      <w:pPr>
        <w:pStyle w:val="18"/>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TOC \o "1-2" \h \u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_Toc13419 </w:instrText>
      </w:r>
      <w:r>
        <w:rPr>
          <w:rFonts w:hint="eastAsia" w:ascii="等线" w:hAnsi="等线" w:eastAsia="等线" w:cs="等线"/>
          <w:color w:val="auto"/>
          <w:highlight w:val="none"/>
        </w:rPr>
        <w:fldChar w:fldCharType="separate"/>
      </w:r>
      <w:r>
        <w:rPr>
          <w:rFonts w:hint="eastAsia" w:ascii="等线" w:hAnsi="等线" w:eastAsia="等线" w:cs="等线"/>
          <w:color w:val="auto"/>
          <w:szCs w:val="30"/>
          <w:highlight w:val="none"/>
        </w:rPr>
        <w:t>关于</w:t>
      </w:r>
      <w:r>
        <w:rPr>
          <w:rFonts w:hint="eastAsia" w:ascii="等线" w:hAnsi="等线" w:eastAsia="等线" w:cs="等线"/>
          <w:color w:val="auto"/>
          <w:szCs w:val="30"/>
          <w:highlight w:val="none"/>
          <w:lang w:eastAsia="zh-CN"/>
        </w:rPr>
        <w:t>文成县宁静小区创建项目</w:t>
      </w:r>
      <w:r>
        <w:rPr>
          <w:rFonts w:hint="eastAsia" w:ascii="等线" w:hAnsi="等线" w:eastAsia="等线" w:cs="等线"/>
          <w:color w:val="auto"/>
          <w:szCs w:val="30"/>
          <w:highlight w:val="none"/>
        </w:rPr>
        <w:t>的竞争性磋商采购公告</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_Toc13419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1</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6CF1B56A">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_Toc19272 </w:instrText>
      </w:r>
      <w:r>
        <w:rPr>
          <w:rFonts w:hint="eastAsia" w:ascii="等线" w:hAnsi="等线" w:eastAsia="等线" w:cs="等线"/>
          <w:color w:val="auto"/>
          <w:highlight w:val="none"/>
        </w:rPr>
        <w:fldChar w:fldCharType="separate"/>
      </w:r>
      <w:r>
        <w:rPr>
          <w:rFonts w:hint="eastAsia" w:ascii="等线" w:hAnsi="等线" w:eastAsia="等线" w:cs="等线"/>
          <w:color w:val="auto"/>
          <w:szCs w:val="22"/>
          <w:highlight w:val="none"/>
        </w:rPr>
        <w:t>一、项目基本情况</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_Toc19272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1</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27BD3B65">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_Toc19062 </w:instrText>
      </w:r>
      <w:r>
        <w:rPr>
          <w:rFonts w:hint="eastAsia" w:ascii="等线" w:hAnsi="等线" w:eastAsia="等线" w:cs="等线"/>
          <w:color w:val="auto"/>
          <w:highlight w:val="none"/>
        </w:rPr>
        <w:fldChar w:fldCharType="separate"/>
      </w:r>
      <w:r>
        <w:rPr>
          <w:rFonts w:hint="eastAsia" w:ascii="等线" w:hAnsi="等线" w:eastAsia="等线" w:cs="等线"/>
          <w:color w:val="auto"/>
          <w:szCs w:val="22"/>
          <w:highlight w:val="none"/>
        </w:rPr>
        <w:t>二、申请人的资格要求</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_Toc19062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1</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513305DF">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_Toc20558 </w:instrText>
      </w:r>
      <w:r>
        <w:rPr>
          <w:rFonts w:hint="eastAsia" w:ascii="等线" w:hAnsi="等线" w:eastAsia="等线" w:cs="等线"/>
          <w:color w:val="auto"/>
          <w:highlight w:val="none"/>
        </w:rPr>
        <w:fldChar w:fldCharType="separate"/>
      </w:r>
      <w:r>
        <w:rPr>
          <w:rFonts w:hint="eastAsia" w:ascii="等线" w:hAnsi="等线" w:eastAsia="等线" w:cs="等线"/>
          <w:color w:val="auto"/>
          <w:szCs w:val="22"/>
          <w:highlight w:val="none"/>
        </w:rPr>
        <w:t>三、获取（下载）采购文件</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_Toc20558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1</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091A54DB">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_Toc2185 </w:instrText>
      </w:r>
      <w:r>
        <w:rPr>
          <w:rFonts w:hint="eastAsia" w:ascii="等线" w:hAnsi="等线" w:eastAsia="等线" w:cs="等线"/>
          <w:color w:val="auto"/>
          <w:highlight w:val="none"/>
        </w:rPr>
        <w:fldChar w:fldCharType="separate"/>
      </w:r>
      <w:r>
        <w:rPr>
          <w:rFonts w:hint="eastAsia" w:ascii="等线" w:hAnsi="等线" w:eastAsia="等线" w:cs="等线"/>
          <w:color w:val="auto"/>
          <w:szCs w:val="22"/>
          <w:highlight w:val="none"/>
        </w:rPr>
        <w:t>四、响应文件提交（上传）</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_Toc2185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1</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1A7F2D76">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_Toc18111 </w:instrText>
      </w:r>
      <w:r>
        <w:rPr>
          <w:rFonts w:hint="eastAsia" w:ascii="等线" w:hAnsi="等线" w:eastAsia="等线" w:cs="等线"/>
          <w:color w:val="auto"/>
          <w:highlight w:val="none"/>
        </w:rPr>
        <w:fldChar w:fldCharType="separate"/>
      </w:r>
      <w:r>
        <w:rPr>
          <w:rFonts w:hint="eastAsia" w:ascii="等线" w:hAnsi="等线" w:eastAsia="等线" w:cs="等线"/>
          <w:color w:val="auto"/>
          <w:szCs w:val="22"/>
          <w:highlight w:val="none"/>
        </w:rPr>
        <w:t>五、响应文件开启</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_Toc18111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2</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2011F3E4">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_Toc19164 </w:instrText>
      </w:r>
      <w:r>
        <w:rPr>
          <w:rFonts w:hint="eastAsia" w:ascii="等线" w:hAnsi="等线" w:eastAsia="等线" w:cs="等线"/>
          <w:color w:val="auto"/>
          <w:highlight w:val="none"/>
        </w:rPr>
        <w:fldChar w:fldCharType="separate"/>
      </w:r>
      <w:r>
        <w:rPr>
          <w:rFonts w:hint="eastAsia" w:ascii="等线" w:hAnsi="等线" w:eastAsia="等线" w:cs="等线"/>
          <w:color w:val="auto"/>
          <w:szCs w:val="22"/>
          <w:highlight w:val="none"/>
        </w:rPr>
        <w:t>六、公告期限</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_Toc19164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2</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05E6FEF6">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_Toc26618 </w:instrText>
      </w:r>
      <w:r>
        <w:rPr>
          <w:rFonts w:hint="eastAsia" w:ascii="等线" w:hAnsi="等线" w:eastAsia="等线" w:cs="等线"/>
          <w:color w:val="auto"/>
          <w:highlight w:val="none"/>
        </w:rPr>
        <w:fldChar w:fldCharType="separate"/>
      </w:r>
      <w:r>
        <w:rPr>
          <w:rFonts w:hint="eastAsia" w:ascii="等线" w:hAnsi="等线" w:eastAsia="等线" w:cs="等线"/>
          <w:color w:val="auto"/>
          <w:szCs w:val="22"/>
          <w:highlight w:val="none"/>
        </w:rPr>
        <w:t>七、其他补充事宜</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_Toc26618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2</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7A748CCF">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_Toc9003 </w:instrText>
      </w:r>
      <w:r>
        <w:rPr>
          <w:rFonts w:hint="eastAsia" w:ascii="等线" w:hAnsi="等线" w:eastAsia="等线" w:cs="等线"/>
          <w:color w:val="auto"/>
          <w:highlight w:val="none"/>
        </w:rPr>
        <w:fldChar w:fldCharType="separate"/>
      </w:r>
      <w:r>
        <w:rPr>
          <w:rFonts w:hint="eastAsia" w:ascii="等线" w:hAnsi="等线" w:eastAsia="等线" w:cs="等线"/>
          <w:color w:val="auto"/>
          <w:szCs w:val="22"/>
          <w:highlight w:val="none"/>
        </w:rPr>
        <w:t>八、凡对本次</w:t>
      </w:r>
      <w:r>
        <w:rPr>
          <w:rFonts w:hint="eastAsia" w:ascii="等线" w:hAnsi="等线" w:eastAsia="等线" w:cs="等线"/>
          <w:color w:val="auto"/>
          <w:szCs w:val="22"/>
          <w:highlight w:val="none"/>
          <w:lang w:eastAsia="zh-CN"/>
        </w:rPr>
        <w:t>采购</w:t>
      </w:r>
      <w:r>
        <w:rPr>
          <w:rFonts w:hint="eastAsia" w:ascii="等线" w:hAnsi="等线" w:eastAsia="等线" w:cs="等线"/>
          <w:color w:val="auto"/>
          <w:szCs w:val="22"/>
          <w:highlight w:val="none"/>
        </w:rPr>
        <w:t>提出询问、质疑、投诉，请按以下方式联系</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_Toc9003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3</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515436AB">
      <w:pPr>
        <w:pStyle w:val="18"/>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_Toc19752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lang w:val="zh-CN"/>
        </w:rPr>
        <w:t>第一部分</w:t>
      </w:r>
      <w:r>
        <w:rPr>
          <w:rFonts w:hint="eastAsia" w:ascii="等线" w:hAnsi="等线" w:eastAsia="等线" w:cs="等线"/>
          <w:color w:val="auto"/>
          <w:highlight w:val="none"/>
          <w:lang w:val="en-US" w:eastAsia="zh-CN"/>
        </w:rPr>
        <w:t xml:space="preserve"> </w:t>
      </w:r>
      <w:r>
        <w:rPr>
          <w:rFonts w:hint="eastAsia" w:ascii="等线" w:hAnsi="等线" w:eastAsia="等线" w:cs="等线"/>
          <w:color w:val="auto"/>
          <w:highlight w:val="none"/>
          <w:lang w:val="zh-CN"/>
        </w:rPr>
        <w:t xml:space="preserve"> 投标邀请函（投标须知前附表）</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_Toc19752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4</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0A1434F0">
      <w:pPr>
        <w:pStyle w:val="18"/>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_Toc17140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lang w:val="zh-CN"/>
        </w:rPr>
        <w:t>第二部分</w:t>
      </w:r>
      <w:r>
        <w:rPr>
          <w:rFonts w:hint="eastAsia" w:ascii="等线" w:hAnsi="等线" w:eastAsia="等线" w:cs="等线"/>
          <w:color w:val="auto"/>
          <w:highlight w:val="none"/>
        </w:rPr>
        <w:t xml:space="preserve"> </w:t>
      </w:r>
      <w:r>
        <w:rPr>
          <w:rFonts w:hint="eastAsia" w:ascii="等线" w:hAnsi="等线" w:eastAsia="等线" w:cs="等线"/>
          <w:color w:val="auto"/>
          <w:highlight w:val="none"/>
          <w:lang w:val="en-US" w:eastAsia="zh-CN"/>
        </w:rPr>
        <w:t xml:space="preserve"> </w:t>
      </w:r>
      <w:r>
        <w:rPr>
          <w:rFonts w:hint="eastAsia" w:ascii="等线" w:hAnsi="等线" w:eastAsia="等线" w:cs="等线"/>
          <w:color w:val="auto"/>
          <w:highlight w:val="none"/>
          <w:lang w:val="zh-CN"/>
        </w:rPr>
        <w:t>项目简介</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_Toc17140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8</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20C02CEE">
      <w:pPr>
        <w:pStyle w:val="18"/>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_Toc10411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lang w:val="zh-CN"/>
        </w:rPr>
        <w:t>第三部分</w:t>
      </w:r>
      <w:r>
        <w:rPr>
          <w:rFonts w:hint="eastAsia" w:ascii="等线" w:hAnsi="等线" w:eastAsia="等线" w:cs="等线"/>
          <w:color w:val="auto"/>
          <w:highlight w:val="none"/>
        </w:rPr>
        <w:t xml:space="preserve"> </w:t>
      </w:r>
      <w:r>
        <w:rPr>
          <w:rFonts w:hint="eastAsia" w:ascii="等线" w:hAnsi="等线" w:eastAsia="等线" w:cs="等线"/>
          <w:color w:val="auto"/>
          <w:highlight w:val="none"/>
          <w:lang w:val="en-US" w:eastAsia="zh-CN"/>
        </w:rPr>
        <w:t xml:space="preserve"> </w:t>
      </w:r>
      <w:r>
        <w:rPr>
          <w:rFonts w:hint="eastAsia" w:ascii="等线" w:hAnsi="等线" w:eastAsia="等线" w:cs="等线"/>
          <w:color w:val="auto"/>
          <w:highlight w:val="none"/>
          <w:lang w:val="zh-CN"/>
        </w:rPr>
        <w:t>采购内容及要求</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_Toc10411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8</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101635D8">
      <w:pPr>
        <w:pStyle w:val="18"/>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_Toc12171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lang w:val="zh-CN"/>
        </w:rPr>
        <w:t>第四部分</w:t>
      </w:r>
      <w:r>
        <w:rPr>
          <w:rFonts w:hint="eastAsia" w:ascii="等线" w:hAnsi="等线" w:eastAsia="等线" w:cs="等线"/>
          <w:color w:val="auto"/>
          <w:highlight w:val="none"/>
        </w:rPr>
        <w:t xml:space="preserve"> </w:t>
      </w:r>
      <w:r>
        <w:rPr>
          <w:rFonts w:hint="eastAsia" w:ascii="等线" w:hAnsi="等线" w:eastAsia="等线" w:cs="等线"/>
          <w:color w:val="auto"/>
          <w:highlight w:val="none"/>
          <w:lang w:val="en-US" w:eastAsia="zh-CN"/>
        </w:rPr>
        <w:t xml:space="preserve"> </w:t>
      </w:r>
      <w:r>
        <w:rPr>
          <w:rFonts w:hint="eastAsia" w:ascii="等线" w:hAnsi="等线" w:eastAsia="等线" w:cs="等线"/>
          <w:color w:val="auto"/>
          <w:highlight w:val="none"/>
          <w:lang w:val="zh-CN"/>
        </w:rPr>
        <w:t>供应商须知</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_Toc12171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8</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0FF40663">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_Toc2666 </w:instrText>
      </w:r>
      <w:r>
        <w:rPr>
          <w:rFonts w:hint="eastAsia" w:ascii="等线" w:hAnsi="等线" w:eastAsia="等线" w:cs="等线"/>
          <w:color w:val="auto"/>
          <w:highlight w:val="none"/>
        </w:rPr>
        <w:fldChar w:fldCharType="separate"/>
      </w:r>
      <w:r>
        <w:rPr>
          <w:rFonts w:hint="eastAsia" w:ascii="等线" w:hAnsi="等线" w:eastAsia="等线" w:cs="等线"/>
          <w:color w:val="auto"/>
          <w:szCs w:val="22"/>
          <w:highlight w:val="none"/>
          <w:lang w:val="zh-CN"/>
        </w:rPr>
        <w:t>一、说明</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_Toc2666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10</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37A9352A">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_Toc24300 </w:instrText>
      </w:r>
      <w:r>
        <w:rPr>
          <w:rFonts w:hint="eastAsia" w:ascii="等线" w:hAnsi="等线" w:eastAsia="等线" w:cs="等线"/>
          <w:color w:val="auto"/>
          <w:highlight w:val="none"/>
        </w:rPr>
        <w:fldChar w:fldCharType="separate"/>
      </w:r>
      <w:r>
        <w:rPr>
          <w:rFonts w:hint="eastAsia" w:ascii="等线" w:hAnsi="等线" w:eastAsia="等线" w:cs="等线"/>
          <w:color w:val="auto"/>
          <w:szCs w:val="22"/>
          <w:highlight w:val="none"/>
        </w:rPr>
        <w:t>二、竞争性磋商文件</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_Toc24300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10</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5F6A391F">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_Toc29497 </w:instrText>
      </w:r>
      <w:r>
        <w:rPr>
          <w:rFonts w:hint="eastAsia" w:ascii="等线" w:hAnsi="等线" w:eastAsia="等线" w:cs="等线"/>
          <w:color w:val="auto"/>
          <w:highlight w:val="none"/>
        </w:rPr>
        <w:fldChar w:fldCharType="separate"/>
      </w:r>
      <w:r>
        <w:rPr>
          <w:rFonts w:hint="eastAsia" w:ascii="等线" w:hAnsi="等线" w:eastAsia="等线" w:cs="等线"/>
          <w:color w:val="auto"/>
          <w:szCs w:val="22"/>
          <w:highlight w:val="none"/>
        </w:rPr>
        <w:t>三、磋商响应文件</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_Toc29497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11</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6624B545">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_Toc32068 </w:instrText>
      </w:r>
      <w:r>
        <w:rPr>
          <w:rFonts w:hint="eastAsia" w:ascii="等线" w:hAnsi="等线" w:eastAsia="等线" w:cs="等线"/>
          <w:color w:val="auto"/>
          <w:highlight w:val="none"/>
        </w:rPr>
        <w:fldChar w:fldCharType="separate"/>
      </w:r>
      <w:r>
        <w:rPr>
          <w:rFonts w:hint="eastAsia" w:ascii="等线" w:hAnsi="等线" w:eastAsia="等线" w:cs="等线"/>
          <w:bCs w:val="0"/>
          <w:color w:val="auto"/>
          <w:szCs w:val="22"/>
          <w:highlight w:val="none"/>
        </w:rPr>
        <w:t>四、磋商响应文件递交</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_Toc32068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15</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7418595C">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_Toc21755 </w:instrText>
      </w:r>
      <w:r>
        <w:rPr>
          <w:rFonts w:hint="eastAsia" w:ascii="等线" w:hAnsi="等线" w:eastAsia="等线" w:cs="等线"/>
          <w:color w:val="auto"/>
          <w:highlight w:val="none"/>
        </w:rPr>
        <w:fldChar w:fldCharType="separate"/>
      </w:r>
      <w:r>
        <w:rPr>
          <w:rFonts w:hint="eastAsia" w:ascii="等线" w:hAnsi="等线" w:eastAsia="等线" w:cs="等线"/>
          <w:bCs w:val="0"/>
          <w:color w:val="auto"/>
          <w:szCs w:val="22"/>
          <w:highlight w:val="none"/>
        </w:rPr>
        <w:t>五、开标和评审</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_Toc21755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15</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0FA24983">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_Toc19520 </w:instrText>
      </w:r>
      <w:r>
        <w:rPr>
          <w:rFonts w:hint="eastAsia" w:ascii="等线" w:hAnsi="等线" w:eastAsia="等线" w:cs="等线"/>
          <w:color w:val="auto"/>
          <w:highlight w:val="none"/>
        </w:rPr>
        <w:fldChar w:fldCharType="separate"/>
      </w:r>
      <w:r>
        <w:rPr>
          <w:rFonts w:hint="eastAsia" w:ascii="等线" w:hAnsi="等线" w:eastAsia="等线" w:cs="等线"/>
          <w:bCs w:val="0"/>
          <w:color w:val="auto"/>
          <w:szCs w:val="22"/>
          <w:highlight w:val="none"/>
        </w:rPr>
        <w:t>六、授予合同</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_Toc19520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19</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0D4AF0A2">
      <w:pPr>
        <w:pStyle w:val="18"/>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_Toc2914 </w:instrText>
      </w:r>
      <w:r>
        <w:rPr>
          <w:rFonts w:hint="eastAsia" w:ascii="等线" w:hAnsi="等线" w:eastAsia="等线" w:cs="等线"/>
          <w:color w:val="auto"/>
          <w:highlight w:val="none"/>
        </w:rPr>
        <w:fldChar w:fldCharType="separate"/>
      </w:r>
      <w:r>
        <w:rPr>
          <w:rFonts w:hint="eastAsia" w:ascii="等线" w:hAnsi="等线" w:eastAsia="等线" w:cs="等线"/>
          <w:bCs w:val="0"/>
          <w:color w:val="auto"/>
          <w:szCs w:val="32"/>
          <w:highlight w:val="none"/>
          <w:lang w:val="zh-CN"/>
        </w:rPr>
        <w:t xml:space="preserve">第五部分 </w:t>
      </w:r>
      <w:r>
        <w:rPr>
          <w:rFonts w:hint="eastAsia" w:ascii="等线" w:hAnsi="等线" w:eastAsia="等线" w:cs="等线"/>
          <w:bCs w:val="0"/>
          <w:color w:val="auto"/>
          <w:szCs w:val="32"/>
          <w:highlight w:val="none"/>
          <w:lang w:val="en-US" w:eastAsia="zh-CN"/>
        </w:rPr>
        <w:t xml:space="preserve"> </w:t>
      </w:r>
      <w:r>
        <w:rPr>
          <w:rFonts w:hint="eastAsia" w:ascii="等线" w:hAnsi="等线" w:eastAsia="等线" w:cs="等线"/>
          <w:bCs w:val="0"/>
          <w:color w:val="auto"/>
          <w:szCs w:val="32"/>
          <w:highlight w:val="none"/>
          <w:lang w:val="zh-CN"/>
        </w:rPr>
        <w:t>政府采购政策功能相关说明</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_Toc2914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21</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6A7FE568">
      <w:pPr>
        <w:pStyle w:val="18"/>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_Toc15753 </w:instrText>
      </w:r>
      <w:r>
        <w:rPr>
          <w:rFonts w:hint="eastAsia" w:ascii="等线" w:hAnsi="等线" w:eastAsia="等线" w:cs="等线"/>
          <w:color w:val="auto"/>
          <w:highlight w:val="none"/>
        </w:rPr>
        <w:fldChar w:fldCharType="separate"/>
      </w:r>
      <w:r>
        <w:rPr>
          <w:rFonts w:hint="eastAsia" w:ascii="等线" w:hAnsi="等线" w:eastAsia="等线" w:cs="等线"/>
          <w:color w:val="auto"/>
          <w:szCs w:val="36"/>
          <w:highlight w:val="none"/>
          <w:lang w:val="zh-CN"/>
        </w:rPr>
        <w:t xml:space="preserve">第六部分 </w:t>
      </w:r>
      <w:r>
        <w:rPr>
          <w:rFonts w:hint="eastAsia" w:ascii="等线" w:hAnsi="等线" w:eastAsia="等线" w:cs="等线"/>
          <w:color w:val="auto"/>
          <w:szCs w:val="36"/>
          <w:highlight w:val="none"/>
          <w:lang w:val="en-US" w:eastAsia="zh-CN"/>
        </w:rPr>
        <w:t xml:space="preserve"> </w:t>
      </w:r>
      <w:r>
        <w:rPr>
          <w:rFonts w:hint="eastAsia" w:ascii="等线" w:hAnsi="等线" w:eastAsia="等线" w:cs="等线"/>
          <w:color w:val="auto"/>
          <w:szCs w:val="36"/>
          <w:highlight w:val="none"/>
          <w:lang w:val="zh-CN"/>
        </w:rPr>
        <w:t>合同格式（供参考）</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_Toc15753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25</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6C5A909D">
      <w:pPr>
        <w:pStyle w:val="18"/>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_Toc796 </w:instrText>
      </w:r>
      <w:r>
        <w:rPr>
          <w:rFonts w:hint="eastAsia" w:ascii="等线" w:hAnsi="等线" w:eastAsia="等线" w:cs="等线"/>
          <w:color w:val="auto"/>
          <w:highlight w:val="none"/>
        </w:rPr>
        <w:fldChar w:fldCharType="separate"/>
      </w:r>
      <w:r>
        <w:rPr>
          <w:rFonts w:hint="eastAsia" w:ascii="等线" w:hAnsi="等线" w:eastAsia="等线" w:cs="等线"/>
          <w:color w:val="auto"/>
          <w:szCs w:val="36"/>
          <w:highlight w:val="none"/>
          <w:lang w:val="zh-CN"/>
        </w:rPr>
        <w:t>第七部分</w:t>
      </w:r>
      <w:r>
        <w:rPr>
          <w:rFonts w:hint="eastAsia" w:ascii="等线" w:hAnsi="等线" w:eastAsia="等线" w:cs="等线"/>
          <w:color w:val="auto"/>
          <w:szCs w:val="36"/>
          <w:highlight w:val="none"/>
          <w:lang w:val="en-US" w:eastAsia="zh-CN"/>
        </w:rPr>
        <w:t xml:space="preserve">  </w:t>
      </w:r>
      <w:r>
        <w:rPr>
          <w:rFonts w:hint="eastAsia" w:ascii="等线" w:hAnsi="等线" w:eastAsia="等线" w:cs="等线"/>
          <w:color w:val="auto"/>
          <w:szCs w:val="36"/>
          <w:highlight w:val="none"/>
          <w:lang w:val="zh-CN"/>
        </w:rPr>
        <w:t>附件—磋商响应文件格式</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_Toc796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29</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2F28028C">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_Toc20925 </w:instrText>
      </w:r>
      <w:r>
        <w:rPr>
          <w:rFonts w:hint="eastAsia" w:ascii="等线" w:hAnsi="等线" w:eastAsia="等线" w:cs="等线"/>
          <w:color w:val="auto"/>
          <w:highlight w:val="none"/>
        </w:rPr>
        <w:fldChar w:fldCharType="separate"/>
      </w:r>
      <w:r>
        <w:rPr>
          <w:rFonts w:hint="eastAsia" w:ascii="等线" w:hAnsi="等线" w:eastAsia="等线" w:cs="等线"/>
          <w:bCs w:val="0"/>
          <w:color w:val="auto"/>
          <w:highlight w:val="none"/>
        </w:rPr>
        <w:t>一、资格文件格式</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_Toc20925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29</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33D8970E">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_Toc30623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二、报价文件格式</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_Toc30623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35</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6CF10BA9">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_Toc13314 </w:instrText>
      </w:r>
      <w:r>
        <w:rPr>
          <w:rFonts w:hint="eastAsia" w:ascii="等线" w:hAnsi="等线" w:eastAsia="等线" w:cs="等线"/>
          <w:color w:val="auto"/>
          <w:highlight w:val="none"/>
        </w:rPr>
        <w:fldChar w:fldCharType="separate"/>
      </w:r>
      <w:r>
        <w:rPr>
          <w:rFonts w:hint="eastAsia" w:ascii="等线" w:hAnsi="等线" w:eastAsia="等线" w:cs="等线"/>
          <w:bCs w:val="0"/>
          <w:color w:val="auto"/>
          <w:szCs w:val="36"/>
          <w:highlight w:val="none"/>
          <w:lang w:val="zh-CN"/>
        </w:rPr>
        <w:t>三、商务技术文件格式</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_Toc13314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37</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559531C7">
      <w:pPr>
        <w:pStyle w:val="18"/>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_Toc28604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 xml:space="preserve">附 </w:t>
      </w:r>
      <w:r>
        <w:rPr>
          <w:rFonts w:hint="eastAsia" w:ascii="等线" w:hAnsi="等线" w:eastAsia="等线" w:cs="等线"/>
          <w:color w:val="auto"/>
          <w:highlight w:val="none"/>
          <w:lang w:val="en-US" w:eastAsia="zh-CN"/>
        </w:rPr>
        <w:t xml:space="preserve"> </w:t>
      </w:r>
      <w:r>
        <w:rPr>
          <w:rFonts w:hint="eastAsia" w:ascii="等线" w:hAnsi="等线" w:eastAsia="等线" w:cs="等线"/>
          <w:color w:val="auto"/>
          <w:highlight w:val="none"/>
        </w:rPr>
        <w:t>确定成交供应商办法</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_Toc28604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45</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5293C911">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_Toc14273 </w:instrText>
      </w:r>
      <w:r>
        <w:rPr>
          <w:rFonts w:hint="eastAsia" w:ascii="等线" w:hAnsi="等线" w:eastAsia="等线" w:cs="等线"/>
          <w:color w:val="auto"/>
          <w:highlight w:val="none"/>
        </w:rPr>
        <w:fldChar w:fldCharType="separate"/>
      </w:r>
      <w:r>
        <w:rPr>
          <w:rFonts w:hint="eastAsia" w:ascii="等线" w:hAnsi="等线" w:eastAsia="等线" w:cs="等线"/>
          <w:bCs w:val="0"/>
          <w:color w:val="auto"/>
          <w:szCs w:val="22"/>
          <w:highlight w:val="none"/>
        </w:rPr>
        <w:t>一、总则</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_Toc14273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46</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6BB1E33A">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_Toc10922 </w:instrText>
      </w:r>
      <w:r>
        <w:rPr>
          <w:rFonts w:hint="eastAsia" w:ascii="等线" w:hAnsi="等线" w:eastAsia="等线" w:cs="等线"/>
          <w:color w:val="auto"/>
          <w:highlight w:val="none"/>
        </w:rPr>
        <w:fldChar w:fldCharType="separate"/>
      </w:r>
      <w:r>
        <w:rPr>
          <w:rFonts w:hint="eastAsia" w:ascii="等线" w:hAnsi="等线" w:eastAsia="等线" w:cs="等线"/>
          <w:bCs w:val="0"/>
          <w:color w:val="auto"/>
          <w:szCs w:val="22"/>
          <w:highlight w:val="none"/>
        </w:rPr>
        <w:t>二、评审组织</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_Toc10922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46</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15E57F8C">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_Toc15412 </w:instrText>
      </w:r>
      <w:r>
        <w:rPr>
          <w:rFonts w:hint="eastAsia" w:ascii="等线" w:hAnsi="等线" w:eastAsia="等线" w:cs="等线"/>
          <w:color w:val="auto"/>
          <w:highlight w:val="none"/>
        </w:rPr>
        <w:fldChar w:fldCharType="separate"/>
      </w:r>
      <w:r>
        <w:rPr>
          <w:rFonts w:hint="eastAsia" w:ascii="等线" w:hAnsi="等线" w:eastAsia="等线" w:cs="等线"/>
          <w:bCs w:val="0"/>
          <w:color w:val="auto"/>
          <w:szCs w:val="22"/>
          <w:highlight w:val="none"/>
        </w:rPr>
        <w:t>三、响应文件递交截止、磋商程序、磋商原则和方式</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_Toc15412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46</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44EDB05E">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_Toc10038 </w:instrText>
      </w:r>
      <w:r>
        <w:rPr>
          <w:rFonts w:hint="eastAsia" w:ascii="等线" w:hAnsi="等线" w:eastAsia="等线" w:cs="等线"/>
          <w:color w:val="auto"/>
          <w:highlight w:val="none"/>
        </w:rPr>
        <w:fldChar w:fldCharType="separate"/>
      </w:r>
      <w:r>
        <w:rPr>
          <w:rFonts w:hint="eastAsia" w:ascii="等线" w:hAnsi="等线" w:eastAsia="等线" w:cs="等线"/>
          <w:bCs w:val="0"/>
          <w:color w:val="auto"/>
          <w:szCs w:val="32"/>
          <w:highlight w:val="none"/>
        </w:rPr>
        <w:t>五、评分对应表（参考）</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_Toc10038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50</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3F7CAA01">
      <w:pPr>
        <w:pStyle w:val="13"/>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_Toc11262 </w:instrText>
      </w:r>
      <w:r>
        <w:rPr>
          <w:rFonts w:hint="eastAsia" w:ascii="等线" w:hAnsi="等线" w:eastAsia="等线" w:cs="等线"/>
          <w:color w:val="auto"/>
          <w:highlight w:val="none"/>
        </w:rPr>
        <w:fldChar w:fldCharType="separate"/>
      </w:r>
      <w:r>
        <w:rPr>
          <w:rFonts w:hint="eastAsia" w:ascii="等线" w:hAnsi="等线" w:eastAsia="等线" w:cs="等线"/>
          <w:bCs w:val="0"/>
          <w:color w:val="auto"/>
          <w:szCs w:val="36"/>
          <w:highlight w:val="none"/>
        </w:rPr>
        <w:t>六、信贷政策</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_Toc11262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51</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54FBCC57">
      <w:pPr>
        <w:pStyle w:val="18"/>
        <w:keepNext w:val="0"/>
        <w:keepLines w:val="0"/>
        <w:pageBreakBefore w:val="0"/>
        <w:widowControl w:val="0"/>
        <w:tabs>
          <w:tab w:val="right" w:leader="dot" w:pos="9338"/>
        </w:tabs>
        <w:kinsoku/>
        <w:wordWrap/>
        <w:overflowPunct/>
        <w:topLinePunct w:val="0"/>
        <w:autoSpaceDE/>
        <w:autoSpaceDN/>
        <w:bidi w:val="0"/>
        <w:adjustRightInd/>
        <w:snapToGrid/>
        <w:spacing w:line="300" w:lineRule="exact"/>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HYPERLINK \l _Toc7730 </w:instrText>
      </w:r>
      <w:r>
        <w:rPr>
          <w:rFonts w:hint="eastAsia" w:ascii="等线" w:hAnsi="等线" w:eastAsia="等线" w:cs="等线"/>
          <w:color w:val="auto"/>
          <w:highlight w:val="none"/>
        </w:rPr>
        <w:fldChar w:fldCharType="separate"/>
      </w:r>
      <w:r>
        <w:rPr>
          <w:rFonts w:hint="eastAsia" w:ascii="等线" w:hAnsi="等线" w:eastAsia="等线" w:cs="等线"/>
          <w:bCs w:val="0"/>
          <w:color w:val="auto"/>
          <w:szCs w:val="32"/>
          <w:highlight w:val="none"/>
        </w:rPr>
        <w:t>温州市政府采购信用融资意向银行选择表</w:t>
      </w:r>
      <w:r>
        <w:rPr>
          <w:rFonts w:hint="eastAsia" w:ascii="等线" w:hAnsi="等线" w:eastAsia="等线" w:cs="等线"/>
          <w:color w:val="auto"/>
          <w:highlight w:val="none"/>
        </w:rPr>
        <w:tab/>
      </w:r>
      <w:r>
        <w:rPr>
          <w:rFonts w:hint="eastAsia" w:ascii="等线" w:hAnsi="等线" w:eastAsia="等线" w:cs="等线"/>
          <w:color w:val="auto"/>
          <w:highlight w:val="none"/>
        </w:rPr>
        <w:fldChar w:fldCharType="begin"/>
      </w:r>
      <w:r>
        <w:rPr>
          <w:rFonts w:hint="eastAsia" w:ascii="等线" w:hAnsi="等线" w:eastAsia="等线" w:cs="等线"/>
          <w:color w:val="auto"/>
          <w:highlight w:val="none"/>
        </w:rPr>
        <w:instrText xml:space="preserve"> PAGEREF _Toc7730 \h </w:instrText>
      </w:r>
      <w:r>
        <w:rPr>
          <w:rFonts w:hint="eastAsia" w:ascii="等线" w:hAnsi="等线" w:eastAsia="等线" w:cs="等线"/>
          <w:color w:val="auto"/>
          <w:highlight w:val="none"/>
        </w:rPr>
        <w:fldChar w:fldCharType="separate"/>
      </w:r>
      <w:r>
        <w:rPr>
          <w:rFonts w:hint="eastAsia" w:ascii="等线" w:hAnsi="等线" w:eastAsia="等线" w:cs="等线"/>
          <w:color w:val="auto"/>
          <w:highlight w:val="none"/>
        </w:rPr>
        <w:t>51</w:t>
      </w:r>
      <w:r>
        <w:rPr>
          <w:rFonts w:hint="eastAsia" w:ascii="等线" w:hAnsi="等线" w:eastAsia="等线" w:cs="等线"/>
          <w:color w:val="auto"/>
          <w:highlight w:val="none"/>
        </w:rPr>
        <w:fldChar w:fldCharType="end"/>
      </w:r>
      <w:r>
        <w:rPr>
          <w:rFonts w:hint="eastAsia" w:ascii="等线" w:hAnsi="等线" w:eastAsia="等线" w:cs="等线"/>
          <w:color w:val="auto"/>
          <w:highlight w:val="none"/>
        </w:rPr>
        <w:fldChar w:fldCharType="end"/>
      </w:r>
    </w:p>
    <w:p w14:paraId="4C6AAF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等线" w:hAnsi="等线" w:eastAsia="等线" w:cs="等线"/>
          <w:color w:val="auto"/>
          <w:highlight w:val="none"/>
        </w:rPr>
      </w:pPr>
      <w:r>
        <w:rPr>
          <w:rFonts w:hint="eastAsia" w:ascii="等线" w:hAnsi="等线" w:eastAsia="等线" w:cs="等线"/>
          <w:color w:val="auto"/>
          <w:highlight w:val="none"/>
        </w:rPr>
        <w:fldChar w:fldCharType="end"/>
      </w:r>
      <w:bookmarkStart w:id="0" w:name="_Toc13419"/>
    </w:p>
    <w:p w14:paraId="163205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olor w:val="auto"/>
          <w:sz w:val="30"/>
          <w:szCs w:val="30"/>
          <w:highlight w:val="none"/>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78EC8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olor w:val="auto"/>
          <w:sz w:val="30"/>
          <w:szCs w:val="30"/>
          <w:highlight w:val="none"/>
        </w:rPr>
      </w:pPr>
      <w:r>
        <w:rPr>
          <w:rFonts w:hint="eastAsia" w:ascii="宋体" w:eastAsia="宋体"/>
          <w:color w:val="auto"/>
          <w:sz w:val="30"/>
          <w:szCs w:val="30"/>
          <w:highlight w:val="none"/>
        </w:rPr>
        <w:t>关于</w:t>
      </w:r>
      <w:r>
        <w:rPr>
          <w:rFonts w:hint="eastAsia" w:ascii="宋体" w:eastAsia="宋体"/>
          <w:color w:val="auto"/>
          <w:sz w:val="30"/>
          <w:szCs w:val="30"/>
          <w:highlight w:val="none"/>
          <w:lang w:eastAsia="zh-CN"/>
        </w:rPr>
        <w:t>文成县宁静小区创建项目</w:t>
      </w:r>
      <w:r>
        <w:rPr>
          <w:rFonts w:hint="eastAsia" w:ascii="宋体" w:eastAsia="宋体"/>
          <w:color w:val="auto"/>
          <w:sz w:val="30"/>
          <w:szCs w:val="30"/>
          <w:highlight w:val="none"/>
        </w:rPr>
        <w:t>的竞争性磋商采购公告</w:t>
      </w:r>
      <w:bookmarkEnd w:id="0"/>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0"/>
      </w:tblGrid>
      <w:tr w14:paraId="3464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740" w:type="dxa"/>
          </w:tcPr>
          <w:p w14:paraId="3A8651CF">
            <w:pPr>
              <w:pageBreakBefore w:val="0"/>
              <w:widowControl/>
              <w:kinsoku/>
              <w:overflowPunct/>
              <w:bidi w:val="0"/>
              <w:spacing w:line="324" w:lineRule="auto"/>
              <w:jc w:val="left"/>
              <w:rPr>
                <w:rFonts w:hint="eastAsia" w:ascii="宋体" w:eastAsia="宋体"/>
                <w:b w:val="0"/>
                <w:bCs w:val="0"/>
                <w:color w:val="auto"/>
                <w:sz w:val="24"/>
                <w:szCs w:val="24"/>
                <w:highlight w:val="none"/>
              </w:rPr>
            </w:pPr>
            <w:r>
              <w:rPr>
                <w:rFonts w:hint="eastAsia" w:ascii="宋体" w:eastAsia="宋体"/>
                <w:color w:val="auto"/>
                <w:sz w:val="22"/>
                <w:szCs w:val="22"/>
                <w:highlight w:val="none"/>
              </w:rPr>
              <w:t>项目概况</w:t>
            </w:r>
            <w:r>
              <w:rPr>
                <w:rFonts w:hint="eastAsia" w:ascii="宋体" w:eastAsia="宋体"/>
                <w:b w:val="0"/>
                <w:bCs w:val="0"/>
                <w:color w:val="auto"/>
                <w:sz w:val="22"/>
                <w:szCs w:val="22"/>
                <w:highlight w:val="none"/>
              </w:rPr>
              <w:t>：</w:t>
            </w:r>
          </w:p>
          <w:p w14:paraId="579ECBAC">
            <w:pPr>
              <w:pageBreakBefore w:val="0"/>
              <w:widowControl w:val="0"/>
              <w:kinsoku/>
              <w:overflowPunct/>
              <w:bidi w:val="0"/>
              <w:spacing w:line="324"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eastAsia="zh-CN"/>
              </w:rPr>
              <w:t>文成县宁静小区创建项目</w:t>
            </w:r>
            <w:r>
              <w:rPr>
                <w:rFonts w:hint="eastAsia" w:ascii="宋体" w:eastAsia="宋体"/>
                <w:b w:val="0"/>
                <w:bCs w:val="0"/>
                <w:color w:val="auto"/>
                <w:sz w:val="22"/>
                <w:szCs w:val="22"/>
                <w:highlight w:val="none"/>
              </w:rPr>
              <w:t>采购项目的潜在供应商应在政采云获取（下载）采购文件，并于</w:t>
            </w:r>
            <w:r>
              <w:rPr>
                <w:rFonts w:hint="eastAsia" w:ascii="宋体" w:eastAsia="宋体"/>
                <w:b w:val="0"/>
                <w:bCs w:val="0"/>
                <w:color w:val="auto"/>
                <w:sz w:val="22"/>
                <w:szCs w:val="22"/>
                <w:highlight w:val="none"/>
                <w:lang w:eastAsia="zh-CN"/>
              </w:rPr>
              <w:t>2025年07月08日</w:t>
            </w:r>
            <w:r>
              <w:rPr>
                <w:rFonts w:hint="eastAsia" w:ascii="宋体" w:eastAsia="宋体"/>
                <w:b w:val="0"/>
                <w:bCs w:val="0"/>
                <w:color w:val="auto"/>
                <w:sz w:val="22"/>
                <w:szCs w:val="22"/>
                <w:highlight w:val="none"/>
              </w:rPr>
              <w:t xml:space="preserve"> 09:30（北京时间）前提交（上传）响应文件。</w:t>
            </w:r>
          </w:p>
        </w:tc>
      </w:tr>
    </w:tbl>
    <w:p w14:paraId="3AD10EA6">
      <w:pPr>
        <w:pageBreakBefore w:val="0"/>
        <w:widowControl/>
        <w:kinsoku/>
        <w:overflowPunct/>
        <w:bidi w:val="0"/>
        <w:spacing w:line="324" w:lineRule="auto"/>
        <w:jc w:val="left"/>
        <w:outlineLvl w:val="1"/>
        <w:rPr>
          <w:rFonts w:hint="eastAsia" w:ascii="宋体" w:eastAsia="宋体"/>
          <w:color w:val="auto"/>
          <w:sz w:val="22"/>
          <w:szCs w:val="22"/>
          <w:highlight w:val="none"/>
        </w:rPr>
      </w:pPr>
      <w:bookmarkStart w:id="1" w:name="_Toc19272"/>
      <w:r>
        <w:rPr>
          <w:rFonts w:hint="eastAsia" w:ascii="宋体" w:eastAsia="宋体"/>
          <w:color w:val="auto"/>
          <w:sz w:val="22"/>
          <w:szCs w:val="22"/>
          <w:highlight w:val="none"/>
        </w:rPr>
        <w:t>一、项目基本情况</w:t>
      </w:r>
      <w:bookmarkEnd w:id="1"/>
    </w:p>
    <w:p w14:paraId="1A38B1E4">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项目编号：</w:t>
      </w:r>
      <w:r>
        <w:rPr>
          <w:rFonts w:hint="eastAsia" w:ascii="宋体" w:eastAsia="宋体"/>
          <w:b w:val="0"/>
          <w:bCs w:val="0"/>
          <w:color w:val="auto"/>
          <w:sz w:val="22"/>
          <w:szCs w:val="22"/>
          <w:highlight w:val="none"/>
          <w:lang w:eastAsia="zh-CN"/>
        </w:rPr>
        <w:t xml:space="preserve">ZJXDFS2025011 </w:t>
      </w:r>
    </w:p>
    <w:p w14:paraId="5F22EFBE">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项目名称：</w:t>
      </w:r>
      <w:r>
        <w:rPr>
          <w:rFonts w:hint="eastAsia" w:ascii="宋体" w:eastAsia="宋体"/>
          <w:b w:val="0"/>
          <w:bCs w:val="0"/>
          <w:color w:val="auto"/>
          <w:sz w:val="22"/>
          <w:szCs w:val="22"/>
          <w:highlight w:val="none"/>
          <w:lang w:eastAsia="zh-CN"/>
        </w:rPr>
        <w:t>文成县宁静小区创建项目</w:t>
      </w:r>
    </w:p>
    <w:p w14:paraId="3FCA0E63">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采购方式：竞争性磋商</w:t>
      </w:r>
    </w:p>
    <w:p w14:paraId="15525041">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预算金额（元）：</w:t>
      </w:r>
      <w:r>
        <w:rPr>
          <w:rFonts w:hint="eastAsia" w:ascii="宋体" w:eastAsia="宋体"/>
          <w:b w:val="0"/>
          <w:bCs w:val="0"/>
          <w:color w:val="auto"/>
          <w:sz w:val="22"/>
          <w:szCs w:val="22"/>
          <w:highlight w:val="none"/>
          <w:lang w:eastAsia="zh-CN"/>
        </w:rPr>
        <w:t>400000</w:t>
      </w:r>
    </w:p>
    <w:p w14:paraId="72D4CA85">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最高限价（元）：标项一：</w:t>
      </w:r>
      <w:r>
        <w:rPr>
          <w:rFonts w:hint="eastAsia" w:ascii="宋体" w:eastAsia="宋体"/>
          <w:b w:val="0"/>
          <w:bCs w:val="0"/>
          <w:color w:val="auto"/>
          <w:sz w:val="22"/>
          <w:szCs w:val="22"/>
          <w:highlight w:val="none"/>
          <w:lang w:eastAsia="zh-CN"/>
        </w:rPr>
        <w:t>400000</w:t>
      </w:r>
    </w:p>
    <w:p w14:paraId="2015B51E">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采购需求：</w:t>
      </w:r>
    </w:p>
    <w:p w14:paraId="39A3AE60">
      <w:pPr>
        <w:pageBreakBefore w:val="0"/>
        <w:widowControl/>
        <w:kinsoku/>
        <w:overflowPunct/>
        <w:autoSpaceDE w:val="0"/>
        <w:autoSpaceDN w:val="0"/>
        <w:bidi w:val="0"/>
        <w:adjustRightInd w:val="0"/>
        <w:spacing w:line="324" w:lineRule="auto"/>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标项一</w:t>
      </w:r>
      <w:r>
        <w:rPr>
          <w:rFonts w:hint="eastAsia" w:ascii="宋体" w:eastAsia="宋体"/>
          <w:b w:val="0"/>
          <w:color w:val="auto"/>
          <w:sz w:val="22"/>
          <w:highlight w:val="none"/>
          <w:lang w:eastAsia="zh-CN"/>
        </w:rPr>
        <w:t>：</w:t>
      </w:r>
    </w:p>
    <w:p w14:paraId="6F663796">
      <w:pPr>
        <w:pageBreakBefore w:val="0"/>
        <w:widowControl/>
        <w:kinsoku/>
        <w:overflowPunct/>
        <w:autoSpaceDE w:val="0"/>
        <w:autoSpaceDN w:val="0"/>
        <w:bidi w:val="0"/>
        <w:adjustRightInd w:val="0"/>
        <w:spacing w:line="324" w:lineRule="auto"/>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标项名称</w:t>
      </w:r>
      <w:r>
        <w:rPr>
          <w:rFonts w:hint="eastAsia" w:ascii="宋体" w:eastAsia="宋体"/>
          <w:b w:val="0"/>
          <w:color w:val="auto"/>
          <w:sz w:val="22"/>
          <w:highlight w:val="none"/>
          <w:lang w:eastAsia="zh-CN"/>
        </w:rPr>
        <w:t>：</w:t>
      </w:r>
      <w:r>
        <w:rPr>
          <w:rFonts w:hint="eastAsia" w:ascii="宋体" w:eastAsia="宋体"/>
          <w:b w:val="0"/>
          <w:bCs w:val="0"/>
          <w:color w:val="auto"/>
          <w:sz w:val="22"/>
          <w:szCs w:val="22"/>
          <w:highlight w:val="none"/>
          <w:lang w:eastAsia="zh-CN"/>
        </w:rPr>
        <w:t>文成县宁静小区创建项目</w:t>
      </w:r>
      <w:r>
        <w:rPr>
          <w:rFonts w:hint="eastAsia" w:ascii="宋体" w:eastAsia="宋体"/>
          <w:b w:val="0"/>
          <w:bCs w:val="0"/>
          <w:color w:val="auto"/>
          <w:sz w:val="22"/>
          <w:szCs w:val="22"/>
          <w:highlight w:val="none"/>
        </w:rPr>
        <w:t xml:space="preserve"> </w:t>
      </w:r>
      <w:r>
        <w:rPr>
          <w:rFonts w:hint="eastAsia" w:ascii="宋体" w:eastAsia="宋体"/>
          <w:b w:val="0"/>
          <w:color w:val="auto"/>
          <w:sz w:val="22"/>
          <w:highlight w:val="none"/>
        </w:rPr>
        <w:t>数量</w:t>
      </w:r>
      <w:r>
        <w:rPr>
          <w:rFonts w:hint="eastAsia" w:ascii="宋体" w:eastAsia="宋体"/>
          <w:b w:val="0"/>
          <w:color w:val="auto"/>
          <w:sz w:val="22"/>
          <w:highlight w:val="none"/>
          <w:lang w:eastAsia="zh-CN"/>
        </w:rPr>
        <w:t>：</w:t>
      </w:r>
      <w:r>
        <w:rPr>
          <w:rFonts w:hint="eastAsia" w:ascii="宋体" w:eastAsia="宋体"/>
          <w:b w:val="0"/>
          <w:color w:val="auto"/>
          <w:sz w:val="22"/>
          <w:highlight w:val="none"/>
        </w:rPr>
        <w:t>1</w:t>
      </w:r>
    </w:p>
    <w:p w14:paraId="094F8795">
      <w:pPr>
        <w:pageBreakBefore w:val="0"/>
        <w:widowControl/>
        <w:kinsoku/>
        <w:overflowPunct/>
        <w:autoSpaceDE w:val="0"/>
        <w:autoSpaceDN w:val="0"/>
        <w:bidi w:val="0"/>
        <w:adjustRightInd w:val="0"/>
        <w:spacing w:line="324" w:lineRule="auto"/>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rPr>
        <w:t>预算金额（元）</w:t>
      </w:r>
      <w:r>
        <w:rPr>
          <w:rFonts w:hint="eastAsia" w:ascii="宋体" w:eastAsia="宋体"/>
          <w:b w:val="0"/>
          <w:color w:val="auto"/>
          <w:sz w:val="22"/>
          <w:highlight w:val="none"/>
          <w:lang w:eastAsia="zh-CN"/>
        </w:rPr>
        <w:t>：400000</w:t>
      </w:r>
    </w:p>
    <w:p w14:paraId="42A99DF0">
      <w:pPr>
        <w:pageBreakBefore w:val="0"/>
        <w:widowControl/>
        <w:kinsoku/>
        <w:overflowPunct/>
        <w:autoSpaceDE w:val="0"/>
        <w:autoSpaceDN w:val="0"/>
        <w:bidi w:val="0"/>
        <w:adjustRightInd w:val="0"/>
        <w:spacing w:line="324" w:lineRule="auto"/>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简要规格描述或项目基本概况介绍、用途：详见</w:t>
      </w:r>
      <w:r>
        <w:rPr>
          <w:rFonts w:hint="eastAsia" w:ascii="宋体" w:eastAsia="宋体"/>
          <w:b w:val="0"/>
          <w:color w:val="auto"/>
          <w:sz w:val="22"/>
          <w:highlight w:val="none"/>
          <w:lang w:eastAsia="zh-CN"/>
        </w:rPr>
        <w:t>采购</w:t>
      </w:r>
      <w:r>
        <w:rPr>
          <w:rFonts w:hint="eastAsia" w:ascii="宋体" w:eastAsia="宋体"/>
          <w:b w:val="0"/>
          <w:color w:val="auto"/>
          <w:sz w:val="22"/>
          <w:highlight w:val="none"/>
        </w:rPr>
        <w:t>文件</w:t>
      </w:r>
    </w:p>
    <w:p w14:paraId="0B53D388">
      <w:pPr>
        <w:pageBreakBefore w:val="0"/>
        <w:widowControl/>
        <w:kinsoku/>
        <w:overflowPunct/>
        <w:autoSpaceDE w:val="0"/>
        <w:autoSpaceDN w:val="0"/>
        <w:bidi w:val="0"/>
        <w:adjustRightInd w:val="0"/>
        <w:spacing w:line="324" w:lineRule="auto"/>
        <w:ind w:firstLine="440" w:firstLineChars="200"/>
        <w:textAlignment w:val="bottom"/>
        <w:rPr>
          <w:rFonts w:hint="eastAsia" w:ascii="宋体" w:eastAsia="宋体"/>
          <w:color w:val="auto"/>
          <w:highlight w:val="none"/>
        </w:rPr>
      </w:pPr>
      <w:r>
        <w:rPr>
          <w:rFonts w:hint="eastAsia" w:ascii="宋体" w:eastAsia="宋体"/>
          <w:b w:val="0"/>
          <w:color w:val="auto"/>
          <w:sz w:val="22"/>
          <w:highlight w:val="none"/>
        </w:rPr>
        <w:t>备注：</w:t>
      </w:r>
    </w:p>
    <w:p w14:paraId="5385C3B5">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合同履约期限：见磋商文件要求</w:t>
      </w:r>
    </w:p>
    <w:p w14:paraId="115332BD">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本项目</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lang w:val="en-US" w:eastAsia="zh-CN"/>
        </w:rPr>
        <w:t>否</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接受联合体投标。</w:t>
      </w:r>
    </w:p>
    <w:p w14:paraId="0B7C4BB7">
      <w:pPr>
        <w:pageBreakBefore w:val="0"/>
        <w:widowControl/>
        <w:kinsoku/>
        <w:overflowPunct/>
        <w:bidi w:val="0"/>
        <w:spacing w:line="324" w:lineRule="auto"/>
        <w:jc w:val="left"/>
        <w:outlineLvl w:val="1"/>
        <w:rPr>
          <w:rFonts w:hint="eastAsia" w:ascii="宋体" w:eastAsia="宋体"/>
          <w:color w:val="auto"/>
          <w:sz w:val="22"/>
          <w:szCs w:val="22"/>
          <w:highlight w:val="none"/>
        </w:rPr>
      </w:pPr>
      <w:bookmarkStart w:id="2" w:name="_Toc19062"/>
      <w:r>
        <w:rPr>
          <w:rFonts w:hint="eastAsia" w:ascii="宋体" w:eastAsia="宋体"/>
          <w:color w:val="auto"/>
          <w:sz w:val="22"/>
          <w:szCs w:val="22"/>
          <w:highlight w:val="none"/>
        </w:rPr>
        <w:t>二、申请人的资格要求：</w:t>
      </w:r>
      <w:bookmarkEnd w:id="2"/>
    </w:p>
    <w:p w14:paraId="4F0B25CB">
      <w:pPr>
        <w:pageBreakBefore w:val="0"/>
        <w:widowControl/>
        <w:kinsoku/>
        <w:wordWrap w:val="0"/>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1.满足《中华人民共和国政府采购法》第二十二条规定；未被“信用中国”（</w:t>
      </w:r>
      <w:r>
        <w:rPr>
          <w:rFonts w:hint="eastAsia" w:ascii="宋体" w:eastAsia="宋体"/>
          <w:b w:val="0"/>
          <w:bCs w:val="0"/>
          <w:color w:val="auto"/>
          <w:sz w:val="22"/>
          <w:szCs w:val="22"/>
          <w:highlight w:val="none"/>
          <w:lang w:eastAsia="zh-CN"/>
        </w:rPr>
        <w:t>https://www.creditchina.gov.cn/）</w:t>
      </w:r>
      <w:r>
        <w:rPr>
          <w:rFonts w:hint="eastAsia" w:ascii="宋体" w:eastAsia="宋体"/>
          <w:b w:val="0"/>
          <w:bCs w:val="0"/>
          <w:color w:val="auto"/>
          <w:sz w:val="22"/>
          <w:szCs w:val="22"/>
          <w:highlight w:val="none"/>
        </w:rPr>
        <w:t>、中国政府采购网（www.ccgp.gov.cn）列入失信被执行人、重大税收违法案件当事人名单、政府采购严重违法失信行为记录名单。</w:t>
      </w:r>
    </w:p>
    <w:p w14:paraId="385EF862">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2.落实政府采购政策需满足的资格要求：无</w:t>
      </w:r>
      <w:r>
        <w:rPr>
          <w:rFonts w:hint="eastAsia" w:ascii="宋体" w:eastAsia="宋体"/>
          <w:b w:val="0"/>
          <w:bCs w:val="0"/>
          <w:color w:val="auto"/>
          <w:sz w:val="22"/>
          <w:szCs w:val="22"/>
          <w:highlight w:val="none"/>
          <w:lang w:eastAsia="zh-CN"/>
        </w:rPr>
        <w:t>。</w:t>
      </w:r>
    </w:p>
    <w:p w14:paraId="125B5589">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3.本项目的特定资格要求：</w:t>
      </w:r>
      <w:r>
        <w:rPr>
          <w:rFonts w:hint="eastAsia" w:ascii="新宋体" w:hAnsi="新宋体" w:eastAsia="新宋体" w:cs="宋体"/>
          <w:b w:val="0"/>
          <w:bCs w:val="0"/>
          <w:color w:val="auto"/>
          <w:sz w:val="22"/>
          <w:szCs w:val="22"/>
          <w:highlight w:val="none"/>
          <w:lang w:val="en-US" w:eastAsia="zh-CN"/>
        </w:rPr>
        <w:t>无</w:t>
      </w:r>
      <w:r>
        <w:rPr>
          <w:rFonts w:hint="eastAsia" w:ascii="宋体" w:eastAsia="宋体"/>
          <w:b w:val="0"/>
          <w:bCs w:val="0"/>
          <w:color w:val="auto"/>
          <w:sz w:val="22"/>
          <w:szCs w:val="22"/>
          <w:highlight w:val="none"/>
        </w:rPr>
        <w:t>。</w:t>
      </w:r>
    </w:p>
    <w:p w14:paraId="2CB9A579">
      <w:pPr>
        <w:pageBreakBefore w:val="0"/>
        <w:widowControl/>
        <w:kinsoku/>
        <w:overflowPunct/>
        <w:bidi w:val="0"/>
        <w:spacing w:line="324" w:lineRule="auto"/>
        <w:jc w:val="left"/>
        <w:outlineLvl w:val="1"/>
        <w:rPr>
          <w:rFonts w:hint="eastAsia" w:ascii="宋体" w:eastAsia="宋体"/>
          <w:color w:val="auto"/>
          <w:sz w:val="22"/>
          <w:szCs w:val="22"/>
          <w:highlight w:val="none"/>
        </w:rPr>
      </w:pPr>
      <w:bookmarkStart w:id="3" w:name="_Toc20558"/>
      <w:r>
        <w:rPr>
          <w:rFonts w:hint="eastAsia" w:ascii="宋体" w:eastAsia="宋体"/>
          <w:color w:val="auto"/>
          <w:sz w:val="22"/>
          <w:szCs w:val="22"/>
          <w:highlight w:val="none"/>
        </w:rPr>
        <w:t>三、获取（下载）采购文件</w:t>
      </w:r>
      <w:bookmarkEnd w:id="3"/>
    </w:p>
    <w:p w14:paraId="170786B1">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rPr>
        <w:t>时间：公告发布之日至</w:t>
      </w:r>
      <w:r>
        <w:rPr>
          <w:rFonts w:hint="eastAsia" w:ascii="宋体" w:eastAsia="宋体"/>
          <w:b w:val="0"/>
          <w:bCs w:val="0"/>
          <w:color w:val="auto"/>
          <w:sz w:val="22"/>
          <w:szCs w:val="22"/>
          <w:highlight w:val="none"/>
          <w:lang w:eastAsia="zh-CN"/>
        </w:rPr>
        <w:t>2025年07月08日</w:t>
      </w:r>
      <w:r>
        <w:rPr>
          <w:rFonts w:hint="eastAsia" w:ascii="宋体" w:eastAsia="宋体"/>
          <w:b w:val="0"/>
          <w:bCs w:val="0"/>
          <w:color w:val="auto"/>
          <w:sz w:val="22"/>
          <w:szCs w:val="22"/>
          <w:highlight w:val="none"/>
        </w:rPr>
        <w:t>，每天上午00:00至12:00，下午12:00至23:59（北京时间，线上获取法定节假日均可，线下获取文件法定节假日除外）</w:t>
      </w:r>
    </w:p>
    <w:p w14:paraId="5C309598">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地点（网址）：政采云</w:t>
      </w:r>
    </w:p>
    <w:p w14:paraId="3580D456">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方式：网上下载</w:t>
      </w:r>
    </w:p>
    <w:p w14:paraId="5F0EB60D">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售价（元）：0</w:t>
      </w:r>
    </w:p>
    <w:p w14:paraId="51C1DBEF">
      <w:pPr>
        <w:pageBreakBefore w:val="0"/>
        <w:widowControl/>
        <w:kinsoku/>
        <w:overflowPunct/>
        <w:bidi w:val="0"/>
        <w:spacing w:line="324" w:lineRule="auto"/>
        <w:jc w:val="left"/>
        <w:outlineLvl w:val="1"/>
        <w:rPr>
          <w:rFonts w:hint="eastAsia" w:ascii="宋体" w:eastAsia="宋体"/>
          <w:color w:val="auto"/>
          <w:sz w:val="22"/>
          <w:szCs w:val="22"/>
          <w:highlight w:val="none"/>
        </w:rPr>
      </w:pPr>
      <w:bookmarkStart w:id="4" w:name="_Toc2185"/>
      <w:r>
        <w:rPr>
          <w:rFonts w:hint="eastAsia" w:ascii="宋体" w:eastAsia="宋体"/>
          <w:color w:val="auto"/>
          <w:sz w:val="22"/>
          <w:szCs w:val="22"/>
          <w:highlight w:val="none"/>
        </w:rPr>
        <w:t>四、响应文件提交（上传）</w:t>
      </w:r>
      <w:bookmarkEnd w:id="4"/>
    </w:p>
    <w:p w14:paraId="38BD3E8E">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截止时间：</w:t>
      </w:r>
      <w:r>
        <w:rPr>
          <w:rFonts w:hint="eastAsia" w:ascii="宋体" w:eastAsia="宋体"/>
          <w:b w:val="0"/>
          <w:bCs w:val="0"/>
          <w:color w:val="auto"/>
          <w:sz w:val="22"/>
          <w:szCs w:val="22"/>
          <w:highlight w:val="none"/>
          <w:lang w:eastAsia="zh-CN"/>
        </w:rPr>
        <w:t>2025年07月08日</w:t>
      </w:r>
      <w:r>
        <w:rPr>
          <w:rFonts w:hint="eastAsia" w:ascii="宋体" w:eastAsia="宋体"/>
          <w:b w:val="0"/>
          <w:bCs w:val="0"/>
          <w:color w:val="auto"/>
          <w:sz w:val="22"/>
          <w:szCs w:val="22"/>
          <w:highlight w:val="none"/>
        </w:rPr>
        <w:t xml:space="preserve"> 09:30（北京时间）</w:t>
      </w:r>
    </w:p>
    <w:p w14:paraId="49E62498">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地点（网址）：</w:t>
      </w:r>
      <w:r>
        <w:rPr>
          <w:rFonts w:hint="eastAsia" w:ascii="宋体" w:eastAsia="宋体"/>
          <w:b w:val="0"/>
          <w:bCs w:val="0"/>
          <w:color w:val="auto"/>
          <w:sz w:val="22"/>
          <w:szCs w:val="22"/>
          <w:highlight w:val="none"/>
          <w:lang w:eastAsia="zh-CN"/>
        </w:rPr>
        <w:t>文成县大峃镇花园公寓1幢503室</w:t>
      </w:r>
      <w:r>
        <w:rPr>
          <w:rFonts w:hint="eastAsia" w:ascii="宋体" w:eastAsia="宋体"/>
          <w:b w:val="0"/>
          <w:bCs w:val="0"/>
          <w:color w:val="auto"/>
          <w:sz w:val="22"/>
          <w:szCs w:val="22"/>
          <w:highlight w:val="none"/>
        </w:rPr>
        <w:t>（本项目采用在线投标方式，投标供应商无须前往磋商现场）</w:t>
      </w:r>
    </w:p>
    <w:p w14:paraId="40A71D28">
      <w:pPr>
        <w:pageBreakBefore w:val="0"/>
        <w:widowControl/>
        <w:kinsoku/>
        <w:overflowPunct/>
        <w:bidi w:val="0"/>
        <w:spacing w:line="324" w:lineRule="auto"/>
        <w:jc w:val="left"/>
        <w:outlineLvl w:val="1"/>
        <w:rPr>
          <w:rFonts w:hint="eastAsia" w:ascii="宋体" w:eastAsia="宋体"/>
          <w:color w:val="auto"/>
          <w:sz w:val="22"/>
          <w:szCs w:val="22"/>
          <w:highlight w:val="none"/>
        </w:rPr>
      </w:pPr>
      <w:bookmarkStart w:id="5" w:name="_Toc18111"/>
      <w:r>
        <w:rPr>
          <w:rFonts w:hint="eastAsia" w:ascii="宋体" w:eastAsia="宋体"/>
          <w:color w:val="auto"/>
          <w:sz w:val="22"/>
          <w:szCs w:val="22"/>
          <w:highlight w:val="none"/>
        </w:rPr>
        <w:t>五、响应文件开启</w:t>
      </w:r>
      <w:bookmarkEnd w:id="5"/>
    </w:p>
    <w:p w14:paraId="2767E4B2">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开启时间：</w:t>
      </w:r>
      <w:r>
        <w:rPr>
          <w:rFonts w:hint="eastAsia" w:ascii="宋体" w:eastAsia="宋体"/>
          <w:b w:val="0"/>
          <w:bCs w:val="0"/>
          <w:color w:val="auto"/>
          <w:sz w:val="22"/>
          <w:szCs w:val="22"/>
          <w:highlight w:val="none"/>
          <w:lang w:eastAsia="zh-CN"/>
        </w:rPr>
        <w:t>2025年07月08日</w:t>
      </w:r>
      <w:r>
        <w:rPr>
          <w:rFonts w:hint="eastAsia" w:ascii="宋体" w:eastAsia="宋体"/>
          <w:b w:val="0"/>
          <w:bCs w:val="0"/>
          <w:color w:val="auto"/>
          <w:sz w:val="22"/>
          <w:szCs w:val="22"/>
          <w:highlight w:val="none"/>
        </w:rPr>
        <w:t xml:space="preserve"> 09:30（北京时间）</w:t>
      </w:r>
    </w:p>
    <w:p w14:paraId="05D48279">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地点（网址）：</w:t>
      </w:r>
      <w:r>
        <w:rPr>
          <w:rFonts w:hint="eastAsia" w:ascii="宋体" w:eastAsia="宋体"/>
          <w:b w:val="0"/>
          <w:bCs w:val="0"/>
          <w:color w:val="auto"/>
          <w:sz w:val="22"/>
          <w:szCs w:val="22"/>
          <w:highlight w:val="none"/>
          <w:lang w:eastAsia="zh-CN"/>
        </w:rPr>
        <w:t>文成县大峃镇花园公寓1幢503室</w:t>
      </w:r>
    </w:p>
    <w:p w14:paraId="7DA3CD85">
      <w:pPr>
        <w:pageBreakBefore w:val="0"/>
        <w:widowControl/>
        <w:kinsoku/>
        <w:overflowPunct/>
        <w:bidi w:val="0"/>
        <w:spacing w:line="324" w:lineRule="auto"/>
        <w:jc w:val="left"/>
        <w:outlineLvl w:val="1"/>
        <w:rPr>
          <w:rFonts w:hint="eastAsia" w:ascii="宋体" w:eastAsia="宋体"/>
          <w:color w:val="auto"/>
          <w:sz w:val="22"/>
          <w:szCs w:val="22"/>
          <w:highlight w:val="none"/>
        </w:rPr>
      </w:pPr>
      <w:bookmarkStart w:id="6" w:name="_Toc19164"/>
      <w:r>
        <w:rPr>
          <w:rFonts w:hint="eastAsia" w:ascii="宋体" w:eastAsia="宋体"/>
          <w:color w:val="auto"/>
          <w:sz w:val="22"/>
          <w:szCs w:val="22"/>
          <w:highlight w:val="none"/>
        </w:rPr>
        <w:t>六、公告期限</w:t>
      </w:r>
      <w:bookmarkEnd w:id="6"/>
    </w:p>
    <w:p w14:paraId="4E97E22D">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自本公告发布之日起3个工作日。</w:t>
      </w:r>
    </w:p>
    <w:p w14:paraId="3303BB5E">
      <w:pPr>
        <w:pageBreakBefore w:val="0"/>
        <w:widowControl/>
        <w:kinsoku/>
        <w:overflowPunct/>
        <w:bidi w:val="0"/>
        <w:spacing w:line="324" w:lineRule="auto"/>
        <w:jc w:val="left"/>
        <w:outlineLvl w:val="1"/>
        <w:rPr>
          <w:rFonts w:hint="eastAsia" w:ascii="宋体" w:eastAsia="宋体"/>
          <w:color w:val="auto"/>
          <w:sz w:val="22"/>
          <w:szCs w:val="22"/>
          <w:highlight w:val="none"/>
        </w:rPr>
      </w:pPr>
      <w:bookmarkStart w:id="7" w:name="_Toc26618"/>
      <w:r>
        <w:rPr>
          <w:rFonts w:hint="eastAsia" w:ascii="宋体" w:eastAsia="宋体"/>
          <w:color w:val="auto"/>
          <w:sz w:val="22"/>
          <w:szCs w:val="22"/>
          <w:highlight w:val="none"/>
        </w:rPr>
        <w:t>七、其他补充事宜</w:t>
      </w:r>
      <w:bookmarkEnd w:id="7"/>
    </w:p>
    <w:p w14:paraId="023C06E4">
      <w:pPr>
        <w:pageBreakBefore w:val="0"/>
        <w:widowControl/>
        <w:kinsoku/>
        <w:wordWrap w:val="0"/>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D497BE">
      <w:pPr>
        <w:pageBreakBefore w:val="0"/>
        <w:widowControl/>
        <w:kinsoku/>
        <w:wordWrap w:val="0"/>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2.其他事项：</w:t>
      </w:r>
    </w:p>
    <w:p w14:paraId="41F02700">
      <w:pPr>
        <w:pageBreakBefore w:val="0"/>
        <w:widowControl/>
        <w:kinsoku/>
        <w:wordWrap w:val="0"/>
        <w:overflowPunct/>
        <w:bidi w:val="0"/>
        <w:snapToGrid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一）获取磋商文件步骤：1、本项目磋商文件实行“政府采购云平台”在线获取，不提供磋商文件纸质版。供应商获取磋商文件前应先完成“政府采购云平台”的账号注册；2、地点：政采云平台；3、方式：潜在供应商通过账号</w:t>
      </w:r>
      <w:r>
        <w:rPr>
          <w:rFonts w:hint="eastAsia" w:ascii="宋体" w:eastAsia="宋体"/>
          <w:b w:val="0"/>
          <w:bCs w:val="0"/>
          <w:color w:val="auto"/>
          <w:sz w:val="22"/>
          <w:szCs w:val="22"/>
          <w:highlight w:val="none"/>
          <w:lang w:eastAsia="zh-CN"/>
        </w:rPr>
        <w:t>登录</w:t>
      </w:r>
      <w:r>
        <w:rPr>
          <w:rFonts w:hint="eastAsia" w:ascii="宋体" w:eastAsia="宋体"/>
          <w:b w:val="0"/>
          <w:bCs w:val="0"/>
          <w:color w:val="auto"/>
          <w:sz w:val="22"/>
          <w:szCs w:val="22"/>
          <w:highlight w:val="none"/>
        </w:rPr>
        <w:t>政采云平台：项目采购</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获取采购文件菜单，点击【申请获取采购文件】，填写获取采购文件的申请信息，提交后点击【下载采购文件】即可获取磋商文件；（本项目磋商文件不收取工本费；仅需浏览磋商文件的供应商可点击“游客，浏览采购文件”直接下载磋商文件浏览）；</w:t>
      </w:r>
      <w:r>
        <w:rPr>
          <w:rFonts w:hint="eastAsia" w:ascii="宋体" w:eastAsia="宋体"/>
          <w:b w:val="0"/>
          <w:color w:val="auto"/>
          <w:sz w:val="22"/>
          <w:highlight w:val="none"/>
        </w:rPr>
        <w:t>4、</w:t>
      </w:r>
      <w:r>
        <w:rPr>
          <w:rFonts w:hint="eastAsia" w:ascii="宋体" w:eastAsia="宋体"/>
          <w:b w:val="0"/>
          <w:bCs w:val="0"/>
          <w:color w:val="auto"/>
          <w:sz w:val="22"/>
          <w:szCs w:val="22"/>
          <w:highlight w:val="none"/>
        </w:rPr>
        <w:t>提示：采购公告附件内的磋商文件（或采购需求）仅供阅览使用，供应商只有在“政府采购云平台”完成获取磋商文件申请并下载了磋商文件后才视作依法获取磋商文件（法律法规所指的供应商获取磋商文件时间以供应商完成获取磋商文件申请后下载磋商文件的时间为准）。注：请供应商按上述要求获取磋商文件，如未在“政采云”系统内完成相关流程，引起的投标无效责任自负。</w:t>
      </w:r>
    </w:p>
    <w:p w14:paraId="1F93F2ED">
      <w:pPr>
        <w:pageBreakBefore w:val="0"/>
        <w:widowControl/>
        <w:kinsoku/>
        <w:wordWrap w:val="0"/>
        <w:overflowPunct/>
        <w:bidi w:val="0"/>
        <w:spacing w:line="324" w:lineRule="auto"/>
        <w:ind w:firstLine="440" w:firstLineChars="200"/>
        <w:jc w:val="left"/>
        <w:rPr>
          <w:rFonts w:hint="eastAsia" w:ascii="宋体" w:eastAsia="宋体"/>
          <w:b w:val="0"/>
          <w:bCs w:val="0"/>
          <w:color w:val="auto"/>
          <w:sz w:val="24"/>
          <w:szCs w:val="24"/>
          <w:highlight w:val="none"/>
        </w:rPr>
      </w:pPr>
      <w:r>
        <w:rPr>
          <w:rFonts w:hint="eastAsia" w:ascii="宋体" w:eastAsia="宋体"/>
          <w:b w:val="0"/>
          <w:bCs w:val="0"/>
          <w:color w:val="auto"/>
          <w:sz w:val="22"/>
          <w:szCs w:val="22"/>
          <w:highlight w:val="none"/>
        </w:rPr>
        <w:t>（二）在线投标响应（电子投标）说明1、本项目通过“政府采购云平台（www.zcygov.cn）”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政采云电子交易客户端”请自行前往“浙江政府采购网-下载专区</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电子交易客户端”进行下载；电子投标具体操作流程详见《供应商</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政府采购项目电子交易操作指南》（https://help.zcygov.cn/web/site_2/2018/12-28/2573.html）；通过“政府采购云平台”参与在线投标时如遇平台技术问题详询400-881-7190。2、为确保网上操作合法、有效和安全，投标供应商应当在响应文件递交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电子交易客户端-CA驱动和申领流程”进行查阅；3、投标供应商应当在响应文件递交截止时间前，将生成的“电子加密磋商响应文件”上传递交至“政府采购云平台”。响应文件递交截止时间以后上传递交的磋商响应文件将被“政府采购云平台”拒收。4、通过“政府采购云平台”成功上传递交的“电子加密磋商响应文件”无法按时解密的，其磋商响应文件按拒收处理。</w:t>
      </w:r>
    </w:p>
    <w:p w14:paraId="0EDB3DA3">
      <w:pPr>
        <w:pageBreakBefore w:val="0"/>
        <w:widowControl/>
        <w:kinsoku/>
        <w:overflowPunct/>
        <w:bidi w:val="0"/>
        <w:spacing w:line="324" w:lineRule="auto"/>
        <w:jc w:val="left"/>
        <w:outlineLvl w:val="1"/>
        <w:rPr>
          <w:rFonts w:hint="eastAsia" w:ascii="宋体" w:eastAsia="宋体"/>
          <w:color w:val="auto"/>
          <w:sz w:val="22"/>
          <w:szCs w:val="22"/>
          <w:highlight w:val="none"/>
        </w:rPr>
      </w:pPr>
      <w:bookmarkStart w:id="8" w:name="_Toc9003"/>
      <w:r>
        <w:rPr>
          <w:rFonts w:hint="eastAsia" w:ascii="宋体" w:eastAsia="宋体"/>
          <w:color w:val="auto"/>
          <w:sz w:val="22"/>
          <w:szCs w:val="22"/>
          <w:highlight w:val="none"/>
        </w:rPr>
        <w:t>八、凡对本次</w:t>
      </w:r>
      <w:r>
        <w:rPr>
          <w:rFonts w:hint="eastAsia" w:ascii="宋体" w:eastAsia="宋体"/>
          <w:color w:val="auto"/>
          <w:sz w:val="22"/>
          <w:szCs w:val="22"/>
          <w:highlight w:val="none"/>
          <w:lang w:eastAsia="zh-CN"/>
        </w:rPr>
        <w:t>采购</w:t>
      </w:r>
      <w:r>
        <w:rPr>
          <w:rFonts w:hint="eastAsia" w:ascii="宋体" w:eastAsia="宋体"/>
          <w:color w:val="auto"/>
          <w:sz w:val="22"/>
          <w:szCs w:val="22"/>
          <w:highlight w:val="none"/>
        </w:rPr>
        <w:t>提出询问、质疑、投诉，请按以下方式联系</w:t>
      </w:r>
      <w:bookmarkEnd w:id="8"/>
    </w:p>
    <w:p w14:paraId="298A6920">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1.采购人信息</w:t>
      </w:r>
    </w:p>
    <w:p w14:paraId="1EA6FB68">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名称：</w:t>
      </w:r>
      <w:r>
        <w:rPr>
          <w:rFonts w:hint="eastAsia" w:ascii="宋体" w:eastAsia="宋体"/>
          <w:b w:val="0"/>
          <w:bCs w:val="0"/>
          <w:color w:val="auto"/>
          <w:sz w:val="22"/>
          <w:szCs w:val="22"/>
          <w:highlight w:val="none"/>
          <w:lang w:eastAsia="zh-CN"/>
        </w:rPr>
        <w:t>温州市生态环境局文成分局</w:t>
      </w:r>
    </w:p>
    <w:p w14:paraId="086D6324">
      <w:pPr>
        <w:pageBreakBefore w:val="0"/>
        <w:widowControl/>
        <w:kinsoku/>
        <w:overflowPunct/>
        <w:bidi w:val="0"/>
        <w:spacing w:line="324" w:lineRule="auto"/>
        <w:ind w:firstLine="440" w:firstLineChars="200"/>
        <w:jc w:val="left"/>
        <w:rPr>
          <w:rFonts w:hint="eastAsia" w:ascii="宋体" w:eastAsia="宋体"/>
          <w:color w:val="auto"/>
          <w:sz w:val="22"/>
          <w:szCs w:val="22"/>
          <w:highlight w:val="none"/>
          <w:lang w:eastAsia="zh-CN"/>
        </w:rPr>
      </w:pPr>
      <w:r>
        <w:rPr>
          <w:rFonts w:hint="eastAsia" w:ascii="宋体" w:eastAsia="宋体"/>
          <w:b w:val="0"/>
          <w:bCs w:val="0"/>
          <w:color w:val="auto"/>
          <w:sz w:val="22"/>
          <w:szCs w:val="22"/>
          <w:highlight w:val="none"/>
        </w:rPr>
        <w:t>地址：</w:t>
      </w:r>
      <w:r>
        <w:rPr>
          <w:rFonts w:hint="eastAsia" w:ascii="宋体" w:eastAsia="宋体"/>
          <w:b w:val="0"/>
          <w:bCs w:val="0"/>
          <w:color w:val="auto"/>
          <w:sz w:val="22"/>
          <w:szCs w:val="22"/>
          <w:highlight w:val="none"/>
          <w:lang w:eastAsia="zh-CN"/>
        </w:rPr>
        <w:t>文成县大峃镇华侨新村51幢1号</w:t>
      </w:r>
    </w:p>
    <w:p w14:paraId="69F8CCA9">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项目联系人（询问）：</w:t>
      </w:r>
      <w:r>
        <w:rPr>
          <w:rFonts w:hint="eastAsia" w:ascii="宋体" w:eastAsia="宋体"/>
          <w:b w:val="0"/>
          <w:bCs w:val="0"/>
          <w:color w:val="auto"/>
          <w:sz w:val="22"/>
          <w:szCs w:val="22"/>
          <w:highlight w:val="none"/>
          <w:lang w:val="en-US" w:eastAsia="zh-CN"/>
        </w:rPr>
        <w:t xml:space="preserve">吴先生 </w:t>
      </w:r>
    </w:p>
    <w:p w14:paraId="23C4AF36">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项目联系方式（询问）：</w:t>
      </w:r>
      <w:r>
        <w:rPr>
          <w:rFonts w:hint="eastAsia" w:ascii="宋体" w:eastAsia="宋体"/>
          <w:b w:val="0"/>
          <w:bCs w:val="0"/>
          <w:color w:val="auto"/>
          <w:sz w:val="22"/>
          <w:szCs w:val="22"/>
          <w:highlight w:val="none"/>
          <w:lang w:val="en-US" w:eastAsia="zh-CN"/>
        </w:rPr>
        <w:t>13968913770</w:t>
      </w:r>
    </w:p>
    <w:p w14:paraId="685024B0">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质疑联系人：</w:t>
      </w:r>
      <w:r>
        <w:rPr>
          <w:rFonts w:hint="eastAsia" w:ascii="宋体" w:eastAsia="宋体"/>
          <w:b w:val="0"/>
          <w:bCs w:val="0"/>
          <w:color w:val="auto"/>
          <w:sz w:val="22"/>
          <w:szCs w:val="22"/>
          <w:highlight w:val="none"/>
          <w:lang w:val="en-US" w:eastAsia="zh-CN"/>
        </w:rPr>
        <w:t xml:space="preserve">吴先生 </w:t>
      </w:r>
    </w:p>
    <w:p w14:paraId="37DFA2D0">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rPr>
        <w:t>质疑联系方式：</w:t>
      </w:r>
      <w:r>
        <w:rPr>
          <w:rFonts w:hint="eastAsia" w:ascii="宋体" w:eastAsia="宋体"/>
          <w:b w:val="0"/>
          <w:bCs w:val="0"/>
          <w:color w:val="auto"/>
          <w:sz w:val="22"/>
          <w:szCs w:val="22"/>
          <w:highlight w:val="none"/>
          <w:lang w:val="en-US" w:eastAsia="zh-CN"/>
        </w:rPr>
        <w:t>13968913770</w:t>
      </w:r>
    </w:p>
    <w:p w14:paraId="2B793333">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2.采购代理机构信息</w:t>
      </w:r>
    </w:p>
    <w:p w14:paraId="080BCCB0">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名称：浙江新点项目管理有限公司</w:t>
      </w:r>
    </w:p>
    <w:p w14:paraId="620AC162">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地址：</w:t>
      </w:r>
      <w:r>
        <w:rPr>
          <w:rFonts w:hint="eastAsia" w:ascii="宋体" w:eastAsia="宋体"/>
          <w:b w:val="0"/>
          <w:bCs w:val="0"/>
          <w:color w:val="auto"/>
          <w:sz w:val="22"/>
          <w:szCs w:val="22"/>
          <w:highlight w:val="none"/>
          <w:lang w:eastAsia="zh-CN"/>
        </w:rPr>
        <w:t>文成县大峃镇花园公寓1幢503室</w:t>
      </w:r>
    </w:p>
    <w:p w14:paraId="219A9ACA">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项目联系人（询问）：夏</w:t>
      </w:r>
      <w:r>
        <w:rPr>
          <w:rFonts w:hint="eastAsia" w:ascii="宋体" w:eastAsia="宋体"/>
          <w:b w:val="0"/>
          <w:bCs w:val="0"/>
          <w:color w:val="auto"/>
          <w:sz w:val="22"/>
          <w:szCs w:val="22"/>
          <w:highlight w:val="none"/>
          <w:lang w:eastAsia="zh-CN"/>
        </w:rPr>
        <w:t>先生</w:t>
      </w:r>
    </w:p>
    <w:p w14:paraId="4B3B471B">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项目联系方式（询问）：15267701332</w:t>
      </w:r>
    </w:p>
    <w:p w14:paraId="7CF7160C">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质疑联系人：</w:t>
      </w:r>
      <w:r>
        <w:rPr>
          <w:rFonts w:hint="eastAsia" w:ascii="宋体" w:eastAsia="宋体"/>
          <w:b w:val="0"/>
          <w:bCs w:val="0"/>
          <w:color w:val="auto"/>
          <w:sz w:val="22"/>
          <w:szCs w:val="22"/>
          <w:highlight w:val="none"/>
          <w:lang w:eastAsia="zh-CN"/>
        </w:rPr>
        <w:t>林女士</w:t>
      </w:r>
    </w:p>
    <w:p w14:paraId="228FF770">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质疑联系方式：0577-67897899</w:t>
      </w:r>
    </w:p>
    <w:p w14:paraId="0FD76944">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3.同级政府采购监督管理部门</w:t>
      </w:r>
    </w:p>
    <w:p w14:paraId="0DDFCA7C">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名称：温州市财政局（浙江省政府采购行政裁决服务中心（温州））</w:t>
      </w:r>
    </w:p>
    <w:p w14:paraId="37159A2C">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地址：温州市鹿城区滨江街道瓯江路展银大厦1606室</w:t>
      </w:r>
    </w:p>
    <w:p w14:paraId="0B5E7D5A">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rPr>
        <w:t>传真：</w:t>
      </w:r>
      <w:r>
        <w:rPr>
          <w:rFonts w:hint="eastAsia" w:ascii="宋体" w:eastAsia="宋体"/>
          <w:b w:val="0"/>
          <w:bCs w:val="0"/>
          <w:color w:val="auto"/>
          <w:sz w:val="22"/>
          <w:szCs w:val="22"/>
          <w:highlight w:val="none"/>
          <w:lang w:val="en-US" w:eastAsia="zh-CN"/>
        </w:rPr>
        <w:t>/</w:t>
      </w:r>
    </w:p>
    <w:p w14:paraId="386467A0">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联系人：李老师、王老师</w:t>
      </w:r>
    </w:p>
    <w:p w14:paraId="1C78303C">
      <w:pPr>
        <w:pageBreakBefore w:val="0"/>
        <w:widowControl/>
        <w:kinsoku/>
        <w:overflowPunct/>
        <w:bidi w:val="0"/>
        <w:spacing w:line="324"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监督投诉电话：0577-88501561，0577-85501562</w:t>
      </w:r>
    </w:p>
    <w:p w14:paraId="69251DFE">
      <w:pPr>
        <w:pageBreakBefore w:val="0"/>
        <w:widowControl w:val="0"/>
        <w:kinsoku/>
        <w:overflowPunct/>
        <w:bidi w:val="0"/>
        <w:spacing w:line="324" w:lineRule="auto"/>
        <w:ind w:firstLine="442" w:firstLineChars="200"/>
        <w:rPr>
          <w:rFonts w:hint="eastAsia" w:ascii="宋体" w:eastAsia="宋体"/>
          <w:b w:val="0"/>
          <w:bCs w:val="0"/>
          <w:color w:val="auto"/>
          <w:sz w:val="22"/>
          <w:szCs w:val="22"/>
          <w:highlight w:val="none"/>
        </w:rPr>
      </w:pPr>
      <w:r>
        <w:rPr>
          <w:rFonts w:hint="eastAsia" w:ascii="宋体" w:eastAsia="宋体"/>
          <w:color w:val="auto"/>
          <w:sz w:val="22"/>
          <w:szCs w:val="22"/>
          <w:highlight w:val="none"/>
        </w:rPr>
        <w:t>注：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75F9412A">
      <w:pPr>
        <w:pageBreakBefore w:val="0"/>
        <w:widowControl/>
        <w:kinsoku/>
        <w:overflowPunct/>
        <w:bidi w:val="0"/>
        <w:snapToGrid w:val="0"/>
        <w:spacing w:before="70" w:after="70" w:line="324" w:lineRule="auto"/>
        <w:ind w:right="70"/>
        <w:jc w:val="left"/>
        <w:rPr>
          <w:rFonts w:hint="eastAsia" w:ascii="宋体" w:eastAsia="宋体"/>
          <w:color w:val="auto"/>
          <w:highlight w:val="none"/>
        </w:rPr>
      </w:pPr>
    </w:p>
    <w:p w14:paraId="2ECC6147">
      <w:pPr>
        <w:pageBreakBefore w:val="0"/>
        <w:widowControl w:val="0"/>
        <w:kinsoku/>
        <w:overflowPunct/>
        <w:autoSpaceDE w:val="0"/>
        <w:autoSpaceDN w:val="0"/>
        <w:bidi w:val="0"/>
        <w:adjustRightInd w:val="0"/>
        <w:snapToGrid w:val="0"/>
        <w:spacing w:line="324" w:lineRule="auto"/>
        <w:jc w:val="center"/>
        <w:outlineLvl w:val="0"/>
        <w:rPr>
          <w:rFonts w:hint="eastAsia" w:ascii="宋体" w:eastAsia="宋体"/>
          <w:color w:val="auto"/>
          <w:sz w:val="36"/>
          <w:highlight w:val="none"/>
          <w:lang w:val="zh-CN"/>
        </w:rPr>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9" w:name="_Toc19752"/>
    </w:p>
    <w:p w14:paraId="7E651C58">
      <w:pPr>
        <w:pageBreakBefore w:val="0"/>
        <w:widowControl w:val="0"/>
        <w:kinsoku/>
        <w:overflowPunct/>
        <w:autoSpaceDE w:val="0"/>
        <w:autoSpaceDN w:val="0"/>
        <w:bidi w:val="0"/>
        <w:adjustRightInd w:val="0"/>
        <w:snapToGrid w:val="0"/>
        <w:spacing w:line="324" w:lineRule="auto"/>
        <w:jc w:val="center"/>
        <w:outlineLvl w:val="0"/>
        <w:rPr>
          <w:rFonts w:hint="eastAsia" w:ascii="宋体" w:eastAsia="宋体"/>
          <w:color w:val="auto"/>
          <w:sz w:val="36"/>
          <w:highlight w:val="none"/>
          <w:lang w:val="zh-CN"/>
        </w:rPr>
      </w:pPr>
      <w:r>
        <w:rPr>
          <w:rFonts w:hint="eastAsia" w:ascii="宋体" w:eastAsia="宋体"/>
          <w:color w:val="auto"/>
          <w:sz w:val="36"/>
          <w:highlight w:val="none"/>
          <w:lang w:val="zh-CN"/>
        </w:rPr>
        <w:t>第一部分  投标邀请函（投标须知前附表）</w:t>
      </w:r>
      <w:bookmarkEnd w:id="9"/>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14:paraId="76B3DE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1527ABE8">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序号</w:t>
            </w:r>
          </w:p>
        </w:tc>
        <w:tc>
          <w:tcPr>
            <w:tcW w:w="1553" w:type="dxa"/>
            <w:vAlign w:val="center"/>
          </w:tcPr>
          <w:p w14:paraId="54638C1D">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内容</w:t>
            </w:r>
          </w:p>
        </w:tc>
        <w:tc>
          <w:tcPr>
            <w:tcW w:w="7776" w:type="dxa"/>
            <w:vAlign w:val="center"/>
          </w:tcPr>
          <w:p w14:paraId="457BF9EE">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说明与要求</w:t>
            </w:r>
          </w:p>
        </w:tc>
      </w:tr>
      <w:tr w14:paraId="17F31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tcBorders>
              <w:top w:val="single" w:color="auto" w:sz="4" w:space="0"/>
              <w:left w:val="single" w:color="auto" w:sz="12" w:space="0"/>
              <w:right w:val="single" w:color="auto" w:sz="4" w:space="0"/>
            </w:tcBorders>
            <w:vAlign w:val="center"/>
          </w:tcPr>
          <w:p w14:paraId="28748EE5">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412A0E1B">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项目名称</w:t>
            </w:r>
          </w:p>
        </w:tc>
        <w:tc>
          <w:tcPr>
            <w:tcW w:w="7776" w:type="dxa"/>
            <w:tcBorders>
              <w:top w:val="single" w:color="auto" w:sz="4" w:space="0"/>
              <w:left w:val="single" w:color="auto" w:sz="4" w:space="0"/>
              <w:right w:val="single" w:color="auto" w:sz="12" w:space="0"/>
            </w:tcBorders>
            <w:vAlign w:val="center"/>
          </w:tcPr>
          <w:p w14:paraId="6CD59249">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lang w:eastAsia="zh-CN"/>
              </w:rPr>
              <w:t>文成县宁静小区创建项目</w:t>
            </w:r>
          </w:p>
        </w:tc>
      </w:tr>
      <w:tr w14:paraId="00979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tcBorders>
              <w:top w:val="single" w:color="auto" w:sz="4" w:space="0"/>
              <w:left w:val="single" w:color="auto" w:sz="12" w:space="0"/>
              <w:right w:val="single" w:color="auto" w:sz="4" w:space="0"/>
            </w:tcBorders>
            <w:vAlign w:val="center"/>
          </w:tcPr>
          <w:p w14:paraId="67BB4E7D">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3902A1AA">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项目编号</w:t>
            </w:r>
          </w:p>
        </w:tc>
        <w:tc>
          <w:tcPr>
            <w:tcW w:w="7776" w:type="dxa"/>
            <w:tcBorders>
              <w:top w:val="single" w:color="auto" w:sz="4" w:space="0"/>
              <w:left w:val="single" w:color="auto" w:sz="4" w:space="0"/>
              <w:right w:val="single" w:color="auto" w:sz="12" w:space="0"/>
            </w:tcBorders>
            <w:vAlign w:val="center"/>
          </w:tcPr>
          <w:p w14:paraId="52426CE9">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lang w:eastAsia="zh-CN"/>
              </w:rPr>
              <w:t xml:space="preserve">ZJXDFS2025011 </w:t>
            </w:r>
          </w:p>
        </w:tc>
      </w:tr>
      <w:tr w14:paraId="67B9A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tcBorders>
              <w:top w:val="single" w:color="auto" w:sz="4" w:space="0"/>
              <w:left w:val="single" w:color="auto" w:sz="12" w:space="0"/>
              <w:right w:val="single" w:color="auto" w:sz="4" w:space="0"/>
            </w:tcBorders>
            <w:vAlign w:val="center"/>
          </w:tcPr>
          <w:p w14:paraId="42CFD6DF">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1F3AC66A">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资金来源</w:t>
            </w:r>
          </w:p>
        </w:tc>
        <w:tc>
          <w:tcPr>
            <w:tcW w:w="7776" w:type="dxa"/>
            <w:tcBorders>
              <w:top w:val="single" w:color="auto" w:sz="4" w:space="0"/>
              <w:left w:val="single" w:color="auto" w:sz="4" w:space="0"/>
              <w:right w:val="single" w:color="auto" w:sz="12" w:space="0"/>
            </w:tcBorders>
            <w:vAlign w:val="center"/>
          </w:tcPr>
          <w:p w14:paraId="762B1F13">
            <w:pPr>
              <w:keepNext w:val="0"/>
              <w:keepLines w:val="0"/>
              <w:pageBreakBefore w:val="0"/>
              <w:widowControl w:val="0"/>
              <w:kinsoku/>
              <w:wordWrap w:val="0"/>
              <w:overflowPunct/>
              <w:topLinePunct w:val="0"/>
              <w:autoSpaceDE/>
              <w:autoSpaceDN/>
              <w:bidi w:val="0"/>
              <w:snapToGrid/>
              <w:spacing w:line="324" w:lineRule="auto"/>
              <w:textAlignment w:val="auto"/>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财政统筹</w:t>
            </w:r>
          </w:p>
        </w:tc>
      </w:tr>
      <w:tr w14:paraId="6FD61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tcBorders>
              <w:top w:val="single" w:color="auto" w:sz="4" w:space="0"/>
              <w:left w:val="single" w:color="auto" w:sz="12" w:space="0"/>
              <w:right w:val="single" w:color="auto" w:sz="4" w:space="0"/>
            </w:tcBorders>
            <w:vAlign w:val="center"/>
          </w:tcPr>
          <w:p w14:paraId="163165FB">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1E6C7E5F">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采购预算</w:t>
            </w:r>
          </w:p>
          <w:p w14:paraId="0BFCEA25">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color w:val="auto"/>
                <w:sz w:val="22"/>
                <w:szCs w:val="22"/>
                <w:highlight w:val="none"/>
              </w:rPr>
            </w:pPr>
            <w:r>
              <w:rPr>
                <w:rFonts w:hint="eastAsia" w:ascii="宋体" w:eastAsia="宋体"/>
                <w:b w:val="0"/>
                <w:bCs w:val="0"/>
                <w:color w:val="auto"/>
                <w:sz w:val="22"/>
                <w:szCs w:val="22"/>
                <w:highlight w:val="none"/>
              </w:rPr>
              <w:t>（最高限价）</w:t>
            </w:r>
          </w:p>
        </w:tc>
        <w:tc>
          <w:tcPr>
            <w:tcW w:w="7776" w:type="dxa"/>
            <w:tcBorders>
              <w:top w:val="single" w:color="auto" w:sz="4" w:space="0"/>
              <w:left w:val="single" w:color="auto" w:sz="4" w:space="0"/>
              <w:right w:val="single" w:color="auto" w:sz="12" w:space="0"/>
            </w:tcBorders>
            <w:vAlign w:val="center"/>
          </w:tcPr>
          <w:p w14:paraId="625B4B33">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b w:val="0"/>
                <w:bCs w:val="0"/>
                <w:color w:val="auto"/>
                <w:sz w:val="22"/>
                <w:szCs w:val="22"/>
                <w:highlight w:val="none"/>
              </w:rPr>
              <w:t>标项一：</w:t>
            </w:r>
            <w:r>
              <w:rPr>
                <w:rFonts w:hint="eastAsia" w:ascii="宋体" w:eastAsia="宋体"/>
                <w:b w:val="0"/>
                <w:bCs w:val="0"/>
                <w:color w:val="auto"/>
                <w:sz w:val="22"/>
                <w:szCs w:val="22"/>
                <w:highlight w:val="none"/>
                <w:lang w:eastAsia="zh-CN"/>
              </w:rPr>
              <w:t>400000</w:t>
            </w:r>
            <w:r>
              <w:rPr>
                <w:rFonts w:hint="eastAsia" w:ascii="宋体" w:eastAsia="宋体"/>
                <w:b w:val="0"/>
                <w:bCs w:val="0"/>
                <w:color w:val="auto"/>
                <w:sz w:val="22"/>
                <w:szCs w:val="22"/>
                <w:highlight w:val="none"/>
              </w:rPr>
              <w:t>元人民币，最高限价：</w:t>
            </w:r>
            <w:r>
              <w:rPr>
                <w:rFonts w:hint="eastAsia" w:ascii="宋体" w:eastAsia="宋体"/>
                <w:b w:val="0"/>
                <w:bCs w:val="0"/>
                <w:color w:val="auto"/>
                <w:sz w:val="22"/>
                <w:szCs w:val="22"/>
                <w:highlight w:val="none"/>
                <w:lang w:eastAsia="zh-CN"/>
              </w:rPr>
              <w:t>400000</w:t>
            </w:r>
            <w:r>
              <w:rPr>
                <w:rFonts w:hint="eastAsia" w:ascii="宋体" w:eastAsia="宋体"/>
                <w:b w:val="0"/>
                <w:bCs w:val="0"/>
                <w:color w:val="auto"/>
                <w:sz w:val="22"/>
                <w:szCs w:val="22"/>
                <w:highlight w:val="none"/>
              </w:rPr>
              <w:t>元人民币；</w:t>
            </w:r>
          </w:p>
        </w:tc>
      </w:tr>
      <w:tr w14:paraId="5A906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tcBorders>
              <w:top w:val="single" w:color="auto" w:sz="4" w:space="0"/>
              <w:left w:val="single" w:color="auto" w:sz="12" w:space="0"/>
              <w:right w:val="single" w:color="auto" w:sz="4" w:space="0"/>
            </w:tcBorders>
            <w:vAlign w:val="center"/>
          </w:tcPr>
          <w:p w14:paraId="76D5C9DA">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6244C5FA">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采购方式</w:t>
            </w:r>
          </w:p>
        </w:tc>
        <w:tc>
          <w:tcPr>
            <w:tcW w:w="7776" w:type="dxa"/>
            <w:tcBorders>
              <w:top w:val="single" w:color="auto" w:sz="4" w:space="0"/>
              <w:left w:val="single" w:color="auto" w:sz="4" w:space="0"/>
              <w:right w:val="single" w:color="auto" w:sz="12" w:space="0"/>
            </w:tcBorders>
            <w:vAlign w:val="center"/>
          </w:tcPr>
          <w:p w14:paraId="3006AC67">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竞争性磋商</w:t>
            </w:r>
          </w:p>
        </w:tc>
      </w:tr>
      <w:tr w14:paraId="0A803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tcBorders>
              <w:top w:val="single" w:color="auto" w:sz="4" w:space="0"/>
              <w:left w:val="single" w:color="auto" w:sz="12" w:space="0"/>
              <w:right w:val="single" w:color="auto" w:sz="4" w:space="0"/>
            </w:tcBorders>
            <w:vAlign w:val="center"/>
          </w:tcPr>
          <w:p w14:paraId="756E0FF4">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25272DEA">
            <w:pPr>
              <w:keepNext w:val="0"/>
              <w:keepLines w:val="0"/>
              <w:pageBreakBefore w:val="0"/>
              <w:widowControl w:val="0"/>
              <w:kinsoku/>
              <w:wordWrap w:val="0"/>
              <w:overflowPunct/>
              <w:topLinePunct w:val="0"/>
              <w:autoSpaceDE/>
              <w:autoSpaceDN/>
              <w:bidi w:val="0"/>
              <w:adjustRightInd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采购人</w:t>
            </w:r>
          </w:p>
        </w:tc>
        <w:tc>
          <w:tcPr>
            <w:tcW w:w="7776" w:type="dxa"/>
            <w:tcBorders>
              <w:top w:val="single" w:color="auto" w:sz="4" w:space="0"/>
              <w:left w:val="single" w:color="auto" w:sz="4" w:space="0"/>
              <w:right w:val="single" w:color="auto" w:sz="12" w:space="0"/>
            </w:tcBorders>
            <w:vAlign w:val="center"/>
          </w:tcPr>
          <w:p w14:paraId="38A31C41">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名称：</w:t>
            </w:r>
            <w:r>
              <w:rPr>
                <w:rFonts w:hint="eastAsia" w:ascii="宋体" w:eastAsia="宋体"/>
                <w:b w:val="0"/>
                <w:bCs w:val="0"/>
                <w:color w:val="auto"/>
                <w:sz w:val="22"/>
                <w:szCs w:val="22"/>
                <w:highlight w:val="none"/>
                <w:lang w:eastAsia="zh-CN"/>
              </w:rPr>
              <w:t>温州市生态环境局文成分局</w:t>
            </w:r>
          </w:p>
          <w:p w14:paraId="77E35552">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地址：</w:t>
            </w:r>
            <w:r>
              <w:rPr>
                <w:rFonts w:hint="eastAsia" w:ascii="宋体" w:eastAsia="宋体"/>
                <w:b w:val="0"/>
                <w:bCs w:val="0"/>
                <w:color w:val="auto"/>
                <w:sz w:val="22"/>
                <w:szCs w:val="22"/>
                <w:highlight w:val="none"/>
                <w:lang w:eastAsia="zh-CN"/>
              </w:rPr>
              <w:t>文成县大峃镇华侨新村51幢1号</w:t>
            </w:r>
          </w:p>
          <w:p w14:paraId="0B59C9E9">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联 系 人：</w:t>
            </w:r>
            <w:r>
              <w:rPr>
                <w:rFonts w:hint="eastAsia" w:ascii="宋体" w:eastAsia="宋体"/>
                <w:b w:val="0"/>
                <w:bCs w:val="0"/>
                <w:color w:val="auto"/>
                <w:sz w:val="22"/>
                <w:szCs w:val="22"/>
                <w:highlight w:val="none"/>
                <w:lang w:val="en-US" w:eastAsia="zh-CN"/>
              </w:rPr>
              <w:t xml:space="preserve">吴先生 </w:t>
            </w:r>
          </w:p>
          <w:p w14:paraId="7A5F293F">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联系电话：</w:t>
            </w:r>
            <w:r>
              <w:rPr>
                <w:rFonts w:hint="eastAsia" w:ascii="宋体" w:eastAsia="宋体"/>
                <w:b w:val="0"/>
                <w:bCs w:val="0"/>
                <w:color w:val="auto"/>
                <w:sz w:val="22"/>
                <w:szCs w:val="22"/>
                <w:highlight w:val="none"/>
                <w:lang w:val="en-US" w:eastAsia="zh-CN"/>
              </w:rPr>
              <w:t>13968913770</w:t>
            </w:r>
          </w:p>
        </w:tc>
      </w:tr>
      <w:tr w14:paraId="7C633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tcBorders>
              <w:top w:val="single" w:color="auto" w:sz="4" w:space="0"/>
              <w:left w:val="single" w:color="auto" w:sz="12" w:space="0"/>
              <w:right w:val="single" w:color="auto" w:sz="4" w:space="0"/>
            </w:tcBorders>
            <w:vAlign w:val="center"/>
          </w:tcPr>
          <w:p w14:paraId="014CEB1C">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right="105"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0ECF6D1C">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采购代理机构</w:t>
            </w:r>
          </w:p>
        </w:tc>
        <w:tc>
          <w:tcPr>
            <w:tcW w:w="7776" w:type="dxa"/>
            <w:tcBorders>
              <w:top w:val="single" w:color="auto" w:sz="4" w:space="0"/>
              <w:left w:val="single" w:color="auto" w:sz="4" w:space="0"/>
              <w:right w:val="single" w:color="auto" w:sz="12" w:space="0"/>
            </w:tcBorders>
            <w:vAlign w:val="center"/>
          </w:tcPr>
          <w:p w14:paraId="62EE4665">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名称：浙江新点项目管理有限公司</w:t>
            </w:r>
          </w:p>
          <w:p w14:paraId="3E6EC391">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地址：</w:t>
            </w:r>
            <w:r>
              <w:rPr>
                <w:rFonts w:hint="eastAsia" w:ascii="宋体" w:eastAsia="宋体"/>
                <w:b w:val="0"/>
                <w:bCs w:val="0"/>
                <w:color w:val="auto"/>
                <w:sz w:val="22"/>
                <w:szCs w:val="22"/>
                <w:highlight w:val="none"/>
                <w:lang w:eastAsia="zh-CN"/>
              </w:rPr>
              <w:t>文成县大峃镇花园公寓1幢503室</w:t>
            </w:r>
          </w:p>
          <w:p w14:paraId="010A570C">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项目负责人：夏</w:t>
            </w:r>
            <w:r>
              <w:rPr>
                <w:rFonts w:hint="eastAsia" w:ascii="宋体" w:eastAsia="宋体"/>
                <w:b w:val="0"/>
                <w:bCs w:val="0"/>
                <w:color w:val="auto"/>
                <w:sz w:val="22"/>
                <w:szCs w:val="22"/>
                <w:highlight w:val="none"/>
                <w:lang w:eastAsia="zh-CN"/>
              </w:rPr>
              <w:t>先生</w:t>
            </w:r>
          </w:p>
          <w:p w14:paraId="61CD6077">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手机：15267701332</w:t>
            </w:r>
          </w:p>
        </w:tc>
      </w:tr>
      <w:tr w14:paraId="6D7F5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tcBorders>
              <w:top w:val="single" w:color="auto" w:sz="4" w:space="0"/>
              <w:left w:val="single" w:color="auto" w:sz="12" w:space="0"/>
              <w:right w:val="single" w:color="auto" w:sz="4" w:space="0"/>
            </w:tcBorders>
            <w:vAlign w:val="center"/>
          </w:tcPr>
          <w:p w14:paraId="202050AF">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right="105"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09015DAB">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评标办法</w:t>
            </w:r>
          </w:p>
        </w:tc>
        <w:tc>
          <w:tcPr>
            <w:tcW w:w="7776" w:type="dxa"/>
            <w:tcBorders>
              <w:top w:val="single" w:color="auto" w:sz="4" w:space="0"/>
              <w:left w:val="single" w:color="auto" w:sz="4" w:space="0"/>
              <w:right w:val="single" w:color="auto" w:sz="12" w:space="0"/>
            </w:tcBorders>
            <w:vAlign w:val="center"/>
          </w:tcPr>
          <w:p w14:paraId="40DA6E85">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综合评分法</w:t>
            </w:r>
          </w:p>
        </w:tc>
      </w:tr>
      <w:tr w14:paraId="4D2E0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tcBorders>
              <w:top w:val="single" w:color="auto" w:sz="4" w:space="0"/>
              <w:left w:val="single" w:color="auto" w:sz="12" w:space="0"/>
              <w:right w:val="single" w:color="auto" w:sz="4" w:space="0"/>
            </w:tcBorders>
            <w:vAlign w:val="center"/>
          </w:tcPr>
          <w:p w14:paraId="6F1761FB">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4BFC1074">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eastAsia="zh-CN"/>
              </w:rPr>
              <w:t>采购</w:t>
            </w:r>
            <w:r>
              <w:rPr>
                <w:rFonts w:hint="eastAsia" w:ascii="宋体" w:eastAsia="宋体"/>
                <w:b w:val="0"/>
                <w:bCs w:val="0"/>
                <w:color w:val="auto"/>
                <w:sz w:val="22"/>
                <w:szCs w:val="22"/>
                <w:highlight w:val="none"/>
              </w:rPr>
              <w:t>内容</w:t>
            </w:r>
          </w:p>
        </w:tc>
        <w:tc>
          <w:tcPr>
            <w:tcW w:w="7776" w:type="dxa"/>
            <w:tcBorders>
              <w:top w:val="single" w:color="auto" w:sz="4" w:space="0"/>
              <w:left w:val="single" w:color="auto" w:sz="4" w:space="0"/>
              <w:right w:val="single" w:color="auto" w:sz="12" w:space="0"/>
            </w:tcBorders>
            <w:vAlign w:val="center"/>
          </w:tcPr>
          <w:p w14:paraId="69415668">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具体内容见磋商采购文件。</w:t>
            </w:r>
          </w:p>
        </w:tc>
      </w:tr>
      <w:tr w14:paraId="6735D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tcBorders>
              <w:top w:val="single" w:color="auto" w:sz="4" w:space="0"/>
              <w:left w:val="single" w:color="auto" w:sz="12" w:space="0"/>
              <w:right w:val="single" w:color="auto" w:sz="4" w:space="0"/>
            </w:tcBorders>
            <w:vAlign w:val="center"/>
          </w:tcPr>
          <w:p w14:paraId="1A8DD6BE">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1121D82E">
            <w:pPr>
              <w:keepNext w:val="0"/>
              <w:keepLines w:val="0"/>
              <w:pageBreakBefore w:val="0"/>
              <w:widowControl w:val="0"/>
              <w:kinsoku/>
              <w:wordWrap w:val="0"/>
              <w:overflowPunct/>
              <w:topLinePunct w:val="0"/>
              <w:autoSpaceDE/>
              <w:autoSpaceDN/>
              <w:bidi w:val="0"/>
              <w:adjustRightInd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w:t>
            </w:r>
          </w:p>
          <w:p w14:paraId="11BAB2D4">
            <w:pPr>
              <w:keepNext w:val="0"/>
              <w:keepLines w:val="0"/>
              <w:pageBreakBefore w:val="0"/>
              <w:widowControl w:val="0"/>
              <w:kinsoku/>
              <w:wordWrap w:val="0"/>
              <w:overflowPunct/>
              <w:topLinePunct w:val="0"/>
              <w:autoSpaceDE/>
              <w:autoSpaceDN/>
              <w:bidi w:val="0"/>
              <w:adjustRightInd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资格要求</w:t>
            </w:r>
          </w:p>
        </w:tc>
        <w:tc>
          <w:tcPr>
            <w:tcW w:w="7776" w:type="dxa"/>
            <w:tcBorders>
              <w:top w:val="single" w:color="auto" w:sz="4" w:space="0"/>
              <w:left w:val="single" w:color="auto" w:sz="4" w:space="0"/>
              <w:right w:val="single" w:color="auto" w:sz="12" w:space="0"/>
            </w:tcBorders>
            <w:vAlign w:val="center"/>
          </w:tcPr>
          <w:p w14:paraId="5AECD542">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1.满足《中华人民共和国政府采购法》第二十二条规定；未被“信用中国”（</w:t>
            </w:r>
            <w:r>
              <w:rPr>
                <w:rFonts w:hint="eastAsia" w:ascii="宋体" w:eastAsia="宋体"/>
                <w:b w:val="0"/>
                <w:bCs w:val="0"/>
                <w:color w:val="auto"/>
                <w:sz w:val="22"/>
                <w:szCs w:val="22"/>
                <w:highlight w:val="none"/>
                <w:lang w:eastAsia="zh-CN"/>
              </w:rPr>
              <w:t>https://www.creditchina.gov.cn/）</w:t>
            </w:r>
            <w:r>
              <w:rPr>
                <w:rFonts w:hint="eastAsia" w:ascii="宋体" w:eastAsia="宋体"/>
                <w:b w:val="0"/>
                <w:bCs w:val="0"/>
                <w:color w:val="auto"/>
                <w:sz w:val="22"/>
                <w:szCs w:val="22"/>
                <w:highlight w:val="none"/>
              </w:rPr>
              <w:t>、中国政府采购网（www.ccgp.gov.cn）列入失信被执行人、重大税收违法案件当事人名单、政府采购严重违法失信行为记录名单。</w:t>
            </w:r>
          </w:p>
          <w:p w14:paraId="28F2AF22">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2.落实政府采购政策需满足的资格要求：无。</w:t>
            </w:r>
          </w:p>
          <w:p w14:paraId="543271F4">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3.本项目的特定资格要求：无。</w:t>
            </w:r>
          </w:p>
        </w:tc>
      </w:tr>
      <w:tr w14:paraId="620F1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tcBorders>
              <w:top w:val="single" w:color="auto" w:sz="4" w:space="0"/>
              <w:left w:val="single" w:color="auto" w:sz="12" w:space="0"/>
              <w:right w:val="single" w:color="auto" w:sz="4" w:space="0"/>
            </w:tcBorders>
            <w:vAlign w:val="center"/>
          </w:tcPr>
          <w:p w14:paraId="19DF7D36">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7D8E7BBB">
            <w:pPr>
              <w:keepNext w:val="0"/>
              <w:keepLines w:val="0"/>
              <w:pageBreakBefore w:val="0"/>
              <w:widowControl w:val="0"/>
              <w:kinsoku/>
              <w:wordWrap w:val="0"/>
              <w:overflowPunct/>
              <w:topLinePunct w:val="0"/>
              <w:autoSpaceDE/>
              <w:autoSpaceDN/>
              <w:bidi w:val="0"/>
              <w:adjustRightInd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是否接受联合体投标</w:t>
            </w:r>
          </w:p>
        </w:tc>
        <w:tc>
          <w:tcPr>
            <w:tcW w:w="7776" w:type="dxa"/>
            <w:tcBorders>
              <w:top w:val="single" w:color="auto" w:sz="4" w:space="0"/>
              <w:left w:val="single" w:color="auto" w:sz="4" w:space="0"/>
              <w:right w:val="single" w:color="auto" w:sz="12" w:space="0"/>
            </w:tcBorders>
            <w:vAlign w:val="center"/>
          </w:tcPr>
          <w:p w14:paraId="04ED0630">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不接受</w:t>
            </w:r>
          </w:p>
          <w:p w14:paraId="20EBD5BE">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接受</w:t>
            </w:r>
          </w:p>
        </w:tc>
      </w:tr>
      <w:tr w14:paraId="4CE8D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tcBorders>
              <w:top w:val="single" w:color="auto" w:sz="4" w:space="0"/>
              <w:left w:val="single" w:color="auto" w:sz="12" w:space="0"/>
              <w:right w:val="single" w:color="auto" w:sz="4" w:space="0"/>
            </w:tcBorders>
            <w:vAlign w:val="center"/>
          </w:tcPr>
          <w:p w14:paraId="0E183FBD">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452DE55F">
            <w:pPr>
              <w:keepNext w:val="0"/>
              <w:keepLines w:val="0"/>
              <w:pageBreakBefore w:val="0"/>
              <w:widowControl w:val="0"/>
              <w:kinsoku/>
              <w:wordWrap w:val="0"/>
              <w:overflowPunct/>
              <w:topLinePunct w:val="0"/>
              <w:autoSpaceDE/>
              <w:autoSpaceDN/>
              <w:bidi w:val="0"/>
              <w:adjustRightInd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踏勘现场</w:t>
            </w:r>
          </w:p>
        </w:tc>
        <w:tc>
          <w:tcPr>
            <w:tcW w:w="7776" w:type="dxa"/>
            <w:tcBorders>
              <w:top w:val="single" w:color="auto" w:sz="4" w:space="0"/>
              <w:left w:val="single" w:color="auto" w:sz="4" w:space="0"/>
              <w:right w:val="single" w:color="auto" w:sz="12" w:space="0"/>
            </w:tcBorders>
            <w:vAlign w:val="center"/>
          </w:tcPr>
          <w:p w14:paraId="05CA6571">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fldChar w:fldCharType="begin"/>
            </w:r>
            <w:r>
              <w:rPr>
                <w:rFonts w:hint="eastAsia" w:ascii="宋体" w:eastAsia="宋体"/>
                <w:b w:val="0"/>
                <w:bCs w:val="0"/>
                <w:color w:val="auto"/>
                <w:sz w:val="22"/>
                <w:szCs w:val="22"/>
                <w:highlight w:val="none"/>
              </w:rPr>
              <w:instrText xml:space="preserve">eq \o\ac(</w:instrText>
            </w:r>
            <w:r>
              <w:rPr>
                <w:rFonts w:hint="eastAsia" w:ascii="宋体" w:eastAsia="宋体"/>
                <w:b w:val="0"/>
                <w:bCs w:val="0"/>
                <w:color w:val="auto"/>
                <w:position w:val="-4"/>
                <w:sz w:val="22"/>
                <w:szCs w:val="22"/>
                <w:highlight w:val="none"/>
              </w:rPr>
              <w:instrText xml:space="preserve">□</w:instrText>
            </w:r>
            <w:r>
              <w:rPr>
                <w:rFonts w:hint="eastAsia" w:ascii="宋体" w:eastAsia="宋体"/>
                <w:b w:val="0"/>
                <w:bCs w:val="0"/>
                <w:color w:val="auto"/>
                <w:sz w:val="22"/>
                <w:szCs w:val="22"/>
                <w:highlight w:val="none"/>
              </w:rPr>
              <w:instrText xml:space="preserve">,√)</w:instrText>
            </w:r>
            <w:r>
              <w:rPr>
                <w:rFonts w:hint="eastAsia" w:ascii="宋体" w:eastAsia="宋体"/>
                <w:b w:val="0"/>
                <w:bCs w:val="0"/>
                <w:color w:val="auto"/>
                <w:sz w:val="22"/>
                <w:szCs w:val="22"/>
                <w:highlight w:val="none"/>
              </w:rPr>
              <w:fldChar w:fldCharType="end"/>
            </w:r>
            <w:r>
              <w:rPr>
                <w:rFonts w:hint="eastAsia" w:ascii="宋体" w:eastAsia="宋体"/>
                <w:b w:val="0"/>
                <w:bCs w:val="0"/>
                <w:color w:val="auto"/>
                <w:sz w:val="22"/>
                <w:szCs w:val="22"/>
                <w:highlight w:val="none"/>
              </w:rPr>
              <w:t>不组织</w:t>
            </w:r>
          </w:p>
          <w:p w14:paraId="4E18DE62">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□组织</w:t>
            </w:r>
          </w:p>
        </w:tc>
      </w:tr>
      <w:tr w14:paraId="3D597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tcBorders>
              <w:top w:val="single" w:color="auto" w:sz="4" w:space="0"/>
              <w:left w:val="single" w:color="auto" w:sz="12" w:space="0"/>
              <w:right w:val="single" w:color="auto" w:sz="4" w:space="0"/>
            </w:tcBorders>
            <w:vAlign w:val="center"/>
          </w:tcPr>
          <w:p w14:paraId="4D5C23C0">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3136A422">
            <w:pPr>
              <w:keepNext w:val="0"/>
              <w:keepLines w:val="0"/>
              <w:pageBreakBefore w:val="0"/>
              <w:widowControl w:val="0"/>
              <w:kinsoku/>
              <w:wordWrap w:val="0"/>
              <w:overflowPunct/>
              <w:topLinePunct w:val="0"/>
              <w:autoSpaceDE/>
              <w:autoSpaceDN/>
              <w:bidi w:val="0"/>
              <w:adjustRightInd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是否允许递交备选投标方案</w:t>
            </w:r>
          </w:p>
        </w:tc>
        <w:tc>
          <w:tcPr>
            <w:tcW w:w="7776" w:type="dxa"/>
            <w:tcBorders>
              <w:top w:val="single" w:color="auto" w:sz="4" w:space="0"/>
              <w:left w:val="single" w:color="auto" w:sz="4" w:space="0"/>
              <w:right w:val="single" w:color="auto" w:sz="12" w:space="0"/>
            </w:tcBorders>
            <w:vAlign w:val="center"/>
          </w:tcPr>
          <w:p w14:paraId="339DAC49">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不允许</w:t>
            </w:r>
          </w:p>
          <w:p w14:paraId="57A78C1E">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□允许</w:t>
            </w:r>
          </w:p>
        </w:tc>
      </w:tr>
      <w:tr w14:paraId="734E1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tcBorders>
              <w:top w:val="single" w:color="auto" w:sz="4" w:space="0"/>
              <w:left w:val="single" w:color="auto" w:sz="12" w:space="0"/>
              <w:right w:val="single" w:color="auto" w:sz="4" w:space="0"/>
            </w:tcBorders>
            <w:vAlign w:val="center"/>
          </w:tcPr>
          <w:p w14:paraId="2473503A">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2C1505EF">
            <w:pPr>
              <w:keepNext w:val="0"/>
              <w:keepLines w:val="0"/>
              <w:pageBreakBefore w:val="0"/>
              <w:widowControl w:val="0"/>
              <w:kinsoku/>
              <w:wordWrap w:val="0"/>
              <w:overflowPunct/>
              <w:topLinePunct w:val="0"/>
              <w:autoSpaceDE/>
              <w:autoSpaceDN/>
              <w:bidi w:val="0"/>
              <w:adjustRightInd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投标货币</w:t>
            </w:r>
          </w:p>
        </w:tc>
        <w:tc>
          <w:tcPr>
            <w:tcW w:w="7776" w:type="dxa"/>
            <w:tcBorders>
              <w:top w:val="single" w:color="auto" w:sz="4" w:space="0"/>
              <w:left w:val="single" w:color="auto" w:sz="4" w:space="0"/>
              <w:right w:val="single" w:color="auto" w:sz="12" w:space="0"/>
            </w:tcBorders>
            <w:vAlign w:val="center"/>
          </w:tcPr>
          <w:p w14:paraId="4E320DD1">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人民币</w:t>
            </w:r>
          </w:p>
        </w:tc>
      </w:tr>
      <w:tr w14:paraId="78C95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tcBorders>
              <w:top w:val="single" w:color="auto" w:sz="4" w:space="0"/>
              <w:left w:val="single" w:color="auto" w:sz="12" w:space="0"/>
              <w:right w:val="single" w:color="auto" w:sz="4" w:space="0"/>
            </w:tcBorders>
            <w:vAlign w:val="center"/>
          </w:tcPr>
          <w:p w14:paraId="12DFF9D8">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5F1E4381">
            <w:pPr>
              <w:keepNext w:val="0"/>
              <w:keepLines w:val="0"/>
              <w:pageBreakBefore w:val="0"/>
              <w:widowControl w:val="0"/>
              <w:kinsoku/>
              <w:wordWrap w:val="0"/>
              <w:overflowPunct/>
              <w:topLinePunct w:val="0"/>
              <w:autoSpaceDE/>
              <w:autoSpaceDN/>
              <w:bidi w:val="0"/>
              <w:adjustRightInd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投标语言</w:t>
            </w:r>
          </w:p>
        </w:tc>
        <w:tc>
          <w:tcPr>
            <w:tcW w:w="7776" w:type="dxa"/>
            <w:tcBorders>
              <w:top w:val="single" w:color="auto" w:sz="4" w:space="0"/>
              <w:left w:val="single" w:color="auto" w:sz="4" w:space="0"/>
              <w:right w:val="single" w:color="auto" w:sz="12" w:space="0"/>
            </w:tcBorders>
            <w:vAlign w:val="center"/>
          </w:tcPr>
          <w:p w14:paraId="100EB480">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中文</w:t>
            </w:r>
          </w:p>
        </w:tc>
      </w:tr>
      <w:tr w14:paraId="6C558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tcBorders>
              <w:top w:val="single" w:color="auto" w:sz="4" w:space="0"/>
              <w:left w:val="single" w:color="auto" w:sz="12" w:space="0"/>
              <w:right w:val="single" w:color="auto" w:sz="4" w:space="0"/>
            </w:tcBorders>
            <w:vAlign w:val="center"/>
          </w:tcPr>
          <w:p w14:paraId="3C98430A">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3D3AEAC4">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color w:val="auto"/>
                <w:sz w:val="22"/>
                <w:szCs w:val="22"/>
                <w:highlight w:val="none"/>
              </w:rPr>
            </w:pPr>
            <w:r>
              <w:rPr>
                <w:rFonts w:hint="eastAsia" w:ascii="宋体" w:eastAsia="宋体"/>
                <w:color w:val="auto"/>
                <w:sz w:val="22"/>
                <w:szCs w:val="22"/>
                <w:highlight w:val="none"/>
              </w:rPr>
              <w:t>磋商响应文件的形式</w:t>
            </w:r>
          </w:p>
        </w:tc>
        <w:tc>
          <w:tcPr>
            <w:tcW w:w="7776" w:type="dxa"/>
            <w:tcBorders>
              <w:top w:val="single" w:color="auto" w:sz="4" w:space="0"/>
              <w:left w:val="single" w:color="auto" w:sz="4" w:space="0"/>
              <w:right w:val="single" w:color="auto" w:sz="12" w:space="0"/>
            </w:tcBorders>
            <w:vAlign w:val="center"/>
          </w:tcPr>
          <w:p w14:paraId="7EB6B3B6">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rPr>
              <w:t>投标供应商应准备电子磋商响应文件；</w:t>
            </w:r>
          </w:p>
          <w:p w14:paraId="68BCE387">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rPr>
              <w:t>电子磋商响应文件是指通过“政采云电子交易客户端”完成磋商响应文件编制后生成并加密的数据电文形式的电子加密磋商响应文件。</w:t>
            </w:r>
          </w:p>
        </w:tc>
      </w:tr>
      <w:tr w14:paraId="5B2998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tcBorders>
              <w:top w:val="single" w:color="auto" w:sz="4" w:space="0"/>
              <w:left w:val="single" w:color="auto" w:sz="12" w:space="0"/>
              <w:right w:val="single" w:color="auto" w:sz="4" w:space="0"/>
            </w:tcBorders>
            <w:vAlign w:val="center"/>
          </w:tcPr>
          <w:p w14:paraId="1FFE16BB">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4E50C1CA">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color w:val="auto"/>
                <w:sz w:val="22"/>
                <w:szCs w:val="22"/>
                <w:highlight w:val="none"/>
              </w:rPr>
            </w:pPr>
            <w:r>
              <w:rPr>
                <w:rFonts w:hint="eastAsia" w:ascii="宋体" w:eastAsia="宋体"/>
                <w:color w:val="auto"/>
                <w:sz w:val="22"/>
                <w:szCs w:val="22"/>
                <w:highlight w:val="none"/>
              </w:rPr>
              <w:t>磋商响应文件的编制</w:t>
            </w:r>
          </w:p>
        </w:tc>
        <w:tc>
          <w:tcPr>
            <w:tcW w:w="7776" w:type="dxa"/>
            <w:tcBorders>
              <w:top w:val="single" w:color="auto" w:sz="4" w:space="0"/>
              <w:left w:val="single" w:color="auto" w:sz="4" w:space="0"/>
              <w:right w:val="single" w:color="auto" w:sz="12" w:space="0"/>
            </w:tcBorders>
            <w:vAlign w:val="center"/>
          </w:tcPr>
          <w:p w14:paraId="78B52795">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rPr>
              <w:t>供应商应先安装“政采云电子交易客户端”，并按照本磋商文件和“政府采购云平台”的要求，通过“政采云电子交易客户端”编制并加密磋商响应文件。</w:t>
            </w:r>
          </w:p>
        </w:tc>
      </w:tr>
      <w:tr w14:paraId="00434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tcBorders>
              <w:top w:val="single" w:color="auto" w:sz="4" w:space="0"/>
              <w:left w:val="single" w:color="auto" w:sz="12" w:space="0"/>
              <w:right w:val="single" w:color="auto" w:sz="4" w:space="0"/>
            </w:tcBorders>
            <w:vAlign w:val="center"/>
          </w:tcPr>
          <w:p w14:paraId="551A9636">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4D5B2ECA">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color w:val="auto"/>
                <w:sz w:val="22"/>
                <w:szCs w:val="22"/>
                <w:highlight w:val="none"/>
              </w:rPr>
            </w:pPr>
            <w:r>
              <w:rPr>
                <w:rFonts w:hint="eastAsia" w:ascii="宋体" w:eastAsia="宋体"/>
                <w:color w:val="auto"/>
                <w:sz w:val="22"/>
                <w:szCs w:val="22"/>
                <w:highlight w:val="none"/>
              </w:rPr>
              <w:t>磋商响应文件份数</w:t>
            </w:r>
          </w:p>
        </w:tc>
        <w:tc>
          <w:tcPr>
            <w:tcW w:w="7776" w:type="dxa"/>
            <w:tcBorders>
              <w:top w:val="single" w:color="auto" w:sz="4" w:space="0"/>
              <w:left w:val="single" w:color="auto" w:sz="4" w:space="0"/>
              <w:right w:val="single" w:color="auto" w:sz="12" w:space="0"/>
            </w:tcBorders>
            <w:vAlign w:val="center"/>
          </w:tcPr>
          <w:p w14:paraId="2132C9E1">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rPr>
              <w:t>“电子加密磋商响应文件”：在线上传递交，一份。</w:t>
            </w:r>
          </w:p>
        </w:tc>
      </w:tr>
      <w:tr w14:paraId="349CF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tcBorders>
              <w:top w:val="single" w:color="auto" w:sz="4" w:space="0"/>
              <w:left w:val="single" w:color="auto" w:sz="12" w:space="0"/>
              <w:right w:val="single" w:color="auto" w:sz="4" w:space="0"/>
            </w:tcBorders>
            <w:vAlign w:val="center"/>
          </w:tcPr>
          <w:p w14:paraId="35139976">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5612CE7F">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color w:val="auto"/>
                <w:sz w:val="22"/>
                <w:szCs w:val="22"/>
                <w:highlight w:val="none"/>
              </w:rPr>
            </w:pPr>
            <w:r>
              <w:rPr>
                <w:rFonts w:hint="eastAsia" w:ascii="宋体" w:eastAsia="宋体"/>
                <w:color w:val="auto"/>
                <w:sz w:val="22"/>
                <w:szCs w:val="22"/>
                <w:highlight w:val="none"/>
              </w:rPr>
              <w:t>投标有效期</w:t>
            </w:r>
          </w:p>
        </w:tc>
        <w:tc>
          <w:tcPr>
            <w:tcW w:w="7776" w:type="dxa"/>
            <w:tcBorders>
              <w:top w:val="single" w:color="auto" w:sz="4" w:space="0"/>
              <w:left w:val="single" w:color="auto" w:sz="4" w:space="0"/>
              <w:right w:val="single" w:color="auto" w:sz="12" w:space="0"/>
            </w:tcBorders>
            <w:vAlign w:val="center"/>
          </w:tcPr>
          <w:p w14:paraId="39F3042F">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rPr>
              <w:t>提交磋商响应文件截止时间起90天内。</w:t>
            </w:r>
          </w:p>
        </w:tc>
      </w:tr>
      <w:tr w14:paraId="45937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tcBorders>
              <w:top w:val="single" w:color="auto" w:sz="4" w:space="0"/>
              <w:left w:val="single" w:color="auto" w:sz="12" w:space="0"/>
              <w:right w:val="single" w:color="auto" w:sz="4" w:space="0"/>
            </w:tcBorders>
            <w:vAlign w:val="center"/>
          </w:tcPr>
          <w:p w14:paraId="35E08060">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4C98EFE2">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color w:val="auto"/>
                <w:sz w:val="22"/>
                <w:szCs w:val="22"/>
                <w:highlight w:val="none"/>
              </w:rPr>
            </w:pPr>
            <w:r>
              <w:rPr>
                <w:rFonts w:hint="eastAsia" w:ascii="宋体" w:eastAsia="宋体"/>
                <w:color w:val="auto"/>
                <w:sz w:val="22"/>
                <w:szCs w:val="22"/>
                <w:highlight w:val="none"/>
              </w:rPr>
              <w:t>磋商响应文件的签章</w:t>
            </w:r>
          </w:p>
        </w:tc>
        <w:tc>
          <w:tcPr>
            <w:tcW w:w="7776" w:type="dxa"/>
            <w:tcBorders>
              <w:top w:val="single" w:color="auto" w:sz="4" w:space="0"/>
              <w:left w:val="single" w:color="auto" w:sz="4" w:space="0"/>
              <w:right w:val="single" w:color="auto" w:sz="12" w:space="0"/>
            </w:tcBorders>
            <w:vAlign w:val="center"/>
          </w:tcPr>
          <w:p w14:paraId="7FD3EAB7">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rPr>
              <w:t>磋商响应文件中所涉及的公章均采用CA电子签章。</w:t>
            </w:r>
          </w:p>
        </w:tc>
      </w:tr>
      <w:tr w14:paraId="2B407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tcBorders>
              <w:top w:val="single" w:color="auto" w:sz="4" w:space="0"/>
              <w:left w:val="single" w:color="auto" w:sz="12" w:space="0"/>
              <w:right w:val="single" w:color="auto" w:sz="4" w:space="0"/>
            </w:tcBorders>
            <w:vAlign w:val="center"/>
          </w:tcPr>
          <w:p w14:paraId="734F9308">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2934A190">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投标样品</w:t>
            </w:r>
          </w:p>
        </w:tc>
        <w:tc>
          <w:tcPr>
            <w:tcW w:w="7776" w:type="dxa"/>
            <w:tcBorders>
              <w:top w:val="single" w:color="auto" w:sz="4" w:space="0"/>
              <w:left w:val="single" w:color="auto" w:sz="4" w:space="0"/>
              <w:right w:val="single" w:color="auto" w:sz="12" w:space="0"/>
            </w:tcBorders>
            <w:vAlign w:val="center"/>
          </w:tcPr>
          <w:p w14:paraId="4EA965D0">
            <w:pPr>
              <w:keepNext w:val="0"/>
              <w:keepLines w:val="0"/>
              <w:pageBreakBefore w:val="0"/>
              <w:widowControl w:val="0"/>
              <w:kinsoku/>
              <w:wordWrap w:val="0"/>
              <w:overflowPunct/>
              <w:topLinePunct w:val="0"/>
              <w:autoSpaceDE/>
              <w:autoSpaceDN/>
              <w:bidi w:val="0"/>
              <w:snapToGrid/>
              <w:spacing w:line="324" w:lineRule="auto"/>
              <w:jc w:val="left"/>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☑不需要</w:t>
            </w:r>
          </w:p>
          <w:p w14:paraId="5F3F3F8A">
            <w:pPr>
              <w:keepNext w:val="0"/>
              <w:keepLines w:val="0"/>
              <w:pageBreakBefore w:val="0"/>
              <w:widowControl w:val="0"/>
              <w:kinsoku/>
              <w:wordWrap w:val="0"/>
              <w:overflowPunct/>
              <w:topLinePunct w:val="0"/>
              <w:autoSpaceDE/>
              <w:autoSpaceDN/>
              <w:bidi w:val="0"/>
              <w:snapToGrid/>
              <w:spacing w:line="324" w:lineRule="auto"/>
              <w:jc w:val="left"/>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□需要</w:t>
            </w:r>
          </w:p>
        </w:tc>
      </w:tr>
      <w:tr w14:paraId="4B887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80" w:hRule="atLeast"/>
          <w:jc w:val="center"/>
        </w:trPr>
        <w:tc>
          <w:tcPr>
            <w:tcW w:w="842" w:type="dxa"/>
            <w:tcBorders>
              <w:top w:val="single" w:color="auto" w:sz="4" w:space="0"/>
              <w:left w:val="single" w:color="auto" w:sz="12" w:space="0"/>
              <w:right w:val="single" w:color="auto" w:sz="4" w:space="0"/>
            </w:tcBorders>
            <w:vAlign w:val="center"/>
          </w:tcPr>
          <w:p w14:paraId="1AA73063">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05BA07B3">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保证金</w:t>
            </w:r>
          </w:p>
        </w:tc>
        <w:tc>
          <w:tcPr>
            <w:tcW w:w="7776" w:type="dxa"/>
            <w:tcBorders>
              <w:top w:val="single" w:color="auto" w:sz="4" w:space="0"/>
              <w:left w:val="single" w:color="auto" w:sz="4" w:space="0"/>
              <w:right w:val="single" w:color="auto" w:sz="12" w:space="0"/>
            </w:tcBorders>
            <w:vAlign w:val="center"/>
          </w:tcPr>
          <w:p w14:paraId="5CAEFB40">
            <w:pPr>
              <w:keepNext w:val="0"/>
              <w:keepLines w:val="0"/>
              <w:pageBreakBefore w:val="0"/>
              <w:widowControl w:val="0"/>
              <w:kinsoku/>
              <w:wordWrap w:val="0"/>
              <w:overflowPunct/>
              <w:topLinePunct w:val="0"/>
              <w:autoSpaceDE/>
              <w:autoSpaceDN/>
              <w:bidi w:val="0"/>
              <w:snapToGrid/>
              <w:spacing w:line="324" w:lineRule="auto"/>
              <w:jc w:val="left"/>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无</w:t>
            </w:r>
          </w:p>
        </w:tc>
      </w:tr>
      <w:tr w14:paraId="44668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2" w:hRule="atLeast"/>
          <w:jc w:val="center"/>
        </w:trPr>
        <w:tc>
          <w:tcPr>
            <w:tcW w:w="842" w:type="dxa"/>
            <w:tcBorders>
              <w:top w:val="single" w:color="auto" w:sz="4" w:space="0"/>
              <w:left w:val="single" w:color="auto" w:sz="12" w:space="0"/>
              <w:right w:val="single" w:color="auto" w:sz="4" w:space="0"/>
            </w:tcBorders>
            <w:vAlign w:val="center"/>
          </w:tcPr>
          <w:p w14:paraId="37EABDDF">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39B170AC">
            <w:pPr>
              <w:keepNext w:val="0"/>
              <w:keepLines w:val="0"/>
              <w:pageBreakBefore w:val="0"/>
              <w:widowControl w:val="0"/>
              <w:kinsoku/>
              <w:wordWrap w:val="0"/>
              <w:overflowPunct/>
              <w:topLinePunct w:val="0"/>
              <w:autoSpaceDE/>
              <w:autoSpaceDN/>
              <w:bidi w:val="0"/>
              <w:adjustRightInd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履约担保</w:t>
            </w:r>
          </w:p>
        </w:tc>
        <w:tc>
          <w:tcPr>
            <w:tcW w:w="7776" w:type="dxa"/>
            <w:tcBorders>
              <w:top w:val="single" w:color="auto" w:sz="4" w:space="0"/>
              <w:left w:val="single" w:color="auto" w:sz="4" w:space="0"/>
              <w:right w:val="single" w:color="auto" w:sz="12" w:space="0"/>
            </w:tcBorders>
            <w:vAlign w:val="center"/>
          </w:tcPr>
          <w:p w14:paraId="644BF610">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不需要</w:t>
            </w:r>
          </w:p>
          <w:p w14:paraId="00374B3A">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需要：合同签订前成交供应商应提供</w:t>
            </w: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rPr>
              <w:t>%的履约保证金至采购人指定账户。</w:t>
            </w:r>
            <w:r>
              <w:rPr>
                <w:rFonts w:hint="eastAsia" w:ascii="宋体" w:eastAsia="宋体"/>
                <w:color w:val="auto"/>
                <w:sz w:val="22"/>
                <w:szCs w:val="22"/>
                <w:highlight w:val="none"/>
              </w:rPr>
              <w:t>履约保证金可采用☑银行转账  ☑银行保函  ☑保险凭证等。</w:t>
            </w:r>
          </w:p>
        </w:tc>
      </w:tr>
      <w:tr w14:paraId="28794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tcBorders>
              <w:top w:val="single" w:color="auto" w:sz="4" w:space="0"/>
              <w:left w:val="single" w:color="auto" w:sz="12" w:space="0"/>
              <w:right w:val="single" w:color="auto" w:sz="4" w:space="0"/>
            </w:tcBorders>
            <w:vAlign w:val="center"/>
          </w:tcPr>
          <w:p w14:paraId="297B725C">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473B6717">
            <w:pPr>
              <w:keepNext w:val="0"/>
              <w:keepLines w:val="0"/>
              <w:pageBreakBefore w:val="0"/>
              <w:widowControl w:val="0"/>
              <w:kinsoku/>
              <w:wordWrap w:val="0"/>
              <w:overflowPunct/>
              <w:topLinePunct w:val="0"/>
              <w:autoSpaceDE/>
              <w:autoSpaceDN/>
              <w:bidi w:val="0"/>
              <w:adjustRightInd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竞争性磋商文件获取方式</w:t>
            </w:r>
          </w:p>
        </w:tc>
        <w:tc>
          <w:tcPr>
            <w:tcW w:w="7776" w:type="dxa"/>
            <w:tcBorders>
              <w:top w:val="single" w:color="auto" w:sz="4" w:space="0"/>
              <w:left w:val="single" w:color="auto" w:sz="4" w:space="0"/>
              <w:right w:val="single" w:color="auto" w:sz="12" w:space="0"/>
            </w:tcBorders>
            <w:vAlign w:val="center"/>
          </w:tcPr>
          <w:p w14:paraId="4871C1C0">
            <w:pPr>
              <w:keepNext w:val="0"/>
              <w:keepLines w:val="0"/>
              <w:pageBreakBefore w:val="0"/>
              <w:widowControl w:val="0"/>
              <w:kinsoku/>
              <w:wordWrap w:val="0"/>
              <w:overflowPunct/>
              <w:topLinePunct w:val="0"/>
              <w:autoSpaceDE/>
              <w:autoSpaceDN/>
              <w:bidi w:val="0"/>
              <w:adjustRightInd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见公告具体说明。</w:t>
            </w:r>
          </w:p>
        </w:tc>
      </w:tr>
      <w:tr w14:paraId="14823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42" w:type="dxa"/>
            <w:tcBorders>
              <w:top w:val="single" w:color="auto" w:sz="4" w:space="0"/>
              <w:left w:val="single" w:color="auto" w:sz="12" w:space="0"/>
              <w:right w:val="single" w:color="auto" w:sz="4" w:space="0"/>
            </w:tcBorders>
            <w:vAlign w:val="center"/>
          </w:tcPr>
          <w:p w14:paraId="62971CD5">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1725A99E">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color w:val="auto"/>
                <w:sz w:val="22"/>
                <w:szCs w:val="22"/>
                <w:highlight w:val="none"/>
              </w:rPr>
            </w:pPr>
            <w:r>
              <w:rPr>
                <w:rFonts w:hint="eastAsia" w:ascii="宋体" w:eastAsia="宋体"/>
                <w:color w:val="auto"/>
                <w:sz w:val="22"/>
                <w:szCs w:val="22"/>
                <w:highlight w:val="none"/>
              </w:rPr>
              <w:t>响应文件递交截止时间</w:t>
            </w:r>
          </w:p>
          <w:p w14:paraId="059D8C31">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color w:val="auto"/>
                <w:sz w:val="22"/>
                <w:szCs w:val="22"/>
                <w:highlight w:val="none"/>
              </w:rPr>
            </w:pPr>
            <w:r>
              <w:rPr>
                <w:rFonts w:hint="eastAsia" w:ascii="宋体" w:eastAsia="宋体"/>
                <w:color w:val="auto"/>
                <w:sz w:val="22"/>
                <w:szCs w:val="22"/>
                <w:highlight w:val="none"/>
              </w:rPr>
              <w:t>投标地点</w:t>
            </w:r>
          </w:p>
        </w:tc>
        <w:tc>
          <w:tcPr>
            <w:tcW w:w="7776" w:type="dxa"/>
            <w:tcBorders>
              <w:top w:val="single" w:color="auto" w:sz="4" w:space="0"/>
              <w:left w:val="single" w:color="auto" w:sz="4" w:space="0"/>
              <w:right w:val="single" w:color="auto" w:sz="12" w:space="0"/>
            </w:tcBorders>
            <w:vAlign w:val="center"/>
          </w:tcPr>
          <w:p w14:paraId="15788891">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lang w:eastAsia="zh-CN"/>
              </w:rPr>
              <w:t>2025年07月08日</w:t>
            </w:r>
            <w:r>
              <w:rPr>
                <w:rFonts w:hint="eastAsia" w:ascii="宋体" w:eastAsia="宋体"/>
                <w:color w:val="auto"/>
                <w:sz w:val="22"/>
                <w:szCs w:val="22"/>
                <w:highlight w:val="none"/>
              </w:rPr>
              <w:t>上午</w:t>
            </w:r>
            <w:r>
              <w:rPr>
                <w:rFonts w:hint="eastAsia" w:ascii="宋体" w:eastAsia="宋体"/>
                <w:color w:val="auto"/>
                <w:sz w:val="22"/>
                <w:szCs w:val="22"/>
                <w:highlight w:val="none"/>
                <w:lang w:eastAsia="zh-CN"/>
              </w:rPr>
              <w:t>09:30</w:t>
            </w:r>
            <w:r>
              <w:rPr>
                <w:rFonts w:hint="eastAsia" w:ascii="宋体" w:eastAsia="宋体"/>
                <w:color w:val="auto"/>
                <w:sz w:val="22"/>
                <w:szCs w:val="22"/>
                <w:highlight w:val="none"/>
              </w:rPr>
              <w:t>截止</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北京时间</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w:t>
            </w:r>
          </w:p>
          <w:p w14:paraId="0E31F793">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rPr>
              <w:t>投标地点：</w:t>
            </w:r>
            <w:r>
              <w:rPr>
                <w:rFonts w:hint="eastAsia" w:ascii="宋体" w:eastAsia="宋体"/>
                <w:color w:val="auto"/>
                <w:sz w:val="22"/>
                <w:szCs w:val="22"/>
                <w:highlight w:val="none"/>
                <w:lang w:eastAsia="zh-CN"/>
              </w:rPr>
              <w:t>文成县大峃镇花园公寓1幢503室</w:t>
            </w:r>
            <w:r>
              <w:rPr>
                <w:rFonts w:hint="eastAsia" w:ascii="宋体" w:eastAsia="宋体"/>
                <w:color w:val="auto"/>
                <w:sz w:val="22"/>
                <w:szCs w:val="22"/>
                <w:highlight w:val="none"/>
              </w:rPr>
              <w:t>（本项目采用在线投标方式，投标供应商无须前往投标现场）</w:t>
            </w:r>
          </w:p>
        </w:tc>
      </w:tr>
      <w:tr w14:paraId="6D5BC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tcBorders>
              <w:top w:val="single" w:color="auto" w:sz="4" w:space="0"/>
              <w:left w:val="single" w:color="auto" w:sz="12" w:space="0"/>
              <w:right w:val="single" w:color="auto" w:sz="4" w:space="0"/>
            </w:tcBorders>
            <w:vAlign w:val="center"/>
          </w:tcPr>
          <w:p w14:paraId="646A9A7D">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42105EE6">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color w:val="auto"/>
                <w:sz w:val="22"/>
                <w:szCs w:val="22"/>
                <w:highlight w:val="none"/>
              </w:rPr>
            </w:pPr>
            <w:r>
              <w:rPr>
                <w:rFonts w:hint="eastAsia" w:ascii="宋体" w:eastAsia="宋体"/>
                <w:color w:val="auto"/>
                <w:sz w:val="22"/>
                <w:szCs w:val="22"/>
                <w:highlight w:val="none"/>
              </w:rPr>
              <w:t>磋商开始时间</w:t>
            </w:r>
          </w:p>
          <w:p w14:paraId="75159704">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color w:val="auto"/>
                <w:sz w:val="22"/>
                <w:szCs w:val="22"/>
                <w:highlight w:val="none"/>
              </w:rPr>
            </w:pPr>
            <w:r>
              <w:rPr>
                <w:rFonts w:hint="eastAsia" w:ascii="宋体" w:eastAsia="宋体"/>
                <w:color w:val="auto"/>
                <w:sz w:val="22"/>
                <w:szCs w:val="22"/>
                <w:highlight w:val="none"/>
              </w:rPr>
              <w:t>磋商地点</w:t>
            </w:r>
          </w:p>
        </w:tc>
        <w:tc>
          <w:tcPr>
            <w:tcW w:w="7776" w:type="dxa"/>
            <w:tcBorders>
              <w:top w:val="single" w:color="auto" w:sz="4" w:space="0"/>
              <w:left w:val="single" w:color="auto" w:sz="4" w:space="0"/>
              <w:right w:val="single" w:color="auto" w:sz="12" w:space="0"/>
            </w:tcBorders>
            <w:vAlign w:val="center"/>
          </w:tcPr>
          <w:p w14:paraId="199529C0">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rPr>
              <w:t>磋商开始时间：</w:t>
            </w:r>
            <w:r>
              <w:rPr>
                <w:rFonts w:hint="eastAsia" w:ascii="宋体" w:eastAsia="宋体"/>
                <w:color w:val="auto"/>
                <w:sz w:val="22"/>
                <w:szCs w:val="22"/>
                <w:highlight w:val="none"/>
                <w:lang w:eastAsia="zh-CN"/>
              </w:rPr>
              <w:t>2025年07月08日</w:t>
            </w:r>
            <w:r>
              <w:rPr>
                <w:rFonts w:hint="eastAsia" w:ascii="宋体" w:eastAsia="宋体"/>
                <w:color w:val="auto"/>
                <w:sz w:val="22"/>
                <w:szCs w:val="22"/>
                <w:highlight w:val="none"/>
              </w:rPr>
              <w:t>上午</w:t>
            </w:r>
            <w:r>
              <w:rPr>
                <w:rFonts w:hint="eastAsia" w:ascii="宋体" w:eastAsia="宋体"/>
                <w:color w:val="auto"/>
                <w:sz w:val="22"/>
                <w:szCs w:val="22"/>
                <w:highlight w:val="none"/>
                <w:lang w:eastAsia="zh-CN"/>
              </w:rPr>
              <w:t>09:30（</w:t>
            </w:r>
            <w:r>
              <w:rPr>
                <w:rFonts w:hint="eastAsia" w:ascii="宋体" w:eastAsia="宋体"/>
                <w:color w:val="auto"/>
                <w:sz w:val="22"/>
                <w:szCs w:val="22"/>
                <w:highlight w:val="none"/>
              </w:rPr>
              <w:t>北京时间</w:t>
            </w:r>
            <w:r>
              <w:rPr>
                <w:rFonts w:hint="eastAsia" w:ascii="宋体" w:eastAsia="宋体"/>
                <w:color w:val="auto"/>
                <w:sz w:val="22"/>
                <w:szCs w:val="22"/>
                <w:highlight w:val="none"/>
                <w:lang w:eastAsia="zh-CN"/>
              </w:rPr>
              <w:t>）</w:t>
            </w:r>
          </w:p>
          <w:p w14:paraId="13EE22F2">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lang w:eastAsia="zh-CN"/>
              </w:rPr>
            </w:pPr>
            <w:r>
              <w:rPr>
                <w:rFonts w:hint="eastAsia" w:ascii="宋体" w:eastAsia="宋体"/>
                <w:color w:val="auto"/>
                <w:sz w:val="22"/>
                <w:szCs w:val="22"/>
                <w:highlight w:val="none"/>
              </w:rPr>
              <w:t>磋商地点：</w:t>
            </w:r>
            <w:r>
              <w:rPr>
                <w:rFonts w:hint="eastAsia" w:ascii="宋体" w:eastAsia="宋体"/>
                <w:color w:val="auto"/>
                <w:sz w:val="22"/>
                <w:szCs w:val="22"/>
                <w:highlight w:val="none"/>
                <w:lang w:eastAsia="zh-CN"/>
              </w:rPr>
              <w:t>文成县大峃镇花园公寓1幢503室</w:t>
            </w:r>
          </w:p>
        </w:tc>
      </w:tr>
      <w:tr w14:paraId="1D2BC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tcBorders>
              <w:top w:val="single" w:color="auto" w:sz="4" w:space="0"/>
              <w:left w:val="single" w:color="auto" w:sz="12" w:space="0"/>
              <w:right w:val="single" w:color="auto" w:sz="4" w:space="0"/>
            </w:tcBorders>
            <w:vAlign w:val="center"/>
          </w:tcPr>
          <w:p w14:paraId="333F3C03">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1ED3874D">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color w:val="auto"/>
                <w:sz w:val="22"/>
                <w:szCs w:val="22"/>
                <w:highlight w:val="none"/>
              </w:rPr>
            </w:pPr>
            <w:r>
              <w:rPr>
                <w:rFonts w:hint="eastAsia" w:ascii="宋体" w:eastAsia="宋体"/>
                <w:color w:val="auto"/>
                <w:sz w:val="22"/>
                <w:szCs w:val="22"/>
                <w:highlight w:val="none"/>
              </w:rPr>
              <w:t>磋商响应文件上传和递交</w:t>
            </w:r>
          </w:p>
        </w:tc>
        <w:tc>
          <w:tcPr>
            <w:tcW w:w="7776" w:type="dxa"/>
            <w:tcBorders>
              <w:top w:val="single" w:color="auto" w:sz="4" w:space="0"/>
              <w:left w:val="single" w:color="auto" w:sz="4" w:space="0"/>
              <w:right w:val="single" w:color="auto" w:sz="12" w:space="0"/>
            </w:tcBorders>
            <w:vAlign w:val="center"/>
          </w:tcPr>
          <w:p w14:paraId="14EC9DE5">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rPr>
              <w:t>本项目通过“政府采购云平台（www.zcygov.cn）”实行在线投标响应（电子投标），投标供应商应当在响应文件递交截止时间前，将生成的“电子加密磋商响应文件”上传递交至“政府采购云平台”。</w:t>
            </w:r>
          </w:p>
          <w:p w14:paraId="01328F16">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rPr>
              <w:t>“电子加密磋商响应文件”的上传、递交：</w:t>
            </w:r>
          </w:p>
          <w:p w14:paraId="7AEA0618">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rPr>
              <w:t>a.投标供应商应在响应文件递交截止时间前将“电子加密磋商响应文件”成功上传递交至“政府采购云平台”，否则投标无效。</w:t>
            </w:r>
          </w:p>
          <w:p w14:paraId="2D68216B">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rPr>
              <w:t>b.“电子加密磋商响应文件”成功上传递交后，供应商可自行打印磋商响应文件接收回执。</w:t>
            </w:r>
          </w:p>
        </w:tc>
      </w:tr>
      <w:tr w14:paraId="27CDA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tcBorders>
              <w:top w:val="single" w:color="auto" w:sz="4" w:space="0"/>
              <w:left w:val="single" w:color="auto" w:sz="12" w:space="0"/>
              <w:right w:val="single" w:color="auto" w:sz="4" w:space="0"/>
            </w:tcBorders>
            <w:vAlign w:val="center"/>
          </w:tcPr>
          <w:p w14:paraId="00365DB9">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17AB12E7">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color w:val="auto"/>
                <w:sz w:val="22"/>
                <w:szCs w:val="22"/>
                <w:highlight w:val="none"/>
              </w:rPr>
            </w:pPr>
            <w:r>
              <w:rPr>
                <w:rFonts w:hint="eastAsia" w:ascii="宋体" w:eastAsia="宋体"/>
                <w:color w:val="auto"/>
                <w:sz w:val="22"/>
                <w:szCs w:val="22"/>
                <w:highlight w:val="none"/>
              </w:rPr>
              <w:t>电子加密磋商响应文件的解密和异常情况处理</w:t>
            </w:r>
          </w:p>
        </w:tc>
        <w:tc>
          <w:tcPr>
            <w:tcW w:w="7776" w:type="dxa"/>
            <w:tcBorders>
              <w:top w:val="single" w:color="auto" w:sz="4" w:space="0"/>
              <w:left w:val="single" w:color="auto" w:sz="4" w:space="0"/>
              <w:right w:val="single" w:color="auto" w:sz="12" w:space="0"/>
            </w:tcBorders>
            <w:vAlign w:val="center"/>
          </w:tcPr>
          <w:p w14:paraId="07EA5399">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rPr>
              <w:t>1、开标后，采购组织机构将向各投标供应商发出“电子加密磋商响应文件”的解密通知，各投标供应商代表应当在接到解密通知后30分钟内自行完成“电子加密磋商响应文件”的在线解密。</w:t>
            </w:r>
          </w:p>
          <w:p w14:paraId="71E4289F">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rPr>
              <w:t>2、通过“政府采购云平台”成功上传递交的“电子加密磋商响应文件”无法按时解密的，其磋商响应文件按拒收处理。</w:t>
            </w:r>
          </w:p>
        </w:tc>
      </w:tr>
      <w:tr w14:paraId="1AE195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2" w:type="dxa"/>
            <w:tcBorders>
              <w:top w:val="single" w:color="auto" w:sz="4" w:space="0"/>
              <w:left w:val="single" w:color="auto" w:sz="12" w:space="0"/>
              <w:right w:val="single" w:color="auto" w:sz="4" w:space="0"/>
            </w:tcBorders>
            <w:vAlign w:val="center"/>
          </w:tcPr>
          <w:p w14:paraId="3A707097">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6181A652">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磋商小组的组建</w:t>
            </w:r>
          </w:p>
        </w:tc>
        <w:tc>
          <w:tcPr>
            <w:tcW w:w="7776" w:type="dxa"/>
            <w:tcBorders>
              <w:top w:val="single" w:color="auto" w:sz="4" w:space="0"/>
              <w:left w:val="single" w:color="auto" w:sz="4" w:space="0"/>
              <w:right w:val="single" w:color="auto" w:sz="12" w:space="0"/>
            </w:tcBorders>
            <w:vAlign w:val="center"/>
          </w:tcPr>
          <w:p w14:paraId="77127C31">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磋商小组构成：由采购人代表以及有关技术、经济等方面的专家组成，成员为3人及以上单数，其中技术、经济类专家不得少于总人数的2/3；评标专家确定方式：按相关规定从专家库中抽取。</w:t>
            </w:r>
          </w:p>
        </w:tc>
      </w:tr>
      <w:tr w14:paraId="13E543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42" w:type="dxa"/>
            <w:tcBorders>
              <w:top w:val="single" w:color="auto" w:sz="4" w:space="0"/>
              <w:left w:val="single" w:color="auto" w:sz="12" w:space="0"/>
              <w:right w:val="single" w:color="auto" w:sz="4" w:space="0"/>
            </w:tcBorders>
            <w:vAlign w:val="center"/>
          </w:tcPr>
          <w:p w14:paraId="5F54839D">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66D47F69">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政府采购</w:t>
            </w:r>
          </w:p>
          <w:p w14:paraId="51B12D19">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扶持政策</w:t>
            </w:r>
          </w:p>
        </w:tc>
        <w:tc>
          <w:tcPr>
            <w:tcW w:w="7776" w:type="dxa"/>
            <w:tcBorders>
              <w:top w:val="single" w:color="auto" w:sz="4" w:space="0"/>
              <w:left w:val="single" w:color="auto" w:sz="4" w:space="0"/>
              <w:right w:val="single" w:color="auto" w:sz="12" w:space="0"/>
            </w:tcBorders>
            <w:vAlign w:val="center"/>
          </w:tcPr>
          <w:p w14:paraId="76F8B742">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对符合财政扶持政策的小微企业（或监狱企业或残疾人福利性单位）给予评标价格优惠。供应商企业属于以上多种性质的，不重复享受扶持政策。</w:t>
            </w:r>
          </w:p>
        </w:tc>
      </w:tr>
      <w:tr w14:paraId="78CF9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tcBorders>
              <w:top w:val="single" w:color="auto" w:sz="4" w:space="0"/>
              <w:left w:val="single" w:color="auto" w:sz="12" w:space="0"/>
              <w:right w:val="single" w:color="auto" w:sz="4" w:space="0"/>
            </w:tcBorders>
            <w:vAlign w:val="center"/>
          </w:tcPr>
          <w:p w14:paraId="2D5F20ED">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5ED1ED3A">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供应商信用</w:t>
            </w:r>
          </w:p>
          <w:p w14:paraId="5641A421">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查询</w:t>
            </w:r>
          </w:p>
        </w:tc>
        <w:tc>
          <w:tcPr>
            <w:tcW w:w="7776" w:type="dxa"/>
            <w:tcBorders>
              <w:top w:val="single" w:color="auto" w:sz="4" w:space="0"/>
              <w:left w:val="single" w:color="auto" w:sz="4" w:space="0"/>
              <w:right w:val="single" w:color="auto" w:sz="12" w:space="0"/>
            </w:tcBorders>
            <w:vAlign w:val="center"/>
          </w:tcPr>
          <w:p w14:paraId="29161A48">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1、投标供应商信用信息查询的查询渠道：“信用中国”</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lang w:eastAsia="zh-CN"/>
              </w:rPr>
              <w:fldChar w:fldCharType="begin"/>
            </w:r>
            <w:r>
              <w:rPr>
                <w:color w:val="auto"/>
              </w:rPr>
              <w:instrText xml:space="preserve">HYPERLINK "http://www.creditchina.gov.cn"</w:instrText>
            </w:r>
            <w:r>
              <w:rPr>
                <w:rFonts w:hint="eastAsia" w:ascii="宋体" w:eastAsia="宋体"/>
                <w:b w:val="0"/>
                <w:bCs w:val="0"/>
                <w:color w:val="auto"/>
                <w:sz w:val="22"/>
                <w:szCs w:val="22"/>
                <w:highlight w:val="none"/>
                <w:lang w:eastAsia="zh-CN"/>
              </w:rPr>
              <w:fldChar w:fldCharType="separate"/>
            </w:r>
            <w:r>
              <w:rPr>
                <w:rFonts w:hint="eastAsia" w:ascii="宋体" w:eastAsia="宋体"/>
                <w:b w:val="0"/>
                <w:bCs w:val="0"/>
                <w:color w:val="auto"/>
                <w:sz w:val="22"/>
                <w:szCs w:val="22"/>
                <w:highlight w:val="none"/>
                <w:lang w:eastAsia="zh-CN"/>
              </w:rPr>
              <w:t>https://www.creditchina.gov.cn/</w:t>
            </w:r>
            <w:r>
              <w:rPr>
                <w:rFonts w:hint="eastAsia" w:ascii="宋体" w:eastAsia="宋体"/>
                <w:b w:val="0"/>
                <w:bCs w:val="0"/>
                <w:color w:val="auto"/>
                <w:sz w:val="22"/>
                <w:szCs w:val="22"/>
                <w:highlight w:val="none"/>
                <w:lang w:eastAsia="zh-CN"/>
              </w:rPr>
              <w:fldChar w:fldCharType="end"/>
            </w:r>
            <w:r>
              <w:rPr>
                <w:rFonts w:hint="eastAsia" w:ascii="宋体" w:eastAsia="宋体"/>
                <w:b w:val="0"/>
                <w:bCs w:val="0"/>
                <w:color w:val="auto"/>
                <w:sz w:val="22"/>
                <w:szCs w:val="22"/>
                <w:highlight w:val="none"/>
              </w:rPr>
              <w:t>)；“中国政府采购网”（</w:t>
            </w:r>
            <w:r>
              <w:rPr>
                <w:rFonts w:hint="eastAsia" w:ascii="宋体" w:eastAsia="宋体"/>
                <w:b w:val="0"/>
                <w:bCs w:val="0"/>
                <w:color w:val="auto"/>
                <w:sz w:val="22"/>
                <w:szCs w:val="22"/>
                <w:highlight w:val="none"/>
                <w:lang w:eastAsia="zh-CN"/>
              </w:rPr>
              <w:t>http://www.ccgp.gov.cn/</w:t>
            </w:r>
            <w:r>
              <w:rPr>
                <w:rFonts w:hint="eastAsia" w:ascii="宋体" w:eastAsia="宋体"/>
                <w:b w:val="0"/>
                <w:bCs w:val="0"/>
                <w:color w:val="auto"/>
                <w:sz w:val="22"/>
                <w:szCs w:val="22"/>
                <w:highlight w:val="none"/>
              </w:rPr>
              <w:t>）信用记录网页截图（</w:t>
            </w:r>
            <w:r>
              <w:rPr>
                <w:rFonts w:hint="eastAsia" w:ascii="宋体" w:eastAsia="宋体"/>
                <w:b w:val="0"/>
                <w:bCs w:val="0"/>
                <w:color w:val="auto"/>
                <w:sz w:val="22"/>
                <w:szCs w:val="22"/>
                <w:highlight w:val="none"/>
                <w:lang w:eastAsia="zh-CN"/>
              </w:rPr>
              <w:t>采购</w:t>
            </w:r>
            <w:r>
              <w:rPr>
                <w:rFonts w:hint="eastAsia" w:ascii="宋体" w:eastAsia="宋体"/>
                <w:b w:val="0"/>
                <w:bCs w:val="0"/>
                <w:color w:val="auto"/>
                <w:sz w:val="22"/>
                <w:szCs w:val="22"/>
                <w:highlight w:val="none"/>
              </w:rPr>
              <w:t>公告发布之日至投标截止时间前均可）；</w:t>
            </w:r>
          </w:p>
          <w:p w14:paraId="30247805">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2、投标供应商信用信息查询截止时点：本项目投标截止时间。</w:t>
            </w:r>
          </w:p>
          <w:p w14:paraId="7D722197">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3、投标供应商信用信息查询记录和证据留存的具体方式：网页截图打印；</w:t>
            </w:r>
          </w:p>
          <w:p w14:paraId="082EF9ED">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4、信用信息的使用规则：对列入失信被执行人、重大税收违法案件当事人名单、政府采购严重违法失信行为记录名单及其他不符合《中华人民共和国政府采购法》第二十二条规定条件的供应商，其投标</w:t>
            </w:r>
            <w:r>
              <w:rPr>
                <w:rFonts w:hint="eastAsia" w:ascii="宋体" w:eastAsia="宋体"/>
                <w:b w:val="0"/>
                <w:bCs w:val="0"/>
                <w:color w:val="auto"/>
                <w:sz w:val="22"/>
                <w:szCs w:val="22"/>
                <w:highlight w:val="none"/>
                <w:lang w:eastAsia="zh-CN"/>
              </w:rPr>
              <w:t>作</w:t>
            </w:r>
            <w:r>
              <w:rPr>
                <w:rFonts w:hint="eastAsia" w:ascii="宋体" w:eastAsia="宋体"/>
                <w:b w:val="0"/>
                <w:bCs w:val="0"/>
                <w:color w:val="auto"/>
                <w:sz w:val="22"/>
                <w:szCs w:val="22"/>
                <w:highlight w:val="none"/>
              </w:rPr>
              <w:t>无效投标处理；</w:t>
            </w:r>
          </w:p>
        </w:tc>
      </w:tr>
      <w:tr w14:paraId="0BD60B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58" w:hRule="atLeast"/>
          <w:jc w:val="center"/>
        </w:trPr>
        <w:tc>
          <w:tcPr>
            <w:tcW w:w="842" w:type="dxa"/>
            <w:tcBorders>
              <w:top w:val="single" w:color="auto" w:sz="4" w:space="0"/>
              <w:left w:val="single" w:color="auto" w:sz="12" w:space="0"/>
              <w:right w:val="single" w:color="auto" w:sz="4" w:space="0"/>
            </w:tcBorders>
            <w:vAlign w:val="center"/>
          </w:tcPr>
          <w:p w14:paraId="571BC0FC">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2652E5CB">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合同备案</w:t>
            </w:r>
          </w:p>
        </w:tc>
        <w:tc>
          <w:tcPr>
            <w:tcW w:w="7776" w:type="dxa"/>
            <w:tcBorders>
              <w:top w:val="single" w:color="auto" w:sz="4" w:space="0"/>
              <w:left w:val="single" w:color="auto" w:sz="4" w:space="0"/>
              <w:right w:val="single" w:color="auto" w:sz="12" w:space="0"/>
            </w:tcBorders>
            <w:vAlign w:val="center"/>
          </w:tcPr>
          <w:p w14:paraId="58C35E35">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1、成交供应商须在成交通知书发出之日起30日历天内与采购人签订合同。</w:t>
            </w:r>
          </w:p>
          <w:p w14:paraId="12870F05">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2、成交供应商与采购人签订合同后，2日历天内将合同扫描件电子版发给浙江新点项目管理有限公司：邮箱：</w:t>
            </w:r>
            <w:r>
              <w:rPr>
                <w:rFonts w:hint="eastAsia" w:ascii="宋体" w:eastAsia="宋体"/>
                <w:b w:val="0"/>
                <w:bCs w:val="0"/>
                <w:color w:val="auto"/>
                <w:sz w:val="22"/>
                <w:szCs w:val="22"/>
                <w:highlight w:val="none"/>
                <w:u w:val="single"/>
              </w:rPr>
              <w:t>285210325@qq.com</w:t>
            </w:r>
            <w:r>
              <w:rPr>
                <w:rFonts w:hint="eastAsia" w:ascii="宋体" w:eastAsia="宋体"/>
                <w:b w:val="0"/>
                <w:bCs w:val="0"/>
                <w:color w:val="auto"/>
                <w:sz w:val="22"/>
                <w:szCs w:val="22"/>
                <w:highlight w:val="none"/>
              </w:rPr>
              <w:t>；</w:t>
            </w:r>
          </w:p>
          <w:p w14:paraId="301A0DCE">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3、本项目政府采购合同按规定在浙江政府采购网（http://www.zjzfcg.gov.cn/index/index.html）予以公告。</w:t>
            </w:r>
          </w:p>
        </w:tc>
      </w:tr>
      <w:tr w14:paraId="29D54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tcBorders>
              <w:top w:val="single" w:color="auto" w:sz="4" w:space="0"/>
              <w:left w:val="single" w:color="auto" w:sz="12" w:space="0"/>
              <w:right w:val="single" w:color="auto" w:sz="4" w:space="0"/>
            </w:tcBorders>
            <w:vAlign w:val="center"/>
          </w:tcPr>
          <w:p w14:paraId="620106DE">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0EC1355E">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合同履约管理</w:t>
            </w:r>
          </w:p>
        </w:tc>
        <w:tc>
          <w:tcPr>
            <w:tcW w:w="7776" w:type="dxa"/>
            <w:tcBorders>
              <w:top w:val="single" w:color="auto" w:sz="4" w:space="0"/>
              <w:left w:val="single" w:color="auto" w:sz="4" w:space="0"/>
              <w:right w:val="single" w:color="auto" w:sz="12" w:space="0"/>
            </w:tcBorders>
            <w:vAlign w:val="center"/>
          </w:tcPr>
          <w:p w14:paraId="125DE3C3">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合同签订后，采购人依法加强对合同履约进行管理，并在成交单位服务、项目验收等重要</w:t>
            </w:r>
            <w:r>
              <w:rPr>
                <w:rFonts w:hint="eastAsia" w:ascii="宋体" w:eastAsia="宋体"/>
                <w:b w:val="0"/>
                <w:bCs w:val="0"/>
                <w:color w:val="auto"/>
                <w:sz w:val="22"/>
                <w:szCs w:val="22"/>
                <w:highlight w:val="none"/>
                <w:lang w:eastAsia="zh-CN"/>
              </w:rPr>
              <w:t>环</w:t>
            </w:r>
            <w:r>
              <w:rPr>
                <w:rFonts w:hint="eastAsia" w:ascii="宋体" w:eastAsia="宋体"/>
                <w:b w:val="0"/>
                <w:bCs w:val="0"/>
                <w:color w:val="auto"/>
                <w:sz w:val="22"/>
                <w:szCs w:val="22"/>
                <w:highlight w:val="none"/>
              </w:rPr>
              <w:t>节，如实填写《合同验收报告》（或考核资料），并及时向同级财政部门报告验收过程中遇到的问题。</w:t>
            </w:r>
          </w:p>
        </w:tc>
      </w:tr>
      <w:tr w14:paraId="59411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tcBorders>
              <w:top w:val="single" w:color="auto" w:sz="4" w:space="0"/>
              <w:left w:val="single" w:color="auto" w:sz="12" w:space="0"/>
              <w:right w:val="single" w:color="auto" w:sz="4" w:space="0"/>
            </w:tcBorders>
            <w:vAlign w:val="center"/>
          </w:tcPr>
          <w:p w14:paraId="5BCB9B60">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2513E40F">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免则声明</w:t>
            </w:r>
          </w:p>
        </w:tc>
        <w:tc>
          <w:tcPr>
            <w:tcW w:w="7776" w:type="dxa"/>
            <w:tcBorders>
              <w:top w:val="single" w:color="auto" w:sz="4" w:space="0"/>
              <w:left w:val="single" w:color="auto" w:sz="4" w:space="0"/>
              <w:right w:val="single" w:color="auto" w:sz="12" w:space="0"/>
            </w:tcBorders>
            <w:vAlign w:val="center"/>
          </w:tcPr>
          <w:p w14:paraId="46CC26E4">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1、投标供应商自行承担投标过程中产生的费用。无论何种因素导致采购项目延期开标、废标（流标）、投标供应商未成交、项目终止采购的，采购人与代理机构均不承担供应商投标费用。</w:t>
            </w:r>
          </w:p>
          <w:p w14:paraId="4865E07A">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2、投标供应商在投标、合同履行过程中必须做好安全保障工作，不因项目实施而危及自身及第三方人员、财产安全。若发生任何安全事故，由成交供应商自行承担一切责任并赔偿损失。</w:t>
            </w:r>
          </w:p>
        </w:tc>
      </w:tr>
      <w:tr w14:paraId="5DE5A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tcBorders>
              <w:top w:val="single" w:color="auto" w:sz="4" w:space="0"/>
              <w:left w:val="single" w:color="auto" w:sz="12" w:space="0"/>
              <w:right w:val="single" w:color="auto" w:sz="4" w:space="0"/>
            </w:tcBorders>
            <w:vAlign w:val="center"/>
          </w:tcPr>
          <w:p w14:paraId="33BBD50A">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36FFED09">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竞争性磋商文件质疑截止时间</w:t>
            </w:r>
          </w:p>
        </w:tc>
        <w:tc>
          <w:tcPr>
            <w:tcW w:w="7776" w:type="dxa"/>
            <w:tcBorders>
              <w:top w:val="single" w:color="auto" w:sz="4" w:space="0"/>
              <w:left w:val="single" w:color="auto" w:sz="4" w:space="0"/>
              <w:right w:val="single" w:color="auto" w:sz="12" w:space="0"/>
            </w:tcBorders>
            <w:vAlign w:val="center"/>
          </w:tcPr>
          <w:p w14:paraId="77001703">
            <w:pPr>
              <w:keepNext w:val="0"/>
              <w:keepLines w:val="0"/>
              <w:pageBreakBefore w:val="0"/>
              <w:widowControl w:val="0"/>
              <w:kinsoku/>
              <w:wordWrap w:val="0"/>
              <w:overflowPunct/>
              <w:topLinePunct w:val="0"/>
              <w:autoSpaceDE/>
              <w:autoSpaceDN/>
              <w:bidi w:val="0"/>
              <w:snapToGrid/>
              <w:spacing w:line="324" w:lineRule="auto"/>
              <w:jc w:val="left"/>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公告期限届满之日七个工作日，必须以书面形式加盖公章传真至采购代理机构，逾期采购代理机构可不予受理及答复。</w:t>
            </w:r>
          </w:p>
        </w:tc>
      </w:tr>
      <w:tr w14:paraId="294EAC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tcBorders>
              <w:top w:val="single" w:color="auto" w:sz="4" w:space="0"/>
              <w:left w:val="single" w:color="auto" w:sz="12" w:space="0"/>
              <w:right w:val="single" w:color="auto" w:sz="4" w:space="0"/>
            </w:tcBorders>
            <w:vAlign w:val="center"/>
          </w:tcPr>
          <w:p w14:paraId="22F7715D">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03B89BFD">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解释权</w:t>
            </w:r>
          </w:p>
        </w:tc>
        <w:tc>
          <w:tcPr>
            <w:tcW w:w="7776" w:type="dxa"/>
            <w:tcBorders>
              <w:top w:val="single" w:color="auto" w:sz="4" w:space="0"/>
              <w:left w:val="single" w:color="auto" w:sz="4" w:space="0"/>
              <w:right w:val="single" w:color="auto" w:sz="12" w:space="0"/>
            </w:tcBorders>
            <w:vAlign w:val="center"/>
          </w:tcPr>
          <w:p w14:paraId="034400E7">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12893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tcBorders>
              <w:top w:val="single" w:color="auto" w:sz="4" w:space="0"/>
              <w:left w:val="single" w:color="auto" w:sz="12" w:space="0"/>
              <w:right w:val="single" w:color="auto" w:sz="4" w:space="0"/>
            </w:tcBorders>
            <w:vAlign w:val="center"/>
          </w:tcPr>
          <w:p w14:paraId="73E9A476">
            <w:pPr>
              <w:keepNext w:val="0"/>
              <w:keepLines w:val="0"/>
              <w:pageBreakBefore w:val="0"/>
              <w:widowControl/>
              <w:numPr>
                <w:ilvl w:val="0"/>
                <w:numId w:val="2"/>
              </w:numPr>
              <w:tabs>
                <w:tab w:val="left" w:pos="420"/>
                <w:tab w:val="clear" w:pos="720"/>
              </w:tabs>
              <w:kinsoku/>
              <w:wordWrap w:val="0"/>
              <w:overflowPunct/>
              <w:topLinePunct w:val="0"/>
              <w:autoSpaceDE/>
              <w:autoSpaceDN/>
              <w:bidi w:val="0"/>
              <w:snapToGrid/>
              <w:spacing w:line="324" w:lineRule="auto"/>
              <w:ind w:left="420" w:hanging="420"/>
              <w:jc w:val="center"/>
              <w:textAlignment w:val="auto"/>
              <w:rPr>
                <w:rFonts w:hint="eastAsia" w:ascii="宋体" w:eastAsia="宋体"/>
                <w:b w:val="0"/>
                <w:bCs w:val="0"/>
                <w:color w:val="auto"/>
                <w:sz w:val="22"/>
                <w:szCs w:val="22"/>
                <w:highlight w:val="none"/>
              </w:rPr>
            </w:pPr>
          </w:p>
        </w:tc>
        <w:tc>
          <w:tcPr>
            <w:tcW w:w="1553" w:type="dxa"/>
            <w:tcBorders>
              <w:top w:val="single" w:color="auto" w:sz="4" w:space="0"/>
              <w:left w:val="single" w:color="auto" w:sz="4" w:space="0"/>
              <w:right w:val="single" w:color="auto" w:sz="4" w:space="0"/>
            </w:tcBorders>
            <w:vAlign w:val="center"/>
          </w:tcPr>
          <w:p w14:paraId="3C2DF325">
            <w:pPr>
              <w:keepNext w:val="0"/>
              <w:keepLines w:val="0"/>
              <w:pageBreakBefore w:val="0"/>
              <w:widowControl w:val="0"/>
              <w:kinsoku/>
              <w:wordWrap w:val="0"/>
              <w:overflowPunct/>
              <w:topLinePunct w:val="0"/>
              <w:autoSpaceDE/>
              <w:autoSpaceDN/>
              <w:bidi w:val="0"/>
              <w:snapToGrid/>
              <w:spacing w:line="324" w:lineRule="auto"/>
              <w:jc w:val="center"/>
              <w:textAlignment w:val="auto"/>
              <w:rPr>
                <w:rFonts w:hint="eastAsia" w:ascii="宋体" w:eastAsia="宋体"/>
                <w:color w:val="auto"/>
                <w:sz w:val="22"/>
                <w:szCs w:val="22"/>
                <w:highlight w:val="none"/>
              </w:rPr>
            </w:pPr>
            <w:r>
              <w:rPr>
                <w:rFonts w:hint="eastAsia" w:ascii="宋体" w:eastAsia="宋体"/>
                <w:color w:val="auto"/>
                <w:sz w:val="22"/>
                <w:szCs w:val="22"/>
                <w:highlight w:val="none"/>
              </w:rPr>
              <w:t>注意事项</w:t>
            </w:r>
          </w:p>
        </w:tc>
        <w:tc>
          <w:tcPr>
            <w:tcW w:w="7776" w:type="dxa"/>
            <w:tcBorders>
              <w:top w:val="single" w:color="auto" w:sz="4" w:space="0"/>
              <w:left w:val="single" w:color="auto" w:sz="4" w:space="0"/>
              <w:right w:val="single" w:color="auto" w:sz="12" w:space="0"/>
            </w:tcBorders>
            <w:vAlign w:val="center"/>
          </w:tcPr>
          <w:p w14:paraId="04C2FA02">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rPr>
              <w:t>1.请务必确保磋商响应文件制作客户端为最新版本，旧版本可能导致磋商响应文件解密失败。</w:t>
            </w:r>
          </w:p>
          <w:p w14:paraId="759E4CF7">
            <w:pPr>
              <w:keepNext w:val="0"/>
              <w:keepLines w:val="0"/>
              <w:pageBreakBefore w:val="0"/>
              <w:widowControl w:val="0"/>
              <w:kinsoku/>
              <w:wordWrap w:val="0"/>
              <w:overflowPunct/>
              <w:topLinePunct w:val="0"/>
              <w:autoSpaceDE/>
              <w:autoSpaceDN/>
              <w:bidi w:val="0"/>
              <w:snapToGrid/>
              <w:spacing w:line="324" w:lineRule="auto"/>
              <w:textAlignment w:val="auto"/>
              <w:rPr>
                <w:rFonts w:hint="eastAsia" w:ascii="宋体" w:eastAsia="宋体"/>
                <w:color w:val="auto"/>
                <w:sz w:val="22"/>
                <w:szCs w:val="22"/>
                <w:highlight w:val="none"/>
              </w:rPr>
            </w:pPr>
            <w:r>
              <w:rPr>
                <w:rFonts w:hint="eastAsia" w:ascii="宋体" w:eastAsia="宋体"/>
                <w:color w:val="auto"/>
                <w:sz w:val="22"/>
                <w:szCs w:val="22"/>
                <w:highlight w:val="none"/>
              </w:rPr>
              <w:t>2.请务必确保磋商响应文件制作时所用的 CA 锁与磋商响应文件解密时的 CA 锁为同一把，否则可能导致磋商响应文件解密失败。</w:t>
            </w:r>
          </w:p>
        </w:tc>
      </w:tr>
    </w:tbl>
    <w:p w14:paraId="4262C635">
      <w:pPr>
        <w:pageBreakBefore w:val="0"/>
        <w:widowControl w:val="0"/>
        <w:kinsoku/>
        <w:overflowPunct/>
        <w:autoSpaceDE w:val="0"/>
        <w:autoSpaceDN w:val="0"/>
        <w:bidi w:val="0"/>
        <w:adjustRightInd w:val="0"/>
        <w:snapToGrid w:val="0"/>
        <w:spacing w:line="324" w:lineRule="auto"/>
        <w:rPr>
          <w:rFonts w:hint="eastAsia" w:ascii="宋体" w:eastAsia="宋体"/>
          <w:b w:val="0"/>
          <w:color w:val="auto"/>
          <w:sz w:val="36"/>
          <w:szCs w:val="36"/>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6E4CF30">
      <w:pPr>
        <w:pageBreakBefore w:val="0"/>
        <w:widowControl w:val="0"/>
        <w:kinsoku/>
        <w:overflowPunct/>
        <w:autoSpaceDE w:val="0"/>
        <w:autoSpaceDN w:val="0"/>
        <w:bidi w:val="0"/>
        <w:adjustRightInd w:val="0"/>
        <w:snapToGrid w:val="0"/>
        <w:spacing w:line="324" w:lineRule="auto"/>
        <w:jc w:val="center"/>
        <w:outlineLvl w:val="0"/>
        <w:rPr>
          <w:rFonts w:hint="eastAsia" w:ascii="宋体" w:eastAsia="宋体"/>
          <w:color w:val="auto"/>
          <w:sz w:val="36"/>
          <w:highlight w:val="none"/>
          <w:lang w:val="zh-CN"/>
        </w:rPr>
      </w:pPr>
      <w:bookmarkStart w:id="10" w:name="_Toc17140"/>
      <w:r>
        <w:rPr>
          <w:rFonts w:hint="eastAsia" w:ascii="宋体" w:eastAsia="宋体"/>
          <w:color w:val="auto"/>
          <w:sz w:val="36"/>
          <w:highlight w:val="none"/>
          <w:lang w:val="zh-CN"/>
        </w:rPr>
        <w:t>第二部分</w:t>
      </w:r>
      <w:r>
        <w:rPr>
          <w:rFonts w:hint="eastAsia" w:ascii="宋体" w:eastAsia="宋体"/>
          <w:color w:val="auto"/>
          <w:sz w:val="36"/>
          <w:highlight w:val="none"/>
        </w:rPr>
        <w:t xml:space="preserve"> </w:t>
      </w:r>
      <w:r>
        <w:rPr>
          <w:rFonts w:hint="eastAsia" w:ascii="宋体" w:eastAsia="宋体"/>
          <w:color w:val="auto"/>
          <w:sz w:val="36"/>
          <w:highlight w:val="none"/>
          <w:lang w:val="en-US" w:eastAsia="zh-CN"/>
        </w:rPr>
        <w:t xml:space="preserve"> </w:t>
      </w:r>
      <w:r>
        <w:rPr>
          <w:rFonts w:hint="eastAsia" w:ascii="宋体" w:eastAsia="宋体"/>
          <w:color w:val="auto"/>
          <w:sz w:val="36"/>
          <w:highlight w:val="none"/>
          <w:lang w:val="zh-CN"/>
        </w:rPr>
        <w:t>项目简介</w:t>
      </w:r>
      <w:bookmarkEnd w:id="10"/>
    </w:p>
    <w:p w14:paraId="025B43BB">
      <w:pPr>
        <w:pageBreakBefore w:val="0"/>
        <w:widowControl w:val="0"/>
        <w:kinsoku/>
        <w:overflowPunct/>
        <w:bidi w:val="0"/>
        <w:spacing w:line="324" w:lineRule="auto"/>
        <w:outlineLvl w:val="1"/>
        <w:rPr>
          <w:rFonts w:hint="eastAsia" w:ascii="宋体" w:eastAsia="宋体"/>
          <w:b/>
          <w:bCs w:val="0"/>
          <w:color w:val="auto"/>
          <w:sz w:val="22"/>
          <w:szCs w:val="22"/>
          <w:highlight w:val="none"/>
        </w:rPr>
      </w:pPr>
      <w:bookmarkStart w:id="11" w:name="_Toc13047"/>
      <w:bookmarkStart w:id="12" w:name="_Toc8725"/>
      <w:r>
        <w:rPr>
          <w:rFonts w:hint="eastAsia" w:ascii="宋体" w:eastAsia="宋体"/>
          <w:b/>
          <w:bCs w:val="0"/>
          <w:color w:val="auto"/>
          <w:sz w:val="22"/>
          <w:szCs w:val="22"/>
          <w:highlight w:val="none"/>
        </w:rPr>
        <w:t>一、项目简介</w:t>
      </w:r>
      <w:bookmarkEnd w:id="11"/>
      <w:bookmarkEnd w:id="12"/>
    </w:p>
    <w:p w14:paraId="71855733">
      <w:pPr>
        <w:pageBreakBefore w:val="0"/>
        <w:widowControl w:val="0"/>
        <w:kinsoku/>
        <w:overflowPunct/>
        <w:autoSpaceDE w:val="0"/>
        <w:autoSpaceDN w:val="0"/>
        <w:bidi w:val="0"/>
        <w:adjustRightInd w:val="0"/>
        <w:snapToGrid w:val="0"/>
        <w:spacing w:line="324"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经批准，浙江新点项目管理有限公司对</w:t>
      </w:r>
      <w:r>
        <w:rPr>
          <w:rFonts w:hint="eastAsia" w:ascii="宋体" w:eastAsia="宋体" w:cs="宋体"/>
          <w:b w:val="0"/>
          <w:color w:val="auto"/>
          <w:sz w:val="22"/>
          <w:szCs w:val="22"/>
          <w:highlight w:val="none"/>
          <w:lang w:eastAsia="zh-CN"/>
        </w:rPr>
        <w:t>文成县宁静小区创建项目</w:t>
      </w:r>
      <w:r>
        <w:rPr>
          <w:rFonts w:hint="eastAsia" w:ascii="宋体" w:hAnsi="宋体" w:eastAsia="宋体" w:cs="宋体"/>
          <w:b w:val="0"/>
          <w:color w:val="auto"/>
          <w:sz w:val="22"/>
          <w:szCs w:val="22"/>
          <w:highlight w:val="none"/>
        </w:rPr>
        <w:t>项目进行竞争性磋商采购。本次采购的资金已经落实。</w:t>
      </w:r>
    </w:p>
    <w:p w14:paraId="743A60DE">
      <w:pPr>
        <w:pageBreakBefore w:val="0"/>
        <w:widowControl w:val="0"/>
        <w:kinsoku/>
        <w:overflowPunct/>
        <w:autoSpaceDE w:val="0"/>
        <w:autoSpaceDN w:val="0"/>
        <w:bidi w:val="0"/>
        <w:adjustRightInd w:val="0"/>
        <w:snapToGrid w:val="0"/>
        <w:spacing w:line="324" w:lineRule="auto"/>
        <w:ind w:firstLine="440" w:firstLineChars="200"/>
        <w:textAlignment w:val="bottom"/>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rPr>
        <w:t>我们热情欢迎有关公司（企业）前来磋商报价。</w:t>
      </w:r>
    </w:p>
    <w:p w14:paraId="1F78B885">
      <w:pPr>
        <w:pageBreakBefore w:val="0"/>
        <w:widowControl w:val="0"/>
        <w:kinsoku/>
        <w:overflowPunct/>
        <w:autoSpaceDE w:val="0"/>
        <w:autoSpaceDN w:val="0"/>
        <w:bidi w:val="0"/>
        <w:adjustRightInd w:val="0"/>
        <w:snapToGrid w:val="0"/>
        <w:spacing w:line="324" w:lineRule="auto"/>
        <w:jc w:val="center"/>
        <w:outlineLvl w:val="0"/>
        <w:rPr>
          <w:rFonts w:hint="eastAsia" w:ascii="宋体" w:eastAsia="宋体"/>
          <w:color w:val="auto"/>
          <w:sz w:val="36"/>
          <w:highlight w:val="none"/>
          <w:lang w:val="zh-CN"/>
        </w:rPr>
      </w:pPr>
      <w:bookmarkStart w:id="13" w:name="_Toc10411"/>
      <w:r>
        <w:rPr>
          <w:rFonts w:hint="eastAsia" w:ascii="宋体" w:eastAsia="宋体"/>
          <w:color w:val="auto"/>
          <w:sz w:val="36"/>
          <w:highlight w:val="none"/>
          <w:lang w:val="zh-CN"/>
        </w:rPr>
        <w:t>第三部分</w:t>
      </w:r>
      <w:r>
        <w:rPr>
          <w:rFonts w:hint="eastAsia" w:ascii="宋体" w:eastAsia="宋体"/>
          <w:color w:val="auto"/>
          <w:sz w:val="36"/>
          <w:highlight w:val="none"/>
        </w:rPr>
        <w:t xml:space="preserve"> </w:t>
      </w:r>
      <w:r>
        <w:rPr>
          <w:rFonts w:hint="eastAsia" w:ascii="宋体" w:eastAsia="宋体"/>
          <w:color w:val="auto"/>
          <w:sz w:val="36"/>
          <w:highlight w:val="none"/>
          <w:lang w:val="en-US" w:eastAsia="zh-CN"/>
        </w:rPr>
        <w:t xml:space="preserve"> </w:t>
      </w:r>
      <w:r>
        <w:rPr>
          <w:rFonts w:hint="eastAsia" w:ascii="宋体" w:eastAsia="宋体"/>
          <w:color w:val="auto"/>
          <w:sz w:val="36"/>
          <w:highlight w:val="none"/>
          <w:lang w:val="zh-CN"/>
        </w:rPr>
        <w:t>采购内容及要求</w:t>
      </w:r>
      <w:bookmarkEnd w:id="13"/>
    </w:p>
    <w:p w14:paraId="0FB27F89">
      <w:pPr>
        <w:keepNext w:val="0"/>
        <w:keepLines w:val="0"/>
        <w:pageBreakBefore w:val="0"/>
        <w:widowControl w:val="0"/>
        <w:kinsoku/>
        <w:wordWrap/>
        <w:overflowPunct/>
        <w:topLinePunct w:val="0"/>
        <w:bidi w:val="0"/>
        <w:spacing w:line="360" w:lineRule="auto"/>
        <w:outlineLvl w:val="1"/>
        <w:rPr>
          <w:rFonts w:hint="eastAsia" w:ascii="宋体" w:eastAsia="宋体"/>
          <w:b/>
          <w:bCs w:val="0"/>
          <w:color w:val="auto"/>
          <w:sz w:val="22"/>
          <w:szCs w:val="22"/>
          <w:highlight w:val="none"/>
        </w:rPr>
      </w:pPr>
      <w:bookmarkStart w:id="14" w:name="_Toc12171"/>
      <w:r>
        <w:rPr>
          <w:rFonts w:hint="eastAsia" w:ascii="宋体" w:eastAsia="宋体"/>
          <w:b/>
          <w:bCs w:val="0"/>
          <w:color w:val="auto"/>
          <w:sz w:val="22"/>
          <w:szCs w:val="22"/>
          <w:highlight w:val="none"/>
          <w:lang w:val="en-US" w:eastAsia="zh-CN"/>
        </w:rPr>
        <w:t>一、</w:t>
      </w:r>
      <w:r>
        <w:rPr>
          <w:rFonts w:hint="eastAsia" w:ascii="宋体" w:eastAsia="宋体"/>
          <w:b/>
          <w:bCs w:val="0"/>
          <w:color w:val="auto"/>
          <w:sz w:val="22"/>
          <w:szCs w:val="22"/>
          <w:highlight w:val="none"/>
        </w:rPr>
        <w:t>创建路线</w:t>
      </w:r>
    </w:p>
    <w:p w14:paraId="14F421E3">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w:t>
      </w:r>
      <w:r>
        <w:rPr>
          <w:rFonts w:hint="eastAsia" w:asci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根据现场踏勘及资料调查，</w:t>
      </w:r>
      <w:r>
        <w:rPr>
          <w:rFonts w:hint="eastAsia" w:ascii="宋体" w:hAnsi="宋体" w:eastAsia="宋体" w:cs="宋体"/>
          <w:b w:val="0"/>
          <w:color w:val="auto"/>
          <w:sz w:val="22"/>
          <w:szCs w:val="22"/>
          <w:highlight w:val="none"/>
        </w:rPr>
        <w:t>确定创建名单、开展创建</w:t>
      </w:r>
      <w:r>
        <w:rPr>
          <w:rFonts w:hint="eastAsia" w:ascii="宋体" w:hAnsi="宋体" w:eastAsia="宋体" w:cs="宋体"/>
          <w:b w:val="0"/>
          <w:color w:val="auto"/>
          <w:sz w:val="22"/>
          <w:szCs w:val="22"/>
          <w:highlight w:val="none"/>
          <w:lang w:val="en-US" w:eastAsia="zh-CN"/>
        </w:rPr>
        <w:t>工作</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组织评审</w:t>
      </w:r>
      <w:r>
        <w:rPr>
          <w:rFonts w:hint="eastAsia" w:ascii="宋体" w:hAnsi="宋体" w:eastAsia="宋体" w:cs="宋体"/>
          <w:b w:val="0"/>
          <w:color w:val="auto"/>
          <w:sz w:val="22"/>
          <w:szCs w:val="22"/>
          <w:highlight w:val="none"/>
        </w:rPr>
        <w:t>、管理与复核流程推进项目，确保各环节按时完成。</w:t>
      </w:r>
    </w:p>
    <w:p w14:paraId="69260CD7">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eastAsia="宋体"/>
          <w:b/>
          <w:bCs w:val="0"/>
          <w:color w:val="auto"/>
          <w:sz w:val="22"/>
          <w:szCs w:val="22"/>
          <w:highlight w:val="none"/>
        </w:rPr>
      </w:pPr>
      <w:r>
        <w:rPr>
          <w:rFonts w:hint="eastAsia" w:ascii="宋体" w:hAnsi="宋体" w:eastAsia="宋体" w:cs="宋体"/>
          <w:b w:val="0"/>
          <w:color w:val="auto"/>
          <w:sz w:val="22"/>
          <w:szCs w:val="22"/>
          <w:highlight w:val="none"/>
        </w:rPr>
        <w:t>2</w:t>
      </w:r>
      <w:r>
        <w:rPr>
          <w:rFonts w:hint="eastAsia" w:asci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技术路线需结合文成县实际，开展小区改造、噪声监测、制度建设，挖掘特色亮点，形成</w:t>
      </w:r>
      <w:r>
        <w:rPr>
          <w:rFonts w:hint="eastAsia" w:ascii="宋体" w:hAnsi="宋体" w:eastAsia="宋体" w:cs="宋体"/>
          <w:b w:val="0"/>
          <w:color w:val="auto"/>
          <w:sz w:val="22"/>
          <w:szCs w:val="22"/>
          <w:highlight w:val="none"/>
          <w:lang w:val="en-US" w:eastAsia="zh-CN"/>
        </w:rPr>
        <w:t>文成县宁静小区</w:t>
      </w:r>
      <w:r>
        <w:rPr>
          <w:rFonts w:hint="eastAsia" w:ascii="宋体" w:hAnsi="宋体" w:eastAsia="宋体" w:cs="宋体"/>
          <w:b w:val="0"/>
          <w:color w:val="auto"/>
          <w:sz w:val="22"/>
          <w:szCs w:val="22"/>
          <w:highlight w:val="none"/>
        </w:rPr>
        <w:t>全面</w:t>
      </w:r>
      <w:r>
        <w:rPr>
          <w:rFonts w:hint="eastAsia" w:ascii="宋体" w:hAnsi="宋体" w:eastAsia="宋体" w:cs="宋体"/>
          <w:b w:val="0"/>
          <w:color w:val="auto"/>
          <w:sz w:val="22"/>
          <w:szCs w:val="22"/>
          <w:highlight w:val="none"/>
          <w:lang w:val="en-US" w:eastAsia="zh-CN"/>
        </w:rPr>
        <w:t>创建</w:t>
      </w:r>
      <w:r>
        <w:rPr>
          <w:rFonts w:hint="eastAsia" w:ascii="宋体" w:hAnsi="宋体" w:eastAsia="宋体" w:cs="宋体"/>
          <w:b w:val="0"/>
          <w:color w:val="auto"/>
          <w:sz w:val="22"/>
          <w:szCs w:val="22"/>
          <w:highlight w:val="none"/>
        </w:rPr>
        <w:t>方案。</w:t>
      </w:r>
    </w:p>
    <w:p w14:paraId="6905CFBF">
      <w:pPr>
        <w:keepNext w:val="0"/>
        <w:keepLines w:val="0"/>
        <w:pageBreakBefore w:val="0"/>
        <w:widowControl w:val="0"/>
        <w:kinsoku/>
        <w:wordWrap/>
        <w:overflowPunct/>
        <w:topLinePunct w:val="0"/>
        <w:bidi w:val="0"/>
        <w:spacing w:line="360" w:lineRule="auto"/>
        <w:outlineLvl w:val="1"/>
        <w:rPr>
          <w:rFonts w:hint="eastAsia" w:ascii="宋体" w:eastAsia="宋体"/>
          <w:b/>
          <w:bCs w:val="0"/>
          <w:color w:val="auto"/>
          <w:sz w:val="22"/>
          <w:szCs w:val="22"/>
          <w:highlight w:val="none"/>
        </w:rPr>
      </w:pPr>
      <w:r>
        <w:rPr>
          <w:rFonts w:hint="eastAsia" w:ascii="宋体" w:eastAsia="宋体"/>
          <w:b/>
          <w:bCs w:val="0"/>
          <w:color w:val="auto"/>
          <w:sz w:val="22"/>
          <w:szCs w:val="22"/>
          <w:highlight w:val="none"/>
          <w:lang w:val="en-US" w:eastAsia="zh-CN"/>
        </w:rPr>
        <w:t>二、组织</w:t>
      </w:r>
      <w:r>
        <w:rPr>
          <w:rFonts w:hint="eastAsia" w:ascii="宋体" w:eastAsia="宋体"/>
          <w:b/>
          <w:bCs w:val="0"/>
          <w:color w:val="auto"/>
          <w:sz w:val="22"/>
          <w:szCs w:val="22"/>
          <w:highlight w:val="none"/>
        </w:rPr>
        <w:t>实施</w:t>
      </w:r>
      <w:r>
        <w:rPr>
          <w:rFonts w:hint="eastAsia" w:ascii="宋体" w:eastAsia="宋体"/>
          <w:b/>
          <w:bCs w:val="0"/>
          <w:color w:val="auto"/>
          <w:sz w:val="22"/>
          <w:szCs w:val="22"/>
          <w:highlight w:val="none"/>
          <w:lang w:val="en-US" w:eastAsia="zh-CN"/>
        </w:rPr>
        <w:t>方案</w:t>
      </w:r>
    </w:p>
    <w:p w14:paraId="0663EBAD">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w:t>
      </w:r>
      <w:r>
        <w:rPr>
          <w:rFonts w:hint="eastAsia" w:asci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全面调研</w:t>
      </w:r>
      <w:r>
        <w:rPr>
          <w:rFonts w:hint="eastAsia" w:ascii="宋体" w:hAnsi="宋体" w:eastAsia="宋体" w:cs="宋体"/>
          <w:b w:val="0"/>
          <w:color w:val="auto"/>
          <w:sz w:val="22"/>
          <w:szCs w:val="22"/>
          <w:highlight w:val="none"/>
        </w:rPr>
        <w:t>：调研小区及周边噪声源，绘制噪声地图，形成“一源一策”治理方案。监测声环境质量，分析数据为治理</w:t>
      </w:r>
      <w:r>
        <w:rPr>
          <w:rFonts w:hint="eastAsia" w:ascii="宋体" w:hAnsi="宋体" w:eastAsia="宋体" w:cs="宋体"/>
          <w:b w:val="0"/>
          <w:color w:val="auto"/>
          <w:sz w:val="22"/>
          <w:szCs w:val="22"/>
          <w:highlight w:val="none"/>
          <w:lang w:val="en-US" w:eastAsia="zh-CN"/>
        </w:rPr>
        <w:t>创建</w:t>
      </w:r>
      <w:r>
        <w:rPr>
          <w:rFonts w:hint="eastAsia" w:ascii="宋体" w:hAnsi="宋体" w:eastAsia="宋体" w:cs="宋体"/>
          <w:b w:val="0"/>
          <w:color w:val="auto"/>
          <w:sz w:val="22"/>
          <w:szCs w:val="22"/>
          <w:highlight w:val="none"/>
        </w:rPr>
        <w:t>提供依据。</w:t>
      </w:r>
    </w:p>
    <w:p w14:paraId="7ED0530C">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w:t>
      </w:r>
      <w:r>
        <w:rPr>
          <w:rFonts w:hint="eastAsia" w:asci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精准管控：安装环境噪声</w:t>
      </w:r>
      <w:r>
        <w:rPr>
          <w:rFonts w:hint="eastAsia" w:ascii="宋体" w:hAnsi="宋体" w:eastAsia="宋体" w:cs="宋体"/>
          <w:b w:val="0"/>
          <w:color w:val="auto"/>
          <w:sz w:val="22"/>
          <w:szCs w:val="22"/>
          <w:highlight w:val="none"/>
          <w:lang w:val="en-US" w:eastAsia="zh-CN"/>
        </w:rPr>
        <w:t>自动</w:t>
      </w:r>
      <w:r>
        <w:rPr>
          <w:rFonts w:hint="eastAsia" w:ascii="宋体" w:hAnsi="宋体" w:eastAsia="宋体" w:cs="宋体"/>
          <w:b w:val="0"/>
          <w:color w:val="auto"/>
          <w:sz w:val="22"/>
          <w:szCs w:val="22"/>
          <w:highlight w:val="none"/>
        </w:rPr>
        <w:t>监测设备，覆盖噪声突出区域，实现24小时监测，建立超标预警机制并与</w:t>
      </w:r>
      <w:r>
        <w:rPr>
          <w:rFonts w:hint="eastAsia" w:ascii="宋体" w:hAnsi="宋体" w:eastAsia="宋体" w:cs="宋体"/>
          <w:b w:val="0"/>
          <w:color w:val="auto"/>
          <w:sz w:val="22"/>
          <w:szCs w:val="22"/>
          <w:highlight w:val="none"/>
          <w:lang w:val="en-US" w:eastAsia="zh-CN"/>
        </w:rPr>
        <w:t>数据</w:t>
      </w:r>
      <w:r>
        <w:rPr>
          <w:rFonts w:hint="eastAsia" w:ascii="宋体" w:hAnsi="宋体" w:eastAsia="宋体" w:cs="宋体"/>
          <w:b w:val="0"/>
          <w:color w:val="auto"/>
          <w:sz w:val="22"/>
          <w:szCs w:val="22"/>
          <w:highlight w:val="none"/>
        </w:rPr>
        <w:t>平台对接。配备便携式多功能声级计，便于灵活监测。</w:t>
      </w:r>
    </w:p>
    <w:p w14:paraId="3D1AD8F8">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w:t>
      </w:r>
      <w:r>
        <w:rPr>
          <w:rFonts w:hint="eastAsia" w:asci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专项方案：打造特色亮点，立足小区实际，挖掘优势资源，形成专项方案并宣传推广。加强宣传引导，利用多种渠道宣传，提高公众参与度。开展居民满意度调查，设计问卷，收集意见改进工作。总结建设成果，评估效果，建立长效管控机制。</w:t>
      </w:r>
    </w:p>
    <w:p w14:paraId="7387EA42">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eastAsia="宋体"/>
          <w:b/>
          <w:bCs w:val="0"/>
          <w:color w:val="auto"/>
          <w:sz w:val="22"/>
          <w:szCs w:val="22"/>
          <w:highlight w:val="none"/>
        </w:rPr>
      </w:pPr>
      <w:r>
        <w:rPr>
          <w:rFonts w:hint="eastAsia" w:ascii="宋体" w:hAnsi="宋体" w:eastAsia="宋体" w:cs="宋体"/>
          <w:b w:val="0"/>
          <w:color w:val="auto"/>
          <w:sz w:val="22"/>
          <w:szCs w:val="22"/>
          <w:highlight w:val="none"/>
        </w:rPr>
        <w:t>4</w:t>
      </w:r>
      <w:r>
        <w:rPr>
          <w:rFonts w:hint="eastAsia" w:asci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绩效评估：利用</w:t>
      </w:r>
      <w:r>
        <w:rPr>
          <w:rFonts w:hint="eastAsia" w:ascii="宋体" w:hAnsi="宋体" w:eastAsia="宋体" w:cs="宋体"/>
          <w:b w:val="0"/>
          <w:color w:val="auto"/>
          <w:sz w:val="22"/>
          <w:szCs w:val="22"/>
          <w:highlight w:val="none"/>
          <w:lang w:val="en-US" w:eastAsia="zh-CN"/>
        </w:rPr>
        <w:t>自动</w:t>
      </w:r>
      <w:r>
        <w:rPr>
          <w:rFonts w:hint="eastAsia" w:ascii="宋体" w:hAnsi="宋体" w:eastAsia="宋体" w:cs="宋体"/>
          <w:b w:val="0"/>
          <w:color w:val="auto"/>
          <w:sz w:val="22"/>
          <w:szCs w:val="22"/>
          <w:highlight w:val="none"/>
        </w:rPr>
        <w:t>监测设备</w:t>
      </w:r>
      <w:r>
        <w:rPr>
          <w:rFonts w:hint="eastAsia" w:ascii="宋体" w:hAnsi="宋体" w:eastAsia="宋体" w:cs="宋体"/>
          <w:b w:val="0"/>
          <w:color w:val="auto"/>
          <w:sz w:val="22"/>
          <w:szCs w:val="22"/>
          <w:highlight w:val="none"/>
          <w:lang w:val="en-US" w:eastAsia="zh-CN"/>
        </w:rPr>
        <w:t>结合布点监测，</w:t>
      </w:r>
      <w:r>
        <w:rPr>
          <w:rFonts w:hint="eastAsia" w:ascii="宋体" w:hAnsi="宋体" w:eastAsia="宋体" w:cs="宋体"/>
          <w:b w:val="0"/>
          <w:color w:val="auto"/>
          <w:sz w:val="22"/>
          <w:szCs w:val="22"/>
          <w:highlight w:val="none"/>
        </w:rPr>
        <w:t>评估防治工作绩效，联合各方打造宁静</w:t>
      </w:r>
      <w:r>
        <w:rPr>
          <w:rFonts w:hint="eastAsia" w:ascii="宋体" w:hAnsi="宋体" w:eastAsia="宋体" w:cs="宋体"/>
          <w:b w:val="0"/>
          <w:color w:val="auto"/>
          <w:sz w:val="22"/>
          <w:szCs w:val="22"/>
          <w:highlight w:val="none"/>
          <w:lang w:val="en-US" w:eastAsia="zh-CN"/>
        </w:rPr>
        <w:t>小区成效管理机制</w:t>
      </w:r>
      <w:r>
        <w:rPr>
          <w:rFonts w:hint="eastAsia" w:ascii="宋体" w:hAnsi="宋体" w:eastAsia="宋体" w:cs="宋体"/>
          <w:b w:val="0"/>
          <w:color w:val="auto"/>
          <w:sz w:val="22"/>
          <w:szCs w:val="22"/>
          <w:highlight w:val="none"/>
        </w:rPr>
        <w:t>，实现主动预警和源头控制。</w:t>
      </w:r>
    </w:p>
    <w:p w14:paraId="44AE53A7">
      <w:pPr>
        <w:keepNext w:val="0"/>
        <w:keepLines w:val="0"/>
        <w:pageBreakBefore w:val="0"/>
        <w:widowControl w:val="0"/>
        <w:kinsoku/>
        <w:wordWrap/>
        <w:overflowPunct/>
        <w:topLinePunct w:val="0"/>
        <w:bidi w:val="0"/>
        <w:spacing w:line="360" w:lineRule="auto"/>
        <w:outlineLvl w:val="1"/>
        <w:rPr>
          <w:rFonts w:hint="eastAsia" w:ascii="宋体" w:eastAsia="宋体"/>
          <w:b/>
          <w:bCs w:val="0"/>
          <w:color w:val="auto"/>
          <w:sz w:val="22"/>
          <w:szCs w:val="22"/>
          <w:highlight w:val="none"/>
        </w:rPr>
      </w:pPr>
      <w:r>
        <w:rPr>
          <w:rFonts w:hint="eastAsia" w:ascii="宋体" w:eastAsia="宋体"/>
          <w:b/>
          <w:bCs w:val="0"/>
          <w:color w:val="auto"/>
          <w:sz w:val="22"/>
          <w:szCs w:val="22"/>
          <w:highlight w:val="none"/>
          <w:lang w:val="en-US" w:eastAsia="zh-CN"/>
        </w:rPr>
        <w:t>三、主要成果及要求</w:t>
      </w:r>
    </w:p>
    <w:p w14:paraId="35452818">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w:t>
      </w:r>
      <w:r>
        <w:rPr>
          <w:rFonts w:hint="eastAsia" w:asci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提交《</w:t>
      </w:r>
      <w:r>
        <w:rPr>
          <w:rFonts w:hint="eastAsia" w:ascii="宋体" w:hAnsi="宋体" w:eastAsia="宋体" w:cs="宋体"/>
          <w:b w:val="0"/>
          <w:color w:val="auto"/>
          <w:sz w:val="22"/>
          <w:szCs w:val="22"/>
          <w:highlight w:val="none"/>
          <w:lang w:val="en-US" w:eastAsia="zh-CN"/>
        </w:rPr>
        <w:t>文成县</w:t>
      </w:r>
      <w:r>
        <w:rPr>
          <w:rFonts w:hint="eastAsia" w:ascii="宋体" w:hAnsi="宋体" w:eastAsia="宋体" w:cs="宋体"/>
          <w:b w:val="0"/>
          <w:color w:val="auto"/>
          <w:sz w:val="22"/>
          <w:szCs w:val="22"/>
          <w:highlight w:val="none"/>
        </w:rPr>
        <w:t>宁静小区创建方案》</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宁静</w:t>
      </w:r>
      <w:r>
        <w:rPr>
          <w:rFonts w:hint="eastAsia" w:ascii="宋体" w:hAnsi="宋体" w:eastAsia="宋体" w:cs="宋体"/>
          <w:b w:val="0"/>
          <w:color w:val="auto"/>
          <w:sz w:val="22"/>
          <w:szCs w:val="22"/>
          <w:highlight w:val="none"/>
        </w:rPr>
        <w:t>小区声环境调查报告》</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宁静</w:t>
      </w:r>
      <w:r>
        <w:rPr>
          <w:rFonts w:hint="eastAsia" w:ascii="宋体" w:hAnsi="宋体" w:eastAsia="宋体" w:cs="宋体"/>
          <w:b w:val="0"/>
          <w:color w:val="auto"/>
          <w:sz w:val="22"/>
          <w:szCs w:val="22"/>
          <w:highlight w:val="none"/>
        </w:rPr>
        <w:t>小区背景声环境质量监测报告》</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创建前后各一份）</w:t>
      </w:r>
      <w:r>
        <w:rPr>
          <w:rFonts w:hint="eastAsia" w:ascii="宋体" w:hAnsi="宋体" w:eastAsia="宋体" w:cs="宋体"/>
          <w:b w:val="0"/>
          <w:color w:val="auto"/>
          <w:sz w:val="22"/>
          <w:szCs w:val="22"/>
          <w:highlight w:val="none"/>
        </w:rPr>
        <w:t>等报告，报告内容详实、数据准确。</w:t>
      </w:r>
    </w:p>
    <w:p w14:paraId="116D1A27">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2.提交宁静小区建设工作方案（每个宁静小区一份），包括《小区噪声管理制度》、《小区噪声公约》、《小区噪声地图》、《宁静小区建设总结报告》。</w:t>
      </w:r>
    </w:p>
    <w:p w14:paraId="7B70726A">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3.开展噪声防治</w:t>
      </w:r>
      <w:r>
        <w:rPr>
          <w:rFonts w:hint="eastAsia" w:ascii="宋体" w:hAnsi="宋体" w:eastAsia="宋体" w:cs="宋体"/>
          <w:b w:val="0"/>
          <w:color w:val="auto"/>
          <w:sz w:val="22"/>
          <w:szCs w:val="22"/>
          <w:highlight w:val="none"/>
        </w:rPr>
        <w:t>宣传推广。</w:t>
      </w:r>
      <w:r>
        <w:rPr>
          <w:rFonts w:hint="eastAsia" w:ascii="宋体" w:hAnsi="宋体" w:eastAsia="宋体" w:cs="宋体"/>
          <w:b w:val="0"/>
          <w:color w:val="auto"/>
          <w:sz w:val="22"/>
          <w:szCs w:val="22"/>
          <w:highlight w:val="none"/>
          <w:lang w:val="en-US" w:eastAsia="zh-CN"/>
        </w:rPr>
        <w:t>宣传活动不少于2次，</w:t>
      </w:r>
      <w:r>
        <w:rPr>
          <w:rFonts w:hint="eastAsia" w:ascii="宋体" w:hAnsi="宋体" w:eastAsia="宋体" w:cs="宋体"/>
          <w:b w:val="0"/>
          <w:color w:val="auto"/>
          <w:sz w:val="22"/>
          <w:szCs w:val="22"/>
          <w:highlight w:val="none"/>
        </w:rPr>
        <w:t>开展居民满意度调查，设计问卷，收集意见改进工作</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满意度调查问卷不少于1000份</w:t>
      </w:r>
      <w:r>
        <w:rPr>
          <w:rFonts w:hint="eastAsia" w:ascii="宋体" w:hAnsi="宋体" w:eastAsia="宋体" w:cs="宋体"/>
          <w:b w:val="0"/>
          <w:color w:val="auto"/>
          <w:sz w:val="22"/>
          <w:szCs w:val="22"/>
          <w:highlight w:val="none"/>
        </w:rPr>
        <w:t>。</w:t>
      </w:r>
    </w:p>
    <w:p w14:paraId="7781D2AB">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default"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4.宁静小区按照具体情况设置噪声自动监测设备和手持式噪声监测仪各1台，制作宁静小区宣传提示牌及标语各2份（每个宁静小区均要求独立配置）</w:t>
      </w:r>
      <w:r>
        <w:rPr>
          <w:rFonts w:hint="eastAsia" w:ascii="宋体" w:hAnsi="宋体" w:eastAsia="宋体" w:cs="宋体"/>
          <w:b w:val="0"/>
          <w:color w:val="auto"/>
          <w:sz w:val="22"/>
          <w:szCs w:val="22"/>
          <w:highlight w:val="none"/>
        </w:rPr>
        <w:t>。</w:t>
      </w:r>
    </w:p>
    <w:p w14:paraId="59C73C3E">
      <w:pPr>
        <w:keepNext w:val="0"/>
        <w:keepLines w:val="0"/>
        <w:pageBreakBefore w:val="0"/>
        <w:widowControl w:val="0"/>
        <w:kinsoku/>
        <w:wordWrap/>
        <w:overflowPunct/>
        <w:topLinePunct w:val="0"/>
        <w:bidi w:val="0"/>
        <w:spacing w:line="360" w:lineRule="auto"/>
        <w:outlineLvl w:val="1"/>
        <w:rPr>
          <w:rFonts w:hint="eastAsia" w:ascii="宋体" w:eastAsia="宋体"/>
          <w:b/>
          <w:bCs w:val="0"/>
          <w:color w:val="auto"/>
          <w:sz w:val="22"/>
          <w:szCs w:val="22"/>
          <w:highlight w:val="none"/>
          <w:lang w:val="en-US" w:eastAsia="zh-CN"/>
        </w:rPr>
      </w:pPr>
    </w:p>
    <w:p w14:paraId="3CDBABCE">
      <w:pPr>
        <w:keepNext w:val="0"/>
        <w:keepLines w:val="0"/>
        <w:pageBreakBefore w:val="0"/>
        <w:widowControl w:val="0"/>
        <w:kinsoku/>
        <w:wordWrap/>
        <w:overflowPunct/>
        <w:topLinePunct w:val="0"/>
        <w:bidi w:val="0"/>
        <w:spacing w:line="360" w:lineRule="auto"/>
        <w:outlineLvl w:val="1"/>
        <w:rPr>
          <w:rFonts w:hint="default" w:ascii="宋体" w:eastAsia="宋体"/>
          <w:b/>
          <w:bCs w:val="0"/>
          <w:color w:val="auto"/>
          <w:sz w:val="22"/>
          <w:szCs w:val="22"/>
          <w:highlight w:val="none"/>
          <w:lang w:val="en-US" w:eastAsia="zh-CN"/>
        </w:rPr>
      </w:pPr>
      <w:r>
        <w:rPr>
          <w:rFonts w:hint="eastAsia" w:ascii="宋体" w:eastAsia="宋体"/>
          <w:b/>
          <w:bCs w:val="0"/>
          <w:color w:val="auto"/>
          <w:sz w:val="22"/>
          <w:szCs w:val="22"/>
          <w:highlight w:val="none"/>
          <w:lang w:val="en-US" w:eastAsia="zh-CN"/>
        </w:rPr>
        <w:t>四、采购清单</w:t>
      </w:r>
    </w:p>
    <w:tbl>
      <w:tblPr>
        <w:tblStyle w:val="23"/>
        <w:tblW w:w="10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380"/>
        <w:gridCol w:w="3697"/>
        <w:gridCol w:w="3530"/>
        <w:gridCol w:w="830"/>
      </w:tblGrid>
      <w:tr w14:paraId="7A54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80" w:type="dxa"/>
            <w:tcBorders>
              <w:bottom w:val="single" w:color="auto" w:sz="4" w:space="0"/>
              <w:right w:val="single" w:color="auto" w:sz="4" w:space="0"/>
            </w:tcBorders>
            <w:noWrap w:val="0"/>
            <w:vAlign w:val="center"/>
          </w:tcPr>
          <w:p w14:paraId="24CDCF93">
            <w:pPr>
              <w:jc w:val="center"/>
              <w:rPr>
                <w:rFonts w:hint="eastAsia" w:ascii="宋体" w:hAnsi="宋体" w:eastAsia="宋体" w:cs="宋体"/>
                <w:b w:val="0"/>
                <w:bCs w:val="0"/>
                <w:color w:val="auto"/>
                <w:sz w:val="22"/>
                <w:szCs w:val="22"/>
                <w:vertAlign w:val="baseline"/>
                <w:lang w:val="en-US" w:eastAsia="zh-CN" w:bidi="ar-SA"/>
              </w:rPr>
            </w:pPr>
            <w:r>
              <w:rPr>
                <w:rFonts w:hint="eastAsia" w:ascii="宋体" w:hAnsi="宋体" w:eastAsia="宋体" w:cs="宋体"/>
                <w:b w:val="0"/>
                <w:bCs w:val="0"/>
                <w:color w:val="auto"/>
                <w:sz w:val="22"/>
                <w:szCs w:val="22"/>
                <w:vertAlign w:val="baseline"/>
                <w:lang w:val="en-US" w:eastAsia="zh-CN" w:bidi="ar-SA"/>
              </w:rPr>
              <w:t>序号</w:t>
            </w:r>
          </w:p>
        </w:tc>
        <w:tc>
          <w:tcPr>
            <w:tcW w:w="1380" w:type="dxa"/>
            <w:tcBorders>
              <w:left w:val="single" w:color="auto" w:sz="4" w:space="0"/>
              <w:bottom w:val="single" w:color="auto" w:sz="4" w:space="0"/>
              <w:right w:val="single" w:color="auto" w:sz="4" w:space="0"/>
            </w:tcBorders>
            <w:noWrap w:val="0"/>
            <w:vAlign w:val="center"/>
          </w:tcPr>
          <w:p w14:paraId="793DFF74">
            <w:pPr>
              <w:jc w:val="center"/>
              <w:rPr>
                <w:rFonts w:hint="eastAsia" w:ascii="宋体" w:hAnsi="宋体" w:eastAsia="宋体" w:cs="宋体"/>
                <w:b w:val="0"/>
                <w:bCs w:val="0"/>
                <w:color w:val="auto"/>
                <w:sz w:val="22"/>
                <w:szCs w:val="22"/>
                <w:vertAlign w:val="baseline"/>
                <w:lang w:val="en-US" w:eastAsia="zh-CN" w:bidi="ar-SA"/>
              </w:rPr>
            </w:pPr>
            <w:r>
              <w:rPr>
                <w:rFonts w:hint="eastAsia" w:ascii="宋体" w:hAnsi="宋体" w:eastAsia="宋体" w:cs="宋体"/>
                <w:b w:val="0"/>
                <w:bCs w:val="0"/>
                <w:color w:val="auto"/>
                <w:sz w:val="22"/>
                <w:szCs w:val="22"/>
                <w:vertAlign w:val="baseline"/>
                <w:lang w:val="en-US" w:eastAsia="zh-CN" w:bidi="ar-SA"/>
              </w:rPr>
              <w:t>服务内容</w:t>
            </w:r>
          </w:p>
        </w:tc>
        <w:tc>
          <w:tcPr>
            <w:tcW w:w="3697" w:type="dxa"/>
            <w:tcBorders>
              <w:left w:val="single" w:color="auto" w:sz="4" w:space="0"/>
              <w:bottom w:val="single" w:color="auto" w:sz="4" w:space="0"/>
              <w:right w:val="single" w:color="auto" w:sz="4" w:space="0"/>
            </w:tcBorders>
            <w:noWrap w:val="0"/>
            <w:vAlign w:val="center"/>
          </w:tcPr>
          <w:p w14:paraId="2E888BF7">
            <w:pPr>
              <w:jc w:val="center"/>
              <w:rPr>
                <w:rFonts w:hint="eastAsia" w:ascii="宋体" w:hAnsi="宋体" w:eastAsia="宋体" w:cs="宋体"/>
                <w:b w:val="0"/>
                <w:bCs w:val="0"/>
                <w:color w:val="auto"/>
                <w:sz w:val="22"/>
                <w:szCs w:val="22"/>
                <w:vertAlign w:val="baseline"/>
                <w:lang w:val="en-US" w:eastAsia="zh-CN" w:bidi="ar-SA"/>
              </w:rPr>
            </w:pPr>
            <w:r>
              <w:rPr>
                <w:rFonts w:hint="eastAsia" w:ascii="宋体" w:hAnsi="宋体" w:eastAsia="宋体" w:cs="宋体"/>
                <w:b w:val="0"/>
                <w:bCs w:val="0"/>
                <w:color w:val="auto"/>
                <w:sz w:val="22"/>
                <w:szCs w:val="22"/>
                <w:vertAlign w:val="baseline"/>
                <w:lang w:val="en-US" w:eastAsia="zh-CN" w:bidi="ar-SA"/>
              </w:rPr>
              <w:t>主要工作内容</w:t>
            </w:r>
          </w:p>
        </w:tc>
        <w:tc>
          <w:tcPr>
            <w:tcW w:w="3530" w:type="dxa"/>
            <w:tcBorders>
              <w:left w:val="single" w:color="auto" w:sz="4" w:space="0"/>
              <w:bottom w:val="single" w:color="auto" w:sz="4" w:space="0"/>
              <w:right w:val="single" w:color="auto" w:sz="4" w:space="0"/>
            </w:tcBorders>
            <w:noWrap w:val="0"/>
            <w:vAlign w:val="center"/>
          </w:tcPr>
          <w:p w14:paraId="2DA26B96">
            <w:pPr>
              <w:jc w:val="center"/>
              <w:rPr>
                <w:rFonts w:hint="eastAsia" w:ascii="宋体" w:hAnsi="宋体" w:eastAsia="宋体" w:cs="宋体"/>
                <w:b w:val="0"/>
                <w:bCs w:val="0"/>
                <w:color w:val="auto"/>
                <w:sz w:val="22"/>
                <w:szCs w:val="22"/>
                <w:vertAlign w:val="baseline"/>
                <w:lang w:val="en-US" w:eastAsia="zh-CN" w:bidi="ar-SA"/>
              </w:rPr>
            </w:pPr>
            <w:r>
              <w:rPr>
                <w:rFonts w:hint="eastAsia" w:ascii="宋体" w:hAnsi="宋体" w:eastAsia="宋体" w:cs="宋体"/>
                <w:b w:val="0"/>
                <w:bCs w:val="0"/>
                <w:color w:val="auto"/>
                <w:sz w:val="22"/>
                <w:szCs w:val="22"/>
                <w:vertAlign w:val="baseline"/>
                <w:lang w:val="en-US" w:eastAsia="zh-CN" w:bidi="ar-SA"/>
              </w:rPr>
              <w:t>主要成果</w:t>
            </w:r>
          </w:p>
        </w:tc>
        <w:tc>
          <w:tcPr>
            <w:tcW w:w="830" w:type="dxa"/>
            <w:tcBorders>
              <w:left w:val="single" w:color="auto" w:sz="4" w:space="0"/>
              <w:bottom w:val="single" w:color="auto" w:sz="4" w:space="0"/>
              <w:right w:val="single" w:color="auto" w:sz="4" w:space="0"/>
            </w:tcBorders>
            <w:noWrap w:val="0"/>
            <w:vAlign w:val="center"/>
          </w:tcPr>
          <w:p w14:paraId="0A97B444">
            <w:pPr>
              <w:jc w:val="center"/>
              <w:rPr>
                <w:rFonts w:hint="eastAsia" w:ascii="宋体" w:hAnsi="宋体" w:eastAsia="宋体" w:cs="宋体"/>
                <w:b w:val="0"/>
                <w:bCs w:val="0"/>
                <w:color w:val="auto"/>
                <w:sz w:val="22"/>
                <w:szCs w:val="22"/>
                <w:vertAlign w:val="baseline"/>
                <w:lang w:val="en-US" w:eastAsia="zh-CN" w:bidi="ar-SA"/>
              </w:rPr>
            </w:pPr>
            <w:r>
              <w:rPr>
                <w:rFonts w:hint="eastAsia" w:ascii="宋体" w:hAnsi="宋体" w:eastAsia="宋体" w:cs="宋体"/>
                <w:b w:val="0"/>
                <w:bCs w:val="0"/>
                <w:color w:val="auto"/>
                <w:sz w:val="22"/>
                <w:szCs w:val="22"/>
                <w:vertAlign w:val="baseline"/>
                <w:lang w:val="en-US" w:eastAsia="zh-CN" w:bidi="ar-SA"/>
              </w:rPr>
              <w:t>数量</w:t>
            </w:r>
          </w:p>
        </w:tc>
      </w:tr>
      <w:tr w14:paraId="69FF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80" w:type="dxa"/>
            <w:vMerge w:val="restart"/>
            <w:tcBorders>
              <w:top w:val="single" w:color="auto" w:sz="4" w:space="0"/>
              <w:right w:val="single" w:color="auto" w:sz="4" w:space="0"/>
            </w:tcBorders>
            <w:noWrap w:val="0"/>
            <w:vAlign w:val="center"/>
          </w:tcPr>
          <w:p w14:paraId="65153B75">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w:t>
            </w:r>
          </w:p>
        </w:tc>
        <w:tc>
          <w:tcPr>
            <w:tcW w:w="1380" w:type="dxa"/>
            <w:vMerge w:val="restart"/>
            <w:tcBorders>
              <w:top w:val="single" w:color="auto" w:sz="4" w:space="0"/>
              <w:left w:val="single" w:color="auto" w:sz="4" w:space="0"/>
              <w:right w:val="single" w:color="auto" w:sz="4" w:space="0"/>
            </w:tcBorders>
            <w:noWrap w:val="0"/>
            <w:vAlign w:val="center"/>
          </w:tcPr>
          <w:p w14:paraId="6E06BE83">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整体方案</w:t>
            </w:r>
          </w:p>
        </w:tc>
        <w:tc>
          <w:tcPr>
            <w:tcW w:w="3697" w:type="dxa"/>
            <w:vMerge w:val="restart"/>
            <w:tcBorders>
              <w:top w:val="single" w:color="auto" w:sz="4" w:space="0"/>
              <w:left w:val="single" w:color="auto" w:sz="4" w:space="0"/>
              <w:right w:val="single" w:color="auto" w:sz="4" w:space="0"/>
            </w:tcBorders>
            <w:noWrap w:val="0"/>
            <w:vAlign w:val="center"/>
          </w:tcPr>
          <w:p w14:paraId="049A844D">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实地调研，踏勘，组织确定创建小区名单，协助拟定小区开展自评，完成初步申报，编制文成县整体创建工作方案，报市生态环境局审核；</w:t>
            </w:r>
          </w:p>
        </w:tc>
        <w:tc>
          <w:tcPr>
            <w:tcW w:w="3530" w:type="dxa"/>
            <w:tcBorders>
              <w:top w:val="single" w:color="auto" w:sz="4" w:space="0"/>
              <w:left w:val="single" w:color="auto" w:sz="4" w:space="0"/>
              <w:bottom w:val="single" w:color="auto" w:sz="4" w:space="0"/>
              <w:right w:val="single" w:color="auto" w:sz="4" w:space="0"/>
            </w:tcBorders>
            <w:noWrap w:val="0"/>
            <w:vAlign w:val="center"/>
          </w:tcPr>
          <w:p w14:paraId="36C4B6B9">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文成县宁静小区创建方案编制</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C2EB27F">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1个</w:t>
            </w:r>
          </w:p>
        </w:tc>
      </w:tr>
      <w:tr w14:paraId="3261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80" w:type="dxa"/>
            <w:vMerge w:val="continue"/>
            <w:tcBorders>
              <w:right w:val="single" w:color="auto" w:sz="4" w:space="0"/>
            </w:tcBorders>
            <w:noWrap w:val="0"/>
            <w:vAlign w:val="center"/>
          </w:tcPr>
          <w:p w14:paraId="0F3AD712">
            <w:pPr>
              <w:jc w:val="center"/>
              <w:rPr>
                <w:rFonts w:hint="eastAsia" w:ascii="宋体" w:hAnsi="宋体" w:eastAsia="宋体" w:cs="宋体"/>
                <w:b w:val="0"/>
                <w:bCs w:val="0"/>
                <w:color w:val="auto"/>
                <w:sz w:val="22"/>
                <w:szCs w:val="22"/>
                <w:lang w:val="en-US" w:eastAsia="zh-CN"/>
              </w:rPr>
            </w:pPr>
          </w:p>
        </w:tc>
        <w:tc>
          <w:tcPr>
            <w:tcW w:w="1380" w:type="dxa"/>
            <w:vMerge w:val="continue"/>
            <w:tcBorders>
              <w:left w:val="single" w:color="auto" w:sz="4" w:space="0"/>
              <w:right w:val="single" w:color="auto" w:sz="4" w:space="0"/>
            </w:tcBorders>
            <w:noWrap w:val="0"/>
            <w:vAlign w:val="center"/>
          </w:tcPr>
          <w:p w14:paraId="71C9CA45">
            <w:pPr>
              <w:jc w:val="both"/>
              <w:rPr>
                <w:rFonts w:hint="eastAsia" w:ascii="宋体" w:hAnsi="宋体" w:eastAsia="宋体" w:cs="宋体"/>
                <w:b w:val="0"/>
                <w:bCs w:val="0"/>
                <w:color w:val="auto"/>
                <w:sz w:val="22"/>
                <w:szCs w:val="22"/>
                <w:lang w:val="en-US" w:eastAsia="zh-CN"/>
              </w:rPr>
            </w:pPr>
          </w:p>
        </w:tc>
        <w:tc>
          <w:tcPr>
            <w:tcW w:w="3697" w:type="dxa"/>
            <w:vMerge w:val="continue"/>
            <w:tcBorders>
              <w:left w:val="single" w:color="auto" w:sz="4" w:space="0"/>
              <w:right w:val="single" w:color="auto" w:sz="4" w:space="0"/>
            </w:tcBorders>
            <w:noWrap w:val="0"/>
            <w:vAlign w:val="center"/>
          </w:tcPr>
          <w:p w14:paraId="702A77E0">
            <w:pPr>
              <w:jc w:val="both"/>
              <w:rPr>
                <w:rFonts w:hint="eastAsia" w:ascii="宋体" w:hAnsi="宋体" w:eastAsia="宋体" w:cs="宋体"/>
                <w:b w:val="0"/>
                <w:bCs w:val="0"/>
                <w:color w:val="auto"/>
                <w:sz w:val="22"/>
                <w:szCs w:val="22"/>
                <w:lang w:val="en-US" w:eastAsia="zh-CN"/>
              </w:rPr>
            </w:pPr>
          </w:p>
        </w:tc>
        <w:tc>
          <w:tcPr>
            <w:tcW w:w="3530" w:type="dxa"/>
            <w:tcBorders>
              <w:top w:val="single" w:color="auto" w:sz="4" w:space="0"/>
              <w:left w:val="single" w:color="auto" w:sz="4" w:space="0"/>
              <w:bottom w:val="single" w:color="auto" w:sz="4" w:space="0"/>
              <w:right w:val="single" w:color="auto" w:sz="4" w:space="0"/>
            </w:tcBorders>
            <w:noWrap w:val="0"/>
            <w:vAlign w:val="center"/>
          </w:tcPr>
          <w:p w14:paraId="061B32BA">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完成宁静小区申报方案</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3AE19CB">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4个</w:t>
            </w:r>
          </w:p>
        </w:tc>
      </w:tr>
      <w:tr w14:paraId="6334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80" w:type="dxa"/>
            <w:vMerge w:val="continue"/>
            <w:tcBorders>
              <w:right w:val="single" w:color="auto" w:sz="4" w:space="0"/>
            </w:tcBorders>
            <w:noWrap w:val="0"/>
            <w:vAlign w:val="center"/>
          </w:tcPr>
          <w:p w14:paraId="741C8769">
            <w:pPr>
              <w:jc w:val="center"/>
              <w:rPr>
                <w:rFonts w:hint="eastAsia" w:ascii="宋体" w:hAnsi="宋体" w:eastAsia="宋体" w:cs="宋体"/>
                <w:b w:val="0"/>
                <w:bCs w:val="0"/>
                <w:color w:val="auto"/>
                <w:sz w:val="22"/>
                <w:szCs w:val="22"/>
                <w:lang w:val="en-US" w:eastAsia="zh-CN"/>
              </w:rPr>
            </w:pPr>
          </w:p>
        </w:tc>
        <w:tc>
          <w:tcPr>
            <w:tcW w:w="1380" w:type="dxa"/>
            <w:vMerge w:val="continue"/>
            <w:tcBorders>
              <w:left w:val="single" w:color="auto" w:sz="4" w:space="0"/>
              <w:right w:val="single" w:color="auto" w:sz="4" w:space="0"/>
            </w:tcBorders>
            <w:noWrap w:val="0"/>
            <w:vAlign w:val="center"/>
          </w:tcPr>
          <w:p w14:paraId="7A82379E">
            <w:pPr>
              <w:jc w:val="both"/>
              <w:rPr>
                <w:rFonts w:hint="eastAsia" w:ascii="宋体" w:hAnsi="宋体" w:eastAsia="宋体" w:cs="宋体"/>
                <w:b w:val="0"/>
                <w:bCs w:val="0"/>
                <w:color w:val="auto"/>
                <w:sz w:val="22"/>
                <w:szCs w:val="22"/>
                <w:lang w:val="en-US" w:eastAsia="zh-CN"/>
              </w:rPr>
            </w:pPr>
          </w:p>
        </w:tc>
        <w:tc>
          <w:tcPr>
            <w:tcW w:w="3697" w:type="dxa"/>
            <w:vMerge w:val="continue"/>
            <w:tcBorders>
              <w:left w:val="single" w:color="auto" w:sz="4" w:space="0"/>
              <w:right w:val="single" w:color="auto" w:sz="4" w:space="0"/>
            </w:tcBorders>
            <w:noWrap w:val="0"/>
            <w:vAlign w:val="center"/>
          </w:tcPr>
          <w:p w14:paraId="5B3B6890">
            <w:pPr>
              <w:jc w:val="both"/>
              <w:rPr>
                <w:rFonts w:hint="eastAsia" w:ascii="宋体" w:hAnsi="宋体" w:eastAsia="宋体" w:cs="宋体"/>
                <w:b w:val="0"/>
                <w:bCs w:val="0"/>
                <w:color w:val="auto"/>
                <w:sz w:val="22"/>
                <w:szCs w:val="22"/>
                <w:lang w:val="en-US" w:eastAsia="zh-CN"/>
              </w:rPr>
            </w:pPr>
          </w:p>
        </w:tc>
        <w:tc>
          <w:tcPr>
            <w:tcW w:w="3530" w:type="dxa"/>
            <w:tcBorders>
              <w:top w:val="single" w:color="auto" w:sz="4" w:space="0"/>
              <w:left w:val="single" w:color="auto" w:sz="4" w:space="0"/>
              <w:bottom w:val="single" w:color="auto" w:sz="4" w:space="0"/>
              <w:right w:val="single" w:color="auto" w:sz="4" w:space="0"/>
            </w:tcBorders>
            <w:noWrap w:val="0"/>
            <w:vAlign w:val="center"/>
          </w:tcPr>
          <w:p w14:paraId="477EFA59">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完成宁静小区声环境调查报告</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06016A5A">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1个</w:t>
            </w:r>
          </w:p>
        </w:tc>
      </w:tr>
      <w:tr w14:paraId="6746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80" w:type="dxa"/>
            <w:vMerge w:val="restart"/>
            <w:tcBorders>
              <w:top w:val="single" w:color="auto" w:sz="4" w:space="0"/>
              <w:right w:val="single" w:color="auto" w:sz="4" w:space="0"/>
            </w:tcBorders>
            <w:noWrap w:val="0"/>
            <w:vAlign w:val="center"/>
          </w:tcPr>
          <w:p w14:paraId="423AD525">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w:t>
            </w:r>
          </w:p>
        </w:tc>
        <w:tc>
          <w:tcPr>
            <w:tcW w:w="1380" w:type="dxa"/>
            <w:vMerge w:val="restart"/>
            <w:tcBorders>
              <w:top w:val="single" w:color="auto" w:sz="4" w:space="0"/>
              <w:left w:val="single" w:color="auto" w:sz="4" w:space="0"/>
              <w:right w:val="single" w:color="auto" w:sz="4" w:space="0"/>
            </w:tcBorders>
            <w:noWrap w:val="0"/>
            <w:vAlign w:val="center"/>
          </w:tcPr>
          <w:p w14:paraId="66238FE3">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开展创建</w:t>
            </w:r>
          </w:p>
        </w:tc>
        <w:tc>
          <w:tcPr>
            <w:tcW w:w="3697" w:type="dxa"/>
            <w:vMerge w:val="restart"/>
            <w:tcBorders>
              <w:top w:val="single" w:color="auto" w:sz="4" w:space="0"/>
              <w:left w:val="single" w:color="auto" w:sz="4" w:space="0"/>
              <w:right w:val="single" w:color="auto" w:sz="4" w:space="0"/>
            </w:tcBorders>
            <w:noWrap w:val="0"/>
            <w:vAlign w:val="center"/>
          </w:tcPr>
          <w:p w14:paraId="1165C677">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成立创建工作小组，制定创建流程和方案，调研小区及周边噪声源，进行现状噪声排查和监测，绘制噪声地图，形成“一源一策”噪声治理方案，制定完善小区噪声管理制度，形成居民公约，开展公众宣传，并落实硬件措施及其它要求。</w:t>
            </w:r>
          </w:p>
        </w:tc>
        <w:tc>
          <w:tcPr>
            <w:tcW w:w="3530" w:type="dxa"/>
            <w:tcBorders>
              <w:top w:val="single" w:color="auto" w:sz="4" w:space="0"/>
              <w:left w:val="single" w:color="auto" w:sz="4" w:space="0"/>
              <w:right w:val="single" w:color="auto" w:sz="4" w:space="0"/>
            </w:tcBorders>
            <w:noWrap w:val="0"/>
            <w:vAlign w:val="center"/>
          </w:tcPr>
          <w:p w14:paraId="11653330">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宁静小区背景声环境质量监测报告</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269A447">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8个</w:t>
            </w:r>
          </w:p>
        </w:tc>
      </w:tr>
      <w:tr w14:paraId="34BD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80" w:type="dxa"/>
            <w:vMerge w:val="continue"/>
            <w:tcBorders>
              <w:top w:val="single" w:color="auto" w:sz="4" w:space="0"/>
              <w:right w:val="single" w:color="auto" w:sz="4" w:space="0"/>
            </w:tcBorders>
            <w:noWrap w:val="0"/>
            <w:vAlign w:val="center"/>
          </w:tcPr>
          <w:p w14:paraId="6F024C92">
            <w:pPr>
              <w:jc w:val="center"/>
              <w:rPr>
                <w:rFonts w:hint="eastAsia" w:ascii="宋体" w:hAnsi="宋体" w:eastAsia="宋体" w:cs="宋体"/>
                <w:b w:val="0"/>
                <w:bCs w:val="0"/>
                <w:color w:val="auto"/>
                <w:sz w:val="22"/>
                <w:szCs w:val="22"/>
                <w:lang w:val="en-US" w:eastAsia="zh-CN"/>
              </w:rPr>
            </w:pPr>
          </w:p>
        </w:tc>
        <w:tc>
          <w:tcPr>
            <w:tcW w:w="1380" w:type="dxa"/>
            <w:vMerge w:val="continue"/>
            <w:tcBorders>
              <w:top w:val="single" w:color="auto" w:sz="4" w:space="0"/>
              <w:left w:val="single" w:color="auto" w:sz="4" w:space="0"/>
              <w:right w:val="single" w:color="auto" w:sz="4" w:space="0"/>
            </w:tcBorders>
            <w:noWrap w:val="0"/>
            <w:vAlign w:val="center"/>
          </w:tcPr>
          <w:p w14:paraId="7305ADB5">
            <w:pPr>
              <w:jc w:val="both"/>
              <w:rPr>
                <w:rFonts w:hint="eastAsia" w:ascii="宋体" w:hAnsi="宋体" w:eastAsia="宋体" w:cs="宋体"/>
                <w:b w:val="0"/>
                <w:bCs w:val="0"/>
                <w:color w:val="auto"/>
                <w:sz w:val="22"/>
                <w:szCs w:val="22"/>
                <w:lang w:val="en-US" w:eastAsia="zh-CN"/>
              </w:rPr>
            </w:pPr>
          </w:p>
        </w:tc>
        <w:tc>
          <w:tcPr>
            <w:tcW w:w="3697" w:type="dxa"/>
            <w:vMerge w:val="continue"/>
            <w:tcBorders>
              <w:left w:val="single" w:color="auto" w:sz="4" w:space="0"/>
              <w:bottom w:val="single" w:color="auto" w:sz="4" w:space="0"/>
              <w:right w:val="single" w:color="auto" w:sz="4" w:space="0"/>
            </w:tcBorders>
            <w:noWrap w:val="0"/>
            <w:vAlign w:val="center"/>
          </w:tcPr>
          <w:p w14:paraId="0C05D5A9">
            <w:pPr>
              <w:jc w:val="both"/>
              <w:rPr>
                <w:rFonts w:hint="eastAsia" w:ascii="宋体" w:hAnsi="宋体" w:eastAsia="宋体" w:cs="宋体"/>
                <w:b w:val="0"/>
                <w:bCs w:val="0"/>
                <w:color w:val="auto"/>
                <w:sz w:val="22"/>
                <w:szCs w:val="22"/>
                <w:lang w:val="en-US" w:eastAsia="zh-CN"/>
              </w:rPr>
            </w:pPr>
          </w:p>
        </w:tc>
        <w:tc>
          <w:tcPr>
            <w:tcW w:w="3530" w:type="dxa"/>
            <w:tcBorders>
              <w:top w:val="single" w:color="auto" w:sz="4" w:space="0"/>
              <w:left w:val="single" w:color="auto" w:sz="4" w:space="0"/>
              <w:right w:val="single" w:color="auto" w:sz="4" w:space="0"/>
            </w:tcBorders>
            <w:noWrap w:val="0"/>
            <w:vAlign w:val="center"/>
          </w:tcPr>
          <w:p w14:paraId="44D5ACD3">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编制噪声治理方案（含绘制噪声地图）</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118DE8B">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4个</w:t>
            </w:r>
          </w:p>
        </w:tc>
      </w:tr>
      <w:tr w14:paraId="2C02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80" w:type="dxa"/>
            <w:vMerge w:val="continue"/>
            <w:tcBorders>
              <w:top w:val="single" w:color="auto" w:sz="4" w:space="0"/>
              <w:bottom w:val="single" w:color="auto" w:sz="4" w:space="0"/>
              <w:right w:val="single" w:color="auto" w:sz="4" w:space="0"/>
            </w:tcBorders>
            <w:noWrap w:val="0"/>
            <w:vAlign w:val="center"/>
          </w:tcPr>
          <w:p w14:paraId="391E415D">
            <w:pPr>
              <w:jc w:val="center"/>
              <w:rPr>
                <w:rFonts w:hint="eastAsia" w:ascii="宋体" w:hAnsi="宋体" w:eastAsia="宋体" w:cs="宋体"/>
                <w:b w:val="0"/>
                <w:bCs w:val="0"/>
                <w:color w:val="auto"/>
                <w:sz w:val="22"/>
                <w:szCs w:val="22"/>
                <w:lang w:val="en-US" w:eastAsia="zh-CN"/>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14:paraId="3F01B58D">
            <w:pPr>
              <w:jc w:val="both"/>
              <w:rPr>
                <w:rFonts w:hint="eastAsia" w:ascii="宋体" w:hAnsi="宋体" w:eastAsia="宋体" w:cs="宋体"/>
                <w:b w:val="0"/>
                <w:bCs w:val="0"/>
                <w:color w:val="auto"/>
                <w:sz w:val="22"/>
                <w:szCs w:val="22"/>
                <w:lang w:val="en-US" w:eastAsia="zh-CN"/>
              </w:rPr>
            </w:pPr>
          </w:p>
        </w:tc>
        <w:tc>
          <w:tcPr>
            <w:tcW w:w="3697" w:type="dxa"/>
            <w:vMerge w:val="continue"/>
            <w:tcBorders>
              <w:left w:val="single" w:color="auto" w:sz="4" w:space="0"/>
              <w:right w:val="single" w:color="auto" w:sz="4" w:space="0"/>
            </w:tcBorders>
            <w:noWrap w:val="0"/>
            <w:vAlign w:val="center"/>
          </w:tcPr>
          <w:p w14:paraId="0529C356">
            <w:pPr>
              <w:jc w:val="both"/>
              <w:rPr>
                <w:rFonts w:hint="eastAsia" w:ascii="宋体" w:hAnsi="宋体" w:eastAsia="宋体" w:cs="宋体"/>
                <w:b w:val="0"/>
                <w:bCs w:val="0"/>
                <w:color w:val="auto"/>
                <w:sz w:val="22"/>
                <w:szCs w:val="22"/>
                <w:lang w:val="en-US" w:eastAsia="zh-CN"/>
              </w:rPr>
            </w:pPr>
          </w:p>
        </w:tc>
        <w:tc>
          <w:tcPr>
            <w:tcW w:w="3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A99B88">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协助制定小区噪声管理制度和居民公约</w:t>
            </w:r>
          </w:p>
        </w:tc>
        <w:tc>
          <w:tcPr>
            <w:tcW w:w="8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38861E">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4个</w:t>
            </w:r>
          </w:p>
        </w:tc>
      </w:tr>
      <w:tr w14:paraId="2EBD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80" w:type="dxa"/>
            <w:vMerge w:val="restart"/>
            <w:tcBorders>
              <w:top w:val="single" w:color="auto" w:sz="4" w:space="0"/>
              <w:right w:val="single" w:color="auto" w:sz="4" w:space="0"/>
            </w:tcBorders>
            <w:noWrap w:val="0"/>
            <w:vAlign w:val="center"/>
          </w:tcPr>
          <w:p w14:paraId="68DC0230">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w:t>
            </w:r>
          </w:p>
        </w:tc>
        <w:tc>
          <w:tcPr>
            <w:tcW w:w="1380" w:type="dxa"/>
            <w:vMerge w:val="restart"/>
            <w:tcBorders>
              <w:top w:val="single" w:color="auto" w:sz="4" w:space="0"/>
              <w:left w:val="single" w:color="auto" w:sz="4" w:space="0"/>
              <w:right w:val="single" w:color="auto" w:sz="4" w:space="0"/>
            </w:tcBorders>
            <w:noWrap w:val="0"/>
            <w:vAlign w:val="center"/>
          </w:tcPr>
          <w:p w14:paraId="676F2AC0">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评审授牌</w:t>
            </w:r>
          </w:p>
        </w:tc>
        <w:tc>
          <w:tcPr>
            <w:tcW w:w="3697" w:type="dxa"/>
            <w:vMerge w:val="restart"/>
            <w:tcBorders>
              <w:left w:val="single" w:color="auto" w:sz="4" w:space="0"/>
              <w:right w:val="single" w:color="auto" w:sz="4" w:space="0"/>
            </w:tcBorders>
            <w:noWrap w:val="0"/>
            <w:vAlign w:val="center"/>
          </w:tcPr>
          <w:p w14:paraId="7C2BD2CD">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协助宁静小区完成整改并进行资料台账整理汇编，编制小区创建总结报告，报街道审核，组织专家评审，报市局复核，确定名单，完成授牌并公示</w:t>
            </w:r>
          </w:p>
        </w:tc>
        <w:tc>
          <w:tcPr>
            <w:tcW w:w="3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CC531D">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资料台账整理汇编</w:t>
            </w:r>
          </w:p>
        </w:tc>
        <w:tc>
          <w:tcPr>
            <w:tcW w:w="8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25288B">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4个</w:t>
            </w:r>
          </w:p>
        </w:tc>
      </w:tr>
      <w:tr w14:paraId="4639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80" w:type="dxa"/>
            <w:vMerge w:val="continue"/>
            <w:tcBorders>
              <w:right w:val="single" w:color="auto" w:sz="4" w:space="0"/>
            </w:tcBorders>
            <w:noWrap w:val="0"/>
            <w:vAlign w:val="center"/>
          </w:tcPr>
          <w:p w14:paraId="0D53D463">
            <w:pPr>
              <w:jc w:val="center"/>
              <w:rPr>
                <w:rFonts w:hint="eastAsia" w:ascii="宋体" w:hAnsi="宋体" w:eastAsia="宋体" w:cs="宋体"/>
                <w:b w:val="0"/>
                <w:bCs w:val="0"/>
                <w:color w:val="auto"/>
                <w:sz w:val="22"/>
                <w:szCs w:val="22"/>
                <w:lang w:val="en-US" w:eastAsia="zh-CN"/>
              </w:rPr>
            </w:pPr>
          </w:p>
        </w:tc>
        <w:tc>
          <w:tcPr>
            <w:tcW w:w="1380" w:type="dxa"/>
            <w:vMerge w:val="continue"/>
            <w:tcBorders>
              <w:left w:val="single" w:color="auto" w:sz="4" w:space="0"/>
              <w:right w:val="single" w:color="auto" w:sz="4" w:space="0"/>
            </w:tcBorders>
            <w:noWrap w:val="0"/>
            <w:vAlign w:val="center"/>
          </w:tcPr>
          <w:p w14:paraId="6A466983">
            <w:pPr>
              <w:jc w:val="both"/>
              <w:rPr>
                <w:rFonts w:hint="eastAsia" w:ascii="宋体" w:hAnsi="宋体" w:eastAsia="宋体" w:cs="宋体"/>
                <w:b w:val="0"/>
                <w:bCs w:val="0"/>
                <w:color w:val="auto"/>
                <w:sz w:val="22"/>
                <w:szCs w:val="22"/>
                <w:lang w:val="en-US" w:eastAsia="zh-CN"/>
              </w:rPr>
            </w:pPr>
          </w:p>
        </w:tc>
        <w:tc>
          <w:tcPr>
            <w:tcW w:w="3697" w:type="dxa"/>
            <w:vMerge w:val="continue"/>
            <w:tcBorders>
              <w:left w:val="single" w:color="auto" w:sz="4" w:space="0"/>
              <w:right w:val="single" w:color="auto" w:sz="4" w:space="0"/>
            </w:tcBorders>
            <w:noWrap w:val="0"/>
            <w:vAlign w:val="center"/>
          </w:tcPr>
          <w:p w14:paraId="7AA9756B">
            <w:pPr>
              <w:jc w:val="both"/>
              <w:rPr>
                <w:rFonts w:hint="eastAsia" w:ascii="宋体" w:hAnsi="宋体" w:eastAsia="宋体" w:cs="宋体"/>
                <w:b w:val="0"/>
                <w:bCs w:val="0"/>
                <w:color w:val="auto"/>
                <w:sz w:val="22"/>
                <w:szCs w:val="22"/>
                <w:lang w:val="en-US" w:eastAsia="zh-CN"/>
              </w:rPr>
            </w:pPr>
          </w:p>
        </w:tc>
        <w:tc>
          <w:tcPr>
            <w:tcW w:w="3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06CB58">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编制小区总结报告</w:t>
            </w:r>
          </w:p>
        </w:tc>
        <w:tc>
          <w:tcPr>
            <w:tcW w:w="8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897F30">
            <w:pPr>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4个</w:t>
            </w:r>
          </w:p>
        </w:tc>
      </w:tr>
      <w:tr w14:paraId="3CFC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80" w:type="dxa"/>
            <w:vMerge w:val="continue"/>
            <w:tcBorders>
              <w:bottom w:val="single" w:color="auto" w:sz="4" w:space="0"/>
              <w:right w:val="single" w:color="auto" w:sz="4" w:space="0"/>
            </w:tcBorders>
            <w:noWrap w:val="0"/>
            <w:vAlign w:val="center"/>
          </w:tcPr>
          <w:p w14:paraId="5903C04E">
            <w:pPr>
              <w:jc w:val="center"/>
              <w:rPr>
                <w:rFonts w:hint="eastAsia" w:ascii="宋体" w:hAnsi="宋体" w:eastAsia="宋体" w:cs="宋体"/>
                <w:b w:val="0"/>
                <w:bCs w:val="0"/>
                <w:color w:val="auto"/>
                <w:sz w:val="22"/>
                <w:szCs w:val="22"/>
                <w:lang w:val="en-US" w:eastAsia="zh-CN"/>
              </w:rPr>
            </w:pPr>
          </w:p>
        </w:tc>
        <w:tc>
          <w:tcPr>
            <w:tcW w:w="1380" w:type="dxa"/>
            <w:vMerge w:val="continue"/>
            <w:tcBorders>
              <w:left w:val="single" w:color="auto" w:sz="4" w:space="0"/>
              <w:bottom w:val="single" w:color="auto" w:sz="4" w:space="0"/>
              <w:right w:val="single" w:color="auto" w:sz="4" w:space="0"/>
            </w:tcBorders>
            <w:noWrap w:val="0"/>
            <w:vAlign w:val="center"/>
          </w:tcPr>
          <w:p w14:paraId="63C475CD">
            <w:pPr>
              <w:jc w:val="both"/>
              <w:rPr>
                <w:rFonts w:hint="eastAsia" w:ascii="宋体" w:hAnsi="宋体" w:eastAsia="宋体" w:cs="宋体"/>
                <w:b w:val="0"/>
                <w:bCs w:val="0"/>
                <w:color w:val="auto"/>
                <w:sz w:val="22"/>
                <w:szCs w:val="22"/>
                <w:lang w:val="en-US" w:eastAsia="zh-CN"/>
              </w:rPr>
            </w:pPr>
          </w:p>
        </w:tc>
        <w:tc>
          <w:tcPr>
            <w:tcW w:w="3697" w:type="dxa"/>
            <w:vMerge w:val="continue"/>
            <w:tcBorders>
              <w:left w:val="single" w:color="auto" w:sz="4" w:space="0"/>
              <w:right w:val="single" w:color="auto" w:sz="4" w:space="0"/>
            </w:tcBorders>
            <w:noWrap w:val="0"/>
            <w:vAlign w:val="center"/>
          </w:tcPr>
          <w:p w14:paraId="19A2D895">
            <w:pPr>
              <w:jc w:val="both"/>
              <w:rPr>
                <w:rFonts w:hint="eastAsia" w:ascii="宋体" w:hAnsi="宋体" w:eastAsia="宋体" w:cs="宋体"/>
                <w:b w:val="0"/>
                <w:bCs w:val="0"/>
                <w:color w:val="auto"/>
                <w:sz w:val="22"/>
                <w:szCs w:val="22"/>
                <w:lang w:val="en-US" w:eastAsia="zh-CN"/>
              </w:rPr>
            </w:pPr>
          </w:p>
        </w:tc>
        <w:tc>
          <w:tcPr>
            <w:tcW w:w="3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18D963">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完成专家评审</w:t>
            </w:r>
          </w:p>
        </w:tc>
        <w:tc>
          <w:tcPr>
            <w:tcW w:w="8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832053">
            <w:pPr>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4个</w:t>
            </w:r>
          </w:p>
        </w:tc>
      </w:tr>
      <w:tr w14:paraId="0048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80" w:type="dxa"/>
            <w:tcBorders>
              <w:top w:val="single" w:color="auto" w:sz="4" w:space="0"/>
              <w:right w:val="single" w:color="auto" w:sz="4" w:space="0"/>
            </w:tcBorders>
            <w:noWrap w:val="0"/>
            <w:vAlign w:val="center"/>
          </w:tcPr>
          <w:p w14:paraId="5A2D4FE2">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w:t>
            </w:r>
          </w:p>
        </w:tc>
        <w:tc>
          <w:tcPr>
            <w:tcW w:w="1380" w:type="dxa"/>
            <w:tcBorders>
              <w:top w:val="single" w:color="auto" w:sz="4" w:space="0"/>
              <w:left w:val="single" w:color="auto" w:sz="4" w:space="0"/>
              <w:right w:val="single" w:color="auto" w:sz="4" w:space="0"/>
            </w:tcBorders>
            <w:noWrap w:val="0"/>
            <w:vAlign w:val="center"/>
          </w:tcPr>
          <w:p w14:paraId="1BFAB769">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管理与复核</w:t>
            </w:r>
          </w:p>
        </w:tc>
        <w:tc>
          <w:tcPr>
            <w:tcW w:w="3697" w:type="dxa"/>
            <w:tcBorders>
              <w:left w:val="single" w:color="auto" w:sz="4" w:space="0"/>
              <w:right w:val="single" w:color="auto" w:sz="4" w:space="0"/>
            </w:tcBorders>
            <w:noWrap w:val="0"/>
            <w:vAlign w:val="center"/>
          </w:tcPr>
          <w:p w14:paraId="6CE6DB19">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协助小区建立长效管理机制，协助指导小区设备进行日常维护和台账记录</w:t>
            </w:r>
          </w:p>
        </w:tc>
        <w:tc>
          <w:tcPr>
            <w:tcW w:w="3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820479">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协助小区设备进行日常维护和台账记录</w:t>
            </w:r>
          </w:p>
        </w:tc>
        <w:tc>
          <w:tcPr>
            <w:tcW w:w="8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68CE9C">
            <w:pPr>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4个</w:t>
            </w:r>
          </w:p>
        </w:tc>
      </w:tr>
      <w:tr w14:paraId="0F8F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80" w:type="dxa"/>
            <w:vMerge w:val="restart"/>
            <w:tcBorders>
              <w:right w:val="single" w:color="auto" w:sz="4" w:space="0"/>
            </w:tcBorders>
            <w:noWrap w:val="0"/>
            <w:vAlign w:val="center"/>
          </w:tcPr>
          <w:p w14:paraId="53A83997">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5</w:t>
            </w:r>
          </w:p>
        </w:tc>
        <w:tc>
          <w:tcPr>
            <w:tcW w:w="1380" w:type="dxa"/>
            <w:vMerge w:val="restart"/>
            <w:tcBorders>
              <w:left w:val="single" w:color="auto" w:sz="4" w:space="0"/>
              <w:right w:val="single" w:color="auto" w:sz="4" w:space="0"/>
            </w:tcBorders>
            <w:noWrap w:val="0"/>
            <w:vAlign w:val="center"/>
          </w:tcPr>
          <w:p w14:paraId="6806466B">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硬件设施</w:t>
            </w:r>
          </w:p>
        </w:tc>
        <w:tc>
          <w:tcPr>
            <w:tcW w:w="3697" w:type="dxa"/>
            <w:vMerge w:val="restart"/>
            <w:tcBorders>
              <w:left w:val="single" w:color="auto" w:sz="4" w:space="0"/>
              <w:right w:val="single" w:color="auto" w:sz="4" w:space="0"/>
            </w:tcBorders>
            <w:noWrap w:val="0"/>
            <w:vAlign w:val="center"/>
          </w:tcPr>
          <w:p w14:paraId="09D981D2">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配置噪声自动监测设备和手持式噪声监测仪，制作宁静小区宣传提示牌及标语</w:t>
            </w:r>
          </w:p>
        </w:tc>
        <w:tc>
          <w:tcPr>
            <w:tcW w:w="3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00682F">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噪声自动监测设备</w:t>
            </w:r>
          </w:p>
        </w:tc>
        <w:tc>
          <w:tcPr>
            <w:tcW w:w="8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E97585">
            <w:pPr>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4台</w:t>
            </w:r>
          </w:p>
        </w:tc>
      </w:tr>
      <w:tr w14:paraId="262F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80" w:type="dxa"/>
            <w:vMerge w:val="continue"/>
            <w:tcBorders>
              <w:right w:val="single" w:color="auto" w:sz="4" w:space="0"/>
            </w:tcBorders>
            <w:noWrap w:val="0"/>
            <w:vAlign w:val="center"/>
          </w:tcPr>
          <w:p w14:paraId="5993B21A">
            <w:pPr>
              <w:jc w:val="center"/>
              <w:rPr>
                <w:rFonts w:hint="eastAsia" w:ascii="宋体" w:hAnsi="宋体" w:eastAsia="宋体" w:cs="宋体"/>
                <w:b w:val="0"/>
                <w:bCs w:val="0"/>
                <w:color w:val="auto"/>
                <w:sz w:val="22"/>
                <w:szCs w:val="22"/>
                <w:lang w:val="en-US" w:eastAsia="zh-CN"/>
              </w:rPr>
            </w:pPr>
          </w:p>
        </w:tc>
        <w:tc>
          <w:tcPr>
            <w:tcW w:w="1380" w:type="dxa"/>
            <w:vMerge w:val="continue"/>
            <w:tcBorders>
              <w:left w:val="single" w:color="auto" w:sz="4" w:space="0"/>
              <w:right w:val="single" w:color="auto" w:sz="4" w:space="0"/>
            </w:tcBorders>
            <w:noWrap w:val="0"/>
            <w:vAlign w:val="center"/>
          </w:tcPr>
          <w:p w14:paraId="7286FB77">
            <w:pPr>
              <w:jc w:val="both"/>
              <w:rPr>
                <w:rFonts w:hint="eastAsia" w:ascii="宋体" w:hAnsi="宋体" w:eastAsia="宋体" w:cs="宋体"/>
                <w:b w:val="0"/>
                <w:bCs w:val="0"/>
                <w:color w:val="auto"/>
                <w:sz w:val="22"/>
                <w:szCs w:val="22"/>
                <w:lang w:val="en-US" w:eastAsia="zh-CN"/>
              </w:rPr>
            </w:pPr>
          </w:p>
        </w:tc>
        <w:tc>
          <w:tcPr>
            <w:tcW w:w="3697" w:type="dxa"/>
            <w:vMerge w:val="continue"/>
            <w:tcBorders>
              <w:left w:val="single" w:color="auto" w:sz="4" w:space="0"/>
              <w:right w:val="single" w:color="auto" w:sz="4" w:space="0"/>
            </w:tcBorders>
            <w:noWrap w:val="0"/>
            <w:vAlign w:val="center"/>
          </w:tcPr>
          <w:p w14:paraId="5B9FBA88">
            <w:pPr>
              <w:jc w:val="both"/>
              <w:rPr>
                <w:rFonts w:hint="eastAsia" w:ascii="宋体" w:hAnsi="宋体" w:eastAsia="宋体" w:cs="宋体"/>
                <w:b w:val="0"/>
                <w:bCs w:val="0"/>
                <w:color w:val="auto"/>
                <w:sz w:val="22"/>
                <w:szCs w:val="22"/>
                <w:lang w:val="en-US" w:eastAsia="zh-CN"/>
              </w:rPr>
            </w:pPr>
          </w:p>
        </w:tc>
        <w:tc>
          <w:tcPr>
            <w:tcW w:w="3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7778C4">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手持式噪声监测仪</w:t>
            </w:r>
          </w:p>
        </w:tc>
        <w:tc>
          <w:tcPr>
            <w:tcW w:w="8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E74C7C">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4台</w:t>
            </w:r>
          </w:p>
        </w:tc>
      </w:tr>
      <w:tr w14:paraId="629C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80" w:type="dxa"/>
            <w:vMerge w:val="continue"/>
            <w:tcBorders>
              <w:right w:val="single" w:color="auto" w:sz="4" w:space="0"/>
            </w:tcBorders>
            <w:noWrap w:val="0"/>
            <w:vAlign w:val="center"/>
          </w:tcPr>
          <w:p w14:paraId="764C52DA">
            <w:pPr>
              <w:jc w:val="center"/>
              <w:rPr>
                <w:rFonts w:hint="eastAsia" w:ascii="宋体" w:hAnsi="宋体" w:eastAsia="宋体" w:cs="宋体"/>
                <w:b w:val="0"/>
                <w:bCs w:val="0"/>
                <w:color w:val="auto"/>
                <w:sz w:val="22"/>
                <w:szCs w:val="22"/>
                <w:lang w:val="en-US" w:eastAsia="zh-CN"/>
              </w:rPr>
            </w:pPr>
          </w:p>
        </w:tc>
        <w:tc>
          <w:tcPr>
            <w:tcW w:w="1380" w:type="dxa"/>
            <w:vMerge w:val="continue"/>
            <w:tcBorders>
              <w:left w:val="single" w:color="auto" w:sz="4" w:space="0"/>
              <w:right w:val="single" w:color="auto" w:sz="4" w:space="0"/>
            </w:tcBorders>
            <w:noWrap w:val="0"/>
            <w:vAlign w:val="center"/>
          </w:tcPr>
          <w:p w14:paraId="570B9FD0">
            <w:pPr>
              <w:jc w:val="both"/>
              <w:rPr>
                <w:rFonts w:hint="eastAsia" w:ascii="宋体" w:hAnsi="宋体" w:eastAsia="宋体" w:cs="宋体"/>
                <w:b w:val="0"/>
                <w:bCs w:val="0"/>
                <w:color w:val="auto"/>
                <w:sz w:val="22"/>
                <w:szCs w:val="22"/>
                <w:lang w:val="en-US" w:eastAsia="zh-CN"/>
              </w:rPr>
            </w:pPr>
          </w:p>
        </w:tc>
        <w:tc>
          <w:tcPr>
            <w:tcW w:w="3697" w:type="dxa"/>
            <w:vMerge w:val="continue"/>
            <w:tcBorders>
              <w:left w:val="single" w:color="auto" w:sz="4" w:space="0"/>
              <w:right w:val="single" w:color="auto" w:sz="4" w:space="0"/>
            </w:tcBorders>
            <w:noWrap w:val="0"/>
            <w:vAlign w:val="center"/>
          </w:tcPr>
          <w:p w14:paraId="04D9A8E7">
            <w:pPr>
              <w:jc w:val="both"/>
              <w:rPr>
                <w:rFonts w:hint="eastAsia" w:ascii="宋体" w:hAnsi="宋体" w:eastAsia="宋体" w:cs="宋体"/>
                <w:b w:val="0"/>
                <w:bCs w:val="0"/>
                <w:color w:val="auto"/>
                <w:sz w:val="22"/>
                <w:szCs w:val="22"/>
                <w:lang w:val="en-US" w:eastAsia="zh-CN"/>
              </w:rPr>
            </w:pPr>
          </w:p>
        </w:tc>
        <w:tc>
          <w:tcPr>
            <w:tcW w:w="3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7788DB">
            <w:pPr>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宁静小区宣传提示牌及标语</w:t>
            </w:r>
          </w:p>
        </w:tc>
        <w:tc>
          <w:tcPr>
            <w:tcW w:w="8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415FC0">
            <w:pPr>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24份</w:t>
            </w:r>
          </w:p>
        </w:tc>
      </w:tr>
    </w:tbl>
    <w:p w14:paraId="25222EF9">
      <w:pPr>
        <w:keepNext w:val="0"/>
        <w:keepLines w:val="0"/>
        <w:pageBreakBefore w:val="0"/>
        <w:widowControl w:val="0"/>
        <w:kinsoku/>
        <w:wordWrap/>
        <w:overflowPunct/>
        <w:topLinePunct w:val="0"/>
        <w:bidi w:val="0"/>
        <w:spacing w:line="360" w:lineRule="auto"/>
        <w:outlineLvl w:val="1"/>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五、商务需求</w:t>
      </w:r>
    </w:p>
    <w:p w14:paraId="4FC080DE">
      <w:pPr>
        <w:pageBreakBefore w:val="0"/>
        <w:widowControl w:val="0"/>
        <w:kinsoku/>
        <w:overflowPunct/>
        <w:autoSpaceDE w:val="0"/>
        <w:autoSpaceDN w:val="0"/>
        <w:bidi w:val="0"/>
        <w:adjustRightInd w:val="0"/>
        <w:snapToGrid w:val="0"/>
        <w:spacing w:line="360" w:lineRule="auto"/>
        <w:ind w:firstLine="420" w:firstLineChars="191"/>
        <w:textAlignment w:val="bottom"/>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1、服务期限：自合同签订起一年</w:t>
      </w:r>
      <w:r>
        <w:rPr>
          <w:rFonts w:hint="eastAsia" w:ascii="宋体" w:hAnsi="宋体" w:eastAsia="宋体" w:cs="宋体"/>
          <w:b w:val="0"/>
          <w:color w:val="auto"/>
          <w:sz w:val="22"/>
          <w:szCs w:val="22"/>
          <w:highlight w:val="none"/>
          <w:lang w:val="zh-CN" w:eastAsia="zh-CN"/>
        </w:rPr>
        <w:t>。</w:t>
      </w:r>
    </w:p>
    <w:p w14:paraId="2D7045D5">
      <w:pPr>
        <w:pageBreakBefore w:val="0"/>
        <w:widowControl w:val="0"/>
        <w:kinsoku/>
        <w:overflowPunct/>
        <w:autoSpaceDE w:val="0"/>
        <w:autoSpaceDN w:val="0"/>
        <w:bidi w:val="0"/>
        <w:adjustRightInd w:val="0"/>
        <w:snapToGrid w:val="0"/>
        <w:spacing w:line="360" w:lineRule="auto"/>
        <w:ind w:firstLine="420" w:firstLineChars="191"/>
        <w:textAlignment w:val="bottom"/>
        <w:rPr>
          <w:rFonts w:hint="eastAsia" w:ascii="宋体" w:hAnsi="宋体" w:eastAsia="宋体" w:cs="宋体"/>
          <w:b w:val="0"/>
          <w:color w:val="auto"/>
          <w:sz w:val="22"/>
          <w:szCs w:val="22"/>
          <w:highlight w:val="none"/>
          <w:lang w:val="zh-CN" w:eastAsia="zh-CN"/>
        </w:rPr>
      </w:pPr>
      <w:r>
        <w:rPr>
          <w:rFonts w:hint="eastAsia" w:ascii="宋体" w:hAnsi="宋体" w:eastAsia="宋体" w:cs="宋体"/>
          <w:b w:val="0"/>
          <w:color w:val="auto"/>
          <w:sz w:val="22"/>
          <w:szCs w:val="22"/>
          <w:highlight w:val="none"/>
          <w:lang w:val="en-US" w:eastAsia="zh-CN"/>
        </w:rPr>
        <w:t>2、服务地点：</w:t>
      </w:r>
      <w:r>
        <w:rPr>
          <w:rFonts w:hint="eastAsia" w:ascii="宋体" w:hAnsi="宋体" w:eastAsia="宋体" w:cs="宋体"/>
          <w:b w:val="0"/>
          <w:color w:val="auto"/>
          <w:sz w:val="22"/>
          <w:szCs w:val="22"/>
          <w:highlight w:val="none"/>
          <w:lang w:val="zh-CN" w:eastAsia="zh-CN"/>
        </w:rPr>
        <w:t>采购人指定地点。</w:t>
      </w:r>
    </w:p>
    <w:p w14:paraId="28A41A23">
      <w:pPr>
        <w:pageBreakBefore w:val="0"/>
        <w:widowControl w:val="0"/>
        <w:kinsoku/>
        <w:overflowPunct/>
        <w:autoSpaceDE w:val="0"/>
        <w:autoSpaceDN w:val="0"/>
        <w:bidi w:val="0"/>
        <w:adjustRightInd w:val="0"/>
        <w:snapToGrid w:val="0"/>
        <w:spacing w:line="360" w:lineRule="auto"/>
        <w:ind w:firstLine="420" w:firstLineChars="191"/>
        <w:textAlignment w:val="bottom"/>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3、付款条件：签订合同后，在合同生效以及具备实施条件后7个工作日内支付合同金额的50%作为预付款，项目结束提交并提交成果材料后15个工作日后支付合同金额的50%。</w:t>
      </w:r>
    </w:p>
    <w:p w14:paraId="117DC277">
      <w:pPr>
        <w:pageBreakBefore w:val="0"/>
        <w:widowControl w:val="0"/>
        <w:kinsoku/>
        <w:overflowPunct/>
        <w:autoSpaceDE w:val="0"/>
        <w:autoSpaceDN w:val="0"/>
        <w:bidi w:val="0"/>
        <w:adjustRightInd w:val="0"/>
        <w:snapToGrid w:val="0"/>
        <w:spacing w:line="324" w:lineRule="auto"/>
        <w:jc w:val="center"/>
        <w:outlineLvl w:val="0"/>
        <w:rPr>
          <w:rFonts w:hint="eastAsia" w:ascii="宋体" w:eastAsia="宋体"/>
          <w:color w:val="auto"/>
          <w:sz w:val="36"/>
          <w:highlight w:val="none"/>
          <w:lang w:val="zh-CN"/>
        </w:rPr>
      </w:pPr>
    </w:p>
    <w:p w14:paraId="316806E1">
      <w:pPr>
        <w:pageBreakBefore w:val="0"/>
        <w:widowControl w:val="0"/>
        <w:kinsoku/>
        <w:overflowPunct/>
        <w:autoSpaceDE w:val="0"/>
        <w:autoSpaceDN w:val="0"/>
        <w:bidi w:val="0"/>
        <w:adjustRightInd w:val="0"/>
        <w:snapToGrid w:val="0"/>
        <w:spacing w:line="324" w:lineRule="auto"/>
        <w:jc w:val="center"/>
        <w:outlineLvl w:val="0"/>
        <w:rPr>
          <w:rFonts w:hint="eastAsia" w:ascii="宋体" w:eastAsia="宋体"/>
          <w:color w:val="auto"/>
          <w:sz w:val="36"/>
          <w:highlight w:val="none"/>
          <w:lang w:val="zh-CN"/>
        </w:rPr>
      </w:pPr>
    </w:p>
    <w:p w14:paraId="3652332D">
      <w:pPr>
        <w:pageBreakBefore w:val="0"/>
        <w:widowControl w:val="0"/>
        <w:kinsoku/>
        <w:overflowPunct/>
        <w:autoSpaceDE w:val="0"/>
        <w:autoSpaceDN w:val="0"/>
        <w:bidi w:val="0"/>
        <w:adjustRightInd w:val="0"/>
        <w:snapToGrid w:val="0"/>
        <w:spacing w:line="324" w:lineRule="auto"/>
        <w:jc w:val="center"/>
        <w:outlineLvl w:val="0"/>
        <w:rPr>
          <w:rFonts w:hint="eastAsia" w:ascii="宋体" w:eastAsia="宋体"/>
          <w:color w:val="auto"/>
          <w:sz w:val="36"/>
          <w:highlight w:val="none"/>
          <w:lang w:val="zh-CN"/>
        </w:rPr>
      </w:pPr>
      <w:r>
        <w:rPr>
          <w:rFonts w:hint="eastAsia" w:ascii="宋体" w:eastAsia="宋体"/>
          <w:color w:val="auto"/>
          <w:sz w:val="36"/>
          <w:highlight w:val="none"/>
          <w:lang w:val="zh-CN"/>
        </w:rPr>
        <w:t>第四部分</w:t>
      </w:r>
      <w:r>
        <w:rPr>
          <w:rFonts w:hint="eastAsia" w:ascii="宋体" w:eastAsia="宋体"/>
          <w:color w:val="auto"/>
          <w:sz w:val="36"/>
          <w:highlight w:val="none"/>
        </w:rPr>
        <w:t xml:space="preserve"> </w:t>
      </w:r>
      <w:r>
        <w:rPr>
          <w:rFonts w:hint="eastAsia" w:ascii="宋体" w:eastAsia="宋体"/>
          <w:color w:val="auto"/>
          <w:sz w:val="36"/>
          <w:highlight w:val="none"/>
          <w:lang w:val="en-US" w:eastAsia="zh-CN"/>
        </w:rPr>
        <w:t xml:space="preserve"> </w:t>
      </w:r>
      <w:r>
        <w:rPr>
          <w:rFonts w:hint="eastAsia" w:ascii="宋体" w:eastAsia="宋体"/>
          <w:color w:val="auto"/>
          <w:sz w:val="36"/>
          <w:highlight w:val="none"/>
          <w:lang w:val="zh-CN"/>
        </w:rPr>
        <w:t>供应商须知</w:t>
      </w:r>
      <w:bookmarkEnd w:id="14"/>
    </w:p>
    <w:p w14:paraId="65C67FED">
      <w:pPr>
        <w:pageBreakBefore w:val="0"/>
        <w:widowControl w:val="0"/>
        <w:kinsoku/>
        <w:overflowPunct/>
        <w:autoSpaceDE w:val="0"/>
        <w:autoSpaceDN w:val="0"/>
        <w:bidi w:val="0"/>
        <w:adjustRightInd w:val="0"/>
        <w:snapToGrid w:val="0"/>
        <w:spacing w:line="360" w:lineRule="auto"/>
        <w:outlineLvl w:val="1"/>
        <w:rPr>
          <w:rFonts w:hint="eastAsia" w:ascii="宋体" w:eastAsia="宋体"/>
          <w:color w:val="auto"/>
          <w:sz w:val="22"/>
          <w:szCs w:val="22"/>
          <w:highlight w:val="none"/>
          <w:lang w:val="zh-CN"/>
        </w:rPr>
      </w:pPr>
      <w:bookmarkStart w:id="15" w:name="_Toc2666"/>
      <w:r>
        <w:rPr>
          <w:rFonts w:hint="eastAsia" w:ascii="宋体" w:eastAsia="宋体"/>
          <w:color w:val="auto"/>
          <w:sz w:val="22"/>
          <w:szCs w:val="22"/>
          <w:highlight w:val="none"/>
          <w:lang w:val="zh-CN"/>
        </w:rPr>
        <w:t>一、说明</w:t>
      </w:r>
      <w:bookmarkEnd w:id="15"/>
    </w:p>
    <w:p w14:paraId="41169A09">
      <w:pPr>
        <w:pageBreakBefore w:val="0"/>
        <w:widowControl w:val="0"/>
        <w:kinsoku/>
        <w:overflowPunct/>
        <w:autoSpaceDE w:val="0"/>
        <w:autoSpaceDN w:val="0"/>
        <w:bidi w:val="0"/>
        <w:adjustRightInd w:val="0"/>
        <w:snapToGrid w:val="0"/>
        <w:spacing w:line="360" w:lineRule="auto"/>
        <w:ind w:firstLine="420" w:firstLineChars="191"/>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1、本次采购工作是按照《中华人民共和国政府采购法》、《政府采购货物和服务招标投标管理办法》、《</w:t>
      </w:r>
      <w:r>
        <w:rPr>
          <w:rFonts w:hint="eastAsia" w:ascii="宋体" w:eastAsia="宋体"/>
          <w:b w:val="0"/>
          <w:bCs w:val="0"/>
          <w:color w:val="auto"/>
          <w:sz w:val="22"/>
          <w:szCs w:val="22"/>
          <w:highlight w:val="none"/>
        </w:rPr>
        <w:t>浙江省财政厅、省监察厅关于进一步规范政府采购活动的若干意见</w:t>
      </w:r>
      <w:r>
        <w:rPr>
          <w:rFonts w:hint="eastAsia" w:ascii="宋体" w:eastAsia="宋体"/>
          <w:b w:val="0"/>
          <w:color w:val="auto"/>
          <w:sz w:val="22"/>
          <w:szCs w:val="22"/>
          <w:highlight w:val="none"/>
        </w:rPr>
        <w:t>》及相关法律规章组织和实施。</w:t>
      </w:r>
    </w:p>
    <w:p w14:paraId="1D50494A">
      <w:pPr>
        <w:pageBreakBefore w:val="0"/>
        <w:widowControl w:val="0"/>
        <w:kinsoku/>
        <w:overflowPunct/>
        <w:autoSpaceDE w:val="0"/>
        <w:autoSpaceDN w:val="0"/>
        <w:bidi w:val="0"/>
        <w:adjustRightInd w:val="0"/>
        <w:snapToGrid w:val="0"/>
        <w:spacing w:line="360" w:lineRule="auto"/>
        <w:ind w:firstLine="433" w:firstLineChars="196"/>
        <w:jc w:val="left"/>
        <w:textAlignment w:val="bottom"/>
        <w:rPr>
          <w:rFonts w:hint="eastAsia" w:ascii="宋体" w:eastAsia="宋体"/>
          <w:color w:val="auto"/>
          <w:sz w:val="22"/>
          <w:szCs w:val="22"/>
          <w:highlight w:val="none"/>
          <w:u w:val="single"/>
        </w:rPr>
      </w:pPr>
      <w:r>
        <w:rPr>
          <w:rFonts w:hint="eastAsia" w:ascii="宋体" w:eastAsia="宋体"/>
          <w:color w:val="auto"/>
          <w:sz w:val="22"/>
          <w:szCs w:val="22"/>
          <w:highlight w:val="none"/>
          <w:u w:val="single"/>
        </w:rPr>
        <w:t>2、供应商须对全部服务进行投标报价，只对部分内容进行投标报价的供应商将按无效投标处理。</w:t>
      </w:r>
    </w:p>
    <w:p w14:paraId="7078C0C2">
      <w:pPr>
        <w:pageBreakBefore w:val="0"/>
        <w:widowControl w:val="0"/>
        <w:kinsoku/>
        <w:overflowPunct/>
        <w:autoSpaceDE w:val="0"/>
        <w:autoSpaceDN w:val="0"/>
        <w:bidi w:val="0"/>
        <w:adjustRightInd w:val="0"/>
        <w:snapToGrid w:val="0"/>
        <w:spacing w:line="360" w:lineRule="auto"/>
        <w:ind w:firstLine="431" w:firstLineChars="196"/>
        <w:jc w:val="left"/>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3、无论磋商过程中</w:t>
      </w:r>
      <w:r>
        <w:rPr>
          <w:rFonts w:hint="eastAsia" w:ascii="宋体" w:eastAsia="宋体"/>
          <w:b w:val="0"/>
          <w:color w:val="auto"/>
          <w:sz w:val="22"/>
          <w:szCs w:val="22"/>
          <w:highlight w:val="none"/>
          <w:lang w:eastAsia="zh-CN"/>
        </w:rPr>
        <w:t>的做法</w:t>
      </w:r>
      <w:r>
        <w:rPr>
          <w:rFonts w:hint="eastAsia" w:ascii="宋体" w:eastAsia="宋体"/>
          <w:b w:val="0"/>
          <w:color w:val="auto"/>
          <w:sz w:val="22"/>
          <w:szCs w:val="22"/>
          <w:highlight w:val="none"/>
        </w:rPr>
        <w:t>和结果如何，供应商自行承担磋商活动中所发生的全部费用。采购人有权选择成交供应商的供货和服务范围。</w:t>
      </w:r>
    </w:p>
    <w:p w14:paraId="1AC9947C">
      <w:pPr>
        <w:pageBreakBefore w:val="0"/>
        <w:widowControl w:val="0"/>
        <w:kinsoku/>
        <w:overflowPunct/>
        <w:autoSpaceDE w:val="0"/>
        <w:autoSpaceDN w:val="0"/>
        <w:bidi w:val="0"/>
        <w:adjustRightInd w:val="0"/>
        <w:snapToGrid w:val="0"/>
        <w:spacing w:line="360" w:lineRule="auto"/>
        <w:ind w:firstLine="45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4、本次磋商采购文件、磋商响应文件都以中文为准。报价统一采用人民币报价。</w:t>
      </w:r>
    </w:p>
    <w:p w14:paraId="63BC4E99">
      <w:pPr>
        <w:pageBreakBefore w:val="0"/>
        <w:widowControl w:val="0"/>
        <w:kinsoku/>
        <w:overflowPunct/>
        <w:bidi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rPr>
        <w:t>5、▲本项目采用竞争性磋商采购方式进行采购，在磋商过程中，磋商小组可以根据磋商文件和磋商情况实质性变动采购需求中的技术、服务要求以及合同草案条款，但不得变动磋商文件中的其他内容。已提交磋商响应文件的供应商，在提交最后报价之前，可以根据磋商情况退出磋商。</w:t>
      </w:r>
    </w:p>
    <w:p w14:paraId="04DE5DF5">
      <w:pPr>
        <w:pageBreakBefore w:val="0"/>
        <w:widowControl/>
        <w:kinsoku/>
        <w:overflowPunct/>
        <w:autoSpaceDE w:val="0"/>
        <w:autoSpaceDN w:val="0"/>
        <w:bidi w:val="0"/>
        <w:adjustRightInd w:val="0"/>
        <w:spacing w:line="360" w:lineRule="auto"/>
        <w:ind w:firstLine="440" w:firstLineChars="200"/>
        <w:textAlignment w:val="bottom"/>
        <w:rPr>
          <w:rFonts w:hint="eastAsia" w:ascii="宋体" w:eastAsia="宋体"/>
          <w:color w:val="auto"/>
          <w:highlight w:val="none"/>
        </w:rPr>
      </w:pPr>
      <w:r>
        <w:rPr>
          <w:rFonts w:hint="eastAsia" w:ascii="宋体" w:eastAsia="宋体"/>
          <w:b w:val="0"/>
          <w:color w:val="auto"/>
          <w:sz w:val="22"/>
          <w:szCs w:val="22"/>
          <w:highlight w:val="none"/>
        </w:rPr>
        <w:t>6、本次报价为直至验收合格的最终价格。</w:t>
      </w:r>
    </w:p>
    <w:p w14:paraId="3DAD4714">
      <w:pPr>
        <w:pageBreakBefore w:val="0"/>
        <w:widowControl w:val="0"/>
        <w:kinsoku/>
        <w:overflowPunct/>
        <w:autoSpaceDE w:val="0"/>
        <w:autoSpaceDN w:val="0"/>
        <w:bidi w:val="0"/>
        <w:adjustRightInd w:val="0"/>
        <w:snapToGrid w:val="0"/>
        <w:spacing w:line="360" w:lineRule="auto"/>
        <w:ind w:firstLine="433" w:firstLineChars="196"/>
        <w:jc w:val="left"/>
        <w:textAlignment w:val="bottom"/>
        <w:rPr>
          <w:rFonts w:hint="eastAsia" w:ascii="宋体" w:eastAsia="宋体"/>
          <w:bCs w:val="0"/>
          <w:color w:val="auto"/>
          <w:sz w:val="22"/>
          <w:szCs w:val="22"/>
          <w:highlight w:val="none"/>
        </w:rPr>
      </w:pPr>
      <w:r>
        <w:rPr>
          <w:rFonts w:hint="eastAsia" w:ascii="宋体" w:eastAsia="宋体"/>
          <w:bCs w:val="0"/>
          <w:color w:val="auto"/>
          <w:sz w:val="22"/>
          <w:szCs w:val="22"/>
          <w:highlight w:val="none"/>
        </w:rPr>
        <w:t>7、安全生产</w:t>
      </w:r>
    </w:p>
    <w:p w14:paraId="15831DF9">
      <w:pPr>
        <w:pageBreakBefore w:val="0"/>
        <w:widowControl w:val="0"/>
        <w:kinsoku/>
        <w:overflowPunct/>
        <w:autoSpaceDE w:val="0"/>
        <w:autoSpaceDN w:val="0"/>
        <w:bidi w:val="0"/>
        <w:adjustRightInd w:val="0"/>
        <w:snapToGrid w:val="0"/>
        <w:spacing w:line="360" w:lineRule="auto"/>
        <w:ind w:firstLine="433" w:firstLineChars="196"/>
        <w:jc w:val="left"/>
        <w:textAlignment w:val="bottom"/>
        <w:rPr>
          <w:rFonts w:hint="eastAsia" w:ascii="宋体" w:eastAsia="宋体"/>
          <w:bCs w:val="0"/>
          <w:color w:val="auto"/>
          <w:sz w:val="22"/>
          <w:szCs w:val="22"/>
          <w:highlight w:val="none"/>
        </w:rPr>
      </w:pPr>
      <w:r>
        <w:rPr>
          <w:rFonts w:hint="eastAsia" w:ascii="宋体" w:eastAsia="宋体"/>
          <w:bCs w:val="0"/>
          <w:color w:val="auto"/>
          <w:sz w:val="22"/>
          <w:szCs w:val="22"/>
          <w:highlight w:val="none"/>
        </w:rPr>
        <w:t>在采购及合同执行过程中，供应商应承担由于其行为所造成的人身伤害、财产损失或损坏的责任，无论何种原因所造成，采购人均不负责。</w:t>
      </w:r>
    </w:p>
    <w:p w14:paraId="646DED8B">
      <w:pPr>
        <w:pageBreakBefore w:val="0"/>
        <w:widowControl w:val="0"/>
        <w:kinsoku/>
        <w:overflowPunct/>
        <w:bidi w:val="0"/>
        <w:adjustRightInd w:val="0"/>
        <w:spacing w:line="360" w:lineRule="auto"/>
        <w:ind w:firstLine="433" w:firstLineChars="196"/>
        <w:rPr>
          <w:rFonts w:hint="eastAsia" w:ascii="宋体" w:eastAsia="宋体"/>
          <w:color w:val="auto"/>
          <w:highlight w:val="none"/>
          <w:u w:val="single"/>
        </w:rPr>
      </w:pPr>
      <w:r>
        <w:rPr>
          <w:rFonts w:hint="eastAsia" w:ascii="宋体" w:eastAsia="宋体"/>
          <w:color w:val="auto"/>
          <w:sz w:val="22"/>
          <w:szCs w:val="22"/>
          <w:highlight w:val="none"/>
          <w:u w:val="single"/>
        </w:rPr>
        <w:t>8、投标供应商应自行对服务现场及周围环境进行踏勘，以便获取须自己负责的有关服务投标文件和签署合同所需的所有资料，踏勘现场所发生的费用由投标供应商自己承担。供应商应充分考虑投标报价风险。</w:t>
      </w:r>
    </w:p>
    <w:p w14:paraId="334B8C59">
      <w:pPr>
        <w:pageBreakBefore w:val="0"/>
        <w:widowControl w:val="0"/>
        <w:kinsoku/>
        <w:overflowPunct/>
        <w:bidi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rPr>
        <w:t>9、本次预算为标项一：</w:t>
      </w:r>
      <w:r>
        <w:rPr>
          <w:rFonts w:hint="eastAsia" w:ascii="宋体" w:eastAsia="宋体"/>
          <w:color w:val="auto"/>
          <w:sz w:val="22"/>
          <w:szCs w:val="22"/>
          <w:highlight w:val="none"/>
          <w:lang w:eastAsia="zh-CN"/>
        </w:rPr>
        <w:t>400000</w:t>
      </w:r>
      <w:r>
        <w:rPr>
          <w:rFonts w:hint="eastAsia" w:ascii="宋体" w:eastAsia="宋体"/>
          <w:color w:val="auto"/>
          <w:sz w:val="22"/>
          <w:szCs w:val="22"/>
          <w:highlight w:val="none"/>
        </w:rPr>
        <w:t>元人民币；最高限价为</w:t>
      </w:r>
      <w:r>
        <w:rPr>
          <w:rFonts w:hint="eastAsia" w:ascii="宋体" w:eastAsia="宋体"/>
          <w:color w:val="auto"/>
          <w:sz w:val="22"/>
          <w:szCs w:val="22"/>
          <w:highlight w:val="none"/>
          <w:lang w:eastAsia="zh-CN"/>
        </w:rPr>
        <w:t>400000</w:t>
      </w:r>
      <w:r>
        <w:rPr>
          <w:rFonts w:hint="eastAsia" w:ascii="宋体" w:eastAsia="宋体"/>
          <w:color w:val="auto"/>
          <w:sz w:val="22"/>
          <w:szCs w:val="22"/>
          <w:highlight w:val="none"/>
        </w:rPr>
        <w:t>元人民币</w:t>
      </w:r>
      <w:r>
        <w:rPr>
          <w:rFonts w:hint="eastAsia" w:ascii="宋体" w:eastAsia="宋体"/>
          <w:color w:val="auto"/>
          <w:sz w:val="24"/>
          <w:szCs w:val="24"/>
          <w:highlight w:val="none"/>
        </w:rPr>
        <w:t>。</w:t>
      </w:r>
      <w:r>
        <w:rPr>
          <w:rFonts w:hint="eastAsia" w:ascii="宋体" w:eastAsia="宋体"/>
          <w:color w:val="auto"/>
          <w:sz w:val="22"/>
          <w:szCs w:val="22"/>
          <w:highlight w:val="none"/>
        </w:rPr>
        <w:t>超出采购预算的报价将作无效报价处理。</w:t>
      </w:r>
    </w:p>
    <w:p w14:paraId="3F0AB253">
      <w:pPr>
        <w:pageBreakBefore w:val="0"/>
        <w:widowControl w:val="0"/>
        <w:kinsoku/>
        <w:overflowPunct/>
        <w:bidi w:val="0"/>
        <w:adjustRightInd w:val="0"/>
        <w:spacing w:line="360" w:lineRule="auto"/>
        <w:ind w:firstLine="433" w:firstLineChars="196"/>
        <w:rPr>
          <w:rFonts w:hint="eastAsia" w:ascii="宋体" w:eastAsia="宋体"/>
          <w:color w:val="auto"/>
          <w:sz w:val="22"/>
          <w:szCs w:val="22"/>
          <w:highlight w:val="none"/>
        </w:rPr>
      </w:pPr>
      <w:r>
        <w:rPr>
          <w:rFonts w:hint="eastAsia" w:ascii="宋体" w:eastAsia="宋体"/>
          <w:color w:val="auto"/>
          <w:sz w:val="22"/>
          <w:szCs w:val="22"/>
          <w:highlight w:val="none"/>
        </w:rPr>
        <w:t>10</w:t>
      </w:r>
      <w:r>
        <w:rPr>
          <w:rFonts w:hint="eastAsia" w:ascii="宋体" w:eastAsia="宋体"/>
          <w:color w:val="auto"/>
          <w:sz w:val="22"/>
          <w:szCs w:val="22"/>
          <w:highlight w:val="none"/>
          <w:lang w:val="zh-CN"/>
        </w:rPr>
        <w:t>、</w:t>
      </w:r>
      <w:r>
        <w:rPr>
          <w:rFonts w:hint="eastAsia" w:ascii="宋体" w:eastAsia="宋体"/>
          <w:color w:val="auto"/>
          <w:sz w:val="22"/>
          <w:szCs w:val="22"/>
          <w:highlight w:val="none"/>
        </w:rPr>
        <w:t>供应商如果报名后不来参与投标要在投标截止前3天给予书面告知，否则采购组织机构将该情况报同级财政部门，并视情将其列入不良供应商名单。</w:t>
      </w:r>
    </w:p>
    <w:p w14:paraId="1C2603B6">
      <w:pPr>
        <w:pageBreakBefore w:val="0"/>
        <w:widowControl w:val="0"/>
        <w:kinsoku/>
        <w:overflowPunct/>
        <w:bidi w:val="0"/>
        <w:adjustRightInd w:val="0"/>
        <w:spacing w:line="360" w:lineRule="auto"/>
        <w:ind w:firstLine="433" w:firstLineChars="196"/>
        <w:rPr>
          <w:rFonts w:hint="eastAsia" w:ascii="宋体" w:eastAsia="宋体"/>
          <w:color w:val="auto"/>
          <w:sz w:val="22"/>
          <w:szCs w:val="22"/>
          <w:highlight w:val="none"/>
          <w:u w:val="single"/>
        </w:rPr>
      </w:pPr>
      <w:r>
        <w:rPr>
          <w:rFonts w:hint="eastAsia" w:ascii="宋体" w:eastAsia="宋体"/>
          <w:color w:val="auto"/>
          <w:sz w:val="22"/>
          <w:szCs w:val="22"/>
          <w:highlight w:val="none"/>
          <w:u w:val="single"/>
        </w:rPr>
        <w:t>11、法定代表人（负责人）授权书中法定代表人（负责人）必须签字或盖章，否则</w:t>
      </w:r>
      <w:r>
        <w:rPr>
          <w:rFonts w:hint="eastAsia" w:ascii="宋体" w:eastAsia="宋体"/>
          <w:color w:val="auto"/>
          <w:sz w:val="22"/>
          <w:szCs w:val="22"/>
          <w:highlight w:val="none"/>
          <w:u w:val="single"/>
          <w:lang w:eastAsia="zh-CN"/>
        </w:rPr>
        <w:t>作</w:t>
      </w:r>
      <w:r>
        <w:rPr>
          <w:rFonts w:hint="eastAsia" w:ascii="宋体" w:eastAsia="宋体"/>
          <w:color w:val="auto"/>
          <w:sz w:val="22"/>
          <w:szCs w:val="22"/>
          <w:highlight w:val="none"/>
          <w:u w:val="single"/>
        </w:rPr>
        <w:t>无效投标处理。</w:t>
      </w:r>
    </w:p>
    <w:p w14:paraId="3688EFB6">
      <w:pPr>
        <w:pageBreakBefore w:val="0"/>
        <w:widowControl w:val="0"/>
        <w:kinsoku/>
        <w:overflowPunct/>
        <w:bidi w:val="0"/>
        <w:adjustRightInd w:val="0"/>
        <w:spacing w:line="360" w:lineRule="auto"/>
        <w:ind w:firstLine="433" w:firstLineChars="196"/>
        <w:rPr>
          <w:rFonts w:hint="eastAsia" w:ascii="宋体" w:eastAsia="宋体"/>
          <w:color w:val="auto"/>
          <w:sz w:val="22"/>
          <w:szCs w:val="22"/>
          <w:highlight w:val="none"/>
        </w:rPr>
      </w:pPr>
      <w:r>
        <w:rPr>
          <w:rFonts w:hint="eastAsia" w:ascii="宋体" w:eastAsia="宋体"/>
          <w:color w:val="auto"/>
          <w:sz w:val="22"/>
          <w:szCs w:val="22"/>
          <w:highlight w:val="none"/>
        </w:rPr>
        <w:t>12、本项目采用在线投标响应方式，执行《浙江省财政厅关于印发浙江省政府采购项目电子交易管理暂行办法的通知》（浙财采监〔2019〕10 号）等相关规定。</w:t>
      </w:r>
    </w:p>
    <w:p w14:paraId="6DEFA009">
      <w:pPr>
        <w:pageBreakBefore w:val="0"/>
        <w:widowControl w:val="0"/>
        <w:kinsoku/>
        <w:overflowPunct/>
        <w:autoSpaceDE w:val="0"/>
        <w:autoSpaceDN w:val="0"/>
        <w:bidi w:val="0"/>
        <w:adjustRightInd w:val="0"/>
        <w:snapToGrid w:val="0"/>
        <w:spacing w:line="360" w:lineRule="auto"/>
        <w:textAlignment w:val="bottom"/>
        <w:outlineLvl w:val="1"/>
        <w:rPr>
          <w:rFonts w:hint="eastAsia" w:ascii="宋体" w:eastAsia="宋体"/>
          <w:color w:val="auto"/>
          <w:sz w:val="22"/>
          <w:szCs w:val="22"/>
          <w:highlight w:val="none"/>
        </w:rPr>
      </w:pPr>
      <w:bookmarkStart w:id="16" w:name="_Toc24300"/>
      <w:r>
        <w:rPr>
          <w:rFonts w:hint="eastAsia" w:ascii="宋体" w:eastAsia="宋体"/>
          <w:color w:val="auto"/>
          <w:sz w:val="22"/>
          <w:szCs w:val="22"/>
          <w:highlight w:val="none"/>
        </w:rPr>
        <w:t>二、竞争性磋商文件</w:t>
      </w:r>
      <w:bookmarkEnd w:id="16"/>
    </w:p>
    <w:p w14:paraId="0D3C335C">
      <w:pPr>
        <w:pageBreakBefore w:val="0"/>
        <w:widowControl w:val="0"/>
        <w:kinsoku/>
        <w:overflowPunct/>
        <w:bidi w:val="0"/>
        <w:snapToGrid w:val="0"/>
        <w:spacing w:line="360" w:lineRule="auto"/>
        <w:ind w:firstLine="440" w:firstLineChars="200"/>
        <w:rPr>
          <w:rFonts w:hint="eastAsia" w:ascii="宋体" w:eastAsia="宋体"/>
          <w:b w:val="0"/>
          <w:bCs w:val="0"/>
          <w:color w:val="auto"/>
          <w:sz w:val="22"/>
          <w:highlight w:val="none"/>
        </w:rPr>
      </w:pPr>
      <w:r>
        <w:rPr>
          <w:rFonts w:hint="eastAsia" w:ascii="宋体" w:eastAsia="宋体"/>
          <w:b w:val="0"/>
          <w:bCs w:val="0"/>
          <w:color w:val="auto"/>
          <w:sz w:val="22"/>
          <w:highlight w:val="none"/>
        </w:rPr>
        <w:t>1、竞争性磋商文件</w:t>
      </w:r>
    </w:p>
    <w:p w14:paraId="2E02B2E5">
      <w:pPr>
        <w:pageBreakBefore w:val="0"/>
        <w:widowControl w:val="0"/>
        <w:kinsoku/>
        <w:overflowPunct/>
        <w:bidi w:val="0"/>
        <w:snapToGrid w:val="0"/>
        <w:spacing w:line="360" w:lineRule="auto"/>
        <w:ind w:firstLine="440" w:firstLineChars="200"/>
        <w:rPr>
          <w:rFonts w:hint="eastAsia" w:ascii="宋体" w:eastAsia="宋体"/>
          <w:b w:val="0"/>
          <w:bCs w:val="0"/>
          <w:color w:val="auto"/>
          <w:sz w:val="22"/>
          <w:highlight w:val="none"/>
        </w:rPr>
      </w:pPr>
      <w:r>
        <w:rPr>
          <w:rFonts w:hint="eastAsia" w:ascii="宋体" w:eastAsia="宋体"/>
          <w:b w:val="0"/>
          <w:bCs w:val="0"/>
          <w:color w:val="auto"/>
          <w:sz w:val="22"/>
          <w:highlight w:val="none"/>
        </w:rPr>
        <w:t>1.1、磋商文件发放</w:t>
      </w:r>
    </w:p>
    <w:p w14:paraId="3C8BE6F8">
      <w:pPr>
        <w:pageBreakBefore w:val="0"/>
        <w:widowControl w:val="0"/>
        <w:kinsoku/>
        <w:overflowPunct/>
        <w:bidi w:val="0"/>
        <w:snapToGrid w:val="0"/>
        <w:spacing w:line="360" w:lineRule="auto"/>
        <w:ind w:firstLine="440" w:firstLineChars="200"/>
        <w:rPr>
          <w:rFonts w:hint="eastAsia" w:ascii="宋体" w:eastAsia="宋体"/>
          <w:b w:val="0"/>
          <w:bCs w:val="0"/>
          <w:color w:val="auto"/>
          <w:sz w:val="22"/>
          <w:highlight w:val="none"/>
        </w:rPr>
      </w:pPr>
      <w:r>
        <w:rPr>
          <w:rFonts w:hint="eastAsia" w:ascii="宋体" w:eastAsia="宋体"/>
          <w:b w:val="0"/>
          <w:bCs w:val="0"/>
          <w:color w:val="auto"/>
          <w:sz w:val="22"/>
          <w:highlight w:val="none"/>
        </w:rPr>
        <w:t>投标供应商网上自行下载磋商文件。</w:t>
      </w:r>
    </w:p>
    <w:p w14:paraId="1A85B82D">
      <w:pPr>
        <w:pageBreakBefore w:val="0"/>
        <w:widowControl w:val="0"/>
        <w:kinsoku/>
        <w:overflowPunct/>
        <w:autoSpaceDE w:val="0"/>
        <w:autoSpaceDN w:val="0"/>
        <w:bidi w:val="0"/>
        <w:adjustRightInd w:val="0"/>
        <w:snapToGrid w:val="0"/>
        <w:spacing w:line="360" w:lineRule="auto"/>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1.2、竞争性磋商文件约束力</w:t>
      </w:r>
    </w:p>
    <w:p w14:paraId="295D4ABD">
      <w:pPr>
        <w:pageBreakBefore w:val="0"/>
        <w:widowControl w:val="0"/>
        <w:kinsoku/>
        <w:overflowPunct/>
        <w:autoSpaceDE w:val="0"/>
        <w:autoSpaceDN w:val="0"/>
        <w:bidi w:val="0"/>
        <w:adjustRightInd w:val="0"/>
        <w:snapToGrid w:val="0"/>
        <w:spacing w:line="360" w:lineRule="auto"/>
        <w:ind w:firstLine="431" w:firstLineChars="196"/>
        <w:textAlignment w:val="bottom"/>
        <w:rPr>
          <w:rFonts w:hint="eastAsia"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w:t>
      </w:r>
      <w:r>
        <w:rPr>
          <w:rFonts w:hint="eastAsia" w:ascii="宋体" w:eastAsia="宋体"/>
          <w:b w:val="0"/>
          <w:bCs w:val="0"/>
          <w:color w:val="auto"/>
          <w:sz w:val="22"/>
          <w:szCs w:val="22"/>
          <w:highlight w:val="none"/>
          <w:u w:val="single"/>
        </w:rPr>
        <w:t>供应商一旦获取了本竞争性磋商文件并参加磋商采购，即被认为接受了本竞争性磋商文件中所有条款和规定。</w:t>
      </w:r>
    </w:p>
    <w:p w14:paraId="23556B19">
      <w:pPr>
        <w:pageBreakBefore w:val="0"/>
        <w:widowControl w:val="0"/>
        <w:kinsoku/>
        <w:overflowPunct/>
        <w:autoSpaceDE w:val="0"/>
        <w:autoSpaceDN w:val="0"/>
        <w:bidi w:val="0"/>
        <w:adjustRightInd w:val="0"/>
        <w:snapToGrid w:val="0"/>
        <w:spacing w:line="360" w:lineRule="auto"/>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1.3、竞争性磋商文件的组成</w:t>
      </w:r>
    </w:p>
    <w:p w14:paraId="079F54B0">
      <w:pPr>
        <w:pageBreakBefore w:val="0"/>
        <w:widowControl w:val="0"/>
        <w:kinsoku/>
        <w:overflowPunct/>
        <w:autoSpaceDE w:val="0"/>
        <w:autoSpaceDN w:val="0"/>
        <w:bidi w:val="0"/>
        <w:adjustRightInd w:val="0"/>
        <w:snapToGrid w:val="0"/>
        <w:spacing w:line="360" w:lineRule="auto"/>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竞争性磋商文件由竞争性磋商文件总目录所列内容及补充资料等组成。</w:t>
      </w:r>
    </w:p>
    <w:p w14:paraId="07D3D4C0">
      <w:pPr>
        <w:pageBreakBefore w:val="0"/>
        <w:widowControl w:val="0"/>
        <w:kinsoku/>
        <w:overflowPunct/>
        <w:autoSpaceDE w:val="0"/>
        <w:autoSpaceDN w:val="0"/>
        <w:bidi w:val="0"/>
        <w:adjustRightInd w:val="0"/>
        <w:snapToGrid w:val="0"/>
        <w:spacing w:line="360" w:lineRule="auto"/>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2、竞争性磋商文件的澄清</w:t>
      </w:r>
    </w:p>
    <w:p w14:paraId="6FCF3050">
      <w:pPr>
        <w:pageBreakBefore w:val="0"/>
        <w:widowControl w:val="0"/>
        <w:kinsoku/>
        <w:overflowPunct/>
        <w:autoSpaceDE w:val="0"/>
        <w:autoSpaceDN w:val="0"/>
        <w:bidi w:val="0"/>
        <w:adjustRightInd w:val="0"/>
        <w:snapToGrid w:val="0"/>
        <w:spacing w:line="360" w:lineRule="auto"/>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供应商对竞争性磋商文件如有疑点要求澄清，或认为有必要与采购人进行技术交流，可用书面形式（包括信函、传真，下同）通知采购代理机构，但通知不得迟于规定的质疑时间前使采购代理机构收到，采购代理机构将用书面形式予以答复。如有必要，可将不说明来源的答复书面发给各有关供应商并予以公告。</w:t>
      </w:r>
      <w:r>
        <w:rPr>
          <w:rFonts w:hint="eastAsia" w:ascii="宋体" w:eastAsia="宋体"/>
          <w:color w:val="auto"/>
          <w:sz w:val="22"/>
          <w:szCs w:val="22"/>
          <w:highlight w:val="none"/>
        </w:rPr>
        <w:t>任何口头答复均不作为报价依据。</w:t>
      </w:r>
    </w:p>
    <w:p w14:paraId="2C01910F">
      <w:pPr>
        <w:pageBreakBefore w:val="0"/>
        <w:widowControl w:val="0"/>
        <w:kinsoku/>
        <w:overflowPunct/>
        <w:autoSpaceDE w:val="0"/>
        <w:autoSpaceDN w:val="0"/>
        <w:bidi w:val="0"/>
        <w:adjustRightInd w:val="0"/>
        <w:snapToGrid w:val="0"/>
        <w:spacing w:line="360" w:lineRule="auto"/>
        <w:ind w:firstLine="541" w:firstLineChars="24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3、竞争性磋商文件的修改</w:t>
      </w:r>
    </w:p>
    <w:p w14:paraId="0D434A55">
      <w:pPr>
        <w:pageBreakBefore w:val="0"/>
        <w:widowControl w:val="0"/>
        <w:kinsoku/>
        <w:overflowPunct/>
        <w:autoSpaceDE w:val="0"/>
        <w:autoSpaceDN w:val="0"/>
        <w:bidi w:val="0"/>
        <w:adjustRightInd w:val="0"/>
        <w:snapToGrid w:val="0"/>
        <w:spacing w:line="360" w:lineRule="auto"/>
        <w:ind w:firstLine="541" w:firstLineChars="24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3.1、在磋商响应文件递交截止时间前，采购人有权修改竞争性磋商文件，并通知供应商。补充文件作为竞争性磋商文件的补充和组成部分，对所有供应商均有约束力。</w:t>
      </w:r>
    </w:p>
    <w:p w14:paraId="0B0C8AC3">
      <w:pPr>
        <w:pageBreakBefore w:val="0"/>
        <w:widowControl w:val="0"/>
        <w:kinsoku/>
        <w:overflowPunct/>
        <w:autoSpaceDE w:val="0"/>
        <w:autoSpaceDN w:val="0"/>
        <w:bidi w:val="0"/>
        <w:adjustRightInd w:val="0"/>
        <w:snapToGrid w:val="0"/>
        <w:spacing w:line="360" w:lineRule="auto"/>
        <w:ind w:firstLine="541" w:firstLineChars="24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3.2、为使供应商有足够的时间按竞争性磋商文件要求修正磋商响应文件，采购人可酌情推迟磋商响应文件递交截止时间和开始时间，并将此变更通知供应商。</w:t>
      </w:r>
    </w:p>
    <w:p w14:paraId="6539C62B">
      <w:pPr>
        <w:pageBreakBefore w:val="0"/>
        <w:widowControl w:val="0"/>
        <w:kinsoku/>
        <w:overflowPunct/>
        <w:autoSpaceDE w:val="0"/>
        <w:autoSpaceDN w:val="0"/>
        <w:bidi w:val="0"/>
        <w:adjustRightInd w:val="0"/>
        <w:snapToGrid w:val="0"/>
        <w:spacing w:line="360" w:lineRule="auto"/>
        <w:ind w:firstLine="541" w:firstLineChars="24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3.3、本项目磋商文件如有补充、更正、澄清均见浙江政府采购网。投标供应商须在磋商响应文件递交截止前自行查看是否有补充、更正、澄清文件，并按补充、更正、澄清文件要求投标，否则责任自负。</w:t>
      </w:r>
    </w:p>
    <w:p w14:paraId="54DC9CAB">
      <w:pPr>
        <w:pageBreakBefore w:val="0"/>
        <w:widowControl w:val="0"/>
        <w:kinsoku/>
        <w:overflowPunct/>
        <w:autoSpaceDE w:val="0"/>
        <w:autoSpaceDN w:val="0"/>
        <w:bidi w:val="0"/>
        <w:adjustRightInd w:val="0"/>
        <w:snapToGrid w:val="0"/>
        <w:spacing w:line="360" w:lineRule="auto"/>
        <w:textAlignment w:val="bottom"/>
        <w:outlineLvl w:val="1"/>
        <w:rPr>
          <w:rFonts w:hint="eastAsia" w:ascii="宋体" w:eastAsia="宋体"/>
          <w:color w:val="auto"/>
          <w:sz w:val="22"/>
          <w:szCs w:val="22"/>
          <w:highlight w:val="none"/>
        </w:rPr>
      </w:pPr>
      <w:bookmarkStart w:id="17" w:name="_Toc29497"/>
      <w:r>
        <w:rPr>
          <w:rFonts w:hint="eastAsia" w:ascii="宋体" w:eastAsia="宋体"/>
          <w:color w:val="auto"/>
          <w:sz w:val="22"/>
          <w:szCs w:val="22"/>
          <w:highlight w:val="none"/>
        </w:rPr>
        <w:t>三、磋商响应文件</w:t>
      </w:r>
      <w:bookmarkEnd w:id="17"/>
    </w:p>
    <w:p w14:paraId="6BA8659A">
      <w:pPr>
        <w:pageBreakBefore w:val="0"/>
        <w:widowControl w:val="0"/>
        <w:kinsoku/>
        <w:overflowPunct/>
        <w:autoSpaceDE w:val="0"/>
        <w:autoSpaceDN w:val="0"/>
        <w:bidi w:val="0"/>
        <w:adjustRightInd w:val="0"/>
        <w:snapToGrid w:val="0"/>
        <w:spacing w:line="360" w:lineRule="auto"/>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1、磋商响应文件</w:t>
      </w:r>
    </w:p>
    <w:p w14:paraId="39599CB9">
      <w:pPr>
        <w:pageBreakBefore w:val="0"/>
        <w:widowControl w:val="0"/>
        <w:kinsoku/>
        <w:overflowPunct/>
        <w:autoSpaceDE w:val="0"/>
        <w:autoSpaceDN w:val="0"/>
        <w:bidi w:val="0"/>
        <w:adjustRightInd w:val="0"/>
        <w:snapToGrid w:val="0"/>
        <w:spacing w:line="360" w:lineRule="auto"/>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1.1、供应商应仔细阅读竞争性磋商文件中的所有内容，按照竞争性磋商文件要求，详细编制磋商响应文件。并对竞争性磋商文件的要求</w:t>
      </w:r>
      <w:r>
        <w:rPr>
          <w:rFonts w:hint="eastAsia" w:ascii="宋体" w:eastAsia="宋体"/>
          <w:b w:val="0"/>
          <w:bCs w:val="0"/>
          <w:color w:val="auto"/>
          <w:sz w:val="22"/>
          <w:szCs w:val="22"/>
          <w:highlight w:val="none"/>
          <w:lang w:eastAsia="zh-CN"/>
        </w:rPr>
        <w:t>作出</w:t>
      </w:r>
      <w:r>
        <w:rPr>
          <w:rFonts w:hint="eastAsia" w:ascii="宋体" w:eastAsia="宋体"/>
          <w:b w:val="0"/>
          <w:bCs w:val="0"/>
          <w:color w:val="auto"/>
          <w:sz w:val="22"/>
          <w:szCs w:val="22"/>
          <w:highlight w:val="none"/>
        </w:rPr>
        <w:t>实质性响应。实质性响应的磋商响应文件应该是与竞争性磋商文件要求没有重大偏离。未实质性响应的磋商响应文件将被拒绝，但允许在基本满足采购技术要求的前提下出现的微小差异。</w:t>
      </w:r>
    </w:p>
    <w:p w14:paraId="5D49EFAD">
      <w:pPr>
        <w:pageBreakBefore w:val="0"/>
        <w:widowControl w:val="0"/>
        <w:kinsoku/>
        <w:overflowPunct/>
        <w:autoSpaceDE w:val="0"/>
        <w:autoSpaceDN w:val="0"/>
        <w:bidi w:val="0"/>
        <w:adjustRightInd w:val="0"/>
        <w:snapToGrid w:val="0"/>
        <w:spacing w:line="360" w:lineRule="auto"/>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zh-CN"/>
        </w:rPr>
        <w:t>1.2、</w:t>
      </w:r>
      <w:r>
        <w:rPr>
          <w:rFonts w:hint="eastAsia" w:ascii="宋体" w:eastAsia="宋体"/>
          <w:b w:val="0"/>
          <w:bCs w:val="0"/>
          <w:color w:val="auto"/>
          <w:sz w:val="22"/>
          <w:szCs w:val="22"/>
          <w:highlight w:val="none"/>
        </w:rPr>
        <w:t>供应商必须按竞争性磋商文件的要求提供相关技术参数、资料，包括采用的计量单位，并保证磋商响应文件的正确性和真实性。磋商响应文件全部内容应保持一致，否则可能导致对其不利评定甚至被拒绝。技术和商务如有偏离均应填写偏离表。</w:t>
      </w:r>
    </w:p>
    <w:p w14:paraId="0F6799B8">
      <w:pPr>
        <w:pageBreakBefore w:val="0"/>
        <w:widowControl w:val="0"/>
        <w:kinsoku/>
        <w:overflowPunct/>
        <w:autoSpaceDE w:val="0"/>
        <w:autoSpaceDN w:val="0"/>
        <w:bidi w:val="0"/>
        <w:adjustRightInd w:val="0"/>
        <w:snapToGrid w:val="0"/>
        <w:spacing w:line="360" w:lineRule="auto"/>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zh-CN"/>
        </w:rPr>
        <w:t>1.3、供应商应仔细阅读竞争性磋商文件中的所有内容，按照竞争性磋商文件要求，详细编制</w:t>
      </w:r>
      <w:r>
        <w:rPr>
          <w:rFonts w:hint="eastAsia" w:ascii="宋体" w:eastAsia="宋体"/>
          <w:b w:val="0"/>
          <w:bCs w:val="0"/>
          <w:color w:val="auto"/>
          <w:sz w:val="22"/>
          <w:szCs w:val="22"/>
          <w:highlight w:val="none"/>
        </w:rPr>
        <w:t>磋商响应文件</w:t>
      </w:r>
      <w:r>
        <w:rPr>
          <w:rFonts w:hint="eastAsia" w:ascii="宋体" w:eastAsia="宋体"/>
          <w:b w:val="0"/>
          <w:bCs w:val="0"/>
          <w:color w:val="auto"/>
          <w:sz w:val="22"/>
          <w:szCs w:val="22"/>
          <w:highlight w:val="none"/>
          <w:lang w:val="zh-CN"/>
        </w:rPr>
        <w:t>，所有文件资料必须是针对本次采购。不按竞争性磋商文件的要求提供的</w:t>
      </w:r>
      <w:r>
        <w:rPr>
          <w:rFonts w:hint="eastAsia" w:ascii="宋体" w:eastAsia="宋体"/>
          <w:b w:val="0"/>
          <w:bCs w:val="0"/>
          <w:color w:val="auto"/>
          <w:sz w:val="22"/>
          <w:szCs w:val="22"/>
          <w:highlight w:val="none"/>
        </w:rPr>
        <w:t>磋商响应文件</w:t>
      </w:r>
      <w:r>
        <w:rPr>
          <w:rFonts w:hint="eastAsia" w:ascii="宋体" w:eastAsia="宋体"/>
          <w:b w:val="0"/>
          <w:bCs w:val="0"/>
          <w:color w:val="auto"/>
          <w:sz w:val="22"/>
          <w:szCs w:val="22"/>
          <w:highlight w:val="none"/>
          <w:lang w:val="zh-CN"/>
        </w:rPr>
        <w:t>可能导致被拒绝。</w:t>
      </w:r>
    </w:p>
    <w:p w14:paraId="0FD51DF8">
      <w:pPr>
        <w:pageBreakBefore w:val="0"/>
        <w:widowControl w:val="0"/>
        <w:kinsoku/>
        <w:overflowPunct/>
        <w:autoSpaceDE w:val="0"/>
        <w:autoSpaceDN w:val="0"/>
        <w:bidi w:val="0"/>
        <w:adjustRightInd w:val="0"/>
        <w:snapToGrid w:val="0"/>
        <w:spacing w:line="360" w:lineRule="auto"/>
        <w:ind w:firstLine="431" w:firstLineChars="196"/>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2、磋商响应文件的组成</w:t>
      </w:r>
    </w:p>
    <w:p w14:paraId="5CAA5F01">
      <w:pPr>
        <w:pageBreakBefore w:val="0"/>
        <w:widowControl w:val="0"/>
        <w:kinsoku/>
        <w:overflowPunct/>
        <w:autoSpaceDE w:val="0"/>
        <w:autoSpaceDN w:val="0"/>
        <w:bidi w:val="0"/>
        <w:adjustRightInd w:val="0"/>
        <w:snapToGrid w:val="0"/>
        <w:spacing w:line="360" w:lineRule="auto"/>
        <w:ind w:firstLine="442" w:firstLineChars="200"/>
        <w:rPr>
          <w:rFonts w:hint="eastAsia" w:ascii="宋体" w:eastAsia="宋体"/>
          <w:color w:val="auto"/>
          <w:sz w:val="22"/>
          <w:szCs w:val="22"/>
          <w:highlight w:val="none"/>
          <w:u w:val="single"/>
        </w:rPr>
      </w:pPr>
      <w:r>
        <w:rPr>
          <w:rFonts w:hint="eastAsia" w:ascii="宋体" w:eastAsia="宋体"/>
          <w:color w:val="auto"/>
          <w:sz w:val="22"/>
          <w:szCs w:val="22"/>
          <w:highlight w:val="none"/>
        </w:rPr>
        <w:t>▲</w:t>
      </w:r>
      <w:r>
        <w:rPr>
          <w:rFonts w:hint="eastAsia" w:ascii="宋体" w:eastAsia="宋体"/>
          <w:color w:val="auto"/>
          <w:sz w:val="22"/>
          <w:szCs w:val="22"/>
          <w:highlight w:val="none"/>
          <w:u w:val="single"/>
        </w:rPr>
        <w:t>磋商响应文件由资格文件、报价文件、商务技术文件组成。</w:t>
      </w:r>
    </w:p>
    <w:p w14:paraId="5B109FCB">
      <w:pPr>
        <w:pageBreakBefore w:val="0"/>
        <w:widowControl w:val="0"/>
        <w:kinsoku/>
        <w:overflowPunct/>
        <w:autoSpaceDE w:val="0"/>
        <w:autoSpaceDN w:val="0"/>
        <w:bidi w:val="0"/>
        <w:adjustRightInd w:val="0"/>
        <w:snapToGrid w:val="0"/>
        <w:spacing w:line="360" w:lineRule="auto"/>
        <w:ind w:firstLine="442" w:firstLineChars="200"/>
        <w:rPr>
          <w:rFonts w:hint="eastAsia" w:ascii="宋体" w:eastAsia="宋体"/>
          <w:color w:val="auto"/>
          <w:sz w:val="22"/>
          <w:szCs w:val="22"/>
          <w:highlight w:val="none"/>
          <w:u w:val="none"/>
        </w:rPr>
      </w:pPr>
      <w:r>
        <w:rPr>
          <w:rFonts w:hint="eastAsia" w:ascii="宋体" w:eastAsia="宋体"/>
          <w:color w:val="auto"/>
          <w:sz w:val="22"/>
          <w:szCs w:val="22"/>
          <w:highlight w:val="none"/>
          <w:u w:val="none"/>
        </w:rPr>
        <w:t>2.1、资格文件组成</w:t>
      </w:r>
    </w:p>
    <w:tbl>
      <w:tblPr>
        <w:tblStyle w:val="23"/>
        <w:tblW w:w="98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9063"/>
      </w:tblGrid>
      <w:tr w14:paraId="74B8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76" w:type="dxa"/>
            <w:vAlign w:val="center"/>
          </w:tcPr>
          <w:p w14:paraId="0AEF65D9">
            <w:pPr>
              <w:keepNext w:val="0"/>
              <w:keepLines w:val="0"/>
              <w:pageBreakBefore w:val="0"/>
              <w:widowControl w:val="0"/>
              <w:kinsoku/>
              <w:wordWrap/>
              <w:overflowPunct/>
              <w:topLinePunct w:val="0"/>
              <w:autoSpaceDE w:val="0"/>
              <w:autoSpaceDN w:val="0"/>
              <w:bidi w:val="0"/>
              <w:adjustRightInd w:val="0"/>
              <w:snapToGrid w:val="0"/>
              <w:spacing w:line="336" w:lineRule="auto"/>
              <w:jc w:val="center"/>
              <w:textAlignment w:val="auto"/>
              <w:rPr>
                <w:rFonts w:hint="eastAsia" w:ascii="宋体" w:eastAsia="宋体"/>
                <w:b w:val="0"/>
                <w:bCs w:val="0"/>
                <w:color w:val="auto"/>
                <w:sz w:val="22"/>
                <w:highlight w:val="none"/>
                <w:lang w:val="zh-CN"/>
              </w:rPr>
            </w:pPr>
            <w:r>
              <w:rPr>
                <w:rFonts w:hint="eastAsia" w:ascii="宋体" w:eastAsia="宋体"/>
                <w:b w:val="0"/>
                <w:bCs w:val="0"/>
                <w:color w:val="auto"/>
                <w:sz w:val="22"/>
                <w:highlight w:val="none"/>
                <w:lang w:val="zh-CN"/>
              </w:rPr>
              <w:t>序号</w:t>
            </w:r>
          </w:p>
        </w:tc>
        <w:tc>
          <w:tcPr>
            <w:tcW w:w="9063" w:type="dxa"/>
            <w:vAlign w:val="center"/>
          </w:tcPr>
          <w:p w14:paraId="6D964E24">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eastAsia="宋体"/>
                <w:b w:val="0"/>
                <w:bCs w:val="0"/>
                <w:color w:val="auto"/>
                <w:sz w:val="22"/>
                <w:highlight w:val="none"/>
                <w:lang w:val="zh-CN"/>
              </w:rPr>
            </w:pPr>
            <w:r>
              <w:rPr>
                <w:rFonts w:hint="eastAsia" w:ascii="宋体" w:eastAsia="宋体"/>
                <w:color w:val="auto"/>
                <w:sz w:val="22"/>
                <w:highlight w:val="none"/>
                <w:lang w:val="zh-CN"/>
              </w:rPr>
              <w:t>内容（以下2-</w:t>
            </w:r>
            <w:r>
              <w:rPr>
                <w:rFonts w:hint="eastAsia" w:ascii="宋体" w:eastAsia="宋体"/>
                <w:color w:val="auto"/>
                <w:sz w:val="22"/>
                <w:highlight w:val="none"/>
              </w:rPr>
              <w:t>1</w:t>
            </w:r>
            <w:r>
              <w:rPr>
                <w:rFonts w:hint="eastAsia" w:ascii="宋体" w:eastAsia="宋体"/>
                <w:color w:val="auto"/>
                <w:sz w:val="22"/>
                <w:highlight w:val="none"/>
                <w:lang w:val="en-US" w:eastAsia="zh-CN"/>
              </w:rPr>
              <w:t>1</w:t>
            </w:r>
            <w:r>
              <w:rPr>
                <w:rFonts w:hint="eastAsia" w:ascii="宋体" w:eastAsia="宋体"/>
                <w:color w:val="auto"/>
                <w:sz w:val="22"/>
                <w:highlight w:val="none"/>
                <w:lang w:val="zh-CN"/>
              </w:rPr>
              <w:t>项内容投标供应商必须提供，否则不能通过资格审查的，责任自负。）</w:t>
            </w:r>
          </w:p>
        </w:tc>
      </w:tr>
      <w:tr w14:paraId="030B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76" w:type="dxa"/>
            <w:tcBorders>
              <w:top w:val="single" w:color="auto" w:sz="4" w:space="0"/>
              <w:left w:val="single" w:color="auto" w:sz="4" w:space="0"/>
              <w:right w:val="single" w:color="auto" w:sz="4" w:space="0"/>
            </w:tcBorders>
            <w:vAlign w:val="center"/>
          </w:tcPr>
          <w:p w14:paraId="4383B44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eastAsia="宋体"/>
                <w:b w:val="0"/>
                <w:bCs w:val="0"/>
                <w:color w:val="auto"/>
                <w:sz w:val="22"/>
                <w:highlight w:val="none"/>
                <w:lang w:val="zh-CN"/>
              </w:rPr>
            </w:pPr>
            <w:r>
              <w:rPr>
                <w:rFonts w:hint="eastAsia" w:ascii="宋体" w:eastAsia="宋体"/>
                <w:b w:val="0"/>
                <w:bCs w:val="0"/>
                <w:color w:val="auto"/>
                <w:sz w:val="22"/>
                <w:highlight w:val="none"/>
                <w:lang w:val="zh-CN"/>
              </w:rPr>
              <w:t>1</w:t>
            </w:r>
          </w:p>
        </w:tc>
        <w:tc>
          <w:tcPr>
            <w:tcW w:w="9063" w:type="dxa"/>
            <w:tcBorders>
              <w:top w:val="single" w:color="auto" w:sz="4" w:space="0"/>
              <w:left w:val="single" w:color="auto" w:sz="4" w:space="0"/>
              <w:right w:val="single" w:color="auto" w:sz="4" w:space="0"/>
            </w:tcBorders>
            <w:vAlign w:val="center"/>
          </w:tcPr>
          <w:p w14:paraId="7A1D9658">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eastAsia="宋体"/>
                <w:b w:val="0"/>
                <w:bCs w:val="0"/>
                <w:color w:val="auto"/>
                <w:sz w:val="22"/>
                <w:highlight w:val="none"/>
                <w:lang w:val="zh-CN"/>
              </w:rPr>
            </w:pPr>
            <w:r>
              <w:rPr>
                <w:rFonts w:hint="eastAsia" w:ascii="宋体" w:eastAsia="宋体"/>
                <w:b w:val="0"/>
                <w:bCs w:val="0"/>
                <w:color w:val="auto"/>
                <w:sz w:val="22"/>
                <w:szCs w:val="22"/>
                <w:highlight w:val="none"/>
              </w:rPr>
              <w:t>资格文件封面（格式自拟）</w:t>
            </w:r>
          </w:p>
        </w:tc>
      </w:tr>
      <w:tr w14:paraId="17BF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76" w:type="dxa"/>
            <w:tcBorders>
              <w:top w:val="single" w:color="auto" w:sz="4" w:space="0"/>
              <w:left w:val="single" w:color="auto" w:sz="4" w:space="0"/>
              <w:right w:val="single" w:color="auto" w:sz="4" w:space="0"/>
            </w:tcBorders>
            <w:vAlign w:val="center"/>
          </w:tcPr>
          <w:p w14:paraId="0C0C235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eastAsia="宋体"/>
                <w:b w:val="0"/>
                <w:bCs w:val="0"/>
                <w:color w:val="auto"/>
                <w:sz w:val="22"/>
                <w:highlight w:val="none"/>
                <w:lang w:val="zh-CN"/>
              </w:rPr>
            </w:pPr>
            <w:r>
              <w:rPr>
                <w:rFonts w:hint="eastAsia" w:ascii="宋体" w:eastAsia="宋体"/>
                <w:b w:val="0"/>
                <w:bCs w:val="0"/>
                <w:color w:val="auto"/>
                <w:sz w:val="22"/>
                <w:highlight w:val="none"/>
                <w:lang w:val="zh-CN"/>
              </w:rPr>
              <w:t>2</w:t>
            </w:r>
          </w:p>
        </w:tc>
        <w:tc>
          <w:tcPr>
            <w:tcW w:w="9063" w:type="dxa"/>
            <w:tcBorders>
              <w:top w:val="single" w:color="auto" w:sz="4" w:space="0"/>
              <w:left w:val="single" w:color="auto" w:sz="4" w:space="0"/>
              <w:right w:val="single" w:color="auto" w:sz="4" w:space="0"/>
            </w:tcBorders>
            <w:vAlign w:val="center"/>
          </w:tcPr>
          <w:p w14:paraId="50141AD6">
            <w:pPr>
              <w:keepNext w:val="0"/>
              <w:keepLines w:val="0"/>
              <w:pageBreakBefore w:val="0"/>
              <w:widowControl w:val="0"/>
              <w:kinsoku/>
              <w:wordWrap/>
              <w:overflowPunct/>
              <w:topLinePunct w:val="0"/>
              <w:autoSpaceDE w:val="0"/>
              <w:autoSpaceDN w:val="0"/>
              <w:bidi w:val="0"/>
              <w:adjustRightInd w:val="0"/>
              <w:snapToGrid w:val="0"/>
              <w:spacing w:line="336" w:lineRule="auto"/>
              <w:jc w:val="both"/>
              <w:textAlignment w:val="auto"/>
              <w:rPr>
                <w:rFonts w:hint="eastAsia" w:ascii="宋体" w:eastAsia="宋体"/>
                <w:b w:val="0"/>
                <w:bCs w:val="0"/>
                <w:color w:val="auto"/>
                <w:sz w:val="22"/>
                <w:highlight w:val="none"/>
              </w:rPr>
            </w:pPr>
            <w:r>
              <w:rPr>
                <w:rFonts w:hint="eastAsia" w:ascii="宋体" w:eastAsia="宋体"/>
                <w:b w:val="0"/>
                <w:bCs w:val="0"/>
                <w:color w:val="auto"/>
                <w:sz w:val="22"/>
                <w:highlight w:val="none"/>
              </w:rPr>
              <w:t>投标供应商的营业执照（或事业法人登记证书或其它工商等登记证明材料）、税务登记证（如为多证合一仅需提供营业执照（或事业法人登记证书或其它工商等登记证明材料），扫描件加盖公章）</w:t>
            </w:r>
          </w:p>
        </w:tc>
      </w:tr>
      <w:tr w14:paraId="69AB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76" w:type="dxa"/>
            <w:tcBorders>
              <w:top w:val="single" w:color="auto" w:sz="4" w:space="0"/>
              <w:left w:val="single" w:color="auto" w:sz="4" w:space="0"/>
              <w:right w:val="single" w:color="auto" w:sz="4" w:space="0"/>
            </w:tcBorders>
            <w:vAlign w:val="center"/>
          </w:tcPr>
          <w:p w14:paraId="3C6C719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eastAsia="宋体"/>
                <w:b w:val="0"/>
                <w:bCs w:val="0"/>
                <w:color w:val="auto"/>
                <w:sz w:val="22"/>
                <w:highlight w:val="none"/>
              </w:rPr>
            </w:pPr>
            <w:r>
              <w:rPr>
                <w:rFonts w:hint="eastAsia" w:ascii="宋体" w:eastAsia="宋体"/>
                <w:b w:val="0"/>
                <w:bCs w:val="0"/>
                <w:color w:val="auto"/>
                <w:sz w:val="22"/>
                <w:highlight w:val="none"/>
              </w:rPr>
              <w:t>3</w:t>
            </w:r>
          </w:p>
        </w:tc>
        <w:tc>
          <w:tcPr>
            <w:tcW w:w="9063" w:type="dxa"/>
            <w:tcBorders>
              <w:top w:val="single" w:color="auto" w:sz="4" w:space="0"/>
              <w:left w:val="single" w:color="auto" w:sz="4" w:space="0"/>
              <w:right w:val="single" w:color="auto" w:sz="4" w:space="0"/>
            </w:tcBorders>
            <w:vAlign w:val="center"/>
          </w:tcPr>
          <w:p w14:paraId="3E7BE492">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eastAsia="宋体"/>
                <w:b w:val="0"/>
                <w:bCs w:val="0"/>
                <w:color w:val="auto"/>
                <w:sz w:val="22"/>
                <w:highlight w:val="none"/>
              </w:rPr>
            </w:pPr>
            <w:r>
              <w:rPr>
                <w:rFonts w:hint="eastAsia" w:ascii="宋体" w:eastAsia="宋体"/>
                <w:b w:val="0"/>
                <w:bCs w:val="0"/>
                <w:color w:val="auto"/>
                <w:sz w:val="22"/>
                <w:highlight w:val="none"/>
              </w:rPr>
              <w:t>投标供应商近期财务报表（扫描件加盖公章，新成立企业应提供情况说明）</w:t>
            </w:r>
          </w:p>
        </w:tc>
      </w:tr>
      <w:tr w14:paraId="3F76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76" w:type="dxa"/>
            <w:tcBorders>
              <w:top w:val="single" w:color="auto" w:sz="4" w:space="0"/>
              <w:left w:val="single" w:color="auto" w:sz="4" w:space="0"/>
              <w:right w:val="single" w:color="auto" w:sz="4" w:space="0"/>
            </w:tcBorders>
            <w:vAlign w:val="center"/>
          </w:tcPr>
          <w:p w14:paraId="32C5055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eastAsia="宋体"/>
                <w:b w:val="0"/>
                <w:bCs w:val="0"/>
                <w:color w:val="auto"/>
                <w:sz w:val="22"/>
                <w:highlight w:val="none"/>
              </w:rPr>
            </w:pPr>
            <w:r>
              <w:rPr>
                <w:rFonts w:hint="eastAsia" w:ascii="宋体" w:eastAsia="宋体"/>
                <w:b w:val="0"/>
                <w:bCs w:val="0"/>
                <w:color w:val="auto"/>
                <w:sz w:val="22"/>
                <w:highlight w:val="none"/>
              </w:rPr>
              <w:t>4</w:t>
            </w:r>
          </w:p>
        </w:tc>
        <w:tc>
          <w:tcPr>
            <w:tcW w:w="9063" w:type="dxa"/>
            <w:tcBorders>
              <w:top w:val="single" w:color="auto" w:sz="4" w:space="0"/>
              <w:left w:val="single" w:color="auto" w:sz="4" w:space="0"/>
              <w:right w:val="single" w:color="auto" w:sz="4" w:space="0"/>
            </w:tcBorders>
            <w:vAlign w:val="center"/>
          </w:tcPr>
          <w:p w14:paraId="7280080C">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eastAsia="宋体"/>
                <w:b w:val="0"/>
                <w:bCs w:val="0"/>
                <w:color w:val="auto"/>
                <w:sz w:val="22"/>
                <w:highlight w:val="none"/>
              </w:rPr>
            </w:pPr>
            <w:r>
              <w:rPr>
                <w:rFonts w:hint="eastAsia" w:ascii="宋体" w:eastAsia="宋体"/>
                <w:b w:val="0"/>
                <w:bCs w:val="0"/>
                <w:color w:val="auto"/>
                <w:sz w:val="22"/>
                <w:highlight w:val="none"/>
              </w:rPr>
              <w:t>具有履行合同所必需的设备和专业技术能力的承诺函（附件一）</w:t>
            </w:r>
          </w:p>
        </w:tc>
      </w:tr>
      <w:tr w14:paraId="0BBD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76" w:type="dxa"/>
            <w:tcBorders>
              <w:top w:val="single" w:color="auto" w:sz="4" w:space="0"/>
              <w:left w:val="single" w:color="auto" w:sz="4" w:space="0"/>
              <w:right w:val="single" w:color="auto" w:sz="4" w:space="0"/>
            </w:tcBorders>
            <w:vAlign w:val="center"/>
          </w:tcPr>
          <w:p w14:paraId="2E38F45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eastAsia="宋体"/>
                <w:b w:val="0"/>
                <w:bCs w:val="0"/>
                <w:color w:val="auto"/>
                <w:sz w:val="22"/>
                <w:highlight w:val="none"/>
              </w:rPr>
            </w:pPr>
            <w:r>
              <w:rPr>
                <w:rFonts w:hint="eastAsia" w:ascii="宋体" w:eastAsia="宋体"/>
                <w:b w:val="0"/>
                <w:bCs w:val="0"/>
                <w:color w:val="auto"/>
                <w:sz w:val="22"/>
                <w:highlight w:val="none"/>
              </w:rPr>
              <w:t>5</w:t>
            </w:r>
          </w:p>
        </w:tc>
        <w:tc>
          <w:tcPr>
            <w:tcW w:w="9063" w:type="dxa"/>
            <w:tcBorders>
              <w:top w:val="single" w:color="auto" w:sz="4" w:space="0"/>
              <w:left w:val="single" w:color="auto" w:sz="4" w:space="0"/>
              <w:right w:val="single" w:color="auto" w:sz="4" w:space="0"/>
            </w:tcBorders>
            <w:vAlign w:val="center"/>
          </w:tcPr>
          <w:p w14:paraId="66ABFBB5">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eastAsia="宋体"/>
                <w:b w:val="0"/>
                <w:bCs w:val="0"/>
                <w:color w:val="auto"/>
                <w:sz w:val="22"/>
                <w:highlight w:val="none"/>
              </w:rPr>
            </w:pPr>
            <w:r>
              <w:rPr>
                <w:rFonts w:hint="eastAsia" w:ascii="宋体" w:eastAsia="宋体"/>
                <w:b w:val="0"/>
                <w:bCs w:val="0"/>
                <w:color w:val="auto"/>
                <w:sz w:val="22"/>
                <w:highlight w:val="none"/>
              </w:rPr>
              <w:t>依法缴纳税收和社会保障资金的承诺函（附件二）</w:t>
            </w:r>
          </w:p>
        </w:tc>
      </w:tr>
      <w:tr w14:paraId="2084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76" w:type="dxa"/>
            <w:tcBorders>
              <w:top w:val="single" w:color="auto" w:sz="4" w:space="0"/>
              <w:left w:val="single" w:color="auto" w:sz="4" w:space="0"/>
              <w:right w:val="single" w:color="auto" w:sz="4" w:space="0"/>
            </w:tcBorders>
            <w:vAlign w:val="center"/>
          </w:tcPr>
          <w:p w14:paraId="3845BE4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eastAsia="宋体"/>
                <w:b w:val="0"/>
                <w:bCs w:val="0"/>
                <w:color w:val="auto"/>
                <w:sz w:val="22"/>
                <w:highlight w:val="none"/>
                <w:lang w:val="zh-CN"/>
              </w:rPr>
            </w:pPr>
            <w:r>
              <w:rPr>
                <w:rFonts w:hint="eastAsia" w:ascii="宋体" w:eastAsia="宋体"/>
                <w:b w:val="0"/>
                <w:bCs w:val="0"/>
                <w:color w:val="auto"/>
                <w:sz w:val="22"/>
                <w:highlight w:val="none"/>
                <w:lang w:val="zh-CN"/>
              </w:rPr>
              <w:t>6</w:t>
            </w:r>
          </w:p>
        </w:tc>
        <w:tc>
          <w:tcPr>
            <w:tcW w:w="9063" w:type="dxa"/>
            <w:tcBorders>
              <w:top w:val="single" w:color="auto" w:sz="4" w:space="0"/>
              <w:left w:val="single" w:color="auto" w:sz="4" w:space="0"/>
              <w:right w:val="single" w:color="auto" w:sz="4" w:space="0"/>
            </w:tcBorders>
            <w:vAlign w:val="center"/>
          </w:tcPr>
          <w:p w14:paraId="092225B4">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eastAsia="宋体"/>
                <w:b w:val="0"/>
                <w:bCs w:val="0"/>
                <w:color w:val="auto"/>
                <w:sz w:val="22"/>
                <w:highlight w:val="none"/>
              </w:rPr>
            </w:pPr>
            <w:r>
              <w:rPr>
                <w:rFonts w:hint="eastAsia" w:ascii="宋体" w:eastAsia="宋体"/>
                <w:b w:val="0"/>
                <w:bCs w:val="0"/>
                <w:color w:val="auto"/>
                <w:sz w:val="22"/>
                <w:highlight w:val="none"/>
              </w:rPr>
              <w:t>参加政府采购活动前3年内在经营活动中没有重大违法记录的声明函（附件三）</w:t>
            </w:r>
          </w:p>
        </w:tc>
      </w:tr>
      <w:tr w14:paraId="4E59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76" w:type="dxa"/>
            <w:tcBorders>
              <w:top w:val="single" w:color="auto" w:sz="4" w:space="0"/>
              <w:left w:val="single" w:color="auto" w:sz="4" w:space="0"/>
              <w:right w:val="single" w:color="auto" w:sz="4" w:space="0"/>
            </w:tcBorders>
            <w:vAlign w:val="center"/>
          </w:tcPr>
          <w:p w14:paraId="2BAC054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eastAsia="宋体"/>
                <w:b w:val="0"/>
                <w:bCs w:val="0"/>
                <w:color w:val="auto"/>
                <w:sz w:val="22"/>
                <w:highlight w:val="none"/>
              </w:rPr>
            </w:pPr>
            <w:r>
              <w:rPr>
                <w:rFonts w:hint="eastAsia" w:ascii="宋体" w:eastAsia="宋体"/>
                <w:b w:val="0"/>
                <w:bCs w:val="0"/>
                <w:color w:val="auto"/>
                <w:sz w:val="22"/>
                <w:highlight w:val="none"/>
              </w:rPr>
              <w:t>7</w:t>
            </w:r>
          </w:p>
        </w:tc>
        <w:tc>
          <w:tcPr>
            <w:tcW w:w="9063" w:type="dxa"/>
            <w:tcBorders>
              <w:top w:val="single" w:color="auto" w:sz="4" w:space="0"/>
              <w:left w:val="single" w:color="auto" w:sz="4" w:space="0"/>
              <w:right w:val="single" w:color="auto" w:sz="4" w:space="0"/>
            </w:tcBorders>
            <w:vAlign w:val="center"/>
          </w:tcPr>
          <w:p w14:paraId="35886E71">
            <w:pPr>
              <w:keepNext w:val="0"/>
              <w:keepLines w:val="0"/>
              <w:pageBreakBefore w:val="0"/>
              <w:widowControl w:val="0"/>
              <w:kinsoku/>
              <w:wordWrap/>
              <w:overflowPunct/>
              <w:topLinePunct w:val="0"/>
              <w:autoSpaceDE w:val="0"/>
              <w:autoSpaceDN w:val="0"/>
              <w:bidi w:val="0"/>
              <w:adjustRightInd w:val="0"/>
              <w:snapToGrid w:val="0"/>
              <w:spacing w:line="336" w:lineRule="auto"/>
              <w:jc w:val="both"/>
              <w:textAlignment w:val="auto"/>
              <w:rPr>
                <w:rFonts w:hint="eastAsia" w:ascii="宋体" w:eastAsia="宋体"/>
                <w:b w:val="0"/>
                <w:bCs w:val="0"/>
                <w:color w:val="auto"/>
                <w:sz w:val="22"/>
                <w:highlight w:val="none"/>
              </w:rPr>
            </w:pPr>
            <w:r>
              <w:rPr>
                <w:rFonts w:hint="eastAsia" w:ascii="宋体" w:eastAsia="宋体"/>
                <w:b w:val="0"/>
                <w:bCs w:val="0"/>
                <w:color w:val="auto"/>
                <w:sz w:val="22"/>
                <w:highlight w:val="none"/>
              </w:rPr>
              <w:t>投标供应商“信用中国”</w:t>
            </w:r>
            <w:r>
              <w:rPr>
                <w:rFonts w:hint="eastAsia" w:ascii="宋体" w:eastAsia="宋体"/>
                <w:b w:val="0"/>
                <w:bCs w:val="0"/>
                <w:color w:val="auto"/>
                <w:sz w:val="22"/>
                <w:highlight w:val="none"/>
                <w:lang w:eastAsia="zh-CN"/>
              </w:rPr>
              <w:t>（https://www.creditchina.gov.cn/</w:t>
            </w:r>
            <w:r>
              <w:rPr>
                <w:rFonts w:hint="eastAsia" w:ascii="宋体" w:eastAsia="宋体"/>
                <w:b w:val="0"/>
                <w:bCs w:val="0"/>
                <w:color w:val="auto"/>
                <w:sz w:val="22"/>
                <w:highlight w:val="none"/>
              </w:rPr>
              <w:t>)；“中国政府采购网”（www.ccgp.gov.cn）信用记录查询网页截图（采购公告发布之日至响应文件递交截止时间前）</w:t>
            </w:r>
          </w:p>
        </w:tc>
      </w:tr>
      <w:tr w14:paraId="3F9D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76" w:type="dxa"/>
            <w:tcBorders>
              <w:top w:val="single" w:color="auto" w:sz="4" w:space="0"/>
              <w:left w:val="single" w:color="auto" w:sz="4" w:space="0"/>
              <w:right w:val="single" w:color="auto" w:sz="4" w:space="0"/>
            </w:tcBorders>
            <w:vAlign w:val="center"/>
          </w:tcPr>
          <w:p w14:paraId="2A7FD4D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eastAsia="宋体"/>
                <w:b w:val="0"/>
                <w:bCs w:val="0"/>
                <w:color w:val="auto"/>
                <w:sz w:val="22"/>
                <w:highlight w:val="none"/>
              </w:rPr>
            </w:pPr>
            <w:r>
              <w:rPr>
                <w:rFonts w:hint="eastAsia" w:ascii="宋体" w:eastAsia="宋体"/>
                <w:b w:val="0"/>
                <w:bCs w:val="0"/>
                <w:color w:val="auto"/>
                <w:sz w:val="22"/>
                <w:highlight w:val="none"/>
              </w:rPr>
              <w:t>8</w:t>
            </w:r>
          </w:p>
        </w:tc>
        <w:tc>
          <w:tcPr>
            <w:tcW w:w="9063" w:type="dxa"/>
            <w:tcBorders>
              <w:top w:val="single" w:color="auto" w:sz="4" w:space="0"/>
              <w:left w:val="single" w:color="auto" w:sz="4" w:space="0"/>
              <w:right w:val="single" w:color="auto" w:sz="4" w:space="0"/>
            </w:tcBorders>
            <w:vAlign w:val="center"/>
          </w:tcPr>
          <w:p w14:paraId="7E3DC2B8">
            <w:pPr>
              <w:keepNext w:val="0"/>
              <w:keepLines w:val="0"/>
              <w:pageBreakBefore w:val="0"/>
              <w:widowControl w:val="0"/>
              <w:kinsoku/>
              <w:wordWrap/>
              <w:overflowPunct/>
              <w:topLinePunct w:val="0"/>
              <w:autoSpaceDE w:val="0"/>
              <w:autoSpaceDN w:val="0"/>
              <w:bidi w:val="0"/>
              <w:adjustRightInd w:val="0"/>
              <w:snapToGrid w:val="0"/>
              <w:spacing w:line="336" w:lineRule="auto"/>
              <w:jc w:val="both"/>
              <w:textAlignment w:val="auto"/>
              <w:rPr>
                <w:rFonts w:hint="eastAsia" w:ascii="宋体" w:eastAsia="宋体"/>
                <w:b w:val="0"/>
                <w:bCs w:val="0"/>
                <w:color w:val="auto"/>
                <w:sz w:val="22"/>
                <w:highlight w:val="none"/>
              </w:rPr>
            </w:pPr>
            <w:r>
              <w:rPr>
                <w:rFonts w:hint="eastAsia" w:ascii="宋体" w:eastAsia="宋体"/>
                <w:b w:val="0"/>
                <w:bCs w:val="0"/>
                <w:color w:val="auto"/>
                <w:sz w:val="22"/>
                <w:highlight w:val="none"/>
              </w:rPr>
              <w:t>投标供应商参与政府采购活动投标资格声明函（附件四）</w:t>
            </w:r>
          </w:p>
        </w:tc>
      </w:tr>
      <w:tr w14:paraId="1557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76" w:type="dxa"/>
            <w:tcBorders>
              <w:top w:val="single" w:color="auto" w:sz="4" w:space="0"/>
              <w:left w:val="single" w:color="auto" w:sz="4" w:space="0"/>
              <w:right w:val="single" w:color="auto" w:sz="4" w:space="0"/>
            </w:tcBorders>
            <w:vAlign w:val="center"/>
          </w:tcPr>
          <w:p w14:paraId="7CF7997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eastAsia="宋体"/>
                <w:b w:val="0"/>
                <w:bCs w:val="0"/>
                <w:color w:val="auto"/>
                <w:sz w:val="22"/>
                <w:highlight w:val="none"/>
              </w:rPr>
            </w:pPr>
            <w:r>
              <w:rPr>
                <w:rFonts w:hint="eastAsia" w:ascii="宋体" w:eastAsia="宋体"/>
                <w:b w:val="0"/>
                <w:bCs w:val="0"/>
                <w:color w:val="auto"/>
                <w:sz w:val="22"/>
                <w:highlight w:val="none"/>
              </w:rPr>
              <w:t>9</w:t>
            </w:r>
          </w:p>
        </w:tc>
        <w:tc>
          <w:tcPr>
            <w:tcW w:w="9063" w:type="dxa"/>
            <w:tcBorders>
              <w:top w:val="single" w:color="auto" w:sz="4" w:space="0"/>
              <w:left w:val="single" w:color="auto" w:sz="4" w:space="0"/>
              <w:right w:val="single" w:color="auto" w:sz="4" w:space="0"/>
            </w:tcBorders>
            <w:vAlign w:val="center"/>
          </w:tcPr>
          <w:p w14:paraId="0E023A63">
            <w:pPr>
              <w:keepNext w:val="0"/>
              <w:keepLines w:val="0"/>
              <w:pageBreakBefore w:val="0"/>
              <w:widowControl w:val="0"/>
              <w:kinsoku/>
              <w:wordWrap/>
              <w:overflowPunct/>
              <w:topLinePunct w:val="0"/>
              <w:autoSpaceDE w:val="0"/>
              <w:autoSpaceDN w:val="0"/>
              <w:bidi w:val="0"/>
              <w:adjustRightInd w:val="0"/>
              <w:snapToGrid w:val="0"/>
              <w:spacing w:line="336" w:lineRule="auto"/>
              <w:jc w:val="both"/>
              <w:textAlignment w:val="auto"/>
              <w:rPr>
                <w:rFonts w:hint="eastAsia" w:ascii="宋体" w:eastAsia="宋体"/>
                <w:b w:val="0"/>
                <w:bCs w:val="0"/>
                <w:color w:val="auto"/>
                <w:sz w:val="22"/>
                <w:highlight w:val="none"/>
              </w:rPr>
            </w:pPr>
            <w:r>
              <w:rPr>
                <w:rFonts w:hint="eastAsia" w:ascii="宋体" w:eastAsia="宋体"/>
                <w:b w:val="0"/>
                <w:bCs w:val="0"/>
                <w:color w:val="auto"/>
                <w:sz w:val="22"/>
                <w:highlight w:val="none"/>
              </w:rPr>
              <w:t>与参加本次项目同一合同项下政府采购活动的其他供应商不存在单位负责人为同一人或者直接控股、管理关系的承诺函（附件五）</w:t>
            </w:r>
          </w:p>
        </w:tc>
      </w:tr>
      <w:tr w14:paraId="3035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76" w:type="dxa"/>
            <w:tcBorders>
              <w:top w:val="single" w:color="auto" w:sz="4" w:space="0"/>
              <w:left w:val="single" w:color="auto" w:sz="4" w:space="0"/>
              <w:right w:val="single" w:color="auto" w:sz="4" w:space="0"/>
            </w:tcBorders>
            <w:vAlign w:val="center"/>
          </w:tcPr>
          <w:p w14:paraId="1BF6D62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eastAsia="宋体"/>
                <w:b w:val="0"/>
                <w:bCs w:val="0"/>
                <w:color w:val="auto"/>
                <w:sz w:val="22"/>
                <w:highlight w:val="none"/>
                <w:lang w:val="en-US" w:eastAsia="zh-CN"/>
              </w:rPr>
            </w:pPr>
            <w:r>
              <w:rPr>
                <w:rFonts w:hint="eastAsia" w:ascii="宋体" w:eastAsia="宋体"/>
                <w:b w:val="0"/>
                <w:bCs w:val="0"/>
                <w:color w:val="auto"/>
                <w:sz w:val="22"/>
                <w:highlight w:val="none"/>
                <w:lang w:val="en-US" w:eastAsia="zh-CN"/>
              </w:rPr>
              <w:t>10</w:t>
            </w:r>
          </w:p>
        </w:tc>
        <w:tc>
          <w:tcPr>
            <w:tcW w:w="9063" w:type="dxa"/>
            <w:tcBorders>
              <w:top w:val="single" w:color="auto" w:sz="4" w:space="0"/>
              <w:left w:val="single" w:color="auto" w:sz="4" w:space="0"/>
              <w:right w:val="single" w:color="auto" w:sz="4" w:space="0"/>
            </w:tcBorders>
            <w:shd w:val="clear" w:color="auto" w:fill="auto"/>
            <w:vAlign w:val="center"/>
          </w:tcPr>
          <w:p w14:paraId="31DE4252">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val="0"/>
                <w:bCs w:val="0"/>
                <w:color w:val="auto"/>
                <w:sz w:val="22"/>
                <w:szCs w:val="21"/>
                <w:highlight w:val="none"/>
                <w:lang w:val="en-US" w:eastAsia="zh-CN" w:bidi="ar-SA"/>
              </w:rPr>
            </w:pPr>
            <w:r>
              <w:rPr>
                <w:rFonts w:hint="eastAsia" w:ascii="宋体" w:hAnsi="宋体" w:eastAsia="宋体" w:cs="宋体"/>
                <w:b w:val="0"/>
                <w:bCs/>
                <w:color w:val="auto"/>
                <w:sz w:val="22"/>
                <w:highlight w:val="none"/>
              </w:rPr>
              <w:t>代理服务费支付承诺书</w:t>
            </w:r>
            <w:r>
              <w:rPr>
                <w:rFonts w:hint="eastAsia" w:ascii="宋体" w:hAnsi="宋体" w:eastAsia="宋体" w:cs="宋体"/>
                <w:b w:val="0"/>
                <w:bCs/>
                <w:color w:val="auto"/>
                <w:sz w:val="22"/>
                <w:highlight w:val="none"/>
                <w:lang w:eastAsia="zh-CN"/>
              </w:rPr>
              <w:t>（</w:t>
            </w:r>
            <w:r>
              <w:rPr>
                <w:rFonts w:hint="eastAsia" w:ascii="宋体" w:hAnsi="宋体" w:eastAsia="宋体" w:cs="宋体"/>
                <w:b w:val="0"/>
                <w:bCs/>
                <w:color w:val="auto"/>
                <w:sz w:val="22"/>
                <w:highlight w:val="none"/>
                <w:lang w:val="en-US" w:eastAsia="zh-CN"/>
              </w:rPr>
              <w:t>附件六</w:t>
            </w:r>
            <w:r>
              <w:rPr>
                <w:rFonts w:hint="eastAsia" w:ascii="宋体" w:hAnsi="宋体" w:eastAsia="宋体" w:cs="宋体"/>
                <w:b w:val="0"/>
                <w:bCs/>
                <w:color w:val="auto"/>
                <w:sz w:val="22"/>
                <w:highlight w:val="none"/>
                <w:lang w:eastAsia="zh-CN"/>
              </w:rPr>
              <w:t>）</w:t>
            </w:r>
          </w:p>
        </w:tc>
      </w:tr>
      <w:tr w14:paraId="1C5D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tcBorders>
              <w:top w:val="single" w:color="auto" w:sz="4" w:space="0"/>
              <w:left w:val="single" w:color="auto" w:sz="4" w:space="0"/>
              <w:right w:val="single" w:color="auto" w:sz="4" w:space="0"/>
            </w:tcBorders>
            <w:vAlign w:val="center"/>
          </w:tcPr>
          <w:p w14:paraId="3C229EB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eastAsia="宋体"/>
                <w:b w:val="0"/>
                <w:bCs w:val="0"/>
                <w:color w:val="auto"/>
                <w:sz w:val="22"/>
                <w:highlight w:val="none"/>
                <w:lang w:val="en-US" w:eastAsia="zh-CN"/>
              </w:rPr>
            </w:pPr>
            <w:r>
              <w:rPr>
                <w:rFonts w:hint="eastAsia" w:ascii="宋体" w:eastAsia="宋体"/>
                <w:b w:val="0"/>
                <w:bCs w:val="0"/>
                <w:color w:val="auto"/>
                <w:sz w:val="22"/>
                <w:highlight w:val="none"/>
                <w:lang w:val="en-US" w:eastAsia="zh-CN"/>
              </w:rPr>
              <w:t>11</w:t>
            </w:r>
          </w:p>
        </w:tc>
        <w:tc>
          <w:tcPr>
            <w:tcW w:w="9063" w:type="dxa"/>
            <w:tcBorders>
              <w:top w:val="single" w:color="auto" w:sz="4" w:space="0"/>
              <w:left w:val="single" w:color="auto" w:sz="4" w:space="0"/>
              <w:right w:val="single" w:color="auto" w:sz="4" w:space="0"/>
            </w:tcBorders>
            <w:shd w:val="clear" w:color="auto" w:fill="auto"/>
            <w:vAlign w:val="center"/>
          </w:tcPr>
          <w:p w14:paraId="196DC3A5">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color w:val="auto"/>
                <w:sz w:val="21"/>
                <w:szCs w:val="21"/>
                <w:highlight w:val="none"/>
                <w:lang w:val="en-US" w:eastAsia="zh-CN" w:bidi="ar-SA"/>
              </w:rPr>
            </w:pPr>
            <w:r>
              <w:rPr>
                <w:rFonts w:hint="eastAsia" w:ascii="宋体" w:eastAsia="宋体"/>
                <w:b w:val="0"/>
                <w:bCs w:val="0"/>
                <w:color w:val="auto"/>
                <w:sz w:val="22"/>
                <w:highlight w:val="none"/>
              </w:rPr>
              <w:t>供应商特定资格条件证明</w:t>
            </w:r>
          </w:p>
        </w:tc>
      </w:tr>
    </w:tbl>
    <w:p w14:paraId="15496B59">
      <w:pPr>
        <w:pageBreakBefore w:val="0"/>
        <w:widowControl w:val="0"/>
        <w:kinsoku/>
        <w:overflowPunct/>
        <w:autoSpaceDE w:val="0"/>
        <w:autoSpaceDN w:val="0"/>
        <w:bidi w:val="0"/>
        <w:adjustRightInd w:val="0"/>
        <w:snapToGrid w:val="0"/>
        <w:spacing w:line="360" w:lineRule="auto"/>
        <w:ind w:firstLine="442" w:firstLineChars="200"/>
        <w:rPr>
          <w:rFonts w:hint="eastAsia" w:ascii="宋体" w:eastAsia="宋体"/>
          <w:color w:val="auto"/>
          <w:sz w:val="22"/>
          <w:szCs w:val="22"/>
          <w:highlight w:val="none"/>
          <w:u w:val="none"/>
        </w:rPr>
      </w:pPr>
      <w:r>
        <w:rPr>
          <w:rFonts w:hint="eastAsia" w:ascii="宋体" w:eastAsia="宋体"/>
          <w:color w:val="auto"/>
          <w:sz w:val="22"/>
          <w:szCs w:val="22"/>
          <w:highlight w:val="none"/>
          <w:u w:val="none"/>
        </w:rPr>
        <w:t>2.2、报价文件组成</w:t>
      </w:r>
    </w:p>
    <w:tbl>
      <w:tblPr>
        <w:tblStyle w:val="23"/>
        <w:tblW w:w="98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033"/>
      </w:tblGrid>
      <w:tr w14:paraId="2BEE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6" w:type="dxa"/>
            <w:vAlign w:val="center"/>
          </w:tcPr>
          <w:p w14:paraId="346BAC14">
            <w:pPr>
              <w:keepNext w:val="0"/>
              <w:keepLines w:val="0"/>
              <w:pageBreakBefore w:val="0"/>
              <w:widowControl w:val="0"/>
              <w:kinsoku/>
              <w:wordWrap/>
              <w:overflowPunct/>
              <w:topLinePunct w:val="0"/>
              <w:autoSpaceDE w:val="0"/>
              <w:autoSpaceDN w:val="0"/>
              <w:bidi w:val="0"/>
              <w:adjustRightInd w:val="0"/>
              <w:snapToGrid w:val="0"/>
              <w:spacing w:line="336" w:lineRule="auto"/>
              <w:jc w:val="center"/>
              <w:rPr>
                <w:rFonts w:hint="eastAsia" w:ascii="宋体" w:eastAsia="宋体"/>
                <w:b w:val="0"/>
                <w:bCs w:val="0"/>
                <w:color w:val="auto"/>
                <w:sz w:val="22"/>
                <w:highlight w:val="none"/>
                <w:lang w:val="zh-CN"/>
              </w:rPr>
            </w:pPr>
            <w:r>
              <w:rPr>
                <w:rFonts w:hint="eastAsia" w:ascii="宋体" w:eastAsia="宋体"/>
                <w:b w:val="0"/>
                <w:bCs w:val="0"/>
                <w:color w:val="auto"/>
                <w:sz w:val="22"/>
                <w:highlight w:val="none"/>
                <w:lang w:val="zh-CN"/>
              </w:rPr>
              <w:t>序号</w:t>
            </w:r>
          </w:p>
        </w:tc>
        <w:tc>
          <w:tcPr>
            <w:tcW w:w="9033" w:type="dxa"/>
            <w:vAlign w:val="center"/>
          </w:tcPr>
          <w:p w14:paraId="1100576D">
            <w:pPr>
              <w:keepNext w:val="0"/>
              <w:keepLines w:val="0"/>
              <w:pageBreakBefore w:val="0"/>
              <w:widowControl w:val="0"/>
              <w:kinsoku/>
              <w:wordWrap/>
              <w:overflowPunct/>
              <w:topLinePunct w:val="0"/>
              <w:autoSpaceDE w:val="0"/>
              <w:autoSpaceDN w:val="0"/>
              <w:bidi w:val="0"/>
              <w:adjustRightInd w:val="0"/>
              <w:snapToGrid w:val="0"/>
              <w:spacing w:line="336" w:lineRule="auto"/>
              <w:jc w:val="both"/>
              <w:rPr>
                <w:rFonts w:hint="eastAsia" w:ascii="宋体" w:eastAsia="宋体"/>
                <w:b w:val="0"/>
                <w:bCs w:val="0"/>
                <w:color w:val="auto"/>
                <w:sz w:val="22"/>
                <w:highlight w:val="none"/>
                <w:lang w:val="zh-CN"/>
              </w:rPr>
            </w:pPr>
            <w:r>
              <w:rPr>
                <w:rFonts w:hint="eastAsia" w:ascii="宋体" w:eastAsia="宋体"/>
                <w:color w:val="auto"/>
                <w:sz w:val="22"/>
                <w:highlight w:val="none"/>
                <w:lang w:val="zh-CN"/>
              </w:rPr>
              <w:t>内容（▲序号2-3项投标供应商必须提供，否则不能通过符合性审查的，责任自负。）</w:t>
            </w:r>
          </w:p>
        </w:tc>
      </w:tr>
      <w:tr w14:paraId="46C4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6" w:type="dxa"/>
            <w:tcBorders>
              <w:top w:val="single" w:color="auto" w:sz="4" w:space="0"/>
              <w:left w:val="single" w:color="auto" w:sz="4" w:space="0"/>
              <w:right w:val="single" w:color="auto" w:sz="4" w:space="0"/>
            </w:tcBorders>
            <w:vAlign w:val="center"/>
          </w:tcPr>
          <w:p w14:paraId="7C3D0B6B">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eastAsia="宋体"/>
                <w:b w:val="0"/>
                <w:bCs w:val="0"/>
                <w:color w:val="auto"/>
                <w:sz w:val="22"/>
                <w:highlight w:val="none"/>
                <w:lang w:val="zh-CN"/>
              </w:rPr>
            </w:pPr>
            <w:r>
              <w:rPr>
                <w:rFonts w:hint="eastAsia" w:ascii="宋体" w:eastAsia="宋体"/>
                <w:b w:val="0"/>
                <w:bCs w:val="0"/>
                <w:color w:val="auto"/>
                <w:sz w:val="22"/>
                <w:highlight w:val="none"/>
                <w:lang w:val="zh-CN"/>
              </w:rPr>
              <w:t>1</w:t>
            </w:r>
          </w:p>
        </w:tc>
        <w:tc>
          <w:tcPr>
            <w:tcW w:w="9033" w:type="dxa"/>
            <w:tcBorders>
              <w:top w:val="single" w:color="auto" w:sz="4" w:space="0"/>
              <w:left w:val="single" w:color="auto" w:sz="4" w:space="0"/>
              <w:right w:val="single" w:color="auto" w:sz="4" w:space="0"/>
            </w:tcBorders>
            <w:vAlign w:val="center"/>
          </w:tcPr>
          <w:p w14:paraId="400E7186">
            <w:pPr>
              <w:keepNext w:val="0"/>
              <w:keepLines w:val="0"/>
              <w:pageBreakBefore w:val="0"/>
              <w:widowControl w:val="0"/>
              <w:kinsoku/>
              <w:wordWrap/>
              <w:overflowPunct/>
              <w:topLinePunct w:val="0"/>
              <w:autoSpaceDE w:val="0"/>
              <w:autoSpaceDN w:val="0"/>
              <w:bidi w:val="0"/>
              <w:adjustRightInd w:val="0"/>
              <w:snapToGrid w:val="0"/>
              <w:spacing w:line="336" w:lineRule="auto"/>
              <w:jc w:val="both"/>
              <w:rPr>
                <w:rFonts w:hint="eastAsia" w:ascii="宋体" w:eastAsia="宋体"/>
                <w:b w:val="0"/>
                <w:bCs w:val="0"/>
                <w:color w:val="auto"/>
                <w:sz w:val="22"/>
                <w:highlight w:val="none"/>
                <w:lang w:val="zh-CN"/>
              </w:rPr>
            </w:pPr>
            <w:r>
              <w:rPr>
                <w:rFonts w:hint="eastAsia" w:ascii="宋体" w:eastAsia="宋体"/>
                <w:b w:val="0"/>
                <w:bCs w:val="0"/>
                <w:color w:val="auto"/>
                <w:sz w:val="22"/>
                <w:szCs w:val="22"/>
                <w:highlight w:val="none"/>
              </w:rPr>
              <w:t>报价文件封面（格式自拟）</w:t>
            </w:r>
          </w:p>
        </w:tc>
      </w:tr>
      <w:tr w14:paraId="4F12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86" w:type="dxa"/>
            <w:tcBorders>
              <w:top w:val="single" w:color="auto" w:sz="4" w:space="0"/>
              <w:left w:val="single" w:color="auto" w:sz="4" w:space="0"/>
              <w:right w:val="single" w:color="auto" w:sz="4" w:space="0"/>
            </w:tcBorders>
            <w:vAlign w:val="center"/>
          </w:tcPr>
          <w:p w14:paraId="2B086D09">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eastAsia="宋体"/>
                <w:b w:val="0"/>
                <w:bCs w:val="0"/>
                <w:color w:val="auto"/>
                <w:sz w:val="22"/>
                <w:highlight w:val="none"/>
                <w:lang w:val="zh-CN"/>
              </w:rPr>
            </w:pPr>
            <w:r>
              <w:rPr>
                <w:rFonts w:hint="eastAsia" w:ascii="宋体" w:eastAsia="宋体"/>
                <w:b w:val="0"/>
                <w:bCs w:val="0"/>
                <w:color w:val="auto"/>
                <w:sz w:val="22"/>
                <w:highlight w:val="none"/>
                <w:lang w:val="zh-CN"/>
              </w:rPr>
              <w:t>2</w:t>
            </w:r>
          </w:p>
        </w:tc>
        <w:tc>
          <w:tcPr>
            <w:tcW w:w="9033" w:type="dxa"/>
            <w:tcBorders>
              <w:top w:val="single" w:color="auto" w:sz="4" w:space="0"/>
              <w:left w:val="single" w:color="auto" w:sz="4" w:space="0"/>
              <w:right w:val="single" w:color="auto" w:sz="4" w:space="0"/>
            </w:tcBorders>
            <w:vAlign w:val="center"/>
          </w:tcPr>
          <w:p w14:paraId="5DD5AB07">
            <w:pPr>
              <w:keepNext w:val="0"/>
              <w:keepLines w:val="0"/>
              <w:pageBreakBefore w:val="0"/>
              <w:widowControl w:val="0"/>
              <w:kinsoku/>
              <w:wordWrap/>
              <w:overflowPunct/>
              <w:topLinePunct w:val="0"/>
              <w:autoSpaceDE w:val="0"/>
              <w:autoSpaceDN w:val="0"/>
              <w:bidi w:val="0"/>
              <w:adjustRightInd w:val="0"/>
              <w:spacing w:line="336" w:lineRule="auto"/>
              <w:jc w:val="both"/>
              <w:textAlignment w:val="bottom"/>
              <w:rPr>
                <w:rFonts w:hint="eastAsia" w:ascii="宋体" w:eastAsia="宋体"/>
                <w:b w:val="0"/>
                <w:bCs w:val="0"/>
                <w:color w:val="auto"/>
                <w:sz w:val="22"/>
                <w:highlight w:val="none"/>
              </w:rPr>
            </w:pPr>
            <w:r>
              <w:rPr>
                <w:rFonts w:hint="eastAsia" w:ascii="宋体" w:eastAsia="宋体"/>
                <w:b w:val="0"/>
                <w:bCs w:val="0"/>
                <w:color w:val="auto"/>
                <w:sz w:val="22"/>
                <w:highlight w:val="none"/>
              </w:rPr>
              <w:t>开标一览表（附件</w:t>
            </w:r>
            <w:r>
              <w:rPr>
                <w:rFonts w:hint="eastAsia" w:ascii="宋体" w:eastAsia="宋体"/>
                <w:b w:val="0"/>
                <w:bCs w:val="0"/>
                <w:color w:val="auto"/>
                <w:sz w:val="22"/>
                <w:highlight w:val="none"/>
                <w:lang w:val="en-US" w:eastAsia="zh-CN"/>
              </w:rPr>
              <w:t>七</w:t>
            </w:r>
            <w:r>
              <w:rPr>
                <w:rFonts w:hint="eastAsia" w:ascii="宋体" w:eastAsia="宋体"/>
                <w:b w:val="0"/>
                <w:bCs w:val="0"/>
                <w:color w:val="auto"/>
                <w:sz w:val="22"/>
                <w:highlight w:val="none"/>
              </w:rPr>
              <w:t>）</w:t>
            </w:r>
          </w:p>
        </w:tc>
      </w:tr>
      <w:tr w14:paraId="1242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86" w:type="dxa"/>
            <w:tcBorders>
              <w:top w:val="single" w:color="auto" w:sz="4" w:space="0"/>
              <w:left w:val="single" w:color="auto" w:sz="4" w:space="0"/>
              <w:right w:val="single" w:color="auto" w:sz="4" w:space="0"/>
            </w:tcBorders>
            <w:vAlign w:val="center"/>
          </w:tcPr>
          <w:p w14:paraId="76075C1A">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eastAsia="宋体"/>
                <w:b w:val="0"/>
                <w:bCs w:val="0"/>
                <w:color w:val="auto"/>
                <w:sz w:val="22"/>
                <w:highlight w:val="none"/>
                <w:lang w:val="zh-CN"/>
              </w:rPr>
            </w:pPr>
            <w:r>
              <w:rPr>
                <w:rFonts w:hint="eastAsia" w:ascii="宋体" w:eastAsia="宋体"/>
                <w:b w:val="0"/>
                <w:bCs w:val="0"/>
                <w:color w:val="auto"/>
                <w:sz w:val="22"/>
                <w:highlight w:val="none"/>
                <w:lang w:val="zh-CN"/>
              </w:rPr>
              <w:t>3</w:t>
            </w:r>
          </w:p>
        </w:tc>
        <w:tc>
          <w:tcPr>
            <w:tcW w:w="9033" w:type="dxa"/>
            <w:tcBorders>
              <w:top w:val="single" w:color="auto" w:sz="4" w:space="0"/>
              <w:left w:val="single" w:color="auto" w:sz="4" w:space="0"/>
              <w:right w:val="single" w:color="auto" w:sz="4" w:space="0"/>
            </w:tcBorders>
            <w:vAlign w:val="center"/>
          </w:tcPr>
          <w:p w14:paraId="54EB1EC8">
            <w:pPr>
              <w:keepNext w:val="0"/>
              <w:keepLines w:val="0"/>
              <w:pageBreakBefore w:val="0"/>
              <w:widowControl w:val="0"/>
              <w:kinsoku/>
              <w:wordWrap/>
              <w:overflowPunct/>
              <w:topLinePunct w:val="0"/>
              <w:autoSpaceDE w:val="0"/>
              <w:autoSpaceDN w:val="0"/>
              <w:bidi w:val="0"/>
              <w:adjustRightInd w:val="0"/>
              <w:spacing w:line="336" w:lineRule="auto"/>
              <w:jc w:val="both"/>
              <w:textAlignment w:val="bottom"/>
              <w:rPr>
                <w:rFonts w:hint="eastAsia" w:ascii="宋体" w:eastAsia="宋体"/>
                <w:b w:val="0"/>
                <w:bCs w:val="0"/>
                <w:color w:val="auto"/>
                <w:highlight w:val="none"/>
                <w:lang w:val="zh-CN"/>
              </w:rPr>
            </w:pPr>
            <w:r>
              <w:rPr>
                <w:rFonts w:hint="eastAsia" w:ascii="宋体" w:eastAsia="宋体"/>
                <w:b w:val="0"/>
                <w:bCs w:val="0"/>
                <w:color w:val="auto"/>
                <w:sz w:val="22"/>
                <w:szCs w:val="22"/>
                <w:highlight w:val="none"/>
                <w:lang w:val="zh-CN"/>
              </w:rPr>
              <w:t>分项报价表</w:t>
            </w:r>
            <w:r>
              <w:rPr>
                <w:rFonts w:hint="eastAsia" w:ascii="宋体" w:eastAsia="宋体"/>
                <w:b w:val="0"/>
                <w:bCs w:val="0"/>
                <w:color w:val="auto"/>
                <w:highlight w:val="none"/>
              </w:rPr>
              <w:t>（附件</w:t>
            </w:r>
            <w:r>
              <w:rPr>
                <w:rFonts w:hint="eastAsia" w:ascii="宋体" w:eastAsia="宋体"/>
                <w:b w:val="0"/>
                <w:bCs w:val="0"/>
                <w:color w:val="auto"/>
                <w:highlight w:val="none"/>
                <w:lang w:val="en-US" w:eastAsia="zh-CN"/>
              </w:rPr>
              <w:t>八</w:t>
            </w:r>
            <w:r>
              <w:rPr>
                <w:rFonts w:hint="eastAsia" w:ascii="宋体" w:eastAsia="宋体"/>
                <w:b w:val="0"/>
                <w:bCs w:val="0"/>
                <w:color w:val="auto"/>
                <w:highlight w:val="none"/>
              </w:rPr>
              <w:t>）</w:t>
            </w:r>
          </w:p>
        </w:tc>
      </w:tr>
      <w:tr w14:paraId="183D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786" w:type="dxa"/>
            <w:tcBorders>
              <w:top w:val="single" w:color="auto" w:sz="4" w:space="0"/>
              <w:left w:val="single" w:color="auto" w:sz="4" w:space="0"/>
              <w:right w:val="single" w:color="auto" w:sz="4" w:space="0"/>
            </w:tcBorders>
            <w:vAlign w:val="center"/>
          </w:tcPr>
          <w:p w14:paraId="19C8AEBC">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eastAsia="宋体"/>
                <w:b w:val="0"/>
                <w:bCs w:val="0"/>
                <w:color w:val="auto"/>
                <w:sz w:val="22"/>
                <w:highlight w:val="none"/>
              </w:rPr>
            </w:pPr>
            <w:r>
              <w:rPr>
                <w:rFonts w:hint="eastAsia" w:ascii="宋体" w:eastAsia="宋体"/>
                <w:b w:val="0"/>
                <w:bCs w:val="0"/>
                <w:color w:val="auto"/>
                <w:sz w:val="22"/>
                <w:highlight w:val="none"/>
              </w:rPr>
              <w:t>4</w:t>
            </w:r>
          </w:p>
        </w:tc>
        <w:tc>
          <w:tcPr>
            <w:tcW w:w="9033" w:type="dxa"/>
            <w:tcBorders>
              <w:top w:val="single" w:color="auto" w:sz="4" w:space="0"/>
              <w:left w:val="single" w:color="auto" w:sz="4" w:space="0"/>
              <w:right w:val="single" w:color="auto" w:sz="4" w:space="0"/>
            </w:tcBorders>
            <w:vAlign w:val="center"/>
          </w:tcPr>
          <w:p w14:paraId="12E6D566">
            <w:pPr>
              <w:keepNext w:val="0"/>
              <w:keepLines w:val="0"/>
              <w:pageBreakBefore w:val="0"/>
              <w:widowControl w:val="0"/>
              <w:kinsoku/>
              <w:wordWrap/>
              <w:overflowPunct/>
              <w:topLinePunct w:val="0"/>
              <w:autoSpaceDE w:val="0"/>
              <w:autoSpaceDN w:val="0"/>
              <w:bidi w:val="0"/>
              <w:adjustRightInd w:val="0"/>
              <w:snapToGrid w:val="0"/>
              <w:spacing w:line="336" w:lineRule="auto"/>
              <w:jc w:val="both"/>
              <w:rPr>
                <w:rFonts w:hint="eastAsia" w:ascii="宋体" w:eastAsia="宋体"/>
                <w:color w:val="auto"/>
                <w:sz w:val="22"/>
                <w:szCs w:val="22"/>
                <w:highlight w:val="none"/>
              </w:rPr>
            </w:pPr>
            <w:r>
              <w:rPr>
                <w:rFonts w:hint="eastAsia" w:ascii="宋体" w:eastAsia="宋体"/>
                <w:color w:val="auto"/>
                <w:sz w:val="22"/>
                <w:szCs w:val="22"/>
                <w:highlight w:val="none"/>
              </w:rPr>
              <w:t>1、享受小微企业（含监狱企业、残疾人福利性单位）价格10%的折扣须提供以下证明材料：</w:t>
            </w:r>
          </w:p>
          <w:p w14:paraId="710D8325">
            <w:pPr>
              <w:keepNext w:val="0"/>
              <w:keepLines w:val="0"/>
              <w:pageBreakBefore w:val="0"/>
              <w:widowControl w:val="0"/>
              <w:kinsoku/>
              <w:wordWrap/>
              <w:overflowPunct/>
              <w:topLinePunct w:val="0"/>
              <w:autoSpaceDE w:val="0"/>
              <w:autoSpaceDN w:val="0"/>
              <w:bidi w:val="0"/>
              <w:adjustRightInd w:val="0"/>
              <w:snapToGrid w:val="0"/>
              <w:spacing w:line="336" w:lineRule="auto"/>
              <w:jc w:val="both"/>
              <w:rPr>
                <w:rFonts w:hint="eastAsia" w:ascii="宋体" w:eastAsia="宋体"/>
                <w:color w:val="auto"/>
                <w:sz w:val="22"/>
                <w:szCs w:val="22"/>
                <w:highlight w:val="none"/>
              </w:rPr>
            </w:pPr>
            <w:r>
              <w:rPr>
                <w:rFonts w:hint="eastAsia" w:ascii="宋体" w:eastAsia="宋体"/>
                <w:color w:val="auto"/>
                <w:sz w:val="22"/>
                <w:szCs w:val="22"/>
                <w:highlight w:val="none"/>
              </w:rPr>
              <w:t>《中小企业声明函》（加盖供应商公章，格式见</w:t>
            </w:r>
            <w:r>
              <w:rPr>
                <w:rFonts w:hint="eastAsia" w:ascii="宋体" w:eastAsia="宋体"/>
                <w:color w:val="auto"/>
                <w:sz w:val="22"/>
                <w:szCs w:val="22"/>
                <w:highlight w:val="none"/>
                <w:lang w:eastAsia="zh-CN"/>
              </w:rPr>
              <w:t>采购</w:t>
            </w:r>
            <w:r>
              <w:rPr>
                <w:rFonts w:hint="eastAsia" w:ascii="宋体" w:eastAsia="宋体"/>
                <w:color w:val="auto"/>
                <w:sz w:val="22"/>
                <w:szCs w:val="22"/>
                <w:highlight w:val="none"/>
              </w:rPr>
              <w:t>文件第五部分附件1）</w:t>
            </w:r>
          </w:p>
          <w:p w14:paraId="74A43168">
            <w:pPr>
              <w:keepNext w:val="0"/>
              <w:keepLines w:val="0"/>
              <w:pageBreakBefore w:val="0"/>
              <w:widowControl w:val="0"/>
              <w:kinsoku/>
              <w:wordWrap/>
              <w:overflowPunct/>
              <w:topLinePunct w:val="0"/>
              <w:autoSpaceDE w:val="0"/>
              <w:autoSpaceDN w:val="0"/>
              <w:bidi w:val="0"/>
              <w:adjustRightInd w:val="0"/>
              <w:snapToGrid w:val="0"/>
              <w:spacing w:line="336" w:lineRule="auto"/>
              <w:jc w:val="both"/>
              <w:rPr>
                <w:rFonts w:hint="eastAsia" w:ascii="宋体" w:eastAsia="宋体"/>
                <w:color w:val="auto"/>
                <w:sz w:val="22"/>
                <w:szCs w:val="22"/>
                <w:highlight w:val="none"/>
              </w:rPr>
            </w:pPr>
            <w:r>
              <w:rPr>
                <w:rFonts w:hint="eastAsia" w:ascii="宋体" w:eastAsia="宋体"/>
                <w:color w:val="auto"/>
                <w:sz w:val="22"/>
                <w:szCs w:val="22"/>
                <w:highlight w:val="none"/>
              </w:rPr>
              <w:t>2、监狱企业参加政府采购活动时，应当提供由省级以上监狱管理局、戒毒管理局</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含新疆生产建设兵团</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出具的属于监狱企业的证明文件（在政府采购活动中，监狱企业视同小型、微型企业，享受评审中价格10%的扣除政策。</w:t>
            </w:r>
          </w:p>
          <w:p w14:paraId="64855057">
            <w:pPr>
              <w:keepNext w:val="0"/>
              <w:keepLines w:val="0"/>
              <w:pageBreakBefore w:val="0"/>
              <w:widowControl w:val="0"/>
              <w:kinsoku/>
              <w:wordWrap/>
              <w:overflowPunct/>
              <w:topLinePunct w:val="0"/>
              <w:autoSpaceDE w:val="0"/>
              <w:autoSpaceDN w:val="0"/>
              <w:bidi w:val="0"/>
              <w:adjustRightInd w:val="0"/>
              <w:snapToGrid w:val="0"/>
              <w:spacing w:line="336" w:lineRule="auto"/>
              <w:jc w:val="both"/>
              <w:rPr>
                <w:rFonts w:hint="eastAsia" w:ascii="宋体" w:eastAsia="宋体"/>
                <w:color w:val="auto"/>
                <w:sz w:val="22"/>
                <w:szCs w:val="22"/>
                <w:highlight w:val="none"/>
              </w:rPr>
            </w:pPr>
            <w:r>
              <w:rPr>
                <w:rFonts w:hint="eastAsia" w:ascii="宋体" w:eastAsia="宋体"/>
                <w:color w:val="auto"/>
                <w:sz w:val="22"/>
                <w:szCs w:val="22"/>
                <w:highlight w:val="none"/>
              </w:rPr>
              <w:t>3、残疾人福利性单位声明函（格式见</w:t>
            </w:r>
            <w:r>
              <w:rPr>
                <w:rFonts w:hint="eastAsia" w:ascii="宋体" w:eastAsia="宋体"/>
                <w:color w:val="auto"/>
                <w:sz w:val="22"/>
                <w:szCs w:val="22"/>
                <w:highlight w:val="none"/>
                <w:lang w:eastAsia="zh-CN"/>
              </w:rPr>
              <w:t>采购</w:t>
            </w:r>
            <w:r>
              <w:rPr>
                <w:rFonts w:hint="eastAsia" w:ascii="宋体" w:eastAsia="宋体"/>
                <w:color w:val="auto"/>
                <w:sz w:val="22"/>
                <w:szCs w:val="22"/>
                <w:highlight w:val="none"/>
              </w:rPr>
              <w:t>文件第五部分附件2）在政府采购活动中，残疾人福利性单位视同小型、微型企业，享受评审中价格10%的扣除政策。</w:t>
            </w:r>
          </w:p>
          <w:p w14:paraId="587A26B0">
            <w:pPr>
              <w:keepNext w:val="0"/>
              <w:keepLines w:val="0"/>
              <w:pageBreakBefore w:val="0"/>
              <w:widowControl w:val="0"/>
              <w:kinsoku/>
              <w:wordWrap/>
              <w:overflowPunct/>
              <w:topLinePunct w:val="0"/>
              <w:bidi w:val="0"/>
              <w:snapToGrid w:val="0"/>
              <w:spacing w:line="336" w:lineRule="auto"/>
              <w:jc w:val="both"/>
              <w:rPr>
                <w:rFonts w:hint="eastAsia" w:ascii="宋体" w:eastAsia="宋体"/>
                <w:b w:val="0"/>
                <w:bCs w:val="0"/>
                <w:color w:val="auto"/>
                <w:sz w:val="22"/>
                <w:szCs w:val="22"/>
                <w:highlight w:val="none"/>
              </w:rPr>
            </w:pPr>
            <w:r>
              <w:rPr>
                <w:rFonts w:hint="eastAsia" w:ascii="宋体" w:eastAsia="宋体"/>
                <w:color w:val="auto"/>
                <w:sz w:val="22"/>
                <w:szCs w:val="22"/>
                <w:highlight w:val="none"/>
              </w:rPr>
              <w:t>如供应商企业属于以上多种性质的，仅享受一次，不重复享受扶持政策。</w:t>
            </w:r>
          </w:p>
        </w:tc>
      </w:tr>
      <w:tr w14:paraId="1D8A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86" w:type="dxa"/>
            <w:tcBorders>
              <w:top w:val="single" w:color="auto" w:sz="4" w:space="0"/>
              <w:left w:val="single" w:color="auto" w:sz="4" w:space="0"/>
              <w:right w:val="single" w:color="auto" w:sz="4" w:space="0"/>
            </w:tcBorders>
            <w:vAlign w:val="center"/>
          </w:tcPr>
          <w:p w14:paraId="5B502E6A">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eastAsia="宋体"/>
                <w:b w:val="0"/>
                <w:bCs w:val="0"/>
                <w:color w:val="auto"/>
                <w:sz w:val="22"/>
                <w:highlight w:val="none"/>
                <w:lang w:val="zh-CN"/>
              </w:rPr>
            </w:pPr>
            <w:r>
              <w:rPr>
                <w:rFonts w:hint="eastAsia" w:ascii="宋体" w:eastAsia="宋体"/>
                <w:b w:val="0"/>
                <w:bCs w:val="0"/>
                <w:color w:val="auto"/>
                <w:sz w:val="22"/>
                <w:highlight w:val="none"/>
              </w:rPr>
              <w:t>5</w:t>
            </w:r>
          </w:p>
        </w:tc>
        <w:tc>
          <w:tcPr>
            <w:tcW w:w="9033" w:type="dxa"/>
            <w:tcBorders>
              <w:top w:val="single" w:color="auto" w:sz="4" w:space="0"/>
              <w:left w:val="single" w:color="auto" w:sz="4" w:space="0"/>
              <w:right w:val="single" w:color="auto" w:sz="4" w:space="0"/>
            </w:tcBorders>
            <w:vAlign w:val="center"/>
          </w:tcPr>
          <w:p w14:paraId="2066CB99">
            <w:pPr>
              <w:keepNext w:val="0"/>
              <w:keepLines w:val="0"/>
              <w:pageBreakBefore w:val="0"/>
              <w:widowControl w:val="0"/>
              <w:kinsoku/>
              <w:wordWrap/>
              <w:overflowPunct/>
              <w:topLinePunct w:val="0"/>
              <w:bidi w:val="0"/>
              <w:snapToGrid w:val="0"/>
              <w:spacing w:line="336" w:lineRule="auto"/>
              <w:jc w:val="both"/>
              <w:rPr>
                <w:rFonts w:hint="eastAsia" w:ascii="宋体" w:eastAsia="宋体"/>
                <w:b w:val="0"/>
                <w:bCs w:val="0"/>
                <w:color w:val="auto"/>
                <w:sz w:val="22"/>
                <w:highlight w:val="none"/>
              </w:rPr>
            </w:pPr>
            <w:r>
              <w:rPr>
                <w:rFonts w:hint="eastAsia" w:ascii="宋体" w:eastAsia="宋体"/>
                <w:b w:val="0"/>
                <w:bCs w:val="0"/>
                <w:color w:val="auto"/>
                <w:sz w:val="22"/>
                <w:highlight w:val="none"/>
              </w:rPr>
              <w:t>其他供应商须说明的资料（如有则提供）</w:t>
            </w:r>
          </w:p>
        </w:tc>
      </w:tr>
    </w:tbl>
    <w:p w14:paraId="2EC807AD">
      <w:pPr>
        <w:pageBreakBefore w:val="0"/>
        <w:widowControl w:val="0"/>
        <w:kinsoku/>
        <w:overflowPunct/>
        <w:autoSpaceDE w:val="0"/>
        <w:autoSpaceDN w:val="0"/>
        <w:bidi w:val="0"/>
        <w:adjustRightInd w:val="0"/>
        <w:snapToGrid w:val="0"/>
        <w:spacing w:line="360" w:lineRule="auto"/>
        <w:ind w:firstLine="442" w:firstLineChars="200"/>
        <w:rPr>
          <w:rFonts w:hint="eastAsia" w:ascii="宋体" w:eastAsia="宋体"/>
          <w:color w:val="auto"/>
          <w:sz w:val="22"/>
          <w:szCs w:val="22"/>
          <w:highlight w:val="none"/>
          <w:u w:val="none"/>
        </w:rPr>
      </w:pPr>
      <w:r>
        <w:rPr>
          <w:rFonts w:hint="eastAsia" w:ascii="宋体" w:eastAsia="宋体"/>
          <w:color w:val="auto"/>
          <w:sz w:val="22"/>
          <w:szCs w:val="22"/>
          <w:highlight w:val="none"/>
          <w:u w:val="none"/>
        </w:rPr>
        <w:t>2.3、商务技术文件组成</w:t>
      </w:r>
    </w:p>
    <w:tbl>
      <w:tblPr>
        <w:tblStyle w:val="23"/>
        <w:tblW w:w="97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9025"/>
      </w:tblGrid>
      <w:tr w14:paraId="0E4E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74" w:type="dxa"/>
            <w:vAlign w:val="center"/>
          </w:tcPr>
          <w:p w14:paraId="3CCD333D">
            <w:pPr>
              <w:pageBreakBefore w:val="0"/>
              <w:widowControl w:val="0"/>
              <w:kinsoku/>
              <w:overflowPunct/>
              <w:autoSpaceDE w:val="0"/>
              <w:autoSpaceDN w:val="0"/>
              <w:bidi w:val="0"/>
              <w:adjustRightInd w:val="0"/>
              <w:snapToGrid w:val="0"/>
              <w:spacing w:line="360" w:lineRule="auto"/>
              <w:jc w:val="center"/>
              <w:rPr>
                <w:rFonts w:hint="eastAsia" w:ascii="宋体" w:eastAsia="宋体"/>
                <w:b w:val="0"/>
                <w:bCs w:val="0"/>
                <w:color w:val="auto"/>
                <w:sz w:val="22"/>
                <w:highlight w:val="none"/>
                <w:lang w:val="zh-CN"/>
              </w:rPr>
            </w:pPr>
            <w:r>
              <w:rPr>
                <w:rFonts w:hint="eastAsia" w:ascii="宋体" w:eastAsia="宋体"/>
                <w:b w:val="0"/>
                <w:bCs w:val="0"/>
                <w:color w:val="auto"/>
                <w:sz w:val="22"/>
                <w:highlight w:val="none"/>
                <w:lang w:val="zh-CN"/>
              </w:rPr>
              <w:t>序号</w:t>
            </w:r>
          </w:p>
        </w:tc>
        <w:tc>
          <w:tcPr>
            <w:tcW w:w="9025" w:type="dxa"/>
            <w:vAlign w:val="center"/>
          </w:tcPr>
          <w:p w14:paraId="0C7798D1">
            <w:pPr>
              <w:pageBreakBefore w:val="0"/>
              <w:widowControl w:val="0"/>
              <w:kinsoku/>
              <w:overflowPunct/>
              <w:autoSpaceDE w:val="0"/>
              <w:autoSpaceDN w:val="0"/>
              <w:bidi w:val="0"/>
              <w:adjustRightInd w:val="0"/>
              <w:snapToGrid w:val="0"/>
              <w:spacing w:line="360" w:lineRule="auto"/>
              <w:jc w:val="both"/>
              <w:rPr>
                <w:rFonts w:hint="eastAsia" w:ascii="宋体" w:eastAsia="宋体"/>
                <w:b w:val="0"/>
                <w:bCs w:val="0"/>
                <w:color w:val="auto"/>
                <w:sz w:val="22"/>
                <w:szCs w:val="22"/>
                <w:highlight w:val="none"/>
                <w:lang w:val="zh-CN"/>
              </w:rPr>
            </w:pPr>
            <w:r>
              <w:rPr>
                <w:rFonts w:hint="eastAsia" w:ascii="宋体" w:eastAsia="宋体"/>
                <w:color w:val="auto"/>
                <w:sz w:val="22"/>
                <w:highlight w:val="none"/>
                <w:lang w:val="zh-CN"/>
              </w:rPr>
              <w:t>内容（▲序号2-</w:t>
            </w:r>
            <w:r>
              <w:rPr>
                <w:rFonts w:hint="eastAsia" w:ascii="宋体" w:eastAsia="宋体"/>
                <w:color w:val="auto"/>
                <w:sz w:val="22"/>
                <w:highlight w:val="none"/>
              </w:rPr>
              <w:t>4</w:t>
            </w:r>
            <w:r>
              <w:rPr>
                <w:rFonts w:hint="eastAsia" w:ascii="宋体" w:eastAsia="宋体"/>
                <w:color w:val="auto"/>
                <w:sz w:val="22"/>
                <w:highlight w:val="none"/>
                <w:lang w:val="zh-CN"/>
              </w:rPr>
              <w:t>项</w:t>
            </w:r>
            <w:r>
              <w:rPr>
                <w:rFonts w:hint="eastAsia" w:ascii="宋体" w:eastAsia="宋体"/>
                <w:color w:val="auto"/>
                <w:sz w:val="22"/>
                <w:highlight w:val="none"/>
              </w:rPr>
              <w:t>和</w:t>
            </w:r>
            <w:r>
              <w:rPr>
                <w:rFonts w:hint="eastAsia" w:ascii="宋体" w:eastAsia="宋体"/>
                <w:color w:val="auto"/>
                <w:sz w:val="22"/>
                <w:highlight w:val="none"/>
                <w:lang w:val="zh-CN"/>
              </w:rPr>
              <w:t>序号</w:t>
            </w:r>
            <w:r>
              <w:rPr>
                <w:rFonts w:hint="eastAsia" w:ascii="宋体" w:eastAsia="宋体"/>
                <w:color w:val="auto"/>
                <w:sz w:val="22"/>
                <w:highlight w:val="none"/>
              </w:rPr>
              <w:t>1</w:t>
            </w:r>
            <w:r>
              <w:rPr>
                <w:rFonts w:hint="eastAsia" w:ascii="宋体" w:eastAsia="宋体"/>
                <w:color w:val="auto"/>
                <w:sz w:val="22"/>
                <w:highlight w:val="none"/>
                <w:lang w:val="en-US" w:eastAsia="zh-CN"/>
              </w:rPr>
              <w:t>3</w:t>
            </w:r>
            <w:r>
              <w:rPr>
                <w:rFonts w:hint="eastAsia" w:ascii="宋体" w:eastAsia="宋体"/>
                <w:color w:val="auto"/>
                <w:sz w:val="22"/>
                <w:highlight w:val="none"/>
                <w:lang w:val="zh-CN"/>
              </w:rPr>
              <w:t>-</w:t>
            </w:r>
            <w:r>
              <w:rPr>
                <w:rFonts w:hint="eastAsia" w:ascii="宋体" w:eastAsia="宋体"/>
                <w:color w:val="auto"/>
                <w:sz w:val="22"/>
                <w:highlight w:val="none"/>
              </w:rPr>
              <w:t>17</w:t>
            </w:r>
            <w:r>
              <w:rPr>
                <w:rFonts w:hint="eastAsia" w:ascii="宋体" w:eastAsia="宋体"/>
                <w:color w:val="auto"/>
                <w:sz w:val="22"/>
                <w:highlight w:val="none"/>
                <w:lang w:val="zh-CN"/>
              </w:rPr>
              <w:t>项投标供应商必须提供，否则不能通过符合性审查的，责任自负。）</w:t>
            </w:r>
          </w:p>
        </w:tc>
      </w:tr>
      <w:tr w14:paraId="42BC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right w:val="single" w:color="auto" w:sz="4" w:space="0"/>
            </w:tcBorders>
            <w:vAlign w:val="center"/>
          </w:tcPr>
          <w:p w14:paraId="6A1CF2A0">
            <w:pPr>
              <w:pageBreakBefore w:val="0"/>
              <w:widowControl w:val="0"/>
              <w:kinsoku/>
              <w:overflowPunct/>
              <w:autoSpaceDE w:val="0"/>
              <w:autoSpaceDN w:val="0"/>
              <w:bidi w:val="0"/>
              <w:adjustRightInd w:val="0"/>
              <w:snapToGrid w:val="0"/>
              <w:spacing w:line="240" w:lineRule="auto"/>
              <w:jc w:val="center"/>
              <w:rPr>
                <w:rFonts w:hint="eastAsia" w:ascii="宋体" w:eastAsia="宋体"/>
                <w:b w:val="0"/>
                <w:bCs w:val="0"/>
                <w:color w:val="auto"/>
                <w:sz w:val="22"/>
                <w:highlight w:val="none"/>
                <w:lang w:val="zh-CN"/>
              </w:rPr>
            </w:pPr>
            <w:r>
              <w:rPr>
                <w:rFonts w:hint="eastAsia" w:ascii="宋体" w:eastAsia="宋体"/>
                <w:b w:val="0"/>
                <w:bCs w:val="0"/>
                <w:color w:val="auto"/>
                <w:sz w:val="22"/>
                <w:highlight w:val="none"/>
                <w:lang w:val="zh-CN"/>
              </w:rPr>
              <w:t>1</w:t>
            </w:r>
          </w:p>
        </w:tc>
        <w:tc>
          <w:tcPr>
            <w:tcW w:w="9025" w:type="dxa"/>
            <w:tcBorders>
              <w:top w:val="single" w:color="auto" w:sz="4" w:space="0"/>
              <w:left w:val="single" w:color="auto" w:sz="4" w:space="0"/>
              <w:right w:val="single" w:color="auto" w:sz="4" w:space="0"/>
            </w:tcBorders>
            <w:vAlign w:val="center"/>
          </w:tcPr>
          <w:p w14:paraId="24FE67A7">
            <w:pPr>
              <w:pageBreakBefore w:val="0"/>
              <w:widowControl w:val="0"/>
              <w:kinsoku/>
              <w:overflowPunct/>
              <w:autoSpaceDE w:val="0"/>
              <w:autoSpaceDN w:val="0"/>
              <w:bidi w:val="0"/>
              <w:adjustRightInd w:val="0"/>
              <w:snapToGrid w:val="0"/>
              <w:spacing w:line="240" w:lineRule="auto"/>
              <w:jc w:val="both"/>
              <w:rPr>
                <w:rFonts w:hint="eastAsia" w:ascii="宋体" w:eastAsia="宋体"/>
                <w:b w:val="0"/>
                <w:bCs w:val="0"/>
                <w:color w:val="auto"/>
                <w:sz w:val="22"/>
                <w:szCs w:val="22"/>
                <w:highlight w:val="none"/>
                <w:lang w:val="zh-CN"/>
              </w:rPr>
            </w:pPr>
            <w:r>
              <w:rPr>
                <w:rFonts w:hint="eastAsia" w:ascii="宋体" w:eastAsia="宋体"/>
                <w:b w:val="0"/>
                <w:bCs w:val="0"/>
                <w:color w:val="auto"/>
                <w:sz w:val="22"/>
                <w:szCs w:val="22"/>
                <w:highlight w:val="none"/>
              </w:rPr>
              <w:t>商务技术文件封面（格式自拟）</w:t>
            </w:r>
          </w:p>
        </w:tc>
      </w:tr>
      <w:tr w14:paraId="6173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right w:val="single" w:color="auto" w:sz="4" w:space="0"/>
            </w:tcBorders>
            <w:vAlign w:val="center"/>
          </w:tcPr>
          <w:p w14:paraId="4F5B6AF9">
            <w:pPr>
              <w:pageBreakBefore w:val="0"/>
              <w:widowControl w:val="0"/>
              <w:kinsoku/>
              <w:overflowPunct/>
              <w:autoSpaceDE w:val="0"/>
              <w:autoSpaceDN w:val="0"/>
              <w:bidi w:val="0"/>
              <w:adjustRightInd w:val="0"/>
              <w:snapToGrid w:val="0"/>
              <w:spacing w:line="240" w:lineRule="auto"/>
              <w:jc w:val="center"/>
              <w:rPr>
                <w:rFonts w:hint="eastAsia" w:ascii="宋体" w:eastAsia="宋体"/>
                <w:color w:val="auto"/>
                <w:sz w:val="22"/>
                <w:highlight w:val="none"/>
                <w:lang w:val="zh-CN"/>
              </w:rPr>
            </w:pPr>
            <w:r>
              <w:rPr>
                <w:rFonts w:hint="eastAsia" w:ascii="宋体" w:eastAsia="宋体"/>
                <w:color w:val="auto"/>
                <w:sz w:val="22"/>
                <w:highlight w:val="none"/>
                <w:lang w:val="zh-CN"/>
              </w:rPr>
              <w:t>2</w:t>
            </w:r>
          </w:p>
        </w:tc>
        <w:tc>
          <w:tcPr>
            <w:tcW w:w="9025" w:type="dxa"/>
            <w:tcBorders>
              <w:top w:val="single" w:color="auto" w:sz="4" w:space="0"/>
              <w:left w:val="single" w:color="auto" w:sz="4" w:space="0"/>
              <w:right w:val="single" w:color="auto" w:sz="4" w:space="0"/>
            </w:tcBorders>
            <w:vAlign w:val="center"/>
          </w:tcPr>
          <w:p w14:paraId="0613BBBC">
            <w:pPr>
              <w:pageBreakBefore w:val="0"/>
              <w:widowControl w:val="0"/>
              <w:kinsoku/>
              <w:overflowPunct/>
              <w:autoSpaceDE w:val="0"/>
              <w:autoSpaceDN w:val="0"/>
              <w:bidi w:val="0"/>
              <w:adjustRightInd w:val="0"/>
              <w:snapToGrid w:val="0"/>
              <w:spacing w:line="240" w:lineRule="auto"/>
              <w:jc w:val="both"/>
              <w:rPr>
                <w:rFonts w:hint="eastAsia" w:ascii="宋体" w:eastAsia="宋体"/>
                <w:b w:val="0"/>
                <w:bCs w:val="0"/>
                <w:color w:val="auto"/>
                <w:sz w:val="22"/>
                <w:highlight w:val="none"/>
                <w:lang w:val="zh-CN"/>
              </w:rPr>
            </w:pPr>
            <w:r>
              <w:rPr>
                <w:rFonts w:hint="eastAsia" w:ascii="宋体" w:eastAsia="宋体"/>
                <w:b w:val="0"/>
                <w:bCs w:val="0"/>
                <w:color w:val="auto"/>
                <w:sz w:val="22"/>
                <w:szCs w:val="22"/>
                <w:highlight w:val="none"/>
              </w:rPr>
              <w:t>投标函（附件</w:t>
            </w:r>
            <w:r>
              <w:rPr>
                <w:rFonts w:hint="eastAsia" w:ascii="宋体" w:eastAsia="宋体"/>
                <w:b w:val="0"/>
                <w:bCs w:val="0"/>
                <w:color w:val="auto"/>
                <w:sz w:val="22"/>
                <w:szCs w:val="22"/>
                <w:highlight w:val="none"/>
                <w:lang w:val="en-US" w:eastAsia="zh-CN"/>
              </w:rPr>
              <w:t>九</w:t>
            </w:r>
            <w:r>
              <w:rPr>
                <w:rFonts w:hint="eastAsia" w:ascii="宋体" w:eastAsia="宋体"/>
                <w:b w:val="0"/>
                <w:bCs w:val="0"/>
                <w:color w:val="auto"/>
                <w:sz w:val="22"/>
                <w:szCs w:val="22"/>
                <w:highlight w:val="none"/>
              </w:rPr>
              <w:t>）</w:t>
            </w:r>
            <w:r>
              <w:rPr>
                <w:rFonts w:hint="eastAsia" w:ascii="宋体" w:eastAsia="宋体"/>
                <w:b w:val="0"/>
                <w:bCs w:val="0"/>
                <w:color w:val="auto"/>
                <w:sz w:val="22"/>
                <w:szCs w:val="22"/>
                <w:highlight w:val="none"/>
                <w:u w:val="single"/>
              </w:rPr>
              <w:t>（统一格式、不得更改）</w:t>
            </w:r>
          </w:p>
        </w:tc>
      </w:tr>
      <w:tr w14:paraId="2A77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right w:val="single" w:color="auto" w:sz="4" w:space="0"/>
            </w:tcBorders>
            <w:vAlign w:val="center"/>
          </w:tcPr>
          <w:p w14:paraId="69133C54">
            <w:pPr>
              <w:pageBreakBefore w:val="0"/>
              <w:widowControl w:val="0"/>
              <w:kinsoku/>
              <w:overflowPunct/>
              <w:autoSpaceDE w:val="0"/>
              <w:autoSpaceDN w:val="0"/>
              <w:bidi w:val="0"/>
              <w:adjustRightInd w:val="0"/>
              <w:snapToGrid w:val="0"/>
              <w:spacing w:line="240" w:lineRule="auto"/>
              <w:jc w:val="center"/>
              <w:rPr>
                <w:rFonts w:hint="eastAsia" w:ascii="宋体" w:eastAsia="宋体"/>
                <w:color w:val="auto"/>
                <w:sz w:val="22"/>
                <w:highlight w:val="none"/>
                <w:lang w:val="zh-CN"/>
              </w:rPr>
            </w:pPr>
            <w:r>
              <w:rPr>
                <w:rFonts w:hint="eastAsia" w:ascii="宋体" w:eastAsia="宋体"/>
                <w:color w:val="auto"/>
                <w:sz w:val="22"/>
                <w:highlight w:val="none"/>
                <w:lang w:val="zh-CN"/>
              </w:rPr>
              <w:t>3</w:t>
            </w:r>
          </w:p>
        </w:tc>
        <w:tc>
          <w:tcPr>
            <w:tcW w:w="9025" w:type="dxa"/>
            <w:tcBorders>
              <w:top w:val="single" w:color="auto" w:sz="4" w:space="0"/>
              <w:left w:val="single" w:color="auto" w:sz="4" w:space="0"/>
              <w:right w:val="single" w:color="auto" w:sz="4" w:space="0"/>
            </w:tcBorders>
            <w:vAlign w:val="center"/>
          </w:tcPr>
          <w:p w14:paraId="7444CAD1">
            <w:pPr>
              <w:pageBreakBefore w:val="0"/>
              <w:widowControl w:val="0"/>
              <w:kinsoku/>
              <w:overflowPunct/>
              <w:autoSpaceDE w:val="0"/>
              <w:autoSpaceDN w:val="0"/>
              <w:bidi w:val="0"/>
              <w:adjustRightInd w:val="0"/>
              <w:snapToGrid w:val="0"/>
              <w:spacing w:line="240" w:lineRule="auto"/>
              <w:jc w:val="both"/>
              <w:rPr>
                <w:rFonts w:hint="eastAsia" w:ascii="宋体" w:eastAsia="宋体"/>
                <w:b w:val="0"/>
                <w:bCs w:val="0"/>
                <w:color w:val="auto"/>
                <w:sz w:val="22"/>
                <w:highlight w:val="none"/>
              </w:rPr>
            </w:pPr>
            <w:r>
              <w:rPr>
                <w:rFonts w:hint="eastAsia" w:ascii="宋体" w:eastAsia="宋体"/>
                <w:b w:val="0"/>
                <w:bCs w:val="0"/>
                <w:color w:val="auto"/>
                <w:sz w:val="22"/>
                <w:highlight w:val="none"/>
              </w:rPr>
              <w:t>投标供应商法定代表人授权书（附件</w:t>
            </w:r>
            <w:r>
              <w:rPr>
                <w:rFonts w:hint="eastAsia" w:ascii="宋体" w:eastAsia="宋体"/>
                <w:b w:val="0"/>
                <w:bCs w:val="0"/>
                <w:color w:val="auto"/>
                <w:sz w:val="22"/>
                <w:highlight w:val="none"/>
                <w:lang w:val="en-US" w:eastAsia="zh-CN"/>
              </w:rPr>
              <w:t>十</w:t>
            </w:r>
            <w:r>
              <w:rPr>
                <w:rFonts w:hint="eastAsia" w:ascii="宋体" w:eastAsia="宋体"/>
                <w:b w:val="0"/>
                <w:bCs w:val="0"/>
                <w:color w:val="auto"/>
                <w:sz w:val="22"/>
                <w:highlight w:val="none"/>
              </w:rPr>
              <w:t>）</w:t>
            </w:r>
          </w:p>
        </w:tc>
      </w:tr>
      <w:tr w14:paraId="4258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right w:val="single" w:color="auto" w:sz="4" w:space="0"/>
            </w:tcBorders>
            <w:vAlign w:val="center"/>
          </w:tcPr>
          <w:p w14:paraId="77DB0B01">
            <w:pPr>
              <w:pageBreakBefore w:val="0"/>
              <w:widowControl w:val="0"/>
              <w:kinsoku/>
              <w:overflowPunct/>
              <w:autoSpaceDE w:val="0"/>
              <w:autoSpaceDN w:val="0"/>
              <w:bidi w:val="0"/>
              <w:adjustRightInd w:val="0"/>
              <w:snapToGrid w:val="0"/>
              <w:spacing w:line="240" w:lineRule="auto"/>
              <w:jc w:val="center"/>
              <w:rPr>
                <w:rFonts w:hint="eastAsia" w:ascii="宋体" w:eastAsia="宋体"/>
                <w:color w:val="auto"/>
                <w:sz w:val="22"/>
                <w:highlight w:val="none"/>
              </w:rPr>
            </w:pPr>
            <w:r>
              <w:rPr>
                <w:rFonts w:hint="eastAsia" w:ascii="宋体" w:eastAsia="宋体"/>
                <w:color w:val="auto"/>
                <w:sz w:val="22"/>
                <w:highlight w:val="none"/>
              </w:rPr>
              <w:t>4</w:t>
            </w:r>
          </w:p>
        </w:tc>
        <w:tc>
          <w:tcPr>
            <w:tcW w:w="9025" w:type="dxa"/>
            <w:tcBorders>
              <w:top w:val="single" w:color="auto" w:sz="4" w:space="0"/>
              <w:left w:val="single" w:color="auto" w:sz="4" w:space="0"/>
              <w:right w:val="single" w:color="auto" w:sz="4" w:space="0"/>
            </w:tcBorders>
            <w:vAlign w:val="center"/>
          </w:tcPr>
          <w:p w14:paraId="7EFADEA6">
            <w:pPr>
              <w:pageBreakBefore w:val="0"/>
              <w:widowControl w:val="0"/>
              <w:kinsoku/>
              <w:overflowPunct/>
              <w:autoSpaceDE w:val="0"/>
              <w:autoSpaceDN w:val="0"/>
              <w:bidi w:val="0"/>
              <w:adjustRightInd w:val="0"/>
              <w:snapToGrid w:val="0"/>
              <w:spacing w:line="240" w:lineRule="auto"/>
              <w:jc w:val="both"/>
              <w:rPr>
                <w:rFonts w:hint="eastAsia" w:ascii="宋体" w:eastAsia="宋体"/>
                <w:b w:val="0"/>
                <w:bCs w:val="0"/>
                <w:color w:val="auto"/>
                <w:sz w:val="22"/>
                <w:highlight w:val="none"/>
              </w:rPr>
            </w:pPr>
            <w:r>
              <w:rPr>
                <w:rFonts w:hint="eastAsia" w:ascii="宋体" w:eastAsia="宋体"/>
                <w:b w:val="0"/>
                <w:bCs w:val="0"/>
                <w:color w:val="auto"/>
                <w:sz w:val="22"/>
                <w:highlight w:val="none"/>
              </w:rPr>
              <w:t>法定代表人诚信投标承诺书（附件十</w:t>
            </w:r>
            <w:r>
              <w:rPr>
                <w:rFonts w:hint="eastAsia" w:ascii="宋体" w:eastAsia="宋体"/>
                <w:b w:val="0"/>
                <w:bCs w:val="0"/>
                <w:color w:val="auto"/>
                <w:sz w:val="22"/>
                <w:highlight w:val="none"/>
                <w:lang w:val="en-US" w:eastAsia="zh-CN"/>
              </w:rPr>
              <w:t>一</w:t>
            </w:r>
            <w:r>
              <w:rPr>
                <w:rFonts w:hint="eastAsia" w:ascii="宋体" w:eastAsia="宋体"/>
                <w:b w:val="0"/>
                <w:bCs w:val="0"/>
                <w:color w:val="auto"/>
                <w:sz w:val="22"/>
                <w:highlight w:val="none"/>
              </w:rPr>
              <w:t>）</w:t>
            </w:r>
          </w:p>
        </w:tc>
      </w:tr>
      <w:tr w14:paraId="54C4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right w:val="single" w:color="auto" w:sz="4" w:space="0"/>
            </w:tcBorders>
            <w:vAlign w:val="center"/>
          </w:tcPr>
          <w:p w14:paraId="5F715E49">
            <w:pPr>
              <w:pageBreakBefore w:val="0"/>
              <w:widowControl w:val="0"/>
              <w:kinsoku/>
              <w:overflowPunct/>
              <w:autoSpaceDE w:val="0"/>
              <w:autoSpaceDN w:val="0"/>
              <w:bidi w:val="0"/>
              <w:adjustRightInd w:val="0"/>
              <w:snapToGrid w:val="0"/>
              <w:spacing w:line="240" w:lineRule="auto"/>
              <w:jc w:val="center"/>
              <w:rPr>
                <w:rFonts w:hint="eastAsia" w:ascii="宋体" w:eastAsia="宋体"/>
                <w:b w:val="0"/>
                <w:bCs w:val="0"/>
                <w:color w:val="auto"/>
                <w:sz w:val="22"/>
                <w:highlight w:val="none"/>
              </w:rPr>
            </w:pPr>
            <w:r>
              <w:rPr>
                <w:rFonts w:hint="eastAsia" w:ascii="宋体" w:eastAsia="宋体"/>
                <w:b w:val="0"/>
                <w:bCs w:val="0"/>
                <w:color w:val="auto"/>
                <w:sz w:val="22"/>
                <w:highlight w:val="none"/>
              </w:rPr>
              <w:t>5</w:t>
            </w:r>
          </w:p>
        </w:tc>
        <w:tc>
          <w:tcPr>
            <w:tcW w:w="9025" w:type="dxa"/>
            <w:tcBorders>
              <w:top w:val="single" w:color="auto" w:sz="4" w:space="0"/>
              <w:left w:val="single" w:color="auto" w:sz="4" w:space="0"/>
              <w:right w:val="single" w:color="auto" w:sz="4" w:space="0"/>
            </w:tcBorders>
            <w:vAlign w:val="center"/>
          </w:tcPr>
          <w:p w14:paraId="4152A68C">
            <w:pPr>
              <w:pageBreakBefore w:val="0"/>
              <w:widowControl w:val="0"/>
              <w:kinsoku/>
              <w:overflowPunct/>
              <w:autoSpaceDE w:val="0"/>
              <w:autoSpaceDN w:val="0"/>
              <w:bidi w:val="0"/>
              <w:adjustRightInd w:val="0"/>
              <w:snapToGrid w:val="0"/>
              <w:spacing w:line="240" w:lineRule="auto"/>
              <w:jc w:val="both"/>
              <w:rPr>
                <w:rFonts w:hint="eastAsia" w:ascii="宋体" w:eastAsia="宋体"/>
                <w:b w:val="0"/>
                <w:bCs w:val="0"/>
                <w:color w:val="auto"/>
                <w:sz w:val="22"/>
                <w:highlight w:val="none"/>
              </w:rPr>
            </w:pPr>
            <w:r>
              <w:rPr>
                <w:rFonts w:hint="eastAsia" w:ascii="宋体" w:eastAsia="宋体"/>
                <w:b w:val="0"/>
                <w:bCs w:val="0"/>
                <w:color w:val="auto"/>
                <w:sz w:val="22"/>
                <w:highlight w:val="none"/>
              </w:rPr>
              <w:t>投标供应商质量体系认证证书（如有则提供，</w:t>
            </w:r>
            <w:r>
              <w:rPr>
                <w:rFonts w:hint="eastAsia" w:ascii="宋体" w:eastAsia="宋体"/>
                <w:b w:val="0"/>
                <w:bCs w:val="0"/>
                <w:color w:val="auto"/>
                <w:sz w:val="22"/>
                <w:szCs w:val="22"/>
                <w:highlight w:val="none"/>
              </w:rPr>
              <w:t>扫描件</w:t>
            </w:r>
            <w:r>
              <w:rPr>
                <w:rFonts w:hint="eastAsia" w:ascii="宋体" w:eastAsia="宋体"/>
                <w:b w:val="0"/>
                <w:bCs w:val="0"/>
                <w:color w:val="auto"/>
                <w:sz w:val="22"/>
                <w:highlight w:val="none"/>
              </w:rPr>
              <w:t>加盖公章）</w:t>
            </w:r>
          </w:p>
        </w:tc>
      </w:tr>
      <w:tr w14:paraId="7163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right w:val="single" w:color="auto" w:sz="4" w:space="0"/>
            </w:tcBorders>
            <w:vAlign w:val="center"/>
          </w:tcPr>
          <w:p w14:paraId="3654BD8D">
            <w:pPr>
              <w:pageBreakBefore w:val="0"/>
              <w:widowControl w:val="0"/>
              <w:kinsoku/>
              <w:overflowPunct/>
              <w:autoSpaceDE w:val="0"/>
              <w:autoSpaceDN w:val="0"/>
              <w:bidi w:val="0"/>
              <w:adjustRightInd w:val="0"/>
              <w:snapToGrid w:val="0"/>
              <w:spacing w:line="240" w:lineRule="auto"/>
              <w:jc w:val="center"/>
              <w:rPr>
                <w:rFonts w:hint="eastAsia" w:ascii="宋体" w:eastAsia="宋体"/>
                <w:b w:val="0"/>
                <w:bCs w:val="0"/>
                <w:color w:val="auto"/>
                <w:sz w:val="22"/>
                <w:highlight w:val="none"/>
              </w:rPr>
            </w:pPr>
            <w:r>
              <w:rPr>
                <w:rFonts w:hint="eastAsia" w:ascii="宋体" w:eastAsia="宋体"/>
                <w:b w:val="0"/>
                <w:bCs w:val="0"/>
                <w:color w:val="auto"/>
                <w:sz w:val="22"/>
                <w:highlight w:val="none"/>
              </w:rPr>
              <w:t>6</w:t>
            </w:r>
          </w:p>
        </w:tc>
        <w:tc>
          <w:tcPr>
            <w:tcW w:w="9025" w:type="dxa"/>
            <w:tcBorders>
              <w:top w:val="single" w:color="auto" w:sz="4" w:space="0"/>
              <w:left w:val="single" w:color="auto" w:sz="4" w:space="0"/>
              <w:right w:val="single" w:color="auto" w:sz="4" w:space="0"/>
            </w:tcBorders>
            <w:vAlign w:val="center"/>
          </w:tcPr>
          <w:p w14:paraId="514B09F3">
            <w:pPr>
              <w:pageBreakBefore w:val="0"/>
              <w:widowControl w:val="0"/>
              <w:kinsoku/>
              <w:overflowPunct/>
              <w:autoSpaceDE w:val="0"/>
              <w:autoSpaceDN w:val="0"/>
              <w:bidi w:val="0"/>
              <w:adjustRightInd w:val="0"/>
              <w:snapToGrid w:val="0"/>
              <w:spacing w:line="240" w:lineRule="auto"/>
              <w:jc w:val="both"/>
              <w:rPr>
                <w:rFonts w:hint="eastAsia" w:ascii="宋体" w:eastAsia="宋体"/>
                <w:b w:val="0"/>
                <w:bCs w:val="0"/>
                <w:color w:val="auto"/>
                <w:sz w:val="22"/>
                <w:highlight w:val="none"/>
              </w:rPr>
            </w:pPr>
            <w:r>
              <w:rPr>
                <w:rFonts w:hint="eastAsia" w:ascii="宋体" w:eastAsia="宋体"/>
                <w:b w:val="0"/>
                <w:bCs w:val="0"/>
                <w:color w:val="auto"/>
                <w:sz w:val="22"/>
                <w:highlight w:val="none"/>
              </w:rPr>
              <w:t>投标供应商环境体系认证证书（如有则提供，</w:t>
            </w:r>
            <w:r>
              <w:rPr>
                <w:rFonts w:hint="eastAsia" w:ascii="宋体" w:eastAsia="宋体"/>
                <w:b w:val="0"/>
                <w:bCs w:val="0"/>
                <w:color w:val="auto"/>
                <w:sz w:val="22"/>
                <w:szCs w:val="22"/>
                <w:highlight w:val="none"/>
              </w:rPr>
              <w:t>扫描件</w:t>
            </w:r>
            <w:r>
              <w:rPr>
                <w:rFonts w:hint="eastAsia" w:ascii="宋体" w:eastAsia="宋体"/>
                <w:b w:val="0"/>
                <w:bCs w:val="0"/>
                <w:color w:val="auto"/>
                <w:sz w:val="22"/>
                <w:highlight w:val="none"/>
              </w:rPr>
              <w:t>加盖公章）</w:t>
            </w:r>
          </w:p>
        </w:tc>
      </w:tr>
      <w:tr w14:paraId="20E4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right w:val="single" w:color="auto" w:sz="4" w:space="0"/>
            </w:tcBorders>
            <w:vAlign w:val="center"/>
          </w:tcPr>
          <w:p w14:paraId="683D8CBF">
            <w:pPr>
              <w:pageBreakBefore w:val="0"/>
              <w:widowControl w:val="0"/>
              <w:kinsoku/>
              <w:overflowPunct/>
              <w:autoSpaceDE w:val="0"/>
              <w:autoSpaceDN w:val="0"/>
              <w:bidi w:val="0"/>
              <w:adjustRightInd w:val="0"/>
              <w:snapToGrid w:val="0"/>
              <w:spacing w:line="240" w:lineRule="auto"/>
              <w:jc w:val="center"/>
              <w:rPr>
                <w:rFonts w:hint="eastAsia" w:ascii="宋体" w:eastAsia="宋体"/>
                <w:b w:val="0"/>
                <w:bCs w:val="0"/>
                <w:color w:val="auto"/>
                <w:sz w:val="22"/>
                <w:highlight w:val="none"/>
              </w:rPr>
            </w:pPr>
            <w:r>
              <w:rPr>
                <w:rFonts w:hint="eastAsia" w:ascii="宋体" w:eastAsia="宋体"/>
                <w:b w:val="0"/>
                <w:bCs w:val="0"/>
                <w:color w:val="auto"/>
                <w:sz w:val="22"/>
                <w:highlight w:val="none"/>
              </w:rPr>
              <w:t>7</w:t>
            </w:r>
          </w:p>
        </w:tc>
        <w:tc>
          <w:tcPr>
            <w:tcW w:w="9025" w:type="dxa"/>
            <w:tcBorders>
              <w:top w:val="single" w:color="auto" w:sz="4" w:space="0"/>
              <w:left w:val="single" w:color="auto" w:sz="4" w:space="0"/>
              <w:right w:val="single" w:color="auto" w:sz="4" w:space="0"/>
            </w:tcBorders>
            <w:vAlign w:val="center"/>
          </w:tcPr>
          <w:p w14:paraId="6E0B5B01">
            <w:pPr>
              <w:pageBreakBefore w:val="0"/>
              <w:widowControl w:val="0"/>
              <w:kinsoku/>
              <w:overflowPunct/>
              <w:autoSpaceDE w:val="0"/>
              <w:autoSpaceDN w:val="0"/>
              <w:bidi w:val="0"/>
              <w:adjustRightInd w:val="0"/>
              <w:snapToGrid w:val="0"/>
              <w:spacing w:line="240" w:lineRule="auto"/>
              <w:jc w:val="both"/>
              <w:rPr>
                <w:rFonts w:hint="eastAsia" w:ascii="宋体" w:eastAsia="宋体"/>
                <w:b w:val="0"/>
                <w:bCs w:val="0"/>
                <w:color w:val="auto"/>
                <w:sz w:val="22"/>
                <w:highlight w:val="none"/>
              </w:rPr>
            </w:pPr>
            <w:r>
              <w:rPr>
                <w:rFonts w:hint="eastAsia" w:ascii="宋体" w:eastAsia="宋体"/>
                <w:b w:val="0"/>
                <w:bCs w:val="0"/>
                <w:color w:val="auto"/>
                <w:sz w:val="22"/>
                <w:highlight w:val="none"/>
              </w:rPr>
              <w:t>投标供应商职业健康体系认证证书（如有则提供，</w:t>
            </w:r>
            <w:r>
              <w:rPr>
                <w:rFonts w:hint="eastAsia" w:ascii="宋体" w:eastAsia="宋体"/>
                <w:b w:val="0"/>
                <w:bCs w:val="0"/>
                <w:color w:val="auto"/>
                <w:sz w:val="22"/>
                <w:szCs w:val="22"/>
                <w:highlight w:val="none"/>
              </w:rPr>
              <w:t>扫描件</w:t>
            </w:r>
            <w:r>
              <w:rPr>
                <w:rFonts w:hint="eastAsia" w:ascii="宋体" w:eastAsia="宋体"/>
                <w:b w:val="0"/>
                <w:bCs w:val="0"/>
                <w:color w:val="auto"/>
                <w:sz w:val="22"/>
                <w:highlight w:val="none"/>
              </w:rPr>
              <w:t>加盖公章）</w:t>
            </w:r>
          </w:p>
        </w:tc>
      </w:tr>
      <w:tr w14:paraId="09ED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right w:val="single" w:color="auto" w:sz="4" w:space="0"/>
            </w:tcBorders>
            <w:vAlign w:val="center"/>
          </w:tcPr>
          <w:p w14:paraId="560A3B3B">
            <w:pPr>
              <w:pageBreakBefore w:val="0"/>
              <w:widowControl w:val="0"/>
              <w:kinsoku/>
              <w:overflowPunct/>
              <w:autoSpaceDE w:val="0"/>
              <w:autoSpaceDN w:val="0"/>
              <w:bidi w:val="0"/>
              <w:adjustRightInd w:val="0"/>
              <w:snapToGrid w:val="0"/>
              <w:spacing w:line="240" w:lineRule="auto"/>
              <w:jc w:val="center"/>
              <w:rPr>
                <w:rFonts w:hint="eastAsia" w:ascii="宋体" w:eastAsia="宋体"/>
                <w:b w:val="0"/>
                <w:bCs w:val="0"/>
                <w:color w:val="auto"/>
                <w:sz w:val="22"/>
                <w:highlight w:val="none"/>
              </w:rPr>
            </w:pPr>
            <w:r>
              <w:rPr>
                <w:rFonts w:hint="eastAsia" w:ascii="宋体" w:eastAsia="宋体"/>
                <w:b w:val="0"/>
                <w:bCs w:val="0"/>
                <w:color w:val="auto"/>
                <w:sz w:val="22"/>
                <w:highlight w:val="none"/>
              </w:rPr>
              <w:t>8</w:t>
            </w:r>
          </w:p>
        </w:tc>
        <w:tc>
          <w:tcPr>
            <w:tcW w:w="9025" w:type="dxa"/>
            <w:tcBorders>
              <w:top w:val="single" w:color="auto" w:sz="4" w:space="0"/>
              <w:left w:val="single" w:color="auto" w:sz="4" w:space="0"/>
              <w:right w:val="single" w:color="auto" w:sz="4" w:space="0"/>
            </w:tcBorders>
            <w:vAlign w:val="center"/>
          </w:tcPr>
          <w:p w14:paraId="34BA7782">
            <w:pPr>
              <w:pageBreakBefore w:val="0"/>
              <w:widowControl w:val="0"/>
              <w:kinsoku/>
              <w:overflowPunct/>
              <w:autoSpaceDE w:val="0"/>
              <w:autoSpaceDN w:val="0"/>
              <w:bidi w:val="0"/>
              <w:adjustRightInd w:val="0"/>
              <w:snapToGrid w:val="0"/>
              <w:spacing w:line="240" w:lineRule="auto"/>
              <w:jc w:val="both"/>
              <w:rPr>
                <w:rFonts w:hint="eastAsia" w:ascii="宋体" w:eastAsia="宋体"/>
                <w:b w:val="0"/>
                <w:bCs w:val="0"/>
                <w:color w:val="auto"/>
                <w:sz w:val="22"/>
                <w:highlight w:val="none"/>
              </w:rPr>
            </w:pPr>
            <w:r>
              <w:rPr>
                <w:rFonts w:hint="eastAsia" w:ascii="宋体" w:eastAsia="宋体"/>
                <w:b w:val="0"/>
                <w:bCs w:val="0"/>
                <w:color w:val="auto"/>
                <w:sz w:val="22"/>
                <w:highlight w:val="none"/>
              </w:rPr>
              <w:t>投标供应商资信等级证明等（如有则提供，</w:t>
            </w:r>
            <w:r>
              <w:rPr>
                <w:rFonts w:hint="eastAsia" w:ascii="宋体" w:eastAsia="宋体"/>
                <w:b w:val="0"/>
                <w:bCs w:val="0"/>
                <w:color w:val="auto"/>
                <w:sz w:val="22"/>
                <w:szCs w:val="22"/>
                <w:highlight w:val="none"/>
              </w:rPr>
              <w:t>扫描件</w:t>
            </w:r>
            <w:r>
              <w:rPr>
                <w:rFonts w:hint="eastAsia" w:ascii="宋体" w:eastAsia="宋体"/>
                <w:b w:val="0"/>
                <w:bCs w:val="0"/>
                <w:color w:val="auto"/>
                <w:sz w:val="22"/>
                <w:highlight w:val="none"/>
              </w:rPr>
              <w:t>加盖公章）</w:t>
            </w:r>
          </w:p>
        </w:tc>
      </w:tr>
      <w:tr w14:paraId="395A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right w:val="single" w:color="auto" w:sz="4" w:space="0"/>
            </w:tcBorders>
            <w:vAlign w:val="center"/>
          </w:tcPr>
          <w:p w14:paraId="3FD48E80">
            <w:pPr>
              <w:pageBreakBefore w:val="0"/>
              <w:widowControl w:val="0"/>
              <w:kinsoku/>
              <w:overflowPunct/>
              <w:autoSpaceDE w:val="0"/>
              <w:autoSpaceDN w:val="0"/>
              <w:bidi w:val="0"/>
              <w:adjustRightInd w:val="0"/>
              <w:snapToGrid w:val="0"/>
              <w:spacing w:line="240" w:lineRule="auto"/>
              <w:jc w:val="center"/>
              <w:rPr>
                <w:rFonts w:hint="eastAsia" w:ascii="宋体" w:eastAsia="宋体"/>
                <w:b w:val="0"/>
                <w:bCs w:val="0"/>
                <w:color w:val="auto"/>
                <w:sz w:val="22"/>
                <w:highlight w:val="none"/>
              </w:rPr>
            </w:pPr>
            <w:r>
              <w:rPr>
                <w:rFonts w:hint="eastAsia" w:ascii="宋体" w:eastAsia="宋体"/>
                <w:b w:val="0"/>
                <w:bCs w:val="0"/>
                <w:color w:val="auto"/>
                <w:sz w:val="22"/>
                <w:highlight w:val="none"/>
              </w:rPr>
              <w:t>9</w:t>
            </w:r>
          </w:p>
        </w:tc>
        <w:tc>
          <w:tcPr>
            <w:tcW w:w="9025" w:type="dxa"/>
            <w:tcBorders>
              <w:top w:val="single" w:color="auto" w:sz="4" w:space="0"/>
              <w:left w:val="single" w:color="auto" w:sz="4" w:space="0"/>
              <w:right w:val="single" w:color="auto" w:sz="4" w:space="0"/>
            </w:tcBorders>
            <w:vAlign w:val="center"/>
          </w:tcPr>
          <w:p w14:paraId="3665383A">
            <w:pPr>
              <w:pageBreakBefore w:val="0"/>
              <w:widowControl w:val="0"/>
              <w:kinsoku/>
              <w:overflowPunct/>
              <w:autoSpaceDE w:val="0"/>
              <w:autoSpaceDN w:val="0"/>
              <w:bidi w:val="0"/>
              <w:adjustRightInd w:val="0"/>
              <w:snapToGrid w:val="0"/>
              <w:spacing w:line="240" w:lineRule="auto"/>
              <w:jc w:val="both"/>
              <w:rPr>
                <w:rFonts w:hint="eastAsia" w:ascii="宋体" w:eastAsia="宋体"/>
                <w:b w:val="0"/>
                <w:bCs w:val="0"/>
                <w:color w:val="auto"/>
                <w:sz w:val="22"/>
                <w:highlight w:val="none"/>
              </w:rPr>
            </w:pPr>
            <w:r>
              <w:rPr>
                <w:rFonts w:hint="eastAsia" w:ascii="宋体" w:eastAsia="宋体"/>
                <w:b w:val="0"/>
                <w:bCs w:val="0"/>
                <w:color w:val="auto"/>
                <w:sz w:val="22"/>
                <w:highlight w:val="none"/>
              </w:rPr>
              <w:t>投标供应商曾获得的政府部门或行业协会颁发的荣誉证书（如有则提供，</w:t>
            </w:r>
            <w:r>
              <w:rPr>
                <w:rFonts w:hint="eastAsia" w:ascii="宋体" w:eastAsia="宋体"/>
                <w:b w:val="0"/>
                <w:bCs w:val="0"/>
                <w:color w:val="auto"/>
                <w:sz w:val="22"/>
                <w:szCs w:val="22"/>
                <w:highlight w:val="none"/>
              </w:rPr>
              <w:t>扫描件</w:t>
            </w:r>
            <w:r>
              <w:rPr>
                <w:rFonts w:hint="eastAsia" w:ascii="宋体" w:eastAsia="宋体"/>
                <w:b w:val="0"/>
                <w:bCs w:val="0"/>
                <w:color w:val="auto"/>
                <w:sz w:val="22"/>
                <w:highlight w:val="none"/>
              </w:rPr>
              <w:t>加盖公章）</w:t>
            </w:r>
          </w:p>
        </w:tc>
      </w:tr>
      <w:tr w14:paraId="398F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right w:val="single" w:color="auto" w:sz="4" w:space="0"/>
            </w:tcBorders>
            <w:vAlign w:val="center"/>
          </w:tcPr>
          <w:p w14:paraId="4A010CF4">
            <w:pPr>
              <w:pageBreakBefore w:val="0"/>
              <w:widowControl w:val="0"/>
              <w:kinsoku/>
              <w:overflowPunct/>
              <w:autoSpaceDE w:val="0"/>
              <w:autoSpaceDN w:val="0"/>
              <w:bidi w:val="0"/>
              <w:adjustRightInd w:val="0"/>
              <w:snapToGrid w:val="0"/>
              <w:spacing w:line="240" w:lineRule="auto"/>
              <w:jc w:val="center"/>
              <w:rPr>
                <w:rFonts w:hint="eastAsia" w:ascii="宋体" w:eastAsia="宋体"/>
                <w:b w:val="0"/>
                <w:bCs w:val="0"/>
                <w:color w:val="auto"/>
                <w:sz w:val="22"/>
                <w:highlight w:val="none"/>
              </w:rPr>
            </w:pPr>
            <w:r>
              <w:rPr>
                <w:rFonts w:hint="eastAsia" w:ascii="宋体" w:eastAsia="宋体"/>
                <w:b w:val="0"/>
                <w:bCs w:val="0"/>
                <w:color w:val="auto"/>
                <w:sz w:val="22"/>
                <w:highlight w:val="none"/>
              </w:rPr>
              <w:t>10</w:t>
            </w:r>
          </w:p>
        </w:tc>
        <w:tc>
          <w:tcPr>
            <w:tcW w:w="9025" w:type="dxa"/>
            <w:tcBorders>
              <w:top w:val="single" w:color="auto" w:sz="4" w:space="0"/>
              <w:left w:val="single" w:color="auto" w:sz="4" w:space="0"/>
              <w:right w:val="single" w:color="auto" w:sz="4" w:space="0"/>
            </w:tcBorders>
            <w:vAlign w:val="center"/>
          </w:tcPr>
          <w:p w14:paraId="0A32C654">
            <w:pPr>
              <w:pageBreakBefore w:val="0"/>
              <w:widowControl w:val="0"/>
              <w:kinsoku/>
              <w:overflowPunct/>
              <w:autoSpaceDE w:val="0"/>
              <w:autoSpaceDN w:val="0"/>
              <w:bidi w:val="0"/>
              <w:adjustRightInd w:val="0"/>
              <w:snapToGrid w:val="0"/>
              <w:spacing w:line="240" w:lineRule="auto"/>
              <w:jc w:val="both"/>
              <w:rPr>
                <w:rFonts w:hint="eastAsia" w:ascii="宋体" w:eastAsia="宋体"/>
                <w:b w:val="0"/>
                <w:bCs w:val="0"/>
                <w:color w:val="auto"/>
                <w:sz w:val="22"/>
                <w:highlight w:val="none"/>
              </w:rPr>
            </w:pPr>
            <w:r>
              <w:rPr>
                <w:rFonts w:hint="eastAsia" w:ascii="宋体" w:eastAsia="宋体"/>
                <w:b w:val="0"/>
                <w:bCs w:val="0"/>
                <w:color w:val="auto"/>
                <w:sz w:val="22"/>
                <w:highlight w:val="none"/>
              </w:rPr>
              <w:t>投标供应商具有的其它相关资质证书（如有则提供，</w:t>
            </w:r>
            <w:r>
              <w:rPr>
                <w:rFonts w:hint="eastAsia" w:ascii="宋体" w:eastAsia="宋体"/>
                <w:b w:val="0"/>
                <w:bCs w:val="0"/>
                <w:color w:val="auto"/>
                <w:sz w:val="22"/>
                <w:szCs w:val="22"/>
                <w:highlight w:val="none"/>
              </w:rPr>
              <w:t>扫描件</w:t>
            </w:r>
            <w:r>
              <w:rPr>
                <w:rFonts w:hint="eastAsia" w:ascii="宋体" w:eastAsia="宋体"/>
                <w:b w:val="0"/>
                <w:bCs w:val="0"/>
                <w:color w:val="auto"/>
                <w:sz w:val="22"/>
                <w:highlight w:val="none"/>
              </w:rPr>
              <w:t>加盖公章）</w:t>
            </w:r>
          </w:p>
        </w:tc>
      </w:tr>
      <w:tr w14:paraId="681D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74" w:type="dxa"/>
            <w:tcBorders>
              <w:top w:val="single" w:color="auto" w:sz="4" w:space="0"/>
              <w:left w:val="single" w:color="auto" w:sz="4" w:space="0"/>
              <w:right w:val="single" w:color="auto" w:sz="4" w:space="0"/>
            </w:tcBorders>
            <w:vAlign w:val="center"/>
          </w:tcPr>
          <w:p w14:paraId="3B4AC573">
            <w:pPr>
              <w:pageBreakBefore w:val="0"/>
              <w:widowControl w:val="0"/>
              <w:kinsoku/>
              <w:overflowPunct/>
              <w:autoSpaceDE w:val="0"/>
              <w:autoSpaceDN w:val="0"/>
              <w:bidi w:val="0"/>
              <w:adjustRightInd w:val="0"/>
              <w:snapToGrid w:val="0"/>
              <w:spacing w:line="240" w:lineRule="auto"/>
              <w:jc w:val="center"/>
              <w:rPr>
                <w:rFonts w:hint="eastAsia" w:ascii="宋体" w:eastAsia="宋体"/>
                <w:b w:val="0"/>
                <w:bCs w:val="0"/>
                <w:color w:val="auto"/>
                <w:sz w:val="22"/>
                <w:highlight w:val="none"/>
              </w:rPr>
            </w:pPr>
            <w:r>
              <w:rPr>
                <w:rFonts w:hint="eastAsia" w:ascii="宋体" w:eastAsia="宋体"/>
                <w:b w:val="0"/>
                <w:bCs w:val="0"/>
                <w:color w:val="auto"/>
                <w:sz w:val="22"/>
                <w:highlight w:val="none"/>
              </w:rPr>
              <w:t>11</w:t>
            </w:r>
          </w:p>
        </w:tc>
        <w:tc>
          <w:tcPr>
            <w:tcW w:w="9025" w:type="dxa"/>
            <w:tcBorders>
              <w:top w:val="single" w:color="auto" w:sz="4" w:space="0"/>
              <w:left w:val="single" w:color="auto" w:sz="4" w:space="0"/>
              <w:right w:val="single" w:color="auto" w:sz="4" w:space="0"/>
            </w:tcBorders>
            <w:vAlign w:val="center"/>
          </w:tcPr>
          <w:p w14:paraId="35395C73">
            <w:pPr>
              <w:pageBreakBefore w:val="0"/>
              <w:widowControl w:val="0"/>
              <w:kinsoku/>
              <w:overflowPunct/>
              <w:autoSpaceDE w:val="0"/>
              <w:autoSpaceDN w:val="0"/>
              <w:bidi w:val="0"/>
              <w:adjustRightInd w:val="0"/>
              <w:snapToGrid w:val="0"/>
              <w:spacing w:line="240" w:lineRule="auto"/>
              <w:jc w:val="both"/>
              <w:textAlignment w:val="bottom"/>
              <w:rPr>
                <w:rFonts w:hint="eastAsia" w:ascii="宋体" w:eastAsia="宋体"/>
                <w:b w:val="0"/>
                <w:bCs w:val="0"/>
                <w:color w:val="auto"/>
                <w:sz w:val="22"/>
                <w:highlight w:val="none"/>
              </w:rPr>
            </w:pPr>
            <w:r>
              <w:rPr>
                <w:rFonts w:hint="eastAsia" w:ascii="宋体" w:eastAsia="宋体"/>
                <w:b w:val="0"/>
                <w:bCs w:val="0"/>
                <w:color w:val="auto"/>
                <w:sz w:val="22"/>
                <w:szCs w:val="22"/>
                <w:highlight w:val="none"/>
              </w:rPr>
              <w:t>投标供应商承担过</w:t>
            </w:r>
            <w:r>
              <w:rPr>
                <w:rFonts w:hint="eastAsia" w:ascii="宋体" w:eastAsia="宋体"/>
                <w:b w:val="0"/>
                <w:color w:val="auto"/>
                <w:sz w:val="22"/>
                <w:szCs w:val="22"/>
                <w:highlight w:val="none"/>
              </w:rPr>
              <w:t>类似</w:t>
            </w:r>
            <w:r>
              <w:rPr>
                <w:rFonts w:hint="eastAsia" w:ascii="宋体" w:eastAsia="宋体"/>
                <w:b w:val="0"/>
                <w:bCs w:val="0"/>
                <w:color w:val="auto"/>
                <w:sz w:val="22"/>
                <w:szCs w:val="22"/>
                <w:highlight w:val="none"/>
              </w:rPr>
              <w:t>项目的业绩；（以提供的加盖有效公章的中标</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成交</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通知书或合同复印件为准）（附件十</w:t>
            </w:r>
            <w:r>
              <w:rPr>
                <w:rFonts w:hint="eastAsia" w:ascii="宋体" w:eastAsia="宋体"/>
                <w:b w:val="0"/>
                <w:bCs w:val="0"/>
                <w:color w:val="auto"/>
                <w:sz w:val="22"/>
                <w:szCs w:val="22"/>
                <w:highlight w:val="none"/>
                <w:lang w:val="en-US" w:eastAsia="zh-CN"/>
              </w:rPr>
              <w:t>二</w:t>
            </w:r>
            <w:r>
              <w:rPr>
                <w:rFonts w:hint="eastAsia" w:ascii="宋体" w:eastAsia="宋体"/>
                <w:b w:val="0"/>
                <w:bCs w:val="0"/>
                <w:color w:val="auto"/>
                <w:sz w:val="22"/>
                <w:szCs w:val="22"/>
                <w:highlight w:val="none"/>
              </w:rPr>
              <w:t>，如有则提供）（备注</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业绩评分按评分细则要求提供资料）</w:t>
            </w:r>
          </w:p>
        </w:tc>
      </w:tr>
      <w:tr w14:paraId="4150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right w:val="single" w:color="auto" w:sz="4" w:space="0"/>
            </w:tcBorders>
            <w:vAlign w:val="center"/>
          </w:tcPr>
          <w:p w14:paraId="4C9C1F4F">
            <w:pPr>
              <w:pageBreakBefore w:val="0"/>
              <w:widowControl w:val="0"/>
              <w:kinsoku/>
              <w:overflowPunct/>
              <w:autoSpaceDE w:val="0"/>
              <w:autoSpaceDN w:val="0"/>
              <w:bidi w:val="0"/>
              <w:adjustRightInd w:val="0"/>
              <w:snapToGrid w:val="0"/>
              <w:spacing w:line="240" w:lineRule="auto"/>
              <w:jc w:val="center"/>
              <w:rPr>
                <w:rFonts w:hint="eastAsia" w:ascii="宋体" w:eastAsia="宋体"/>
                <w:b w:val="0"/>
                <w:bCs w:val="0"/>
                <w:color w:val="auto"/>
                <w:sz w:val="22"/>
                <w:highlight w:val="none"/>
              </w:rPr>
            </w:pPr>
            <w:r>
              <w:rPr>
                <w:rFonts w:hint="eastAsia" w:ascii="宋体" w:eastAsia="宋体"/>
                <w:b w:val="0"/>
                <w:bCs w:val="0"/>
                <w:color w:val="auto"/>
                <w:sz w:val="22"/>
                <w:highlight w:val="none"/>
              </w:rPr>
              <w:t>12</w:t>
            </w:r>
          </w:p>
        </w:tc>
        <w:tc>
          <w:tcPr>
            <w:tcW w:w="9025" w:type="dxa"/>
            <w:tcBorders>
              <w:top w:val="single" w:color="auto" w:sz="4" w:space="0"/>
              <w:left w:val="single" w:color="auto" w:sz="4" w:space="0"/>
              <w:right w:val="single" w:color="auto" w:sz="4" w:space="0"/>
            </w:tcBorders>
            <w:vAlign w:val="center"/>
          </w:tcPr>
          <w:p w14:paraId="23E3F9DE">
            <w:pPr>
              <w:pageBreakBefore w:val="0"/>
              <w:widowControl w:val="0"/>
              <w:kinsoku/>
              <w:overflowPunct/>
              <w:autoSpaceDE w:val="0"/>
              <w:autoSpaceDN w:val="0"/>
              <w:bidi w:val="0"/>
              <w:adjustRightInd w:val="0"/>
              <w:snapToGrid w:val="0"/>
              <w:spacing w:line="240" w:lineRule="auto"/>
              <w:jc w:val="both"/>
              <w:rPr>
                <w:rFonts w:hint="eastAsia" w:ascii="宋体" w:eastAsia="宋体"/>
                <w:b w:val="0"/>
                <w:bCs w:val="0"/>
                <w:color w:val="auto"/>
                <w:sz w:val="22"/>
                <w:highlight w:val="none"/>
              </w:rPr>
            </w:pPr>
            <w:r>
              <w:rPr>
                <w:rFonts w:hint="eastAsia" w:ascii="宋体" w:eastAsia="宋体"/>
                <w:b w:val="0"/>
                <w:bCs w:val="0"/>
                <w:color w:val="auto"/>
                <w:sz w:val="22"/>
                <w:szCs w:val="22"/>
                <w:highlight w:val="none"/>
              </w:rPr>
              <w:t>拟投入设备及工具一览表（附件十</w:t>
            </w:r>
            <w:r>
              <w:rPr>
                <w:rFonts w:hint="eastAsia" w:ascii="宋体" w:eastAsia="宋体"/>
                <w:b w:val="0"/>
                <w:bCs w:val="0"/>
                <w:color w:val="auto"/>
                <w:sz w:val="22"/>
                <w:szCs w:val="22"/>
                <w:highlight w:val="none"/>
                <w:lang w:val="en-US" w:eastAsia="zh-CN"/>
              </w:rPr>
              <w:t>三</w:t>
            </w:r>
            <w:r>
              <w:rPr>
                <w:rFonts w:hint="eastAsia" w:ascii="宋体" w:eastAsia="宋体"/>
                <w:b w:val="0"/>
                <w:bCs w:val="0"/>
                <w:color w:val="auto"/>
                <w:sz w:val="22"/>
                <w:szCs w:val="22"/>
                <w:highlight w:val="none"/>
              </w:rPr>
              <w:t>）；</w:t>
            </w:r>
          </w:p>
        </w:tc>
      </w:tr>
      <w:tr w14:paraId="5762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right w:val="single" w:color="auto" w:sz="4" w:space="0"/>
            </w:tcBorders>
            <w:vAlign w:val="center"/>
          </w:tcPr>
          <w:p w14:paraId="6BA0FFE6">
            <w:pPr>
              <w:pageBreakBefore w:val="0"/>
              <w:widowControl w:val="0"/>
              <w:kinsoku/>
              <w:overflowPunct/>
              <w:autoSpaceDE w:val="0"/>
              <w:autoSpaceDN w:val="0"/>
              <w:bidi w:val="0"/>
              <w:adjustRightInd w:val="0"/>
              <w:snapToGrid w:val="0"/>
              <w:spacing w:line="240" w:lineRule="auto"/>
              <w:jc w:val="center"/>
              <w:rPr>
                <w:rFonts w:hint="eastAsia" w:ascii="宋体" w:eastAsia="宋体"/>
                <w:color w:val="auto"/>
                <w:sz w:val="22"/>
                <w:highlight w:val="none"/>
              </w:rPr>
            </w:pPr>
            <w:r>
              <w:rPr>
                <w:rFonts w:hint="eastAsia" w:ascii="宋体" w:eastAsia="宋体"/>
                <w:b/>
                <w:bCs/>
                <w:color w:val="auto"/>
                <w:sz w:val="22"/>
                <w:highlight w:val="none"/>
              </w:rPr>
              <w:t>13</w:t>
            </w:r>
          </w:p>
        </w:tc>
        <w:tc>
          <w:tcPr>
            <w:tcW w:w="9025" w:type="dxa"/>
            <w:tcBorders>
              <w:top w:val="single" w:color="auto" w:sz="4" w:space="0"/>
              <w:left w:val="single" w:color="auto" w:sz="4" w:space="0"/>
              <w:right w:val="single" w:color="auto" w:sz="4" w:space="0"/>
            </w:tcBorders>
            <w:vAlign w:val="center"/>
          </w:tcPr>
          <w:p w14:paraId="2280D98B">
            <w:pPr>
              <w:pageBreakBefore w:val="0"/>
              <w:widowControl w:val="0"/>
              <w:kinsoku/>
              <w:overflowPunct/>
              <w:autoSpaceDE w:val="0"/>
              <w:autoSpaceDN w:val="0"/>
              <w:bidi w:val="0"/>
              <w:adjustRightInd w:val="0"/>
              <w:snapToGrid w:val="0"/>
              <w:spacing w:line="240" w:lineRule="auto"/>
              <w:jc w:val="both"/>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拟派项目负责人履历表（附件十</w:t>
            </w:r>
            <w:r>
              <w:rPr>
                <w:rFonts w:hint="eastAsia" w:ascii="宋体" w:eastAsia="宋体"/>
                <w:b w:val="0"/>
                <w:bCs w:val="0"/>
                <w:color w:val="auto"/>
                <w:sz w:val="22"/>
                <w:szCs w:val="22"/>
                <w:highlight w:val="none"/>
                <w:lang w:val="en-US" w:eastAsia="zh-CN"/>
              </w:rPr>
              <w:t>四</w:t>
            </w:r>
            <w:r>
              <w:rPr>
                <w:rFonts w:hint="eastAsia" w:ascii="宋体" w:eastAsia="宋体"/>
                <w:b w:val="0"/>
                <w:bCs w:val="0"/>
                <w:color w:val="auto"/>
                <w:sz w:val="22"/>
                <w:szCs w:val="22"/>
                <w:highlight w:val="none"/>
              </w:rPr>
              <w:t>）；</w:t>
            </w:r>
          </w:p>
        </w:tc>
      </w:tr>
      <w:tr w14:paraId="3EA4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right w:val="single" w:color="auto" w:sz="4" w:space="0"/>
            </w:tcBorders>
            <w:vAlign w:val="center"/>
          </w:tcPr>
          <w:p w14:paraId="43B8680C">
            <w:pPr>
              <w:pageBreakBefore w:val="0"/>
              <w:widowControl w:val="0"/>
              <w:kinsoku/>
              <w:overflowPunct/>
              <w:autoSpaceDE w:val="0"/>
              <w:autoSpaceDN w:val="0"/>
              <w:bidi w:val="0"/>
              <w:adjustRightInd w:val="0"/>
              <w:snapToGrid w:val="0"/>
              <w:spacing w:line="240" w:lineRule="auto"/>
              <w:jc w:val="center"/>
              <w:rPr>
                <w:rFonts w:hint="eastAsia" w:ascii="宋体" w:eastAsia="宋体"/>
                <w:color w:val="auto"/>
                <w:sz w:val="22"/>
                <w:highlight w:val="none"/>
              </w:rPr>
            </w:pPr>
            <w:r>
              <w:rPr>
                <w:rFonts w:hint="eastAsia" w:ascii="宋体" w:eastAsia="宋体"/>
                <w:color w:val="auto"/>
                <w:sz w:val="22"/>
                <w:highlight w:val="none"/>
              </w:rPr>
              <w:t>14</w:t>
            </w:r>
          </w:p>
        </w:tc>
        <w:tc>
          <w:tcPr>
            <w:tcW w:w="9025" w:type="dxa"/>
            <w:tcBorders>
              <w:top w:val="single" w:color="auto" w:sz="4" w:space="0"/>
              <w:left w:val="single" w:color="auto" w:sz="4" w:space="0"/>
              <w:right w:val="single" w:color="auto" w:sz="4" w:space="0"/>
            </w:tcBorders>
            <w:vAlign w:val="center"/>
          </w:tcPr>
          <w:p w14:paraId="03D57D7C">
            <w:pPr>
              <w:pageBreakBefore w:val="0"/>
              <w:widowControl w:val="0"/>
              <w:kinsoku/>
              <w:overflowPunct/>
              <w:autoSpaceDE w:val="0"/>
              <w:autoSpaceDN w:val="0"/>
              <w:bidi w:val="0"/>
              <w:adjustRightInd w:val="0"/>
              <w:snapToGrid w:val="0"/>
              <w:spacing w:line="240" w:lineRule="auto"/>
              <w:jc w:val="both"/>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项目组人员配备一览表（附件十</w:t>
            </w:r>
            <w:r>
              <w:rPr>
                <w:rFonts w:hint="eastAsia" w:ascii="宋体" w:eastAsia="宋体"/>
                <w:b w:val="0"/>
                <w:bCs w:val="0"/>
                <w:color w:val="auto"/>
                <w:sz w:val="22"/>
                <w:szCs w:val="22"/>
                <w:highlight w:val="none"/>
                <w:lang w:val="en-US" w:eastAsia="zh-CN"/>
              </w:rPr>
              <w:t>五</w:t>
            </w:r>
            <w:r>
              <w:rPr>
                <w:rFonts w:hint="eastAsia" w:ascii="宋体" w:eastAsia="宋体"/>
                <w:b w:val="0"/>
                <w:bCs w:val="0"/>
                <w:color w:val="auto"/>
                <w:sz w:val="22"/>
                <w:szCs w:val="22"/>
                <w:highlight w:val="none"/>
              </w:rPr>
              <w:t>）</w:t>
            </w:r>
          </w:p>
        </w:tc>
      </w:tr>
      <w:tr w14:paraId="7446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right w:val="single" w:color="auto" w:sz="4" w:space="0"/>
            </w:tcBorders>
            <w:vAlign w:val="center"/>
          </w:tcPr>
          <w:p w14:paraId="6D699AE6">
            <w:pPr>
              <w:pageBreakBefore w:val="0"/>
              <w:widowControl w:val="0"/>
              <w:kinsoku/>
              <w:overflowPunct/>
              <w:autoSpaceDE w:val="0"/>
              <w:autoSpaceDN w:val="0"/>
              <w:bidi w:val="0"/>
              <w:adjustRightInd w:val="0"/>
              <w:snapToGrid w:val="0"/>
              <w:spacing w:line="240" w:lineRule="auto"/>
              <w:jc w:val="center"/>
              <w:rPr>
                <w:rFonts w:hint="eastAsia" w:ascii="宋体" w:eastAsia="宋体"/>
                <w:color w:val="auto"/>
                <w:sz w:val="22"/>
                <w:highlight w:val="none"/>
              </w:rPr>
            </w:pPr>
            <w:r>
              <w:rPr>
                <w:rFonts w:hint="eastAsia" w:ascii="宋体" w:eastAsia="宋体"/>
                <w:color w:val="auto"/>
                <w:sz w:val="22"/>
                <w:highlight w:val="none"/>
              </w:rPr>
              <w:t>15</w:t>
            </w:r>
          </w:p>
        </w:tc>
        <w:tc>
          <w:tcPr>
            <w:tcW w:w="9025" w:type="dxa"/>
            <w:tcBorders>
              <w:top w:val="single" w:color="auto" w:sz="4" w:space="0"/>
              <w:left w:val="single" w:color="auto" w:sz="4" w:space="0"/>
              <w:right w:val="single" w:color="auto" w:sz="4" w:space="0"/>
            </w:tcBorders>
            <w:vAlign w:val="center"/>
          </w:tcPr>
          <w:p w14:paraId="5B879094">
            <w:pPr>
              <w:pageBreakBefore w:val="0"/>
              <w:widowControl w:val="0"/>
              <w:kinsoku/>
              <w:overflowPunct/>
              <w:autoSpaceDE w:val="0"/>
              <w:autoSpaceDN w:val="0"/>
              <w:bidi w:val="0"/>
              <w:adjustRightInd w:val="0"/>
              <w:snapToGrid w:val="0"/>
              <w:spacing w:line="240" w:lineRule="auto"/>
              <w:jc w:val="both"/>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商务偏离表（附件十</w:t>
            </w:r>
            <w:r>
              <w:rPr>
                <w:rFonts w:hint="eastAsia" w:ascii="宋体" w:eastAsia="宋体"/>
                <w:b w:val="0"/>
                <w:bCs w:val="0"/>
                <w:color w:val="auto"/>
                <w:sz w:val="22"/>
                <w:szCs w:val="22"/>
                <w:highlight w:val="none"/>
                <w:lang w:val="en-US" w:eastAsia="zh-CN"/>
              </w:rPr>
              <w:t>六</w:t>
            </w:r>
            <w:r>
              <w:rPr>
                <w:rFonts w:hint="eastAsia" w:ascii="宋体" w:eastAsia="宋体"/>
                <w:b w:val="0"/>
                <w:bCs w:val="0"/>
                <w:color w:val="auto"/>
                <w:sz w:val="22"/>
                <w:szCs w:val="22"/>
                <w:highlight w:val="none"/>
              </w:rPr>
              <w:t>（一））、技术偏离表（附件十</w:t>
            </w:r>
            <w:r>
              <w:rPr>
                <w:rFonts w:hint="eastAsia" w:ascii="宋体" w:eastAsia="宋体"/>
                <w:b w:val="0"/>
                <w:bCs w:val="0"/>
                <w:color w:val="auto"/>
                <w:sz w:val="22"/>
                <w:szCs w:val="22"/>
                <w:highlight w:val="none"/>
                <w:lang w:val="en-US" w:eastAsia="zh-CN"/>
              </w:rPr>
              <w:t>六</w:t>
            </w:r>
            <w:r>
              <w:rPr>
                <w:rFonts w:hint="eastAsia" w:ascii="宋体" w:eastAsia="宋体"/>
                <w:b w:val="0"/>
                <w:bCs w:val="0"/>
                <w:color w:val="auto"/>
                <w:sz w:val="22"/>
                <w:szCs w:val="22"/>
                <w:highlight w:val="none"/>
              </w:rPr>
              <w:t>（二））</w:t>
            </w:r>
          </w:p>
        </w:tc>
      </w:tr>
      <w:tr w14:paraId="6873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774" w:type="dxa"/>
            <w:tcBorders>
              <w:top w:val="single" w:color="auto" w:sz="4" w:space="0"/>
              <w:left w:val="single" w:color="auto" w:sz="4" w:space="0"/>
              <w:right w:val="single" w:color="auto" w:sz="4" w:space="0"/>
            </w:tcBorders>
            <w:vAlign w:val="center"/>
          </w:tcPr>
          <w:p w14:paraId="157AB5A0">
            <w:pPr>
              <w:pageBreakBefore w:val="0"/>
              <w:widowControl w:val="0"/>
              <w:kinsoku/>
              <w:overflowPunct/>
              <w:autoSpaceDE w:val="0"/>
              <w:autoSpaceDN w:val="0"/>
              <w:bidi w:val="0"/>
              <w:adjustRightInd w:val="0"/>
              <w:snapToGrid w:val="0"/>
              <w:spacing w:line="240" w:lineRule="auto"/>
              <w:jc w:val="center"/>
              <w:rPr>
                <w:rFonts w:hint="eastAsia" w:ascii="宋体" w:eastAsia="宋体"/>
                <w:color w:val="auto"/>
                <w:sz w:val="22"/>
                <w:highlight w:val="none"/>
              </w:rPr>
            </w:pPr>
            <w:r>
              <w:rPr>
                <w:rFonts w:hint="eastAsia" w:ascii="宋体" w:eastAsia="宋体"/>
                <w:color w:val="auto"/>
                <w:sz w:val="22"/>
                <w:highlight w:val="none"/>
              </w:rPr>
              <w:t>16</w:t>
            </w:r>
          </w:p>
        </w:tc>
        <w:tc>
          <w:tcPr>
            <w:tcW w:w="9025" w:type="dxa"/>
            <w:tcBorders>
              <w:top w:val="single" w:color="auto" w:sz="4" w:space="0"/>
              <w:left w:val="single" w:color="auto" w:sz="4" w:space="0"/>
              <w:right w:val="single" w:color="auto" w:sz="4" w:space="0"/>
            </w:tcBorders>
            <w:vAlign w:val="center"/>
          </w:tcPr>
          <w:p w14:paraId="097C8485">
            <w:pPr>
              <w:pageBreakBefore w:val="0"/>
              <w:widowControl w:val="0"/>
              <w:kinsoku/>
              <w:overflowPunct/>
              <w:autoSpaceDE w:val="0"/>
              <w:autoSpaceDN w:val="0"/>
              <w:bidi w:val="0"/>
              <w:adjustRightInd w:val="0"/>
              <w:snapToGrid w:val="0"/>
              <w:spacing w:line="360" w:lineRule="auto"/>
              <w:jc w:val="both"/>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针对本项目实施方案介绍说明，主要内容包括：（附件十</w:t>
            </w:r>
            <w:r>
              <w:rPr>
                <w:rFonts w:hint="eastAsia" w:ascii="宋体" w:eastAsia="宋体"/>
                <w:b w:val="0"/>
                <w:bCs w:val="0"/>
                <w:color w:val="auto"/>
                <w:sz w:val="22"/>
                <w:szCs w:val="22"/>
                <w:highlight w:val="none"/>
                <w:lang w:val="en-US" w:eastAsia="zh-CN"/>
              </w:rPr>
              <w:t>七</w:t>
            </w:r>
            <w:r>
              <w:rPr>
                <w:rFonts w:hint="eastAsia" w:ascii="宋体" w:eastAsia="宋体"/>
                <w:b w:val="0"/>
                <w:bCs w:val="0"/>
                <w:color w:val="auto"/>
                <w:sz w:val="22"/>
                <w:szCs w:val="22"/>
                <w:highlight w:val="none"/>
              </w:rPr>
              <w:t>）；</w:t>
            </w:r>
          </w:p>
          <w:p w14:paraId="27ADF235">
            <w:pPr>
              <w:pageBreakBefore w:val="0"/>
              <w:widowControl w:val="0"/>
              <w:kinsoku/>
              <w:overflowPunct/>
              <w:autoSpaceDE w:val="0"/>
              <w:autoSpaceDN w:val="0"/>
              <w:bidi w:val="0"/>
              <w:adjustRightInd w:val="0"/>
              <w:snapToGrid w:val="0"/>
              <w:spacing w:line="360" w:lineRule="auto"/>
              <w:jc w:val="both"/>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A</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对</w:t>
            </w:r>
            <w:r>
              <w:rPr>
                <w:rFonts w:hint="eastAsia" w:ascii="宋体" w:eastAsia="宋体"/>
                <w:b w:val="0"/>
                <w:bCs w:val="0"/>
                <w:color w:val="auto"/>
                <w:sz w:val="22"/>
                <w:szCs w:val="22"/>
                <w:highlight w:val="none"/>
                <w:lang w:eastAsia="zh-CN"/>
              </w:rPr>
              <w:t>采购</w:t>
            </w:r>
            <w:r>
              <w:rPr>
                <w:rFonts w:hint="eastAsia" w:ascii="宋体" w:eastAsia="宋体"/>
                <w:b w:val="0"/>
                <w:bCs w:val="0"/>
                <w:color w:val="auto"/>
                <w:sz w:val="22"/>
                <w:szCs w:val="22"/>
                <w:highlight w:val="none"/>
              </w:rPr>
              <w:t>项目的理解；</w:t>
            </w:r>
          </w:p>
          <w:p w14:paraId="6CFCA982">
            <w:pPr>
              <w:pageBreakBefore w:val="0"/>
              <w:widowControl w:val="0"/>
              <w:kinsoku/>
              <w:overflowPunct/>
              <w:autoSpaceDE w:val="0"/>
              <w:autoSpaceDN w:val="0"/>
              <w:bidi w:val="0"/>
              <w:adjustRightInd w:val="0"/>
              <w:snapToGrid w:val="0"/>
              <w:spacing w:line="360" w:lineRule="auto"/>
              <w:jc w:val="both"/>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B</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项目实施方案；</w:t>
            </w:r>
          </w:p>
          <w:p w14:paraId="572E2946">
            <w:pPr>
              <w:pageBreakBefore w:val="0"/>
              <w:widowControl w:val="0"/>
              <w:kinsoku/>
              <w:overflowPunct/>
              <w:autoSpaceDE w:val="0"/>
              <w:autoSpaceDN w:val="0"/>
              <w:bidi w:val="0"/>
              <w:adjustRightInd w:val="0"/>
              <w:snapToGrid w:val="0"/>
              <w:spacing w:line="360" w:lineRule="auto"/>
              <w:jc w:val="both"/>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C</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工作量及计划安排；</w:t>
            </w:r>
          </w:p>
          <w:p w14:paraId="5A773DD7">
            <w:pPr>
              <w:pageBreakBefore w:val="0"/>
              <w:widowControl w:val="0"/>
              <w:kinsoku/>
              <w:overflowPunct/>
              <w:autoSpaceDE w:val="0"/>
              <w:autoSpaceDN w:val="0"/>
              <w:bidi w:val="0"/>
              <w:adjustRightInd w:val="0"/>
              <w:snapToGrid w:val="0"/>
              <w:spacing w:line="360" w:lineRule="auto"/>
              <w:jc w:val="both"/>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D</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质量保证措施、进度保证措施；</w:t>
            </w:r>
          </w:p>
          <w:p w14:paraId="70E98772">
            <w:pPr>
              <w:pageBreakBefore w:val="0"/>
              <w:widowControl w:val="0"/>
              <w:kinsoku/>
              <w:overflowPunct/>
              <w:autoSpaceDE w:val="0"/>
              <w:autoSpaceDN w:val="0"/>
              <w:bidi w:val="0"/>
              <w:adjustRightInd w:val="0"/>
              <w:snapToGrid w:val="0"/>
              <w:spacing w:line="360" w:lineRule="auto"/>
              <w:jc w:val="both"/>
              <w:rPr>
                <w:rFonts w:hint="eastAsia" w:ascii="宋体" w:eastAsia="宋体"/>
                <w:color w:val="auto"/>
                <w:sz w:val="22"/>
                <w:szCs w:val="22"/>
                <w:highlight w:val="none"/>
              </w:rPr>
            </w:pPr>
            <w:r>
              <w:rPr>
                <w:rFonts w:hint="eastAsia" w:ascii="宋体" w:eastAsia="宋体"/>
                <w:b w:val="0"/>
                <w:bCs w:val="0"/>
                <w:color w:val="auto"/>
                <w:sz w:val="22"/>
                <w:szCs w:val="22"/>
                <w:highlight w:val="none"/>
              </w:rPr>
              <w:t>E</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有必要说明的其他内容；</w:t>
            </w:r>
          </w:p>
        </w:tc>
      </w:tr>
      <w:tr w14:paraId="6BFD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right w:val="single" w:color="auto" w:sz="4" w:space="0"/>
            </w:tcBorders>
            <w:vAlign w:val="center"/>
          </w:tcPr>
          <w:p w14:paraId="24106B2D">
            <w:pPr>
              <w:pageBreakBefore w:val="0"/>
              <w:widowControl w:val="0"/>
              <w:kinsoku/>
              <w:overflowPunct/>
              <w:autoSpaceDE w:val="0"/>
              <w:autoSpaceDN w:val="0"/>
              <w:bidi w:val="0"/>
              <w:adjustRightInd w:val="0"/>
              <w:snapToGrid w:val="0"/>
              <w:spacing w:line="240" w:lineRule="auto"/>
              <w:jc w:val="center"/>
              <w:rPr>
                <w:rFonts w:hint="eastAsia" w:ascii="宋体" w:eastAsia="宋体"/>
                <w:b w:val="0"/>
                <w:bCs w:val="0"/>
                <w:color w:val="auto"/>
                <w:sz w:val="22"/>
                <w:highlight w:val="none"/>
              </w:rPr>
            </w:pPr>
            <w:r>
              <w:rPr>
                <w:rFonts w:hint="eastAsia" w:ascii="宋体" w:eastAsia="宋体"/>
                <w:b/>
                <w:bCs/>
                <w:color w:val="auto"/>
                <w:sz w:val="22"/>
                <w:highlight w:val="none"/>
              </w:rPr>
              <w:t>17</w:t>
            </w:r>
          </w:p>
        </w:tc>
        <w:tc>
          <w:tcPr>
            <w:tcW w:w="9025" w:type="dxa"/>
            <w:tcBorders>
              <w:top w:val="single" w:color="auto" w:sz="4" w:space="0"/>
              <w:left w:val="single" w:color="auto" w:sz="4" w:space="0"/>
              <w:right w:val="single" w:color="auto" w:sz="4" w:space="0"/>
            </w:tcBorders>
            <w:vAlign w:val="center"/>
          </w:tcPr>
          <w:p w14:paraId="6F161EA3">
            <w:pPr>
              <w:pageBreakBefore w:val="0"/>
              <w:widowControl w:val="0"/>
              <w:kinsoku/>
              <w:overflowPunct/>
              <w:autoSpaceDE w:val="0"/>
              <w:autoSpaceDN w:val="0"/>
              <w:bidi w:val="0"/>
              <w:adjustRightInd w:val="0"/>
              <w:snapToGrid w:val="0"/>
              <w:spacing w:line="240" w:lineRule="auto"/>
              <w:jc w:val="both"/>
              <w:rPr>
                <w:rFonts w:hint="eastAsia" w:ascii="宋体" w:eastAsia="宋体"/>
                <w:color w:val="auto"/>
                <w:sz w:val="22"/>
                <w:szCs w:val="22"/>
                <w:highlight w:val="none"/>
              </w:rPr>
            </w:pPr>
            <w:r>
              <w:rPr>
                <w:rFonts w:hint="eastAsia" w:ascii="宋体" w:eastAsia="宋体"/>
                <w:b w:val="0"/>
                <w:color w:val="auto"/>
                <w:sz w:val="22"/>
                <w:szCs w:val="22"/>
                <w:highlight w:val="none"/>
              </w:rPr>
              <w:t>验收方案</w:t>
            </w:r>
          </w:p>
        </w:tc>
      </w:tr>
      <w:tr w14:paraId="01D3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74" w:type="dxa"/>
            <w:tcBorders>
              <w:top w:val="single" w:color="auto" w:sz="4" w:space="0"/>
              <w:left w:val="single" w:color="auto" w:sz="4" w:space="0"/>
              <w:right w:val="single" w:color="auto" w:sz="4" w:space="0"/>
            </w:tcBorders>
            <w:vAlign w:val="center"/>
          </w:tcPr>
          <w:p w14:paraId="3020558D">
            <w:pPr>
              <w:pageBreakBefore w:val="0"/>
              <w:widowControl w:val="0"/>
              <w:kinsoku/>
              <w:overflowPunct/>
              <w:autoSpaceDE w:val="0"/>
              <w:autoSpaceDN w:val="0"/>
              <w:bidi w:val="0"/>
              <w:adjustRightInd w:val="0"/>
              <w:snapToGrid w:val="0"/>
              <w:spacing w:line="240" w:lineRule="auto"/>
              <w:jc w:val="center"/>
              <w:rPr>
                <w:rFonts w:hint="eastAsia" w:ascii="宋体" w:eastAsia="宋体"/>
                <w:b w:val="0"/>
                <w:bCs w:val="0"/>
                <w:color w:val="auto"/>
                <w:sz w:val="22"/>
                <w:highlight w:val="none"/>
              </w:rPr>
            </w:pPr>
            <w:r>
              <w:rPr>
                <w:rFonts w:hint="eastAsia" w:ascii="宋体" w:eastAsia="宋体"/>
                <w:b w:val="0"/>
                <w:bCs w:val="0"/>
                <w:color w:val="auto"/>
                <w:sz w:val="22"/>
                <w:highlight w:val="none"/>
              </w:rPr>
              <w:t>18</w:t>
            </w:r>
          </w:p>
        </w:tc>
        <w:tc>
          <w:tcPr>
            <w:tcW w:w="9025" w:type="dxa"/>
            <w:tcBorders>
              <w:top w:val="single" w:color="auto" w:sz="4" w:space="0"/>
              <w:left w:val="single" w:color="auto" w:sz="4" w:space="0"/>
              <w:right w:val="single" w:color="auto" w:sz="4" w:space="0"/>
            </w:tcBorders>
            <w:vAlign w:val="center"/>
          </w:tcPr>
          <w:p w14:paraId="07972126">
            <w:pPr>
              <w:pageBreakBefore w:val="0"/>
              <w:widowControl w:val="0"/>
              <w:kinsoku/>
              <w:overflowPunct/>
              <w:autoSpaceDE w:val="0"/>
              <w:autoSpaceDN w:val="0"/>
              <w:bidi w:val="0"/>
              <w:adjustRightInd w:val="0"/>
              <w:snapToGrid w:val="0"/>
              <w:spacing w:line="360" w:lineRule="auto"/>
              <w:jc w:val="both"/>
              <w:rPr>
                <w:rFonts w:hint="eastAsia" w:ascii="宋体" w:eastAsia="宋体"/>
                <w:b w:val="0"/>
                <w:bCs w:val="0"/>
                <w:color w:val="auto"/>
                <w:sz w:val="22"/>
                <w:highlight w:val="none"/>
              </w:rPr>
            </w:pPr>
            <w:r>
              <w:rPr>
                <w:rFonts w:hint="eastAsia" w:ascii="宋体" w:eastAsia="宋体"/>
                <w:b w:val="0"/>
                <w:color w:val="auto"/>
                <w:sz w:val="22"/>
                <w:szCs w:val="22"/>
                <w:highlight w:val="none"/>
              </w:rPr>
              <w:t>售后服务承诺：技术服务和售后服务的内容、措施、承诺，包括质保期、距采购人最近的服务网点的详细介绍，资质资格、技术力量、成立时间；</w:t>
            </w:r>
          </w:p>
        </w:tc>
      </w:tr>
      <w:tr w14:paraId="6452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right w:val="single" w:color="auto" w:sz="4" w:space="0"/>
            </w:tcBorders>
            <w:vAlign w:val="center"/>
          </w:tcPr>
          <w:p w14:paraId="724EFCB8">
            <w:pPr>
              <w:pageBreakBefore w:val="0"/>
              <w:widowControl w:val="0"/>
              <w:kinsoku/>
              <w:overflowPunct/>
              <w:autoSpaceDE w:val="0"/>
              <w:autoSpaceDN w:val="0"/>
              <w:bidi w:val="0"/>
              <w:adjustRightInd w:val="0"/>
              <w:snapToGrid w:val="0"/>
              <w:spacing w:line="240" w:lineRule="auto"/>
              <w:jc w:val="center"/>
              <w:rPr>
                <w:rFonts w:hint="eastAsia" w:ascii="宋体" w:eastAsia="宋体"/>
                <w:b w:val="0"/>
                <w:bCs w:val="0"/>
                <w:color w:val="auto"/>
                <w:sz w:val="22"/>
                <w:highlight w:val="none"/>
              </w:rPr>
            </w:pPr>
            <w:r>
              <w:rPr>
                <w:rFonts w:hint="eastAsia" w:ascii="宋体" w:eastAsia="宋体"/>
                <w:b w:val="0"/>
                <w:bCs w:val="0"/>
                <w:color w:val="auto"/>
                <w:sz w:val="22"/>
                <w:highlight w:val="none"/>
              </w:rPr>
              <w:t>19</w:t>
            </w:r>
          </w:p>
        </w:tc>
        <w:tc>
          <w:tcPr>
            <w:tcW w:w="9025" w:type="dxa"/>
            <w:tcBorders>
              <w:top w:val="single" w:color="auto" w:sz="4" w:space="0"/>
              <w:left w:val="single" w:color="auto" w:sz="4" w:space="0"/>
              <w:right w:val="single" w:color="auto" w:sz="4" w:space="0"/>
            </w:tcBorders>
            <w:vAlign w:val="center"/>
          </w:tcPr>
          <w:p w14:paraId="20B4042E">
            <w:pPr>
              <w:pageBreakBefore w:val="0"/>
              <w:widowControl w:val="0"/>
              <w:kinsoku/>
              <w:overflowPunct/>
              <w:autoSpaceDE w:val="0"/>
              <w:autoSpaceDN w:val="0"/>
              <w:bidi w:val="0"/>
              <w:adjustRightInd w:val="0"/>
              <w:snapToGrid w:val="0"/>
              <w:spacing w:line="240" w:lineRule="auto"/>
              <w:jc w:val="both"/>
              <w:rPr>
                <w:rFonts w:hint="eastAsia" w:ascii="宋体" w:eastAsia="宋体"/>
                <w:b w:val="0"/>
                <w:bCs w:val="0"/>
                <w:color w:val="auto"/>
                <w:sz w:val="22"/>
                <w:highlight w:val="none"/>
              </w:rPr>
            </w:pPr>
            <w:r>
              <w:rPr>
                <w:rFonts w:hint="eastAsia" w:ascii="宋体" w:eastAsia="宋体"/>
                <w:b w:val="0"/>
                <w:color w:val="auto"/>
                <w:sz w:val="22"/>
                <w:szCs w:val="22"/>
                <w:highlight w:val="none"/>
              </w:rPr>
              <w:t>根据采购文件中的采购内容与技术要求、评标细则，需要提供的其它文件和资料。</w:t>
            </w:r>
          </w:p>
        </w:tc>
      </w:tr>
      <w:tr w14:paraId="596E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74" w:type="dxa"/>
            <w:tcBorders>
              <w:top w:val="single" w:color="auto" w:sz="4" w:space="0"/>
              <w:left w:val="single" w:color="auto" w:sz="4" w:space="0"/>
              <w:right w:val="single" w:color="auto" w:sz="4" w:space="0"/>
            </w:tcBorders>
            <w:vAlign w:val="center"/>
          </w:tcPr>
          <w:p w14:paraId="7955ED0C">
            <w:pPr>
              <w:pageBreakBefore w:val="0"/>
              <w:widowControl w:val="0"/>
              <w:kinsoku/>
              <w:overflowPunct/>
              <w:autoSpaceDE w:val="0"/>
              <w:autoSpaceDN w:val="0"/>
              <w:bidi w:val="0"/>
              <w:adjustRightInd w:val="0"/>
              <w:snapToGrid w:val="0"/>
              <w:spacing w:line="240" w:lineRule="auto"/>
              <w:jc w:val="center"/>
              <w:rPr>
                <w:rFonts w:hint="eastAsia" w:ascii="宋体" w:eastAsia="宋体"/>
                <w:b w:val="0"/>
                <w:bCs w:val="0"/>
                <w:color w:val="auto"/>
                <w:sz w:val="22"/>
                <w:highlight w:val="none"/>
              </w:rPr>
            </w:pPr>
            <w:r>
              <w:rPr>
                <w:rFonts w:hint="eastAsia" w:ascii="宋体" w:eastAsia="宋体"/>
                <w:b w:val="0"/>
                <w:bCs w:val="0"/>
                <w:color w:val="auto"/>
                <w:sz w:val="22"/>
                <w:highlight w:val="none"/>
              </w:rPr>
              <w:t>20</w:t>
            </w:r>
          </w:p>
        </w:tc>
        <w:tc>
          <w:tcPr>
            <w:tcW w:w="9025" w:type="dxa"/>
            <w:tcBorders>
              <w:top w:val="single" w:color="auto" w:sz="4" w:space="0"/>
              <w:left w:val="single" w:color="auto" w:sz="4" w:space="0"/>
              <w:right w:val="single" w:color="auto" w:sz="4" w:space="0"/>
            </w:tcBorders>
            <w:vAlign w:val="center"/>
          </w:tcPr>
          <w:p w14:paraId="66FEC565">
            <w:pPr>
              <w:pageBreakBefore w:val="0"/>
              <w:widowControl w:val="0"/>
              <w:kinsoku/>
              <w:overflowPunct/>
              <w:autoSpaceDE w:val="0"/>
              <w:autoSpaceDN w:val="0"/>
              <w:bidi w:val="0"/>
              <w:adjustRightInd w:val="0"/>
              <w:snapToGrid w:val="0"/>
              <w:spacing w:line="240" w:lineRule="auto"/>
              <w:jc w:val="both"/>
              <w:rPr>
                <w:rFonts w:hint="eastAsia" w:ascii="宋体" w:eastAsia="宋体"/>
                <w:b w:val="0"/>
                <w:bCs w:val="0"/>
                <w:color w:val="auto"/>
                <w:sz w:val="22"/>
                <w:highlight w:val="none"/>
              </w:rPr>
            </w:pPr>
            <w:r>
              <w:rPr>
                <w:rFonts w:hint="eastAsia" w:ascii="宋体" w:eastAsia="宋体"/>
                <w:b w:val="0"/>
                <w:color w:val="auto"/>
                <w:sz w:val="22"/>
                <w:szCs w:val="22"/>
                <w:highlight w:val="none"/>
              </w:rPr>
              <w:t>供应商针对评分细则，编制目录索引，注明评标细则项目所在投标文件页码。</w:t>
            </w:r>
          </w:p>
        </w:tc>
      </w:tr>
    </w:tbl>
    <w:p w14:paraId="4A729E80">
      <w:pPr>
        <w:pageBreakBefore w:val="0"/>
        <w:widowControl w:val="0"/>
        <w:kinsoku/>
        <w:overflowPunct/>
        <w:autoSpaceDE w:val="0"/>
        <w:autoSpaceDN w:val="0"/>
        <w:bidi w:val="0"/>
        <w:adjustRightInd w:val="0"/>
        <w:snapToGrid w:val="0"/>
        <w:spacing w:line="360" w:lineRule="auto"/>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3、采购内容填写说明</w:t>
      </w:r>
    </w:p>
    <w:p w14:paraId="362A273F">
      <w:pPr>
        <w:pageBreakBefore w:val="0"/>
        <w:widowControl w:val="0"/>
        <w:kinsoku/>
        <w:overflowPunct/>
        <w:autoSpaceDE w:val="0"/>
        <w:autoSpaceDN w:val="0"/>
        <w:bidi w:val="0"/>
        <w:adjustRightInd w:val="0"/>
        <w:snapToGrid w:val="0"/>
        <w:spacing w:line="360" w:lineRule="auto"/>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3.1、磋商响应文件格式</w:t>
      </w:r>
    </w:p>
    <w:p w14:paraId="14D8CC1C">
      <w:pPr>
        <w:pageBreakBefore w:val="0"/>
        <w:widowControl w:val="0"/>
        <w:kinsoku/>
        <w:overflowPunct/>
        <w:autoSpaceDE w:val="0"/>
        <w:autoSpaceDN w:val="0"/>
        <w:bidi w:val="0"/>
        <w:adjustRightInd w:val="0"/>
        <w:snapToGrid w:val="0"/>
        <w:spacing w:line="360" w:lineRule="auto"/>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供应商应按照本文件第三部分第三条第2款所列出的内容及格式</w:t>
      </w:r>
      <w:r>
        <w:rPr>
          <w:rFonts w:hint="eastAsia" w:ascii="宋体" w:eastAsia="宋体"/>
          <w:b w:val="0"/>
          <w:bCs w:val="0"/>
          <w:color w:val="auto"/>
          <w:sz w:val="22"/>
          <w:szCs w:val="22"/>
          <w:highlight w:val="none"/>
          <w:u w:val="thick"/>
        </w:rPr>
        <w:t>逐一按顺序</w:t>
      </w:r>
      <w:r>
        <w:rPr>
          <w:rFonts w:hint="eastAsia" w:ascii="宋体" w:eastAsia="宋体"/>
          <w:b w:val="0"/>
          <w:bCs w:val="0"/>
          <w:color w:val="auto"/>
          <w:sz w:val="22"/>
          <w:szCs w:val="22"/>
          <w:highlight w:val="none"/>
        </w:rPr>
        <w:t>组成磋商响应文件。</w:t>
      </w:r>
    </w:p>
    <w:p w14:paraId="174D79D5">
      <w:pPr>
        <w:pageBreakBefore w:val="0"/>
        <w:widowControl w:val="0"/>
        <w:kinsoku/>
        <w:overflowPunct/>
        <w:autoSpaceDE w:val="0"/>
        <w:autoSpaceDN w:val="0"/>
        <w:bidi w:val="0"/>
        <w:adjustRightInd w:val="0"/>
        <w:snapToGrid w:val="0"/>
        <w:spacing w:line="360" w:lineRule="auto"/>
        <w:ind w:firstLine="450"/>
        <w:textAlignment w:val="bottom"/>
        <w:rPr>
          <w:rFonts w:hint="eastAsia" w:ascii="宋体" w:eastAsia="宋体"/>
          <w:b w:val="0"/>
          <w:bCs w:val="0"/>
          <w:color w:val="auto"/>
          <w:sz w:val="22"/>
          <w:szCs w:val="22"/>
          <w:highlight w:val="none"/>
        </w:rPr>
      </w:pPr>
      <w:bookmarkStart w:id="18" w:name="_Toc132122115"/>
      <w:bookmarkStart w:id="19" w:name="_Toc132122412"/>
      <w:r>
        <w:rPr>
          <w:rFonts w:hint="eastAsia" w:ascii="宋体" w:eastAsia="宋体"/>
          <w:b w:val="0"/>
          <w:bCs w:val="0"/>
          <w:color w:val="auto"/>
          <w:sz w:val="22"/>
          <w:szCs w:val="22"/>
          <w:highlight w:val="none"/>
        </w:rPr>
        <w:t>4、报价</w:t>
      </w:r>
      <w:bookmarkEnd w:id="18"/>
      <w:bookmarkEnd w:id="19"/>
    </w:p>
    <w:p w14:paraId="10F25A45">
      <w:pPr>
        <w:pageBreakBefore w:val="0"/>
        <w:widowControl w:val="0"/>
        <w:kinsoku/>
        <w:overflowPunct/>
        <w:autoSpaceDE w:val="0"/>
        <w:autoSpaceDN w:val="0"/>
        <w:bidi w:val="0"/>
        <w:adjustRightInd w:val="0"/>
        <w:snapToGrid w:val="0"/>
        <w:spacing w:line="360" w:lineRule="auto"/>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4.1、供应商应按磋商文件中《开标一览表》填写投标总价。</w:t>
      </w:r>
    </w:p>
    <w:p w14:paraId="4B8A4D5C">
      <w:pPr>
        <w:pageBreakBefore w:val="0"/>
        <w:widowControl w:val="0"/>
        <w:kinsoku/>
        <w:overflowPunct/>
        <w:autoSpaceDE w:val="0"/>
        <w:autoSpaceDN w:val="0"/>
        <w:bidi w:val="0"/>
        <w:adjustRightInd w:val="0"/>
        <w:snapToGrid w:val="0"/>
        <w:spacing w:line="360" w:lineRule="auto"/>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4.2、投标报价应为完成本项目全部工作所发生的所有费用（磋商文件另有说明的除外），并承担一切风险责任。</w:t>
      </w:r>
    </w:p>
    <w:p w14:paraId="7B00B706">
      <w:pPr>
        <w:pageBreakBefore w:val="0"/>
        <w:widowControl w:val="0"/>
        <w:kinsoku/>
        <w:overflowPunct/>
        <w:autoSpaceDE w:val="0"/>
        <w:autoSpaceDN w:val="0"/>
        <w:bidi w:val="0"/>
        <w:adjustRightInd w:val="0"/>
        <w:snapToGrid w:val="0"/>
        <w:spacing w:line="360" w:lineRule="auto"/>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4.3、供应商投标报价中应充分考虑所有可能发生的费用，否则采购人将视其总价中已包括所有费用。</w:t>
      </w:r>
    </w:p>
    <w:p w14:paraId="6012D508">
      <w:pPr>
        <w:pageBreakBefore w:val="0"/>
        <w:widowControl w:val="0"/>
        <w:kinsoku/>
        <w:overflowPunct/>
        <w:autoSpaceDE w:val="0"/>
        <w:autoSpaceDN w:val="0"/>
        <w:bidi w:val="0"/>
        <w:adjustRightInd w:val="0"/>
        <w:snapToGrid w:val="0"/>
        <w:spacing w:line="360" w:lineRule="auto"/>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供应商对在合同执行中，除上述费用及磋商文件规定的由成交供应商负责的工作范围以外需要采购人协调或提供便利的工作应当在磋商响应文件中说明。</w:t>
      </w:r>
    </w:p>
    <w:p w14:paraId="269198D3">
      <w:pPr>
        <w:pageBreakBefore w:val="0"/>
        <w:widowControl w:val="0"/>
        <w:kinsoku/>
        <w:overflowPunct/>
        <w:autoSpaceDE w:val="0"/>
        <w:autoSpaceDN w:val="0"/>
        <w:bidi w:val="0"/>
        <w:adjustRightInd w:val="0"/>
        <w:snapToGrid w:val="0"/>
        <w:spacing w:line="360" w:lineRule="auto"/>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填写报价表格时，各项费用应如实填写。</w:t>
      </w:r>
    </w:p>
    <w:p w14:paraId="16317AFD">
      <w:pPr>
        <w:pageBreakBefore w:val="0"/>
        <w:widowControl w:val="0"/>
        <w:kinsoku/>
        <w:overflowPunct/>
        <w:autoSpaceDE w:val="0"/>
        <w:autoSpaceDN w:val="0"/>
        <w:bidi w:val="0"/>
        <w:adjustRightInd w:val="0"/>
        <w:snapToGrid w:val="0"/>
        <w:spacing w:line="360" w:lineRule="auto"/>
        <w:ind w:firstLine="440" w:firstLineChars="200"/>
        <w:rPr>
          <w:rFonts w:hint="eastAsia" w:ascii="宋体" w:eastAsia="宋体"/>
          <w:b w:val="0"/>
          <w:bCs w:val="0"/>
          <w:color w:val="auto"/>
          <w:sz w:val="22"/>
          <w:szCs w:val="22"/>
          <w:highlight w:val="none"/>
          <w:lang w:val="zh-CN"/>
        </w:rPr>
      </w:pPr>
      <w:r>
        <w:rPr>
          <w:rFonts w:hint="eastAsia" w:ascii="宋体" w:eastAsia="宋体"/>
          <w:b w:val="0"/>
          <w:bCs w:val="0"/>
          <w:color w:val="auto"/>
          <w:sz w:val="22"/>
          <w:szCs w:val="22"/>
          <w:highlight w:val="none"/>
        </w:rPr>
        <w:t>5、采购人要求分类报价是为了方便评审，但在任何情况下不限制采购人以其认为最合适的条款签订合同的权利。</w:t>
      </w:r>
    </w:p>
    <w:p w14:paraId="40A0531B">
      <w:pPr>
        <w:pageBreakBefore w:val="0"/>
        <w:widowControl w:val="0"/>
        <w:kinsoku/>
        <w:overflowPunct/>
        <w:autoSpaceDE w:val="0"/>
        <w:autoSpaceDN w:val="0"/>
        <w:bidi w:val="0"/>
        <w:adjustRightInd w:val="0"/>
        <w:snapToGrid w:val="0"/>
        <w:spacing w:line="360" w:lineRule="auto"/>
        <w:ind w:firstLine="450"/>
        <w:textAlignment w:val="bottom"/>
        <w:rPr>
          <w:rFonts w:hint="eastAsia" w:ascii="宋体" w:eastAsia="宋体"/>
          <w:b w:val="0"/>
          <w:bCs w:val="0"/>
          <w:color w:val="auto"/>
          <w:sz w:val="22"/>
          <w:szCs w:val="22"/>
          <w:highlight w:val="none"/>
        </w:rPr>
      </w:pPr>
      <w:bookmarkStart w:id="20" w:name="_Toc132122413"/>
      <w:bookmarkStart w:id="21" w:name="_Toc132122116"/>
      <w:r>
        <w:rPr>
          <w:rFonts w:hint="eastAsia" w:ascii="宋体" w:eastAsia="宋体"/>
          <w:b w:val="0"/>
          <w:bCs w:val="0"/>
          <w:color w:val="auto"/>
          <w:sz w:val="22"/>
          <w:szCs w:val="22"/>
          <w:highlight w:val="none"/>
        </w:rPr>
        <w:t>6、保证金</w:t>
      </w:r>
      <w:bookmarkEnd w:id="20"/>
      <w:bookmarkEnd w:id="21"/>
    </w:p>
    <w:p w14:paraId="7C4C9B62">
      <w:pPr>
        <w:pageBreakBefore w:val="0"/>
        <w:widowControl w:val="0"/>
        <w:kinsoku/>
        <w:overflowPunct/>
        <w:autoSpaceDE w:val="0"/>
        <w:autoSpaceDN w:val="0"/>
        <w:bidi w:val="0"/>
        <w:adjustRightInd w:val="0"/>
        <w:snapToGrid w:val="0"/>
        <w:spacing w:line="360" w:lineRule="auto"/>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无</w:t>
      </w:r>
    </w:p>
    <w:p w14:paraId="03D91E6B">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bookmarkStart w:id="22" w:name="_Toc132122414"/>
      <w:bookmarkStart w:id="23" w:name="_Toc132122117"/>
      <w:r>
        <w:rPr>
          <w:rFonts w:hint="eastAsia" w:hAnsi="宋体" w:eastAsia="宋体"/>
          <w:b w:val="0"/>
          <w:bCs w:val="0"/>
          <w:color w:val="auto"/>
          <w:sz w:val="22"/>
          <w:szCs w:val="22"/>
          <w:highlight w:val="none"/>
        </w:rPr>
        <w:t>7、磋商响应文件的有效期</w:t>
      </w:r>
      <w:bookmarkEnd w:id="22"/>
      <w:bookmarkEnd w:id="23"/>
    </w:p>
    <w:p w14:paraId="1B67DEF1">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7.1、自响应文件递交截止时间起90天内，磋商响应文件应保持有效。有效期短于这个规定期限的磋商响应文件将被拒绝。</w:t>
      </w:r>
    </w:p>
    <w:p w14:paraId="55B13929">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7.2、在特殊情况下，采购人可与供应商协商延长磋商响应文件的有效期，这种要求和答复均应以书面形式进行。</w:t>
      </w:r>
    </w:p>
    <w:p w14:paraId="5255EC3F">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7.3、供应商可拒绝接受延期要求，同意延长有效期的供应商不能修改磋商响应文件。</w:t>
      </w:r>
    </w:p>
    <w:p w14:paraId="089132E8">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bookmarkStart w:id="24" w:name="_Toc132122415"/>
      <w:bookmarkStart w:id="25" w:name="_Toc132122118"/>
      <w:r>
        <w:rPr>
          <w:rFonts w:hint="eastAsia" w:hAnsi="宋体" w:eastAsia="宋体"/>
          <w:b w:val="0"/>
          <w:bCs w:val="0"/>
          <w:color w:val="auto"/>
          <w:sz w:val="22"/>
          <w:szCs w:val="22"/>
          <w:highlight w:val="none"/>
        </w:rPr>
        <w:t>8、磋商响应文件的</w:t>
      </w:r>
      <w:bookmarkEnd w:id="24"/>
      <w:bookmarkEnd w:id="25"/>
      <w:r>
        <w:rPr>
          <w:rFonts w:hint="eastAsia" w:hAnsi="宋体" w:eastAsia="宋体"/>
          <w:b w:val="0"/>
          <w:bCs w:val="0"/>
          <w:color w:val="auto"/>
          <w:sz w:val="22"/>
          <w:szCs w:val="22"/>
          <w:highlight w:val="none"/>
        </w:rPr>
        <w:t>编制</w:t>
      </w:r>
    </w:p>
    <w:p w14:paraId="4A72FCC8">
      <w:pPr>
        <w:pageBreakBefore w:val="0"/>
        <w:widowControl w:val="0"/>
        <w:kinsoku/>
        <w:overflowPunct/>
        <w:autoSpaceDE w:val="0"/>
        <w:autoSpaceDN w:val="0"/>
        <w:bidi w:val="0"/>
        <w:adjustRightInd w:val="0"/>
        <w:snapToGrid w:val="0"/>
        <w:spacing w:line="360" w:lineRule="auto"/>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8.1、本项目通过“政府采购云平台（www.zcygov.cn）”实行在线投标响应（电子投标）。供应商应通过“政采云电子交易客户端”，并按照本磋商文件和“政府采购云平台”的要求编制并加密磋商响应文件。</w:t>
      </w:r>
    </w:p>
    <w:p w14:paraId="01131A27">
      <w:pPr>
        <w:pageBreakBefore w:val="0"/>
        <w:widowControl w:val="0"/>
        <w:kinsoku/>
        <w:overflowPunct/>
        <w:autoSpaceDE w:val="0"/>
        <w:autoSpaceDN w:val="0"/>
        <w:bidi w:val="0"/>
        <w:adjustRightInd w:val="0"/>
        <w:snapToGrid w:val="0"/>
        <w:spacing w:line="360" w:lineRule="auto"/>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8.2、投标供应商应当按照本章节“磋商响应文件组成”规定的内容及顺序在“政采云电子交易客户端”编制磋商响应文件。</w:t>
      </w:r>
    </w:p>
    <w:p w14:paraId="356F64CB">
      <w:pPr>
        <w:pageBreakBefore w:val="0"/>
        <w:widowControl w:val="0"/>
        <w:kinsoku/>
        <w:overflowPunct/>
        <w:autoSpaceDE w:val="0"/>
        <w:autoSpaceDN w:val="0"/>
        <w:bidi w:val="0"/>
        <w:adjustRightInd w:val="0"/>
        <w:snapToGrid w:val="0"/>
        <w:spacing w:line="360" w:lineRule="auto"/>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8.3、本文件《第七部分 磋商响应文件格式》中有提供格式的，投标供应商参照格式进行编制（格式中要求提供相关证明材料的还需后附相关证明材料），并在指定位置根据要求进行签章，否则视为未提供；本文件《第七部分 磋商响应文件格式》未提供格式的，请各投标单位自行拟定格式。</w:t>
      </w:r>
    </w:p>
    <w:p w14:paraId="5DD2972D">
      <w:pPr>
        <w:pageBreakBefore w:val="0"/>
        <w:widowControl w:val="0"/>
        <w:kinsoku/>
        <w:overflowPunct/>
        <w:autoSpaceDE w:val="0"/>
        <w:autoSpaceDN w:val="0"/>
        <w:bidi w:val="0"/>
        <w:adjustRightInd w:val="0"/>
        <w:snapToGrid w:val="0"/>
        <w:spacing w:line="360" w:lineRule="auto"/>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8.4、《磋商响应文件》内容不完整、编排混乱导致《磋商响应文件》被误读、漏读或者查找不到相关内容的，相关责任由投标供应商自负。</w:t>
      </w:r>
    </w:p>
    <w:p w14:paraId="0CD2DB66">
      <w:pPr>
        <w:pageBreakBefore w:val="0"/>
        <w:widowControl w:val="0"/>
        <w:kinsoku/>
        <w:overflowPunct/>
        <w:autoSpaceDE w:val="0"/>
        <w:autoSpaceDN w:val="0"/>
        <w:bidi w:val="0"/>
        <w:adjustRightInd w:val="0"/>
        <w:snapToGrid w:val="0"/>
        <w:spacing w:line="360" w:lineRule="auto"/>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8.5、《磋商响应文件》因字迹潦草或表达不清所引起的后果由投标供应商负责。</w:t>
      </w:r>
    </w:p>
    <w:p w14:paraId="0BACDD41">
      <w:pPr>
        <w:pageBreakBefore w:val="0"/>
        <w:widowControl w:val="0"/>
        <w:kinsoku/>
        <w:overflowPunct/>
        <w:autoSpaceDE w:val="0"/>
        <w:autoSpaceDN w:val="0"/>
        <w:bidi w:val="0"/>
        <w:adjustRightInd w:val="0"/>
        <w:snapToGrid w:val="0"/>
        <w:spacing w:line="360" w:lineRule="auto"/>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8.6、投标供应商没有按照本章节“磋商响应文件组成”要求提供全部资料，或者没有仔细阅读磋商文件，或者没有对磋商文件在各方面的要求作出实质性响应，由此造成的一切后果由投标供应商自行承担。</w:t>
      </w:r>
    </w:p>
    <w:p w14:paraId="4EE06CEF">
      <w:pPr>
        <w:pStyle w:val="12"/>
        <w:pageBreakBefore w:val="0"/>
        <w:widowControl w:val="0"/>
        <w:kinsoku/>
        <w:overflowPunct/>
        <w:bidi w:val="0"/>
        <w:adjustRightInd w:val="0"/>
        <w:snapToGrid w:val="0"/>
        <w:spacing w:line="360" w:lineRule="auto"/>
        <w:ind w:firstLine="422"/>
        <w:rPr>
          <w:rFonts w:hint="eastAsia" w:hAnsi="宋体" w:eastAsia="宋体"/>
          <w:color w:val="auto"/>
          <w:sz w:val="22"/>
          <w:szCs w:val="22"/>
          <w:highlight w:val="none"/>
        </w:rPr>
      </w:pPr>
      <w:r>
        <w:rPr>
          <w:rFonts w:hint="eastAsia" w:hAnsi="宋体" w:eastAsia="宋体"/>
          <w:color w:val="auto"/>
          <w:sz w:val="22"/>
          <w:szCs w:val="22"/>
          <w:highlight w:val="none"/>
        </w:rPr>
        <w:t>9、磋商响应文件的签章</w:t>
      </w:r>
    </w:p>
    <w:p w14:paraId="4D475CDF">
      <w:pPr>
        <w:pageBreakBefore w:val="0"/>
        <w:widowControl w:val="0"/>
        <w:kinsoku/>
        <w:overflowPunct/>
        <w:autoSpaceDE w:val="0"/>
        <w:autoSpaceDN w:val="0"/>
        <w:bidi w:val="0"/>
        <w:adjustRightInd w:val="0"/>
        <w:snapToGrid w:val="0"/>
        <w:spacing w:line="360" w:lineRule="auto"/>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9.1、《磋商响应文件》的签章：见《第一部分    磋商邀请函（供应商须知前附表）》；</w:t>
      </w:r>
    </w:p>
    <w:p w14:paraId="4618531A">
      <w:pPr>
        <w:pageBreakBefore w:val="0"/>
        <w:widowControl w:val="0"/>
        <w:kinsoku/>
        <w:overflowPunct/>
        <w:autoSpaceDE w:val="0"/>
        <w:autoSpaceDN w:val="0"/>
        <w:bidi w:val="0"/>
        <w:adjustRightInd w:val="0"/>
        <w:snapToGrid w:val="0"/>
        <w:spacing w:line="360" w:lineRule="auto"/>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9.2、《磋商响应文件》：根据磋商文件要求在磋商响应文件相应位置由投标供应商法定代表人或授权代表签字（或盖章），需要加盖投标供应商公章的采用CA电子签章。</w:t>
      </w:r>
    </w:p>
    <w:p w14:paraId="278FBEB5">
      <w:pPr>
        <w:pageBreakBefore w:val="0"/>
        <w:widowControl w:val="0"/>
        <w:kinsoku/>
        <w:overflowPunct/>
        <w:autoSpaceDE w:val="0"/>
        <w:autoSpaceDN w:val="0"/>
        <w:bidi w:val="0"/>
        <w:adjustRightInd w:val="0"/>
        <w:snapToGrid w:val="0"/>
        <w:spacing w:line="360" w:lineRule="auto"/>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9.3、CA电子签章操作指南详见《供应商</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政府采购项目电子交易操作指南》（https://help.zcygov.cn/web/site_2/2018/12-28/2573.html）。</w:t>
      </w:r>
    </w:p>
    <w:p w14:paraId="78601CD1">
      <w:pPr>
        <w:pStyle w:val="12"/>
        <w:pageBreakBefore w:val="0"/>
        <w:widowControl w:val="0"/>
        <w:kinsoku/>
        <w:overflowPunct/>
        <w:bidi w:val="0"/>
        <w:adjustRightInd w:val="0"/>
        <w:snapToGrid w:val="0"/>
        <w:spacing w:line="360" w:lineRule="auto"/>
        <w:ind w:firstLine="422"/>
        <w:rPr>
          <w:rFonts w:hint="eastAsia" w:hAnsi="宋体" w:eastAsia="宋体"/>
          <w:color w:val="auto"/>
          <w:sz w:val="22"/>
          <w:szCs w:val="22"/>
          <w:highlight w:val="none"/>
        </w:rPr>
      </w:pPr>
      <w:r>
        <w:rPr>
          <w:rFonts w:hint="eastAsia" w:hAnsi="宋体" w:eastAsia="宋体"/>
          <w:color w:val="auto"/>
          <w:sz w:val="22"/>
          <w:szCs w:val="22"/>
          <w:highlight w:val="none"/>
        </w:rPr>
        <w:t>10、磋商响应文件的形式</w:t>
      </w:r>
    </w:p>
    <w:p w14:paraId="706B2887">
      <w:pPr>
        <w:pStyle w:val="12"/>
        <w:pageBreakBefore w:val="0"/>
        <w:widowControl w:val="0"/>
        <w:kinsoku/>
        <w:overflowPunct/>
        <w:bidi w:val="0"/>
        <w:adjustRightInd w:val="0"/>
        <w:snapToGrid w:val="0"/>
        <w:spacing w:line="360" w:lineRule="auto"/>
        <w:ind w:firstLine="422"/>
        <w:rPr>
          <w:rFonts w:hint="eastAsia" w:hAnsi="宋体" w:eastAsia="宋体"/>
          <w:color w:val="auto"/>
          <w:sz w:val="22"/>
          <w:szCs w:val="22"/>
          <w:highlight w:val="none"/>
        </w:rPr>
      </w:pPr>
      <w:r>
        <w:rPr>
          <w:rFonts w:hint="eastAsia" w:hAnsi="宋体" w:eastAsia="宋体"/>
          <w:color w:val="auto"/>
          <w:sz w:val="22"/>
          <w:szCs w:val="22"/>
          <w:highlight w:val="none"/>
        </w:rPr>
        <w:t>10.1、磋商响应文件的形式：见《第一部分    磋商邀请函（供应商须知前附表）》；</w:t>
      </w:r>
    </w:p>
    <w:p w14:paraId="58AF1DAC">
      <w:pPr>
        <w:pStyle w:val="12"/>
        <w:pageBreakBefore w:val="0"/>
        <w:widowControl w:val="0"/>
        <w:kinsoku/>
        <w:overflowPunct/>
        <w:bidi w:val="0"/>
        <w:adjustRightInd w:val="0"/>
        <w:snapToGrid w:val="0"/>
        <w:spacing w:line="360" w:lineRule="auto"/>
        <w:ind w:firstLine="422"/>
        <w:rPr>
          <w:rFonts w:hint="eastAsia" w:hAnsi="宋体" w:eastAsia="宋体"/>
          <w:color w:val="auto"/>
          <w:sz w:val="22"/>
          <w:szCs w:val="22"/>
          <w:highlight w:val="none"/>
        </w:rPr>
      </w:pPr>
      <w:r>
        <w:rPr>
          <w:rFonts w:hint="eastAsia" w:hAnsi="宋体" w:eastAsia="宋体"/>
          <w:color w:val="auto"/>
          <w:sz w:val="22"/>
          <w:szCs w:val="22"/>
          <w:highlight w:val="none"/>
        </w:rPr>
        <w:t>10.2、“电子加密磋商响应文件”：“电子加密磋商响应文件”是指通过“政采云电子交易客户端”完成磋商响应文件编制后生成并加密的数据电文形式的磋商响应文件。</w:t>
      </w:r>
    </w:p>
    <w:p w14:paraId="1F5BA761">
      <w:pPr>
        <w:pStyle w:val="12"/>
        <w:pageBreakBefore w:val="0"/>
        <w:widowControl w:val="0"/>
        <w:kinsoku/>
        <w:overflowPunct/>
        <w:bidi w:val="0"/>
        <w:adjustRightInd w:val="0"/>
        <w:snapToGrid w:val="0"/>
        <w:spacing w:line="360" w:lineRule="auto"/>
        <w:ind w:firstLine="422"/>
        <w:rPr>
          <w:rFonts w:hint="eastAsia" w:hAnsi="宋体" w:eastAsia="宋体"/>
          <w:color w:val="auto"/>
          <w:sz w:val="22"/>
          <w:szCs w:val="22"/>
          <w:highlight w:val="none"/>
        </w:rPr>
      </w:pPr>
      <w:r>
        <w:rPr>
          <w:rFonts w:hint="eastAsia" w:hAnsi="宋体" w:eastAsia="宋体"/>
          <w:color w:val="auto"/>
          <w:sz w:val="22"/>
          <w:szCs w:val="22"/>
          <w:highlight w:val="none"/>
        </w:rPr>
        <w:t>10.3磋商响应文件的份数</w:t>
      </w:r>
    </w:p>
    <w:p w14:paraId="63EE9DE7">
      <w:pPr>
        <w:pStyle w:val="12"/>
        <w:pageBreakBefore w:val="0"/>
        <w:widowControl w:val="0"/>
        <w:kinsoku/>
        <w:overflowPunct/>
        <w:bidi w:val="0"/>
        <w:adjustRightInd w:val="0"/>
        <w:snapToGrid w:val="0"/>
        <w:spacing w:line="360" w:lineRule="auto"/>
        <w:ind w:firstLine="422"/>
        <w:rPr>
          <w:rFonts w:hint="eastAsia" w:hAnsi="宋体" w:eastAsia="宋体"/>
          <w:color w:val="auto"/>
          <w:sz w:val="22"/>
          <w:szCs w:val="22"/>
          <w:highlight w:val="none"/>
        </w:rPr>
      </w:pPr>
      <w:r>
        <w:rPr>
          <w:rFonts w:hint="eastAsia" w:hAnsi="宋体" w:eastAsia="宋体"/>
          <w:color w:val="auto"/>
          <w:sz w:val="22"/>
          <w:szCs w:val="22"/>
          <w:highlight w:val="none"/>
        </w:rPr>
        <w:t>磋商响应文件的份数：见《第一部分    磋商邀请函（供应商须知前附表）》。</w:t>
      </w:r>
    </w:p>
    <w:p w14:paraId="49F6227C">
      <w:pPr>
        <w:pageBreakBefore w:val="0"/>
        <w:widowControl w:val="0"/>
        <w:kinsoku/>
        <w:overflowPunct/>
        <w:bidi w:val="0"/>
        <w:snapToGrid w:val="0"/>
        <w:spacing w:line="360" w:lineRule="auto"/>
        <w:outlineLvl w:val="1"/>
        <w:rPr>
          <w:rFonts w:hint="eastAsia" w:ascii="宋体" w:eastAsia="宋体"/>
          <w:b w:val="0"/>
          <w:bCs w:val="0"/>
          <w:color w:val="auto"/>
          <w:sz w:val="22"/>
          <w:szCs w:val="22"/>
          <w:highlight w:val="none"/>
        </w:rPr>
      </w:pPr>
      <w:bookmarkStart w:id="26" w:name="_Toc132123838"/>
      <w:bookmarkStart w:id="27" w:name="_Toc132655776"/>
      <w:bookmarkStart w:id="28" w:name="_Toc132122119"/>
      <w:bookmarkStart w:id="29" w:name="_Toc132125983"/>
      <w:bookmarkStart w:id="30" w:name="_Toc132125095"/>
      <w:bookmarkStart w:id="31" w:name="_Toc132125151"/>
      <w:bookmarkStart w:id="32" w:name="_Toc132125574"/>
      <w:bookmarkStart w:id="33" w:name="_Toc132122416"/>
      <w:bookmarkStart w:id="34" w:name="_Toc132123634"/>
      <w:bookmarkStart w:id="35" w:name="_Toc132123439"/>
      <w:bookmarkStart w:id="36" w:name="_Toc32068"/>
      <w:bookmarkStart w:id="37" w:name="_Toc132123547"/>
      <w:bookmarkStart w:id="38" w:name="_Toc132123881"/>
      <w:bookmarkStart w:id="39" w:name="_Toc132125037"/>
      <w:bookmarkStart w:id="40" w:name="_Toc132124594"/>
      <w:bookmarkStart w:id="41" w:name="_Toc132126154"/>
      <w:r>
        <w:rPr>
          <w:rFonts w:hint="eastAsia" w:ascii="宋体" w:eastAsia="宋体"/>
          <w:b w:val="0"/>
          <w:bCs w:val="0"/>
          <w:color w:val="auto"/>
          <w:sz w:val="22"/>
          <w:szCs w:val="22"/>
          <w:highlight w:val="none"/>
        </w:rPr>
        <w:t>四、磋商响应文件递交</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6A7465D">
      <w:pPr>
        <w:pageBreakBefore w:val="0"/>
        <w:widowControl w:val="0"/>
        <w:kinsoku/>
        <w:overflowPunct/>
        <w:bidi w:val="0"/>
        <w:snapToGrid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rPr>
        <w:t>1、磋商响应文件的上传和递交</w:t>
      </w:r>
    </w:p>
    <w:p w14:paraId="1C7A5B0A">
      <w:pPr>
        <w:pageBreakBefore w:val="0"/>
        <w:widowControl w:val="0"/>
        <w:kinsoku/>
        <w:overflowPunct/>
        <w:bidi w:val="0"/>
        <w:snapToGrid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rPr>
        <w:t>“磋商响应文件”的上传、递交：见《第一部分    磋商邀请函（供应商须知前附表）》。</w:t>
      </w:r>
    </w:p>
    <w:p w14:paraId="38AA6D88">
      <w:pPr>
        <w:pageBreakBefore w:val="0"/>
        <w:widowControl w:val="0"/>
        <w:kinsoku/>
        <w:overflowPunct/>
        <w:bidi w:val="0"/>
        <w:snapToGrid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rPr>
        <w:t>2、“电子加密磋商响应文件”解密和异常情况处理</w:t>
      </w:r>
    </w:p>
    <w:p w14:paraId="18839A23">
      <w:pPr>
        <w:pageBreakBefore w:val="0"/>
        <w:widowControl w:val="0"/>
        <w:kinsoku/>
        <w:overflowPunct/>
        <w:bidi w:val="0"/>
        <w:snapToGrid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rPr>
        <w:t>“电子加密磋商响应文件”解密：见《第一部分    磋商邀请函（供应商须知前附表）》。</w:t>
      </w:r>
    </w:p>
    <w:p w14:paraId="733EFB9E">
      <w:pPr>
        <w:pageBreakBefore w:val="0"/>
        <w:widowControl w:val="0"/>
        <w:tabs>
          <w:tab w:val="center" w:pos="4810"/>
        </w:tabs>
        <w:kinsoku/>
        <w:overflowPunct/>
        <w:bidi w:val="0"/>
        <w:snapToGrid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rPr>
        <w:t>3、磋商响应文件的补充、修改或撤回</w:t>
      </w:r>
      <w:r>
        <w:rPr>
          <w:rFonts w:hint="eastAsia" w:ascii="宋体" w:eastAsia="宋体"/>
          <w:color w:val="auto"/>
          <w:sz w:val="22"/>
          <w:szCs w:val="22"/>
          <w:highlight w:val="none"/>
        </w:rPr>
        <w:tab/>
      </w:r>
    </w:p>
    <w:p w14:paraId="6CE6F56E">
      <w:pPr>
        <w:pageBreakBefore w:val="0"/>
        <w:widowControl w:val="0"/>
        <w:kinsoku/>
        <w:overflowPunct/>
        <w:bidi w:val="0"/>
        <w:snapToGrid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rPr>
        <w:t>3.1、供应商应当在响应文件递交截止时间前完成磋商响应文件的上传、递交，并可以补充、修改或者撤回磋商响应文件。补充或者修改磋商响应文件的，应当先行撤回原文件，补充、修改后重新上传、递交。响应文件递交截止时间前未完成上传、递交的，视为撤回磋商响应文件。响应文件递交截止时间后递交的磋商响应文件，“政府采购云平台”将予以拒收。</w:t>
      </w:r>
    </w:p>
    <w:p w14:paraId="145A34C9">
      <w:pPr>
        <w:pageBreakBefore w:val="0"/>
        <w:widowControl w:val="0"/>
        <w:kinsoku/>
        <w:overflowPunct/>
        <w:bidi w:val="0"/>
        <w:snapToGrid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rPr>
        <w:t>3.2、响应文件递交截止时间后，投标供应商不得撤回、修改《磋商响应文件》。</w:t>
      </w:r>
    </w:p>
    <w:p w14:paraId="75E4882C">
      <w:pPr>
        <w:pageBreakBefore w:val="0"/>
        <w:widowControl w:val="0"/>
        <w:kinsoku/>
        <w:overflowPunct/>
        <w:bidi w:val="0"/>
        <w:snapToGrid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rPr>
        <w:t>4、磋商响应文件的备选方案</w:t>
      </w:r>
    </w:p>
    <w:p w14:paraId="2F2ECB00">
      <w:pPr>
        <w:pStyle w:val="9"/>
        <w:pageBreakBefore w:val="0"/>
        <w:widowControl w:val="0"/>
        <w:kinsoku/>
        <w:overflowPunct/>
        <w:bidi w:val="0"/>
        <w:adjustRightInd w:val="0"/>
        <w:snapToGrid w:val="0"/>
        <w:spacing w:after="50"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投标供应商不得递交任何的投标备选（替代）方案，否则其磋商响应文件将作无效标处理。</w:t>
      </w:r>
    </w:p>
    <w:p w14:paraId="1063FA36">
      <w:pPr>
        <w:pStyle w:val="12"/>
        <w:pageBreakBefore w:val="0"/>
        <w:widowControl w:val="0"/>
        <w:kinsoku/>
        <w:overflowPunct/>
        <w:bidi w:val="0"/>
        <w:adjustRightInd w:val="0"/>
        <w:snapToGrid w:val="0"/>
        <w:spacing w:line="360" w:lineRule="auto"/>
        <w:outlineLvl w:val="1"/>
        <w:rPr>
          <w:rFonts w:hint="eastAsia" w:hAnsi="宋体" w:eastAsia="宋体"/>
          <w:b w:val="0"/>
          <w:bCs w:val="0"/>
          <w:color w:val="auto"/>
          <w:sz w:val="22"/>
          <w:szCs w:val="22"/>
          <w:highlight w:val="none"/>
        </w:rPr>
      </w:pPr>
      <w:bookmarkStart w:id="42" w:name="_Toc21755"/>
      <w:r>
        <w:rPr>
          <w:rFonts w:hint="eastAsia" w:hAnsi="宋体" w:eastAsia="宋体"/>
          <w:b w:val="0"/>
          <w:bCs w:val="0"/>
          <w:color w:val="auto"/>
          <w:sz w:val="22"/>
          <w:szCs w:val="22"/>
          <w:highlight w:val="none"/>
        </w:rPr>
        <w:t>五、开标和评审</w:t>
      </w:r>
      <w:bookmarkEnd w:id="42"/>
    </w:p>
    <w:p w14:paraId="5CAE6205">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1、开标</w:t>
      </w:r>
    </w:p>
    <w:p w14:paraId="0DB227DE">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1.1、采购代理机构按磋商文件规定的时间、地点通过“政府采购云平台”组织开标、开启磋商响应文件，所有供应商均应当准时在线参加。投标供应商因未在线参加开标而导致磋商响应文件无法按时解密等一切后果由供应商自己承担。</w:t>
      </w:r>
    </w:p>
    <w:p w14:paraId="2198284C">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1.2、开标流程</w:t>
      </w:r>
    </w:p>
    <w:p w14:paraId="21A22B0A">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1）向各投标供应商发出电子加密磋商响应文件【开始解密】通知，由供应商按磋商文件规定的时间内自行进行磋商响应文件解密。投标供应商在规定的时间内无法完成已递交的“电子加密磋商响应文件”解密的，</w:t>
      </w:r>
      <w:r>
        <w:rPr>
          <w:rFonts w:hint="eastAsia" w:hAnsi="宋体" w:eastAsia="宋体"/>
          <w:color w:val="auto"/>
          <w:sz w:val="22"/>
          <w:highlight w:val="none"/>
        </w:rPr>
        <w:t>其磋商响应文件按拒收处理</w:t>
      </w:r>
      <w:r>
        <w:rPr>
          <w:rFonts w:hint="eastAsia" w:hAnsi="宋体" w:eastAsia="宋体"/>
          <w:color w:val="auto"/>
          <w:sz w:val="22"/>
          <w:szCs w:val="22"/>
          <w:highlight w:val="none"/>
        </w:rPr>
        <w:t>。</w:t>
      </w:r>
    </w:p>
    <w:p w14:paraId="697DEE00">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2）磋商响应文件解密结束，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14:paraId="5C469CB3">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3）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通知所有参加磋商的供应商。供应商应当按照磋商文件的变动情况和磋商小组的要求重新提交磋商响应文件，并由其法定代表人或授权代表签字（或盖章）并加盖公章。</w:t>
      </w:r>
      <w:r>
        <w:rPr>
          <w:rFonts w:hint="eastAsia" w:hAnsi="宋体" w:eastAsia="宋体"/>
          <w:color w:val="auto"/>
          <w:sz w:val="22"/>
          <w:szCs w:val="22"/>
          <w:highlight w:val="none"/>
        </w:rPr>
        <w:t>如竞争性磋商文件所列采购内容明确不需要修改的或供应商磋商响应文件清楚明确不需要澄清的，可以不进行磋商，直接要求供应商进行最终报价。</w:t>
      </w:r>
    </w:p>
    <w:p w14:paraId="7B749E24">
      <w:pPr>
        <w:pStyle w:val="12"/>
        <w:pageBreakBefore w:val="0"/>
        <w:widowControl w:val="0"/>
        <w:kinsoku/>
        <w:overflowPunct/>
        <w:bidi w:val="0"/>
        <w:adjustRightInd w:val="0"/>
        <w:snapToGrid w:val="0"/>
        <w:spacing w:line="360" w:lineRule="auto"/>
        <w:ind w:firstLine="431" w:firstLineChars="196"/>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（4）磋商结束后，磋商小组应当要求所有实质性响应的投标供应商在规定时间内提交最终报价。</w:t>
      </w:r>
    </w:p>
    <w:p w14:paraId="1867B71D">
      <w:pPr>
        <w:pStyle w:val="12"/>
        <w:pageBreakBefore w:val="0"/>
        <w:widowControl w:val="0"/>
        <w:kinsoku/>
        <w:overflowPunct/>
        <w:bidi w:val="0"/>
        <w:adjustRightInd w:val="0"/>
        <w:snapToGrid w:val="0"/>
        <w:spacing w:line="360" w:lineRule="auto"/>
        <w:ind w:firstLine="431" w:firstLineChars="196"/>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（5）开启所有实质性响应的投标供应商的最终报价。</w:t>
      </w:r>
    </w:p>
    <w:p w14:paraId="4CE706A7">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（6）评审结束后，公布采购结果。</w:t>
      </w:r>
    </w:p>
    <w:p w14:paraId="0CAFCBFF">
      <w:pPr>
        <w:pStyle w:val="12"/>
        <w:pageBreakBefore w:val="0"/>
        <w:widowControl w:val="0"/>
        <w:kinsoku/>
        <w:overflowPunct/>
        <w:bidi w:val="0"/>
        <w:adjustRightInd w:val="0"/>
        <w:snapToGrid w:val="0"/>
        <w:spacing w:line="360" w:lineRule="auto"/>
        <w:ind w:firstLine="433" w:firstLineChars="196"/>
        <w:rPr>
          <w:rFonts w:hint="eastAsia" w:hAnsi="宋体" w:eastAsia="宋体"/>
          <w:color w:val="auto"/>
          <w:sz w:val="22"/>
          <w:szCs w:val="22"/>
          <w:highlight w:val="none"/>
        </w:rPr>
      </w:pPr>
      <w:r>
        <w:rPr>
          <w:rFonts w:hint="eastAsia" w:hAnsi="宋体" w:eastAsia="宋体"/>
          <w:color w:val="auto"/>
          <w:sz w:val="22"/>
          <w:szCs w:val="22"/>
          <w:highlight w:val="none"/>
        </w:rPr>
        <w:t>特别说明：如遇“政府采购云平台”电子化开标或评审程序调整的，按调整后程序执行。</w:t>
      </w:r>
    </w:p>
    <w:p w14:paraId="03F19086">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2、评审</w:t>
      </w:r>
    </w:p>
    <w:p w14:paraId="230942D2">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2.1、评审由采购人依法组建的磋商小组负责，并独立履行下列职责：</w:t>
      </w:r>
    </w:p>
    <w:p w14:paraId="43FE48E9">
      <w:pPr>
        <w:pageBreakBefore w:val="0"/>
        <w:widowControl w:val="0"/>
        <w:kinsoku/>
        <w:overflowPunct/>
        <w:bidi w:val="0"/>
        <w:snapToGrid w:val="0"/>
        <w:spacing w:line="360" w:lineRule="auto"/>
        <w:ind w:firstLine="431" w:firstLineChars="196"/>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1）审查磋商响应文件是否符合竞争性磋商文件要求，并作出评价；</w:t>
      </w:r>
    </w:p>
    <w:p w14:paraId="44B6A46B">
      <w:pPr>
        <w:pageBreakBefore w:val="0"/>
        <w:widowControl w:val="0"/>
        <w:kinsoku/>
        <w:overflowPunct/>
        <w:bidi w:val="0"/>
        <w:snapToGrid w:val="0"/>
        <w:spacing w:line="360" w:lineRule="auto"/>
        <w:ind w:firstLine="45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2）要求供应商对磋商响应文件有关事项作出解释或者澄清；</w:t>
      </w:r>
    </w:p>
    <w:p w14:paraId="4E3EBA28">
      <w:pPr>
        <w:pageBreakBefore w:val="0"/>
        <w:widowControl w:val="0"/>
        <w:kinsoku/>
        <w:overflowPunct/>
        <w:bidi w:val="0"/>
        <w:snapToGrid w:val="0"/>
        <w:spacing w:line="360" w:lineRule="auto"/>
        <w:ind w:firstLine="45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3）按照竞争性磋商文件确定的评审办法对供应商进行排序，推荐候选供应商（不超过3名），将综合得分第一的供应商向采购人推荐其为成交供应商；</w:t>
      </w:r>
    </w:p>
    <w:p w14:paraId="31824CEF">
      <w:pPr>
        <w:pStyle w:val="12"/>
        <w:pageBreakBefore w:val="0"/>
        <w:widowControl w:val="0"/>
        <w:kinsoku/>
        <w:overflowPunct/>
        <w:bidi w:val="0"/>
        <w:adjustRightInd w:val="0"/>
        <w:snapToGrid w:val="0"/>
        <w:spacing w:line="360" w:lineRule="auto"/>
        <w:ind w:firstLine="431" w:firstLineChars="196"/>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4）向采购代理机构或者有关部门报告非法干预评审工作的行为。</w:t>
      </w:r>
    </w:p>
    <w:p w14:paraId="703621F1">
      <w:pPr>
        <w:pageBreakBefore w:val="0"/>
        <w:widowControl w:val="0"/>
        <w:kinsoku/>
        <w:overflowPunct/>
        <w:bidi w:val="0"/>
        <w:snapToGrid w:val="0"/>
        <w:spacing w:line="360" w:lineRule="auto"/>
        <w:ind w:firstLine="431" w:firstLineChars="196"/>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2.2、评审应当遵循下列工作程序：</w:t>
      </w:r>
    </w:p>
    <w:p w14:paraId="5B3C280C">
      <w:pPr>
        <w:pageBreakBefore w:val="0"/>
        <w:widowControl w:val="0"/>
        <w:kinsoku/>
        <w:overflowPunct/>
        <w:bidi w:val="0"/>
        <w:snapToGrid w:val="0"/>
        <w:spacing w:line="360" w:lineRule="auto"/>
        <w:ind w:firstLine="45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1）磋商响应文件初审。初审分为资格性检查和符合性检查。</w:t>
      </w:r>
    </w:p>
    <w:p w14:paraId="3FB54B38">
      <w:pPr>
        <w:pageBreakBefore w:val="0"/>
        <w:widowControl w:val="0"/>
        <w:kinsoku/>
        <w:overflowPunct/>
        <w:bidi w:val="0"/>
        <w:snapToGrid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（1）资格性检查。依据法律法规和竞争性磋商文件的规定，对磋商响应文件中的资格证明等进行审查，以确定供应商是否具备参与磋商资格。</w:t>
      </w:r>
    </w:p>
    <w:p w14:paraId="4D66C34E">
      <w:pPr>
        <w:pageBreakBefore w:val="0"/>
        <w:widowControl w:val="0"/>
        <w:kinsoku/>
        <w:overflowPunct/>
        <w:bidi w:val="0"/>
        <w:snapToGrid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（2）符合性检查。依据竞争性磋商文件的规定，从磋商响应文件的有效性、完整性和对竞争性磋商文件的响应程度进行审查，以确定是否对竞争性磋商文件的实质性要求作出响应。</w:t>
      </w:r>
    </w:p>
    <w:p w14:paraId="5EF26143">
      <w:pPr>
        <w:pageBreakBefore w:val="0"/>
        <w:widowControl w:val="0"/>
        <w:kinsoku/>
        <w:overflowPunct/>
        <w:bidi w:val="0"/>
        <w:snapToGrid w:val="0"/>
        <w:spacing w:line="360" w:lineRule="auto"/>
        <w:ind w:firstLine="45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澄清有关问题。对磋商响应文件中含义不明确、同类问题表述不一致或者有明显文字和计算错误的内容，磋商小组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14:paraId="5D9E8F6B">
      <w:pPr>
        <w:pageBreakBefore w:val="0"/>
        <w:widowControl w:val="0"/>
        <w:kinsoku/>
        <w:overflowPunct/>
        <w:bidi w:val="0"/>
        <w:snapToGrid w:val="0"/>
        <w:spacing w:line="360" w:lineRule="auto"/>
        <w:ind w:firstLine="45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3）比较与评价。按竞争性磋商文件中规定的评审方法和标准，对资格性检查和符合性检查合格的磋商响应文件进行商务和技术评估，综合比较与评价。</w:t>
      </w:r>
    </w:p>
    <w:p w14:paraId="21E01728">
      <w:pPr>
        <w:pStyle w:val="12"/>
        <w:pageBreakBefore w:val="0"/>
        <w:widowControl w:val="0"/>
        <w:kinsoku/>
        <w:overflowPunct/>
        <w:bidi w:val="0"/>
        <w:adjustRightInd w:val="0"/>
        <w:snapToGrid w:val="0"/>
        <w:spacing w:line="360" w:lineRule="auto"/>
        <w:ind w:firstLine="433" w:firstLineChars="196"/>
        <w:rPr>
          <w:rFonts w:hint="eastAsia" w:hAnsi="宋体" w:eastAsia="宋体"/>
          <w:color w:val="auto"/>
          <w:sz w:val="22"/>
          <w:szCs w:val="22"/>
          <w:highlight w:val="none"/>
        </w:rPr>
      </w:pPr>
      <w:r>
        <w:rPr>
          <w:rFonts w:hint="eastAsia" w:hAnsi="宋体" w:eastAsia="宋体"/>
          <w:color w:val="auto"/>
          <w:sz w:val="22"/>
          <w:szCs w:val="22"/>
          <w:highlight w:val="none"/>
        </w:rPr>
        <w:t>2.3、本次采购，供应商的最终报价均超出采购预算的，本次采购</w:t>
      </w:r>
      <w:r>
        <w:rPr>
          <w:rFonts w:hint="eastAsia" w:hAnsi="宋体" w:eastAsia="宋体"/>
          <w:color w:val="auto"/>
          <w:sz w:val="22"/>
          <w:szCs w:val="22"/>
          <w:highlight w:val="none"/>
          <w:lang w:eastAsia="zh-CN"/>
        </w:rPr>
        <w:t>作废</w:t>
      </w:r>
      <w:r>
        <w:rPr>
          <w:rFonts w:hint="eastAsia" w:hAnsi="宋体" w:eastAsia="宋体"/>
          <w:color w:val="auto"/>
          <w:sz w:val="22"/>
          <w:szCs w:val="22"/>
          <w:highlight w:val="none"/>
        </w:rPr>
        <w:t>标处理。</w:t>
      </w:r>
    </w:p>
    <w:p w14:paraId="6D559316">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2.4、▲供应商存在下列情况之一的，磋商响应文件按无效处理：</w:t>
      </w:r>
    </w:p>
    <w:p w14:paraId="24661D15">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1）磋商响应文件未按磋商文件要求签署或CA电子签章的；</w:t>
      </w:r>
    </w:p>
    <w:p w14:paraId="5F4A4197">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2）不具备磋商文件中规定的资格要求的；</w:t>
      </w:r>
    </w:p>
    <w:p w14:paraId="7BCE99E3">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3）最终报价超过磋商文件中规定的预算金额或者最高限价的；</w:t>
      </w:r>
    </w:p>
    <w:p w14:paraId="318D7B66">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4）对关键条文的偏离、保留或反对，例如关于付款方式、完工期（服务期）、免费质保期、适用法律法规、标准、税费等其他内容；</w:t>
      </w:r>
    </w:p>
    <w:p w14:paraId="6DC4861B">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5）存在串标或弄虚作假情况的；</w:t>
      </w:r>
    </w:p>
    <w:p w14:paraId="577A81F2">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6）投入本项目人员不符合磋商文件要求的；</w:t>
      </w:r>
    </w:p>
    <w:p w14:paraId="357835B1">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7）参与本项目的不同供应商单位负责人为同一人或者存在直接控股、管理关系的；</w:t>
      </w:r>
    </w:p>
    <w:p w14:paraId="285A4788">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8）在竞争性磋商文件未做任何调整的情况下，参与磋商的供应商最终报价超过其磋商响应文件中报价的；</w:t>
      </w:r>
    </w:p>
    <w:p w14:paraId="19B68FD1">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9）法律、法规和磋商文件规定的其他无效情形（或出现重大偏差）。</w:t>
      </w:r>
    </w:p>
    <w:p w14:paraId="63571A25">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2.5、▲磋商小组发现磋商响应文件有下列情形之一的属于重大偏差</w:t>
      </w:r>
      <w:r>
        <w:rPr>
          <w:rFonts w:hint="eastAsia" w:hAnsi="宋体" w:eastAsia="宋体"/>
          <w:color w:val="auto"/>
          <w:sz w:val="22"/>
          <w:szCs w:val="22"/>
          <w:highlight w:val="none"/>
          <w:lang w:eastAsia="zh-CN"/>
        </w:rPr>
        <w:t>（</w:t>
      </w:r>
      <w:r>
        <w:rPr>
          <w:rFonts w:hint="eastAsia" w:hAnsi="宋体" w:eastAsia="宋体"/>
          <w:color w:val="auto"/>
          <w:sz w:val="22"/>
          <w:szCs w:val="22"/>
          <w:highlight w:val="none"/>
        </w:rPr>
        <w:t>磋商小组按少数服从多数原则认定</w:t>
      </w:r>
      <w:r>
        <w:rPr>
          <w:rFonts w:hint="eastAsia" w:hAnsi="宋体" w:eastAsia="宋体"/>
          <w:color w:val="auto"/>
          <w:sz w:val="22"/>
          <w:szCs w:val="22"/>
          <w:highlight w:val="none"/>
          <w:lang w:eastAsia="zh-CN"/>
        </w:rPr>
        <w:t>），</w:t>
      </w:r>
      <w:r>
        <w:rPr>
          <w:rFonts w:hint="eastAsia" w:hAnsi="宋体" w:eastAsia="宋体"/>
          <w:color w:val="auto"/>
          <w:sz w:val="22"/>
          <w:szCs w:val="22"/>
          <w:highlight w:val="none"/>
        </w:rPr>
        <w:t>按照无效投标处理：</w:t>
      </w:r>
    </w:p>
    <w:p w14:paraId="7E959C9A">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1）未按磋商文件要求编制或字迹模糊、辨认不清的磋商响应文件；</w:t>
      </w:r>
    </w:p>
    <w:p w14:paraId="1E32748B">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2）除2.4条款以外，出现其它明显不符合采购要求的磋商响应文件；</w:t>
      </w:r>
    </w:p>
    <w:p w14:paraId="7EEAA507">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3）除2.4条款以外，出现其它不符合磋商文件中规定的实质性要求的磋商响应文件，是否为偏离实质性要求由磋商小组认定。</w:t>
      </w:r>
    </w:p>
    <w:p w14:paraId="5193FB5F">
      <w:pPr>
        <w:pStyle w:val="12"/>
        <w:pageBreakBefore w:val="0"/>
        <w:widowControl w:val="0"/>
        <w:kinsoku/>
        <w:overflowPunct/>
        <w:bidi w:val="0"/>
        <w:adjustRightInd w:val="0"/>
        <w:snapToGrid w:val="0"/>
        <w:spacing w:line="360" w:lineRule="auto"/>
        <w:ind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2.6、▲磋商小组认为供应商的最终报价明显低于其他有效供应商的最终报价，有可能影响采购质量或者不能诚信履约的，应当要求其在合理的时间内提供书面说明，必要时提交相关证明材料；供应商不能证明其报价合理性的，磋商小组应当将其作为无效投标处理。</w:t>
      </w:r>
    </w:p>
    <w:p w14:paraId="3F6E3682">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2.7、磋商小组在评标中，不得改变磋商文件中规定的评标标准、方法和中标条件。</w:t>
      </w:r>
    </w:p>
    <w:p w14:paraId="3BAB8C98">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2.8、评标时如遇到磋商文件未规定的特殊情况，由磋商小组按少数服从多数原则集体决定处理。</w:t>
      </w:r>
    </w:p>
    <w:p w14:paraId="5BAEF841">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2.9、磋商小组对未中标的供应商不作解释。同时根据政府采购法实施条例第四十条规定，本项目不对供应商公布详细的评审情况，不公布具体评标细则中小项得分。</w:t>
      </w:r>
    </w:p>
    <w:p w14:paraId="1B7CAA7B">
      <w:pPr>
        <w:pStyle w:val="12"/>
        <w:pageBreakBefore w:val="0"/>
        <w:widowControl w:val="0"/>
        <w:kinsoku/>
        <w:overflowPunct/>
        <w:bidi w:val="0"/>
        <w:adjustRightInd w:val="0"/>
        <w:snapToGrid w:val="0"/>
        <w:spacing w:line="360" w:lineRule="auto"/>
        <w:ind w:firstLine="45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3、磋商响应文件的澄清</w:t>
      </w:r>
    </w:p>
    <w:p w14:paraId="76CA668A">
      <w:pPr>
        <w:pageBreakBefore w:val="0"/>
        <w:widowControl w:val="0"/>
        <w:kinsoku/>
        <w:overflowPunct/>
        <w:bidi w:val="0"/>
        <w:adjustRightInd w:val="0"/>
        <w:snapToGrid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3.1、为有利于对磋商响应文件的比较和评议，必要时磋商小组可要求投标供应商对磋商响应文件相关事宜进行澄清。磋商小组将通过“政府采购云平台”在线询标的形式要求投标供应商在规定的时间内作出必要的澄清、说明，投标供应商澄清、说明时间为30分钟。</w:t>
      </w:r>
    </w:p>
    <w:p w14:paraId="15078F49">
      <w:pPr>
        <w:pageBreakBefore w:val="0"/>
        <w:widowControl w:val="0"/>
        <w:kinsoku/>
        <w:overflowPunct/>
        <w:bidi w:val="0"/>
        <w:adjustRightInd w:val="0"/>
        <w:snapToGrid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3.2、投标供应商的澄清、说明应当通过“政府采购云平台”在线答复形式提交，并加盖公章。投标供应商的澄清、说明不得超出磋商响应文件的范围或者改变磋商响应文件的实质性内容。</w:t>
      </w:r>
    </w:p>
    <w:p w14:paraId="540CF412">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4、</w:t>
      </w:r>
      <w:r>
        <w:rPr>
          <w:rFonts w:hint="eastAsia" w:hAnsi="宋体" w:eastAsia="宋体"/>
          <w:color w:val="auto"/>
          <w:sz w:val="22"/>
          <w:szCs w:val="22"/>
          <w:highlight w:val="none"/>
        </w:rPr>
        <w:t>响应文件递交截止时或评审过程中有效投标供应商不足三家的，不予开标或评标。</w:t>
      </w:r>
      <w:r>
        <w:rPr>
          <w:rFonts w:hint="eastAsia" w:hAnsi="宋体" w:eastAsia="宋体"/>
          <w:b w:val="0"/>
          <w:bCs w:val="0"/>
          <w:color w:val="auto"/>
          <w:sz w:val="22"/>
          <w:szCs w:val="22"/>
          <w:highlight w:val="none"/>
        </w:rPr>
        <w:t>根据《财政部关于政府采购竞争性磋商采购方式管理暂行办法有关问题的补充通知》（财库</w:t>
      </w:r>
      <w:r>
        <w:rPr>
          <w:rFonts w:hint="eastAsia" w:hAnsi="宋体" w:eastAsia="宋体"/>
          <w:b w:val="0"/>
          <w:bCs w:val="0"/>
          <w:color w:val="auto"/>
          <w:sz w:val="22"/>
          <w:szCs w:val="22"/>
          <w:highlight w:val="none"/>
          <w:lang w:eastAsia="zh-CN"/>
        </w:rPr>
        <w:t>〔2015〕124号</w:t>
      </w:r>
      <w:r>
        <w:rPr>
          <w:rFonts w:hint="eastAsia" w:hAnsi="宋体" w:eastAsia="宋体"/>
          <w:b w:val="0"/>
          <w:bCs w:val="0"/>
          <w:color w:val="auto"/>
          <w:sz w:val="22"/>
          <w:szCs w:val="22"/>
          <w:highlight w:val="none"/>
        </w:rPr>
        <w:t>文件）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4B9AE63">
      <w:pPr>
        <w:pageBreakBefore w:val="0"/>
        <w:widowControl w:val="0"/>
        <w:kinsoku/>
        <w:overflowPunct/>
        <w:bidi w:val="0"/>
        <w:snapToGrid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5、评审原则</w:t>
      </w:r>
    </w:p>
    <w:p w14:paraId="34E972C0">
      <w:pPr>
        <w:pStyle w:val="12"/>
        <w:pageBreakBefore w:val="0"/>
        <w:widowControl w:val="0"/>
        <w:kinsoku/>
        <w:overflowPunct/>
        <w:bidi w:val="0"/>
        <w:adjustRightInd w:val="0"/>
        <w:snapToGrid w:val="0"/>
        <w:spacing w:line="360" w:lineRule="auto"/>
        <w:ind w:firstLine="45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磋商小组按照竞争性磋商文件的要求和条件对磋商响应文件进行评估，综合比较与评价。</w:t>
      </w:r>
    </w:p>
    <w:p w14:paraId="59FC62D1">
      <w:pPr>
        <w:pStyle w:val="12"/>
        <w:pageBreakBefore w:val="0"/>
        <w:widowControl w:val="0"/>
        <w:kinsoku/>
        <w:overflowPunct/>
        <w:bidi w:val="0"/>
        <w:adjustRightInd w:val="0"/>
        <w:snapToGrid w:val="0"/>
        <w:spacing w:line="360" w:lineRule="auto"/>
        <w:ind w:firstLine="45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5.1、磋商小组负责审查磋商响应文件是否符合竞争性磋商文件的要求，并作出评价。磋商小组认为必要时，可向供应商进行询标澄清。</w:t>
      </w:r>
    </w:p>
    <w:p w14:paraId="36A6B64B">
      <w:pPr>
        <w:pStyle w:val="12"/>
        <w:pageBreakBefore w:val="0"/>
        <w:widowControl w:val="0"/>
        <w:kinsoku/>
        <w:overflowPunct/>
        <w:bidi w:val="0"/>
        <w:adjustRightInd w:val="0"/>
        <w:snapToGrid w:val="0"/>
        <w:spacing w:line="360" w:lineRule="auto"/>
        <w:ind w:firstLine="45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 xml:space="preserve">5.2、磋商小组将综合分析合格供应商的各项指标，而不是以单项指标的优劣评选出成交的供应商。   </w:t>
      </w:r>
    </w:p>
    <w:p w14:paraId="6E597494">
      <w:pPr>
        <w:pStyle w:val="12"/>
        <w:pageBreakBefore w:val="0"/>
        <w:widowControl w:val="0"/>
        <w:kinsoku/>
        <w:overflowPunct/>
        <w:bidi w:val="0"/>
        <w:adjustRightInd w:val="0"/>
        <w:snapToGrid w:val="0"/>
        <w:spacing w:line="360" w:lineRule="auto"/>
        <w:ind w:firstLine="450"/>
        <w:rPr>
          <w:rFonts w:hint="eastAsia" w:hAnsi="宋体" w:eastAsia="宋体"/>
          <w:color w:val="auto"/>
          <w:sz w:val="22"/>
          <w:szCs w:val="22"/>
          <w:highlight w:val="none"/>
          <w:u w:val="single"/>
        </w:rPr>
      </w:pPr>
      <w:r>
        <w:rPr>
          <w:rFonts w:hint="eastAsia" w:hAnsi="宋体" w:eastAsia="宋体"/>
          <w:color w:val="auto"/>
          <w:sz w:val="22"/>
          <w:szCs w:val="22"/>
          <w:highlight w:val="none"/>
          <w:u w:val="single"/>
        </w:rPr>
        <w:t>5.3、磋商小组对合格供应商的磋商响应文件和最终报价进行综合评定。如竞争性磋商文件所列采购内容明确不需要修改的或供应商磋商响应文件清楚明确不需要澄清的，可以不进行磋商环节，直接要求供应商进行最终报价，进行综合评分。在竞争性磋商文件未做任何调整的情况下，参与磋商的供应商如有出现最终磋商报价超过其磋商响应文件中报价的，则该供应商的报价按无效处理。</w:t>
      </w:r>
    </w:p>
    <w:p w14:paraId="04F545A7">
      <w:pPr>
        <w:pageBreakBefore w:val="0"/>
        <w:widowControl w:val="0"/>
        <w:kinsoku/>
        <w:overflowPunct/>
        <w:bidi w:val="0"/>
        <w:snapToGrid w:val="0"/>
        <w:spacing w:line="360" w:lineRule="auto"/>
        <w:ind w:firstLine="431" w:firstLineChars="196"/>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5.4、本次评审采用综合评分法，磋商小组根据竞争性磋商文件制定的评审办法对供应商进行评审排序，将综合得分第一的供应商向采购人推荐其为成交供应商。</w:t>
      </w:r>
    </w:p>
    <w:p w14:paraId="187F4A80">
      <w:pPr>
        <w:pageBreakBefore w:val="0"/>
        <w:widowControl w:val="0"/>
        <w:kinsoku/>
        <w:overflowPunct/>
        <w:bidi w:val="0"/>
        <w:snapToGrid w:val="0"/>
        <w:spacing w:line="360" w:lineRule="auto"/>
        <w:ind w:firstLine="431" w:firstLineChars="196"/>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6、有下列情形之一的，视为供应商相互串通投标：</w:t>
      </w:r>
    </w:p>
    <w:p w14:paraId="20517E86">
      <w:pPr>
        <w:pageBreakBefore w:val="0"/>
        <w:widowControl w:val="0"/>
        <w:kinsoku/>
        <w:overflowPunct/>
        <w:bidi w:val="0"/>
        <w:snapToGrid w:val="0"/>
        <w:spacing w:line="360" w:lineRule="auto"/>
        <w:ind w:firstLine="431" w:firstLineChars="196"/>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6.1、不同供应商的磋商响应文件由同一单位或者个人编制；</w:t>
      </w:r>
    </w:p>
    <w:p w14:paraId="70790E63">
      <w:pPr>
        <w:pageBreakBefore w:val="0"/>
        <w:widowControl w:val="0"/>
        <w:kinsoku/>
        <w:overflowPunct/>
        <w:bidi w:val="0"/>
        <w:snapToGrid w:val="0"/>
        <w:spacing w:line="360" w:lineRule="auto"/>
        <w:ind w:firstLine="431" w:firstLineChars="196"/>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6.2、不同供应商委托同一单位或者个人办理投标事宜；</w:t>
      </w:r>
    </w:p>
    <w:p w14:paraId="5AC4B862">
      <w:pPr>
        <w:pageBreakBefore w:val="0"/>
        <w:widowControl w:val="0"/>
        <w:kinsoku/>
        <w:overflowPunct/>
        <w:bidi w:val="0"/>
        <w:snapToGrid w:val="0"/>
        <w:spacing w:line="360" w:lineRule="auto"/>
        <w:ind w:firstLine="431" w:firstLineChars="196"/>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6.3、不同供应商的磋商响应文件载明的项目管理成员为同一人；</w:t>
      </w:r>
    </w:p>
    <w:p w14:paraId="664D21D2">
      <w:pPr>
        <w:pageBreakBefore w:val="0"/>
        <w:widowControl w:val="0"/>
        <w:kinsoku/>
        <w:overflowPunct/>
        <w:bidi w:val="0"/>
        <w:snapToGrid w:val="0"/>
        <w:spacing w:line="360" w:lineRule="auto"/>
        <w:ind w:firstLine="431" w:firstLineChars="196"/>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6.4、不同供应商的磋商响应文件异常一致或者投标报价呈规律性差异；</w:t>
      </w:r>
    </w:p>
    <w:p w14:paraId="534D35AF">
      <w:pPr>
        <w:pageBreakBefore w:val="0"/>
        <w:widowControl w:val="0"/>
        <w:kinsoku/>
        <w:overflowPunct/>
        <w:bidi w:val="0"/>
        <w:snapToGrid w:val="0"/>
        <w:spacing w:line="360" w:lineRule="auto"/>
        <w:ind w:firstLine="431" w:firstLineChars="196"/>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6.5、不同供应商的磋商响应文件相互混装；</w:t>
      </w:r>
    </w:p>
    <w:p w14:paraId="0FF1D0CF">
      <w:pPr>
        <w:pageBreakBefore w:val="0"/>
        <w:widowControl w:val="0"/>
        <w:kinsoku/>
        <w:overflowPunct/>
        <w:bidi w:val="0"/>
        <w:snapToGrid w:val="0"/>
        <w:spacing w:line="360" w:lineRule="auto"/>
        <w:ind w:firstLine="431" w:firstLineChars="196"/>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7、经磋商小组认定供应商进行串通投标的，磋商小组可以对相关供应商做出无效投标处理，并上报政府采购管理部门进行进一步处理。</w:t>
      </w:r>
    </w:p>
    <w:p w14:paraId="78A32181">
      <w:pPr>
        <w:pStyle w:val="12"/>
        <w:pageBreakBefore w:val="0"/>
        <w:widowControl w:val="0"/>
        <w:kinsoku/>
        <w:overflowPunct/>
        <w:bidi w:val="0"/>
        <w:adjustRightInd w:val="0"/>
        <w:snapToGrid w:val="0"/>
        <w:spacing w:line="360" w:lineRule="auto"/>
        <w:ind w:left="218" w:leftChars="104" w:firstLine="221" w:firstLineChars="100"/>
        <w:rPr>
          <w:rFonts w:hint="eastAsia" w:hAnsi="宋体" w:eastAsia="宋体"/>
          <w:color w:val="auto"/>
          <w:sz w:val="22"/>
          <w:szCs w:val="22"/>
          <w:highlight w:val="none"/>
        </w:rPr>
      </w:pPr>
      <w:r>
        <w:rPr>
          <w:rFonts w:hint="eastAsia" w:hAnsi="宋体" w:eastAsia="宋体"/>
          <w:color w:val="auto"/>
          <w:sz w:val="22"/>
          <w:szCs w:val="22"/>
          <w:highlight w:val="none"/>
        </w:rPr>
        <w:t>8、可中止电子交易活动的情形</w:t>
      </w:r>
    </w:p>
    <w:p w14:paraId="68152BDE">
      <w:pPr>
        <w:pStyle w:val="12"/>
        <w:pageBreakBefore w:val="0"/>
        <w:widowControl w:val="0"/>
        <w:kinsoku/>
        <w:overflowPunct/>
        <w:bidi w:val="0"/>
        <w:adjustRightInd w:val="0"/>
        <w:snapToGrid w:val="0"/>
        <w:spacing w:line="360" w:lineRule="auto"/>
        <w:ind w:left="218" w:leftChars="104" w:firstLine="442" w:firstLineChars="200"/>
        <w:rPr>
          <w:rFonts w:hint="eastAsia" w:hAnsi="宋体" w:eastAsia="宋体"/>
          <w:color w:val="auto"/>
          <w:sz w:val="22"/>
          <w:szCs w:val="22"/>
          <w:highlight w:val="none"/>
        </w:rPr>
      </w:pPr>
      <w:r>
        <w:rPr>
          <w:rFonts w:hint="eastAsia" w:hAnsi="宋体" w:eastAsia="宋体"/>
          <w:color w:val="auto"/>
          <w:sz w:val="22"/>
          <w:szCs w:val="22"/>
          <w:highlight w:val="none"/>
        </w:rPr>
        <w:t>采购过程中出现以下情形，导致电子交易平台无法正常运行，或者无法保证电子交易的公平、公正和安全时，采购组织机构可中止电子交易活动：</w:t>
      </w:r>
    </w:p>
    <w:p w14:paraId="7DBC55A3">
      <w:pPr>
        <w:pStyle w:val="12"/>
        <w:pageBreakBefore w:val="0"/>
        <w:widowControl w:val="0"/>
        <w:kinsoku/>
        <w:overflowPunct/>
        <w:bidi w:val="0"/>
        <w:adjustRightInd w:val="0"/>
        <w:snapToGrid w:val="0"/>
        <w:spacing w:line="360" w:lineRule="auto"/>
        <w:ind w:left="218" w:leftChars="104" w:firstLine="221" w:firstLineChars="100"/>
        <w:rPr>
          <w:rFonts w:hint="eastAsia" w:hAnsi="宋体" w:eastAsia="宋体"/>
          <w:color w:val="auto"/>
          <w:sz w:val="22"/>
          <w:szCs w:val="22"/>
          <w:highlight w:val="none"/>
        </w:rPr>
      </w:pPr>
      <w:r>
        <w:rPr>
          <w:rFonts w:hint="eastAsia" w:hAnsi="宋体" w:eastAsia="宋体"/>
          <w:color w:val="auto"/>
          <w:sz w:val="22"/>
          <w:szCs w:val="22"/>
          <w:highlight w:val="none"/>
        </w:rPr>
        <w:t>1）电子交易平台发生故障而无法登录访问的；</w:t>
      </w:r>
    </w:p>
    <w:p w14:paraId="4AB4AD56">
      <w:pPr>
        <w:pStyle w:val="12"/>
        <w:pageBreakBefore w:val="0"/>
        <w:widowControl w:val="0"/>
        <w:kinsoku/>
        <w:overflowPunct/>
        <w:bidi w:val="0"/>
        <w:adjustRightInd w:val="0"/>
        <w:snapToGrid w:val="0"/>
        <w:spacing w:line="360" w:lineRule="auto"/>
        <w:ind w:left="218" w:leftChars="104" w:firstLine="221" w:firstLineChars="100"/>
        <w:rPr>
          <w:rFonts w:hint="eastAsia" w:hAnsi="宋体" w:eastAsia="宋体"/>
          <w:color w:val="auto"/>
          <w:sz w:val="22"/>
          <w:szCs w:val="22"/>
          <w:highlight w:val="none"/>
        </w:rPr>
      </w:pPr>
      <w:r>
        <w:rPr>
          <w:rFonts w:hint="eastAsia" w:hAnsi="宋体" w:eastAsia="宋体"/>
          <w:color w:val="auto"/>
          <w:sz w:val="22"/>
          <w:szCs w:val="22"/>
          <w:highlight w:val="none"/>
        </w:rPr>
        <w:t>2）电子交易平台应用或数据库出现错误，不能进行正常操作的；</w:t>
      </w:r>
    </w:p>
    <w:p w14:paraId="0A675FA6">
      <w:pPr>
        <w:pStyle w:val="12"/>
        <w:pageBreakBefore w:val="0"/>
        <w:widowControl w:val="0"/>
        <w:kinsoku/>
        <w:overflowPunct/>
        <w:bidi w:val="0"/>
        <w:adjustRightInd w:val="0"/>
        <w:snapToGrid w:val="0"/>
        <w:spacing w:line="360" w:lineRule="auto"/>
        <w:ind w:left="218" w:leftChars="104" w:firstLine="221" w:firstLineChars="100"/>
        <w:rPr>
          <w:rFonts w:hint="eastAsia" w:hAnsi="宋体" w:eastAsia="宋体"/>
          <w:color w:val="auto"/>
          <w:sz w:val="22"/>
          <w:szCs w:val="22"/>
          <w:highlight w:val="none"/>
        </w:rPr>
      </w:pPr>
      <w:r>
        <w:rPr>
          <w:rFonts w:hint="eastAsia" w:hAnsi="宋体" w:eastAsia="宋体"/>
          <w:color w:val="auto"/>
          <w:sz w:val="22"/>
          <w:szCs w:val="22"/>
          <w:highlight w:val="none"/>
        </w:rPr>
        <w:t>3）电子交易平台发现严重安全漏洞，有潜在泄密危险的；</w:t>
      </w:r>
    </w:p>
    <w:p w14:paraId="71E33458">
      <w:pPr>
        <w:pStyle w:val="12"/>
        <w:pageBreakBefore w:val="0"/>
        <w:widowControl w:val="0"/>
        <w:kinsoku/>
        <w:overflowPunct/>
        <w:bidi w:val="0"/>
        <w:adjustRightInd w:val="0"/>
        <w:snapToGrid w:val="0"/>
        <w:spacing w:line="360" w:lineRule="auto"/>
        <w:ind w:left="218" w:leftChars="104" w:firstLine="221" w:firstLineChars="100"/>
        <w:rPr>
          <w:rFonts w:hint="eastAsia" w:hAnsi="宋体" w:eastAsia="宋体"/>
          <w:color w:val="auto"/>
          <w:sz w:val="22"/>
          <w:szCs w:val="22"/>
          <w:highlight w:val="none"/>
        </w:rPr>
      </w:pPr>
      <w:r>
        <w:rPr>
          <w:rFonts w:hint="eastAsia" w:hAnsi="宋体" w:eastAsia="宋体"/>
          <w:color w:val="auto"/>
          <w:sz w:val="22"/>
          <w:szCs w:val="22"/>
          <w:highlight w:val="none"/>
        </w:rPr>
        <w:t>4）病毒发作导致不能进行正常操作的；</w:t>
      </w:r>
    </w:p>
    <w:p w14:paraId="7DAE3FE6">
      <w:pPr>
        <w:pStyle w:val="12"/>
        <w:pageBreakBefore w:val="0"/>
        <w:widowControl w:val="0"/>
        <w:kinsoku/>
        <w:overflowPunct/>
        <w:bidi w:val="0"/>
        <w:adjustRightInd w:val="0"/>
        <w:snapToGrid w:val="0"/>
        <w:spacing w:line="360" w:lineRule="auto"/>
        <w:ind w:left="218" w:leftChars="104" w:firstLine="221" w:firstLineChars="100"/>
        <w:rPr>
          <w:rFonts w:hint="eastAsia" w:hAnsi="宋体" w:eastAsia="宋体"/>
          <w:color w:val="auto"/>
          <w:sz w:val="22"/>
          <w:szCs w:val="22"/>
          <w:highlight w:val="none"/>
        </w:rPr>
      </w:pPr>
      <w:r>
        <w:rPr>
          <w:rFonts w:hint="eastAsia" w:hAnsi="宋体" w:eastAsia="宋体"/>
          <w:color w:val="auto"/>
          <w:sz w:val="22"/>
          <w:szCs w:val="22"/>
          <w:highlight w:val="none"/>
        </w:rPr>
        <w:t>5）其他无法保证电子交易的公平、公正和安全的情况。</w:t>
      </w:r>
    </w:p>
    <w:p w14:paraId="4C8EEC8E">
      <w:pPr>
        <w:pageBreakBefore w:val="0"/>
        <w:widowControl w:val="0"/>
        <w:kinsoku/>
        <w:overflowPunct/>
        <w:bidi w:val="0"/>
        <w:snapToGrid w:val="0"/>
        <w:spacing w:line="360" w:lineRule="auto"/>
        <w:ind w:firstLine="433" w:firstLineChars="196"/>
        <w:rPr>
          <w:rFonts w:hint="eastAsia" w:ascii="宋体" w:eastAsia="宋体"/>
          <w:color w:val="auto"/>
          <w:sz w:val="22"/>
          <w:szCs w:val="22"/>
          <w:highlight w:val="none"/>
        </w:rPr>
      </w:pPr>
      <w:r>
        <w:rPr>
          <w:rFonts w:hint="eastAsia" w:ascii="宋体" w:eastAsia="宋体"/>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68E4291E">
      <w:pPr>
        <w:pStyle w:val="12"/>
        <w:pageBreakBefore w:val="0"/>
        <w:widowControl w:val="0"/>
        <w:kinsoku/>
        <w:overflowPunct/>
        <w:bidi w:val="0"/>
        <w:adjustRightInd w:val="0"/>
        <w:snapToGrid w:val="0"/>
        <w:spacing w:line="360" w:lineRule="auto"/>
        <w:outlineLvl w:val="1"/>
        <w:rPr>
          <w:rFonts w:hint="eastAsia" w:hAnsi="宋体" w:eastAsia="宋体"/>
          <w:b w:val="0"/>
          <w:bCs w:val="0"/>
          <w:color w:val="auto"/>
          <w:sz w:val="22"/>
          <w:szCs w:val="22"/>
          <w:highlight w:val="none"/>
        </w:rPr>
      </w:pPr>
      <w:bookmarkStart w:id="43" w:name="_Toc19520"/>
      <w:r>
        <w:rPr>
          <w:rFonts w:hint="eastAsia" w:hAnsi="宋体" w:eastAsia="宋体"/>
          <w:b w:val="0"/>
          <w:bCs w:val="0"/>
          <w:color w:val="auto"/>
          <w:sz w:val="22"/>
          <w:szCs w:val="22"/>
          <w:highlight w:val="none"/>
        </w:rPr>
        <w:t>六、授予合同</w:t>
      </w:r>
      <w:bookmarkEnd w:id="43"/>
    </w:p>
    <w:p w14:paraId="6E7956C5">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1、决标</w:t>
      </w:r>
    </w:p>
    <w:p w14:paraId="657C181B">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磋商结束后，磋商小组按照竞争性磋商文件确定的评审办法，确定成交供应商。</w:t>
      </w:r>
    </w:p>
    <w:p w14:paraId="6E9C717F">
      <w:pPr>
        <w:pStyle w:val="12"/>
        <w:pageBreakBefore w:val="0"/>
        <w:widowControl w:val="0"/>
        <w:kinsoku/>
        <w:overflowPunct/>
        <w:bidi w:val="0"/>
        <w:adjustRightInd w:val="0"/>
        <w:snapToGrid w:val="0"/>
        <w:spacing w:line="360" w:lineRule="auto"/>
        <w:ind w:firstLine="442" w:firstLineChars="200"/>
        <w:rPr>
          <w:rFonts w:hint="eastAsia" w:hAnsi="宋体" w:eastAsia="宋体"/>
          <w:b w:val="0"/>
          <w:bCs w:val="0"/>
          <w:color w:val="auto"/>
          <w:sz w:val="22"/>
          <w:szCs w:val="22"/>
          <w:highlight w:val="none"/>
        </w:rPr>
      </w:pPr>
      <w:r>
        <w:rPr>
          <w:rFonts w:hint="eastAsia" w:hAnsi="宋体" w:eastAsia="宋体"/>
          <w:color w:val="auto"/>
          <w:sz w:val="22"/>
          <w:szCs w:val="22"/>
          <w:highlight w:val="none"/>
        </w:rPr>
        <w:t>采购人将把成交通知书授予最佳报价者，但最低报价不是成交的唯一保证。</w:t>
      </w:r>
    </w:p>
    <w:p w14:paraId="57E6BB91">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2、成交通知书</w:t>
      </w:r>
    </w:p>
    <w:p w14:paraId="446405BE">
      <w:pPr>
        <w:pStyle w:val="9"/>
        <w:pageBreakBefore w:val="0"/>
        <w:widowControl w:val="0"/>
        <w:kinsoku/>
        <w:overflowPunct/>
        <w:bidi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2.1、评审结束后，采购代理机构在浙江政府采购网公告采购结果，同时发出成交通知书，成交公告期限为1个工作日。</w:t>
      </w:r>
    </w:p>
    <w:p w14:paraId="54192A26">
      <w:pPr>
        <w:pageBreakBefore w:val="0"/>
        <w:widowControl w:val="0"/>
        <w:kinsoku/>
        <w:overflowPunct/>
        <w:bidi w:val="0"/>
        <w:adjustRightInd w:val="0"/>
        <w:snapToGrid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2.2、成交通知书对采购人和成交供应商具有法律约束力。成交通知书发出后，采购人改变成交结果或者成交供应商放弃成交资格的，应当承担法律责任。</w:t>
      </w:r>
    </w:p>
    <w:p w14:paraId="59C0DA5F">
      <w:pPr>
        <w:pageBreakBefore w:val="0"/>
        <w:widowControl w:val="0"/>
        <w:kinsoku/>
        <w:overflowPunct/>
        <w:bidi w:val="0"/>
        <w:adjustRightInd w:val="0"/>
        <w:snapToGrid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2.3、成交无效</w:t>
      </w:r>
    </w:p>
    <w:p w14:paraId="39820D71">
      <w:pPr>
        <w:pageBreakBefore w:val="0"/>
        <w:widowControl w:val="0"/>
        <w:kinsoku/>
        <w:overflowPunct/>
        <w:bidi w:val="0"/>
        <w:adjustRightInd w:val="0"/>
        <w:snapToGrid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1）发现成交供应商资格无效或成交供应商放弃成交或拒绝与采购人签订合同的</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按相关规定执行。</w:t>
      </w:r>
    </w:p>
    <w:p w14:paraId="7B151C63">
      <w:pPr>
        <w:pageBreakBefore w:val="0"/>
        <w:widowControl w:val="0"/>
        <w:kinsoku/>
        <w:overflowPunct/>
        <w:bidi w:val="0"/>
        <w:adjustRightInd w:val="0"/>
        <w:snapToGrid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2）有《中华人民共和国政府采购法实施条例》第七十一条、第七十二条、第七十三条、第七十四条规定的违法行为之一，由政府采购监管部门依法处理。</w:t>
      </w:r>
    </w:p>
    <w:p w14:paraId="18ABD795">
      <w:pPr>
        <w:pageBreakBefore w:val="0"/>
        <w:widowControl w:val="0"/>
        <w:kinsoku/>
        <w:overflowPunct/>
        <w:bidi w:val="0"/>
        <w:adjustRightInd w:val="0"/>
        <w:snapToGrid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3、磋商小组对未成交的供应商不</w:t>
      </w:r>
      <w:r>
        <w:rPr>
          <w:rFonts w:hint="eastAsia" w:ascii="宋体" w:eastAsia="宋体"/>
          <w:b w:val="0"/>
          <w:bCs w:val="0"/>
          <w:color w:val="auto"/>
          <w:sz w:val="22"/>
          <w:szCs w:val="22"/>
          <w:highlight w:val="none"/>
          <w:lang w:eastAsia="zh-CN"/>
        </w:rPr>
        <w:t>做</w:t>
      </w:r>
      <w:r>
        <w:rPr>
          <w:rFonts w:hint="eastAsia" w:ascii="宋体" w:eastAsia="宋体"/>
          <w:b w:val="0"/>
          <w:bCs w:val="0"/>
          <w:color w:val="auto"/>
          <w:sz w:val="22"/>
          <w:szCs w:val="22"/>
          <w:highlight w:val="none"/>
        </w:rPr>
        <w:t>落标原因解释。</w:t>
      </w:r>
    </w:p>
    <w:p w14:paraId="11FE748A">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4、签订合同</w:t>
      </w:r>
    </w:p>
    <w:p w14:paraId="5A99A32A">
      <w:pPr>
        <w:pageBreakBefore w:val="0"/>
        <w:widowControl w:val="0"/>
        <w:kinsoku/>
        <w:overflowPunct/>
        <w:bidi w:val="0"/>
        <w:adjustRightInd w:val="0"/>
        <w:snapToGrid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4.1、成交供应商须主动联系采购人或采购代理机构领取成交通知书。成交供应商应当在成交通知书发出之日起30日内与采购人签订合同。成交供应商未经采购人许可，在规定时间内未到采购人处与采购人签订合同，则视为拒签合同。</w:t>
      </w:r>
    </w:p>
    <w:p w14:paraId="6CB5B0B1">
      <w:pPr>
        <w:pageBreakBefore w:val="0"/>
        <w:widowControl w:val="0"/>
        <w:kinsoku/>
        <w:overflowPunct/>
        <w:bidi w:val="0"/>
        <w:adjustRightInd w:val="0"/>
        <w:snapToGrid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4.2、磋商文件、成交供应商的磋商响应文件及投标修改文件、评标过程中有关澄清文件及经双方签字的询标纪要（承诺）和成交通知书均作为合同附件。</w:t>
      </w:r>
    </w:p>
    <w:p w14:paraId="71ADC2F6">
      <w:pPr>
        <w:pStyle w:val="12"/>
        <w:pageBreakBefore w:val="0"/>
        <w:widowControl w:val="0"/>
        <w:kinsoku/>
        <w:overflowPunct/>
        <w:bidi w:val="0"/>
        <w:adjustRightInd w:val="0"/>
        <w:snapToGrid w:val="0"/>
        <w:spacing w:line="360" w:lineRule="auto"/>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4.3、拒签合同的责任</w:t>
      </w:r>
    </w:p>
    <w:p w14:paraId="2CB2E279">
      <w:pPr>
        <w:pStyle w:val="12"/>
        <w:pageBreakBefore w:val="0"/>
        <w:widowControl w:val="0"/>
        <w:kinsoku/>
        <w:overflowPunct/>
        <w:bidi w:val="0"/>
        <w:adjustRightInd w:val="0"/>
        <w:snapToGrid w:val="0"/>
        <w:spacing w:line="360" w:lineRule="auto"/>
        <w:ind w:firstLine="440" w:firstLineChars="200"/>
        <w:rPr>
          <w:rFonts w:hint="eastAsia" w:ascii="宋体" w:eastAsia="宋体"/>
          <w:b w:val="0"/>
          <w:color w:val="auto"/>
          <w:sz w:val="22"/>
          <w:szCs w:val="22"/>
          <w:highlight w:val="none"/>
        </w:rPr>
      </w:pPr>
      <w:r>
        <w:rPr>
          <w:rFonts w:hint="eastAsia" w:hAnsi="宋体" w:eastAsia="宋体"/>
          <w:b w:val="0"/>
          <w:bCs w:val="0"/>
          <w:color w:val="auto"/>
          <w:sz w:val="22"/>
          <w:szCs w:val="22"/>
          <w:highlight w:val="none"/>
        </w:rPr>
        <w:t>成交供应商接到成交通知书后，在规定时间内借故否认已经承诺的条件而拒签合同，以违约处理，并赔偿采购人由此造成的直接经济损失；采购人重新组织采购的，所需费用由原成交供应商承担。</w:t>
      </w:r>
      <w:r>
        <w:rPr>
          <w:rFonts w:hint="eastAsia" w:ascii="宋体" w:eastAsia="宋体"/>
          <w:b w:val="0"/>
          <w:color w:val="auto"/>
          <w:sz w:val="22"/>
          <w:szCs w:val="22"/>
          <w:highlight w:val="none"/>
        </w:rPr>
        <w:t xml:space="preserve"> </w:t>
      </w:r>
    </w:p>
    <w:p w14:paraId="218FA949">
      <w:pPr>
        <w:pStyle w:val="12"/>
        <w:adjustRightInd w:val="0"/>
        <w:snapToGrid w:val="0"/>
        <w:spacing w:line="420" w:lineRule="atLeast"/>
        <w:ind w:firstLine="450"/>
        <w:rPr>
          <w:rFonts w:hint="eastAsia" w:hAnsi="宋体" w:eastAsia="宋体"/>
          <w:b w:val="0"/>
          <w:color w:val="auto"/>
          <w:sz w:val="22"/>
          <w:szCs w:val="22"/>
        </w:rPr>
      </w:pPr>
      <w:r>
        <w:rPr>
          <w:rFonts w:hint="eastAsia" w:hAnsi="宋体" w:eastAsia="宋体"/>
          <w:b w:val="0"/>
          <w:color w:val="auto"/>
          <w:sz w:val="22"/>
          <w:szCs w:val="22"/>
        </w:rPr>
        <w:t>5、履约保证金</w:t>
      </w:r>
    </w:p>
    <w:p w14:paraId="46BAD804">
      <w:pPr>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5.1、</w:t>
      </w:r>
      <w:r>
        <w:rPr>
          <w:rFonts w:hint="eastAsia" w:ascii="宋体" w:eastAsia="宋体"/>
          <w:b w:val="0"/>
          <w:bCs w:val="0"/>
          <w:color w:val="auto"/>
          <w:sz w:val="22"/>
          <w:szCs w:val="22"/>
        </w:rPr>
        <w:t>成交供应商在收到成交通知书5个工作日内，需向采购人提供合同总价</w:t>
      </w: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rPr>
        <w:t>的履约保证金。履约保证金在成交供应商与采购人签订合同前递交至采购人账户：</w:t>
      </w:r>
    </w:p>
    <w:p w14:paraId="0CC1B12A">
      <w:pPr>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单位名称：  （成交后由采购人提供）</w:t>
      </w:r>
    </w:p>
    <w:p w14:paraId="2034CED0">
      <w:pPr>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开户银行：  （成交后由采购人提供）</w:t>
      </w:r>
    </w:p>
    <w:p w14:paraId="00A749F8">
      <w:pPr>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银行账号：  （成交后由采购人提供）</w:t>
      </w:r>
    </w:p>
    <w:p w14:paraId="53C8037D">
      <w:pPr>
        <w:pStyle w:val="12"/>
        <w:spacing w:line="45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6、采购代理服务费</w:t>
      </w:r>
    </w:p>
    <w:p w14:paraId="72654E89">
      <w:pPr>
        <w:pStyle w:val="12"/>
        <w:spacing w:line="45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6.1、成交供应商在领取成交通知书同时向代理机构支付采购代理服务费，采购代理服务费包含在投标总价中。</w:t>
      </w:r>
    </w:p>
    <w:p w14:paraId="695FA540">
      <w:pPr>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标项一：</w:t>
      </w:r>
      <w:r>
        <w:rPr>
          <w:rFonts w:hint="eastAsia" w:ascii="宋体" w:eastAsia="宋体"/>
          <w:b w:val="0"/>
          <w:color w:val="auto"/>
          <w:sz w:val="22"/>
          <w:szCs w:val="22"/>
          <w:lang w:eastAsia="zh-CN"/>
        </w:rPr>
        <w:t>采购</w:t>
      </w:r>
      <w:r>
        <w:rPr>
          <w:rFonts w:hint="eastAsia" w:ascii="宋体" w:eastAsia="宋体"/>
          <w:b w:val="0"/>
          <w:color w:val="auto"/>
          <w:sz w:val="22"/>
          <w:szCs w:val="22"/>
        </w:rPr>
        <w:t>代理服务费为人民币</w:t>
      </w:r>
      <w:r>
        <w:rPr>
          <w:rFonts w:hint="eastAsia" w:ascii="宋体" w:eastAsia="宋体"/>
          <w:b/>
          <w:bCs w:val="0"/>
          <w:color w:val="auto"/>
          <w:sz w:val="22"/>
          <w:szCs w:val="22"/>
          <w:lang w:val="en-US" w:eastAsia="zh-CN"/>
        </w:rPr>
        <w:t>6000</w:t>
      </w:r>
      <w:r>
        <w:rPr>
          <w:rFonts w:hint="eastAsia" w:ascii="宋体" w:eastAsia="宋体"/>
          <w:b w:val="0"/>
          <w:color w:val="auto"/>
          <w:sz w:val="22"/>
          <w:szCs w:val="22"/>
        </w:rPr>
        <w:t>元；</w:t>
      </w:r>
    </w:p>
    <w:p w14:paraId="63FD7BA1">
      <w:pPr>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采购代理服务费汇入</w:t>
      </w:r>
      <w:r>
        <w:rPr>
          <w:rFonts w:hint="eastAsia" w:ascii="宋体" w:eastAsia="宋体"/>
          <w:b w:val="0"/>
          <w:color w:val="auto"/>
          <w:sz w:val="22"/>
          <w:szCs w:val="22"/>
          <w:lang w:eastAsia="zh-CN"/>
        </w:rPr>
        <w:t>以下账号</w:t>
      </w:r>
      <w:r>
        <w:rPr>
          <w:rFonts w:hint="eastAsia" w:ascii="宋体" w:eastAsia="宋体"/>
          <w:b w:val="0"/>
          <w:color w:val="auto"/>
          <w:sz w:val="22"/>
          <w:szCs w:val="22"/>
        </w:rPr>
        <w:t>：</w:t>
      </w:r>
    </w:p>
    <w:p w14:paraId="43B9D083">
      <w:pPr>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开户银行：中国建设银行股份有限公司温州新城支行</w:t>
      </w:r>
    </w:p>
    <w:p w14:paraId="01D07A6D">
      <w:pPr>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开户名称：浙江新点项目管理有限公司温州分公司</w:t>
      </w:r>
    </w:p>
    <w:p w14:paraId="501F70C5">
      <w:pPr>
        <w:autoSpaceDE w:val="0"/>
        <w:autoSpaceDN w:val="0"/>
        <w:adjustRightInd w:val="0"/>
        <w:spacing w:line="450" w:lineRule="atLeas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开户账号：33050162877</w:t>
      </w:r>
      <w:r>
        <w:rPr>
          <w:rFonts w:hint="eastAsia" w:ascii="宋体" w:eastAsia="宋体" w:cs="宋体"/>
          <w:b w:val="0"/>
          <w:color w:val="auto"/>
          <w:sz w:val="22"/>
          <w:szCs w:val="22"/>
          <w:lang w:eastAsia="zh-CN"/>
        </w:rPr>
        <w:t>400000</w:t>
      </w:r>
      <w:r>
        <w:rPr>
          <w:rFonts w:hint="eastAsia" w:ascii="宋体" w:hAnsi="宋体" w:eastAsia="宋体" w:cs="宋体"/>
          <w:b w:val="0"/>
          <w:color w:val="auto"/>
          <w:sz w:val="22"/>
          <w:szCs w:val="22"/>
        </w:rPr>
        <w:t>992</w:t>
      </w:r>
    </w:p>
    <w:p w14:paraId="7DC6367B">
      <w:pPr>
        <w:autoSpaceDE w:val="0"/>
        <w:autoSpaceDN w:val="0"/>
        <w:adjustRightInd w:val="0"/>
        <w:spacing w:line="450" w:lineRule="atLeas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6.2、成交供应商未按规定交纳采购代理服务费，取消其成交资格。</w:t>
      </w:r>
    </w:p>
    <w:p w14:paraId="7D32E6E7">
      <w:pPr>
        <w:autoSpaceDE w:val="0"/>
        <w:autoSpaceDN w:val="0"/>
        <w:adjustRightInd w:val="0"/>
        <w:spacing w:line="450" w:lineRule="atLeast"/>
        <w:textAlignment w:val="bottom"/>
        <w:rPr>
          <w:rFonts w:hint="eastAsia" w:ascii="宋体" w:hAnsi="宋体" w:eastAsia="宋体" w:cs="宋体"/>
          <w:b w:val="0"/>
          <w:color w:val="auto"/>
          <w:sz w:val="22"/>
          <w:szCs w:val="22"/>
          <w:lang w:val="zh-CN"/>
        </w:rPr>
      </w:pPr>
    </w:p>
    <w:p w14:paraId="25EEA8E6">
      <w:pPr>
        <w:pageBreakBefore w:val="0"/>
        <w:widowControl w:val="0"/>
        <w:kinsoku/>
        <w:overflowPunct/>
        <w:bidi w:val="0"/>
        <w:spacing w:line="324" w:lineRule="auto"/>
        <w:jc w:val="center"/>
        <w:outlineLvl w:val="0"/>
        <w:rPr>
          <w:rFonts w:hint="eastAsia" w:ascii="宋体" w:eastAsia="宋体"/>
          <w:bCs w:val="0"/>
          <w:color w:val="auto"/>
          <w:sz w:val="32"/>
          <w:szCs w:val="32"/>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44" w:name="_Toc2914"/>
    </w:p>
    <w:p w14:paraId="1A125819">
      <w:pPr>
        <w:pageBreakBefore w:val="0"/>
        <w:widowControl w:val="0"/>
        <w:kinsoku/>
        <w:overflowPunct/>
        <w:bidi w:val="0"/>
        <w:spacing w:line="324" w:lineRule="auto"/>
        <w:jc w:val="center"/>
        <w:outlineLvl w:val="0"/>
        <w:rPr>
          <w:rFonts w:hint="eastAsia" w:ascii="宋体" w:eastAsia="宋体"/>
          <w:b w:val="0"/>
          <w:color w:val="auto"/>
          <w:sz w:val="22"/>
          <w:szCs w:val="22"/>
          <w:highlight w:val="none"/>
        </w:rPr>
      </w:pPr>
      <w:r>
        <w:rPr>
          <w:rFonts w:hint="eastAsia" w:ascii="宋体" w:eastAsia="宋体"/>
          <w:bCs w:val="0"/>
          <w:color w:val="auto"/>
          <w:sz w:val="32"/>
          <w:szCs w:val="32"/>
          <w:highlight w:val="none"/>
          <w:lang w:val="zh-CN"/>
        </w:rPr>
        <w:t>第五部分  政府采购政策功能相关说明</w:t>
      </w:r>
      <w:bookmarkEnd w:id="44"/>
    </w:p>
    <w:p w14:paraId="3B369FB8">
      <w:pPr>
        <w:pageBreakBefore w:val="0"/>
        <w:widowControl w:val="0"/>
        <w:kinsoku/>
        <w:overflowPunct/>
        <w:bidi w:val="0"/>
        <w:spacing w:line="360" w:lineRule="auto"/>
        <w:outlineLvl w:val="1"/>
        <w:rPr>
          <w:rFonts w:hint="eastAsia" w:ascii="宋体" w:eastAsia="宋体"/>
          <w:color w:val="auto"/>
          <w:sz w:val="22"/>
          <w:szCs w:val="22"/>
          <w:highlight w:val="none"/>
        </w:rPr>
      </w:pPr>
      <w:bookmarkStart w:id="45" w:name="_Toc15466"/>
      <w:bookmarkStart w:id="46" w:name="_Toc16024"/>
      <w:r>
        <w:rPr>
          <w:rFonts w:hint="eastAsia" w:ascii="宋体" w:eastAsia="宋体"/>
          <w:color w:val="auto"/>
          <w:sz w:val="22"/>
          <w:szCs w:val="22"/>
          <w:highlight w:val="none"/>
        </w:rPr>
        <w:t>一、小、微企业（含监狱企业、残疾人福利性单位）扶持政策说明</w:t>
      </w:r>
      <w:bookmarkEnd w:id="45"/>
      <w:bookmarkEnd w:id="46"/>
    </w:p>
    <w:p w14:paraId="2E2983A4">
      <w:pPr>
        <w:pageBreakBefore w:val="0"/>
        <w:widowControl w:val="0"/>
        <w:kinsoku/>
        <w:overflowPunct/>
        <w:bidi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rPr>
        <w:t>1、文件依据</w:t>
      </w:r>
    </w:p>
    <w:p w14:paraId="02457085">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（1）关于印发《政府采购促进中小企业发展管理办法》的通知（财库〔2020〕46号）</w:t>
      </w:r>
    </w:p>
    <w:p w14:paraId="498BEF27">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w:t>
      </w:r>
      <w:r>
        <w:rPr>
          <w:rFonts w:hint="eastAsia" w:ascii="宋体" w:eastAsia="宋体"/>
          <w:b w:val="0"/>
          <w:bCs w:val="0"/>
          <w:color w:val="auto"/>
          <w:sz w:val="22"/>
          <w:szCs w:val="22"/>
          <w:highlight w:val="none"/>
          <w:lang w:eastAsia="zh-CN"/>
        </w:rPr>
        <w:t>浙江省财政厅</w:t>
      </w:r>
      <w:r>
        <w:rPr>
          <w:rFonts w:hint="eastAsia" w:ascii="宋体" w:eastAsia="宋体"/>
          <w:b w:val="0"/>
          <w:bCs w:val="0"/>
          <w:color w:val="auto"/>
          <w:sz w:val="22"/>
          <w:szCs w:val="22"/>
          <w:highlight w:val="none"/>
        </w:rPr>
        <w:t>《关于开展政府采购供应商网上注册登记和诚信管理工作的通知》（浙财采监〔2010〕8号</w:t>
      </w:r>
      <w:r>
        <w:rPr>
          <w:rFonts w:hint="eastAsia" w:ascii="宋体" w:eastAsia="宋体"/>
          <w:b w:val="0"/>
          <w:bCs w:val="0"/>
          <w:color w:val="auto"/>
          <w:sz w:val="22"/>
          <w:szCs w:val="22"/>
          <w:highlight w:val="none"/>
          <w:lang w:eastAsia="zh-CN"/>
        </w:rPr>
        <w:t>）</w:t>
      </w:r>
    </w:p>
    <w:p w14:paraId="3699927F">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（3）《工业和信息化部、国家统计局、国家发展和改革委员会、财政部关于印发中小企业划型标准规定的通知》（工信部联企业</w:t>
      </w:r>
      <w:r>
        <w:rPr>
          <w:rFonts w:hint="eastAsia" w:ascii="宋体" w:eastAsia="宋体"/>
          <w:b w:val="0"/>
          <w:bCs w:val="0"/>
          <w:color w:val="auto"/>
          <w:sz w:val="22"/>
          <w:szCs w:val="22"/>
          <w:highlight w:val="none"/>
          <w:lang w:eastAsia="zh-CN"/>
        </w:rPr>
        <w:t>〔2011〕300号</w:t>
      </w:r>
      <w:r>
        <w:rPr>
          <w:rFonts w:hint="eastAsia" w:ascii="宋体" w:eastAsia="宋体"/>
          <w:b w:val="0"/>
          <w:bCs w:val="0"/>
          <w:color w:val="auto"/>
          <w:sz w:val="22"/>
          <w:szCs w:val="22"/>
          <w:highlight w:val="none"/>
        </w:rPr>
        <w:t>）</w:t>
      </w:r>
    </w:p>
    <w:p w14:paraId="11C5C2C0">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（4）财政部、司法部《关于政府采购支持监狱企业发展有关问题的通知》（财库〔2014〕68号）</w:t>
      </w:r>
    </w:p>
    <w:p w14:paraId="1BB9230D">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（5）《财政部 民政部 中国残疾人联合会关于促进残疾人就业政府采购政策的通知》（财库</w:t>
      </w:r>
      <w:r>
        <w:rPr>
          <w:rFonts w:hint="eastAsia" w:ascii="宋体" w:eastAsia="宋体"/>
          <w:b w:val="0"/>
          <w:bCs w:val="0"/>
          <w:color w:val="auto"/>
          <w:sz w:val="22"/>
          <w:szCs w:val="22"/>
          <w:highlight w:val="none"/>
          <w:lang w:eastAsia="zh-CN"/>
        </w:rPr>
        <w:t>〔2017〕141号</w:t>
      </w:r>
      <w:r>
        <w:rPr>
          <w:rFonts w:hint="eastAsia" w:ascii="宋体" w:eastAsia="宋体"/>
          <w:b w:val="0"/>
          <w:bCs w:val="0"/>
          <w:color w:val="auto"/>
          <w:sz w:val="22"/>
          <w:szCs w:val="22"/>
          <w:highlight w:val="none"/>
        </w:rPr>
        <w:t>）</w:t>
      </w:r>
    </w:p>
    <w:p w14:paraId="558D2780">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bookmarkStart w:id="47" w:name="_Hlk63077212"/>
      <w:r>
        <w:rPr>
          <w:rFonts w:hint="eastAsia" w:ascii="宋体" w:eastAsia="宋体"/>
          <w:b w:val="0"/>
          <w:bCs w:val="0"/>
          <w:color w:val="auto"/>
          <w:sz w:val="22"/>
          <w:szCs w:val="22"/>
          <w:highlight w:val="none"/>
        </w:rPr>
        <w:t>（6）其他法律法规，如有新的标准应采纳新标准</w:t>
      </w:r>
    </w:p>
    <w:bookmarkEnd w:id="47"/>
    <w:p w14:paraId="12A5A5DF">
      <w:pPr>
        <w:pageBreakBefore w:val="0"/>
        <w:widowControl w:val="0"/>
        <w:kinsoku/>
        <w:overflowPunct/>
        <w:bidi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rPr>
        <w:t>2、在政府采购活动中，供应商提供的货物、工程或者服务符合下列情形的，享受《政府采购促进中小企业发展管理办法》规定的中小企业扶持政策：</w:t>
      </w:r>
    </w:p>
    <w:p w14:paraId="5E28DCF2">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（1）在货物采购项目中，货物由中小企业制造，即货物由中小企业生产且使用该中小企业商号或者注册商标；</w:t>
      </w:r>
    </w:p>
    <w:p w14:paraId="422DE3E7">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（2）在工程采购项目中，工程由中小企业承建，即工程施工单位为中小企业；</w:t>
      </w:r>
    </w:p>
    <w:p w14:paraId="2A4A61EC">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（3）在服务采购项目中，服务由中小企业承接，即提供服务的人员为中小企业依照《中华人民共和国劳动</w:t>
      </w:r>
      <w:r>
        <w:rPr>
          <w:rFonts w:hint="eastAsia" w:ascii="宋体" w:eastAsia="宋体"/>
          <w:b w:val="0"/>
          <w:bCs w:val="0"/>
          <w:color w:val="auto"/>
          <w:sz w:val="22"/>
          <w:szCs w:val="22"/>
          <w:highlight w:val="none"/>
          <w:lang w:eastAsia="zh-CN"/>
        </w:rPr>
        <w:t>法</w:t>
      </w:r>
      <w:r>
        <w:rPr>
          <w:rFonts w:hint="eastAsia" w:ascii="宋体" w:eastAsia="宋体"/>
          <w:b w:val="0"/>
          <w:bCs w:val="0"/>
          <w:color w:val="auto"/>
          <w:sz w:val="22"/>
          <w:szCs w:val="22"/>
          <w:highlight w:val="none"/>
        </w:rPr>
        <w:t>》订立劳动合同的从业人员。</w:t>
      </w:r>
    </w:p>
    <w:p w14:paraId="38621779">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在货物采购项目中，供应商提供的货物既有中小企业制造货物，也有大型企业制造货物的，不享受本办法规定的中小企业扶持政策。</w:t>
      </w:r>
    </w:p>
    <w:p w14:paraId="54B85868">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以联合体形式参加政府采购活动，联合体各方均为中小企业的，联合体视同中小企业。其中，联合体各方均为小微企业的，联合体视同小微企业。</w:t>
      </w:r>
    </w:p>
    <w:p w14:paraId="591F68B0">
      <w:pPr>
        <w:pageBreakBefore w:val="0"/>
        <w:widowControl w:val="0"/>
        <w:kinsoku/>
        <w:overflowPunct/>
        <w:bidi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rPr>
        <w:t>3、</w:t>
      </w:r>
      <w:r>
        <w:rPr>
          <w:rFonts w:hint="eastAsia" w:ascii="宋体" w:eastAsia="宋体"/>
          <w:color w:val="auto"/>
          <w:sz w:val="22"/>
          <w:szCs w:val="22"/>
          <w:highlight w:val="none"/>
          <w:u w:val="single"/>
        </w:rPr>
        <w:t>享受小微企业价格折扣应提供以下证明材料</w:t>
      </w:r>
      <w:r>
        <w:rPr>
          <w:rFonts w:hint="eastAsia" w:ascii="宋体" w:eastAsia="宋体"/>
          <w:color w:val="auto"/>
          <w:sz w:val="22"/>
          <w:szCs w:val="22"/>
          <w:highlight w:val="none"/>
        </w:rPr>
        <w:t>：</w:t>
      </w:r>
    </w:p>
    <w:p w14:paraId="128437E3">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《中小企业声明函》（加盖供应商公章，格式见附件1）</w:t>
      </w:r>
    </w:p>
    <w:p w14:paraId="6B7BF31D">
      <w:pPr>
        <w:pageBreakBefore w:val="0"/>
        <w:widowControl w:val="0"/>
        <w:kinsoku/>
        <w:overflowPunct/>
        <w:bidi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rPr>
        <w:t>4、</w:t>
      </w:r>
      <w:r>
        <w:rPr>
          <w:rFonts w:hint="eastAsia" w:ascii="宋体" w:eastAsia="宋体"/>
          <w:color w:val="auto"/>
          <w:sz w:val="22"/>
          <w:szCs w:val="22"/>
          <w:highlight w:val="none"/>
          <w:u w:val="single"/>
        </w:rPr>
        <w:t>享受监狱企业价格（10%）折扣应提供以下证明材料（投标文件中，不提供的不享受价格折扣）</w:t>
      </w:r>
      <w:r>
        <w:rPr>
          <w:rFonts w:hint="eastAsia" w:ascii="宋体" w:eastAsia="宋体"/>
          <w:color w:val="auto"/>
          <w:sz w:val="22"/>
          <w:szCs w:val="22"/>
          <w:highlight w:val="none"/>
          <w:u w:val="none"/>
        </w:rPr>
        <w:t>：</w:t>
      </w:r>
    </w:p>
    <w:p w14:paraId="78AC60BA">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（1）监狱企业参加政府采购活动时，应当提供由省级以上监狱管理局、戒毒管理局</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含新疆生产建设兵团</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出具的属于监狱企业的证明文件。在政府采购活动中，监狱企业视同小型、微型企业，享受评审中价格10%的扣除政策。</w:t>
      </w:r>
    </w:p>
    <w:p w14:paraId="2C1A7B46">
      <w:pPr>
        <w:pageBreakBefore w:val="0"/>
        <w:widowControl w:val="0"/>
        <w:kinsoku/>
        <w:overflowPunct/>
        <w:bidi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rPr>
        <w:t>5、</w:t>
      </w:r>
      <w:r>
        <w:rPr>
          <w:rFonts w:hint="eastAsia" w:ascii="宋体" w:eastAsia="宋体"/>
          <w:color w:val="auto"/>
          <w:sz w:val="22"/>
          <w:szCs w:val="22"/>
          <w:highlight w:val="none"/>
          <w:u w:val="single"/>
        </w:rPr>
        <w:t>享受残疾人福利性单位价格10%折扣应提供以下证明材料（投标文件中，不提供的不享受价格折扣）</w:t>
      </w:r>
      <w:r>
        <w:rPr>
          <w:rFonts w:hint="eastAsia" w:ascii="宋体" w:eastAsia="宋体"/>
          <w:color w:val="auto"/>
          <w:sz w:val="22"/>
          <w:szCs w:val="22"/>
          <w:highlight w:val="none"/>
        </w:rPr>
        <w:t>：</w:t>
      </w:r>
    </w:p>
    <w:p w14:paraId="66020FAC">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（1）残疾人福利性单位声明函；</w:t>
      </w:r>
    </w:p>
    <w:p w14:paraId="27BAC0CF">
      <w:pPr>
        <w:pageBreakBefore w:val="0"/>
        <w:widowControl w:val="0"/>
        <w:kinsoku/>
        <w:overflowPunct/>
        <w:bidi w:val="0"/>
        <w:spacing w:line="360" w:lineRule="auto"/>
        <w:ind w:firstLine="442" w:firstLineChars="200"/>
        <w:rPr>
          <w:rFonts w:hint="eastAsia" w:ascii="宋体" w:eastAsia="宋体"/>
          <w:color w:val="auto"/>
          <w:sz w:val="22"/>
          <w:szCs w:val="22"/>
          <w:highlight w:val="none"/>
          <w:lang w:val="en-US" w:eastAsia="zh-CN"/>
        </w:rPr>
      </w:pPr>
      <w:r>
        <w:rPr>
          <w:rFonts w:hint="eastAsia" w:ascii="宋体" w:eastAsia="宋体"/>
          <w:color w:val="auto"/>
          <w:sz w:val="22"/>
          <w:szCs w:val="22"/>
          <w:highlight w:val="none"/>
          <w:lang w:val="en-US" w:eastAsia="zh-CN"/>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12944530">
      <w:pPr>
        <w:pageBreakBefore w:val="0"/>
        <w:widowControl w:val="0"/>
        <w:kinsoku/>
        <w:overflowPunct/>
        <w:bidi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lang w:val="en-US" w:eastAsia="zh-CN"/>
        </w:rPr>
        <w:t>7</w:t>
      </w:r>
      <w:r>
        <w:rPr>
          <w:rFonts w:hint="eastAsia" w:ascii="宋体" w:eastAsia="宋体"/>
          <w:color w:val="auto"/>
          <w:sz w:val="22"/>
          <w:szCs w:val="22"/>
          <w:highlight w:val="none"/>
        </w:rPr>
        <w:t>、本项目采购标的所属行业为</w:t>
      </w:r>
      <w:r>
        <w:rPr>
          <w:rFonts w:hint="eastAsia" w:ascii="宋体" w:eastAsia="宋体"/>
          <w:color w:val="auto"/>
          <w:sz w:val="22"/>
          <w:szCs w:val="22"/>
          <w:highlight w:val="none"/>
          <w:u w:val="single"/>
          <w:lang w:val="en-US" w:eastAsia="zh-CN"/>
        </w:rPr>
        <w:t xml:space="preserve"> 其他未列明行业 </w:t>
      </w:r>
      <w:r>
        <w:rPr>
          <w:rFonts w:hint="eastAsia" w:ascii="宋体" w:eastAsia="宋体"/>
          <w:color w:val="auto"/>
          <w:sz w:val="22"/>
          <w:szCs w:val="22"/>
          <w:highlight w:val="none"/>
        </w:rPr>
        <w:t>。</w:t>
      </w:r>
    </w:p>
    <w:p w14:paraId="4644DCD0">
      <w:pPr>
        <w:pageBreakBefore w:val="0"/>
        <w:widowControl w:val="0"/>
        <w:kinsoku/>
        <w:overflowPunct/>
        <w:bidi w:val="0"/>
        <w:spacing w:line="324" w:lineRule="auto"/>
        <w:rPr>
          <w:rFonts w:hint="eastAsia" w:ascii="宋体" w:eastAsia="宋体"/>
          <w:color w:val="auto"/>
          <w:sz w:val="22"/>
          <w:szCs w:val="22"/>
          <w:highlight w:val="none"/>
        </w:rPr>
      </w:pPr>
    </w:p>
    <w:p w14:paraId="7EC733E2">
      <w:pPr>
        <w:pageBreakBefore w:val="0"/>
        <w:widowControl w:val="0"/>
        <w:kinsoku/>
        <w:overflowPunct/>
        <w:bidi w:val="0"/>
        <w:spacing w:line="324" w:lineRule="auto"/>
        <w:rPr>
          <w:rFonts w:hint="eastAsia" w:ascii="宋体" w:eastAsia="宋体"/>
          <w:color w:val="auto"/>
          <w:sz w:val="22"/>
          <w:szCs w:val="2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D2B0E4C">
      <w:pPr>
        <w:pageBreakBefore w:val="0"/>
        <w:widowControl w:val="0"/>
        <w:kinsoku/>
        <w:overflowPunct/>
        <w:bidi w:val="0"/>
        <w:spacing w:line="324" w:lineRule="auto"/>
        <w:rPr>
          <w:rFonts w:hint="eastAsia" w:ascii="宋体" w:eastAsia="宋体"/>
          <w:color w:val="auto"/>
          <w:sz w:val="22"/>
          <w:szCs w:val="22"/>
          <w:highlight w:val="none"/>
        </w:rPr>
      </w:pPr>
      <w:r>
        <w:rPr>
          <w:rFonts w:hint="eastAsia" w:ascii="宋体" w:eastAsia="宋体"/>
          <w:color w:val="auto"/>
          <w:sz w:val="22"/>
          <w:szCs w:val="22"/>
          <w:highlight w:val="none"/>
        </w:rPr>
        <w:t>附件1：</w:t>
      </w:r>
    </w:p>
    <w:p w14:paraId="653BBF0A">
      <w:pPr>
        <w:pageBreakBefore w:val="0"/>
        <w:widowControl w:val="0"/>
        <w:kinsoku/>
        <w:overflowPunct/>
        <w:bidi w:val="0"/>
        <w:spacing w:line="324" w:lineRule="auto"/>
        <w:jc w:val="center"/>
        <w:rPr>
          <w:rFonts w:hint="eastAsia" w:ascii="宋体" w:eastAsia="宋体"/>
          <w:b/>
          <w:bCs/>
          <w:color w:val="auto"/>
          <w:sz w:val="28"/>
          <w:szCs w:val="28"/>
          <w:highlight w:val="none"/>
        </w:rPr>
      </w:pPr>
      <w:r>
        <w:rPr>
          <w:rFonts w:hint="eastAsia" w:ascii="宋体" w:eastAsia="宋体"/>
          <w:b/>
          <w:bCs/>
          <w:color w:val="auto"/>
          <w:sz w:val="28"/>
          <w:szCs w:val="28"/>
          <w:highlight w:val="none"/>
        </w:rPr>
        <w:t>中小企业声明函</w:t>
      </w:r>
    </w:p>
    <w:p w14:paraId="2B1A9A47">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441C5F2B">
      <w:pPr>
        <w:pageBreakBefore w:val="0"/>
        <w:widowControl w:val="0"/>
        <w:kinsoku/>
        <w:overflowPunct/>
        <w:bidi w:val="0"/>
        <w:spacing w:line="360" w:lineRule="auto"/>
        <w:ind w:firstLine="74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w:t>
      </w:r>
      <w:r>
        <w:rPr>
          <w:rFonts w:hint="eastAsia" w:ascii="宋体" w:eastAsia="宋体"/>
          <w:b w:val="0"/>
          <w:bCs w:val="0"/>
          <w:color w:val="auto"/>
          <w:sz w:val="22"/>
          <w:szCs w:val="22"/>
          <w:highlight w:val="none"/>
          <w:u w:val="single"/>
        </w:rPr>
        <w:t xml:space="preserve"> （标的名称） </w:t>
      </w:r>
      <w:r>
        <w:rPr>
          <w:rFonts w:hint="eastAsia" w:ascii="宋体" w:eastAsia="宋体"/>
          <w:b w:val="0"/>
          <w:bCs w:val="0"/>
          <w:color w:val="auto"/>
          <w:sz w:val="22"/>
          <w:szCs w:val="22"/>
          <w:highlight w:val="none"/>
        </w:rPr>
        <w:t>，属于</w:t>
      </w:r>
      <w:r>
        <w:rPr>
          <w:rFonts w:hint="eastAsia" w:ascii="宋体" w:eastAsia="宋体"/>
          <w:b w:val="0"/>
          <w:bCs w:val="0"/>
          <w:color w:val="auto"/>
          <w:sz w:val="22"/>
          <w:szCs w:val="22"/>
          <w:highlight w:val="none"/>
          <w:u w:val="single"/>
        </w:rPr>
        <w:t>（采购文件中明确的所属行业）</w:t>
      </w:r>
      <w:r>
        <w:rPr>
          <w:rFonts w:hint="eastAsia" w:ascii="宋体" w:eastAsia="宋体"/>
          <w:b w:val="0"/>
          <w:bCs w:val="0"/>
          <w:color w:val="auto"/>
          <w:sz w:val="22"/>
          <w:szCs w:val="22"/>
          <w:highlight w:val="none"/>
        </w:rPr>
        <w:t>；承接企业为</w:t>
      </w:r>
      <w:r>
        <w:rPr>
          <w:rFonts w:hint="eastAsia" w:ascii="宋体" w:eastAsia="宋体"/>
          <w:b w:val="0"/>
          <w:bCs w:val="0"/>
          <w:color w:val="auto"/>
          <w:sz w:val="22"/>
          <w:szCs w:val="22"/>
          <w:highlight w:val="none"/>
          <w:u w:val="single"/>
        </w:rPr>
        <w:t>（企业名称）</w:t>
      </w:r>
      <w:r>
        <w:rPr>
          <w:rFonts w:hint="eastAsia" w:ascii="宋体" w:eastAsia="宋体"/>
          <w:b w:val="0"/>
          <w:bCs w:val="0"/>
          <w:color w:val="auto"/>
          <w:sz w:val="22"/>
          <w:szCs w:val="22"/>
          <w:highlight w:val="none"/>
        </w:rPr>
        <w:t>，从业人员</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人，营业收入为</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万元，资产总额为</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万元，属于</w:t>
      </w:r>
      <w:r>
        <w:rPr>
          <w:rFonts w:hint="eastAsia" w:ascii="宋体" w:eastAsia="宋体"/>
          <w:b w:val="0"/>
          <w:bCs w:val="0"/>
          <w:color w:val="auto"/>
          <w:sz w:val="22"/>
          <w:szCs w:val="22"/>
          <w:highlight w:val="none"/>
          <w:u w:val="single"/>
        </w:rPr>
        <w:t>（中型企业、小型企业、微型企业）</w:t>
      </w:r>
      <w:r>
        <w:rPr>
          <w:rFonts w:hint="eastAsia" w:ascii="宋体" w:eastAsia="宋体"/>
          <w:b w:val="0"/>
          <w:bCs w:val="0"/>
          <w:color w:val="auto"/>
          <w:sz w:val="22"/>
          <w:szCs w:val="22"/>
          <w:highlight w:val="none"/>
        </w:rPr>
        <w:t>；</w:t>
      </w:r>
    </w:p>
    <w:p w14:paraId="06B2AFD4">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p>
    <w:p w14:paraId="0A1B1886">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以上企业，不属于大企业的分支机构，不存在控股股东为大企业的情形，也不存在与大企业的负责人为同一人的情形。</w:t>
      </w:r>
    </w:p>
    <w:p w14:paraId="1629AEC8">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本企业对上述声明内容的真实性负责。如有虚假，将依法承担相应责任。</w:t>
      </w:r>
    </w:p>
    <w:p w14:paraId="607CB22E">
      <w:pPr>
        <w:pageBreakBefore w:val="0"/>
        <w:widowControl w:val="0"/>
        <w:kinsoku/>
        <w:overflowPunct/>
        <w:bidi w:val="0"/>
        <w:spacing w:line="360" w:lineRule="auto"/>
        <w:ind w:firstLine="5940" w:firstLineChars="27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企业名称（盖章）：</w:t>
      </w:r>
    </w:p>
    <w:p w14:paraId="6FFAD102">
      <w:pPr>
        <w:pageBreakBefore w:val="0"/>
        <w:widowControl w:val="0"/>
        <w:kinsoku/>
        <w:overflowPunct/>
        <w:bidi w:val="0"/>
        <w:spacing w:line="360" w:lineRule="auto"/>
        <w:ind w:firstLine="5940" w:firstLineChars="27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日期：</w:t>
      </w:r>
    </w:p>
    <w:p w14:paraId="6F603EF0">
      <w:pPr>
        <w:pageBreakBefore w:val="0"/>
        <w:widowControl w:val="0"/>
        <w:kinsoku/>
        <w:overflowPunct/>
        <w:bidi w:val="0"/>
        <w:spacing w:line="360" w:lineRule="auto"/>
        <w:rPr>
          <w:rFonts w:hint="eastAsia" w:ascii="宋体" w:eastAsia="宋体"/>
          <w:color w:val="auto"/>
          <w:sz w:val="22"/>
          <w:szCs w:val="22"/>
          <w:highlight w:val="none"/>
        </w:rPr>
      </w:pPr>
      <w:r>
        <w:rPr>
          <w:rFonts w:hint="eastAsia" w:ascii="宋体" w:eastAsia="宋体"/>
          <w:color w:val="auto"/>
          <w:sz w:val="22"/>
          <w:szCs w:val="22"/>
          <w:highlight w:val="none"/>
        </w:rPr>
        <w:t>说明：</w:t>
      </w:r>
    </w:p>
    <w:p w14:paraId="3909507D">
      <w:pPr>
        <w:pageBreakBefore w:val="0"/>
        <w:widowControl w:val="0"/>
        <w:kinsoku/>
        <w:overflowPunct/>
        <w:bidi w:val="0"/>
        <w:spacing w:line="360" w:lineRule="auto"/>
        <w:rPr>
          <w:rFonts w:hint="eastAsia" w:ascii="宋体" w:eastAsia="宋体"/>
          <w:color w:val="auto"/>
          <w:sz w:val="22"/>
          <w:szCs w:val="22"/>
          <w:highlight w:val="none"/>
        </w:rPr>
      </w:pPr>
      <w:r>
        <w:rPr>
          <w:rFonts w:hint="eastAsia" w:ascii="宋体" w:eastAsia="宋体"/>
          <w:color w:val="auto"/>
          <w:sz w:val="22"/>
          <w:szCs w:val="22"/>
          <w:highlight w:val="none"/>
        </w:rPr>
        <w:t>1从业人员、营业收入、资产总额填报上一年度数据，无上一年度数据的新成立企业可不填报。</w:t>
      </w:r>
    </w:p>
    <w:p w14:paraId="3959F255">
      <w:pPr>
        <w:pageBreakBefore w:val="0"/>
        <w:widowControl w:val="0"/>
        <w:kinsoku/>
        <w:overflowPunct/>
        <w:bidi w:val="0"/>
        <w:spacing w:line="360" w:lineRule="auto"/>
        <w:rPr>
          <w:rFonts w:hint="eastAsia" w:ascii="宋体" w:eastAsia="宋体"/>
          <w:color w:val="auto"/>
          <w:sz w:val="22"/>
          <w:szCs w:val="22"/>
          <w:highlight w:val="none"/>
        </w:rPr>
      </w:pPr>
      <w:r>
        <w:rPr>
          <w:rFonts w:hint="eastAsia" w:ascii="宋体" w:eastAsia="宋体"/>
          <w:color w:val="auto"/>
          <w:sz w:val="22"/>
          <w:szCs w:val="22"/>
          <w:highlight w:val="none"/>
        </w:rPr>
        <w:t>2、如中标，将在成交公告中将此中小企业声明函予以公示，接受社会监督。</w:t>
      </w:r>
    </w:p>
    <w:p w14:paraId="59E42381">
      <w:pPr>
        <w:pageBreakBefore w:val="0"/>
        <w:widowControl w:val="0"/>
        <w:kinsoku/>
        <w:overflowPunct/>
        <w:bidi w:val="0"/>
        <w:spacing w:line="360" w:lineRule="auto"/>
        <w:rPr>
          <w:rFonts w:hint="eastAsia" w:ascii="宋体" w:eastAsia="宋体"/>
          <w:color w:val="auto"/>
          <w:sz w:val="22"/>
          <w:szCs w:val="22"/>
          <w:highlight w:val="none"/>
        </w:rPr>
      </w:pPr>
    </w:p>
    <w:p w14:paraId="1378C91F">
      <w:pPr>
        <w:pStyle w:val="10"/>
        <w:pageBreakBefore w:val="0"/>
        <w:widowControl w:val="0"/>
        <w:kinsoku/>
        <w:overflowPunct/>
        <w:bidi w:val="0"/>
        <w:spacing w:line="360" w:lineRule="auto"/>
        <w:rPr>
          <w:rFonts w:hint="eastAsia"/>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C89FF94">
      <w:pPr>
        <w:pageBreakBefore w:val="0"/>
        <w:widowControl w:val="0"/>
        <w:kinsoku/>
        <w:overflowPunct/>
        <w:bidi w:val="0"/>
        <w:spacing w:line="360" w:lineRule="auto"/>
        <w:outlineLvl w:val="0"/>
        <w:rPr>
          <w:rFonts w:hint="eastAsia" w:ascii="宋体" w:eastAsia="宋体"/>
          <w:color w:val="auto"/>
          <w:sz w:val="22"/>
          <w:szCs w:val="22"/>
          <w:highlight w:val="none"/>
        </w:rPr>
      </w:pPr>
      <w:bookmarkStart w:id="48" w:name="_Toc5942"/>
      <w:bookmarkStart w:id="49" w:name="_Toc29905"/>
      <w:r>
        <w:rPr>
          <w:rFonts w:hint="eastAsia" w:ascii="宋体" w:eastAsia="宋体"/>
          <w:color w:val="auto"/>
          <w:sz w:val="22"/>
          <w:szCs w:val="22"/>
          <w:highlight w:val="none"/>
        </w:rPr>
        <w:t>附件2</w:t>
      </w:r>
      <w:bookmarkEnd w:id="48"/>
      <w:bookmarkEnd w:id="49"/>
    </w:p>
    <w:p w14:paraId="2C362C05">
      <w:pPr>
        <w:pageBreakBefore w:val="0"/>
        <w:widowControl w:val="0"/>
        <w:kinsoku/>
        <w:overflowPunct/>
        <w:bidi w:val="0"/>
        <w:spacing w:line="360" w:lineRule="auto"/>
        <w:jc w:val="center"/>
        <w:rPr>
          <w:rFonts w:hint="eastAsia" w:ascii="宋体" w:eastAsia="宋体"/>
          <w:b/>
          <w:bCs/>
          <w:color w:val="auto"/>
          <w:sz w:val="28"/>
          <w:szCs w:val="28"/>
          <w:highlight w:val="none"/>
        </w:rPr>
      </w:pPr>
      <w:r>
        <w:rPr>
          <w:rFonts w:hint="eastAsia" w:ascii="宋体" w:eastAsia="宋体"/>
          <w:b/>
          <w:bCs/>
          <w:color w:val="auto"/>
          <w:sz w:val="28"/>
          <w:szCs w:val="28"/>
          <w:highlight w:val="none"/>
        </w:rPr>
        <w:t>残疾人福利性单位声明函</w:t>
      </w:r>
    </w:p>
    <w:p w14:paraId="2F8B6B02">
      <w:pPr>
        <w:pageBreakBefore w:val="0"/>
        <w:widowControl w:val="0"/>
        <w:kinsoku/>
        <w:overflowPunct/>
        <w:bidi w:val="0"/>
        <w:spacing w:line="360" w:lineRule="auto"/>
        <w:ind w:firstLine="464" w:firstLineChars="200"/>
        <w:rPr>
          <w:rFonts w:hint="eastAsia" w:ascii="宋体" w:eastAsia="宋体"/>
          <w:b w:val="0"/>
          <w:bCs w:val="0"/>
          <w:color w:val="auto"/>
          <w:spacing w:val="6"/>
          <w:sz w:val="22"/>
          <w:szCs w:val="22"/>
          <w:highlight w:val="none"/>
        </w:rPr>
      </w:pPr>
      <w:r>
        <w:rPr>
          <w:rFonts w:hint="eastAsia" w:ascii="宋体" w:eastAsia="宋体"/>
          <w:b w:val="0"/>
          <w:bCs w:val="0"/>
          <w:color w:val="auto"/>
          <w:spacing w:val="6"/>
          <w:sz w:val="22"/>
          <w:szCs w:val="22"/>
          <w:highlight w:val="none"/>
        </w:rPr>
        <w:t>本单位郑重声明，根据《财政部 民政部 中国残疾人联合会关于促进残疾人就业政府采购政策的通知》（财库</w:t>
      </w:r>
      <w:r>
        <w:rPr>
          <w:rFonts w:hint="eastAsia" w:ascii="宋体" w:eastAsia="宋体"/>
          <w:b w:val="0"/>
          <w:bCs w:val="0"/>
          <w:color w:val="auto"/>
          <w:spacing w:val="6"/>
          <w:sz w:val="22"/>
          <w:szCs w:val="22"/>
          <w:highlight w:val="none"/>
          <w:lang w:eastAsia="zh-CN"/>
        </w:rPr>
        <w:t>〔2017〕141号</w:t>
      </w:r>
      <w:r>
        <w:rPr>
          <w:rFonts w:hint="eastAsia" w:ascii="宋体" w:eastAsia="宋体"/>
          <w:b w:val="0"/>
          <w:bCs w:val="0"/>
          <w:color w:val="auto"/>
          <w:spacing w:val="6"/>
          <w:sz w:val="22"/>
          <w:szCs w:val="22"/>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5BFDE3">
      <w:pPr>
        <w:pageBreakBefore w:val="0"/>
        <w:widowControl w:val="0"/>
        <w:kinsoku/>
        <w:overflowPunct/>
        <w:bidi w:val="0"/>
        <w:spacing w:line="360" w:lineRule="auto"/>
        <w:ind w:firstLine="464" w:firstLineChars="200"/>
        <w:rPr>
          <w:rFonts w:hint="eastAsia" w:ascii="宋体" w:eastAsia="宋体"/>
          <w:b w:val="0"/>
          <w:bCs w:val="0"/>
          <w:color w:val="auto"/>
          <w:spacing w:val="6"/>
          <w:sz w:val="22"/>
          <w:szCs w:val="22"/>
          <w:highlight w:val="none"/>
        </w:rPr>
      </w:pPr>
      <w:r>
        <w:rPr>
          <w:rFonts w:hint="eastAsia" w:ascii="宋体" w:eastAsia="宋体"/>
          <w:b w:val="0"/>
          <w:bCs w:val="0"/>
          <w:color w:val="auto"/>
          <w:spacing w:val="6"/>
          <w:sz w:val="22"/>
          <w:szCs w:val="22"/>
          <w:highlight w:val="none"/>
        </w:rPr>
        <w:t>本单位对上述声明的真实性负责。如有虚假，将依法承担相应责任。</w:t>
      </w:r>
    </w:p>
    <w:p w14:paraId="4EF8E6F5">
      <w:pPr>
        <w:pageBreakBefore w:val="0"/>
        <w:widowControl w:val="0"/>
        <w:kinsoku/>
        <w:overflowPunct/>
        <w:bidi w:val="0"/>
        <w:spacing w:line="360" w:lineRule="auto"/>
        <w:ind w:firstLine="464" w:firstLineChars="200"/>
        <w:rPr>
          <w:rFonts w:hint="eastAsia" w:ascii="宋体" w:eastAsia="宋体"/>
          <w:b w:val="0"/>
          <w:bCs w:val="0"/>
          <w:color w:val="auto"/>
          <w:spacing w:val="6"/>
          <w:sz w:val="22"/>
          <w:szCs w:val="22"/>
          <w:highlight w:val="none"/>
        </w:rPr>
      </w:pPr>
    </w:p>
    <w:p w14:paraId="16B5D900">
      <w:pPr>
        <w:pageBreakBefore w:val="0"/>
        <w:widowControl w:val="0"/>
        <w:kinsoku/>
        <w:overflowPunct/>
        <w:bidi w:val="0"/>
        <w:spacing w:line="360" w:lineRule="auto"/>
        <w:ind w:firstLine="464" w:firstLineChars="200"/>
        <w:rPr>
          <w:rFonts w:hint="eastAsia" w:ascii="宋体" w:eastAsia="宋体"/>
          <w:b w:val="0"/>
          <w:bCs w:val="0"/>
          <w:color w:val="auto"/>
          <w:spacing w:val="6"/>
          <w:sz w:val="22"/>
          <w:szCs w:val="22"/>
          <w:highlight w:val="none"/>
        </w:rPr>
      </w:pPr>
    </w:p>
    <w:p w14:paraId="32B266CB">
      <w:pPr>
        <w:pageBreakBefore w:val="0"/>
        <w:widowControl w:val="0"/>
        <w:tabs>
          <w:tab w:val="left" w:pos="4860"/>
        </w:tabs>
        <w:kinsoku/>
        <w:overflowPunct/>
        <w:bidi w:val="0"/>
        <w:spacing w:line="360" w:lineRule="auto"/>
        <w:ind w:right="1560" w:firstLine="464" w:firstLineChars="200"/>
        <w:jc w:val="center"/>
        <w:rPr>
          <w:rFonts w:hint="eastAsia" w:ascii="宋体" w:eastAsia="宋体"/>
          <w:b w:val="0"/>
          <w:bCs w:val="0"/>
          <w:color w:val="auto"/>
          <w:spacing w:val="6"/>
          <w:sz w:val="22"/>
          <w:szCs w:val="22"/>
          <w:highlight w:val="none"/>
        </w:rPr>
      </w:pPr>
      <w:r>
        <w:rPr>
          <w:rFonts w:hint="eastAsia" w:ascii="宋体" w:eastAsia="宋体"/>
          <w:b w:val="0"/>
          <w:bCs w:val="0"/>
          <w:color w:val="auto"/>
          <w:spacing w:val="6"/>
          <w:sz w:val="22"/>
          <w:szCs w:val="22"/>
          <w:highlight w:val="none"/>
        </w:rPr>
        <w:t xml:space="preserve">               单位名称（盖章）：</w:t>
      </w:r>
    </w:p>
    <w:p w14:paraId="01CDF77C">
      <w:pPr>
        <w:pageBreakBefore w:val="0"/>
        <w:widowControl w:val="0"/>
        <w:tabs>
          <w:tab w:val="left" w:pos="4860"/>
        </w:tabs>
        <w:kinsoku/>
        <w:overflowPunct/>
        <w:bidi w:val="0"/>
        <w:spacing w:line="360" w:lineRule="auto"/>
        <w:ind w:right="1560" w:firstLine="464" w:firstLineChars="200"/>
        <w:jc w:val="center"/>
        <w:rPr>
          <w:rFonts w:hint="eastAsia" w:ascii="宋体" w:eastAsia="宋体"/>
          <w:b w:val="0"/>
          <w:bCs w:val="0"/>
          <w:color w:val="auto"/>
          <w:spacing w:val="6"/>
          <w:sz w:val="22"/>
          <w:szCs w:val="22"/>
          <w:highlight w:val="none"/>
        </w:rPr>
      </w:pPr>
      <w:r>
        <w:rPr>
          <w:rFonts w:hint="eastAsia" w:ascii="宋体" w:eastAsia="宋体"/>
          <w:b w:val="0"/>
          <w:bCs w:val="0"/>
          <w:color w:val="auto"/>
          <w:spacing w:val="6"/>
          <w:sz w:val="22"/>
          <w:szCs w:val="22"/>
          <w:highlight w:val="none"/>
        </w:rPr>
        <w:t xml:space="preserve">       日  期：</w:t>
      </w:r>
    </w:p>
    <w:p w14:paraId="6A5692C1">
      <w:pPr>
        <w:pageBreakBefore w:val="0"/>
        <w:widowControl w:val="0"/>
        <w:tabs>
          <w:tab w:val="left" w:pos="4860"/>
        </w:tabs>
        <w:kinsoku/>
        <w:overflowPunct/>
        <w:bidi w:val="0"/>
        <w:spacing w:line="360" w:lineRule="auto"/>
        <w:ind w:right="1560"/>
        <w:rPr>
          <w:rFonts w:hint="eastAsia" w:ascii="宋体" w:eastAsia="宋体"/>
          <w:color w:val="auto"/>
          <w:sz w:val="22"/>
          <w:szCs w:val="22"/>
          <w:highlight w:val="none"/>
        </w:rPr>
      </w:pPr>
      <w:r>
        <w:rPr>
          <w:rFonts w:hint="eastAsia" w:ascii="宋体" w:eastAsia="宋体"/>
          <w:color w:val="auto"/>
          <w:sz w:val="22"/>
          <w:szCs w:val="22"/>
          <w:highlight w:val="none"/>
        </w:rPr>
        <w:t>备注说明：</w:t>
      </w:r>
    </w:p>
    <w:p w14:paraId="28914F5A">
      <w:pPr>
        <w:pageBreakBefore w:val="0"/>
        <w:widowControl w:val="0"/>
        <w:tabs>
          <w:tab w:val="left" w:pos="4860"/>
        </w:tabs>
        <w:kinsoku/>
        <w:overflowPunct/>
        <w:bidi w:val="0"/>
        <w:spacing w:line="360" w:lineRule="auto"/>
        <w:ind w:right="1560"/>
        <w:rPr>
          <w:rFonts w:hint="eastAsia" w:ascii="宋体" w:eastAsia="宋体"/>
          <w:color w:val="auto"/>
          <w:sz w:val="22"/>
          <w:szCs w:val="22"/>
          <w:highlight w:val="none"/>
        </w:rPr>
      </w:pPr>
      <w:r>
        <w:rPr>
          <w:rFonts w:hint="eastAsia" w:ascii="宋体" w:eastAsia="宋体"/>
          <w:color w:val="auto"/>
          <w:sz w:val="22"/>
          <w:szCs w:val="22"/>
          <w:highlight w:val="none"/>
        </w:rPr>
        <w:t>1、如中标，将在中标公示中将此残疾人福利性单位声明函予以公示，接受社会监督；</w:t>
      </w:r>
    </w:p>
    <w:p w14:paraId="6A639965">
      <w:pPr>
        <w:pageBreakBefore w:val="0"/>
        <w:widowControl w:val="0"/>
        <w:tabs>
          <w:tab w:val="left" w:pos="4860"/>
        </w:tabs>
        <w:kinsoku/>
        <w:overflowPunct/>
        <w:bidi w:val="0"/>
        <w:spacing w:line="360" w:lineRule="auto"/>
        <w:ind w:right="3"/>
        <w:rPr>
          <w:rFonts w:hint="eastAsia" w:ascii="宋体" w:eastAsia="宋体"/>
          <w:color w:val="auto"/>
          <w:sz w:val="22"/>
          <w:szCs w:val="22"/>
          <w:highlight w:val="none"/>
        </w:rPr>
      </w:pPr>
      <w:r>
        <w:rPr>
          <w:rFonts w:hint="eastAsia" w:ascii="宋体" w:eastAsia="宋体"/>
          <w:color w:val="auto"/>
          <w:sz w:val="22"/>
          <w:szCs w:val="22"/>
          <w:highlight w:val="none"/>
        </w:rPr>
        <w:t>2、供应商提供的《残疾人福利性单位声明函》与事实不符的，依照《</w:t>
      </w:r>
      <w:r>
        <w:rPr>
          <w:rFonts w:hint="eastAsia" w:ascii="宋体" w:eastAsia="宋体"/>
          <w:color w:val="auto"/>
          <w:sz w:val="22"/>
          <w:szCs w:val="22"/>
          <w:highlight w:val="none"/>
          <w:lang w:eastAsia="zh-CN"/>
        </w:rPr>
        <w:t>中华人民共和国政府采购法</w:t>
      </w:r>
      <w:r>
        <w:rPr>
          <w:rFonts w:hint="eastAsia" w:ascii="宋体" w:eastAsia="宋体"/>
          <w:color w:val="auto"/>
          <w:sz w:val="22"/>
          <w:szCs w:val="22"/>
          <w:highlight w:val="none"/>
        </w:rPr>
        <w:t>》第七十七条第一款的规定追究法律责任。</w:t>
      </w:r>
    </w:p>
    <w:p w14:paraId="5C711ACF">
      <w:pPr>
        <w:pStyle w:val="10"/>
        <w:pageBreakBefore w:val="0"/>
        <w:widowControl w:val="0"/>
        <w:kinsoku/>
        <w:overflowPunct/>
        <w:bidi w:val="0"/>
        <w:spacing w:line="324" w:lineRule="auto"/>
        <w:ind w:firstLine="0"/>
        <w:rPr>
          <w:rFonts w:hint="eastAsia" w:ascii="宋体" w:hAnsi="宋体" w:cs="宋体"/>
          <w:color w:val="auto"/>
          <w:highlight w:val="none"/>
        </w:rPr>
      </w:pPr>
    </w:p>
    <w:p w14:paraId="64D07EA6">
      <w:pPr>
        <w:pStyle w:val="10"/>
        <w:pageBreakBefore w:val="0"/>
        <w:widowControl w:val="0"/>
        <w:kinsoku/>
        <w:overflowPunct/>
        <w:bidi w:val="0"/>
        <w:spacing w:line="324" w:lineRule="auto"/>
        <w:rPr>
          <w:rFonts w:hint="eastAsia" w:ascii="宋体" w:hAnsi="宋体" w:cs="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6384866">
      <w:pPr>
        <w:pageBreakBefore w:val="0"/>
        <w:widowControl w:val="0"/>
        <w:kinsoku/>
        <w:overflowPunct/>
        <w:autoSpaceDE w:val="0"/>
        <w:autoSpaceDN w:val="0"/>
        <w:bidi w:val="0"/>
        <w:adjustRightInd w:val="0"/>
        <w:spacing w:line="324" w:lineRule="auto"/>
        <w:jc w:val="center"/>
        <w:outlineLvl w:val="0"/>
        <w:rPr>
          <w:rFonts w:hint="eastAsia" w:ascii="宋体" w:eastAsia="宋体"/>
          <w:b w:val="0"/>
          <w:bCs w:val="0"/>
          <w:color w:val="auto"/>
          <w:kern w:val="2"/>
          <w:sz w:val="24"/>
          <w:szCs w:val="24"/>
          <w:highlight w:val="none"/>
        </w:rPr>
      </w:pPr>
      <w:bookmarkStart w:id="50" w:name="_Toc15753"/>
      <w:r>
        <w:rPr>
          <w:rFonts w:hint="eastAsia" w:ascii="宋体" w:eastAsia="宋体"/>
          <w:color w:val="auto"/>
          <w:sz w:val="36"/>
          <w:szCs w:val="36"/>
          <w:highlight w:val="none"/>
          <w:lang w:val="zh-CN"/>
        </w:rPr>
        <w:t>第六部分  合同格式</w:t>
      </w:r>
      <w:bookmarkEnd w:id="50"/>
    </w:p>
    <w:p w14:paraId="34F35C81">
      <w:pPr>
        <w:spacing w:line="400" w:lineRule="exact"/>
        <w:ind w:firstLine="220" w:firstLineChars="10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（本合同为草案，以最终签订的政府采购合同为准）</w:t>
      </w:r>
    </w:p>
    <w:p w14:paraId="6F74F780">
      <w:pPr>
        <w:spacing w:line="360" w:lineRule="auto"/>
        <w:rPr>
          <w:rFonts w:hint="eastAsia" w:ascii="宋体" w:hAnsi="宋体" w:eastAsia="宋体" w:cs="宋体"/>
          <w:b w:val="0"/>
          <w:bCs w:val="0"/>
          <w:color w:val="auto"/>
          <w:kern w:val="0"/>
          <w:sz w:val="22"/>
          <w:szCs w:val="22"/>
          <w:highlight w:val="none"/>
          <w:u w:val="single"/>
        </w:rPr>
      </w:pPr>
      <w:r>
        <w:rPr>
          <w:rFonts w:hint="eastAsia" w:ascii="宋体" w:hAnsi="宋体" w:eastAsia="宋体" w:cs="宋体"/>
          <w:b w:val="0"/>
          <w:bCs w:val="0"/>
          <w:color w:val="auto"/>
          <w:kern w:val="0"/>
          <w:sz w:val="22"/>
          <w:szCs w:val="22"/>
          <w:highlight w:val="none"/>
        </w:rPr>
        <w:t>项目委托单位（以下简称甲方）：</w:t>
      </w:r>
      <w:r>
        <w:rPr>
          <w:rFonts w:hint="eastAsia" w:ascii="宋体" w:hAnsi="宋体" w:eastAsia="宋体" w:cs="宋体"/>
          <w:b w:val="0"/>
          <w:bCs w:val="0"/>
          <w:color w:val="auto"/>
          <w:kern w:val="0"/>
          <w:sz w:val="22"/>
          <w:szCs w:val="22"/>
          <w:highlight w:val="none"/>
          <w:u w:val="single"/>
        </w:rPr>
        <w:t xml:space="preserve">                       </w:t>
      </w:r>
    </w:p>
    <w:p w14:paraId="515B01C6">
      <w:pPr>
        <w:spacing w:line="360" w:lineRule="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项目服务单位（以下简称乙方）：</w:t>
      </w:r>
      <w:r>
        <w:rPr>
          <w:rFonts w:hint="eastAsia" w:ascii="宋体" w:hAnsi="宋体" w:eastAsia="宋体" w:cs="宋体"/>
          <w:b w:val="0"/>
          <w:bCs w:val="0"/>
          <w:color w:val="auto"/>
          <w:kern w:val="0"/>
          <w:sz w:val="22"/>
          <w:szCs w:val="22"/>
          <w:highlight w:val="none"/>
          <w:u w:val="single"/>
        </w:rPr>
        <w:t xml:space="preserve">                       </w:t>
      </w:r>
    </w:p>
    <w:p w14:paraId="73EA64BF">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根据《中华人民共和国民法典》、《中华人民共和国政府采购法》等有关政府采购法律、法规及省、市有关规定，甲乙双方按照</w:t>
      </w:r>
      <w:r>
        <w:rPr>
          <w:rFonts w:hint="eastAsia" w:ascii="宋体" w:hAnsi="宋体" w:eastAsia="宋体" w:cs="宋体"/>
          <w:b w:val="0"/>
          <w:bCs/>
          <w:snapToGrid w:val="0"/>
          <w:color w:val="auto"/>
          <w:sz w:val="22"/>
          <w:szCs w:val="22"/>
          <w:u w:val="single"/>
          <w:lang w:val="en-US" w:eastAsia="zh-CN"/>
        </w:rPr>
        <w:t xml:space="preserve">              </w:t>
      </w:r>
      <w:r>
        <w:rPr>
          <w:rFonts w:hint="eastAsia" w:ascii="宋体" w:hAnsi="宋体" w:eastAsia="宋体" w:cs="宋体"/>
          <w:b w:val="0"/>
          <w:bCs/>
          <w:snapToGrid w:val="0"/>
          <w:color w:val="auto"/>
          <w:sz w:val="22"/>
          <w:szCs w:val="22"/>
        </w:rPr>
        <w:t>（项目编号：</w:t>
      </w:r>
      <w:r>
        <w:rPr>
          <w:rFonts w:hint="eastAsia" w:ascii="宋体" w:hAnsi="宋体" w:eastAsia="宋体" w:cs="宋体"/>
          <w:b w:val="0"/>
          <w:bCs/>
          <w:snapToGrid w:val="0"/>
          <w:color w:val="auto"/>
          <w:sz w:val="22"/>
          <w:szCs w:val="22"/>
          <w:u w:val="single"/>
          <w:lang w:val="en-US" w:eastAsia="zh-CN"/>
        </w:rPr>
        <w:t xml:space="preserve">      </w:t>
      </w:r>
      <w:r>
        <w:rPr>
          <w:rFonts w:hint="eastAsia" w:ascii="宋体" w:hAnsi="宋体" w:eastAsia="宋体" w:cs="宋体"/>
          <w:b w:val="0"/>
          <w:bCs/>
          <w:snapToGrid w:val="0"/>
          <w:color w:val="auto"/>
          <w:sz w:val="22"/>
          <w:szCs w:val="22"/>
        </w:rPr>
        <w:t>）采购结果，签订本合同：</w:t>
      </w:r>
    </w:p>
    <w:p w14:paraId="198A1137">
      <w:pPr>
        <w:widowControl w:val="0"/>
        <w:spacing w:after="0" w:line="360" w:lineRule="auto"/>
        <w:jc w:val="both"/>
        <w:outlineLvl w:val="9"/>
        <w:rPr>
          <w:rFonts w:hint="eastAsia" w:ascii="宋体" w:hAnsi="宋体" w:eastAsia="宋体" w:cs="宋体"/>
          <w:b/>
          <w:bCs w:val="0"/>
          <w:snapToGrid w:val="0"/>
          <w:color w:val="auto"/>
          <w:sz w:val="22"/>
          <w:szCs w:val="22"/>
        </w:rPr>
      </w:pPr>
      <w:r>
        <w:rPr>
          <w:rFonts w:hint="eastAsia" w:ascii="宋体" w:hAnsi="宋体" w:eastAsia="宋体" w:cs="宋体"/>
          <w:b/>
          <w:bCs w:val="0"/>
          <w:snapToGrid w:val="0"/>
          <w:color w:val="auto"/>
          <w:sz w:val="22"/>
          <w:szCs w:val="22"/>
        </w:rPr>
        <w:t>一、服务内容</w:t>
      </w:r>
    </w:p>
    <w:p w14:paraId="6FEAB44A">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（一）</w:t>
      </w:r>
      <w:r>
        <w:rPr>
          <w:rFonts w:hint="eastAsia" w:ascii="宋体" w:hAnsi="宋体" w:eastAsia="宋体" w:cs="宋体"/>
          <w:b w:val="0"/>
          <w:color w:val="auto"/>
          <w:sz w:val="22"/>
          <w:szCs w:val="22"/>
          <w:highlight w:val="none"/>
        </w:rPr>
        <w:t>创建路线</w:t>
      </w:r>
    </w:p>
    <w:p w14:paraId="16FD08D4">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根据现场踏勘及资料调查，</w:t>
      </w:r>
      <w:r>
        <w:rPr>
          <w:rFonts w:hint="eastAsia" w:ascii="宋体" w:hAnsi="宋体" w:eastAsia="宋体" w:cs="宋体"/>
          <w:b w:val="0"/>
          <w:color w:val="auto"/>
          <w:sz w:val="22"/>
          <w:szCs w:val="22"/>
          <w:highlight w:val="none"/>
        </w:rPr>
        <w:t>确定创建名单、开展创建</w:t>
      </w:r>
      <w:r>
        <w:rPr>
          <w:rFonts w:hint="eastAsia" w:ascii="宋体" w:hAnsi="宋体" w:eastAsia="宋体" w:cs="宋体"/>
          <w:b w:val="0"/>
          <w:color w:val="auto"/>
          <w:sz w:val="22"/>
          <w:szCs w:val="22"/>
          <w:highlight w:val="none"/>
          <w:lang w:val="en-US" w:eastAsia="zh-CN"/>
        </w:rPr>
        <w:t>工作</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组织评审</w:t>
      </w:r>
      <w:r>
        <w:rPr>
          <w:rFonts w:hint="eastAsia" w:ascii="宋体" w:hAnsi="宋体" w:eastAsia="宋体" w:cs="宋体"/>
          <w:b w:val="0"/>
          <w:color w:val="auto"/>
          <w:sz w:val="22"/>
          <w:szCs w:val="22"/>
          <w:highlight w:val="none"/>
        </w:rPr>
        <w:t>、管理与复核流程推进项目，确保各环节按时完成。</w:t>
      </w:r>
    </w:p>
    <w:p w14:paraId="0149110F">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技术路线需结合文成县实际，开展小区改造、噪声监测、制度建设，挖掘特色亮点，形成</w:t>
      </w:r>
      <w:r>
        <w:rPr>
          <w:rFonts w:hint="eastAsia" w:ascii="宋体" w:hAnsi="宋体" w:eastAsia="宋体" w:cs="宋体"/>
          <w:b w:val="0"/>
          <w:color w:val="auto"/>
          <w:sz w:val="22"/>
          <w:szCs w:val="22"/>
          <w:highlight w:val="none"/>
          <w:lang w:val="en-US" w:eastAsia="zh-CN"/>
        </w:rPr>
        <w:t>文成县宁静小区</w:t>
      </w:r>
      <w:r>
        <w:rPr>
          <w:rFonts w:hint="eastAsia" w:ascii="宋体" w:hAnsi="宋体" w:eastAsia="宋体" w:cs="宋体"/>
          <w:b w:val="0"/>
          <w:color w:val="auto"/>
          <w:sz w:val="22"/>
          <w:szCs w:val="22"/>
          <w:highlight w:val="none"/>
        </w:rPr>
        <w:t>全面</w:t>
      </w:r>
      <w:r>
        <w:rPr>
          <w:rFonts w:hint="eastAsia" w:ascii="宋体" w:hAnsi="宋体" w:eastAsia="宋体" w:cs="宋体"/>
          <w:b w:val="0"/>
          <w:color w:val="auto"/>
          <w:sz w:val="22"/>
          <w:szCs w:val="22"/>
          <w:highlight w:val="none"/>
          <w:lang w:val="en-US" w:eastAsia="zh-CN"/>
        </w:rPr>
        <w:t>创建</w:t>
      </w:r>
      <w:r>
        <w:rPr>
          <w:rFonts w:hint="eastAsia" w:ascii="宋体" w:hAnsi="宋体" w:eastAsia="宋体" w:cs="宋体"/>
          <w:b w:val="0"/>
          <w:color w:val="auto"/>
          <w:sz w:val="22"/>
          <w:szCs w:val="22"/>
          <w:highlight w:val="none"/>
        </w:rPr>
        <w:t>方案。</w:t>
      </w:r>
    </w:p>
    <w:p w14:paraId="3F685DAF">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（二）组织</w:t>
      </w:r>
      <w:r>
        <w:rPr>
          <w:rFonts w:hint="eastAsia" w:ascii="宋体" w:hAnsi="宋体" w:eastAsia="宋体" w:cs="宋体"/>
          <w:b w:val="0"/>
          <w:color w:val="auto"/>
          <w:sz w:val="22"/>
          <w:szCs w:val="22"/>
          <w:highlight w:val="none"/>
        </w:rPr>
        <w:t>实施</w:t>
      </w:r>
      <w:r>
        <w:rPr>
          <w:rFonts w:hint="eastAsia" w:ascii="宋体" w:hAnsi="宋体" w:eastAsia="宋体" w:cs="宋体"/>
          <w:b w:val="0"/>
          <w:color w:val="auto"/>
          <w:sz w:val="22"/>
          <w:szCs w:val="22"/>
          <w:highlight w:val="none"/>
          <w:lang w:val="en-US" w:eastAsia="zh-CN"/>
        </w:rPr>
        <w:t>方案</w:t>
      </w:r>
    </w:p>
    <w:p w14:paraId="712E19EB">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全面调研</w:t>
      </w:r>
      <w:r>
        <w:rPr>
          <w:rFonts w:hint="eastAsia" w:ascii="宋体" w:hAnsi="宋体" w:eastAsia="宋体" w:cs="宋体"/>
          <w:b w:val="0"/>
          <w:color w:val="auto"/>
          <w:sz w:val="22"/>
          <w:szCs w:val="22"/>
          <w:highlight w:val="none"/>
        </w:rPr>
        <w:t>：调研小区及周边噪声源，绘制噪声地图，形成“一源一策”治理方案。监测声环境质量，分析数据为治理</w:t>
      </w:r>
      <w:r>
        <w:rPr>
          <w:rFonts w:hint="eastAsia" w:ascii="宋体" w:hAnsi="宋体" w:eastAsia="宋体" w:cs="宋体"/>
          <w:b w:val="0"/>
          <w:color w:val="auto"/>
          <w:sz w:val="22"/>
          <w:szCs w:val="22"/>
          <w:highlight w:val="none"/>
          <w:lang w:val="en-US" w:eastAsia="zh-CN"/>
        </w:rPr>
        <w:t>创建</w:t>
      </w:r>
      <w:r>
        <w:rPr>
          <w:rFonts w:hint="eastAsia" w:ascii="宋体" w:hAnsi="宋体" w:eastAsia="宋体" w:cs="宋体"/>
          <w:b w:val="0"/>
          <w:color w:val="auto"/>
          <w:sz w:val="22"/>
          <w:szCs w:val="22"/>
          <w:highlight w:val="none"/>
        </w:rPr>
        <w:t>提供依据。</w:t>
      </w:r>
    </w:p>
    <w:p w14:paraId="5EE4A258">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精准管控：安装环境噪声</w:t>
      </w:r>
      <w:r>
        <w:rPr>
          <w:rFonts w:hint="eastAsia" w:ascii="宋体" w:hAnsi="宋体" w:eastAsia="宋体" w:cs="宋体"/>
          <w:b w:val="0"/>
          <w:color w:val="auto"/>
          <w:sz w:val="22"/>
          <w:szCs w:val="22"/>
          <w:highlight w:val="none"/>
          <w:lang w:val="en-US" w:eastAsia="zh-CN"/>
        </w:rPr>
        <w:t>自动</w:t>
      </w:r>
      <w:r>
        <w:rPr>
          <w:rFonts w:hint="eastAsia" w:ascii="宋体" w:hAnsi="宋体" w:eastAsia="宋体" w:cs="宋体"/>
          <w:b w:val="0"/>
          <w:color w:val="auto"/>
          <w:sz w:val="22"/>
          <w:szCs w:val="22"/>
          <w:highlight w:val="none"/>
        </w:rPr>
        <w:t>监测设备，覆盖噪声突出区域，实现24小时监测，建立超标预警机制并与</w:t>
      </w:r>
      <w:r>
        <w:rPr>
          <w:rFonts w:hint="eastAsia" w:ascii="宋体" w:hAnsi="宋体" w:eastAsia="宋体" w:cs="宋体"/>
          <w:b w:val="0"/>
          <w:color w:val="auto"/>
          <w:sz w:val="22"/>
          <w:szCs w:val="22"/>
          <w:highlight w:val="none"/>
          <w:lang w:val="en-US" w:eastAsia="zh-CN"/>
        </w:rPr>
        <w:t>数据</w:t>
      </w:r>
      <w:r>
        <w:rPr>
          <w:rFonts w:hint="eastAsia" w:ascii="宋体" w:hAnsi="宋体" w:eastAsia="宋体" w:cs="宋体"/>
          <w:b w:val="0"/>
          <w:color w:val="auto"/>
          <w:sz w:val="22"/>
          <w:szCs w:val="22"/>
          <w:highlight w:val="none"/>
        </w:rPr>
        <w:t>平台对接。配备便携式多功能声级计，便于灵活监测。</w:t>
      </w:r>
    </w:p>
    <w:p w14:paraId="7D53B743">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专项方案：打造特色亮点，立足小区实际，挖掘优势资源，形成专项方案并宣传推广。加强宣传引导，利用多种渠道宣传，提高公众参与度。开展居民满意度调查，设计问卷，收集意见改进工作。总结建设成果，评估效果，建立长效管控机制。</w:t>
      </w:r>
    </w:p>
    <w:p w14:paraId="438C8A63">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绩效评估：利用</w:t>
      </w:r>
      <w:r>
        <w:rPr>
          <w:rFonts w:hint="eastAsia" w:ascii="宋体" w:hAnsi="宋体" w:eastAsia="宋体" w:cs="宋体"/>
          <w:b w:val="0"/>
          <w:color w:val="auto"/>
          <w:sz w:val="22"/>
          <w:szCs w:val="22"/>
          <w:highlight w:val="none"/>
          <w:lang w:val="en-US" w:eastAsia="zh-CN"/>
        </w:rPr>
        <w:t>自动</w:t>
      </w:r>
      <w:r>
        <w:rPr>
          <w:rFonts w:hint="eastAsia" w:ascii="宋体" w:hAnsi="宋体" w:eastAsia="宋体" w:cs="宋体"/>
          <w:b w:val="0"/>
          <w:color w:val="auto"/>
          <w:sz w:val="22"/>
          <w:szCs w:val="22"/>
          <w:highlight w:val="none"/>
        </w:rPr>
        <w:t>监测设备</w:t>
      </w:r>
      <w:r>
        <w:rPr>
          <w:rFonts w:hint="eastAsia" w:ascii="宋体" w:hAnsi="宋体" w:eastAsia="宋体" w:cs="宋体"/>
          <w:b w:val="0"/>
          <w:color w:val="auto"/>
          <w:sz w:val="22"/>
          <w:szCs w:val="22"/>
          <w:highlight w:val="none"/>
          <w:lang w:val="en-US" w:eastAsia="zh-CN"/>
        </w:rPr>
        <w:t>结合布点监测，</w:t>
      </w:r>
      <w:r>
        <w:rPr>
          <w:rFonts w:hint="eastAsia" w:ascii="宋体" w:hAnsi="宋体" w:eastAsia="宋体" w:cs="宋体"/>
          <w:b w:val="0"/>
          <w:color w:val="auto"/>
          <w:sz w:val="22"/>
          <w:szCs w:val="22"/>
          <w:highlight w:val="none"/>
        </w:rPr>
        <w:t>评估防治工作绩效，联合各方打造宁静</w:t>
      </w:r>
      <w:r>
        <w:rPr>
          <w:rFonts w:hint="eastAsia" w:ascii="宋体" w:hAnsi="宋体" w:eastAsia="宋体" w:cs="宋体"/>
          <w:b w:val="0"/>
          <w:color w:val="auto"/>
          <w:sz w:val="22"/>
          <w:szCs w:val="22"/>
          <w:highlight w:val="none"/>
          <w:lang w:val="en-US" w:eastAsia="zh-CN"/>
        </w:rPr>
        <w:t>小区成效管理机制</w:t>
      </w:r>
      <w:r>
        <w:rPr>
          <w:rFonts w:hint="eastAsia" w:ascii="宋体" w:hAnsi="宋体" w:eastAsia="宋体" w:cs="宋体"/>
          <w:b w:val="0"/>
          <w:color w:val="auto"/>
          <w:sz w:val="22"/>
          <w:szCs w:val="22"/>
          <w:highlight w:val="none"/>
        </w:rPr>
        <w:t>，实现主动预警和源头控制。</w:t>
      </w:r>
    </w:p>
    <w:p w14:paraId="70A40F3A">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（三）主要成果及要求</w:t>
      </w:r>
    </w:p>
    <w:p w14:paraId="426524A8">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提交《</w:t>
      </w:r>
      <w:r>
        <w:rPr>
          <w:rFonts w:hint="eastAsia" w:ascii="宋体" w:hAnsi="宋体" w:eastAsia="宋体" w:cs="宋体"/>
          <w:b w:val="0"/>
          <w:color w:val="auto"/>
          <w:sz w:val="22"/>
          <w:szCs w:val="22"/>
          <w:highlight w:val="none"/>
          <w:lang w:val="en-US" w:eastAsia="zh-CN"/>
        </w:rPr>
        <w:t>文成县</w:t>
      </w:r>
      <w:r>
        <w:rPr>
          <w:rFonts w:hint="eastAsia" w:ascii="宋体" w:hAnsi="宋体" w:eastAsia="宋体" w:cs="宋体"/>
          <w:b w:val="0"/>
          <w:color w:val="auto"/>
          <w:sz w:val="22"/>
          <w:szCs w:val="22"/>
          <w:highlight w:val="none"/>
        </w:rPr>
        <w:t>宁静小区创建方案》</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宁静</w:t>
      </w:r>
      <w:r>
        <w:rPr>
          <w:rFonts w:hint="eastAsia" w:ascii="宋体" w:hAnsi="宋体" w:eastAsia="宋体" w:cs="宋体"/>
          <w:b w:val="0"/>
          <w:color w:val="auto"/>
          <w:sz w:val="22"/>
          <w:szCs w:val="22"/>
          <w:highlight w:val="none"/>
        </w:rPr>
        <w:t>小区声环境调查报告》</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宁静</w:t>
      </w:r>
      <w:r>
        <w:rPr>
          <w:rFonts w:hint="eastAsia" w:ascii="宋体" w:hAnsi="宋体" w:eastAsia="宋体" w:cs="宋体"/>
          <w:b w:val="0"/>
          <w:color w:val="auto"/>
          <w:sz w:val="22"/>
          <w:szCs w:val="22"/>
          <w:highlight w:val="none"/>
        </w:rPr>
        <w:t>小区背景声环境质量监测报告》</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创建前后各一份）</w:t>
      </w:r>
      <w:r>
        <w:rPr>
          <w:rFonts w:hint="eastAsia" w:ascii="宋体" w:hAnsi="宋体" w:eastAsia="宋体" w:cs="宋体"/>
          <w:b w:val="0"/>
          <w:color w:val="auto"/>
          <w:sz w:val="22"/>
          <w:szCs w:val="22"/>
          <w:highlight w:val="none"/>
        </w:rPr>
        <w:t>等报告，报告内容详实、数据准确。</w:t>
      </w:r>
    </w:p>
    <w:p w14:paraId="131EBD7E">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2.提交宁静小区建设工作方案（每个宁静小区一份），包括《小区噪声管理制度》、《小区噪声公约》、《小区噪声地图》、《宁静小区建设总结报告》。</w:t>
      </w:r>
    </w:p>
    <w:p w14:paraId="1486D13C">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3.开展噪声防治</w:t>
      </w:r>
      <w:r>
        <w:rPr>
          <w:rFonts w:hint="eastAsia" w:ascii="宋体" w:hAnsi="宋体" w:eastAsia="宋体" w:cs="宋体"/>
          <w:b w:val="0"/>
          <w:color w:val="auto"/>
          <w:sz w:val="22"/>
          <w:szCs w:val="22"/>
          <w:highlight w:val="none"/>
        </w:rPr>
        <w:t>宣传推广。</w:t>
      </w:r>
      <w:r>
        <w:rPr>
          <w:rFonts w:hint="eastAsia" w:ascii="宋体" w:hAnsi="宋体" w:eastAsia="宋体" w:cs="宋体"/>
          <w:b w:val="0"/>
          <w:color w:val="auto"/>
          <w:sz w:val="22"/>
          <w:szCs w:val="22"/>
          <w:highlight w:val="none"/>
          <w:lang w:val="en-US" w:eastAsia="zh-CN"/>
        </w:rPr>
        <w:t>宣传活动不少于2次，</w:t>
      </w:r>
      <w:r>
        <w:rPr>
          <w:rFonts w:hint="eastAsia" w:ascii="宋体" w:hAnsi="宋体" w:eastAsia="宋体" w:cs="宋体"/>
          <w:b w:val="0"/>
          <w:color w:val="auto"/>
          <w:sz w:val="22"/>
          <w:szCs w:val="22"/>
          <w:highlight w:val="none"/>
        </w:rPr>
        <w:t>开展居民满意度调查，设计问卷，收集意见改进工作</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满意度调查问卷不少于1000份</w:t>
      </w:r>
      <w:r>
        <w:rPr>
          <w:rFonts w:hint="eastAsia" w:ascii="宋体" w:hAnsi="宋体" w:eastAsia="宋体" w:cs="宋体"/>
          <w:b w:val="0"/>
          <w:color w:val="auto"/>
          <w:sz w:val="22"/>
          <w:szCs w:val="22"/>
          <w:highlight w:val="none"/>
        </w:rPr>
        <w:t>。</w:t>
      </w:r>
    </w:p>
    <w:p w14:paraId="5FD5676B">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4.宁静小区按照具体情况设置噪声自动监测设备和手持式噪声监测仪各1台，制作宁静小区宣传提示牌及标语各2份（每个宁静小区均要求独立配置）</w:t>
      </w:r>
      <w:r>
        <w:rPr>
          <w:rFonts w:hint="eastAsia" w:ascii="宋体" w:hAnsi="宋体" w:eastAsia="宋体" w:cs="宋体"/>
          <w:b w:val="0"/>
          <w:color w:val="auto"/>
          <w:sz w:val="22"/>
          <w:szCs w:val="22"/>
          <w:highlight w:val="none"/>
        </w:rPr>
        <w:t>。</w:t>
      </w:r>
    </w:p>
    <w:p w14:paraId="068DE635">
      <w:pPr>
        <w:widowControl w:val="0"/>
        <w:spacing w:after="0" w:line="360" w:lineRule="auto"/>
        <w:jc w:val="both"/>
        <w:outlineLvl w:val="9"/>
        <w:rPr>
          <w:rFonts w:hint="eastAsia" w:ascii="宋体" w:hAnsi="宋体" w:eastAsia="宋体" w:cs="宋体"/>
          <w:b/>
          <w:bCs w:val="0"/>
          <w:snapToGrid w:val="0"/>
          <w:color w:val="auto"/>
          <w:sz w:val="22"/>
          <w:szCs w:val="22"/>
        </w:rPr>
      </w:pPr>
      <w:r>
        <w:rPr>
          <w:rFonts w:hint="eastAsia" w:ascii="宋体" w:hAnsi="宋体" w:eastAsia="宋体" w:cs="宋体"/>
          <w:b/>
          <w:bCs w:val="0"/>
          <w:snapToGrid w:val="0"/>
          <w:color w:val="auto"/>
          <w:sz w:val="22"/>
          <w:szCs w:val="22"/>
        </w:rPr>
        <w:t>二、合同价款及支付</w:t>
      </w:r>
    </w:p>
    <w:p w14:paraId="50FA6C9F">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合同金额（大写）人民币：</w:t>
      </w:r>
      <w:r>
        <w:rPr>
          <w:rFonts w:hint="eastAsia" w:ascii="宋体" w:hAnsi="宋体" w:eastAsia="宋体" w:cs="宋体"/>
          <w:b w:val="0"/>
          <w:bCs/>
          <w:snapToGrid w:val="0"/>
          <w:color w:val="auto"/>
          <w:sz w:val="22"/>
          <w:szCs w:val="22"/>
          <w:u w:val="single"/>
        </w:rPr>
        <w:t xml:space="preserve">                 </w:t>
      </w:r>
      <w:r>
        <w:rPr>
          <w:rFonts w:hint="eastAsia" w:ascii="宋体" w:hAnsi="宋体" w:eastAsia="宋体" w:cs="宋体"/>
          <w:b w:val="0"/>
          <w:bCs/>
          <w:snapToGrid w:val="0"/>
          <w:color w:val="auto"/>
          <w:sz w:val="22"/>
          <w:szCs w:val="22"/>
        </w:rPr>
        <w:t xml:space="preserve">元整(¥: </w:t>
      </w:r>
      <w:r>
        <w:rPr>
          <w:rFonts w:hint="eastAsia" w:ascii="宋体" w:hAnsi="宋体" w:eastAsia="宋体" w:cs="宋体"/>
          <w:b w:val="0"/>
          <w:bCs/>
          <w:snapToGrid w:val="0"/>
          <w:color w:val="auto"/>
          <w:sz w:val="22"/>
          <w:szCs w:val="22"/>
          <w:u w:val="single"/>
        </w:rPr>
        <w:t xml:space="preserve">           </w:t>
      </w:r>
      <w:r>
        <w:rPr>
          <w:rFonts w:hint="eastAsia" w:ascii="宋体" w:hAnsi="宋体" w:eastAsia="宋体" w:cs="宋体"/>
          <w:b w:val="0"/>
          <w:bCs/>
          <w:snapToGrid w:val="0"/>
          <w:color w:val="auto"/>
          <w:sz w:val="22"/>
          <w:szCs w:val="22"/>
          <w:u w:val="none"/>
        </w:rPr>
        <w:t xml:space="preserve"> </w:t>
      </w:r>
      <w:r>
        <w:rPr>
          <w:rFonts w:hint="eastAsia" w:ascii="宋体" w:hAnsi="宋体" w:eastAsia="宋体" w:cs="宋体"/>
          <w:b w:val="0"/>
          <w:bCs/>
          <w:snapToGrid w:val="0"/>
          <w:color w:val="auto"/>
          <w:sz w:val="22"/>
          <w:szCs w:val="22"/>
        </w:rPr>
        <w:t>)。</w:t>
      </w:r>
    </w:p>
    <w:p w14:paraId="480745D1">
      <w:pPr>
        <w:widowControl w:val="0"/>
        <w:spacing w:after="0" w:line="360" w:lineRule="auto"/>
        <w:jc w:val="both"/>
        <w:outlineLvl w:val="9"/>
        <w:rPr>
          <w:rFonts w:hint="eastAsia" w:ascii="宋体" w:hAnsi="宋体" w:eastAsia="宋体" w:cs="宋体"/>
          <w:b/>
          <w:bCs w:val="0"/>
          <w:snapToGrid w:val="0"/>
          <w:color w:val="auto"/>
          <w:sz w:val="22"/>
          <w:szCs w:val="22"/>
        </w:rPr>
      </w:pPr>
      <w:r>
        <w:rPr>
          <w:rFonts w:hint="eastAsia" w:ascii="宋体" w:hAnsi="宋体" w:eastAsia="宋体" w:cs="宋体"/>
          <w:b/>
          <w:bCs w:val="0"/>
          <w:snapToGrid w:val="0"/>
          <w:color w:val="auto"/>
          <w:sz w:val="22"/>
          <w:szCs w:val="22"/>
        </w:rPr>
        <w:t>三、</w:t>
      </w:r>
      <w:r>
        <w:rPr>
          <w:rFonts w:hint="eastAsia" w:ascii="宋体" w:hAnsi="宋体" w:eastAsia="宋体" w:cs="宋体"/>
          <w:b/>
          <w:bCs w:val="0"/>
          <w:snapToGrid w:val="0"/>
          <w:color w:val="auto"/>
          <w:sz w:val="22"/>
          <w:szCs w:val="22"/>
          <w:lang w:val="en-US" w:eastAsia="zh-CN"/>
        </w:rPr>
        <w:t>服务期限</w:t>
      </w:r>
      <w:r>
        <w:rPr>
          <w:rFonts w:hint="eastAsia" w:ascii="宋体" w:hAnsi="宋体" w:eastAsia="宋体" w:cs="宋体"/>
          <w:b/>
          <w:bCs w:val="0"/>
          <w:snapToGrid w:val="0"/>
          <w:color w:val="auto"/>
          <w:sz w:val="22"/>
          <w:szCs w:val="22"/>
        </w:rPr>
        <w:t>、地点：</w:t>
      </w:r>
    </w:p>
    <w:p w14:paraId="19CC67AC">
      <w:pPr>
        <w:widowControl w:val="0"/>
        <w:spacing w:after="0" w:line="360" w:lineRule="auto"/>
        <w:ind w:firstLine="440" w:firstLineChars="200"/>
        <w:jc w:val="both"/>
        <w:outlineLvl w:val="9"/>
        <w:rPr>
          <w:rFonts w:hint="default" w:ascii="宋体" w:hAnsi="宋体" w:eastAsia="宋体" w:cs="宋体"/>
          <w:b w:val="0"/>
          <w:bCs/>
          <w:snapToGrid w:val="0"/>
          <w:color w:val="auto"/>
          <w:sz w:val="22"/>
          <w:szCs w:val="22"/>
          <w:lang w:val="en-US" w:eastAsia="zh-CN"/>
        </w:rPr>
      </w:pPr>
      <w:r>
        <w:rPr>
          <w:rFonts w:hint="eastAsia" w:ascii="宋体" w:hAnsi="宋体" w:eastAsia="宋体" w:cs="宋体"/>
          <w:b w:val="0"/>
          <w:bCs/>
          <w:snapToGrid w:val="0"/>
          <w:color w:val="auto"/>
          <w:sz w:val="22"/>
          <w:szCs w:val="22"/>
          <w:lang w:val="en-US" w:eastAsia="zh-CN"/>
        </w:rPr>
        <w:t>服务期限：</w:t>
      </w:r>
      <w:r>
        <w:rPr>
          <w:rFonts w:hint="eastAsia" w:ascii="宋体" w:hAnsi="宋体" w:eastAsia="宋体" w:cs="宋体"/>
          <w:b w:val="0"/>
          <w:color w:val="auto"/>
          <w:sz w:val="22"/>
          <w:szCs w:val="22"/>
          <w:highlight w:val="none"/>
          <w:lang w:val="en-US" w:eastAsia="zh-CN"/>
        </w:rPr>
        <w:t>自合同签订起一年，</w:t>
      </w:r>
      <w:r>
        <w:rPr>
          <w:rFonts w:hint="eastAsia" w:ascii="宋体" w:hAnsi="宋体" w:eastAsia="宋体" w:cs="宋体"/>
          <w:b w:val="0"/>
          <w:bCs/>
          <w:snapToGrid w:val="0"/>
          <w:color w:val="auto"/>
          <w:sz w:val="22"/>
          <w:szCs w:val="22"/>
          <w:u w:val="single"/>
          <w:lang w:val="en-US" w:eastAsia="zh-CN"/>
        </w:rPr>
        <w:t xml:space="preserve">     </w:t>
      </w:r>
      <w:r>
        <w:rPr>
          <w:rFonts w:hint="eastAsia" w:ascii="宋体" w:hAnsi="宋体" w:eastAsia="宋体" w:cs="宋体"/>
          <w:b w:val="0"/>
          <w:bCs/>
          <w:snapToGrid w:val="0"/>
          <w:color w:val="auto"/>
          <w:sz w:val="22"/>
          <w:szCs w:val="22"/>
          <w:u w:val="none"/>
          <w:lang w:val="en-US" w:eastAsia="zh-CN"/>
        </w:rPr>
        <w:t>年</w:t>
      </w:r>
      <w:r>
        <w:rPr>
          <w:rFonts w:hint="eastAsia" w:ascii="宋体" w:hAnsi="宋体" w:eastAsia="宋体" w:cs="宋体"/>
          <w:b w:val="0"/>
          <w:bCs/>
          <w:snapToGrid w:val="0"/>
          <w:color w:val="auto"/>
          <w:sz w:val="22"/>
          <w:szCs w:val="22"/>
          <w:u w:val="single"/>
          <w:lang w:val="en-US" w:eastAsia="zh-CN"/>
        </w:rPr>
        <w:t xml:space="preserve">     </w:t>
      </w:r>
      <w:r>
        <w:rPr>
          <w:rFonts w:hint="eastAsia" w:ascii="宋体" w:hAnsi="宋体" w:eastAsia="宋体" w:cs="宋体"/>
          <w:b w:val="0"/>
          <w:bCs/>
          <w:snapToGrid w:val="0"/>
          <w:color w:val="auto"/>
          <w:sz w:val="22"/>
          <w:szCs w:val="22"/>
          <w:u w:val="none"/>
          <w:lang w:val="en-US" w:eastAsia="zh-CN"/>
        </w:rPr>
        <w:t>月</w:t>
      </w:r>
      <w:r>
        <w:rPr>
          <w:rFonts w:hint="eastAsia" w:ascii="宋体" w:hAnsi="宋体" w:eastAsia="宋体" w:cs="宋体"/>
          <w:b w:val="0"/>
          <w:bCs/>
          <w:snapToGrid w:val="0"/>
          <w:color w:val="auto"/>
          <w:sz w:val="22"/>
          <w:szCs w:val="22"/>
          <w:u w:val="single"/>
          <w:lang w:val="en-US" w:eastAsia="zh-CN"/>
        </w:rPr>
        <w:t xml:space="preserve">     </w:t>
      </w:r>
      <w:r>
        <w:rPr>
          <w:rFonts w:hint="eastAsia" w:ascii="宋体" w:hAnsi="宋体" w:eastAsia="宋体" w:cs="宋体"/>
          <w:b w:val="0"/>
          <w:bCs/>
          <w:snapToGrid w:val="0"/>
          <w:color w:val="auto"/>
          <w:sz w:val="22"/>
          <w:szCs w:val="22"/>
          <w:u w:val="none"/>
          <w:lang w:val="en-US" w:eastAsia="zh-CN"/>
        </w:rPr>
        <w:t>日至</w:t>
      </w:r>
      <w:r>
        <w:rPr>
          <w:rFonts w:hint="eastAsia" w:ascii="宋体" w:hAnsi="宋体" w:eastAsia="宋体" w:cs="宋体"/>
          <w:b w:val="0"/>
          <w:bCs/>
          <w:snapToGrid w:val="0"/>
          <w:color w:val="auto"/>
          <w:sz w:val="22"/>
          <w:szCs w:val="22"/>
          <w:u w:val="single"/>
          <w:lang w:val="en-US" w:eastAsia="zh-CN"/>
        </w:rPr>
        <w:t xml:space="preserve">     </w:t>
      </w:r>
      <w:r>
        <w:rPr>
          <w:rFonts w:hint="eastAsia" w:ascii="宋体" w:hAnsi="宋体" w:eastAsia="宋体" w:cs="宋体"/>
          <w:b w:val="0"/>
          <w:bCs/>
          <w:snapToGrid w:val="0"/>
          <w:color w:val="auto"/>
          <w:sz w:val="22"/>
          <w:szCs w:val="22"/>
          <w:u w:val="none"/>
          <w:lang w:val="en-US" w:eastAsia="zh-CN"/>
        </w:rPr>
        <w:t>年</w:t>
      </w:r>
      <w:r>
        <w:rPr>
          <w:rFonts w:hint="eastAsia" w:ascii="宋体" w:hAnsi="宋体" w:eastAsia="宋体" w:cs="宋体"/>
          <w:b w:val="0"/>
          <w:bCs/>
          <w:snapToGrid w:val="0"/>
          <w:color w:val="auto"/>
          <w:sz w:val="22"/>
          <w:szCs w:val="22"/>
          <w:u w:val="single"/>
          <w:lang w:val="en-US" w:eastAsia="zh-CN"/>
        </w:rPr>
        <w:t xml:space="preserve">     </w:t>
      </w:r>
      <w:r>
        <w:rPr>
          <w:rFonts w:hint="eastAsia" w:ascii="宋体" w:hAnsi="宋体" w:eastAsia="宋体" w:cs="宋体"/>
          <w:b w:val="0"/>
          <w:bCs/>
          <w:snapToGrid w:val="0"/>
          <w:color w:val="auto"/>
          <w:sz w:val="22"/>
          <w:szCs w:val="22"/>
          <w:u w:val="none"/>
          <w:lang w:val="en-US" w:eastAsia="zh-CN"/>
        </w:rPr>
        <w:t>月</w:t>
      </w:r>
      <w:r>
        <w:rPr>
          <w:rFonts w:hint="eastAsia" w:ascii="宋体" w:hAnsi="宋体" w:eastAsia="宋体" w:cs="宋体"/>
          <w:b w:val="0"/>
          <w:bCs/>
          <w:snapToGrid w:val="0"/>
          <w:color w:val="auto"/>
          <w:sz w:val="22"/>
          <w:szCs w:val="22"/>
          <w:u w:val="single"/>
          <w:lang w:val="en-US" w:eastAsia="zh-CN"/>
        </w:rPr>
        <w:t xml:space="preserve">     </w:t>
      </w:r>
      <w:r>
        <w:rPr>
          <w:rFonts w:hint="eastAsia" w:ascii="宋体" w:hAnsi="宋体" w:eastAsia="宋体" w:cs="宋体"/>
          <w:b w:val="0"/>
          <w:bCs/>
          <w:snapToGrid w:val="0"/>
          <w:color w:val="auto"/>
          <w:sz w:val="22"/>
          <w:szCs w:val="22"/>
          <w:u w:val="none"/>
          <w:lang w:val="en-US" w:eastAsia="zh-CN"/>
        </w:rPr>
        <w:t>日；</w:t>
      </w:r>
    </w:p>
    <w:p w14:paraId="033C31FD">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lang w:eastAsia="zh-CN"/>
        </w:rPr>
      </w:pPr>
      <w:r>
        <w:rPr>
          <w:rFonts w:hint="eastAsia" w:ascii="宋体" w:hAnsi="宋体" w:eastAsia="宋体" w:cs="宋体"/>
          <w:b w:val="0"/>
          <w:bCs/>
          <w:snapToGrid w:val="0"/>
          <w:color w:val="auto"/>
          <w:sz w:val="22"/>
          <w:szCs w:val="22"/>
        </w:rPr>
        <w:t>地点：由温州市生态环境局文成分局指定</w:t>
      </w:r>
      <w:r>
        <w:rPr>
          <w:rFonts w:hint="eastAsia" w:ascii="宋体" w:hAnsi="宋体" w:eastAsia="宋体" w:cs="宋体"/>
          <w:b w:val="0"/>
          <w:bCs/>
          <w:snapToGrid w:val="0"/>
          <w:color w:val="auto"/>
          <w:sz w:val="22"/>
          <w:szCs w:val="22"/>
          <w:lang w:eastAsia="zh-CN"/>
        </w:rPr>
        <w:t>。</w:t>
      </w:r>
    </w:p>
    <w:p w14:paraId="724A2330">
      <w:pPr>
        <w:widowControl w:val="0"/>
        <w:spacing w:after="0" w:line="360" w:lineRule="auto"/>
        <w:jc w:val="both"/>
        <w:outlineLvl w:val="9"/>
        <w:rPr>
          <w:rFonts w:hint="eastAsia" w:ascii="宋体" w:hAnsi="宋体" w:eastAsia="宋体" w:cs="宋体"/>
          <w:b/>
          <w:bCs w:val="0"/>
          <w:snapToGrid w:val="0"/>
          <w:color w:val="auto"/>
          <w:sz w:val="22"/>
          <w:szCs w:val="22"/>
        </w:rPr>
      </w:pPr>
      <w:r>
        <w:rPr>
          <w:rFonts w:hint="eastAsia" w:ascii="宋体" w:hAnsi="宋体" w:eastAsia="宋体" w:cs="宋体"/>
          <w:b/>
          <w:bCs w:val="0"/>
          <w:snapToGrid w:val="0"/>
          <w:color w:val="auto"/>
          <w:sz w:val="22"/>
          <w:szCs w:val="22"/>
        </w:rPr>
        <w:t>四、知识产权</w:t>
      </w:r>
    </w:p>
    <w:p w14:paraId="7ACBE0CA">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乙方应保证所提供的货物或其任何一部分均不会侵犯任何第三方的知识产权。</w:t>
      </w:r>
    </w:p>
    <w:p w14:paraId="374DDB46">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本项目知识产权归甲方所有。</w:t>
      </w:r>
    </w:p>
    <w:p w14:paraId="2CDC5A51">
      <w:pPr>
        <w:widowControl w:val="0"/>
        <w:spacing w:after="0" w:line="360" w:lineRule="auto"/>
        <w:jc w:val="both"/>
        <w:outlineLvl w:val="9"/>
        <w:rPr>
          <w:rFonts w:hint="eastAsia" w:ascii="宋体" w:hAnsi="宋体" w:eastAsia="宋体" w:cs="宋体"/>
          <w:b/>
          <w:bCs w:val="0"/>
          <w:snapToGrid w:val="0"/>
          <w:color w:val="auto"/>
          <w:sz w:val="22"/>
          <w:szCs w:val="22"/>
        </w:rPr>
      </w:pPr>
      <w:r>
        <w:rPr>
          <w:rFonts w:hint="eastAsia" w:ascii="宋体" w:hAnsi="宋体" w:eastAsia="宋体" w:cs="宋体"/>
          <w:b/>
          <w:bCs w:val="0"/>
          <w:snapToGrid w:val="0"/>
          <w:color w:val="auto"/>
          <w:sz w:val="22"/>
          <w:szCs w:val="22"/>
        </w:rPr>
        <w:t>五、技术资料</w:t>
      </w:r>
    </w:p>
    <w:p w14:paraId="57633490">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1.乙方应按采购文件规定的时间向甲方提供有关技术资料。</w:t>
      </w:r>
    </w:p>
    <w:p w14:paraId="6462D8BC">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2.双方对工作涉及内容均有保密的义务，未经双方书面同意，任何一方不得泄露工程资料，不论以何种形式或载于何种载体给第三方。</w:t>
      </w:r>
    </w:p>
    <w:p w14:paraId="5B2E6571">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07169C9">
      <w:pPr>
        <w:widowControl w:val="0"/>
        <w:spacing w:after="0" w:line="360" w:lineRule="auto"/>
        <w:jc w:val="both"/>
        <w:outlineLvl w:val="9"/>
        <w:rPr>
          <w:rFonts w:hint="eastAsia" w:ascii="宋体" w:hAnsi="宋体" w:eastAsia="宋体" w:cs="宋体"/>
          <w:b/>
          <w:bCs w:val="0"/>
          <w:snapToGrid w:val="0"/>
          <w:color w:val="auto"/>
          <w:sz w:val="22"/>
          <w:szCs w:val="22"/>
        </w:rPr>
      </w:pPr>
      <w:r>
        <w:rPr>
          <w:rFonts w:hint="eastAsia" w:ascii="宋体" w:hAnsi="宋体" w:eastAsia="宋体" w:cs="宋体"/>
          <w:b/>
          <w:bCs w:val="0"/>
          <w:snapToGrid w:val="0"/>
          <w:color w:val="auto"/>
          <w:sz w:val="22"/>
          <w:szCs w:val="22"/>
        </w:rPr>
        <w:t>六、验收</w:t>
      </w:r>
    </w:p>
    <w:p w14:paraId="5EACE522">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根据中华人民共和国现行技术标准，按招标文件以及参照《浙江省宁静小区建设评价指标体系》的验收评定标准等规范，由采购人统一组织验收。</w:t>
      </w:r>
    </w:p>
    <w:p w14:paraId="4B75EBFB">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1.采购人组织对供应商履约的验收。验收方成员应当在验收书上签字，并承担相应的法律责任。如果发现与合同中要求不符，供应商须承担由此发生的一切损失和费用。</w:t>
      </w:r>
    </w:p>
    <w:p w14:paraId="082323A3">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2.采购人可以邀请参加本项目的其他供应商或者第三方机构参与验收。参与验收的供应商或者第三方机构的意见作为验收书的参考资料一并存档。</w:t>
      </w:r>
    </w:p>
    <w:p w14:paraId="2B504F07">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56A0FDE9">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4.验收合格的项目，采购人将根据采购合同的约定及时向供应商支付采购资金。</w:t>
      </w:r>
    </w:p>
    <w:p w14:paraId="2B222698">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验收不合格的项目，采购人将依法及时处理。采购合同的履行、违约责任和解决争议的方式等适用《中华人民共和国民法典》。</w:t>
      </w:r>
    </w:p>
    <w:p w14:paraId="07583E98">
      <w:pPr>
        <w:widowControl w:val="0"/>
        <w:spacing w:after="0" w:line="360" w:lineRule="auto"/>
        <w:jc w:val="both"/>
        <w:outlineLvl w:val="9"/>
        <w:rPr>
          <w:rFonts w:hint="eastAsia" w:ascii="宋体" w:hAnsi="宋体" w:eastAsia="宋体" w:cs="宋体"/>
          <w:b/>
          <w:bCs w:val="0"/>
          <w:snapToGrid w:val="0"/>
          <w:color w:val="auto"/>
          <w:sz w:val="22"/>
          <w:szCs w:val="22"/>
        </w:rPr>
      </w:pPr>
      <w:r>
        <w:rPr>
          <w:rFonts w:hint="eastAsia" w:ascii="宋体" w:hAnsi="宋体" w:eastAsia="宋体" w:cs="宋体"/>
          <w:b/>
          <w:bCs w:val="0"/>
          <w:snapToGrid w:val="0"/>
          <w:color w:val="auto"/>
          <w:sz w:val="22"/>
          <w:szCs w:val="22"/>
        </w:rPr>
        <w:t>七、合同价款与支付</w:t>
      </w:r>
    </w:p>
    <w:p w14:paraId="26420446">
      <w:pPr>
        <w:widowControl w:val="0"/>
        <w:spacing w:after="0" w:line="360" w:lineRule="auto"/>
        <w:ind w:firstLine="440" w:firstLineChars="200"/>
        <w:jc w:val="both"/>
        <w:outlineLvl w:val="9"/>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bCs/>
          <w:snapToGrid w:val="0"/>
          <w:color w:val="auto"/>
          <w:sz w:val="22"/>
          <w:szCs w:val="22"/>
        </w:rPr>
        <w:t>1.</w:t>
      </w:r>
      <w:r>
        <w:rPr>
          <w:rFonts w:hint="eastAsia" w:ascii="宋体" w:hAnsi="宋体" w:eastAsia="宋体" w:cs="宋体"/>
          <w:b w:val="0"/>
          <w:color w:val="auto"/>
          <w:sz w:val="22"/>
          <w:szCs w:val="22"/>
          <w:highlight w:val="none"/>
          <w:lang w:val="en-US" w:eastAsia="zh-CN"/>
        </w:rPr>
        <w:t>签订合同后，在合同生效以及具备实施条件后7个工作日内支付合同金额的50%作为预付款，项目结束提交并提交成果材料后15个工作日后支付合同金额的50%。</w:t>
      </w:r>
    </w:p>
    <w:p w14:paraId="031681FD">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2.乙方在结算合同价款时须提供发票。</w:t>
      </w:r>
    </w:p>
    <w:p w14:paraId="627F5063">
      <w:pPr>
        <w:widowControl w:val="0"/>
        <w:spacing w:after="0" w:line="360" w:lineRule="auto"/>
        <w:jc w:val="both"/>
        <w:outlineLvl w:val="9"/>
        <w:rPr>
          <w:rFonts w:hint="eastAsia" w:ascii="宋体" w:hAnsi="宋体" w:eastAsia="宋体" w:cs="宋体"/>
          <w:b/>
          <w:bCs w:val="0"/>
          <w:snapToGrid w:val="0"/>
          <w:color w:val="auto"/>
          <w:sz w:val="22"/>
          <w:szCs w:val="22"/>
        </w:rPr>
      </w:pPr>
      <w:r>
        <w:rPr>
          <w:rFonts w:hint="eastAsia" w:ascii="宋体" w:hAnsi="宋体" w:eastAsia="宋体" w:cs="宋体"/>
          <w:b/>
          <w:bCs w:val="0"/>
          <w:snapToGrid w:val="0"/>
          <w:color w:val="auto"/>
          <w:sz w:val="22"/>
          <w:szCs w:val="22"/>
        </w:rPr>
        <w:t>八、违约责任</w:t>
      </w:r>
    </w:p>
    <w:p w14:paraId="779BC1F5">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1.违反本合同约定，造成本合同不能履行或不能完全履行，由违约方承担违约责任，违约方应按民法典赔偿对方经济损失。</w:t>
      </w:r>
    </w:p>
    <w:p w14:paraId="1CDEB863">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2.甲方无故逾期验收和办理合同价款支付手续的,甲方应按逾期付款总额每日万分之五向乙方支付违约金。</w:t>
      </w:r>
    </w:p>
    <w:p w14:paraId="5A098BA5">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3.乙方未按甲方要求的时间提供服务的，乙方应按逾期交付总额每日千分之六向甲方支付违约金。逾期超过约定日期10个工作日不能履行服务的，甲方可解除本合同。乙方因逾期履行服务或因其他违约行为导致甲方解除合同的，乙方应向甲方支付合同总值5%的违约金，如造成甲方损失超过违约金的，超出部分由乙方继续承担赔偿责任。</w:t>
      </w:r>
    </w:p>
    <w:p w14:paraId="3AEE2DC6">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4.乙方达不到项目要求，乙方应负责根据合同及甲方的要求采取相应的处理措施，并承担由此发生的一切损失和费用，整改延误的时间不作为整个项目工期延期的理由。</w:t>
      </w:r>
    </w:p>
    <w:p w14:paraId="2291F6D1">
      <w:pPr>
        <w:widowControl w:val="0"/>
        <w:spacing w:after="0" w:line="360" w:lineRule="auto"/>
        <w:jc w:val="both"/>
        <w:outlineLvl w:val="9"/>
        <w:rPr>
          <w:rFonts w:hint="eastAsia" w:ascii="宋体" w:hAnsi="宋体" w:eastAsia="宋体" w:cs="宋体"/>
          <w:b/>
          <w:bCs w:val="0"/>
          <w:snapToGrid w:val="0"/>
          <w:color w:val="auto"/>
          <w:sz w:val="22"/>
          <w:szCs w:val="22"/>
        </w:rPr>
      </w:pPr>
      <w:r>
        <w:rPr>
          <w:rFonts w:hint="eastAsia" w:ascii="宋体" w:hAnsi="宋体" w:eastAsia="宋体" w:cs="宋体"/>
          <w:b/>
          <w:bCs w:val="0"/>
          <w:snapToGrid w:val="0"/>
          <w:color w:val="auto"/>
          <w:sz w:val="22"/>
          <w:szCs w:val="22"/>
        </w:rPr>
        <w:t>九、不可抗力事件处理</w:t>
      </w:r>
    </w:p>
    <w:p w14:paraId="3B5A76A1">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1.在合同有效期内，任何一方因不可抗力事件导致不能履行合同，则合同履行期可延长，其延长期与不可抗力影响期相同。</w:t>
      </w:r>
    </w:p>
    <w:p w14:paraId="79A83DE5">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2.不可抗力事件发生后，应立即通知对方，并寄送有关权威机构出具的证明。</w:t>
      </w:r>
    </w:p>
    <w:p w14:paraId="756735F0">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3.不可抗力事件延续120天以上，双方应通过友好协商，确定是否继续履行合同。</w:t>
      </w:r>
    </w:p>
    <w:p w14:paraId="7F8DA969">
      <w:pPr>
        <w:widowControl w:val="0"/>
        <w:spacing w:after="0" w:line="360" w:lineRule="auto"/>
        <w:jc w:val="both"/>
        <w:outlineLvl w:val="9"/>
        <w:rPr>
          <w:rFonts w:hint="eastAsia" w:ascii="宋体" w:hAnsi="宋体" w:eastAsia="宋体" w:cs="宋体"/>
          <w:b/>
          <w:bCs w:val="0"/>
          <w:snapToGrid w:val="0"/>
          <w:color w:val="auto"/>
          <w:sz w:val="22"/>
          <w:szCs w:val="22"/>
        </w:rPr>
      </w:pPr>
      <w:r>
        <w:rPr>
          <w:rFonts w:hint="eastAsia" w:ascii="宋体" w:hAnsi="宋体" w:eastAsia="宋体" w:cs="宋体"/>
          <w:b/>
          <w:bCs w:val="0"/>
          <w:snapToGrid w:val="0"/>
          <w:color w:val="auto"/>
          <w:sz w:val="22"/>
          <w:szCs w:val="22"/>
        </w:rPr>
        <w:t>十、合同相关文件</w:t>
      </w:r>
    </w:p>
    <w:p w14:paraId="05CB6749">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有关本次采购项目的采购文件、投标文件以及相关的函件如答疑函、承诺函等均为本合同不可分割的一部分。若“本次采购项目的采购文件、投标文件以及相关的函件、如答疑函、承诺函”与本合同有出入时，以“本次采购项目的采购文件、投标文件以及相关的函件如答疑函、承诺函”为准。</w:t>
      </w:r>
    </w:p>
    <w:p w14:paraId="7F2345CB">
      <w:pPr>
        <w:widowControl w:val="0"/>
        <w:spacing w:after="0" w:line="360" w:lineRule="auto"/>
        <w:jc w:val="both"/>
        <w:outlineLvl w:val="9"/>
        <w:rPr>
          <w:rFonts w:hint="eastAsia" w:ascii="宋体" w:hAnsi="宋体" w:eastAsia="宋体" w:cs="宋体"/>
          <w:b/>
          <w:bCs w:val="0"/>
          <w:snapToGrid w:val="0"/>
          <w:color w:val="auto"/>
          <w:sz w:val="22"/>
          <w:szCs w:val="22"/>
          <w:lang w:val="en-US" w:eastAsia="zh-CN"/>
        </w:rPr>
      </w:pPr>
      <w:r>
        <w:rPr>
          <w:rFonts w:hint="eastAsia" w:ascii="宋体" w:hAnsi="宋体" w:eastAsia="宋体" w:cs="宋体"/>
          <w:b/>
          <w:bCs w:val="0"/>
          <w:snapToGrid w:val="0"/>
          <w:color w:val="auto"/>
          <w:sz w:val="22"/>
          <w:szCs w:val="22"/>
        </w:rPr>
        <w:t>十一、</w:t>
      </w:r>
      <w:r>
        <w:rPr>
          <w:rFonts w:hint="eastAsia" w:ascii="宋体" w:hAnsi="宋体" w:eastAsia="宋体" w:cs="宋体"/>
          <w:b/>
          <w:bCs w:val="0"/>
          <w:snapToGrid w:val="0"/>
          <w:color w:val="auto"/>
          <w:sz w:val="22"/>
          <w:szCs w:val="22"/>
          <w:lang w:val="en-US" w:eastAsia="zh-CN"/>
        </w:rPr>
        <w:t>未尽事宜</w:t>
      </w:r>
    </w:p>
    <w:p w14:paraId="0DA68F29">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合同在执行过程中出现的未尽事宜，双方在不违背本合同和采购(招标)文件的原则下，协商解决，协商结果以书面形式盖章记录在案，作为本合同的附件，具有同等效力。</w:t>
      </w:r>
    </w:p>
    <w:p w14:paraId="106FD68A">
      <w:pPr>
        <w:widowControl w:val="0"/>
        <w:spacing w:after="0" w:line="360" w:lineRule="auto"/>
        <w:jc w:val="both"/>
        <w:outlineLvl w:val="9"/>
        <w:rPr>
          <w:rFonts w:hint="eastAsia" w:ascii="宋体" w:hAnsi="宋体" w:eastAsia="宋体" w:cs="宋体"/>
          <w:b/>
          <w:bCs w:val="0"/>
          <w:snapToGrid w:val="0"/>
          <w:color w:val="auto"/>
          <w:sz w:val="22"/>
          <w:szCs w:val="22"/>
        </w:rPr>
      </w:pPr>
      <w:r>
        <w:rPr>
          <w:rFonts w:hint="eastAsia" w:ascii="宋体" w:hAnsi="宋体" w:eastAsia="宋体" w:cs="宋体"/>
          <w:b/>
          <w:bCs w:val="0"/>
          <w:snapToGrid w:val="0"/>
          <w:color w:val="auto"/>
          <w:sz w:val="22"/>
          <w:szCs w:val="22"/>
        </w:rPr>
        <w:t>十二、合同争议处理方式</w:t>
      </w:r>
    </w:p>
    <w:p w14:paraId="487A18C2">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本合同在履行中若发生争议，双方应协商解决。协商不成时，依法向</w:t>
      </w:r>
      <w:r>
        <w:rPr>
          <w:rFonts w:hint="eastAsia" w:ascii="宋体" w:hAnsi="宋体" w:eastAsia="宋体" w:cs="宋体"/>
          <w:b w:val="0"/>
          <w:bCs/>
          <w:snapToGrid w:val="0"/>
          <w:color w:val="auto"/>
          <w:sz w:val="22"/>
          <w:szCs w:val="22"/>
          <w:lang w:val="en-US" w:eastAsia="zh-CN"/>
        </w:rPr>
        <w:t>文成县</w:t>
      </w:r>
      <w:r>
        <w:rPr>
          <w:rFonts w:hint="eastAsia" w:ascii="宋体" w:hAnsi="宋体" w:eastAsia="宋体" w:cs="宋体"/>
          <w:b w:val="0"/>
          <w:bCs/>
          <w:snapToGrid w:val="0"/>
          <w:color w:val="auto"/>
          <w:sz w:val="22"/>
          <w:szCs w:val="22"/>
        </w:rPr>
        <w:t>人民法院起诉。</w:t>
      </w:r>
    </w:p>
    <w:p w14:paraId="617FF63E">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lang w:val="zh-CN"/>
        </w:rPr>
      </w:pPr>
      <w:r>
        <w:rPr>
          <w:rFonts w:hint="eastAsia" w:ascii="宋体" w:hAnsi="宋体" w:eastAsia="宋体" w:cs="宋体"/>
          <w:b w:val="0"/>
          <w:bCs/>
          <w:snapToGrid w:val="0"/>
          <w:color w:val="auto"/>
          <w:sz w:val="22"/>
          <w:szCs w:val="22"/>
          <w:lang w:val="zh-CN"/>
        </w:rPr>
        <w:t>本合同正本一式</w:t>
      </w:r>
      <w:r>
        <w:rPr>
          <w:rFonts w:hint="eastAsia" w:ascii="宋体" w:hAnsi="宋体" w:eastAsia="宋体" w:cs="宋体"/>
          <w:b w:val="0"/>
          <w:bCs/>
          <w:snapToGrid w:val="0"/>
          <w:color w:val="auto"/>
          <w:sz w:val="22"/>
          <w:szCs w:val="22"/>
          <w:u w:val="single"/>
        </w:rPr>
        <w:t>柒</w:t>
      </w:r>
      <w:r>
        <w:rPr>
          <w:rFonts w:hint="eastAsia" w:ascii="宋体" w:hAnsi="宋体" w:eastAsia="宋体" w:cs="宋体"/>
          <w:b w:val="0"/>
          <w:bCs/>
          <w:snapToGrid w:val="0"/>
          <w:color w:val="auto"/>
          <w:sz w:val="22"/>
          <w:szCs w:val="22"/>
          <w:lang w:val="zh-CN"/>
        </w:rPr>
        <w:t>份，甲、乙双方各执</w:t>
      </w:r>
      <w:r>
        <w:rPr>
          <w:rFonts w:hint="eastAsia" w:ascii="宋体" w:hAnsi="宋体" w:eastAsia="宋体" w:cs="宋体"/>
          <w:b w:val="0"/>
          <w:bCs/>
          <w:snapToGrid w:val="0"/>
          <w:color w:val="auto"/>
          <w:sz w:val="22"/>
          <w:szCs w:val="22"/>
          <w:u w:val="single"/>
        </w:rPr>
        <w:t>叁</w:t>
      </w:r>
      <w:r>
        <w:rPr>
          <w:rFonts w:hint="eastAsia" w:ascii="宋体" w:hAnsi="宋体" w:eastAsia="宋体" w:cs="宋体"/>
          <w:b w:val="0"/>
          <w:bCs/>
          <w:snapToGrid w:val="0"/>
          <w:color w:val="auto"/>
          <w:sz w:val="22"/>
          <w:szCs w:val="22"/>
          <w:lang w:val="zh-CN"/>
        </w:rPr>
        <w:t>份，招标代理单位</w:t>
      </w:r>
      <w:r>
        <w:rPr>
          <w:rFonts w:hint="eastAsia" w:ascii="宋体" w:hAnsi="宋体" w:eastAsia="宋体" w:cs="宋体"/>
          <w:b w:val="0"/>
          <w:bCs/>
          <w:snapToGrid w:val="0"/>
          <w:color w:val="auto"/>
          <w:sz w:val="22"/>
          <w:szCs w:val="22"/>
          <w:u w:val="single"/>
        </w:rPr>
        <w:t>壹</w:t>
      </w:r>
      <w:r>
        <w:rPr>
          <w:rFonts w:hint="eastAsia" w:ascii="宋体" w:hAnsi="宋体" w:eastAsia="宋体" w:cs="宋体"/>
          <w:b w:val="0"/>
          <w:bCs/>
          <w:snapToGrid w:val="0"/>
          <w:color w:val="auto"/>
          <w:sz w:val="22"/>
          <w:szCs w:val="22"/>
          <w:lang w:val="zh-CN"/>
        </w:rPr>
        <w:t>份，具有同等法律效力。</w:t>
      </w:r>
    </w:p>
    <w:p w14:paraId="68315AC9">
      <w:pPr>
        <w:widowControl w:val="0"/>
        <w:spacing w:after="0" w:line="360" w:lineRule="auto"/>
        <w:ind w:firstLine="440" w:firstLineChars="200"/>
        <w:jc w:val="both"/>
        <w:outlineLvl w:val="9"/>
        <w:rPr>
          <w:rFonts w:hint="eastAsia" w:ascii="宋体" w:hAnsi="宋体" w:eastAsia="宋体" w:cs="宋体"/>
          <w:b w:val="0"/>
          <w:bCs/>
          <w:snapToGrid w:val="0"/>
          <w:color w:val="auto"/>
          <w:sz w:val="22"/>
          <w:szCs w:val="22"/>
        </w:rPr>
      </w:pPr>
      <w:r>
        <w:rPr>
          <w:rFonts w:hint="eastAsia" w:ascii="宋体" w:hAnsi="宋体" w:eastAsia="宋体" w:cs="宋体"/>
          <w:b w:val="0"/>
          <w:bCs/>
          <w:snapToGrid w:val="0"/>
          <w:color w:val="auto"/>
          <w:sz w:val="22"/>
          <w:szCs w:val="22"/>
        </w:rPr>
        <w:t>合同附件和本合同均具有同等法律效力。本合同有效期限：自签订之日起生效。</w:t>
      </w:r>
    </w:p>
    <w:p w14:paraId="3C79BC1A">
      <w:pPr>
        <w:pStyle w:val="21"/>
        <w:spacing w:line="360" w:lineRule="auto"/>
        <w:rPr>
          <w:rFonts w:hint="eastAsia" w:ascii="宋体" w:hAnsi="宋体" w:eastAsia="宋体" w:cs="宋体"/>
          <w:b w:val="0"/>
          <w:bCs/>
          <w:snapToGrid w:val="0"/>
          <w:color w:val="auto"/>
          <w:sz w:val="22"/>
          <w:szCs w:val="22"/>
          <w:lang w:val="zh-CN"/>
        </w:rPr>
      </w:pPr>
    </w:p>
    <w:tbl>
      <w:tblPr>
        <w:tblStyle w:val="23"/>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0"/>
        <w:gridCol w:w="4750"/>
      </w:tblGrid>
      <w:tr w14:paraId="37F98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750" w:type="dxa"/>
            <w:tcBorders>
              <w:tl2br w:val="nil"/>
              <w:tr2bl w:val="nil"/>
            </w:tcBorders>
          </w:tcPr>
          <w:p w14:paraId="244D2D62">
            <w:pPr>
              <w:keepNext w:val="0"/>
              <w:keepLines w:val="0"/>
              <w:pageBreakBefore w:val="0"/>
              <w:widowControl w:val="0"/>
              <w:kinsoku/>
              <w:wordWrap/>
              <w:overflowPunct/>
              <w:topLinePunct w:val="0"/>
              <w:autoSpaceDE/>
              <w:autoSpaceDN/>
              <w:bidi w:val="0"/>
              <w:adjustRightInd/>
              <w:snapToGrid/>
              <w:spacing w:after="0" w:line="360" w:lineRule="auto"/>
              <w:ind w:firstLine="440" w:firstLineChars="200"/>
              <w:jc w:val="both"/>
              <w:textAlignment w:val="auto"/>
              <w:rPr>
                <w:rFonts w:hint="eastAsia" w:ascii="宋体" w:hAnsi="宋体" w:eastAsia="宋体" w:cs="宋体"/>
                <w:b w:val="0"/>
                <w:bCs/>
                <w:color w:val="auto"/>
                <w:kern w:val="2"/>
                <w:sz w:val="22"/>
                <w:szCs w:val="22"/>
                <w:lang w:val="en-GB"/>
              </w:rPr>
            </w:pPr>
            <w:r>
              <w:rPr>
                <w:rFonts w:hint="eastAsia" w:ascii="宋体" w:hAnsi="宋体" w:eastAsia="宋体" w:cs="宋体"/>
                <w:b w:val="0"/>
                <w:bCs/>
                <w:color w:val="auto"/>
                <w:kern w:val="2"/>
                <w:sz w:val="22"/>
                <w:szCs w:val="22"/>
              </w:rPr>
              <w:t>甲方（盖章）：</w:t>
            </w:r>
          </w:p>
        </w:tc>
        <w:tc>
          <w:tcPr>
            <w:tcW w:w="4750" w:type="dxa"/>
            <w:tcBorders>
              <w:tl2br w:val="nil"/>
              <w:tr2bl w:val="nil"/>
            </w:tcBorders>
          </w:tcPr>
          <w:p w14:paraId="31019D73">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val="0"/>
                <w:bCs/>
                <w:color w:val="auto"/>
                <w:kern w:val="2"/>
                <w:sz w:val="22"/>
                <w:szCs w:val="22"/>
              </w:rPr>
            </w:pPr>
            <w:r>
              <w:rPr>
                <w:rFonts w:hint="eastAsia" w:ascii="宋体" w:hAnsi="宋体" w:eastAsia="宋体" w:cs="宋体"/>
                <w:b w:val="0"/>
                <w:bCs/>
                <w:color w:val="auto"/>
                <w:kern w:val="2"/>
                <w:sz w:val="22"/>
                <w:szCs w:val="22"/>
              </w:rPr>
              <w:t>乙方（盖章）：</w:t>
            </w:r>
          </w:p>
        </w:tc>
      </w:tr>
      <w:tr w14:paraId="58E5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exact"/>
        </w:trPr>
        <w:tc>
          <w:tcPr>
            <w:tcW w:w="4750" w:type="dxa"/>
            <w:tcBorders>
              <w:tl2br w:val="nil"/>
              <w:tr2bl w:val="nil"/>
            </w:tcBorders>
          </w:tcPr>
          <w:p w14:paraId="7970AC17">
            <w:pPr>
              <w:keepNext w:val="0"/>
              <w:keepLines w:val="0"/>
              <w:pageBreakBefore w:val="0"/>
              <w:widowControl w:val="0"/>
              <w:kinsoku/>
              <w:wordWrap/>
              <w:overflowPunct/>
              <w:topLinePunct w:val="0"/>
              <w:autoSpaceDE/>
              <w:autoSpaceDN/>
              <w:bidi w:val="0"/>
              <w:adjustRightInd/>
              <w:snapToGrid/>
              <w:spacing w:after="0" w:line="360" w:lineRule="auto"/>
              <w:ind w:firstLine="440" w:firstLineChars="200"/>
              <w:jc w:val="both"/>
              <w:textAlignment w:val="auto"/>
              <w:rPr>
                <w:rFonts w:hint="eastAsia" w:ascii="宋体" w:hAnsi="宋体" w:eastAsia="宋体" w:cs="宋体"/>
                <w:b w:val="0"/>
                <w:bCs/>
                <w:color w:val="auto"/>
                <w:kern w:val="2"/>
                <w:sz w:val="22"/>
                <w:szCs w:val="22"/>
              </w:rPr>
            </w:pPr>
            <w:r>
              <w:rPr>
                <w:rFonts w:hint="eastAsia" w:ascii="宋体" w:hAnsi="宋体" w:eastAsia="宋体" w:cs="宋体"/>
                <w:b w:val="0"/>
                <w:bCs/>
                <w:color w:val="auto"/>
                <w:kern w:val="2"/>
                <w:sz w:val="22"/>
                <w:szCs w:val="22"/>
              </w:rPr>
              <w:t>法定代表人</w:t>
            </w:r>
          </w:p>
          <w:p w14:paraId="4772EA49">
            <w:pPr>
              <w:keepNext w:val="0"/>
              <w:keepLines w:val="0"/>
              <w:pageBreakBefore w:val="0"/>
              <w:widowControl w:val="0"/>
              <w:kinsoku/>
              <w:wordWrap/>
              <w:overflowPunct/>
              <w:topLinePunct w:val="0"/>
              <w:autoSpaceDE/>
              <w:autoSpaceDN/>
              <w:bidi w:val="0"/>
              <w:adjustRightInd/>
              <w:snapToGrid/>
              <w:spacing w:after="0" w:line="360" w:lineRule="auto"/>
              <w:ind w:firstLine="440" w:firstLineChars="200"/>
              <w:jc w:val="both"/>
              <w:textAlignment w:val="auto"/>
              <w:rPr>
                <w:rFonts w:hint="eastAsia" w:ascii="宋体" w:hAnsi="宋体" w:eastAsia="宋体" w:cs="宋体"/>
                <w:b w:val="0"/>
                <w:bCs/>
                <w:color w:val="auto"/>
                <w:kern w:val="2"/>
                <w:sz w:val="22"/>
                <w:szCs w:val="22"/>
              </w:rPr>
            </w:pPr>
            <w:r>
              <w:rPr>
                <w:rFonts w:hint="eastAsia" w:ascii="宋体" w:hAnsi="宋体" w:eastAsia="宋体" w:cs="宋体"/>
                <w:b w:val="0"/>
                <w:bCs/>
                <w:color w:val="auto"/>
                <w:kern w:val="2"/>
                <w:sz w:val="22"/>
                <w:szCs w:val="22"/>
              </w:rPr>
              <w:t>或授权委托人（签字）：</w:t>
            </w:r>
          </w:p>
        </w:tc>
        <w:tc>
          <w:tcPr>
            <w:tcW w:w="4750" w:type="dxa"/>
            <w:tcBorders>
              <w:tl2br w:val="nil"/>
              <w:tr2bl w:val="nil"/>
            </w:tcBorders>
          </w:tcPr>
          <w:p w14:paraId="057F0BD2">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val="0"/>
                <w:bCs/>
                <w:color w:val="auto"/>
                <w:kern w:val="2"/>
                <w:sz w:val="22"/>
                <w:szCs w:val="22"/>
              </w:rPr>
            </w:pPr>
            <w:r>
              <w:rPr>
                <w:rFonts w:hint="eastAsia" w:ascii="宋体" w:hAnsi="宋体" w:eastAsia="宋体" w:cs="宋体"/>
                <w:b w:val="0"/>
                <w:bCs/>
                <w:color w:val="auto"/>
                <w:kern w:val="2"/>
                <w:sz w:val="22"/>
                <w:szCs w:val="22"/>
              </w:rPr>
              <w:t>法定代表人</w:t>
            </w:r>
          </w:p>
          <w:p w14:paraId="0090D6B1">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val="0"/>
                <w:bCs/>
                <w:color w:val="auto"/>
                <w:kern w:val="2"/>
                <w:sz w:val="22"/>
                <w:szCs w:val="22"/>
              </w:rPr>
            </w:pPr>
            <w:r>
              <w:rPr>
                <w:rFonts w:hint="eastAsia" w:ascii="宋体" w:hAnsi="宋体" w:eastAsia="宋体" w:cs="宋体"/>
                <w:b w:val="0"/>
                <w:bCs/>
                <w:color w:val="auto"/>
                <w:kern w:val="2"/>
                <w:sz w:val="22"/>
                <w:szCs w:val="22"/>
              </w:rPr>
              <w:t>或授权委托人（签字）：</w:t>
            </w:r>
          </w:p>
        </w:tc>
      </w:tr>
      <w:tr w14:paraId="0584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750" w:type="dxa"/>
            <w:tcBorders>
              <w:tl2br w:val="nil"/>
              <w:tr2bl w:val="nil"/>
            </w:tcBorders>
          </w:tcPr>
          <w:p w14:paraId="3A61AC46">
            <w:pPr>
              <w:keepNext w:val="0"/>
              <w:keepLines w:val="0"/>
              <w:pageBreakBefore w:val="0"/>
              <w:widowControl w:val="0"/>
              <w:kinsoku/>
              <w:wordWrap/>
              <w:overflowPunct/>
              <w:topLinePunct w:val="0"/>
              <w:autoSpaceDE/>
              <w:autoSpaceDN/>
              <w:bidi w:val="0"/>
              <w:adjustRightInd/>
              <w:snapToGrid/>
              <w:spacing w:after="0" w:line="360" w:lineRule="auto"/>
              <w:ind w:firstLine="440" w:firstLineChars="200"/>
              <w:jc w:val="both"/>
              <w:textAlignment w:val="auto"/>
              <w:rPr>
                <w:rFonts w:hint="eastAsia" w:ascii="宋体" w:hAnsi="宋体" w:eastAsia="宋体" w:cs="宋体"/>
                <w:b w:val="0"/>
                <w:bCs/>
                <w:color w:val="auto"/>
                <w:kern w:val="2"/>
                <w:sz w:val="22"/>
                <w:szCs w:val="22"/>
              </w:rPr>
            </w:pPr>
            <w:r>
              <w:rPr>
                <w:rFonts w:hint="eastAsia" w:ascii="宋体" w:hAnsi="宋体" w:eastAsia="宋体" w:cs="宋体"/>
                <w:b w:val="0"/>
                <w:bCs/>
                <w:color w:val="auto"/>
                <w:kern w:val="2"/>
                <w:sz w:val="22"/>
                <w:szCs w:val="22"/>
              </w:rPr>
              <w:t xml:space="preserve">地址： </w:t>
            </w:r>
          </w:p>
        </w:tc>
        <w:tc>
          <w:tcPr>
            <w:tcW w:w="4750" w:type="dxa"/>
            <w:tcBorders>
              <w:tl2br w:val="nil"/>
              <w:tr2bl w:val="nil"/>
            </w:tcBorders>
          </w:tcPr>
          <w:p w14:paraId="5BA714CE">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val="0"/>
                <w:bCs/>
                <w:color w:val="auto"/>
                <w:kern w:val="2"/>
                <w:sz w:val="22"/>
                <w:szCs w:val="22"/>
              </w:rPr>
            </w:pPr>
            <w:r>
              <w:rPr>
                <w:rFonts w:hint="eastAsia" w:ascii="宋体" w:hAnsi="宋体" w:eastAsia="宋体" w:cs="宋体"/>
                <w:b w:val="0"/>
                <w:bCs/>
                <w:color w:val="auto"/>
                <w:kern w:val="2"/>
                <w:sz w:val="22"/>
                <w:szCs w:val="22"/>
              </w:rPr>
              <w:t>地址：</w:t>
            </w:r>
          </w:p>
        </w:tc>
      </w:tr>
      <w:tr w14:paraId="42BE6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750" w:type="dxa"/>
            <w:tcBorders>
              <w:tl2br w:val="nil"/>
              <w:tr2bl w:val="nil"/>
            </w:tcBorders>
          </w:tcPr>
          <w:p w14:paraId="42EF8C57">
            <w:pPr>
              <w:keepNext w:val="0"/>
              <w:keepLines w:val="0"/>
              <w:pageBreakBefore w:val="0"/>
              <w:widowControl w:val="0"/>
              <w:kinsoku/>
              <w:wordWrap/>
              <w:overflowPunct/>
              <w:topLinePunct w:val="0"/>
              <w:autoSpaceDE/>
              <w:autoSpaceDN/>
              <w:bidi w:val="0"/>
              <w:adjustRightInd/>
              <w:snapToGrid/>
              <w:spacing w:after="0" w:line="360" w:lineRule="auto"/>
              <w:ind w:firstLine="440" w:firstLineChars="200"/>
              <w:jc w:val="both"/>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kern w:val="2"/>
                <w:sz w:val="22"/>
                <w:szCs w:val="22"/>
              </w:rPr>
              <w:t>开户银行：</w:t>
            </w:r>
          </w:p>
        </w:tc>
        <w:tc>
          <w:tcPr>
            <w:tcW w:w="4750" w:type="dxa"/>
            <w:tcBorders>
              <w:tl2br w:val="nil"/>
              <w:tr2bl w:val="nil"/>
            </w:tcBorders>
          </w:tcPr>
          <w:p w14:paraId="6D21DD09">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kern w:val="2"/>
                <w:sz w:val="22"/>
                <w:szCs w:val="22"/>
              </w:rPr>
              <w:t>开户银行：</w:t>
            </w:r>
          </w:p>
        </w:tc>
      </w:tr>
      <w:tr w14:paraId="2B259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750" w:type="dxa"/>
            <w:tcBorders>
              <w:tl2br w:val="nil"/>
              <w:tr2bl w:val="nil"/>
            </w:tcBorders>
          </w:tcPr>
          <w:p w14:paraId="7A9A3517">
            <w:pPr>
              <w:pStyle w:val="6"/>
              <w:spacing w:line="360" w:lineRule="auto"/>
              <w:ind w:left="0" w:firstLine="440" w:firstLineChars="200"/>
              <w:rPr>
                <w:rFonts w:hint="eastAsia" w:ascii="宋体" w:hAnsi="宋体" w:eastAsia="宋体" w:cs="宋体"/>
                <w:b w:val="0"/>
                <w:bCs/>
                <w:color w:val="auto"/>
                <w:kern w:val="2"/>
                <w:sz w:val="22"/>
                <w:szCs w:val="22"/>
                <w:lang w:val="en-US" w:eastAsia="zh-CN" w:bidi="ar-SA"/>
              </w:rPr>
            </w:pPr>
            <w:r>
              <w:rPr>
                <w:rFonts w:hint="eastAsia" w:ascii="宋体" w:eastAsia="宋体" w:cs="宋体"/>
                <w:b w:val="0"/>
                <w:bCs/>
                <w:color w:val="auto"/>
                <w:sz w:val="22"/>
                <w:szCs w:val="22"/>
                <w:lang w:val="en-US" w:eastAsia="zh-CN"/>
              </w:rPr>
              <w:t>账号</w:t>
            </w:r>
            <w:r>
              <w:rPr>
                <w:rFonts w:hint="eastAsia" w:ascii="宋体" w:hAnsi="宋体" w:eastAsia="宋体" w:cs="宋体"/>
                <w:b w:val="0"/>
                <w:bCs/>
                <w:color w:val="auto"/>
                <w:sz w:val="22"/>
                <w:szCs w:val="22"/>
                <w:lang w:val="en-US" w:eastAsia="zh-CN"/>
              </w:rPr>
              <w:t>：</w:t>
            </w:r>
          </w:p>
        </w:tc>
        <w:tc>
          <w:tcPr>
            <w:tcW w:w="4750" w:type="dxa"/>
            <w:tcBorders>
              <w:tl2br w:val="nil"/>
              <w:tr2bl w:val="nil"/>
            </w:tcBorders>
          </w:tcPr>
          <w:p w14:paraId="753E8C00">
            <w:pPr>
              <w:pStyle w:val="6"/>
              <w:spacing w:line="360" w:lineRule="auto"/>
              <w:ind w:left="0" w:firstLine="0" w:firstLineChars="0"/>
              <w:rPr>
                <w:rFonts w:hint="eastAsia" w:ascii="宋体" w:hAnsi="宋体" w:eastAsia="宋体" w:cs="宋体"/>
                <w:b w:val="0"/>
                <w:bCs/>
                <w:color w:val="auto"/>
                <w:kern w:val="2"/>
                <w:sz w:val="22"/>
                <w:szCs w:val="22"/>
              </w:rPr>
            </w:pPr>
            <w:r>
              <w:rPr>
                <w:rFonts w:hint="eastAsia" w:ascii="宋体" w:eastAsia="宋体" w:cs="宋体"/>
                <w:b w:val="0"/>
                <w:bCs/>
                <w:color w:val="auto"/>
                <w:sz w:val="22"/>
                <w:szCs w:val="22"/>
                <w:lang w:val="en-US" w:eastAsia="zh-CN"/>
              </w:rPr>
              <w:t>账号</w:t>
            </w:r>
            <w:r>
              <w:rPr>
                <w:rFonts w:hint="eastAsia" w:ascii="宋体" w:hAnsi="宋体" w:eastAsia="宋体" w:cs="宋体"/>
                <w:b w:val="0"/>
                <w:bCs/>
                <w:color w:val="auto"/>
                <w:sz w:val="22"/>
                <w:szCs w:val="22"/>
                <w:lang w:val="en-US" w:eastAsia="zh-CN"/>
              </w:rPr>
              <w:t>：</w:t>
            </w:r>
          </w:p>
        </w:tc>
      </w:tr>
      <w:tr w14:paraId="2CE7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750" w:type="dxa"/>
            <w:tcBorders>
              <w:tl2br w:val="nil"/>
              <w:tr2bl w:val="nil"/>
            </w:tcBorders>
          </w:tcPr>
          <w:p w14:paraId="58F76CA5">
            <w:pPr>
              <w:widowControl w:val="0"/>
              <w:adjustRightInd/>
              <w:snapToGrid/>
              <w:spacing w:after="0" w:line="360" w:lineRule="auto"/>
              <w:ind w:left="1529" w:leftChars="728" w:firstLine="2860" w:firstLineChars="1300"/>
              <w:jc w:val="both"/>
              <w:rPr>
                <w:rFonts w:hint="eastAsia" w:ascii="宋体" w:hAnsi="宋体" w:eastAsia="宋体" w:cs="宋体"/>
                <w:b w:val="0"/>
                <w:bCs/>
                <w:color w:val="auto"/>
                <w:kern w:val="2"/>
                <w:sz w:val="22"/>
                <w:szCs w:val="22"/>
                <w:lang w:val="en-US" w:eastAsia="zh-CN"/>
              </w:rPr>
            </w:pPr>
          </w:p>
        </w:tc>
        <w:tc>
          <w:tcPr>
            <w:tcW w:w="4750" w:type="dxa"/>
            <w:tcBorders>
              <w:tl2br w:val="nil"/>
              <w:tr2bl w:val="nil"/>
            </w:tcBorders>
          </w:tcPr>
          <w:p w14:paraId="69FBF5B9">
            <w:pPr>
              <w:pStyle w:val="7"/>
              <w:spacing w:line="360" w:lineRule="auto"/>
              <w:ind w:left="0" w:leftChars="0" w:firstLine="2640" w:firstLineChars="1200"/>
              <w:jc w:val="both"/>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kern w:val="2"/>
                <w:sz w:val="22"/>
                <w:szCs w:val="22"/>
                <w:lang w:val="en-US" w:eastAsia="zh-CN"/>
              </w:rPr>
              <w:t>签订</w:t>
            </w:r>
            <w:r>
              <w:rPr>
                <w:rFonts w:hint="eastAsia" w:ascii="宋体" w:hAnsi="宋体" w:eastAsia="宋体" w:cs="宋体"/>
                <w:b w:val="0"/>
                <w:bCs/>
                <w:color w:val="auto"/>
                <w:kern w:val="2"/>
                <w:sz w:val="22"/>
                <w:szCs w:val="22"/>
              </w:rPr>
              <w:t>日期：</w:t>
            </w:r>
          </w:p>
          <w:p w14:paraId="0B9B8861">
            <w:pPr>
              <w:pStyle w:val="6"/>
              <w:spacing w:line="360" w:lineRule="auto"/>
              <w:rPr>
                <w:rFonts w:hint="eastAsia" w:ascii="宋体" w:hAnsi="宋体" w:eastAsia="宋体" w:cs="宋体"/>
                <w:b w:val="0"/>
                <w:bCs/>
                <w:color w:val="auto"/>
                <w:sz w:val="22"/>
                <w:szCs w:val="22"/>
                <w:lang w:val="en-US" w:eastAsia="zh-CN"/>
              </w:rPr>
            </w:pPr>
          </w:p>
        </w:tc>
      </w:tr>
    </w:tbl>
    <w:p w14:paraId="2E163576">
      <w:pPr>
        <w:spacing w:line="420" w:lineRule="atLeast"/>
        <w:rPr>
          <w:rFonts w:hint="eastAsia" w:ascii="宋体" w:eastAsia="宋体"/>
          <w:b w:val="0"/>
          <w:color w:val="auto"/>
          <w:sz w:val="22"/>
          <w:szCs w:val="22"/>
        </w:rPr>
      </w:pPr>
    </w:p>
    <w:p w14:paraId="5BF6CFE1">
      <w:pPr>
        <w:keepNext w:val="0"/>
        <w:keepLines w:val="0"/>
        <w:pageBreakBefore w:val="0"/>
        <w:widowControl w:val="0"/>
        <w:kinsoku/>
        <w:wordWrap/>
        <w:overflowPunct/>
        <w:topLinePunct w:val="0"/>
        <w:autoSpaceDE/>
        <w:autoSpaceDN/>
        <w:bidi w:val="0"/>
        <w:spacing w:line="336" w:lineRule="auto"/>
        <w:textAlignment w:val="auto"/>
        <w:rPr>
          <w:rFonts w:hint="eastAsia" w:ascii="宋体" w:eastAsia="宋体"/>
          <w:color w:val="auto"/>
          <w:highlight w:val="none"/>
          <w:u w:val="single"/>
        </w:rPr>
      </w:pPr>
      <w:r>
        <w:rPr>
          <w:rFonts w:hint="eastAsia" w:ascii="宋体" w:eastAsia="宋体"/>
          <w:color w:val="auto"/>
          <w:highlight w:val="none"/>
          <w:u w:val="single"/>
        </w:rPr>
        <w:t>注：以上合同条款供采购人及成交供应商作为商务参考，具体签订时，采购人可根据自身项目情况与中标供应商协商另行修改拟定相关合同具体条款。</w:t>
      </w:r>
    </w:p>
    <w:p w14:paraId="6A2C00D6">
      <w:pPr>
        <w:pStyle w:val="9"/>
        <w:pageBreakBefore w:val="0"/>
        <w:widowControl w:val="0"/>
        <w:kinsoku/>
        <w:overflowPunct/>
        <w:bidi w:val="0"/>
        <w:spacing w:line="324" w:lineRule="auto"/>
        <w:rPr>
          <w:rFonts w:hint="eastAsia"/>
          <w:color w:val="auto"/>
          <w:highlight w:val="none"/>
          <w:lang w:val="zh-CN"/>
        </w:rPr>
      </w:pPr>
    </w:p>
    <w:p w14:paraId="65B1E77F">
      <w:pPr>
        <w:pageBreakBefore w:val="0"/>
        <w:widowControl w:val="0"/>
        <w:kinsoku/>
        <w:overflowPunct/>
        <w:autoSpaceDE w:val="0"/>
        <w:autoSpaceDN w:val="0"/>
        <w:bidi w:val="0"/>
        <w:adjustRightInd w:val="0"/>
        <w:spacing w:line="324" w:lineRule="auto"/>
        <w:jc w:val="center"/>
        <w:outlineLvl w:val="0"/>
        <w:rPr>
          <w:rFonts w:hint="eastAsia" w:ascii="宋体" w:eastAsia="宋体"/>
          <w:color w:val="auto"/>
          <w:sz w:val="36"/>
          <w:szCs w:val="36"/>
          <w:highlight w:val="none"/>
          <w:lang w:val="zh-CN"/>
        </w:rPr>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6351F15">
      <w:pPr>
        <w:pageBreakBefore w:val="0"/>
        <w:widowControl w:val="0"/>
        <w:kinsoku/>
        <w:overflowPunct/>
        <w:autoSpaceDE w:val="0"/>
        <w:autoSpaceDN w:val="0"/>
        <w:bidi w:val="0"/>
        <w:adjustRightInd w:val="0"/>
        <w:spacing w:line="324" w:lineRule="auto"/>
        <w:jc w:val="center"/>
        <w:outlineLvl w:val="0"/>
        <w:rPr>
          <w:rFonts w:hint="eastAsia" w:ascii="宋体" w:eastAsia="宋体"/>
          <w:color w:val="auto"/>
          <w:sz w:val="36"/>
          <w:szCs w:val="36"/>
          <w:highlight w:val="none"/>
          <w:lang w:val="zh-CN"/>
        </w:rPr>
      </w:pPr>
      <w:bookmarkStart w:id="51" w:name="_Toc796"/>
      <w:r>
        <w:rPr>
          <w:rFonts w:hint="eastAsia" w:ascii="宋体" w:eastAsia="宋体"/>
          <w:color w:val="auto"/>
          <w:sz w:val="36"/>
          <w:szCs w:val="36"/>
          <w:highlight w:val="none"/>
          <w:lang w:val="zh-CN"/>
        </w:rPr>
        <w:t>第七部分</w:t>
      </w:r>
      <w:r>
        <w:rPr>
          <w:rFonts w:hint="eastAsia" w:ascii="宋体" w:eastAsia="宋体"/>
          <w:color w:val="auto"/>
          <w:sz w:val="36"/>
          <w:szCs w:val="36"/>
          <w:highlight w:val="none"/>
          <w:lang w:val="en-US" w:eastAsia="zh-CN"/>
        </w:rPr>
        <w:t xml:space="preserve">  </w:t>
      </w:r>
      <w:r>
        <w:rPr>
          <w:rFonts w:hint="eastAsia" w:ascii="宋体" w:eastAsia="宋体"/>
          <w:color w:val="auto"/>
          <w:sz w:val="36"/>
          <w:szCs w:val="36"/>
          <w:highlight w:val="none"/>
          <w:lang w:val="zh-CN"/>
        </w:rPr>
        <w:t>附件—磋商响应文件格式</w:t>
      </w:r>
      <w:bookmarkEnd w:id="51"/>
    </w:p>
    <w:p w14:paraId="56CD6DF5">
      <w:pPr>
        <w:pageBreakBefore w:val="0"/>
        <w:widowControl w:val="0"/>
        <w:kinsoku/>
        <w:overflowPunct/>
        <w:autoSpaceDE w:val="0"/>
        <w:autoSpaceDN w:val="0"/>
        <w:bidi w:val="0"/>
        <w:adjustRightInd w:val="0"/>
        <w:spacing w:line="324" w:lineRule="auto"/>
        <w:jc w:val="left"/>
        <w:rPr>
          <w:rFonts w:hint="eastAsia" w:ascii="宋体" w:eastAsia="宋体"/>
          <w:b w:val="0"/>
          <w:color w:val="auto"/>
          <w:sz w:val="30"/>
          <w:highlight w:val="none"/>
          <w:lang w:val="zh-CN"/>
        </w:rPr>
      </w:pPr>
    </w:p>
    <w:p w14:paraId="23253B2F">
      <w:pPr>
        <w:pageBreakBefore w:val="0"/>
        <w:widowControl w:val="0"/>
        <w:kinsoku/>
        <w:overflowPunct/>
        <w:autoSpaceDE w:val="0"/>
        <w:autoSpaceDN w:val="0"/>
        <w:bidi w:val="0"/>
        <w:adjustRightInd w:val="0"/>
        <w:spacing w:line="324" w:lineRule="auto"/>
        <w:jc w:val="center"/>
        <w:outlineLvl w:val="1"/>
        <w:rPr>
          <w:rFonts w:hint="eastAsia" w:ascii="宋体" w:eastAsia="宋体"/>
          <w:b w:val="0"/>
          <w:bCs w:val="0"/>
          <w:color w:val="auto"/>
          <w:sz w:val="36"/>
          <w:highlight w:val="none"/>
        </w:rPr>
      </w:pPr>
      <w:bookmarkStart w:id="52" w:name="_Toc20925"/>
      <w:r>
        <w:rPr>
          <w:rFonts w:hint="eastAsia" w:ascii="宋体" w:hAnsi="宋体" w:eastAsia="宋体" w:cs="宋体"/>
          <w:color w:val="auto"/>
          <w:sz w:val="36"/>
          <w:highlight w:val="none"/>
        </w:rPr>
        <w:t>一、资格文件格式</w:t>
      </w:r>
      <w:bookmarkEnd w:id="52"/>
    </w:p>
    <w:p w14:paraId="6B3C1692">
      <w:pPr>
        <w:pageBreakBefore w:val="0"/>
        <w:widowControl w:val="0"/>
        <w:kinsoku/>
        <w:overflowPunct/>
        <w:autoSpaceDE w:val="0"/>
        <w:autoSpaceDN w:val="0"/>
        <w:bidi w:val="0"/>
        <w:adjustRightInd w:val="0"/>
        <w:spacing w:line="324" w:lineRule="auto"/>
        <w:rPr>
          <w:rFonts w:hint="eastAsia" w:ascii="宋体" w:eastAsia="宋体"/>
          <w:b w:val="0"/>
          <w:bCs w:val="0"/>
          <w:color w:val="auto"/>
          <w:sz w:val="36"/>
          <w:highlight w:val="none"/>
          <w:lang w:val="zh-CN"/>
        </w:rPr>
      </w:pPr>
      <w:r>
        <w:rPr>
          <w:rFonts w:hint="eastAsia" w:ascii="宋体" w:eastAsia="宋体"/>
          <w:b w:val="0"/>
          <w:bCs w:val="0"/>
          <w:color w:val="auto"/>
          <w:sz w:val="30"/>
          <w:highlight w:val="none"/>
          <w:lang w:val="zh-CN"/>
        </w:rPr>
        <w:t>附件一</w:t>
      </w:r>
    </w:p>
    <w:p w14:paraId="58A4E79F">
      <w:pPr>
        <w:pageBreakBefore w:val="0"/>
        <w:widowControl w:val="0"/>
        <w:kinsoku/>
        <w:overflowPunct/>
        <w:autoSpaceDE w:val="0"/>
        <w:autoSpaceDN w:val="0"/>
        <w:bidi w:val="0"/>
        <w:adjustRightInd w:val="0"/>
        <w:spacing w:line="720" w:lineRule="auto"/>
        <w:jc w:val="center"/>
        <w:rPr>
          <w:rFonts w:hint="eastAsia" w:ascii="宋体" w:eastAsia="宋体"/>
          <w:b w:val="0"/>
          <w:bCs w:val="0"/>
          <w:color w:val="auto"/>
          <w:sz w:val="32"/>
          <w:szCs w:val="20"/>
          <w:highlight w:val="none"/>
          <w:lang w:val="zh-CN"/>
        </w:rPr>
      </w:pPr>
      <w:r>
        <w:rPr>
          <w:rFonts w:hint="eastAsia" w:ascii="宋体" w:eastAsia="宋体"/>
          <w:b w:val="0"/>
          <w:bCs w:val="0"/>
          <w:color w:val="auto"/>
          <w:sz w:val="32"/>
          <w:szCs w:val="20"/>
          <w:highlight w:val="none"/>
          <w:lang w:val="zh-CN"/>
        </w:rPr>
        <w:t>具有履行合同所必需的设备和专业技术能力的承诺函</w:t>
      </w:r>
    </w:p>
    <w:p w14:paraId="52B57085">
      <w:pPr>
        <w:pageBreakBefore w:val="0"/>
        <w:widowControl w:val="0"/>
        <w:kinsoku/>
        <w:overflowPunct/>
        <w:bidi w:val="0"/>
        <w:spacing w:line="360" w:lineRule="auto"/>
        <w:rPr>
          <w:rFonts w:hint="eastAsia" w:ascii="宋体" w:eastAsia="宋体"/>
          <w:b w:val="0"/>
          <w:bCs w:val="0"/>
          <w:color w:val="auto"/>
          <w:sz w:val="22"/>
          <w:szCs w:val="22"/>
          <w:highlight w:val="none"/>
          <w:u w:val="single"/>
        </w:rPr>
      </w:pPr>
      <w:r>
        <w:rPr>
          <w:rFonts w:hint="eastAsia" w:ascii="宋体" w:eastAsia="宋体"/>
          <w:b w:val="0"/>
          <w:bCs w:val="0"/>
          <w:color w:val="auto"/>
          <w:sz w:val="22"/>
          <w:szCs w:val="22"/>
          <w:highlight w:val="none"/>
          <w:u w:val="single"/>
          <w:lang w:eastAsia="zh-CN"/>
        </w:rPr>
        <w:t>温州市生态环境局文成分局</w:t>
      </w:r>
      <w:r>
        <w:rPr>
          <w:rFonts w:hint="eastAsia" w:ascii="宋体" w:eastAsia="宋体"/>
          <w:b w:val="0"/>
          <w:bCs w:val="0"/>
          <w:color w:val="auto"/>
          <w:sz w:val="22"/>
          <w:szCs w:val="22"/>
          <w:highlight w:val="none"/>
          <w:u w:val="single"/>
        </w:rPr>
        <w:t xml:space="preserve"> </w:t>
      </w:r>
    </w:p>
    <w:p w14:paraId="2572F3D4">
      <w:pPr>
        <w:pageBreakBefore w:val="0"/>
        <w:widowControl w:val="0"/>
        <w:kinsoku/>
        <w:overflowPunct/>
        <w:bidi w:val="0"/>
        <w:spacing w:line="360" w:lineRule="auto"/>
        <w:rPr>
          <w:rFonts w:hint="eastAsia" w:ascii="宋体" w:eastAsia="宋体"/>
          <w:b w:val="0"/>
          <w:bCs w:val="0"/>
          <w:color w:val="auto"/>
          <w:sz w:val="22"/>
          <w:szCs w:val="22"/>
          <w:highlight w:val="none"/>
          <w:u w:val="single"/>
        </w:rPr>
      </w:pPr>
      <w:r>
        <w:rPr>
          <w:rFonts w:hint="eastAsia" w:ascii="宋体" w:eastAsia="宋体"/>
          <w:b w:val="0"/>
          <w:bCs w:val="0"/>
          <w:color w:val="auto"/>
          <w:sz w:val="22"/>
          <w:szCs w:val="22"/>
          <w:highlight w:val="none"/>
          <w:u w:val="single"/>
        </w:rPr>
        <w:t>浙江新点项目管理有限公司：</w:t>
      </w:r>
    </w:p>
    <w:p w14:paraId="25983A8F">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p>
    <w:p w14:paraId="26DDF1AE">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我方</w:t>
      </w:r>
      <w:r>
        <w:rPr>
          <w:rFonts w:hint="eastAsia" w:ascii="宋体" w:eastAsia="宋体"/>
          <w:b w:val="0"/>
          <w:bCs w:val="0"/>
          <w:color w:val="auto"/>
          <w:sz w:val="22"/>
          <w:szCs w:val="22"/>
          <w:highlight w:val="none"/>
          <w:u w:val="single"/>
        </w:rPr>
        <w:t>（供应商）</w:t>
      </w:r>
      <w:r>
        <w:rPr>
          <w:rFonts w:hint="eastAsia" w:ascii="宋体" w:eastAsia="宋体"/>
          <w:b w:val="0"/>
          <w:bCs w:val="0"/>
          <w:color w:val="auto"/>
          <w:sz w:val="22"/>
          <w:szCs w:val="22"/>
          <w:highlight w:val="none"/>
        </w:rPr>
        <w:t>承诺具有履行合同所必需的设备和专业技术能力。如有虚假，采购人可取消我方任何资格（投标/中标/签订合同），我方对此无任何异议。</w:t>
      </w:r>
    </w:p>
    <w:p w14:paraId="022D9FDC">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p>
    <w:p w14:paraId="06DABEEC">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特此承诺！</w:t>
      </w:r>
    </w:p>
    <w:p w14:paraId="10A0E052">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p>
    <w:p w14:paraId="1F1931E9">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投标供应商名称（盖章）：</w:t>
      </w:r>
    </w:p>
    <w:p w14:paraId="359B7B34">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法定代表人或其授权代表（签字或盖章）：</w:t>
      </w:r>
    </w:p>
    <w:p w14:paraId="403B1BD4">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日期：</w:t>
      </w:r>
    </w:p>
    <w:p w14:paraId="7DCC3C18">
      <w:pPr>
        <w:pageBreakBefore w:val="0"/>
        <w:widowControl w:val="0"/>
        <w:kinsoku/>
        <w:overflowPunct/>
        <w:autoSpaceDE w:val="0"/>
        <w:autoSpaceDN w:val="0"/>
        <w:bidi w:val="0"/>
        <w:adjustRightInd w:val="0"/>
        <w:spacing w:line="324" w:lineRule="auto"/>
        <w:rPr>
          <w:rFonts w:hint="eastAsia" w:ascii="宋体" w:eastAsia="宋体"/>
          <w:b w:val="0"/>
          <w:bCs w:val="0"/>
          <w:color w:val="auto"/>
          <w:sz w:val="30"/>
          <w:highlight w:val="none"/>
          <w:lang w:val="zh-CN"/>
        </w:rPr>
      </w:pPr>
    </w:p>
    <w:p w14:paraId="1EB00EBF">
      <w:pPr>
        <w:pageBreakBefore w:val="0"/>
        <w:widowControl w:val="0"/>
        <w:kinsoku/>
        <w:overflowPunct/>
        <w:autoSpaceDE w:val="0"/>
        <w:autoSpaceDN w:val="0"/>
        <w:bidi w:val="0"/>
        <w:adjustRightInd w:val="0"/>
        <w:spacing w:line="324" w:lineRule="auto"/>
        <w:rPr>
          <w:rFonts w:hint="eastAsia" w:ascii="宋体" w:eastAsia="宋体"/>
          <w:b w:val="0"/>
          <w:bCs w:val="0"/>
          <w:color w:val="auto"/>
          <w:sz w:val="30"/>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79F1733">
      <w:pPr>
        <w:pageBreakBefore w:val="0"/>
        <w:widowControl w:val="0"/>
        <w:kinsoku/>
        <w:overflowPunct/>
        <w:autoSpaceDE w:val="0"/>
        <w:autoSpaceDN w:val="0"/>
        <w:bidi w:val="0"/>
        <w:adjustRightInd w:val="0"/>
        <w:spacing w:line="324" w:lineRule="auto"/>
        <w:rPr>
          <w:rFonts w:hint="eastAsia" w:ascii="宋体" w:eastAsia="宋体"/>
          <w:b w:val="0"/>
          <w:bCs w:val="0"/>
          <w:color w:val="auto"/>
          <w:sz w:val="36"/>
          <w:highlight w:val="none"/>
          <w:lang w:val="zh-CN"/>
        </w:rPr>
      </w:pPr>
      <w:r>
        <w:rPr>
          <w:rFonts w:hint="eastAsia" w:ascii="宋体" w:eastAsia="宋体"/>
          <w:b w:val="0"/>
          <w:bCs w:val="0"/>
          <w:color w:val="auto"/>
          <w:sz w:val="30"/>
          <w:highlight w:val="none"/>
          <w:lang w:val="zh-CN"/>
        </w:rPr>
        <w:t>附件二</w:t>
      </w:r>
    </w:p>
    <w:p w14:paraId="7278ABAF">
      <w:pPr>
        <w:pageBreakBefore w:val="0"/>
        <w:widowControl w:val="0"/>
        <w:kinsoku/>
        <w:overflowPunct/>
        <w:autoSpaceDE w:val="0"/>
        <w:autoSpaceDN w:val="0"/>
        <w:bidi w:val="0"/>
        <w:adjustRightInd w:val="0"/>
        <w:spacing w:line="720" w:lineRule="auto"/>
        <w:jc w:val="center"/>
        <w:rPr>
          <w:rFonts w:hint="eastAsia" w:ascii="宋体" w:hAnsi="宋体" w:eastAsia="宋体" w:cs="宋体"/>
          <w:b w:val="0"/>
          <w:bCs w:val="0"/>
          <w:color w:val="auto"/>
          <w:sz w:val="32"/>
          <w:szCs w:val="20"/>
          <w:highlight w:val="none"/>
          <w:lang w:val="zh-CN"/>
        </w:rPr>
      </w:pPr>
      <w:r>
        <w:rPr>
          <w:rFonts w:hint="eastAsia" w:ascii="宋体" w:hAnsi="宋体" w:eastAsia="宋体" w:cs="宋体"/>
          <w:b w:val="0"/>
          <w:bCs w:val="0"/>
          <w:color w:val="auto"/>
          <w:sz w:val="32"/>
          <w:szCs w:val="20"/>
          <w:highlight w:val="none"/>
          <w:lang w:val="zh-CN"/>
        </w:rPr>
        <w:t>依法缴纳税收和社会保障资金的承诺函</w:t>
      </w:r>
    </w:p>
    <w:p w14:paraId="5D6EFA36">
      <w:pPr>
        <w:pageBreakBefore w:val="0"/>
        <w:widowControl w:val="0"/>
        <w:kinsoku/>
        <w:overflowPunct/>
        <w:bidi w:val="0"/>
        <w:spacing w:line="360" w:lineRule="auto"/>
        <w:rPr>
          <w:rFonts w:hint="eastAsia" w:ascii="宋体" w:eastAsia="宋体"/>
          <w:b w:val="0"/>
          <w:bCs w:val="0"/>
          <w:color w:val="auto"/>
          <w:sz w:val="22"/>
          <w:szCs w:val="22"/>
          <w:highlight w:val="none"/>
          <w:u w:val="single"/>
        </w:rPr>
      </w:pPr>
      <w:r>
        <w:rPr>
          <w:rFonts w:hint="eastAsia" w:ascii="宋体" w:eastAsia="宋体"/>
          <w:b w:val="0"/>
          <w:bCs w:val="0"/>
          <w:color w:val="auto"/>
          <w:sz w:val="22"/>
          <w:szCs w:val="22"/>
          <w:highlight w:val="none"/>
          <w:u w:val="single"/>
          <w:lang w:eastAsia="zh-CN"/>
        </w:rPr>
        <w:t>温州市生态环境局文成分局</w:t>
      </w:r>
    </w:p>
    <w:p w14:paraId="7B0A8517">
      <w:pPr>
        <w:pageBreakBefore w:val="0"/>
        <w:widowControl w:val="0"/>
        <w:kinsoku/>
        <w:overflowPunct/>
        <w:bidi w:val="0"/>
        <w:spacing w:line="360" w:lineRule="auto"/>
        <w:rPr>
          <w:rFonts w:hint="eastAsia" w:ascii="宋体" w:eastAsia="宋体"/>
          <w:b w:val="0"/>
          <w:bCs w:val="0"/>
          <w:color w:val="auto"/>
          <w:sz w:val="22"/>
          <w:szCs w:val="22"/>
          <w:highlight w:val="none"/>
          <w:u w:val="single"/>
        </w:rPr>
      </w:pPr>
      <w:r>
        <w:rPr>
          <w:rFonts w:hint="eastAsia" w:ascii="宋体" w:eastAsia="宋体"/>
          <w:b w:val="0"/>
          <w:bCs w:val="0"/>
          <w:color w:val="auto"/>
          <w:sz w:val="22"/>
          <w:szCs w:val="22"/>
          <w:highlight w:val="none"/>
          <w:u w:val="single"/>
        </w:rPr>
        <w:t>浙江新点项目管理有限公司：</w:t>
      </w:r>
    </w:p>
    <w:p w14:paraId="1DA8C93F">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p>
    <w:p w14:paraId="73690313">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我公司郑重声明，我公司严格依法缴纳税收和社会保障资金，本文件中所提供的相关材料均真实有效，不存在虚假、造假行为。如有违反，愿承担一切责任。</w:t>
      </w:r>
    </w:p>
    <w:p w14:paraId="01BD1310">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p>
    <w:p w14:paraId="2847219B">
      <w:pPr>
        <w:pageBreakBefore w:val="0"/>
        <w:widowControl w:val="0"/>
        <w:kinsoku/>
        <w:overflowPunct/>
        <w:bidi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特此承诺！</w:t>
      </w:r>
    </w:p>
    <w:p w14:paraId="43B05DB9">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p>
    <w:p w14:paraId="50E28DED">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投标供应商名称（盖章）：</w:t>
      </w:r>
    </w:p>
    <w:p w14:paraId="0F6AC3A1">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法定代表人或其授权代表（签字或盖章）：</w:t>
      </w:r>
    </w:p>
    <w:p w14:paraId="1638CB5C">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日期</w:t>
      </w:r>
      <w:r>
        <w:rPr>
          <w:rFonts w:hint="eastAsia" w:ascii="宋体" w:eastAsia="宋体"/>
          <w:b w:val="0"/>
          <w:bCs w:val="0"/>
          <w:color w:val="auto"/>
          <w:sz w:val="22"/>
          <w:szCs w:val="22"/>
          <w:highlight w:val="none"/>
          <w:lang w:eastAsia="zh-CN"/>
        </w:rPr>
        <w:t>：</w:t>
      </w:r>
    </w:p>
    <w:p w14:paraId="0802E009">
      <w:pPr>
        <w:pageBreakBefore w:val="0"/>
        <w:widowControl/>
        <w:kinsoku/>
        <w:overflowPunct/>
        <w:bidi w:val="0"/>
        <w:snapToGrid w:val="0"/>
        <w:spacing w:line="360" w:lineRule="auto"/>
        <w:jc w:val="left"/>
        <w:rPr>
          <w:rFonts w:hint="eastAsia" w:ascii="宋体" w:eastAsia="宋体"/>
          <w:b w:val="0"/>
          <w:bCs w:val="0"/>
          <w:color w:val="auto"/>
          <w:sz w:val="22"/>
          <w:szCs w:val="22"/>
          <w:highlight w:val="none"/>
          <w:lang w:eastAsia="zh-CN"/>
        </w:rPr>
      </w:pPr>
    </w:p>
    <w:p w14:paraId="53F53D26">
      <w:pPr>
        <w:pageBreakBefore w:val="0"/>
        <w:widowControl w:val="0"/>
        <w:kinsoku/>
        <w:overflowPunct/>
        <w:autoSpaceDE w:val="0"/>
        <w:autoSpaceDN w:val="0"/>
        <w:bidi w:val="0"/>
        <w:adjustRightInd w:val="0"/>
        <w:spacing w:line="324" w:lineRule="auto"/>
        <w:rPr>
          <w:rFonts w:hint="eastAsia" w:ascii="宋体" w:eastAsia="宋体"/>
          <w:b w:val="0"/>
          <w:bCs w:val="0"/>
          <w:color w:val="auto"/>
          <w:sz w:val="30"/>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53" w:name="_Toc27119255"/>
      <w:bookmarkStart w:id="54" w:name="_Toc31544"/>
      <w:bookmarkStart w:id="55" w:name="_Toc13669"/>
      <w:bookmarkStart w:id="56" w:name="_Toc10630"/>
      <w:bookmarkStart w:id="57" w:name="_Toc33194406"/>
      <w:bookmarkStart w:id="58" w:name="_Toc18304"/>
      <w:bookmarkStart w:id="59" w:name="_Toc14988"/>
      <w:bookmarkStart w:id="60" w:name="_Toc14589"/>
      <w:bookmarkStart w:id="61" w:name="_Toc31784"/>
      <w:bookmarkStart w:id="62" w:name="_Toc11360"/>
      <w:bookmarkStart w:id="63" w:name="_Toc6606"/>
      <w:bookmarkStart w:id="64" w:name="_Toc28957"/>
    </w:p>
    <w:p w14:paraId="16529AAC">
      <w:pPr>
        <w:pageBreakBefore w:val="0"/>
        <w:widowControl w:val="0"/>
        <w:kinsoku/>
        <w:overflowPunct/>
        <w:autoSpaceDE w:val="0"/>
        <w:autoSpaceDN w:val="0"/>
        <w:bidi w:val="0"/>
        <w:adjustRightInd w:val="0"/>
        <w:spacing w:line="324" w:lineRule="auto"/>
        <w:rPr>
          <w:rFonts w:hint="eastAsia" w:ascii="宋体" w:eastAsia="宋体"/>
          <w:b w:val="0"/>
          <w:bCs w:val="0"/>
          <w:color w:val="auto"/>
          <w:sz w:val="30"/>
          <w:highlight w:val="none"/>
          <w:lang w:val="zh-CN"/>
        </w:rPr>
      </w:pPr>
      <w:r>
        <w:rPr>
          <w:rFonts w:hint="eastAsia" w:ascii="宋体" w:eastAsia="宋体"/>
          <w:b w:val="0"/>
          <w:bCs w:val="0"/>
          <w:color w:val="auto"/>
          <w:sz w:val="30"/>
          <w:highlight w:val="none"/>
          <w:lang w:val="zh-CN"/>
        </w:rPr>
        <w:t>附件三</w:t>
      </w:r>
    </w:p>
    <w:p w14:paraId="0AAD269B">
      <w:pPr>
        <w:pageBreakBefore w:val="0"/>
        <w:widowControl w:val="0"/>
        <w:kinsoku/>
        <w:overflowPunct/>
        <w:autoSpaceDE w:val="0"/>
        <w:autoSpaceDN w:val="0"/>
        <w:bidi w:val="0"/>
        <w:adjustRightInd w:val="0"/>
        <w:spacing w:line="324" w:lineRule="auto"/>
        <w:jc w:val="center"/>
        <w:rPr>
          <w:rFonts w:hint="eastAsia" w:ascii="宋体" w:eastAsia="宋体"/>
          <w:b w:val="0"/>
          <w:bCs w:val="0"/>
          <w:color w:val="auto"/>
          <w:sz w:val="36"/>
          <w:highlight w:val="none"/>
          <w:lang w:val="zh-CN"/>
        </w:rPr>
      </w:pPr>
    </w:p>
    <w:p w14:paraId="57189C69">
      <w:pPr>
        <w:pageBreakBefore w:val="0"/>
        <w:widowControl w:val="0"/>
        <w:kinsoku/>
        <w:overflowPunct/>
        <w:autoSpaceDE w:val="0"/>
        <w:autoSpaceDN w:val="0"/>
        <w:bidi w:val="0"/>
        <w:adjustRightInd w:val="0"/>
        <w:spacing w:line="720" w:lineRule="auto"/>
        <w:jc w:val="center"/>
        <w:rPr>
          <w:rFonts w:hint="eastAsia" w:ascii="宋体" w:hAnsi="宋体" w:eastAsia="宋体" w:cs="宋体"/>
          <w:b w:val="0"/>
          <w:bCs w:val="0"/>
          <w:color w:val="auto"/>
          <w:sz w:val="32"/>
          <w:szCs w:val="20"/>
          <w:highlight w:val="none"/>
          <w:lang w:val="zh-CN"/>
        </w:rPr>
      </w:pPr>
      <w:r>
        <w:rPr>
          <w:rFonts w:hint="eastAsia" w:ascii="宋体" w:hAnsi="宋体" w:eastAsia="宋体" w:cs="宋体"/>
          <w:b w:val="0"/>
          <w:bCs w:val="0"/>
          <w:color w:val="auto"/>
          <w:sz w:val="32"/>
          <w:szCs w:val="20"/>
          <w:highlight w:val="none"/>
          <w:lang w:val="zh-CN"/>
        </w:rPr>
        <w:t>参加政府采购活动前3年内在经营活动中没有重大违法记录的声明函</w:t>
      </w:r>
      <w:bookmarkEnd w:id="53"/>
      <w:bookmarkEnd w:id="54"/>
      <w:bookmarkEnd w:id="55"/>
      <w:bookmarkEnd w:id="56"/>
      <w:bookmarkEnd w:id="57"/>
      <w:bookmarkEnd w:id="58"/>
      <w:bookmarkEnd w:id="59"/>
      <w:bookmarkEnd w:id="60"/>
      <w:bookmarkEnd w:id="61"/>
      <w:bookmarkEnd w:id="62"/>
      <w:bookmarkEnd w:id="63"/>
      <w:bookmarkEnd w:id="64"/>
    </w:p>
    <w:p w14:paraId="020D798C">
      <w:pPr>
        <w:pageBreakBefore w:val="0"/>
        <w:widowControl w:val="0"/>
        <w:kinsoku/>
        <w:overflowPunct/>
        <w:bidi w:val="0"/>
        <w:spacing w:line="360" w:lineRule="auto"/>
        <w:rPr>
          <w:rFonts w:hint="eastAsia" w:ascii="宋体" w:eastAsia="宋体"/>
          <w:b w:val="0"/>
          <w:bCs w:val="0"/>
          <w:color w:val="auto"/>
          <w:sz w:val="22"/>
          <w:szCs w:val="22"/>
          <w:highlight w:val="none"/>
          <w:u w:val="single"/>
        </w:rPr>
      </w:pPr>
      <w:r>
        <w:rPr>
          <w:rFonts w:hint="eastAsia" w:ascii="宋体" w:eastAsia="宋体"/>
          <w:b w:val="0"/>
          <w:bCs w:val="0"/>
          <w:color w:val="auto"/>
          <w:sz w:val="22"/>
          <w:szCs w:val="22"/>
          <w:highlight w:val="none"/>
          <w:u w:val="single"/>
          <w:lang w:eastAsia="zh-CN"/>
        </w:rPr>
        <w:t>温州市生态环境局文成分局</w:t>
      </w:r>
    </w:p>
    <w:p w14:paraId="00C1B6C1">
      <w:pPr>
        <w:pageBreakBefore w:val="0"/>
        <w:widowControl w:val="0"/>
        <w:kinsoku/>
        <w:overflowPunct/>
        <w:bidi w:val="0"/>
        <w:spacing w:line="360" w:lineRule="auto"/>
        <w:jc w:val="left"/>
        <w:rPr>
          <w:rFonts w:hint="eastAsia" w:ascii="宋体" w:eastAsia="宋体"/>
          <w:b w:val="0"/>
          <w:bCs w:val="0"/>
          <w:color w:val="auto"/>
          <w:sz w:val="22"/>
          <w:szCs w:val="22"/>
          <w:highlight w:val="none"/>
          <w:u w:val="single"/>
        </w:rPr>
      </w:pPr>
      <w:r>
        <w:rPr>
          <w:rFonts w:hint="eastAsia" w:ascii="宋体" w:eastAsia="宋体"/>
          <w:b w:val="0"/>
          <w:bCs w:val="0"/>
          <w:color w:val="auto"/>
          <w:sz w:val="22"/>
          <w:szCs w:val="22"/>
          <w:highlight w:val="none"/>
          <w:u w:val="single"/>
        </w:rPr>
        <w:t>浙江新点项目管理有限公司：</w:t>
      </w:r>
    </w:p>
    <w:p w14:paraId="48953097">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我方</w:t>
      </w:r>
      <w:r>
        <w:rPr>
          <w:rFonts w:hint="eastAsia" w:ascii="宋体" w:eastAsia="宋体"/>
          <w:b w:val="0"/>
          <w:bCs w:val="0"/>
          <w:color w:val="auto"/>
          <w:sz w:val="22"/>
          <w:szCs w:val="22"/>
          <w:highlight w:val="none"/>
          <w:u w:val="single"/>
        </w:rPr>
        <w:t xml:space="preserve"> （供应商）</w:t>
      </w:r>
      <w:r>
        <w:rPr>
          <w:rFonts w:hint="eastAsia" w:ascii="宋体" w:eastAsia="宋体"/>
          <w:b w:val="0"/>
          <w:bCs w:val="0"/>
          <w:color w:val="auto"/>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7E6CE73">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p>
    <w:p w14:paraId="6A5019F2">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特此承诺！</w:t>
      </w:r>
    </w:p>
    <w:p w14:paraId="4FD52989">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p>
    <w:p w14:paraId="09151D98">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投标供应商名称（盖章）：</w:t>
      </w:r>
    </w:p>
    <w:p w14:paraId="2013B0BF">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法定代表人或其授权代表（签字或盖章）：</w:t>
      </w:r>
    </w:p>
    <w:p w14:paraId="12C084E1">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日期：</w:t>
      </w:r>
    </w:p>
    <w:p w14:paraId="122DA69F">
      <w:pPr>
        <w:pageBreakBefore w:val="0"/>
        <w:widowControl w:val="0"/>
        <w:kinsoku/>
        <w:overflowPunct/>
        <w:autoSpaceDE w:val="0"/>
        <w:autoSpaceDN w:val="0"/>
        <w:bidi w:val="0"/>
        <w:adjustRightInd w:val="0"/>
        <w:spacing w:line="324" w:lineRule="auto"/>
        <w:rPr>
          <w:rFonts w:hint="eastAsia" w:ascii="宋体" w:eastAsia="宋体"/>
          <w:b w:val="0"/>
          <w:bCs w:val="0"/>
          <w:color w:val="auto"/>
          <w:sz w:val="36"/>
          <w:highlight w:val="none"/>
        </w:rPr>
      </w:pPr>
    </w:p>
    <w:p w14:paraId="6692D938">
      <w:pPr>
        <w:pageBreakBefore w:val="0"/>
        <w:widowControl w:val="0"/>
        <w:kinsoku/>
        <w:overflowPunct/>
        <w:bidi w:val="0"/>
        <w:snapToGrid w:val="0"/>
        <w:spacing w:line="324" w:lineRule="auto"/>
        <w:rPr>
          <w:rFonts w:hint="eastAsia" w:ascii="宋体" w:eastAsia="宋体"/>
          <w:b w:val="0"/>
          <w:bCs w:val="0"/>
          <w:color w:val="auto"/>
          <w:sz w:val="30"/>
          <w:szCs w:val="30"/>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4C40C09">
      <w:pPr>
        <w:pageBreakBefore w:val="0"/>
        <w:widowControl w:val="0"/>
        <w:kinsoku/>
        <w:overflowPunct/>
        <w:bidi w:val="0"/>
        <w:snapToGrid w:val="0"/>
        <w:spacing w:line="324" w:lineRule="auto"/>
        <w:rPr>
          <w:rFonts w:hint="eastAsia" w:ascii="宋体" w:eastAsia="宋体"/>
          <w:b w:val="0"/>
          <w:bCs w:val="0"/>
          <w:color w:val="auto"/>
          <w:sz w:val="30"/>
          <w:szCs w:val="30"/>
          <w:highlight w:val="none"/>
        </w:rPr>
      </w:pPr>
      <w:r>
        <w:rPr>
          <w:rFonts w:hint="eastAsia" w:ascii="宋体" w:eastAsia="宋体"/>
          <w:b w:val="0"/>
          <w:bCs w:val="0"/>
          <w:color w:val="auto"/>
          <w:sz w:val="30"/>
          <w:szCs w:val="30"/>
          <w:highlight w:val="none"/>
        </w:rPr>
        <w:t>附件四</w:t>
      </w:r>
    </w:p>
    <w:p w14:paraId="5BF7FFAE">
      <w:pPr>
        <w:pageBreakBefore w:val="0"/>
        <w:widowControl w:val="0"/>
        <w:kinsoku/>
        <w:overflowPunct/>
        <w:autoSpaceDE w:val="0"/>
        <w:autoSpaceDN w:val="0"/>
        <w:bidi w:val="0"/>
        <w:adjustRightInd w:val="0"/>
        <w:spacing w:line="720" w:lineRule="auto"/>
        <w:jc w:val="center"/>
        <w:rPr>
          <w:rFonts w:hint="eastAsia" w:ascii="宋体" w:hAnsi="宋体" w:eastAsia="宋体" w:cs="宋体"/>
          <w:b w:val="0"/>
          <w:bCs w:val="0"/>
          <w:color w:val="auto"/>
          <w:sz w:val="32"/>
          <w:szCs w:val="20"/>
          <w:highlight w:val="none"/>
          <w:lang w:val="zh-CN"/>
        </w:rPr>
      </w:pPr>
      <w:r>
        <w:rPr>
          <w:rFonts w:hint="eastAsia" w:ascii="宋体" w:hAnsi="宋体" w:eastAsia="宋体" w:cs="宋体"/>
          <w:b w:val="0"/>
          <w:bCs w:val="0"/>
          <w:color w:val="auto"/>
          <w:sz w:val="32"/>
          <w:szCs w:val="20"/>
          <w:highlight w:val="none"/>
          <w:lang w:val="zh-CN"/>
        </w:rPr>
        <w:t>投标供应商参与政府采购活动投标资格声明函</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8512"/>
      </w:tblGrid>
      <w:tr w14:paraId="50ED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7" w:type="dxa"/>
          </w:tcPr>
          <w:p w14:paraId="093A507F">
            <w:pPr>
              <w:pStyle w:val="12"/>
              <w:pageBreakBefore w:val="0"/>
              <w:widowControl w:val="0"/>
              <w:kinsoku/>
              <w:overflowPunct/>
              <w:bidi w:val="0"/>
              <w:adjustRightInd w:val="0"/>
              <w:snapToGrid w:val="0"/>
              <w:spacing w:line="324" w:lineRule="auto"/>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项目名称</w:t>
            </w:r>
          </w:p>
        </w:tc>
        <w:tc>
          <w:tcPr>
            <w:tcW w:w="8512" w:type="dxa"/>
          </w:tcPr>
          <w:p w14:paraId="32CC738A">
            <w:pPr>
              <w:pStyle w:val="12"/>
              <w:pageBreakBefore w:val="0"/>
              <w:widowControl w:val="0"/>
              <w:kinsoku/>
              <w:overflowPunct/>
              <w:bidi w:val="0"/>
              <w:adjustRightInd w:val="0"/>
              <w:snapToGrid w:val="0"/>
              <w:spacing w:line="324" w:lineRule="auto"/>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lang w:eastAsia="zh-CN"/>
              </w:rPr>
              <w:t>文成县宁静小区创建项目</w:t>
            </w:r>
            <w:r>
              <w:rPr>
                <w:rFonts w:hint="eastAsia" w:hAnsi="宋体" w:eastAsia="宋体"/>
                <w:b w:val="0"/>
                <w:bCs w:val="0"/>
                <w:color w:val="auto"/>
                <w:sz w:val="22"/>
                <w:szCs w:val="22"/>
                <w:highlight w:val="none"/>
              </w:rPr>
              <w:t>（标项     ）</w:t>
            </w:r>
          </w:p>
        </w:tc>
      </w:tr>
      <w:tr w14:paraId="1999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7" w:type="dxa"/>
            <w:tcBorders>
              <w:top w:val="single" w:color="auto" w:sz="4" w:space="0"/>
              <w:left w:val="single" w:color="auto" w:sz="4" w:space="0"/>
              <w:right w:val="single" w:color="auto" w:sz="4" w:space="0"/>
            </w:tcBorders>
          </w:tcPr>
          <w:p w14:paraId="7D48056E">
            <w:pPr>
              <w:pStyle w:val="12"/>
              <w:pageBreakBefore w:val="0"/>
              <w:widowControl w:val="0"/>
              <w:kinsoku/>
              <w:overflowPunct/>
              <w:bidi w:val="0"/>
              <w:adjustRightInd w:val="0"/>
              <w:snapToGrid w:val="0"/>
              <w:spacing w:line="324" w:lineRule="auto"/>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lang w:eastAsia="zh-CN"/>
              </w:rPr>
              <w:t>采购</w:t>
            </w:r>
            <w:r>
              <w:rPr>
                <w:rFonts w:hint="eastAsia" w:hAnsi="宋体" w:eastAsia="宋体"/>
                <w:b w:val="0"/>
                <w:bCs w:val="0"/>
                <w:color w:val="auto"/>
                <w:sz w:val="22"/>
                <w:szCs w:val="22"/>
                <w:highlight w:val="none"/>
              </w:rPr>
              <w:t>编号</w:t>
            </w:r>
          </w:p>
        </w:tc>
        <w:tc>
          <w:tcPr>
            <w:tcW w:w="8512" w:type="dxa"/>
            <w:tcBorders>
              <w:top w:val="single" w:color="auto" w:sz="4" w:space="0"/>
              <w:left w:val="single" w:color="auto" w:sz="4" w:space="0"/>
              <w:right w:val="single" w:color="auto" w:sz="4" w:space="0"/>
            </w:tcBorders>
          </w:tcPr>
          <w:p w14:paraId="14916445">
            <w:pPr>
              <w:pStyle w:val="12"/>
              <w:pageBreakBefore w:val="0"/>
              <w:widowControl w:val="0"/>
              <w:kinsoku/>
              <w:overflowPunct/>
              <w:bidi w:val="0"/>
              <w:adjustRightInd w:val="0"/>
              <w:snapToGrid w:val="0"/>
              <w:spacing w:line="324" w:lineRule="auto"/>
              <w:rPr>
                <w:rFonts w:hint="eastAsia" w:hAnsi="宋体" w:eastAsia="宋体"/>
                <w:b w:val="0"/>
                <w:bCs w:val="0"/>
                <w:color w:val="auto"/>
                <w:sz w:val="22"/>
                <w:szCs w:val="22"/>
                <w:highlight w:val="none"/>
                <w:lang w:eastAsia="zh-CN"/>
              </w:rPr>
            </w:pPr>
            <w:r>
              <w:rPr>
                <w:rFonts w:hint="eastAsia" w:hAnsi="宋体" w:eastAsia="宋体"/>
                <w:b w:val="0"/>
                <w:bCs w:val="0"/>
                <w:color w:val="auto"/>
                <w:sz w:val="22"/>
                <w:szCs w:val="22"/>
                <w:highlight w:val="none"/>
                <w:lang w:eastAsia="zh-CN"/>
              </w:rPr>
              <w:t xml:space="preserve">ZJXDFS2025011 </w:t>
            </w:r>
          </w:p>
        </w:tc>
      </w:tr>
      <w:tr w14:paraId="16AB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7" w:type="dxa"/>
            <w:tcBorders>
              <w:top w:val="single" w:color="auto" w:sz="4" w:space="0"/>
              <w:left w:val="single" w:color="auto" w:sz="4" w:space="0"/>
              <w:right w:val="single" w:color="auto" w:sz="4" w:space="0"/>
            </w:tcBorders>
          </w:tcPr>
          <w:p w14:paraId="3038AA58">
            <w:pPr>
              <w:pStyle w:val="12"/>
              <w:pageBreakBefore w:val="0"/>
              <w:widowControl w:val="0"/>
              <w:kinsoku/>
              <w:overflowPunct/>
              <w:bidi w:val="0"/>
              <w:adjustRightInd w:val="0"/>
              <w:snapToGrid w:val="0"/>
              <w:spacing w:line="324" w:lineRule="auto"/>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时    间</w:t>
            </w:r>
          </w:p>
        </w:tc>
        <w:tc>
          <w:tcPr>
            <w:tcW w:w="8512" w:type="dxa"/>
            <w:tcBorders>
              <w:top w:val="single" w:color="auto" w:sz="4" w:space="0"/>
              <w:left w:val="single" w:color="auto" w:sz="4" w:space="0"/>
              <w:right w:val="single" w:color="auto" w:sz="4" w:space="0"/>
            </w:tcBorders>
          </w:tcPr>
          <w:p w14:paraId="2D6F580E">
            <w:pPr>
              <w:pStyle w:val="12"/>
              <w:pageBreakBefore w:val="0"/>
              <w:widowControl w:val="0"/>
              <w:kinsoku/>
              <w:overflowPunct/>
              <w:bidi w:val="0"/>
              <w:adjustRightInd w:val="0"/>
              <w:snapToGrid w:val="0"/>
              <w:spacing w:line="324" w:lineRule="auto"/>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响应文件递交截止时间前</w:t>
            </w:r>
          </w:p>
        </w:tc>
      </w:tr>
      <w:tr w14:paraId="457A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8" w:hRule="atLeast"/>
        </w:trPr>
        <w:tc>
          <w:tcPr>
            <w:tcW w:w="9699" w:type="dxa"/>
            <w:gridSpan w:val="2"/>
            <w:tcBorders>
              <w:top w:val="single" w:color="auto" w:sz="4" w:space="0"/>
              <w:left w:val="single" w:color="auto" w:sz="4" w:space="0"/>
              <w:right w:val="single" w:color="auto" w:sz="4" w:space="0"/>
            </w:tcBorders>
          </w:tcPr>
          <w:p w14:paraId="2B3EA17A">
            <w:pPr>
              <w:pStyle w:val="12"/>
              <w:pageBreakBefore w:val="0"/>
              <w:widowControl w:val="0"/>
              <w:kinsoku/>
              <w:overflowPunct/>
              <w:bidi w:val="0"/>
              <w:adjustRightInd w:val="0"/>
              <w:snapToGrid w:val="0"/>
              <w:spacing w:line="324" w:lineRule="auto"/>
              <w:ind w:firstLine="450"/>
              <w:rPr>
                <w:rFonts w:hint="eastAsia" w:hAnsi="宋体" w:eastAsia="宋体"/>
                <w:b w:val="0"/>
                <w:bCs w:val="0"/>
                <w:color w:val="auto"/>
                <w:szCs w:val="22"/>
                <w:highlight w:val="none"/>
              </w:rPr>
            </w:pPr>
            <w:r>
              <w:rPr>
                <w:rFonts w:hint="eastAsia" w:hAnsi="宋体" w:eastAsia="宋体"/>
                <w:b w:val="0"/>
                <w:bCs w:val="0"/>
                <w:color w:val="auto"/>
                <w:szCs w:val="22"/>
                <w:highlight w:val="none"/>
              </w:rPr>
              <w:t>1、根据政府采购法第二十二条规定，我单位满足以下条件，并已经在磋商响应文件中提供了相应的证明材料：</w:t>
            </w:r>
          </w:p>
          <w:p w14:paraId="18021CBB">
            <w:pPr>
              <w:pStyle w:val="12"/>
              <w:pageBreakBefore w:val="0"/>
              <w:widowControl w:val="0"/>
              <w:kinsoku/>
              <w:overflowPunct/>
              <w:bidi w:val="0"/>
              <w:adjustRightInd w:val="0"/>
              <w:snapToGrid w:val="0"/>
              <w:spacing w:line="324" w:lineRule="auto"/>
              <w:ind w:firstLine="450"/>
              <w:rPr>
                <w:rFonts w:hint="eastAsia" w:hAnsi="宋体" w:eastAsia="宋体"/>
                <w:b w:val="0"/>
                <w:bCs w:val="0"/>
                <w:color w:val="auto"/>
                <w:szCs w:val="22"/>
                <w:highlight w:val="none"/>
              </w:rPr>
            </w:pPr>
            <w:r>
              <w:rPr>
                <w:rFonts w:hint="eastAsia" w:hAnsi="宋体" w:eastAsia="宋体"/>
                <w:b w:val="0"/>
                <w:bCs w:val="0"/>
                <w:color w:val="auto"/>
                <w:szCs w:val="22"/>
                <w:highlight w:val="none"/>
              </w:rPr>
              <w:t>（一）具有独立承担民事责任的能力；</w:t>
            </w:r>
          </w:p>
          <w:p w14:paraId="3C5290F2">
            <w:pPr>
              <w:pStyle w:val="12"/>
              <w:pageBreakBefore w:val="0"/>
              <w:widowControl w:val="0"/>
              <w:kinsoku/>
              <w:overflowPunct/>
              <w:bidi w:val="0"/>
              <w:adjustRightInd w:val="0"/>
              <w:snapToGrid w:val="0"/>
              <w:spacing w:line="324" w:lineRule="auto"/>
              <w:ind w:firstLine="450"/>
              <w:rPr>
                <w:rFonts w:hint="eastAsia" w:hAnsi="宋体" w:eastAsia="宋体"/>
                <w:b w:val="0"/>
                <w:bCs w:val="0"/>
                <w:color w:val="auto"/>
                <w:szCs w:val="22"/>
                <w:highlight w:val="none"/>
              </w:rPr>
            </w:pPr>
            <w:r>
              <w:rPr>
                <w:rFonts w:hint="eastAsia" w:hAnsi="宋体" w:eastAsia="宋体"/>
                <w:b w:val="0"/>
                <w:bCs w:val="0"/>
                <w:color w:val="auto"/>
                <w:szCs w:val="22"/>
                <w:highlight w:val="none"/>
              </w:rPr>
              <w:t>　　（二）具有良好的商业信誉和健全的财务会计制度；</w:t>
            </w:r>
          </w:p>
          <w:p w14:paraId="114E6F10">
            <w:pPr>
              <w:pStyle w:val="12"/>
              <w:pageBreakBefore w:val="0"/>
              <w:widowControl w:val="0"/>
              <w:kinsoku/>
              <w:overflowPunct/>
              <w:bidi w:val="0"/>
              <w:adjustRightInd w:val="0"/>
              <w:snapToGrid w:val="0"/>
              <w:spacing w:line="324" w:lineRule="auto"/>
              <w:ind w:firstLine="450"/>
              <w:rPr>
                <w:rFonts w:hint="eastAsia" w:hAnsi="宋体" w:eastAsia="宋体"/>
                <w:b w:val="0"/>
                <w:bCs w:val="0"/>
                <w:color w:val="auto"/>
                <w:szCs w:val="22"/>
                <w:highlight w:val="none"/>
              </w:rPr>
            </w:pPr>
            <w:r>
              <w:rPr>
                <w:rFonts w:hint="eastAsia" w:hAnsi="宋体" w:eastAsia="宋体"/>
                <w:b w:val="0"/>
                <w:bCs w:val="0"/>
                <w:color w:val="auto"/>
                <w:szCs w:val="22"/>
                <w:highlight w:val="none"/>
              </w:rPr>
              <w:t>　　（三）具有履行合同所必需的设备和专业技术能力；</w:t>
            </w:r>
          </w:p>
          <w:p w14:paraId="4E6505C5">
            <w:pPr>
              <w:pStyle w:val="12"/>
              <w:pageBreakBefore w:val="0"/>
              <w:widowControl w:val="0"/>
              <w:kinsoku/>
              <w:overflowPunct/>
              <w:bidi w:val="0"/>
              <w:adjustRightInd w:val="0"/>
              <w:snapToGrid w:val="0"/>
              <w:spacing w:line="324" w:lineRule="auto"/>
              <w:ind w:firstLine="450"/>
              <w:rPr>
                <w:rFonts w:hint="eastAsia" w:hAnsi="宋体" w:eastAsia="宋体"/>
                <w:b w:val="0"/>
                <w:bCs w:val="0"/>
                <w:color w:val="auto"/>
                <w:szCs w:val="22"/>
                <w:highlight w:val="none"/>
              </w:rPr>
            </w:pPr>
            <w:r>
              <w:rPr>
                <w:rFonts w:hint="eastAsia" w:hAnsi="宋体" w:eastAsia="宋体"/>
                <w:b w:val="0"/>
                <w:bCs w:val="0"/>
                <w:color w:val="auto"/>
                <w:szCs w:val="22"/>
                <w:highlight w:val="none"/>
              </w:rPr>
              <w:t>　　（四）有依法缴纳税收和社会保障资金的良好记录；</w:t>
            </w:r>
          </w:p>
          <w:p w14:paraId="6AB4BDBC">
            <w:pPr>
              <w:pStyle w:val="12"/>
              <w:pageBreakBefore w:val="0"/>
              <w:widowControl w:val="0"/>
              <w:kinsoku/>
              <w:overflowPunct/>
              <w:bidi w:val="0"/>
              <w:adjustRightInd w:val="0"/>
              <w:snapToGrid w:val="0"/>
              <w:spacing w:line="324" w:lineRule="auto"/>
              <w:ind w:firstLine="450"/>
              <w:rPr>
                <w:rFonts w:hint="eastAsia" w:hAnsi="宋体" w:eastAsia="宋体"/>
                <w:b w:val="0"/>
                <w:bCs w:val="0"/>
                <w:color w:val="auto"/>
                <w:szCs w:val="22"/>
                <w:highlight w:val="none"/>
              </w:rPr>
            </w:pPr>
            <w:r>
              <w:rPr>
                <w:rFonts w:hint="eastAsia" w:hAnsi="宋体" w:eastAsia="宋体"/>
                <w:b w:val="0"/>
                <w:bCs w:val="0"/>
                <w:color w:val="auto"/>
                <w:szCs w:val="22"/>
                <w:highlight w:val="none"/>
              </w:rPr>
              <w:t>　　（五）参加政府采购活动前三年内，在经营活动中没有重大违法记录；</w:t>
            </w:r>
          </w:p>
          <w:p w14:paraId="027726BA">
            <w:pPr>
              <w:pStyle w:val="12"/>
              <w:pageBreakBefore w:val="0"/>
              <w:widowControl w:val="0"/>
              <w:kinsoku/>
              <w:overflowPunct/>
              <w:bidi w:val="0"/>
              <w:adjustRightInd w:val="0"/>
              <w:snapToGrid w:val="0"/>
              <w:spacing w:line="324" w:lineRule="auto"/>
              <w:ind w:firstLine="450"/>
              <w:rPr>
                <w:rFonts w:hint="eastAsia" w:hAnsi="宋体" w:eastAsia="宋体"/>
                <w:b w:val="0"/>
                <w:bCs w:val="0"/>
                <w:color w:val="auto"/>
                <w:szCs w:val="22"/>
                <w:highlight w:val="none"/>
              </w:rPr>
            </w:pPr>
            <w:r>
              <w:rPr>
                <w:rFonts w:hint="eastAsia" w:hAnsi="宋体" w:eastAsia="宋体"/>
                <w:b w:val="0"/>
                <w:bCs w:val="0"/>
                <w:color w:val="auto"/>
                <w:szCs w:val="22"/>
                <w:highlight w:val="none"/>
              </w:rPr>
              <w:t>　　（六）法律、行政法规规定的其他条件。</w:t>
            </w:r>
          </w:p>
          <w:p w14:paraId="3934B19C">
            <w:pPr>
              <w:pStyle w:val="12"/>
              <w:pageBreakBefore w:val="0"/>
              <w:widowControl w:val="0"/>
              <w:kinsoku/>
              <w:overflowPunct/>
              <w:bidi w:val="0"/>
              <w:adjustRightInd w:val="0"/>
              <w:snapToGrid w:val="0"/>
              <w:spacing w:line="324" w:lineRule="auto"/>
              <w:ind w:firstLine="450"/>
              <w:rPr>
                <w:rFonts w:hint="eastAsia" w:hAnsi="宋体" w:eastAsia="宋体"/>
                <w:b w:val="0"/>
                <w:bCs w:val="0"/>
                <w:color w:val="auto"/>
                <w:szCs w:val="22"/>
                <w:highlight w:val="none"/>
              </w:rPr>
            </w:pPr>
            <w:r>
              <w:rPr>
                <w:rFonts w:hint="eastAsia" w:hAnsi="宋体" w:eastAsia="宋体"/>
                <w:b w:val="0"/>
                <w:bCs w:val="0"/>
                <w:color w:val="auto"/>
                <w:szCs w:val="22"/>
                <w:highlight w:val="none"/>
              </w:rPr>
              <w:t>2、根据财政部单独或与有关部门联合签署了《关于在政府采购活动中查询及使用信用记录有关问题的通知》（财库</w:t>
            </w:r>
            <w:r>
              <w:rPr>
                <w:rFonts w:hint="eastAsia" w:hAnsi="宋体" w:eastAsia="宋体"/>
                <w:b w:val="0"/>
                <w:bCs w:val="0"/>
                <w:color w:val="auto"/>
                <w:szCs w:val="22"/>
                <w:highlight w:val="none"/>
                <w:lang w:eastAsia="zh-CN"/>
              </w:rPr>
              <w:t>〔2016〕125号</w:t>
            </w:r>
            <w:r>
              <w:rPr>
                <w:rFonts w:hint="eastAsia" w:hAnsi="宋体" w:eastAsia="宋体"/>
                <w:b w:val="0"/>
                <w:bCs w:val="0"/>
                <w:color w:val="auto"/>
                <w:szCs w:val="22"/>
                <w:highlight w:val="none"/>
              </w:rPr>
              <w:t>）、《关于对重大税收违法案件当事人实施联合惩戒措施的合作备忘录》</w:t>
            </w:r>
            <w:r>
              <w:rPr>
                <w:rFonts w:hint="eastAsia" w:hAnsi="宋体" w:eastAsia="宋体"/>
                <w:b w:val="0"/>
                <w:bCs w:val="0"/>
                <w:color w:val="auto"/>
                <w:szCs w:val="22"/>
                <w:highlight w:val="none"/>
                <w:lang w:eastAsia="zh-CN"/>
              </w:rPr>
              <w:t>（</w:t>
            </w:r>
            <w:r>
              <w:rPr>
                <w:rFonts w:hint="eastAsia" w:hAnsi="宋体" w:eastAsia="宋体"/>
                <w:b w:val="0"/>
                <w:bCs w:val="0"/>
                <w:color w:val="auto"/>
                <w:szCs w:val="22"/>
                <w:highlight w:val="none"/>
              </w:rPr>
              <w:t>发改财金〔2014〕3062号</w:t>
            </w:r>
            <w:r>
              <w:rPr>
                <w:rFonts w:hint="eastAsia" w:hAnsi="宋体" w:eastAsia="宋体"/>
                <w:b w:val="0"/>
                <w:bCs w:val="0"/>
                <w:color w:val="auto"/>
                <w:szCs w:val="22"/>
                <w:highlight w:val="none"/>
                <w:lang w:eastAsia="zh-CN"/>
              </w:rPr>
              <w:t>）</w:t>
            </w:r>
            <w:r>
              <w:rPr>
                <w:rFonts w:hint="eastAsia" w:hAnsi="宋体" w:eastAsia="宋体"/>
                <w:b w:val="0"/>
                <w:bCs w:val="0"/>
                <w:color w:val="auto"/>
                <w:szCs w:val="22"/>
                <w:highlight w:val="none"/>
              </w:rPr>
              <w:t>、《失信企业协同监管和联合惩戒合作备忘录》</w:t>
            </w:r>
            <w:r>
              <w:rPr>
                <w:rFonts w:hint="eastAsia" w:hAnsi="宋体" w:eastAsia="宋体"/>
                <w:b w:val="0"/>
                <w:bCs w:val="0"/>
                <w:color w:val="auto"/>
                <w:szCs w:val="22"/>
                <w:highlight w:val="none"/>
                <w:lang w:eastAsia="zh-CN"/>
              </w:rPr>
              <w:t>（</w:t>
            </w:r>
            <w:r>
              <w:rPr>
                <w:rFonts w:hint="eastAsia" w:hAnsi="宋体" w:eastAsia="宋体"/>
                <w:b w:val="0"/>
                <w:bCs w:val="0"/>
                <w:color w:val="auto"/>
                <w:szCs w:val="22"/>
                <w:highlight w:val="none"/>
              </w:rPr>
              <w:t>发改财金〔2015〕2045号</w:t>
            </w:r>
            <w:r>
              <w:rPr>
                <w:rFonts w:hint="eastAsia" w:hAnsi="宋体" w:eastAsia="宋体"/>
                <w:b w:val="0"/>
                <w:bCs w:val="0"/>
                <w:color w:val="auto"/>
                <w:szCs w:val="22"/>
                <w:highlight w:val="none"/>
                <w:lang w:eastAsia="zh-CN"/>
              </w:rPr>
              <w:t>）</w:t>
            </w:r>
            <w:r>
              <w:rPr>
                <w:rFonts w:hint="eastAsia" w:hAnsi="宋体" w:eastAsia="宋体"/>
                <w:b w:val="0"/>
                <w:bCs w:val="0"/>
                <w:color w:val="auto"/>
                <w:szCs w:val="22"/>
                <w:highlight w:val="none"/>
              </w:rPr>
              <w:t>、《关于对违法失信上市公司相关责任主体实施联合惩戒的合作备忘录》</w:t>
            </w:r>
            <w:r>
              <w:rPr>
                <w:rFonts w:hint="eastAsia" w:hAnsi="宋体" w:eastAsia="宋体"/>
                <w:b w:val="0"/>
                <w:bCs w:val="0"/>
                <w:color w:val="auto"/>
                <w:szCs w:val="22"/>
                <w:highlight w:val="none"/>
                <w:lang w:eastAsia="zh-CN"/>
              </w:rPr>
              <w:t>（</w:t>
            </w:r>
            <w:r>
              <w:rPr>
                <w:rFonts w:hint="eastAsia" w:hAnsi="宋体" w:eastAsia="宋体"/>
                <w:b w:val="0"/>
                <w:bCs w:val="0"/>
                <w:color w:val="auto"/>
                <w:szCs w:val="22"/>
                <w:highlight w:val="none"/>
              </w:rPr>
              <w:t>发改财金〔2015〕3062号</w:t>
            </w:r>
            <w:r>
              <w:rPr>
                <w:rFonts w:hint="eastAsia" w:hAnsi="宋体" w:eastAsia="宋体"/>
                <w:b w:val="0"/>
                <w:bCs w:val="0"/>
                <w:color w:val="auto"/>
                <w:szCs w:val="22"/>
                <w:highlight w:val="none"/>
                <w:lang w:eastAsia="zh-CN"/>
              </w:rPr>
              <w:t>）</w:t>
            </w:r>
            <w:r>
              <w:rPr>
                <w:rFonts w:hint="eastAsia" w:hAnsi="宋体" w:eastAsia="宋体"/>
                <w:b w:val="0"/>
                <w:bCs w:val="0"/>
                <w:color w:val="auto"/>
                <w:szCs w:val="22"/>
                <w:highlight w:val="none"/>
              </w:rPr>
              <w:t>、《关于对失信被执行人实施联合惩戒的合作备忘录》</w:t>
            </w:r>
            <w:r>
              <w:rPr>
                <w:rFonts w:hint="eastAsia" w:hAnsi="宋体" w:eastAsia="宋体"/>
                <w:b w:val="0"/>
                <w:bCs w:val="0"/>
                <w:color w:val="auto"/>
                <w:szCs w:val="22"/>
                <w:highlight w:val="none"/>
                <w:lang w:eastAsia="zh-CN"/>
              </w:rPr>
              <w:t>（</w:t>
            </w:r>
            <w:r>
              <w:rPr>
                <w:rFonts w:hint="eastAsia" w:hAnsi="宋体" w:eastAsia="宋体"/>
                <w:b w:val="0"/>
                <w:bCs w:val="0"/>
                <w:color w:val="auto"/>
                <w:szCs w:val="22"/>
                <w:highlight w:val="none"/>
              </w:rPr>
              <w:t>发改财金〔2016〕141号</w:t>
            </w:r>
            <w:r>
              <w:rPr>
                <w:rFonts w:hint="eastAsia" w:hAnsi="宋体" w:eastAsia="宋体"/>
                <w:b w:val="0"/>
                <w:bCs w:val="0"/>
                <w:color w:val="auto"/>
                <w:szCs w:val="22"/>
                <w:highlight w:val="none"/>
                <w:lang w:eastAsia="zh-CN"/>
              </w:rPr>
              <w:t>）</w:t>
            </w:r>
            <w:r>
              <w:rPr>
                <w:rFonts w:hint="eastAsia" w:hAnsi="宋体" w:eastAsia="宋体"/>
                <w:b w:val="0"/>
                <w:bCs w:val="0"/>
                <w:color w:val="auto"/>
                <w:szCs w:val="22"/>
                <w:highlight w:val="none"/>
              </w:rPr>
              <w:t>、《关于对安全生产领域失信生产经营单位及其有关人员开展联合惩戒的合作备忘录》</w:t>
            </w:r>
            <w:r>
              <w:rPr>
                <w:rFonts w:hint="eastAsia" w:hAnsi="宋体" w:eastAsia="宋体"/>
                <w:b w:val="0"/>
                <w:bCs w:val="0"/>
                <w:color w:val="auto"/>
                <w:szCs w:val="22"/>
                <w:highlight w:val="none"/>
                <w:lang w:eastAsia="zh-CN"/>
              </w:rPr>
              <w:t>（</w:t>
            </w:r>
            <w:r>
              <w:rPr>
                <w:rFonts w:hint="eastAsia" w:hAnsi="宋体" w:eastAsia="宋体"/>
                <w:b w:val="0"/>
                <w:bCs w:val="0"/>
                <w:color w:val="auto"/>
                <w:szCs w:val="22"/>
                <w:highlight w:val="none"/>
              </w:rPr>
              <w:t>发改财金〔2016〕1001号</w:t>
            </w:r>
            <w:r>
              <w:rPr>
                <w:rFonts w:hint="eastAsia" w:hAnsi="宋体" w:eastAsia="宋体"/>
                <w:b w:val="0"/>
                <w:bCs w:val="0"/>
                <w:color w:val="auto"/>
                <w:szCs w:val="22"/>
                <w:highlight w:val="none"/>
                <w:lang w:eastAsia="zh-CN"/>
              </w:rPr>
              <w:t>）</w:t>
            </w:r>
            <w:r>
              <w:rPr>
                <w:rFonts w:hint="eastAsia" w:hAnsi="宋体" w:eastAsia="宋体"/>
                <w:b w:val="0"/>
                <w:bCs w:val="0"/>
                <w:color w:val="auto"/>
                <w:szCs w:val="22"/>
                <w:highlight w:val="none"/>
              </w:rPr>
              <w:t>，依法限制相关失信主体参与政府采购活动。我单位</w:t>
            </w:r>
            <w:r>
              <w:rPr>
                <w:rFonts w:hint="eastAsia" w:hAnsi="宋体" w:eastAsia="宋体"/>
                <w:b w:val="0"/>
                <w:bCs w:val="0"/>
                <w:color w:val="auto"/>
                <w:highlight w:val="none"/>
                <w:u w:val="single"/>
              </w:rPr>
              <w:t>□</w:t>
            </w:r>
            <w:r>
              <w:rPr>
                <w:rFonts w:hint="eastAsia" w:hAnsi="宋体" w:eastAsia="宋体"/>
                <w:b w:val="0"/>
                <w:bCs w:val="0"/>
                <w:color w:val="auto"/>
                <w:szCs w:val="22"/>
                <w:highlight w:val="none"/>
                <w:u w:val="single"/>
              </w:rPr>
              <w:t>存在/</w:t>
            </w:r>
            <w:r>
              <w:rPr>
                <w:rFonts w:hint="eastAsia" w:hAnsi="宋体" w:eastAsia="宋体"/>
                <w:b w:val="0"/>
                <w:bCs w:val="0"/>
                <w:color w:val="auto"/>
                <w:highlight w:val="none"/>
                <w:u w:val="single"/>
              </w:rPr>
              <w:t>□</w:t>
            </w:r>
            <w:r>
              <w:rPr>
                <w:rFonts w:hint="eastAsia" w:hAnsi="宋体" w:eastAsia="宋体"/>
                <w:b w:val="0"/>
                <w:bCs w:val="0"/>
                <w:color w:val="auto"/>
                <w:szCs w:val="22"/>
                <w:highlight w:val="none"/>
                <w:u w:val="single"/>
              </w:rPr>
              <w:t>不存在</w:t>
            </w:r>
            <w:r>
              <w:rPr>
                <w:rFonts w:hint="eastAsia" w:hAnsi="宋体" w:eastAsia="宋体"/>
                <w:b w:val="0"/>
                <w:bCs w:val="0"/>
                <w:color w:val="auto"/>
                <w:szCs w:val="22"/>
                <w:highlight w:val="none"/>
              </w:rPr>
              <w:t>上述文件规定依法限制参与政府采购的情况。（说明：在</w:t>
            </w:r>
            <w:r>
              <w:rPr>
                <w:rFonts w:hint="eastAsia" w:hAnsi="宋体" w:eastAsia="宋体"/>
                <w:b w:val="0"/>
                <w:bCs w:val="0"/>
                <w:color w:val="auto"/>
                <w:highlight w:val="none"/>
              </w:rPr>
              <w:t>□</w:t>
            </w:r>
            <w:r>
              <w:rPr>
                <w:rFonts w:hint="eastAsia" w:hAnsi="宋体" w:eastAsia="宋体"/>
                <w:b w:val="0"/>
                <w:bCs w:val="0"/>
                <w:color w:val="auto"/>
                <w:szCs w:val="22"/>
                <w:highlight w:val="none"/>
              </w:rPr>
              <w:t>上打</w:t>
            </w:r>
            <w:r>
              <w:rPr>
                <w:rFonts w:hint="eastAsia" w:hAnsi="宋体" w:eastAsia="宋体"/>
                <w:b w:val="0"/>
                <w:bCs w:val="0"/>
                <w:color w:val="auto"/>
                <w:highlight w:val="none"/>
              </w:rPr>
              <w:t>√</w:t>
            </w:r>
            <w:r>
              <w:rPr>
                <w:rFonts w:hint="eastAsia" w:hAnsi="宋体" w:eastAsia="宋体"/>
                <w:b w:val="0"/>
                <w:bCs w:val="0"/>
                <w:color w:val="auto"/>
                <w:szCs w:val="22"/>
                <w:highlight w:val="none"/>
              </w:rPr>
              <w:t>。）</w:t>
            </w:r>
          </w:p>
          <w:p w14:paraId="6A4AD7FB">
            <w:pPr>
              <w:pageBreakBefore w:val="0"/>
              <w:widowControl w:val="0"/>
              <w:tabs>
                <w:tab w:val="center" w:pos="4483"/>
              </w:tabs>
              <w:kinsoku/>
              <w:overflowPunct/>
              <w:bidi w:val="0"/>
              <w:adjustRightInd w:val="0"/>
              <w:spacing w:line="324" w:lineRule="auto"/>
              <w:ind w:firstLine="400"/>
              <w:rPr>
                <w:rFonts w:hint="eastAsia" w:ascii="宋体" w:eastAsia="宋体"/>
                <w:b w:val="0"/>
                <w:bCs w:val="0"/>
                <w:color w:val="auto"/>
                <w:sz w:val="21"/>
                <w:szCs w:val="21"/>
                <w:highlight w:val="none"/>
              </w:rPr>
            </w:pPr>
            <w:r>
              <w:rPr>
                <w:rFonts w:hint="eastAsia" w:ascii="宋体" w:eastAsia="宋体"/>
                <w:b w:val="0"/>
                <w:bCs w:val="0"/>
                <w:color w:val="auto"/>
                <w:sz w:val="21"/>
                <w:szCs w:val="21"/>
                <w:highlight w:val="none"/>
              </w:rPr>
              <w:t>3、我单位□没有被限制参加政府采购活动/□在参加政府采购活动前3年内因违法经营被禁止在一定期限内参加政府采购活动，但期限届满，已可以参加政府采购活动。（说明：在□上打√。）</w:t>
            </w:r>
          </w:p>
          <w:p w14:paraId="4429F827">
            <w:pPr>
              <w:pageBreakBefore w:val="0"/>
              <w:widowControl w:val="0"/>
              <w:tabs>
                <w:tab w:val="center" w:pos="4483"/>
              </w:tabs>
              <w:kinsoku/>
              <w:overflowPunct/>
              <w:bidi w:val="0"/>
              <w:adjustRightInd w:val="0"/>
              <w:spacing w:line="324" w:lineRule="auto"/>
              <w:ind w:firstLine="400"/>
              <w:rPr>
                <w:rFonts w:hint="eastAsia" w:ascii="宋体" w:eastAsia="宋体"/>
                <w:b w:val="0"/>
                <w:bCs w:val="0"/>
                <w:color w:val="auto"/>
                <w:sz w:val="21"/>
                <w:szCs w:val="21"/>
                <w:highlight w:val="none"/>
                <w:u w:val="single"/>
              </w:rPr>
            </w:pPr>
            <w:r>
              <w:rPr>
                <w:rFonts w:hint="eastAsia" w:ascii="宋体" w:eastAsia="宋体"/>
                <w:b w:val="0"/>
                <w:bCs w:val="0"/>
                <w:color w:val="auto"/>
                <w:sz w:val="21"/>
                <w:szCs w:val="21"/>
                <w:highlight w:val="none"/>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eastAsia="宋体"/>
                <w:b w:val="0"/>
                <w:bCs w:val="0"/>
                <w:color w:val="auto"/>
                <w:sz w:val="21"/>
                <w:szCs w:val="21"/>
                <w:highlight w:val="none"/>
                <w:u w:val="single"/>
              </w:rPr>
              <w:t xml:space="preserve">                    </w:t>
            </w:r>
          </w:p>
          <w:p w14:paraId="7D0C6697">
            <w:pPr>
              <w:pageBreakBefore w:val="0"/>
              <w:widowControl w:val="0"/>
              <w:tabs>
                <w:tab w:val="center" w:pos="4483"/>
              </w:tabs>
              <w:kinsoku/>
              <w:overflowPunct/>
              <w:bidi w:val="0"/>
              <w:adjustRightInd w:val="0"/>
              <w:spacing w:line="324" w:lineRule="auto"/>
              <w:ind w:firstLine="400"/>
              <w:rPr>
                <w:rFonts w:hint="eastAsia" w:ascii="宋体" w:eastAsia="宋体"/>
                <w:b w:val="0"/>
                <w:bCs w:val="0"/>
                <w:color w:val="auto"/>
                <w:sz w:val="21"/>
                <w:szCs w:val="21"/>
                <w:highlight w:val="none"/>
              </w:rPr>
            </w:pPr>
            <w:r>
              <w:rPr>
                <w:rFonts w:hint="eastAsia" w:ascii="宋体" w:eastAsia="宋体"/>
                <w:b w:val="0"/>
                <w:bCs w:val="0"/>
                <w:color w:val="auto"/>
                <w:sz w:val="21"/>
                <w:szCs w:val="21"/>
                <w:highlight w:val="none"/>
              </w:rPr>
              <w:t>5、我单位符合本项目特定资格条件：</w:t>
            </w:r>
            <w:r>
              <w:rPr>
                <w:rFonts w:hint="eastAsia" w:ascii="宋体" w:eastAsia="宋体"/>
                <w:b w:val="0"/>
                <w:bCs w:val="0"/>
                <w:color w:val="auto"/>
                <w:sz w:val="21"/>
                <w:szCs w:val="21"/>
                <w:highlight w:val="none"/>
                <w:u w:val="single"/>
              </w:rPr>
              <w:t xml:space="preserve">               </w:t>
            </w:r>
            <w:r>
              <w:rPr>
                <w:rFonts w:hint="eastAsia" w:ascii="宋体" w:eastAsia="宋体"/>
                <w:b w:val="0"/>
                <w:bCs w:val="0"/>
                <w:color w:val="auto"/>
                <w:sz w:val="21"/>
                <w:szCs w:val="21"/>
                <w:highlight w:val="none"/>
              </w:rPr>
              <w:t>的要求，并在磋商响应文件中提供了相应的证明材料（磋商文件没有要求特定资格条件的，本条款空格处可以空白）</w:t>
            </w:r>
          </w:p>
          <w:p w14:paraId="10B20294">
            <w:pPr>
              <w:pageBreakBefore w:val="0"/>
              <w:widowControl w:val="0"/>
              <w:tabs>
                <w:tab w:val="center" w:pos="4483"/>
              </w:tabs>
              <w:kinsoku/>
              <w:overflowPunct/>
              <w:bidi w:val="0"/>
              <w:adjustRightInd w:val="0"/>
              <w:spacing w:line="324" w:lineRule="auto"/>
              <w:ind w:firstLine="420" w:firstLineChars="200"/>
              <w:rPr>
                <w:rFonts w:hint="eastAsia" w:ascii="宋体" w:eastAsia="宋体"/>
                <w:b w:val="0"/>
                <w:bCs w:val="0"/>
                <w:color w:val="auto"/>
                <w:sz w:val="20"/>
                <w:highlight w:val="none"/>
              </w:rPr>
            </w:pPr>
            <w:r>
              <w:rPr>
                <w:rFonts w:hint="eastAsia" w:ascii="宋体" w:eastAsia="宋体"/>
                <w:b w:val="0"/>
                <w:bCs w:val="0"/>
                <w:color w:val="auto"/>
                <w:sz w:val="21"/>
                <w:szCs w:val="21"/>
                <w:highlight w:val="none"/>
              </w:rPr>
              <w:t>6、本公司所提交的本声明和陈述均是真实的、准确的。若与真实情况不符，本公司愿意承担由此而产生的一切后果。我方提供了全部能提供的资料和数据，我们同意遵照贵方要求出示有关证明文件。</w:t>
            </w:r>
          </w:p>
        </w:tc>
      </w:tr>
      <w:tr w14:paraId="65B3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99" w:type="dxa"/>
            <w:gridSpan w:val="2"/>
            <w:tcBorders>
              <w:top w:val="single" w:color="auto" w:sz="4" w:space="0"/>
              <w:left w:val="single" w:color="auto" w:sz="4" w:space="0"/>
              <w:right w:val="single" w:color="auto" w:sz="4" w:space="0"/>
            </w:tcBorders>
            <w:vAlign w:val="center"/>
          </w:tcPr>
          <w:p w14:paraId="6E9B3C43">
            <w:pPr>
              <w:pStyle w:val="12"/>
              <w:pageBreakBefore w:val="0"/>
              <w:widowControl w:val="0"/>
              <w:kinsoku/>
              <w:overflowPunct/>
              <w:bidi w:val="0"/>
              <w:adjustRightInd w:val="0"/>
              <w:snapToGrid w:val="0"/>
              <w:spacing w:line="324" w:lineRule="auto"/>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投标供应商名称（加盖公章）：</w:t>
            </w:r>
          </w:p>
        </w:tc>
      </w:tr>
      <w:tr w14:paraId="22BD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99" w:type="dxa"/>
            <w:gridSpan w:val="2"/>
            <w:tcBorders>
              <w:top w:val="single" w:color="auto" w:sz="4" w:space="0"/>
              <w:left w:val="single" w:color="auto" w:sz="4" w:space="0"/>
              <w:right w:val="single" w:color="auto" w:sz="4" w:space="0"/>
            </w:tcBorders>
            <w:vAlign w:val="center"/>
          </w:tcPr>
          <w:p w14:paraId="22209618">
            <w:pPr>
              <w:pStyle w:val="12"/>
              <w:pageBreakBefore w:val="0"/>
              <w:widowControl w:val="0"/>
              <w:kinsoku/>
              <w:overflowPunct/>
              <w:bidi w:val="0"/>
              <w:adjustRightInd w:val="0"/>
              <w:snapToGrid w:val="0"/>
              <w:spacing w:line="324" w:lineRule="auto"/>
              <w:rPr>
                <w:rFonts w:hint="eastAsia" w:hAnsi="宋体" w:eastAsia="宋体"/>
                <w:b w:val="0"/>
                <w:bCs w:val="0"/>
                <w:color w:val="auto"/>
                <w:sz w:val="22"/>
                <w:szCs w:val="22"/>
                <w:highlight w:val="none"/>
              </w:rPr>
            </w:pPr>
            <w:r>
              <w:rPr>
                <w:rFonts w:hint="eastAsia" w:hAnsi="宋体" w:eastAsia="宋体"/>
                <w:b w:val="0"/>
                <w:bCs w:val="0"/>
                <w:color w:val="auto"/>
                <w:highlight w:val="none"/>
              </w:rPr>
              <w:t>法定代表人或授权代表（签字或盖章）</w:t>
            </w:r>
            <w:r>
              <w:rPr>
                <w:rFonts w:hint="eastAsia" w:hAnsi="宋体" w:eastAsia="宋体"/>
                <w:b w:val="0"/>
                <w:bCs w:val="0"/>
                <w:color w:val="auto"/>
                <w:sz w:val="22"/>
                <w:szCs w:val="22"/>
                <w:highlight w:val="none"/>
              </w:rPr>
              <w:t>：</w:t>
            </w:r>
          </w:p>
        </w:tc>
      </w:tr>
      <w:tr w14:paraId="2EBA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699" w:type="dxa"/>
            <w:gridSpan w:val="2"/>
            <w:tcBorders>
              <w:top w:val="single" w:color="auto" w:sz="4" w:space="0"/>
              <w:left w:val="single" w:color="auto" w:sz="4" w:space="0"/>
              <w:right w:val="single" w:color="auto" w:sz="4" w:space="0"/>
            </w:tcBorders>
            <w:vAlign w:val="center"/>
          </w:tcPr>
          <w:p w14:paraId="3903C381">
            <w:pPr>
              <w:pStyle w:val="12"/>
              <w:pageBreakBefore w:val="0"/>
              <w:widowControl w:val="0"/>
              <w:kinsoku/>
              <w:overflowPunct/>
              <w:bidi w:val="0"/>
              <w:adjustRightInd w:val="0"/>
              <w:snapToGrid w:val="0"/>
              <w:spacing w:line="324" w:lineRule="auto"/>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签署日期：</w:t>
            </w:r>
          </w:p>
        </w:tc>
      </w:tr>
    </w:tbl>
    <w:p w14:paraId="622F39CF">
      <w:pPr>
        <w:pageBreakBefore w:val="0"/>
        <w:widowControl w:val="0"/>
        <w:kinsoku/>
        <w:overflowPunct/>
        <w:autoSpaceDE w:val="0"/>
        <w:autoSpaceDN w:val="0"/>
        <w:bidi w:val="0"/>
        <w:adjustRightInd w:val="0"/>
        <w:spacing w:line="324" w:lineRule="auto"/>
        <w:rPr>
          <w:rFonts w:hint="eastAsia" w:ascii="宋体" w:eastAsia="宋体"/>
          <w:b w:val="0"/>
          <w:bCs w:val="0"/>
          <w:color w:val="auto"/>
          <w:sz w:val="30"/>
          <w:highlight w:val="none"/>
          <w:lang w:val="zh-CN"/>
        </w:rPr>
      </w:pPr>
    </w:p>
    <w:p w14:paraId="77788FE1">
      <w:pPr>
        <w:pageBreakBefore w:val="0"/>
        <w:widowControl w:val="0"/>
        <w:kinsoku/>
        <w:overflowPunct/>
        <w:autoSpaceDE w:val="0"/>
        <w:autoSpaceDN w:val="0"/>
        <w:bidi w:val="0"/>
        <w:adjustRightInd w:val="0"/>
        <w:spacing w:line="324" w:lineRule="auto"/>
        <w:rPr>
          <w:rFonts w:hint="eastAsia" w:ascii="宋体" w:eastAsia="宋体"/>
          <w:b w:val="0"/>
          <w:bCs w:val="0"/>
          <w:color w:val="auto"/>
          <w:sz w:val="30"/>
          <w:highlight w:val="none"/>
          <w:lang w:val="zh-CN"/>
        </w:rPr>
      </w:pPr>
      <w:r>
        <w:rPr>
          <w:rFonts w:hint="eastAsia" w:ascii="宋体" w:eastAsia="宋体"/>
          <w:b w:val="0"/>
          <w:bCs w:val="0"/>
          <w:color w:val="auto"/>
          <w:sz w:val="30"/>
          <w:highlight w:val="none"/>
          <w:lang w:val="zh-CN"/>
        </w:rPr>
        <w:t>附件五</w:t>
      </w:r>
    </w:p>
    <w:p w14:paraId="48D7EEA7">
      <w:pPr>
        <w:pageBreakBefore w:val="0"/>
        <w:widowControl w:val="0"/>
        <w:kinsoku/>
        <w:overflowPunct/>
        <w:autoSpaceDE w:val="0"/>
        <w:autoSpaceDN w:val="0"/>
        <w:bidi w:val="0"/>
        <w:adjustRightInd w:val="0"/>
        <w:spacing w:line="324" w:lineRule="auto"/>
        <w:jc w:val="center"/>
        <w:rPr>
          <w:rFonts w:hint="eastAsia" w:ascii="宋体" w:eastAsia="宋体"/>
          <w:b w:val="0"/>
          <w:bCs w:val="0"/>
          <w:color w:val="auto"/>
          <w:sz w:val="36"/>
          <w:highlight w:val="none"/>
          <w:lang w:val="zh-CN"/>
        </w:rPr>
      </w:pPr>
    </w:p>
    <w:p w14:paraId="56200A77">
      <w:pPr>
        <w:pageBreakBefore w:val="0"/>
        <w:widowControl w:val="0"/>
        <w:kinsoku/>
        <w:overflowPunct/>
        <w:autoSpaceDE w:val="0"/>
        <w:autoSpaceDN w:val="0"/>
        <w:bidi w:val="0"/>
        <w:adjustRightInd w:val="0"/>
        <w:spacing w:line="720" w:lineRule="auto"/>
        <w:jc w:val="center"/>
        <w:rPr>
          <w:rFonts w:hint="eastAsia" w:ascii="宋体" w:eastAsia="宋体"/>
          <w:b w:val="0"/>
          <w:bCs w:val="0"/>
          <w:color w:val="auto"/>
          <w:sz w:val="32"/>
          <w:szCs w:val="20"/>
          <w:highlight w:val="none"/>
          <w:lang w:val="zh-CN"/>
        </w:rPr>
      </w:pPr>
      <w:r>
        <w:rPr>
          <w:rFonts w:hint="eastAsia" w:ascii="宋体" w:hAnsi="宋体" w:eastAsia="宋体" w:cs="宋体"/>
          <w:b w:val="0"/>
          <w:bCs w:val="0"/>
          <w:color w:val="auto"/>
          <w:sz w:val="32"/>
          <w:szCs w:val="20"/>
          <w:highlight w:val="none"/>
          <w:lang w:val="zh-CN"/>
        </w:rPr>
        <w:t>与参加本次项目同一合同项下政府采购活动的其他供应商不存在单位负责人为同一人或者直接控股、管理关系的</w:t>
      </w:r>
      <w:r>
        <w:rPr>
          <w:rFonts w:hint="eastAsia" w:ascii="宋体" w:eastAsia="宋体"/>
          <w:b w:val="0"/>
          <w:bCs w:val="0"/>
          <w:color w:val="auto"/>
          <w:sz w:val="32"/>
          <w:szCs w:val="20"/>
          <w:highlight w:val="none"/>
          <w:lang w:val="zh-CN"/>
        </w:rPr>
        <w:t>承诺函</w:t>
      </w:r>
    </w:p>
    <w:p w14:paraId="1B5C6D0A">
      <w:pPr>
        <w:pageBreakBefore w:val="0"/>
        <w:widowControl w:val="0"/>
        <w:kinsoku/>
        <w:overflowPunct/>
        <w:bidi w:val="0"/>
        <w:spacing w:line="360" w:lineRule="auto"/>
        <w:rPr>
          <w:rFonts w:hint="eastAsia" w:ascii="宋体" w:eastAsia="宋体"/>
          <w:b w:val="0"/>
          <w:bCs w:val="0"/>
          <w:color w:val="auto"/>
          <w:sz w:val="22"/>
          <w:szCs w:val="22"/>
          <w:highlight w:val="none"/>
          <w:u w:val="single"/>
        </w:rPr>
      </w:pPr>
      <w:r>
        <w:rPr>
          <w:rFonts w:hint="eastAsia" w:ascii="宋体" w:eastAsia="宋体"/>
          <w:b w:val="0"/>
          <w:bCs w:val="0"/>
          <w:color w:val="auto"/>
          <w:sz w:val="22"/>
          <w:szCs w:val="22"/>
          <w:highlight w:val="none"/>
          <w:u w:val="single"/>
          <w:lang w:eastAsia="zh-CN"/>
        </w:rPr>
        <w:t>温州市生态环境局文成分局</w:t>
      </w:r>
    </w:p>
    <w:p w14:paraId="1ECE1D5E">
      <w:pPr>
        <w:pageBreakBefore w:val="0"/>
        <w:widowControl w:val="0"/>
        <w:kinsoku/>
        <w:overflowPunct/>
        <w:autoSpaceDE w:val="0"/>
        <w:autoSpaceDN w:val="0"/>
        <w:bidi w:val="0"/>
        <w:adjustRightInd w:val="0"/>
        <w:spacing w:line="360" w:lineRule="auto"/>
        <w:rPr>
          <w:rFonts w:hint="eastAsia" w:ascii="宋体" w:eastAsia="宋体"/>
          <w:b w:val="0"/>
          <w:bCs w:val="0"/>
          <w:color w:val="auto"/>
          <w:sz w:val="36"/>
          <w:highlight w:val="none"/>
        </w:rPr>
      </w:pPr>
      <w:r>
        <w:rPr>
          <w:rFonts w:hint="eastAsia" w:ascii="宋体" w:eastAsia="宋体"/>
          <w:b w:val="0"/>
          <w:bCs w:val="0"/>
          <w:color w:val="auto"/>
          <w:sz w:val="22"/>
          <w:szCs w:val="22"/>
          <w:highlight w:val="none"/>
          <w:u w:val="single"/>
        </w:rPr>
        <w:t>浙江新点项目管理有限公司：</w:t>
      </w:r>
    </w:p>
    <w:p w14:paraId="446C04FB">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我方郑重承诺，我方此次参加</w:t>
      </w:r>
      <w:r>
        <w:rPr>
          <w:rFonts w:hint="eastAsia" w:ascii="宋体" w:eastAsia="宋体"/>
          <w:b w:val="0"/>
          <w:bCs w:val="0"/>
          <w:color w:val="auto"/>
          <w:sz w:val="22"/>
          <w:highlight w:val="none"/>
        </w:rPr>
        <w:t>本项目</w:t>
      </w:r>
      <w:r>
        <w:rPr>
          <w:rFonts w:hint="eastAsia" w:ascii="宋体" w:eastAsia="宋体"/>
          <w:b w:val="0"/>
          <w:bCs w:val="0"/>
          <w:color w:val="auto"/>
          <w:sz w:val="22"/>
          <w:szCs w:val="22"/>
          <w:highlight w:val="none"/>
        </w:rPr>
        <w:t>的投标，与参加本项目同一合同项下政府采购活动的其他供应商不存在单位负责人为同一人或者直接控股、管理关系。如有虚假或隐瞒，愿意承担一切后果。</w:t>
      </w:r>
    </w:p>
    <w:p w14:paraId="064698E5">
      <w:pPr>
        <w:pStyle w:val="10"/>
        <w:pageBreakBefore w:val="0"/>
        <w:widowControl w:val="0"/>
        <w:kinsoku/>
        <w:overflowPunct/>
        <w:bidi w:val="0"/>
        <w:spacing w:line="360" w:lineRule="auto"/>
        <w:ind w:firstLine="210"/>
        <w:rPr>
          <w:rFonts w:hint="eastAsia" w:ascii="宋体" w:hAnsi="宋体" w:cs="宋体"/>
          <w:color w:val="auto"/>
          <w:highlight w:val="none"/>
        </w:rPr>
      </w:pPr>
    </w:p>
    <w:p w14:paraId="274AC785">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特此承诺！</w:t>
      </w:r>
    </w:p>
    <w:p w14:paraId="4F0F05F3">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p>
    <w:p w14:paraId="3B828441">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投标供应商名称（盖章）：</w:t>
      </w:r>
    </w:p>
    <w:p w14:paraId="49C2690C">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法定代表人或其授权代表（签字或盖章）：</w:t>
      </w:r>
    </w:p>
    <w:p w14:paraId="2AE9D970">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日期：</w:t>
      </w:r>
    </w:p>
    <w:p w14:paraId="341E65A2">
      <w:pPr>
        <w:pageBreakBefore w:val="0"/>
        <w:widowControl w:val="0"/>
        <w:kinsoku/>
        <w:overflowPunct/>
        <w:autoSpaceDE w:val="0"/>
        <w:autoSpaceDN w:val="0"/>
        <w:bidi w:val="0"/>
        <w:adjustRightInd w:val="0"/>
        <w:spacing w:line="360" w:lineRule="auto"/>
        <w:jc w:val="left"/>
        <w:rPr>
          <w:rFonts w:hint="eastAsia" w:ascii="宋体" w:eastAsia="宋体"/>
          <w:b w:val="0"/>
          <w:bCs w:val="0"/>
          <w:color w:val="auto"/>
          <w:sz w:val="30"/>
          <w:highlight w:val="none"/>
          <w:lang w:val="zh-CN"/>
        </w:rPr>
      </w:pPr>
    </w:p>
    <w:p w14:paraId="603BB0A2">
      <w:pPr>
        <w:pageBreakBefore w:val="0"/>
        <w:widowControl w:val="0"/>
        <w:kinsoku/>
        <w:overflowPunct/>
        <w:autoSpaceDE w:val="0"/>
        <w:autoSpaceDN w:val="0"/>
        <w:bidi w:val="0"/>
        <w:adjustRightInd w:val="0"/>
        <w:spacing w:line="324" w:lineRule="auto"/>
        <w:jc w:val="left"/>
        <w:rPr>
          <w:rFonts w:hint="eastAsia" w:ascii="宋体" w:eastAsia="宋体"/>
          <w:b w:val="0"/>
          <w:color w:val="auto"/>
          <w:sz w:val="30"/>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9681781">
      <w:pPr>
        <w:pageBreakBefore w:val="0"/>
        <w:widowControl w:val="0"/>
        <w:kinsoku/>
        <w:overflowPunct/>
        <w:autoSpaceDE w:val="0"/>
        <w:autoSpaceDN w:val="0"/>
        <w:bidi w:val="0"/>
        <w:adjustRightInd w:val="0"/>
        <w:spacing w:line="324" w:lineRule="auto"/>
        <w:rPr>
          <w:rFonts w:hint="eastAsia" w:ascii="宋体" w:hAnsi="宋体" w:eastAsia="宋体" w:cs="宋体"/>
          <w:b w:val="0"/>
          <w:bCs w:val="0"/>
          <w:color w:val="auto"/>
          <w:sz w:val="30"/>
          <w:highlight w:val="none"/>
          <w:lang w:val="en-US" w:eastAsia="zh-CN"/>
        </w:rPr>
      </w:pPr>
      <w:r>
        <w:rPr>
          <w:rFonts w:hint="eastAsia" w:ascii="宋体" w:hAnsi="宋体" w:eastAsia="宋体" w:cs="宋体"/>
          <w:b w:val="0"/>
          <w:bCs w:val="0"/>
          <w:color w:val="auto"/>
          <w:sz w:val="30"/>
          <w:highlight w:val="none"/>
          <w:lang w:val="en-US" w:eastAsia="zh-CN"/>
        </w:rPr>
        <w:t>附件六</w:t>
      </w:r>
    </w:p>
    <w:p w14:paraId="3F0F00A9">
      <w:pPr>
        <w:pageBreakBefore w:val="0"/>
        <w:widowControl w:val="0"/>
        <w:kinsoku/>
        <w:overflowPunct/>
        <w:autoSpaceDE w:val="0"/>
        <w:autoSpaceDN w:val="0"/>
        <w:bidi w:val="0"/>
        <w:adjustRightInd w:val="0"/>
        <w:spacing w:line="720" w:lineRule="auto"/>
        <w:jc w:val="center"/>
        <w:rPr>
          <w:rFonts w:hint="eastAsia" w:ascii="宋体" w:hAnsi="宋体" w:eastAsia="宋体" w:cs="宋体"/>
          <w:b w:val="0"/>
          <w:bCs w:val="0"/>
          <w:color w:val="auto"/>
          <w:sz w:val="32"/>
          <w:szCs w:val="20"/>
          <w:highlight w:val="none"/>
          <w:lang w:val="zh-CN" w:eastAsia="zh-CN"/>
        </w:rPr>
      </w:pPr>
      <w:r>
        <w:rPr>
          <w:rFonts w:hint="eastAsia" w:ascii="宋体" w:hAnsi="宋体" w:eastAsia="宋体" w:cs="宋体"/>
          <w:b w:val="0"/>
          <w:bCs w:val="0"/>
          <w:color w:val="auto"/>
          <w:sz w:val="32"/>
          <w:szCs w:val="20"/>
          <w:highlight w:val="none"/>
          <w:lang w:val="zh-CN" w:eastAsia="zh-CN"/>
        </w:rPr>
        <w:t>代理服务费支付承诺书</w:t>
      </w:r>
    </w:p>
    <w:p w14:paraId="3C4286B5">
      <w:pPr>
        <w:pageBreakBefore w:val="0"/>
        <w:widowControl w:val="0"/>
        <w:kinsoku/>
        <w:overflowPunct/>
        <w:bidi w:val="0"/>
        <w:snapToGrid w:val="0"/>
        <w:spacing w:before="50" w:after="50" w:line="324" w:lineRule="auto"/>
        <w:rPr>
          <w:rFonts w:hint="eastAsia" w:ascii="宋体" w:hAnsi="宋体" w:eastAsia="宋体" w:cs="宋体"/>
          <w:color w:val="auto"/>
          <w:spacing w:val="20"/>
          <w:sz w:val="24"/>
          <w:highlight w:val="none"/>
          <w:u w:val="single"/>
        </w:rPr>
      </w:pPr>
    </w:p>
    <w:p w14:paraId="2C005FB2">
      <w:pPr>
        <w:pageBreakBefore w:val="0"/>
        <w:widowControl w:val="0"/>
        <w:kinsoku/>
        <w:overflowPunct/>
        <w:bidi w:val="0"/>
        <w:snapToGrid w:val="0"/>
        <w:spacing w:before="50" w:after="50"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u w:val="single"/>
        </w:rPr>
        <w:t>致</w:t>
      </w:r>
      <w:r>
        <w:rPr>
          <w:rFonts w:hint="eastAsia" w:ascii="宋体" w:eastAsia="宋体" w:cs="宋体"/>
          <w:b w:val="0"/>
          <w:bCs w:val="0"/>
          <w:color w:val="auto"/>
          <w:sz w:val="24"/>
          <w:highlight w:val="none"/>
          <w:u w:val="single"/>
          <w:lang w:val="en-US" w:eastAsia="zh-CN"/>
        </w:rPr>
        <w:t>浙江新点</w:t>
      </w:r>
      <w:r>
        <w:rPr>
          <w:rFonts w:hint="eastAsia" w:ascii="宋体" w:eastAsia="宋体" w:cs="宋体"/>
          <w:b w:val="0"/>
          <w:bCs w:val="0"/>
          <w:color w:val="auto"/>
          <w:sz w:val="24"/>
          <w:highlight w:val="none"/>
          <w:u w:val="single"/>
          <w:lang w:eastAsia="zh-CN"/>
        </w:rPr>
        <w:t>项目管理有限公司</w:t>
      </w:r>
      <w:r>
        <w:rPr>
          <w:rFonts w:hint="eastAsia" w:ascii="宋体" w:hAnsi="宋体" w:eastAsia="宋体" w:cs="宋体"/>
          <w:b w:val="0"/>
          <w:bCs w:val="0"/>
          <w:color w:val="auto"/>
          <w:sz w:val="24"/>
          <w:highlight w:val="none"/>
        </w:rPr>
        <w:t>：</w:t>
      </w:r>
    </w:p>
    <w:p w14:paraId="5C4859CE">
      <w:pPr>
        <w:pageBreakBefore w:val="0"/>
        <w:widowControl w:val="0"/>
        <w:kinsoku/>
        <w:overflowPunct/>
        <w:bidi w:val="0"/>
        <w:snapToGrid w:val="0"/>
        <w:spacing w:before="50" w:after="50" w:line="360" w:lineRule="auto"/>
        <w:rPr>
          <w:rFonts w:hint="eastAsia" w:ascii="宋体" w:hAnsi="宋体" w:eastAsia="宋体" w:cs="宋体"/>
          <w:b w:val="0"/>
          <w:bCs w:val="0"/>
          <w:color w:val="auto"/>
          <w:spacing w:val="20"/>
          <w:sz w:val="24"/>
          <w:highlight w:val="none"/>
        </w:rPr>
      </w:pPr>
    </w:p>
    <w:p w14:paraId="7A89B92F">
      <w:pPr>
        <w:pageBreakBefore w:val="0"/>
        <w:widowControl w:val="0"/>
        <w:kinsoku/>
        <w:overflowPunct/>
        <w:bidi w:val="0"/>
        <w:snapToGrid w:val="0"/>
        <w:spacing w:before="50" w:after="50" w:line="360" w:lineRule="auto"/>
        <w:ind w:firstLine="63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我公司已认真阅读了</w:t>
      </w:r>
      <w:r>
        <w:rPr>
          <w:rFonts w:hint="eastAsia" w:ascii="宋体" w:hAnsi="宋体" w:eastAsia="宋体" w:cs="宋体"/>
          <w:b w:val="0"/>
          <w:bCs w:val="0"/>
          <w:color w:val="auto"/>
          <w:sz w:val="24"/>
          <w:highlight w:val="none"/>
          <w:u w:val="single"/>
          <w:lang w:val="en-US" w:eastAsia="zh-CN"/>
        </w:rPr>
        <w:t xml:space="preserve">                       （项目名称）</w:t>
      </w:r>
      <w:r>
        <w:rPr>
          <w:rFonts w:hint="eastAsia" w:ascii="宋体" w:eastAsia="宋体" w:cs="宋体"/>
          <w:b w:val="0"/>
          <w:bCs w:val="0"/>
          <w:color w:val="auto"/>
          <w:sz w:val="24"/>
          <w:highlight w:val="none"/>
          <w:lang w:eastAsia="zh-CN"/>
        </w:rPr>
        <w:t>采购文件</w:t>
      </w:r>
      <w:r>
        <w:rPr>
          <w:rFonts w:hint="eastAsia" w:ascii="宋体" w:hAnsi="宋体" w:eastAsia="宋体" w:cs="宋体"/>
          <w:b w:val="0"/>
          <w:bCs w:val="0"/>
          <w:color w:val="auto"/>
          <w:sz w:val="24"/>
          <w:highlight w:val="none"/>
        </w:rPr>
        <w:t>（项目编号：</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）并在此承诺：</w:t>
      </w:r>
    </w:p>
    <w:p w14:paraId="5D45547A">
      <w:pPr>
        <w:pageBreakBefore w:val="0"/>
        <w:widowControl w:val="0"/>
        <w:kinsoku/>
        <w:overflowPunct/>
        <w:bidi w:val="0"/>
        <w:snapToGrid w:val="0"/>
        <w:spacing w:before="50" w:after="50" w:line="360" w:lineRule="auto"/>
        <w:ind w:firstLine="63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如中标，我公司将自中标公告发布之日起5个工作日内按</w:t>
      </w:r>
      <w:r>
        <w:rPr>
          <w:rFonts w:hint="eastAsia" w:ascii="宋体" w:eastAsia="宋体" w:cs="宋体"/>
          <w:b w:val="0"/>
          <w:bCs w:val="0"/>
          <w:color w:val="auto"/>
          <w:sz w:val="24"/>
          <w:highlight w:val="none"/>
          <w:lang w:eastAsia="zh-CN"/>
        </w:rPr>
        <w:t>采购文件</w:t>
      </w:r>
      <w:r>
        <w:rPr>
          <w:rFonts w:hint="eastAsia" w:ascii="宋体" w:hAnsi="宋体" w:eastAsia="宋体" w:cs="宋体"/>
          <w:b w:val="0"/>
          <w:bCs w:val="0"/>
          <w:color w:val="auto"/>
          <w:sz w:val="24"/>
          <w:highlight w:val="none"/>
        </w:rPr>
        <w:t>规定的标准（金额）一次性向采购代理机构支付代理服务费。</w:t>
      </w:r>
    </w:p>
    <w:p w14:paraId="52CD26EA">
      <w:pPr>
        <w:pageBreakBefore w:val="0"/>
        <w:widowControl w:val="0"/>
        <w:kinsoku/>
        <w:overflowPunct/>
        <w:bidi w:val="0"/>
        <w:snapToGrid w:val="0"/>
        <w:spacing w:before="50" w:after="50" w:line="360" w:lineRule="auto"/>
        <w:ind w:firstLine="630"/>
        <w:rPr>
          <w:rFonts w:hint="eastAsia" w:ascii="宋体" w:hAnsi="宋体" w:eastAsia="宋体" w:cs="宋体"/>
          <w:b w:val="0"/>
          <w:bCs w:val="0"/>
          <w:color w:val="auto"/>
          <w:sz w:val="24"/>
          <w:highlight w:val="none"/>
        </w:rPr>
      </w:pPr>
    </w:p>
    <w:p w14:paraId="068F33C2">
      <w:pPr>
        <w:pageBreakBefore w:val="0"/>
        <w:widowControl w:val="0"/>
        <w:kinsoku/>
        <w:overflowPunct/>
        <w:bidi w:val="0"/>
        <w:snapToGrid w:val="0"/>
        <w:spacing w:before="50" w:after="50" w:line="360" w:lineRule="auto"/>
        <w:ind w:firstLine="630"/>
        <w:rPr>
          <w:rFonts w:hint="eastAsia" w:ascii="宋体" w:hAnsi="宋体" w:eastAsia="宋体" w:cs="宋体"/>
          <w:b w:val="0"/>
          <w:bCs w:val="0"/>
          <w:color w:val="auto"/>
          <w:sz w:val="24"/>
          <w:highlight w:val="none"/>
        </w:rPr>
      </w:pPr>
    </w:p>
    <w:p w14:paraId="288D349A">
      <w:pPr>
        <w:pageBreakBefore w:val="0"/>
        <w:widowControl w:val="0"/>
        <w:kinsoku/>
        <w:overflowPunct/>
        <w:bidi w:val="0"/>
        <w:snapToGrid w:val="0"/>
        <w:spacing w:before="50" w:after="50" w:line="360" w:lineRule="auto"/>
        <w:ind w:firstLine="630"/>
        <w:rPr>
          <w:rFonts w:hint="eastAsia" w:ascii="宋体" w:hAnsi="宋体" w:eastAsia="宋体" w:cs="宋体"/>
          <w:b w:val="0"/>
          <w:bCs w:val="0"/>
          <w:color w:val="auto"/>
          <w:sz w:val="24"/>
          <w:highlight w:val="none"/>
        </w:rPr>
      </w:pPr>
    </w:p>
    <w:p w14:paraId="708B9A9B">
      <w:pPr>
        <w:pageBreakBefore w:val="0"/>
        <w:widowControl w:val="0"/>
        <w:kinsoku/>
        <w:overflowPunct/>
        <w:bidi w:val="0"/>
        <w:snapToGrid w:val="0"/>
        <w:spacing w:before="50" w:after="50" w:line="360" w:lineRule="auto"/>
        <w:ind w:firstLine="630"/>
        <w:rPr>
          <w:rFonts w:hint="eastAsia" w:ascii="宋体" w:hAnsi="宋体" w:eastAsia="宋体" w:cs="宋体"/>
          <w:b w:val="0"/>
          <w:bCs w:val="0"/>
          <w:color w:val="auto"/>
          <w:sz w:val="24"/>
          <w:highlight w:val="none"/>
        </w:rPr>
      </w:pPr>
    </w:p>
    <w:p w14:paraId="66B75A48">
      <w:pPr>
        <w:pageBreakBefore w:val="0"/>
        <w:widowControl w:val="0"/>
        <w:kinsoku/>
        <w:overflowPunct/>
        <w:bidi w:val="0"/>
        <w:snapToGrid w:val="0"/>
        <w:spacing w:line="360" w:lineRule="auto"/>
        <w:rPr>
          <w:rFonts w:ascii="宋体" w:hAnsi="宋体" w:eastAsia="宋体" w:cs="宋体"/>
          <w:b w:val="0"/>
          <w:bCs w:val="0"/>
          <w:color w:val="auto"/>
          <w:sz w:val="24"/>
          <w:szCs w:val="20"/>
          <w:highlight w:val="none"/>
          <w:lang w:val="en-US"/>
        </w:rPr>
      </w:pPr>
      <w:r>
        <w:rPr>
          <w:rFonts w:hint="eastAsia" w:ascii="宋体" w:hAnsi="宋体" w:eastAsia="宋体" w:cs="宋体"/>
          <w:b w:val="0"/>
          <w:bCs w:val="0"/>
          <w:color w:val="auto"/>
          <w:sz w:val="24"/>
          <w:highlight w:val="none"/>
        </w:rPr>
        <w:t>承诺方（投标人）法定名称：</w:t>
      </w:r>
      <w:r>
        <w:rPr>
          <w:rFonts w:hint="eastAsia" w:ascii="宋体" w:eastAsia="宋体" w:cs="宋体"/>
          <w:b w:val="0"/>
          <w:bCs w:val="0"/>
          <w:color w:val="auto"/>
          <w:sz w:val="24"/>
          <w:highlight w:val="none"/>
          <w:u w:val="single"/>
          <w:lang w:val="en-US" w:eastAsia="zh-CN"/>
        </w:rPr>
        <w:t xml:space="preserve">      </w:t>
      </w:r>
      <w:r>
        <w:rPr>
          <w:rFonts w:hint="eastAsia" w:ascii="宋体" w:eastAsia="宋体" w:cs="宋体"/>
          <w:b w:val="0"/>
          <w:bCs w:val="0"/>
          <w:color w:val="auto"/>
          <w:sz w:val="24"/>
          <w:highlight w:val="none"/>
          <w:u w:val="single"/>
          <w:lang w:eastAsia="zh-CN"/>
        </w:rPr>
        <w:t>（</w:t>
      </w:r>
      <w:r>
        <w:rPr>
          <w:rFonts w:hint="eastAsia" w:ascii="宋体" w:eastAsia="宋体" w:cs="宋体"/>
          <w:b w:val="0"/>
          <w:bCs w:val="0"/>
          <w:color w:val="auto"/>
          <w:sz w:val="24"/>
          <w:highlight w:val="none"/>
          <w:u w:val="single"/>
          <w:lang w:val="en-US" w:eastAsia="zh-CN"/>
        </w:rPr>
        <w:t>盖章</w:t>
      </w:r>
      <w:r>
        <w:rPr>
          <w:rFonts w:hint="eastAsia" w:ascii="宋体" w:eastAsia="宋体" w:cs="宋体"/>
          <w:b w:val="0"/>
          <w:bCs w:val="0"/>
          <w:color w:val="auto"/>
          <w:sz w:val="24"/>
          <w:highlight w:val="none"/>
          <w:u w:val="single"/>
          <w:lang w:eastAsia="zh-CN"/>
        </w:rPr>
        <w:t>）</w:t>
      </w:r>
      <w:r>
        <w:rPr>
          <w:rFonts w:hint="eastAsia" w:ascii="宋体" w:eastAsia="宋体" w:cs="宋体"/>
          <w:b w:val="0"/>
          <w:bCs w:val="0"/>
          <w:color w:val="auto"/>
          <w:sz w:val="24"/>
          <w:highlight w:val="none"/>
          <w:u w:val="single"/>
          <w:lang w:val="en-US" w:eastAsia="zh-CN"/>
        </w:rPr>
        <w:t xml:space="preserve">             </w:t>
      </w:r>
    </w:p>
    <w:p w14:paraId="0458C64F">
      <w:pPr>
        <w:pageBreakBefore w:val="0"/>
        <w:widowControl w:val="0"/>
        <w:kinsoku/>
        <w:overflowPunct/>
        <w:bidi w:val="0"/>
        <w:snapToGrid w:val="0"/>
        <w:spacing w:line="360" w:lineRule="auto"/>
        <w:rPr>
          <w:rFonts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法定代表人或授权委托人：</w:t>
      </w:r>
      <w:r>
        <w:rPr>
          <w:rFonts w:hint="eastAsia" w:asci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rPr>
        <w:t>（签字或盖章）</w:t>
      </w:r>
      <w:r>
        <w:rPr>
          <w:rFonts w:hint="eastAsia" w:ascii="宋体" w:eastAsia="宋体" w:cs="宋体"/>
          <w:b w:val="0"/>
          <w:bCs w:val="0"/>
          <w:color w:val="auto"/>
          <w:sz w:val="24"/>
          <w:highlight w:val="none"/>
          <w:u w:val="single"/>
          <w:lang w:val="en-US" w:eastAsia="zh-CN"/>
        </w:rPr>
        <w:t xml:space="preserve">         </w:t>
      </w:r>
    </w:p>
    <w:p w14:paraId="359F3252">
      <w:pPr>
        <w:pageBreakBefore w:val="0"/>
        <w:widowControl w:val="0"/>
        <w:kinsoku/>
        <w:overflowPunct/>
        <w:bidi w:val="0"/>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承诺方（投标人）法定地址：</w:t>
      </w:r>
      <w:r>
        <w:rPr>
          <w:rFonts w:hint="eastAsia" w:asci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 xml:space="preserve"> </w:t>
      </w:r>
    </w:p>
    <w:p w14:paraId="291CF83D">
      <w:pPr>
        <w:pageBreakBefore w:val="0"/>
        <w:widowControl w:val="0"/>
        <w:kinsoku/>
        <w:overflowPunct/>
        <w:bidi w:val="0"/>
        <w:snapToGrid w:val="0"/>
        <w:spacing w:before="50" w:after="50" w:line="360" w:lineRule="auto"/>
        <w:rPr>
          <w:rFonts w:hint="eastAsia" w:ascii="宋体" w:hAnsi="宋体" w:eastAsia="宋体" w:cs="宋体"/>
          <w:b w:val="0"/>
          <w:bCs w:val="0"/>
          <w:color w:val="auto"/>
          <w:sz w:val="24"/>
          <w:highlight w:val="none"/>
          <w:u w:val="single"/>
        </w:rPr>
      </w:pPr>
      <w:r>
        <w:rPr>
          <w:rFonts w:hint="eastAsia" w:ascii="宋体" w:hAnsi="宋体" w:eastAsia="宋体" w:cs="宋体"/>
          <w:b w:val="0"/>
          <w:bCs w:val="0"/>
          <w:color w:val="auto"/>
          <w:sz w:val="24"/>
          <w:highlight w:val="none"/>
        </w:rPr>
        <w:t>联系电话：</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 xml:space="preserve">    联系传真：</w:t>
      </w:r>
      <w:r>
        <w:rPr>
          <w:rFonts w:hint="eastAsia" w:ascii="宋体" w:hAnsi="宋体" w:eastAsia="宋体" w:cs="宋体"/>
          <w:b w:val="0"/>
          <w:bCs w:val="0"/>
          <w:color w:val="auto"/>
          <w:sz w:val="24"/>
          <w:highlight w:val="none"/>
          <w:u w:val="single"/>
        </w:rPr>
        <w:t xml:space="preserve">           </w:t>
      </w:r>
      <w:r>
        <w:rPr>
          <w:rFonts w:hint="eastAsia" w:asci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rPr>
        <w:t xml:space="preserve">    </w:t>
      </w:r>
    </w:p>
    <w:p w14:paraId="5A4A380C">
      <w:pPr>
        <w:pageBreakBefore w:val="0"/>
        <w:widowControl w:val="0"/>
        <w:kinsoku/>
        <w:overflowPunct/>
        <w:bidi w:val="0"/>
        <w:snapToGrid w:val="0"/>
        <w:spacing w:before="50" w:after="50" w:line="360" w:lineRule="auto"/>
        <w:rPr>
          <w:rFonts w:hint="eastAsia"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rPr>
        <w:t>承诺日期：_____年___月___</w:t>
      </w:r>
      <w:r>
        <w:rPr>
          <w:rFonts w:hint="eastAsia" w:ascii="宋体" w:hAnsi="宋体" w:cs="宋体"/>
          <w:b w:val="0"/>
          <w:bCs w:val="0"/>
          <w:color w:val="auto"/>
          <w:sz w:val="24"/>
          <w:highlight w:val="none"/>
          <w:lang w:val="en-US" w:eastAsia="zh-CN"/>
        </w:rPr>
        <w:t>日</w:t>
      </w:r>
    </w:p>
    <w:p w14:paraId="35099389">
      <w:pPr>
        <w:pageBreakBefore w:val="0"/>
        <w:widowControl w:val="0"/>
        <w:kinsoku/>
        <w:overflowPunct/>
        <w:bidi w:val="0"/>
        <w:snapToGrid w:val="0"/>
        <w:spacing w:before="50" w:after="50" w:line="360" w:lineRule="auto"/>
        <w:rPr>
          <w:rFonts w:hint="eastAsia" w:ascii="宋体" w:hAnsi="宋体" w:cs="宋体"/>
          <w:b w:val="0"/>
          <w:bCs w:val="0"/>
          <w:color w:val="auto"/>
          <w:sz w:val="24"/>
          <w:highlight w:val="none"/>
          <w:lang w:val="en-US" w:eastAsia="zh-CN"/>
        </w:rPr>
      </w:pPr>
    </w:p>
    <w:p w14:paraId="01953915">
      <w:pPr>
        <w:pageBreakBefore w:val="0"/>
        <w:widowControl w:val="0"/>
        <w:kinsoku/>
        <w:overflowPunct/>
        <w:bidi w:val="0"/>
        <w:snapToGrid w:val="0"/>
        <w:spacing w:before="50" w:after="50" w:line="360" w:lineRule="auto"/>
        <w:rPr>
          <w:rFonts w:hint="eastAsia" w:ascii="宋体" w:hAnsi="宋体" w:cs="宋体"/>
          <w:b w:val="0"/>
          <w:bCs w:val="0"/>
          <w:color w:val="auto"/>
          <w:sz w:val="24"/>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2B65A36">
      <w:pPr>
        <w:pageBreakBefore w:val="0"/>
        <w:widowControl w:val="0"/>
        <w:kinsoku/>
        <w:overflowPunct/>
        <w:autoSpaceDE w:val="0"/>
        <w:autoSpaceDN w:val="0"/>
        <w:bidi w:val="0"/>
        <w:adjustRightInd w:val="0"/>
        <w:spacing w:line="324" w:lineRule="auto"/>
        <w:jc w:val="center"/>
        <w:outlineLvl w:val="1"/>
        <w:rPr>
          <w:rFonts w:hint="eastAsia" w:ascii="宋体" w:eastAsia="宋体"/>
          <w:b w:val="0"/>
          <w:color w:val="auto"/>
          <w:sz w:val="30"/>
          <w:highlight w:val="none"/>
          <w:lang w:val="zh-CN"/>
        </w:rPr>
      </w:pPr>
      <w:bookmarkStart w:id="65" w:name="_Toc30623"/>
      <w:r>
        <w:rPr>
          <w:rFonts w:hint="eastAsia" w:ascii="宋体" w:eastAsia="宋体"/>
          <w:color w:val="auto"/>
          <w:sz w:val="36"/>
          <w:highlight w:val="none"/>
        </w:rPr>
        <w:t>二、报价文件格式</w:t>
      </w:r>
      <w:bookmarkEnd w:id="65"/>
    </w:p>
    <w:p w14:paraId="3FA50092">
      <w:pPr>
        <w:pageBreakBefore w:val="0"/>
        <w:widowControl w:val="0"/>
        <w:kinsoku/>
        <w:overflowPunct/>
        <w:autoSpaceDE w:val="0"/>
        <w:autoSpaceDN w:val="0"/>
        <w:bidi w:val="0"/>
        <w:adjustRightInd w:val="0"/>
        <w:spacing w:line="324" w:lineRule="auto"/>
        <w:jc w:val="left"/>
        <w:rPr>
          <w:rFonts w:hint="eastAsia" w:ascii="宋体" w:eastAsia="宋体"/>
          <w:b w:val="0"/>
          <w:color w:val="auto"/>
          <w:sz w:val="30"/>
          <w:highlight w:val="none"/>
          <w:lang w:val="zh-CN" w:eastAsia="zh-CN"/>
        </w:rPr>
      </w:pPr>
      <w:r>
        <w:rPr>
          <w:rFonts w:hint="eastAsia" w:ascii="宋体" w:eastAsia="宋体"/>
          <w:b w:val="0"/>
          <w:color w:val="auto"/>
          <w:sz w:val="30"/>
          <w:highlight w:val="none"/>
          <w:lang w:val="zh-CN"/>
        </w:rPr>
        <w:t>附件</w:t>
      </w:r>
      <w:r>
        <w:rPr>
          <w:rFonts w:hint="eastAsia" w:ascii="宋体" w:eastAsia="宋体"/>
          <w:b w:val="0"/>
          <w:color w:val="auto"/>
          <w:sz w:val="30"/>
          <w:highlight w:val="none"/>
          <w:lang w:val="en-US" w:eastAsia="zh-CN"/>
        </w:rPr>
        <w:t>七</w:t>
      </w:r>
    </w:p>
    <w:p w14:paraId="2D31E808">
      <w:pPr>
        <w:pageBreakBefore w:val="0"/>
        <w:widowControl w:val="0"/>
        <w:kinsoku/>
        <w:overflowPunct/>
        <w:autoSpaceDE w:val="0"/>
        <w:autoSpaceDN w:val="0"/>
        <w:bidi w:val="0"/>
        <w:adjustRightInd w:val="0"/>
        <w:spacing w:line="480" w:lineRule="auto"/>
        <w:jc w:val="center"/>
        <w:textAlignment w:val="baseline"/>
        <w:rPr>
          <w:rFonts w:hint="eastAsia" w:ascii="宋体" w:eastAsia="宋体"/>
          <w:color w:val="auto"/>
          <w:sz w:val="32"/>
          <w:szCs w:val="32"/>
          <w:highlight w:val="none"/>
          <w:lang w:val="zh-CN"/>
        </w:rPr>
      </w:pPr>
      <w:bookmarkStart w:id="66" w:name="_Toc7536_WPSOffice_Level2"/>
      <w:r>
        <w:rPr>
          <w:rFonts w:hint="eastAsia" w:ascii="宋体" w:eastAsia="宋体"/>
          <w:color w:val="auto"/>
          <w:sz w:val="32"/>
          <w:szCs w:val="32"/>
          <w:highlight w:val="none"/>
        </w:rPr>
        <w:t>开标（报价）一览表</w:t>
      </w:r>
      <w:bookmarkEnd w:id="66"/>
    </w:p>
    <w:p w14:paraId="3853D47F">
      <w:pPr>
        <w:pageBreakBefore w:val="0"/>
        <w:widowControl/>
        <w:kinsoku/>
        <w:overflowPunct/>
        <w:bidi w:val="0"/>
        <w:snapToGrid w:val="0"/>
        <w:spacing w:line="360" w:lineRule="auto"/>
        <w:jc w:val="left"/>
        <w:rPr>
          <w:rFonts w:hint="eastAsia"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项目名称</w:t>
      </w:r>
      <w:r>
        <w:rPr>
          <w:rFonts w:hint="eastAsia" w:ascii="宋体" w:eastAsia="宋体"/>
          <w:b w:val="0"/>
          <w:bCs w:val="0"/>
          <w:color w:val="auto"/>
          <w:sz w:val="22"/>
          <w:szCs w:val="22"/>
          <w:highlight w:val="none"/>
          <w:lang w:val="zh-CN"/>
        </w:rPr>
        <w:t>：</w:t>
      </w:r>
      <w:r>
        <w:rPr>
          <w:rFonts w:hint="eastAsia" w:ascii="宋体" w:eastAsia="宋体"/>
          <w:b w:val="0"/>
          <w:bCs w:val="0"/>
          <w:color w:val="auto"/>
          <w:sz w:val="22"/>
          <w:szCs w:val="22"/>
          <w:highlight w:val="none"/>
          <w:u w:val="single"/>
          <w:lang w:eastAsia="zh-CN"/>
        </w:rPr>
        <w:t>文成县宁静小区创建项目</w:t>
      </w:r>
      <w:r>
        <w:rPr>
          <w:rFonts w:hint="eastAsia" w:ascii="宋体" w:eastAsia="宋体"/>
          <w:b w:val="0"/>
          <w:bCs w:val="0"/>
          <w:color w:val="auto"/>
          <w:sz w:val="22"/>
          <w:szCs w:val="22"/>
          <w:highlight w:val="none"/>
          <w:u w:val="single"/>
        </w:rPr>
        <w:t>（标项     ）</w:t>
      </w:r>
    </w:p>
    <w:p w14:paraId="704A568F">
      <w:pPr>
        <w:pageBreakBefore w:val="0"/>
        <w:widowControl/>
        <w:kinsoku/>
        <w:overflowPunct/>
        <w:bidi w:val="0"/>
        <w:snapToGrid w:val="0"/>
        <w:spacing w:line="360" w:lineRule="auto"/>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zh-CN"/>
        </w:rPr>
        <w:t>采购编号：</w:t>
      </w:r>
      <w:r>
        <w:rPr>
          <w:rFonts w:hint="eastAsia" w:ascii="宋体" w:eastAsia="宋体"/>
          <w:b w:val="0"/>
          <w:bCs w:val="0"/>
          <w:color w:val="auto"/>
          <w:sz w:val="22"/>
          <w:szCs w:val="22"/>
          <w:highlight w:val="none"/>
          <w:u w:val="none"/>
          <w:lang w:eastAsia="zh-CN"/>
        </w:rPr>
        <w:t xml:space="preserve">ZJXDFS2025011 </w:t>
      </w:r>
    </w:p>
    <w:p w14:paraId="303D97D4">
      <w:pPr>
        <w:pageBreakBefore w:val="0"/>
        <w:widowControl/>
        <w:kinsoku/>
        <w:overflowPunct/>
        <w:bidi w:val="0"/>
        <w:snapToGrid w:val="0"/>
        <w:spacing w:line="360" w:lineRule="auto"/>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价格单位：元人民币</w:t>
      </w:r>
    </w:p>
    <w:tbl>
      <w:tblPr>
        <w:tblStyle w:val="23"/>
        <w:tblW w:w="96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9"/>
        <w:gridCol w:w="3779"/>
        <w:gridCol w:w="2326"/>
        <w:gridCol w:w="1800"/>
        <w:gridCol w:w="924"/>
      </w:tblGrid>
      <w:tr w14:paraId="2058C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869" w:type="dxa"/>
            <w:vAlign w:val="center"/>
          </w:tcPr>
          <w:p w14:paraId="3A95D637">
            <w:pPr>
              <w:pStyle w:val="29"/>
              <w:keepNext w:val="0"/>
              <w:keepLines w:val="0"/>
              <w:pageBreakBefore w:val="0"/>
              <w:widowControl/>
              <w:kinsoku/>
              <w:wordWrap w:val="0"/>
              <w:overflowPunct/>
              <w:topLinePunct w:val="0"/>
              <w:autoSpaceDE w:val="0"/>
              <w:autoSpaceDN w:val="0"/>
              <w:bidi w:val="0"/>
              <w:adjustRightInd w:val="0"/>
              <w:snapToGrid w:val="0"/>
              <w:spacing w:before="78" w:line="360" w:lineRule="auto"/>
              <w:ind w:firstLine="220" w:firstLineChars="100"/>
              <w:jc w:val="both"/>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标段</w:t>
            </w:r>
          </w:p>
        </w:tc>
        <w:tc>
          <w:tcPr>
            <w:tcW w:w="3779" w:type="dxa"/>
            <w:vAlign w:val="center"/>
          </w:tcPr>
          <w:p w14:paraId="48938911">
            <w:pPr>
              <w:pStyle w:val="29"/>
              <w:keepNext w:val="0"/>
              <w:keepLines w:val="0"/>
              <w:pageBreakBefore w:val="0"/>
              <w:widowControl/>
              <w:kinsoku/>
              <w:wordWrap w:val="0"/>
              <w:overflowPunct/>
              <w:topLinePunct w:val="0"/>
              <w:autoSpaceDE w:val="0"/>
              <w:autoSpaceDN w:val="0"/>
              <w:bidi w:val="0"/>
              <w:adjustRightInd w:val="0"/>
              <w:snapToGrid w:val="0"/>
              <w:spacing w:before="78" w:line="360" w:lineRule="auto"/>
              <w:ind w:left="1436"/>
              <w:jc w:val="both"/>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名称</w:t>
            </w:r>
          </w:p>
        </w:tc>
        <w:tc>
          <w:tcPr>
            <w:tcW w:w="2326" w:type="dxa"/>
            <w:vAlign w:val="center"/>
          </w:tcPr>
          <w:p w14:paraId="67A6EFB3">
            <w:pPr>
              <w:pStyle w:val="29"/>
              <w:keepNext w:val="0"/>
              <w:keepLines w:val="0"/>
              <w:pageBreakBefore w:val="0"/>
              <w:widowControl/>
              <w:kinsoku/>
              <w:wordWrap w:val="0"/>
              <w:overflowPunct/>
              <w:topLinePunct w:val="0"/>
              <w:autoSpaceDE w:val="0"/>
              <w:autoSpaceDN w:val="0"/>
              <w:bidi w:val="0"/>
              <w:adjustRightInd w:val="0"/>
              <w:snapToGrid w:val="0"/>
              <w:spacing w:before="78" w:line="360" w:lineRule="auto"/>
              <w:jc w:val="center"/>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投标报价（元）</w:t>
            </w:r>
          </w:p>
        </w:tc>
        <w:tc>
          <w:tcPr>
            <w:tcW w:w="1800" w:type="dxa"/>
            <w:vAlign w:val="center"/>
          </w:tcPr>
          <w:p w14:paraId="22F7BEAF">
            <w:pPr>
              <w:pStyle w:val="29"/>
              <w:keepNext w:val="0"/>
              <w:keepLines w:val="0"/>
              <w:pageBreakBefore w:val="0"/>
              <w:widowControl/>
              <w:kinsoku/>
              <w:wordWrap w:val="0"/>
              <w:overflowPunct/>
              <w:topLinePunct w:val="0"/>
              <w:autoSpaceDE w:val="0"/>
              <w:autoSpaceDN w:val="0"/>
              <w:bidi w:val="0"/>
              <w:adjustRightInd w:val="0"/>
              <w:snapToGrid w:val="0"/>
              <w:spacing w:before="78" w:line="360" w:lineRule="auto"/>
              <w:jc w:val="center"/>
              <w:textAlignment w:val="baseline"/>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服务期</w:t>
            </w:r>
          </w:p>
        </w:tc>
        <w:tc>
          <w:tcPr>
            <w:tcW w:w="924" w:type="dxa"/>
            <w:vAlign w:val="center"/>
          </w:tcPr>
          <w:p w14:paraId="21156029">
            <w:pPr>
              <w:pStyle w:val="29"/>
              <w:keepNext w:val="0"/>
              <w:keepLines w:val="0"/>
              <w:pageBreakBefore w:val="0"/>
              <w:widowControl/>
              <w:kinsoku/>
              <w:wordWrap w:val="0"/>
              <w:overflowPunct/>
              <w:topLinePunct w:val="0"/>
              <w:autoSpaceDE w:val="0"/>
              <w:autoSpaceDN w:val="0"/>
              <w:bidi w:val="0"/>
              <w:adjustRightInd w:val="0"/>
              <w:snapToGrid w:val="0"/>
              <w:spacing w:before="78" w:line="360" w:lineRule="auto"/>
              <w:jc w:val="center"/>
              <w:textAlignment w:val="baseline"/>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备注</w:t>
            </w:r>
          </w:p>
        </w:tc>
      </w:tr>
      <w:tr w14:paraId="73237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869" w:type="dxa"/>
            <w:tcBorders>
              <w:top w:val="single" w:color="000000" w:sz="2" w:space="0"/>
              <w:left w:val="single" w:color="000000" w:sz="2" w:space="0"/>
              <w:right w:val="single" w:color="000000" w:sz="2" w:space="0"/>
            </w:tcBorders>
          </w:tcPr>
          <w:p w14:paraId="0C14DA9E">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color w:val="auto"/>
                <w:sz w:val="22"/>
                <w:szCs w:val="22"/>
                <w:highlight w:val="none"/>
              </w:rPr>
            </w:pPr>
          </w:p>
        </w:tc>
        <w:tc>
          <w:tcPr>
            <w:tcW w:w="3779" w:type="dxa"/>
            <w:tcBorders>
              <w:top w:val="single" w:color="000000" w:sz="2" w:space="0"/>
              <w:left w:val="single" w:color="000000" w:sz="2" w:space="0"/>
              <w:right w:val="single" w:color="000000" w:sz="2" w:space="0"/>
            </w:tcBorders>
          </w:tcPr>
          <w:p w14:paraId="7B7FEF40">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color w:val="auto"/>
                <w:sz w:val="22"/>
                <w:szCs w:val="22"/>
                <w:highlight w:val="none"/>
              </w:rPr>
            </w:pPr>
          </w:p>
        </w:tc>
        <w:tc>
          <w:tcPr>
            <w:tcW w:w="2326" w:type="dxa"/>
            <w:tcBorders>
              <w:top w:val="single" w:color="000000" w:sz="2" w:space="0"/>
              <w:left w:val="single" w:color="000000" w:sz="2" w:space="0"/>
              <w:right w:val="single" w:color="000000" w:sz="2" w:space="0"/>
            </w:tcBorders>
            <w:vAlign w:val="center"/>
          </w:tcPr>
          <w:p w14:paraId="2538093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220" w:firstLineChars="100"/>
              <w:jc w:val="both"/>
              <w:textAlignment w:val="baseline"/>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大写：</w:t>
            </w:r>
          </w:p>
          <w:p w14:paraId="14394BD0">
            <w:pPr>
              <w:pStyle w:val="9"/>
              <w:pageBreakBefore w:val="0"/>
              <w:widowControl w:val="0"/>
              <w:kinsoku/>
              <w:overflowPunct/>
              <w:bidi w:val="0"/>
              <w:spacing w:line="360" w:lineRule="auto"/>
              <w:ind w:left="0" w:firstLine="220" w:firstLineChars="100"/>
              <w:jc w:val="both"/>
              <w:rPr>
                <w:color w:val="auto"/>
                <w:highlight w:val="none"/>
                <w:lang w:val="en-US" w:eastAsia="zh-CN"/>
              </w:rPr>
            </w:pPr>
            <w:r>
              <w:rPr>
                <w:rFonts w:hint="eastAsia" w:ascii="宋体" w:cs="宋体"/>
                <w:b w:val="0"/>
                <w:bCs w:val="0"/>
                <w:color w:val="auto"/>
                <w:sz w:val="22"/>
                <w:szCs w:val="22"/>
                <w:highlight w:val="none"/>
                <w:lang w:val="en-US" w:eastAsia="zh-CN"/>
              </w:rPr>
              <w:t>小写：</w:t>
            </w:r>
          </w:p>
        </w:tc>
        <w:tc>
          <w:tcPr>
            <w:tcW w:w="1800" w:type="dxa"/>
            <w:tcBorders>
              <w:top w:val="single" w:color="000000" w:sz="2" w:space="0"/>
              <w:left w:val="single" w:color="000000" w:sz="2" w:space="0"/>
              <w:right w:val="single" w:color="000000" w:sz="2" w:space="0"/>
            </w:tcBorders>
          </w:tcPr>
          <w:p w14:paraId="70E37B4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color w:val="auto"/>
                <w:sz w:val="22"/>
                <w:szCs w:val="22"/>
                <w:highlight w:val="none"/>
              </w:rPr>
            </w:pPr>
          </w:p>
        </w:tc>
        <w:tc>
          <w:tcPr>
            <w:tcW w:w="924" w:type="dxa"/>
            <w:tcBorders>
              <w:top w:val="single" w:color="000000" w:sz="2" w:space="0"/>
              <w:left w:val="single" w:color="000000" w:sz="2" w:space="0"/>
              <w:right w:val="single" w:color="000000" w:sz="2" w:space="0"/>
            </w:tcBorders>
          </w:tcPr>
          <w:p w14:paraId="1219F1E6">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color w:val="auto"/>
                <w:sz w:val="22"/>
                <w:szCs w:val="22"/>
                <w:highlight w:val="none"/>
              </w:rPr>
            </w:pPr>
          </w:p>
        </w:tc>
      </w:tr>
    </w:tbl>
    <w:p w14:paraId="353599D7">
      <w:pPr>
        <w:pageBreakBefore w:val="0"/>
        <w:widowControl w:val="0"/>
        <w:kinsoku/>
        <w:overflowPunct/>
        <w:autoSpaceDE w:val="0"/>
        <w:autoSpaceDN w:val="0"/>
        <w:bidi w:val="0"/>
        <w:adjustRightInd w:val="0"/>
        <w:spacing w:line="360" w:lineRule="auto"/>
        <w:rPr>
          <w:rFonts w:hint="eastAsia" w:ascii="宋体" w:eastAsia="宋体"/>
          <w:b w:val="0"/>
          <w:bCs w:val="0"/>
          <w:color w:val="auto"/>
          <w:highlight w:val="none"/>
        </w:rPr>
      </w:pPr>
    </w:p>
    <w:p w14:paraId="05012EF6">
      <w:pPr>
        <w:pageBreakBefore w:val="0"/>
        <w:widowControl w:val="0"/>
        <w:kinsoku/>
        <w:overflowPunct/>
        <w:autoSpaceDE w:val="0"/>
        <w:autoSpaceDN w:val="0"/>
        <w:bidi w:val="0"/>
        <w:adjustRightInd w:val="0"/>
        <w:spacing w:line="360" w:lineRule="auto"/>
        <w:rPr>
          <w:rFonts w:hint="eastAsia" w:ascii="宋体" w:eastAsia="宋体"/>
          <w:b w:val="0"/>
          <w:bCs w:val="0"/>
          <w:color w:val="auto"/>
          <w:highlight w:val="none"/>
        </w:rPr>
      </w:pPr>
      <w:r>
        <w:rPr>
          <w:rFonts w:hint="eastAsia" w:ascii="宋体" w:eastAsia="宋体"/>
          <w:b w:val="0"/>
          <w:bCs w:val="0"/>
          <w:color w:val="auto"/>
          <w:highlight w:val="none"/>
        </w:rPr>
        <w:t>▲说明：</w:t>
      </w:r>
    </w:p>
    <w:p w14:paraId="5503A4D0">
      <w:pPr>
        <w:pageBreakBefore w:val="0"/>
        <w:widowControl w:val="0"/>
        <w:kinsoku/>
        <w:overflowPunct/>
        <w:bidi w:val="0"/>
        <w:spacing w:line="360" w:lineRule="auto"/>
        <w:ind w:firstLine="420" w:firstLineChars="200"/>
        <w:rPr>
          <w:rFonts w:hint="eastAsia" w:ascii="宋体" w:eastAsia="宋体"/>
          <w:b w:val="0"/>
          <w:bCs w:val="0"/>
          <w:color w:val="auto"/>
          <w:highlight w:val="none"/>
        </w:rPr>
      </w:pPr>
      <w:r>
        <w:rPr>
          <w:rFonts w:hint="eastAsia" w:ascii="宋体" w:eastAsia="宋体"/>
          <w:b w:val="0"/>
          <w:bCs w:val="0"/>
          <w:color w:val="auto"/>
          <w:highlight w:val="none"/>
        </w:rPr>
        <w:t>1．报价一经涂改，应在涂改处加盖公章，否则其响应文件作无效文件处理。</w:t>
      </w:r>
    </w:p>
    <w:p w14:paraId="757918ED">
      <w:pPr>
        <w:pageBreakBefore w:val="0"/>
        <w:widowControl w:val="0"/>
        <w:kinsoku/>
        <w:overflowPunct/>
        <w:bidi w:val="0"/>
        <w:spacing w:line="360" w:lineRule="auto"/>
        <w:ind w:firstLine="420" w:firstLineChars="200"/>
        <w:rPr>
          <w:rFonts w:hint="eastAsia" w:ascii="宋体" w:eastAsia="宋体"/>
          <w:b w:val="0"/>
          <w:bCs w:val="0"/>
          <w:color w:val="auto"/>
          <w:highlight w:val="none"/>
        </w:rPr>
      </w:pPr>
      <w:r>
        <w:rPr>
          <w:rFonts w:hint="eastAsia" w:ascii="宋体" w:eastAsia="宋体"/>
          <w:b w:val="0"/>
          <w:bCs w:val="0"/>
          <w:color w:val="auto"/>
          <w:highlight w:val="none"/>
        </w:rPr>
        <w:t>2．本项目采购单价形式，具体结算金额按实际工作量计算</w:t>
      </w:r>
      <w:r>
        <w:rPr>
          <w:rFonts w:hint="eastAsia" w:ascii="宋体" w:eastAsia="宋体"/>
          <w:b w:val="0"/>
          <w:bCs w:val="0"/>
          <w:color w:val="auto"/>
          <w:highlight w:val="none"/>
          <w:lang w:val="zh-CN"/>
        </w:rPr>
        <w:t>。</w:t>
      </w:r>
    </w:p>
    <w:p w14:paraId="3E91B73E">
      <w:pPr>
        <w:pageBreakBefore w:val="0"/>
        <w:widowControl w:val="0"/>
        <w:kinsoku/>
        <w:overflowPunct/>
        <w:bidi w:val="0"/>
        <w:spacing w:line="360" w:lineRule="auto"/>
        <w:ind w:firstLine="420" w:firstLineChars="200"/>
        <w:rPr>
          <w:rFonts w:hint="eastAsia" w:ascii="宋体" w:eastAsia="宋体"/>
          <w:b w:val="0"/>
          <w:bCs w:val="0"/>
          <w:color w:val="auto"/>
          <w:highlight w:val="none"/>
        </w:rPr>
      </w:pPr>
      <w:r>
        <w:rPr>
          <w:rFonts w:hint="eastAsia" w:ascii="宋体" w:eastAsia="宋体"/>
          <w:b w:val="0"/>
          <w:bCs w:val="0"/>
          <w:color w:val="auto"/>
          <w:highlight w:val="none"/>
        </w:rPr>
        <w:t>3．不按要求提供此页的将视为没有实质性响应磋商文件，做无效投标处理。</w:t>
      </w:r>
    </w:p>
    <w:p w14:paraId="0457F005">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p>
    <w:p w14:paraId="7B79FFC8">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供应商全称：（盖章）</w:t>
      </w:r>
    </w:p>
    <w:p w14:paraId="510E17AA">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lang w:val="zh-CN"/>
        </w:rPr>
      </w:pPr>
      <w:r>
        <w:rPr>
          <w:rFonts w:hint="eastAsia" w:ascii="宋体" w:eastAsia="宋体"/>
          <w:b w:val="0"/>
          <w:bCs w:val="0"/>
          <w:color w:val="auto"/>
          <w:sz w:val="22"/>
          <w:szCs w:val="22"/>
          <w:highlight w:val="none"/>
        </w:rPr>
        <w:t>法定代表人（签字或盖章）或</w:t>
      </w:r>
      <w:r>
        <w:rPr>
          <w:rFonts w:hint="eastAsia" w:ascii="宋体" w:eastAsia="宋体"/>
          <w:b w:val="0"/>
          <w:bCs w:val="0"/>
          <w:color w:val="auto"/>
          <w:sz w:val="22"/>
          <w:szCs w:val="22"/>
          <w:highlight w:val="none"/>
          <w:lang w:val="zh-CN"/>
        </w:rPr>
        <w:t>授权代表（签字）：</w:t>
      </w:r>
    </w:p>
    <w:p w14:paraId="34E8B514">
      <w:pPr>
        <w:pageBreakBefore w:val="0"/>
        <w:widowControl/>
        <w:kinsoku/>
        <w:overflowPunct/>
        <w:bidi w:val="0"/>
        <w:snapToGrid w:val="0"/>
        <w:spacing w:line="360" w:lineRule="auto"/>
        <w:ind w:firstLine="440" w:firstLineChars="200"/>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日期：</w:t>
      </w:r>
    </w:p>
    <w:p w14:paraId="56BA952D">
      <w:pPr>
        <w:pStyle w:val="9"/>
        <w:pageBreakBefore w:val="0"/>
        <w:widowControl w:val="0"/>
        <w:kinsoku/>
        <w:overflowPunct/>
        <w:bidi w:val="0"/>
        <w:spacing w:line="324" w:lineRule="auto"/>
        <w:rPr>
          <w:rFonts w:hint="eastAsia" w:ascii="宋体" w:hAnsi="宋体" w:cs="宋体"/>
          <w:color w:val="auto"/>
          <w:sz w:val="32"/>
          <w:szCs w:val="32"/>
          <w:highlight w:val="none"/>
          <w:lang w:val="zh-CN"/>
        </w:rPr>
      </w:pPr>
    </w:p>
    <w:p w14:paraId="7E04BD5E">
      <w:pPr>
        <w:pStyle w:val="10"/>
        <w:pageBreakBefore w:val="0"/>
        <w:widowControl w:val="0"/>
        <w:kinsoku/>
        <w:overflowPunct/>
        <w:bidi w:val="0"/>
        <w:spacing w:line="324" w:lineRule="auto"/>
        <w:rPr>
          <w:rFonts w:hint="eastAsia" w:ascii="宋体" w:hAnsi="宋体" w:cs="宋体"/>
          <w:color w:val="auto"/>
          <w:sz w:val="32"/>
          <w:szCs w:val="32"/>
          <w:highlight w:val="none"/>
          <w:lang w:val="zh-CN"/>
        </w:rPr>
        <w:sectPr>
          <w:footerReference r:id="rId7" w:type="default"/>
          <w:pgSz w:w="11906" w:h="16838"/>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14:paraId="1DA4FCF7">
      <w:pPr>
        <w:pStyle w:val="11"/>
        <w:rPr>
          <w:rFonts w:hint="eastAsia"/>
          <w:color w:val="auto"/>
          <w:lang w:val="zh-CN"/>
        </w:rPr>
      </w:pPr>
    </w:p>
    <w:p w14:paraId="4F9CAC46">
      <w:pPr>
        <w:pageBreakBefore w:val="0"/>
        <w:widowControl w:val="0"/>
        <w:kinsoku/>
        <w:overflowPunct/>
        <w:autoSpaceDE w:val="0"/>
        <w:autoSpaceDN w:val="0"/>
        <w:bidi w:val="0"/>
        <w:adjustRightInd w:val="0"/>
        <w:spacing w:line="324" w:lineRule="auto"/>
        <w:outlineLvl w:val="1"/>
        <w:rPr>
          <w:rFonts w:hint="eastAsia" w:ascii="宋体" w:eastAsia="宋体"/>
          <w:b w:val="0"/>
          <w:color w:val="auto"/>
          <w:sz w:val="30"/>
          <w:szCs w:val="30"/>
          <w:highlight w:val="none"/>
          <w:lang w:val="zh-CN" w:eastAsia="zh-CN"/>
        </w:rPr>
      </w:pPr>
      <w:bookmarkStart w:id="67" w:name="_Toc16088"/>
      <w:bookmarkStart w:id="68" w:name="_Toc20699"/>
      <w:r>
        <w:rPr>
          <w:rFonts w:hint="eastAsia" w:ascii="宋体" w:eastAsia="宋体"/>
          <w:b w:val="0"/>
          <w:color w:val="auto"/>
          <w:sz w:val="30"/>
          <w:szCs w:val="30"/>
          <w:highlight w:val="none"/>
          <w:lang w:val="zh-CN"/>
        </w:rPr>
        <w:t>附件</w:t>
      </w:r>
      <w:bookmarkEnd w:id="67"/>
      <w:bookmarkEnd w:id="68"/>
      <w:r>
        <w:rPr>
          <w:rFonts w:hint="eastAsia" w:ascii="宋体" w:eastAsia="宋体"/>
          <w:b w:val="0"/>
          <w:color w:val="auto"/>
          <w:sz w:val="30"/>
          <w:szCs w:val="30"/>
          <w:highlight w:val="none"/>
          <w:lang w:val="en-US" w:eastAsia="zh-CN"/>
        </w:rPr>
        <w:t>八</w:t>
      </w:r>
    </w:p>
    <w:p w14:paraId="22703314">
      <w:pPr>
        <w:pageBreakBefore w:val="0"/>
        <w:widowControl w:val="0"/>
        <w:kinsoku/>
        <w:overflowPunct/>
        <w:bidi w:val="0"/>
        <w:spacing w:line="360" w:lineRule="auto"/>
        <w:jc w:val="center"/>
        <w:rPr>
          <w:rFonts w:hint="eastAsia" w:ascii="宋体" w:eastAsia="宋体"/>
          <w:b w:val="0"/>
          <w:bCs w:val="0"/>
          <w:color w:val="auto"/>
          <w:sz w:val="36"/>
          <w:szCs w:val="36"/>
          <w:highlight w:val="none"/>
        </w:rPr>
      </w:pPr>
      <w:r>
        <w:rPr>
          <w:rFonts w:hint="eastAsia" w:ascii="宋体" w:eastAsia="宋体"/>
          <w:b w:val="0"/>
          <w:bCs w:val="0"/>
          <w:color w:val="auto"/>
          <w:sz w:val="32"/>
          <w:szCs w:val="32"/>
          <w:highlight w:val="none"/>
          <w:lang w:val="zh-CN"/>
        </w:rPr>
        <w:t>分项报价表</w:t>
      </w:r>
    </w:p>
    <w:p w14:paraId="0B5526A0">
      <w:pPr>
        <w:pageBreakBefore w:val="0"/>
        <w:widowControl w:val="0"/>
        <w:kinsoku/>
        <w:overflowPunct/>
        <w:autoSpaceDE w:val="0"/>
        <w:autoSpaceDN w:val="0"/>
        <w:bidi w:val="0"/>
        <w:adjustRightInd w:val="0"/>
        <w:spacing w:line="360" w:lineRule="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项目名称：</w:t>
      </w:r>
      <w:r>
        <w:rPr>
          <w:rFonts w:hint="eastAsia" w:ascii="宋体" w:eastAsia="宋体"/>
          <w:b w:val="0"/>
          <w:bCs w:val="0"/>
          <w:color w:val="auto"/>
          <w:sz w:val="22"/>
          <w:szCs w:val="22"/>
          <w:highlight w:val="none"/>
          <w:lang w:eastAsia="zh-CN"/>
        </w:rPr>
        <w:t>文成县宁静小区创建项目</w:t>
      </w:r>
      <w:r>
        <w:rPr>
          <w:rFonts w:hint="eastAsia" w:ascii="宋体" w:eastAsia="宋体"/>
          <w:b w:val="0"/>
          <w:bCs w:val="0"/>
          <w:color w:val="auto"/>
          <w:sz w:val="22"/>
          <w:szCs w:val="22"/>
          <w:highlight w:val="none"/>
        </w:rPr>
        <w:t>（标项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3623"/>
        <w:gridCol w:w="990"/>
        <w:gridCol w:w="1010"/>
        <w:gridCol w:w="2030"/>
        <w:gridCol w:w="1039"/>
      </w:tblGrid>
      <w:tr w14:paraId="4E3B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62" w:type="dxa"/>
            <w:vAlign w:val="center"/>
          </w:tcPr>
          <w:p w14:paraId="262CC415">
            <w:pPr>
              <w:pageBreakBefore w:val="0"/>
              <w:widowControl w:val="0"/>
              <w:kinsoku/>
              <w:overflowPunct/>
              <w:bidi w:val="0"/>
              <w:spacing w:line="360" w:lineRule="auto"/>
              <w:jc w:val="center"/>
              <w:rPr>
                <w:rFonts w:hint="eastAsia" w:ascii="宋体" w:eastAsia="宋体"/>
                <w:b w:val="0"/>
                <w:bCs w:val="0"/>
                <w:color w:val="auto"/>
                <w:spacing w:val="20"/>
                <w:sz w:val="22"/>
                <w:szCs w:val="22"/>
                <w:highlight w:val="none"/>
              </w:rPr>
            </w:pPr>
            <w:r>
              <w:rPr>
                <w:rFonts w:hint="eastAsia" w:ascii="宋体" w:eastAsia="宋体"/>
                <w:b w:val="0"/>
                <w:bCs w:val="0"/>
                <w:color w:val="auto"/>
                <w:spacing w:val="20"/>
                <w:sz w:val="22"/>
                <w:szCs w:val="22"/>
                <w:highlight w:val="none"/>
              </w:rPr>
              <w:t>序号</w:t>
            </w:r>
          </w:p>
        </w:tc>
        <w:tc>
          <w:tcPr>
            <w:tcW w:w="3623" w:type="dxa"/>
            <w:vAlign w:val="center"/>
          </w:tcPr>
          <w:p w14:paraId="78CD8B5D">
            <w:pPr>
              <w:pageBreakBefore w:val="0"/>
              <w:widowControl w:val="0"/>
              <w:kinsoku/>
              <w:overflowPunct/>
              <w:bidi w:val="0"/>
              <w:spacing w:line="360" w:lineRule="auto"/>
              <w:jc w:val="center"/>
              <w:rPr>
                <w:rFonts w:hint="eastAsia" w:ascii="宋体" w:eastAsia="宋体"/>
                <w:b w:val="0"/>
                <w:bCs w:val="0"/>
                <w:color w:val="auto"/>
                <w:spacing w:val="20"/>
                <w:sz w:val="22"/>
                <w:szCs w:val="22"/>
                <w:highlight w:val="none"/>
              </w:rPr>
            </w:pPr>
            <w:r>
              <w:rPr>
                <w:rFonts w:hint="eastAsia" w:ascii="宋体" w:eastAsia="宋体"/>
                <w:b w:val="0"/>
                <w:bCs w:val="0"/>
                <w:color w:val="auto"/>
                <w:spacing w:val="20"/>
                <w:sz w:val="22"/>
                <w:szCs w:val="22"/>
                <w:highlight w:val="none"/>
              </w:rPr>
              <w:t>报价内容</w:t>
            </w:r>
          </w:p>
        </w:tc>
        <w:tc>
          <w:tcPr>
            <w:tcW w:w="990" w:type="dxa"/>
            <w:vAlign w:val="center"/>
          </w:tcPr>
          <w:p w14:paraId="28AEDCAE">
            <w:pPr>
              <w:pageBreakBefore w:val="0"/>
              <w:widowControl w:val="0"/>
              <w:kinsoku/>
              <w:overflowPunct/>
              <w:bidi w:val="0"/>
              <w:spacing w:line="360" w:lineRule="auto"/>
              <w:jc w:val="center"/>
              <w:rPr>
                <w:rFonts w:hint="eastAsia" w:ascii="宋体" w:eastAsia="宋体"/>
                <w:b w:val="0"/>
                <w:bCs w:val="0"/>
                <w:color w:val="auto"/>
                <w:spacing w:val="20"/>
                <w:sz w:val="22"/>
                <w:szCs w:val="22"/>
                <w:highlight w:val="none"/>
              </w:rPr>
            </w:pPr>
            <w:r>
              <w:rPr>
                <w:rFonts w:hint="eastAsia" w:ascii="宋体" w:eastAsia="宋体"/>
                <w:b w:val="0"/>
                <w:bCs w:val="0"/>
                <w:color w:val="auto"/>
                <w:spacing w:val="20"/>
                <w:sz w:val="22"/>
                <w:szCs w:val="22"/>
                <w:highlight w:val="none"/>
              </w:rPr>
              <w:t>数量</w:t>
            </w:r>
          </w:p>
        </w:tc>
        <w:tc>
          <w:tcPr>
            <w:tcW w:w="1010" w:type="dxa"/>
            <w:vAlign w:val="center"/>
          </w:tcPr>
          <w:p w14:paraId="62181043">
            <w:pPr>
              <w:pageBreakBefore w:val="0"/>
              <w:widowControl w:val="0"/>
              <w:kinsoku/>
              <w:overflowPunct/>
              <w:bidi w:val="0"/>
              <w:spacing w:line="360" w:lineRule="auto"/>
              <w:jc w:val="center"/>
              <w:rPr>
                <w:rFonts w:hint="eastAsia" w:ascii="宋体" w:eastAsia="宋体"/>
                <w:b w:val="0"/>
                <w:bCs w:val="0"/>
                <w:color w:val="auto"/>
                <w:spacing w:val="20"/>
                <w:sz w:val="22"/>
                <w:szCs w:val="22"/>
                <w:highlight w:val="none"/>
              </w:rPr>
            </w:pPr>
            <w:r>
              <w:rPr>
                <w:rFonts w:hint="eastAsia" w:ascii="宋体" w:eastAsia="宋体"/>
                <w:b w:val="0"/>
                <w:bCs w:val="0"/>
                <w:color w:val="auto"/>
                <w:spacing w:val="20"/>
                <w:sz w:val="22"/>
                <w:szCs w:val="22"/>
                <w:highlight w:val="none"/>
              </w:rPr>
              <w:t xml:space="preserve">单价 </w:t>
            </w:r>
          </w:p>
        </w:tc>
        <w:tc>
          <w:tcPr>
            <w:tcW w:w="2030" w:type="dxa"/>
            <w:vAlign w:val="center"/>
          </w:tcPr>
          <w:p w14:paraId="06519ADE">
            <w:pPr>
              <w:pageBreakBefore w:val="0"/>
              <w:widowControl w:val="0"/>
              <w:kinsoku/>
              <w:overflowPunct/>
              <w:bidi w:val="0"/>
              <w:spacing w:line="360" w:lineRule="auto"/>
              <w:jc w:val="center"/>
              <w:rPr>
                <w:rFonts w:hint="eastAsia" w:ascii="宋体" w:eastAsia="宋体"/>
                <w:b w:val="0"/>
                <w:bCs w:val="0"/>
                <w:color w:val="auto"/>
                <w:spacing w:val="20"/>
                <w:sz w:val="22"/>
                <w:szCs w:val="22"/>
                <w:highlight w:val="none"/>
              </w:rPr>
            </w:pPr>
            <w:r>
              <w:rPr>
                <w:rFonts w:hint="eastAsia" w:ascii="宋体" w:eastAsia="宋体"/>
                <w:b w:val="0"/>
                <w:bCs w:val="0"/>
                <w:color w:val="auto"/>
                <w:spacing w:val="20"/>
                <w:sz w:val="22"/>
                <w:szCs w:val="22"/>
                <w:highlight w:val="none"/>
              </w:rPr>
              <w:t>价格</w:t>
            </w:r>
          </w:p>
        </w:tc>
        <w:tc>
          <w:tcPr>
            <w:tcW w:w="1039" w:type="dxa"/>
            <w:vAlign w:val="center"/>
          </w:tcPr>
          <w:p w14:paraId="4F66A10D">
            <w:pPr>
              <w:pageBreakBefore w:val="0"/>
              <w:widowControl w:val="0"/>
              <w:kinsoku/>
              <w:overflowPunct/>
              <w:bidi w:val="0"/>
              <w:spacing w:line="360" w:lineRule="auto"/>
              <w:jc w:val="center"/>
              <w:rPr>
                <w:rFonts w:hint="eastAsia" w:ascii="宋体" w:eastAsia="宋体"/>
                <w:b w:val="0"/>
                <w:bCs w:val="0"/>
                <w:color w:val="auto"/>
                <w:spacing w:val="20"/>
                <w:sz w:val="22"/>
                <w:szCs w:val="22"/>
                <w:highlight w:val="none"/>
              </w:rPr>
            </w:pPr>
            <w:r>
              <w:rPr>
                <w:rFonts w:hint="eastAsia" w:ascii="宋体" w:eastAsia="宋体"/>
                <w:b w:val="0"/>
                <w:bCs w:val="0"/>
                <w:color w:val="auto"/>
                <w:spacing w:val="20"/>
                <w:sz w:val="22"/>
                <w:szCs w:val="22"/>
                <w:highlight w:val="none"/>
              </w:rPr>
              <w:t>备注</w:t>
            </w:r>
          </w:p>
        </w:tc>
      </w:tr>
      <w:tr w14:paraId="6126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162" w:type="dxa"/>
            <w:tcBorders>
              <w:top w:val="single" w:color="auto" w:sz="4" w:space="0"/>
              <w:left w:val="single" w:color="auto" w:sz="4" w:space="0"/>
              <w:right w:val="single" w:color="auto" w:sz="4" w:space="0"/>
            </w:tcBorders>
            <w:vAlign w:val="center"/>
          </w:tcPr>
          <w:p w14:paraId="038FEEF0">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w:t>
            </w:r>
          </w:p>
        </w:tc>
        <w:tc>
          <w:tcPr>
            <w:tcW w:w="3623" w:type="dxa"/>
            <w:tcBorders>
              <w:top w:val="single" w:color="auto" w:sz="4" w:space="0"/>
              <w:left w:val="single" w:color="auto" w:sz="4" w:space="0"/>
              <w:right w:val="single" w:color="auto" w:sz="4" w:space="0"/>
            </w:tcBorders>
            <w:vAlign w:val="center"/>
          </w:tcPr>
          <w:p w14:paraId="4D5A9996">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990" w:type="dxa"/>
            <w:tcBorders>
              <w:top w:val="single" w:color="auto" w:sz="4" w:space="0"/>
              <w:left w:val="single" w:color="auto" w:sz="4" w:space="0"/>
              <w:right w:val="single" w:color="auto" w:sz="4" w:space="0"/>
            </w:tcBorders>
            <w:vAlign w:val="center"/>
          </w:tcPr>
          <w:p w14:paraId="4D3E1385">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010" w:type="dxa"/>
            <w:tcBorders>
              <w:top w:val="single" w:color="auto" w:sz="4" w:space="0"/>
              <w:left w:val="single" w:color="auto" w:sz="4" w:space="0"/>
              <w:right w:val="single" w:color="auto" w:sz="4" w:space="0"/>
            </w:tcBorders>
            <w:vAlign w:val="center"/>
          </w:tcPr>
          <w:p w14:paraId="009A0043">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2030" w:type="dxa"/>
            <w:tcBorders>
              <w:top w:val="single" w:color="auto" w:sz="4" w:space="0"/>
              <w:left w:val="single" w:color="auto" w:sz="4" w:space="0"/>
              <w:right w:val="single" w:color="auto" w:sz="4" w:space="0"/>
            </w:tcBorders>
            <w:vAlign w:val="center"/>
          </w:tcPr>
          <w:p w14:paraId="138D576C">
            <w:pPr>
              <w:pageBreakBefore w:val="0"/>
              <w:widowControl w:val="0"/>
              <w:kinsoku/>
              <w:overflowPunct/>
              <w:bidi w:val="0"/>
              <w:snapToGrid w:val="0"/>
              <w:spacing w:line="360" w:lineRule="auto"/>
              <w:jc w:val="center"/>
              <w:rPr>
                <w:rFonts w:hint="eastAsia" w:ascii="宋体" w:eastAsia="宋体"/>
                <w:b w:val="0"/>
                <w:bCs w:val="0"/>
                <w:color w:val="auto"/>
                <w:sz w:val="22"/>
                <w:szCs w:val="22"/>
                <w:highlight w:val="none"/>
              </w:rPr>
            </w:pPr>
          </w:p>
        </w:tc>
        <w:tc>
          <w:tcPr>
            <w:tcW w:w="1039" w:type="dxa"/>
            <w:tcBorders>
              <w:top w:val="single" w:color="auto" w:sz="4" w:space="0"/>
              <w:left w:val="single" w:color="auto" w:sz="4" w:space="0"/>
              <w:right w:val="single" w:color="auto" w:sz="4" w:space="0"/>
            </w:tcBorders>
            <w:vAlign w:val="center"/>
          </w:tcPr>
          <w:p w14:paraId="1DE4D610">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0F28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162" w:type="dxa"/>
            <w:tcBorders>
              <w:top w:val="single" w:color="auto" w:sz="4" w:space="0"/>
              <w:left w:val="single" w:color="auto" w:sz="4" w:space="0"/>
              <w:right w:val="single" w:color="auto" w:sz="4" w:space="0"/>
            </w:tcBorders>
            <w:vAlign w:val="center"/>
          </w:tcPr>
          <w:p w14:paraId="205A1ABA">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w:t>
            </w:r>
          </w:p>
        </w:tc>
        <w:tc>
          <w:tcPr>
            <w:tcW w:w="3623" w:type="dxa"/>
            <w:tcBorders>
              <w:top w:val="single" w:color="auto" w:sz="4" w:space="0"/>
              <w:left w:val="single" w:color="auto" w:sz="4" w:space="0"/>
              <w:right w:val="single" w:color="auto" w:sz="4" w:space="0"/>
            </w:tcBorders>
            <w:vAlign w:val="center"/>
          </w:tcPr>
          <w:p w14:paraId="246C0042">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990" w:type="dxa"/>
            <w:tcBorders>
              <w:top w:val="single" w:color="auto" w:sz="4" w:space="0"/>
              <w:left w:val="single" w:color="auto" w:sz="4" w:space="0"/>
              <w:right w:val="single" w:color="auto" w:sz="4" w:space="0"/>
            </w:tcBorders>
            <w:vAlign w:val="center"/>
          </w:tcPr>
          <w:p w14:paraId="0F6A1328">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010" w:type="dxa"/>
            <w:tcBorders>
              <w:top w:val="single" w:color="auto" w:sz="4" w:space="0"/>
              <w:left w:val="single" w:color="auto" w:sz="4" w:space="0"/>
              <w:right w:val="single" w:color="auto" w:sz="4" w:space="0"/>
            </w:tcBorders>
            <w:vAlign w:val="center"/>
          </w:tcPr>
          <w:p w14:paraId="0EAE8D06">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2030" w:type="dxa"/>
            <w:tcBorders>
              <w:top w:val="single" w:color="auto" w:sz="4" w:space="0"/>
              <w:left w:val="single" w:color="auto" w:sz="4" w:space="0"/>
              <w:right w:val="single" w:color="auto" w:sz="4" w:space="0"/>
            </w:tcBorders>
            <w:vAlign w:val="center"/>
          </w:tcPr>
          <w:p w14:paraId="4070A60A">
            <w:pPr>
              <w:pageBreakBefore w:val="0"/>
              <w:widowControl w:val="0"/>
              <w:kinsoku/>
              <w:overflowPunct/>
              <w:bidi w:val="0"/>
              <w:snapToGrid w:val="0"/>
              <w:spacing w:line="360" w:lineRule="auto"/>
              <w:jc w:val="center"/>
              <w:rPr>
                <w:rFonts w:hint="eastAsia" w:ascii="宋体" w:eastAsia="宋体"/>
                <w:b w:val="0"/>
                <w:bCs w:val="0"/>
                <w:color w:val="auto"/>
                <w:sz w:val="22"/>
                <w:szCs w:val="22"/>
                <w:highlight w:val="none"/>
              </w:rPr>
            </w:pPr>
          </w:p>
        </w:tc>
        <w:tc>
          <w:tcPr>
            <w:tcW w:w="1039" w:type="dxa"/>
            <w:tcBorders>
              <w:top w:val="single" w:color="auto" w:sz="4" w:space="0"/>
              <w:left w:val="single" w:color="auto" w:sz="4" w:space="0"/>
              <w:right w:val="single" w:color="auto" w:sz="4" w:space="0"/>
            </w:tcBorders>
            <w:vAlign w:val="center"/>
          </w:tcPr>
          <w:p w14:paraId="4669EF43">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0730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162" w:type="dxa"/>
            <w:tcBorders>
              <w:top w:val="single" w:color="auto" w:sz="4" w:space="0"/>
              <w:left w:val="single" w:color="auto" w:sz="4" w:space="0"/>
              <w:right w:val="single" w:color="auto" w:sz="4" w:space="0"/>
            </w:tcBorders>
            <w:vAlign w:val="center"/>
          </w:tcPr>
          <w:p w14:paraId="3E4D4C43">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w:t>
            </w:r>
          </w:p>
        </w:tc>
        <w:tc>
          <w:tcPr>
            <w:tcW w:w="3623" w:type="dxa"/>
            <w:tcBorders>
              <w:top w:val="single" w:color="auto" w:sz="4" w:space="0"/>
              <w:left w:val="single" w:color="auto" w:sz="4" w:space="0"/>
              <w:right w:val="single" w:color="auto" w:sz="4" w:space="0"/>
            </w:tcBorders>
            <w:vAlign w:val="center"/>
          </w:tcPr>
          <w:p w14:paraId="2DE2E9D1">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990" w:type="dxa"/>
            <w:tcBorders>
              <w:top w:val="single" w:color="auto" w:sz="4" w:space="0"/>
              <w:left w:val="single" w:color="auto" w:sz="4" w:space="0"/>
              <w:right w:val="single" w:color="auto" w:sz="4" w:space="0"/>
            </w:tcBorders>
            <w:vAlign w:val="center"/>
          </w:tcPr>
          <w:p w14:paraId="711B9865">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010" w:type="dxa"/>
            <w:tcBorders>
              <w:top w:val="single" w:color="auto" w:sz="4" w:space="0"/>
              <w:left w:val="single" w:color="auto" w:sz="4" w:space="0"/>
              <w:right w:val="single" w:color="auto" w:sz="4" w:space="0"/>
            </w:tcBorders>
            <w:vAlign w:val="center"/>
          </w:tcPr>
          <w:p w14:paraId="31B5EDA6">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2030" w:type="dxa"/>
            <w:tcBorders>
              <w:top w:val="single" w:color="auto" w:sz="4" w:space="0"/>
              <w:left w:val="single" w:color="auto" w:sz="4" w:space="0"/>
              <w:right w:val="single" w:color="auto" w:sz="4" w:space="0"/>
            </w:tcBorders>
            <w:vAlign w:val="center"/>
          </w:tcPr>
          <w:p w14:paraId="1219ABCE">
            <w:pPr>
              <w:pageBreakBefore w:val="0"/>
              <w:widowControl w:val="0"/>
              <w:kinsoku/>
              <w:overflowPunct/>
              <w:bidi w:val="0"/>
              <w:snapToGrid w:val="0"/>
              <w:spacing w:line="360" w:lineRule="auto"/>
              <w:jc w:val="center"/>
              <w:rPr>
                <w:rFonts w:hint="eastAsia" w:ascii="宋体" w:eastAsia="宋体"/>
                <w:b w:val="0"/>
                <w:bCs w:val="0"/>
                <w:color w:val="auto"/>
                <w:sz w:val="22"/>
                <w:szCs w:val="22"/>
                <w:highlight w:val="none"/>
              </w:rPr>
            </w:pPr>
          </w:p>
        </w:tc>
        <w:tc>
          <w:tcPr>
            <w:tcW w:w="1039" w:type="dxa"/>
            <w:tcBorders>
              <w:top w:val="single" w:color="auto" w:sz="4" w:space="0"/>
              <w:left w:val="single" w:color="auto" w:sz="4" w:space="0"/>
              <w:right w:val="single" w:color="auto" w:sz="4" w:space="0"/>
            </w:tcBorders>
            <w:vAlign w:val="center"/>
          </w:tcPr>
          <w:p w14:paraId="40A68862">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0557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162" w:type="dxa"/>
            <w:tcBorders>
              <w:top w:val="single" w:color="auto" w:sz="4" w:space="0"/>
              <w:left w:val="single" w:color="auto" w:sz="4" w:space="0"/>
              <w:right w:val="single" w:color="auto" w:sz="4" w:space="0"/>
            </w:tcBorders>
            <w:vAlign w:val="center"/>
          </w:tcPr>
          <w:p w14:paraId="04724B41">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4</w:t>
            </w:r>
          </w:p>
        </w:tc>
        <w:tc>
          <w:tcPr>
            <w:tcW w:w="3623" w:type="dxa"/>
            <w:tcBorders>
              <w:top w:val="single" w:color="auto" w:sz="4" w:space="0"/>
              <w:left w:val="single" w:color="auto" w:sz="4" w:space="0"/>
              <w:right w:val="single" w:color="auto" w:sz="4" w:space="0"/>
            </w:tcBorders>
            <w:vAlign w:val="center"/>
          </w:tcPr>
          <w:p w14:paraId="43EC9577">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990" w:type="dxa"/>
            <w:tcBorders>
              <w:top w:val="single" w:color="auto" w:sz="4" w:space="0"/>
              <w:left w:val="single" w:color="auto" w:sz="4" w:space="0"/>
              <w:right w:val="single" w:color="auto" w:sz="4" w:space="0"/>
            </w:tcBorders>
            <w:vAlign w:val="center"/>
          </w:tcPr>
          <w:p w14:paraId="0634E560">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010" w:type="dxa"/>
            <w:tcBorders>
              <w:top w:val="single" w:color="auto" w:sz="4" w:space="0"/>
              <w:left w:val="single" w:color="auto" w:sz="4" w:space="0"/>
              <w:right w:val="single" w:color="auto" w:sz="4" w:space="0"/>
            </w:tcBorders>
            <w:vAlign w:val="center"/>
          </w:tcPr>
          <w:p w14:paraId="26648A63">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2030" w:type="dxa"/>
            <w:tcBorders>
              <w:top w:val="single" w:color="auto" w:sz="4" w:space="0"/>
              <w:left w:val="single" w:color="auto" w:sz="4" w:space="0"/>
              <w:right w:val="single" w:color="auto" w:sz="4" w:space="0"/>
            </w:tcBorders>
            <w:vAlign w:val="center"/>
          </w:tcPr>
          <w:p w14:paraId="24892D0C">
            <w:pPr>
              <w:pageBreakBefore w:val="0"/>
              <w:widowControl w:val="0"/>
              <w:kinsoku/>
              <w:overflowPunct/>
              <w:bidi w:val="0"/>
              <w:snapToGrid w:val="0"/>
              <w:spacing w:line="360" w:lineRule="auto"/>
              <w:jc w:val="center"/>
              <w:rPr>
                <w:rFonts w:hint="eastAsia" w:ascii="宋体" w:eastAsia="宋体"/>
                <w:b w:val="0"/>
                <w:bCs w:val="0"/>
                <w:color w:val="auto"/>
                <w:sz w:val="22"/>
                <w:szCs w:val="22"/>
                <w:highlight w:val="none"/>
              </w:rPr>
            </w:pPr>
          </w:p>
        </w:tc>
        <w:tc>
          <w:tcPr>
            <w:tcW w:w="1039" w:type="dxa"/>
            <w:tcBorders>
              <w:top w:val="single" w:color="auto" w:sz="4" w:space="0"/>
              <w:left w:val="single" w:color="auto" w:sz="4" w:space="0"/>
              <w:right w:val="single" w:color="auto" w:sz="4" w:space="0"/>
            </w:tcBorders>
            <w:vAlign w:val="center"/>
          </w:tcPr>
          <w:p w14:paraId="40A505DA">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653D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162" w:type="dxa"/>
            <w:tcBorders>
              <w:top w:val="single" w:color="auto" w:sz="4" w:space="0"/>
              <w:left w:val="single" w:color="auto" w:sz="4" w:space="0"/>
              <w:right w:val="single" w:color="auto" w:sz="4" w:space="0"/>
            </w:tcBorders>
            <w:vAlign w:val="center"/>
          </w:tcPr>
          <w:p w14:paraId="54B2F568">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5</w:t>
            </w:r>
          </w:p>
        </w:tc>
        <w:tc>
          <w:tcPr>
            <w:tcW w:w="3623" w:type="dxa"/>
            <w:tcBorders>
              <w:top w:val="single" w:color="auto" w:sz="4" w:space="0"/>
              <w:left w:val="single" w:color="auto" w:sz="4" w:space="0"/>
              <w:right w:val="single" w:color="auto" w:sz="4" w:space="0"/>
            </w:tcBorders>
            <w:vAlign w:val="center"/>
          </w:tcPr>
          <w:p w14:paraId="349C0AA0">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990" w:type="dxa"/>
            <w:tcBorders>
              <w:top w:val="single" w:color="auto" w:sz="4" w:space="0"/>
              <w:left w:val="single" w:color="auto" w:sz="4" w:space="0"/>
              <w:right w:val="single" w:color="auto" w:sz="4" w:space="0"/>
            </w:tcBorders>
            <w:vAlign w:val="center"/>
          </w:tcPr>
          <w:p w14:paraId="36D42603">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010" w:type="dxa"/>
            <w:tcBorders>
              <w:top w:val="single" w:color="auto" w:sz="4" w:space="0"/>
              <w:left w:val="single" w:color="auto" w:sz="4" w:space="0"/>
              <w:right w:val="single" w:color="auto" w:sz="4" w:space="0"/>
            </w:tcBorders>
            <w:vAlign w:val="center"/>
          </w:tcPr>
          <w:p w14:paraId="751797EE">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2030" w:type="dxa"/>
            <w:tcBorders>
              <w:top w:val="single" w:color="auto" w:sz="4" w:space="0"/>
              <w:left w:val="single" w:color="auto" w:sz="4" w:space="0"/>
              <w:right w:val="single" w:color="auto" w:sz="4" w:space="0"/>
            </w:tcBorders>
            <w:vAlign w:val="center"/>
          </w:tcPr>
          <w:p w14:paraId="52F1BA9B">
            <w:pPr>
              <w:pageBreakBefore w:val="0"/>
              <w:widowControl w:val="0"/>
              <w:kinsoku/>
              <w:overflowPunct/>
              <w:bidi w:val="0"/>
              <w:snapToGrid w:val="0"/>
              <w:spacing w:line="360" w:lineRule="auto"/>
              <w:jc w:val="center"/>
              <w:rPr>
                <w:rFonts w:hint="eastAsia" w:ascii="宋体" w:eastAsia="宋体"/>
                <w:b w:val="0"/>
                <w:bCs w:val="0"/>
                <w:color w:val="auto"/>
                <w:sz w:val="22"/>
                <w:szCs w:val="22"/>
                <w:highlight w:val="none"/>
              </w:rPr>
            </w:pPr>
          </w:p>
        </w:tc>
        <w:tc>
          <w:tcPr>
            <w:tcW w:w="1039" w:type="dxa"/>
            <w:tcBorders>
              <w:top w:val="single" w:color="auto" w:sz="4" w:space="0"/>
              <w:left w:val="single" w:color="auto" w:sz="4" w:space="0"/>
              <w:right w:val="single" w:color="auto" w:sz="4" w:space="0"/>
            </w:tcBorders>
            <w:vAlign w:val="center"/>
          </w:tcPr>
          <w:p w14:paraId="3436E9E1">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6410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162" w:type="dxa"/>
            <w:tcBorders>
              <w:top w:val="single" w:color="auto" w:sz="4" w:space="0"/>
              <w:left w:val="single" w:color="auto" w:sz="4" w:space="0"/>
              <w:right w:val="single" w:color="auto" w:sz="4" w:space="0"/>
            </w:tcBorders>
            <w:vAlign w:val="center"/>
          </w:tcPr>
          <w:p w14:paraId="4039A2C8">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6</w:t>
            </w:r>
          </w:p>
        </w:tc>
        <w:tc>
          <w:tcPr>
            <w:tcW w:w="3623" w:type="dxa"/>
            <w:tcBorders>
              <w:top w:val="single" w:color="auto" w:sz="4" w:space="0"/>
              <w:left w:val="single" w:color="auto" w:sz="4" w:space="0"/>
              <w:right w:val="single" w:color="auto" w:sz="4" w:space="0"/>
            </w:tcBorders>
            <w:vAlign w:val="center"/>
          </w:tcPr>
          <w:p w14:paraId="322EC998">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990" w:type="dxa"/>
            <w:tcBorders>
              <w:top w:val="single" w:color="auto" w:sz="4" w:space="0"/>
              <w:left w:val="single" w:color="auto" w:sz="4" w:space="0"/>
              <w:right w:val="single" w:color="auto" w:sz="4" w:space="0"/>
            </w:tcBorders>
            <w:vAlign w:val="center"/>
          </w:tcPr>
          <w:p w14:paraId="6E86B17F">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010" w:type="dxa"/>
            <w:tcBorders>
              <w:top w:val="single" w:color="auto" w:sz="4" w:space="0"/>
              <w:left w:val="single" w:color="auto" w:sz="4" w:space="0"/>
              <w:right w:val="single" w:color="auto" w:sz="4" w:space="0"/>
            </w:tcBorders>
            <w:vAlign w:val="center"/>
          </w:tcPr>
          <w:p w14:paraId="2AA02748">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2030" w:type="dxa"/>
            <w:tcBorders>
              <w:top w:val="single" w:color="auto" w:sz="4" w:space="0"/>
              <w:left w:val="single" w:color="auto" w:sz="4" w:space="0"/>
              <w:right w:val="single" w:color="auto" w:sz="4" w:space="0"/>
            </w:tcBorders>
            <w:vAlign w:val="center"/>
          </w:tcPr>
          <w:p w14:paraId="6648D239">
            <w:pPr>
              <w:pageBreakBefore w:val="0"/>
              <w:widowControl w:val="0"/>
              <w:kinsoku/>
              <w:overflowPunct/>
              <w:bidi w:val="0"/>
              <w:snapToGrid w:val="0"/>
              <w:spacing w:line="360" w:lineRule="auto"/>
              <w:jc w:val="center"/>
              <w:rPr>
                <w:rFonts w:hint="eastAsia" w:ascii="宋体" w:eastAsia="宋体"/>
                <w:b w:val="0"/>
                <w:bCs w:val="0"/>
                <w:color w:val="auto"/>
                <w:sz w:val="22"/>
                <w:szCs w:val="22"/>
                <w:highlight w:val="none"/>
              </w:rPr>
            </w:pPr>
          </w:p>
        </w:tc>
        <w:tc>
          <w:tcPr>
            <w:tcW w:w="1039" w:type="dxa"/>
            <w:tcBorders>
              <w:top w:val="single" w:color="auto" w:sz="4" w:space="0"/>
              <w:left w:val="single" w:color="auto" w:sz="4" w:space="0"/>
              <w:right w:val="single" w:color="auto" w:sz="4" w:space="0"/>
            </w:tcBorders>
            <w:vAlign w:val="center"/>
          </w:tcPr>
          <w:p w14:paraId="6D4C54EF">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47F2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162" w:type="dxa"/>
            <w:tcBorders>
              <w:top w:val="single" w:color="auto" w:sz="4" w:space="0"/>
              <w:left w:val="single" w:color="auto" w:sz="4" w:space="0"/>
              <w:right w:val="single" w:color="auto" w:sz="4" w:space="0"/>
            </w:tcBorders>
            <w:vAlign w:val="center"/>
          </w:tcPr>
          <w:p w14:paraId="7E552F1A">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7</w:t>
            </w:r>
          </w:p>
        </w:tc>
        <w:tc>
          <w:tcPr>
            <w:tcW w:w="3623" w:type="dxa"/>
            <w:tcBorders>
              <w:top w:val="single" w:color="auto" w:sz="4" w:space="0"/>
              <w:left w:val="single" w:color="auto" w:sz="4" w:space="0"/>
              <w:right w:val="single" w:color="auto" w:sz="4" w:space="0"/>
            </w:tcBorders>
            <w:vAlign w:val="center"/>
          </w:tcPr>
          <w:p w14:paraId="506A605F">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990" w:type="dxa"/>
            <w:tcBorders>
              <w:top w:val="single" w:color="auto" w:sz="4" w:space="0"/>
              <w:left w:val="single" w:color="auto" w:sz="4" w:space="0"/>
              <w:right w:val="single" w:color="auto" w:sz="4" w:space="0"/>
            </w:tcBorders>
            <w:vAlign w:val="center"/>
          </w:tcPr>
          <w:p w14:paraId="07A16C42">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010" w:type="dxa"/>
            <w:tcBorders>
              <w:top w:val="single" w:color="auto" w:sz="4" w:space="0"/>
              <w:left w:val="single" w:color="auto" w:sz="4" w:space="0"/>
              <w:right w:val="single" w:color="auto" w:sz="4" w:space="0"/>
            </w:tcBorders>
            <w:vAlign w:val="center"/>
          </w:tcPr>
          <w:p w14:paraId="6B1271BF">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2030" w:type="dxa"/>
            <w:tcBorders>
              <w:top w:val="single" w:color="auto" w:sz="4" w:space="0"/>
              <w:left w:val="single" w:color="auto" w:sz="4" w:space="0"/>
              <w:right w:val="single" w:color="auto" w:sz="4" w:space="0"/>
            </w:tcBorders>
            <w:vAlign w:val="center"/>
          </w:tcPr>
          <w:p w14:paraId="153F1D9C">
            <w:pPr>
              <w:pageBreakBefore w:val="0"/>
              <w:widowControl w:val="0"/>
              <w:kinsoku/>
              <w:overflowPunct/>
              <w:bidi w:val="0"/>
              <w:snapToGrid w:val="0"/>
              <w:spacing w:line="360" w:lineRule="auto"/>
              <w:jc w:val="center"/>
              <w:rPr>
                <w:rFonts w:hint="eastAsia" w:ascii="宋体" w:eastAsia="宋体"/>
                <w:b w:val="0"/>
                <w:bCs w:val="0"/>
                <w:color w:val="auto"/>
                <w:sz w:val="22"/>
                <w:szCs w:val="22"/>
                <w:highlight w:val="none"/>
              </w:rPr>
            </w:pPr>
          </w:p>
        </w:tc>
        <w:tc>
          <w:tcPr>
            <w:tcW w:w="1039" w:type="dxa"/>
            <w:tcBorders>
              <w:top w:val="single" w:color="auto" w:sz="4" w:space="0"/>
              <w:left w:val="single" w:color="auto" w:sz="4" w:space="0"/>
              <w:right w:val="single" w:color="auto" w:sz="4" w:space="0"/>
            </w:tcBorders>
            <w:vAlign w:val="center"/>
          </w:tcPr>
          <w:p w14:paraId="2A36D28D">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14C9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162" w:type="dxa"/>
            <w:tcBorders>
              <w:top w:val="single" w:color="auto" w:sz="4" w:space="0"/>
              <w:left w:val="single" w:color="auto" w:sz="4" w:space="0"/>
              <w:right w:val="single" w:color="auto" w:sz="4" w:space="0"/>
            </w:tcBorders>
            <w:vAlign w:val="center"/>
          </w:tcPr>
          <w:p w14:paraId="4C7CA7F5">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8</w:t>
            </w:r>
          </w:p>
        </w:tc>
        <w:tc>
          <w:tcPr>
            <w:tcW w:w="3623" w:type="dxa"/>
            <w:tcBorders>
              <w:top w:val="single" w:color="auto" w:sz="4" w:space="0"/>
              <w:left w:val="single" w:color="auto" w:sz="4" w:space="0"/>
              <w:right w:val="single" w:color="auto" w:sz="4" w:space="0"/>
            </w:tcBorders>
            <w:vAlign w:val="center"/>
          </w:tcPr>
          <w:p w14:paraId="2DC4B455">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990" w:type="dxa"/>
            <w:tcBorders>
              <w:top w:val="single" w:color="auto" w:sz="4" w:space="0"/>
              <w:left w:val="single" w:color="auto" w:sz="4" w:space="0"/>
              <w:right w:val="single" w:color="auto" w:sz="4" w:space="0"/>
            </w:tcBorders>
            <w:vAlign w:val="center"/>
          </w:tcPr>
          <w:p w14:paraId="269BE860">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010" w:type="dxa"/>
            <w:tcBorders>
              <w:top w:val="single" w:color="auto" w:sz="4" w:space="0"/>
              <w:left w:val="single" w:color="auto" w:sz="4" w:space="0"/>
              <w:right w:val="single" w:color="auto" w:sz="4" w:space="0"/>
            </w:tcBorders>
            <w:vAlign w:val="center"/>
          </w:tcPr>
          <w:p w14:paraId="493BF8BF">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2030" w:type="dxa"/>
            <w:tcBorders>
              <w:top w:val="single" w:color="auto" w:sz="4" w:space="0"/>
              <w:left w:val="single" w:color="auto" w:sz="4" w:space="0"/>
              <w:right w:val="single" w:color="auto" w:sz="4" w:space="0"/>
            </w:tcBorders>
            <w:vAlign w:val="center"/>
          </w:tcPr>
          <w:p w14:paraId="5B396C18">
            <w:pPr>
              <w:pageBreakBefore w:val="0"/>
              <w:widowControl w:val="0"/>
              <w:kinsoku/>
              <w:overflowPunct/>
              <w:bidi w:val="0"/>
              <w:snapToGrid w:val="0"/>
              <w:spacing w:line="360" w:lineRule="auto"/>
              <w:jc w:val="center"/>
              <w:rPr>
                <w:rFonts w:hint="eastAsia" w:ascii="宋体" w:eastAsia="宋体"/>
                <w:b w:val="0"/>
                <w:bCs w:val="0"/>
                <w:color w:val="auto"/>
                <w:sz w:val="22"/>
                <w:szCs w:val="22"/>
                <w:highlight w:val="none"/>
              </w:rPr>
            </w:pPr>
          </w:p>
        </w:tc>
        <w:tc>
          <w:tcPr>
            <w:tcW w:w="1039" w:type="dxa"/>
            <w:tcBorders>
              <w:top w:val="single" w:color="auto" w:sz="4" w:space="0"/>
              <w:left w:val="single" w:color="auto" w:sz="4" w:space="0"/>
              <w:right w:val="single" w:color="auto" w:sz="4" w:space="0"/>
            </w:tcBorders>
            <w:vAlign w:val="center"/>
          </w:tcPr>
          <w:p w14:paraId="16C90774">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37DD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162" w:type="dxa"/>
            <w:tcBorders>
              <w:top w:val="single" w:color="auto" w:sz="4" w:space="0"/>
              <w:left w:val="single" w:color="auto" w:sz="4" w:space="0"/>
              <w:right w:val="single" w:color="auto" w:sz="4" w:space="0"/>
            </w:tcBorders>
            <w:vAlign w:val="center"/>
          </w:tcPr>
          <w:p w14:paraId="76F3B188">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9</w:t>
            </w:r>
          </w:p>
        </w:tc>
        <w:tc>
          <w:tcPr>
            <w:tcW w:w="3623" w:type="dxa"/>
            <w:tcBorders>
              <w:top w:val="single" w:color="auto" w:sz="4" w:space="0"/>
              <w:left w:val="single" w:color="auto" w:sz="4" w:space="0"/>
              <w:right w:val="single" w:color="auto" w:sz="4" w:space="0"/>
            </w:tcBorders>
            <w:vAlign w:val="center"/>
          </w:tcPr>
          <w:p w14:paraId="5D1AE3D2">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990" w:type="dxa"/>
            <w:tcBorders>
              <w:top w:val="single" w:color="auto" w:sz="4" w:space="0"/>
              <w:left w:val="single" w:color="auto" w:sz="4" w:space="0"/>
              <w:right w:val="single" w:color="auto" w:sz="4" w:space="0"/>
            </w:tcBorders>
            <w:vAlign w:val="center"/>
          </w:tcPr>
          <w:p w14:paraId="1C0EF658">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010" w:type="dxa"/>
            <w:tcBorders>
              <w:top w:val="single" w:color="auto" w:sz="4" w:space="0"/>
              <w:left w:val="single" w:color="auto" w:sz="4" w:space="0"/>
              <w:right w:val="single" w:color="auto" w:sz="4" w:space="0"/>
            </w:tcBorders>
            <w:vAlign w:val="center"/>
          </w:tcPr>
          <w:p w14:paraId="2CB5F9F6">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2030" w:type="dxa"/>
            <w:tcBorders>
              <w:top w:val="single" w:color="auto" w:sz="4" w:space="0"/>
              <w:left w:val="single" w:color="auto" w:sz="4" w:space="0"/>
              <w:right w:val="single" w:color="auto" w:sz="4" w:space="0"/>
            </w:tcBorders>
            <w:vAlign w:val="center"/>
          </w:tcPr>
          <w:p w14:paraId="61C110C5">
            <w:pPr>
              <w:pageBreakBefore w:val="0"/>
              <w:widowControl w:val="0"/>
              <w:kinsoku/>
              <w:overflowPunct/>
              <w:bidi w:val="0"/>
              <w:snapToGrid w:val="0"/>
              <w:spacing w:line="360" w:lineRule="auto"/>
              <w:jc w:val="center"/>
              <w:rPr>
                <w:rFonts w:hint="eastAsia" w:ascii="宋体" w:eastAsia="宋体"/>
                <w:b w:val="0"/>
                <w:bCs w:val="0"/>
                <w:color w:val="auto"/>
                <w:sz w:val="22"/>
                <w:szCs w:val="22"/>
                <w:highlight w:val="none"/>
              </w:rPr>
            </w:pPr>
          </w:p>
        </w:tc>
        <w:tc>
          <w:tcPr>
            <w:tcW w:w="1039" w:type="dxa"/>
            <w:tcBorders>
              <w:top w:val="single" w:color="auto" w:sz="4" w:space="0"/>
              <w:left w:val="single" w:color="auto" w:sz="4" w:space="0"/>
              <w:right w:val="single" w:color="auto" w:sz="4" w:space="0"/>
            </w:tcBorders>
            <w:vAlign w:val="center"/>
          </w:tcPr>
          <w:p w14:paraId="5AFED3AF">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1660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162" w:type="dxa"/>
            <w:tcBorders>
              <w:top w:val="single" w:color="auto" w:sz="4" w:space="0"/>
              <w:left w:val="single" w:color="auto" w:sz="4" w:space="0"/>
              <w:right w:val="single" w:color="auto" w:sz="4" w:space="0"/>
            </w:tcBorders>
            <w:vAlign w:val="center"/>
          </w:tcPr>
          <w:p w14:paraId="20CD7E66">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10</w:t>
            </w:r>
          </w:p>
        </w:tc>
        <w:tc>
          <w:tcPr>
            <w:tcW w:w="3623" w:type="dxa"/>
            <w:tcBorders>
              <w:top w:val="single" w:color="auto" w:sz="4" w:space="0"/>
              <w:left w:val="single" w:color="auto" w:sz="4" w:space="0"/>
              <w:right w:val="single" w:color="auto" w:sz="4" w:space="0"/>
            </w:tcBorders>
            <w:vAlign w:val="center"/>
          </w:tcPr>
          <w:p w14:paraId="2AA22A3E">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990" w:type="dxa"/>
            <w:tcBorders>
              <w:top w:val="single" w:color="auto" w:sz="4" w:space="0"/>
              <w:left w:val="single" w:color="auto" w:sz="4" w:space="0"/>
              <w:right w:val="single" w:color="auto" w:sz="4" w:space="0"/>
            </w:tcBorders>
            <w:vAlign w:val="center"/>
          </w:tcPr>
          <w:p w14:paraId="585ECD16">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010" w:type="dxa"/>
            <w:tcBorders>
              <w:top w:val="single" w:color="auto" w:sz="4" w:space="0"/>
              <w:left w:val="single" w:color="auto" w:sz="4" w:space="0"/>
              <w:right w:val="single" w:color="auto" w:sz="4" w:space="0"/>
            </w:tcBorders>
            <w:vAlign w:val="center"/>
          </w:tcPr>
          <w:p w14:paraId="6FA9B4E4">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2030" w:type="dxa"/>
            <w:tcBorders>
              <w:top w:val="single" w:color="auto" w:sz="4" w:space="0"/>
              <w:left w:val="single" w:color="auto" w:sz="4" w:space="0"/>
              <w:right w:val="single" w:color="auto" w:sz="4" w:space="0"/>
            </w:tcBorders>
            <w:vAlign w:val="center"/>
          </w:tcPr>
          <w:p w14:paraId="7582A4C1">
            <w:pPr>
              <w:pageBreakBefore w:val="0"/>
              <w:widowControl w:val="0"/>
              <w:kinsoku/>
              <w:overflowPunct/>
              <w:bidi w:val="0"/>
              <w:snapToGrid w:val="0"/>
              <w:spacing w:line="360" w:lineRule="auto"/>
              <w:jc w:val="center"/>
              <w:rPr>
                <w:rFonts w:hint="eastAsia" w:ascii="宋体" w:eastAsia="宋体"/>
                <w:b w:val="0"/>
                <w:bCs w:val="0"/>
                <w:color w:val="auto"/>
                <w:sz w:val="22"/>
                <w:szCs w:val="22"/>
                <w:highlight w:val="none"/>
              </w:rPr>
            </w:pPr>
          </w:p>
        </w:tc>
        <w:tc>
          <w:tcPr>
            <w:tcW w:w="1039" w:type="dxa"/>
            <w:tcBorders>
              <w:top w:val="single" w:color="auto" w:sz="4" w:space="0"/>
              <w:left w:val="single" w:color="auto" w:sz="4" w:space="0"/>
              <w:right w:val="single" w:color="auto" w:sz="4" w:space="0"/>
            </w:tcBorders>
            <w:vAlign w:val="center"/>
          </w:tcPr>
          <w:p w14:paraId="381057EF">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26E6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162" w:type="dxa"/>
            <w:tcBorders>
              <w:top w:val="single" w:color="auto" w:sz="4" w:space="0"/>
              <w:left w:val="single" w:color="auto" w:sz="4" w:space="0"/>
              <w:right w:val="single" w:color="auto" w:sz="4" w:space="0"/>
            </w:tcBorders>
            <w:vAlign w:val="center"/>
          </w:tcPr>
          <w:p w14:paraId="777D2A43">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11</w:t>
            </w:r>
          </w:p>
        </w:tc>
        <w:tc>
          <w:tcPr>
            <w:tcW w:w="3623" w:type="dxa"/>
            <w:tcBorders>
              <w:top w:val="single" w:color="auto" w:sz="4" w:space="0"/>
              <w:left w:val="single" w:color="auto" w:sz="4" w:space="0"/>
              <w:right w:val="single" w:color="auto" w:sz="4" w:space="0"/>
            </w:tcBorders>
            <w:vAlign w:val="center"/>
          </w:tcPr>
          <w:p w14:paraId="6A05A065">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990" w:type="dxa"/>
            <w:tcBorders>
              <w:top w:val="single" w:color="auto" w:sz="4" w:space="0"/>
              <w:left w:val="single" w:color="auto" w:sz="4" w:space="0"/>
              <w:right w:val="single" w:color="auto" w:sz="4" w:space="0"/>
            </w:tcBorders>
            <w:vAlign w:val="center"/>
          </w:tcPr>
          <w:p w14:paraId="39470CDC">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010" w:type="dxa"/>
            <w:tcBorders>
              <w:top w:val="single" w:color="auto" w:sz="4" w:space="0"/>
              <w:left w:val="single" w:color="auto" w:sz="4" w:space="0"/>
              <w:right w:val="single" w:color="auto" w:sz="4" w:space="0"/>
            </w:tcBorders>
            <w:vAlign w:val="center"/>
          </w:tcPr>
          <w:p w14:paraId="7954A11B">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2030" w:type="dxa"/>
            <w:tcBorders>
              <w:top w:val="single" w:color="auto" w:sz="4" w:space="0"/>
              <w:left w:val="single" w:color="auto" w:sz="4" w:space="0"/>
              <w:right w:val="single" w:color="auto" w:sz="4" w:space="0"/>
            </w:tcBorders>
            <w:vAlign w:val="center"/>
          </w:tcPr>
          <w:p w14:paraId="1A1DF933">
            <w:pPr>
              <w:pageBreakBefore w:val="0"/>
              <w:widowControl w:val="0"/>
              <w:kinsoku/>
              <w:overflowPunct/>
              <w:bidi w:val="0"/>
              <w:snapToGrid w:val="0"/>
              <w:spacing w:line="360" w:lineRule="auto"/>
              <w:jc w:val="center"/>
              <w:rPr>
                <w:rFonts w:hint="eastAsia" w:ascii="宋体" w:eastAsia="宋体"/>
                <w:b w:val="0"/>
                <w:bCs w:val="0"/>
                <w:color w:val="auto"/>
                <w:sz w:val="22"/>
                <w:szCs w:val="22"/>
                <w:highlight w:val="none"/>
              </w:rPr>
            </w:pPr>
          </w:p>
        </w:tc>
        <w:tc>
          <w:tcPr>
            <w:tcW w:w="1039" w:type="dxa"/>
            <w:tcBorders>
              <w:top w:val="single" w:color="auto" w:sz="4" w:space="0"/>
              <w:left w:val="single" w:color="auto" w:sz="4" w:space="0"/>
              <w:right w:val="single" w:color="auto" w:sz="4" w:space="0"/>
            </w:tcBorders>
            <w:vAlign w:val="center"/>
          </w:tcPr>
          <w:p w14:paraId="2487BAE6">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2550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162" w:type="dxa"/>
            <w:tcBorders>
              <w:top w:val="single" w:color="auto" w:sz="4" w:space="0"/>
              <w:left w:val="single" w:color="auto" w:sz="4" w:space="0"/>
              <w:right w:val="single" w:color="auto" w:sz="4" w:space="0"/>
            </w:tcBorders>
            <w:vAlign w:val="center"/>
          </w:tcPr>
          <w:p w14:paraId="5CE4552C">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12</w:t>
            </w:r>
          </w:p>
        </w:tc>
        <w:tc>
          <w:tcPr>
            <w:tcW w:w="3623" w:type="dxa"/>
            <w:tcBorders>
              <w:top w:val="single" w:color="auto" w:sz="4" w:space="0"/>
              <w:left w:val="single" w:color="auto" w:sz="4" w:space="0"/>
              <w:right w:val="single" w:color="auto" w:sz="4" w:space="0"/>
            </w:tcBorders>
            <w:vAlign w:val="center"/>
          </w:tcPr>
          <w:p w14:paraId="1F39D9A6">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990" w:type="dxa"/>
            <w:tcBorders>
              <w:top w:val="single" w:color="auto" w:sz="4" w:space="0"/>
              <w:left w:val="single" w:color="auto" w:sz="4" w:space="0"/>
              <w:right w:val="single" w:color="auto" w:sz="4" w:space="0"/>
            </w:tcBorders>
            <w:vAlign w:val="center"/>
          </w:tcPr>
          <w:p w14:paraId="71EB3C4D">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010" w:type="dxa"/>
            <w:tcBorders>
              <w:top w:val="single" w:color="auto" w:sz="4" w:space="0"/>
              <w:left w:val="single" w:color="auto" w:sz="4" w:space="0"/>
              <w:right w:val="single" w:color="auto" w:sz="4" w:space="0"/>
            </w:tcBorders>
            <w:vAlign w:val="center"/>
          </w:tcPr>
          <w:p w14:paraId="03B75184">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2030" w:type="dxa"/>
            <w:tcBorders>
              <w:top w:val="single" w:color="auto" w:sz="4" w:space="0"/>
              <w:left w:val="single" w:color="auto" w:sz="4" w:space="0"/>
              <w:right w:val="single" w:color="auto" w:sz="4" w:space="0"/>
            </w:tcBorders>
            <w:vAlign w:val="center"/>
          </w:tcPr>
          <w:p w14:paraId="64E1E062">
            <w:pPr>
              <w:pageBreakBefore w:val="0"/>
              <w:widowControl w:val="0"/>
              <w:kinsoku/>
              <w:overflowPunct/>
              <w:bidi w:val="0"/>
              <w:snapToGrid w:val="0"/>
              <w:spacing w:line="360" w:lineRule="auto"/>
              <w:jc w:val="center"/>
              <w:rPr>
                <w:rFonts w:hint="eastAsia" w:ascii="宋体" w:eastAsia="宋体"/>
                <w:b w:val="0"/>
                <w:bCs w:val="0"/>
                <w:color w:val="auto"/>
                <w:sz w:val="22"/>
                <w:szCs w:val="22"/>
                <w:highlight w:val="none"/>
              </w:rPr>
            </w:pPr>
          </w:p>
        </w:tc>
        <w:tc>
          <w:tcPr>
            <w:tcW w:w="1039" w:type="dxa"/>
            <w:tcBorders>
              <w:top w:val="single" w:color="auto" w:sz="4" w:space="0"/>
              <w:left w:val="single" w:color="auto" w:sz="4" w:space="0"/>
              <w:right w:val="single" w:color="auto" w:sz="4" w:space="0"/>
            </w:tcBorders>
            <w:vAlign w:val="center"/>
          </w:tcPr>
          <w:p w14:paraId="5526CF40">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7FCB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785" w:type="dxa"/>
            <w:gridSpan w:val="4"/>
            <w:tcBorders>
              <w:top w:val="single" w:color="auto" w:sz="4" w:space="0"/>
              <w:left w:val="single" w:color="auto" w:sz="4" w:space="0"/>
              <w:right w:val="single" w:color="auto" w:sz="4" w:space="0"/>
            </w:tcBorders>
            <w:vAlign w:val="center"/>
          </w:tcPr>
          <w:p w14:paraId="105D1975">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合计报价</w:t>
            </w:r>
          </w:p>
        </w:tc>
        <w:tc>
          <w:tcPr>
            <w:tcW w:w="3069" w:type="dxa"/>
            <w:gridSpan w:val="2"/>
            <w:tcBorders>
              <w:top w:val="single" w:color="auto" w:sz="4" w:space="0"/>
              <w:left w:val="single" w:color="auto" w:sz="4" w:space="0"/>
              <w:right w:val="single" w:color="auto" w:sz="4" w:space="0"/>
            </w:tcBorders>
            <w:vAlign w:val="center"/>
          </w:tcPr>
          <w:p w14:paraId="41C7CBDF">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bl>
    <w:p w14:paraId="4A17A398">
      <w:pPr>
        <w:pageBreakBefore w:val="0"/>
        <w:widowControl w:val="0"/>
        <w:kinsoku/>
        <w:overflowPunct/>
        <w:bidi w:val="0"/>
        <w:spacing w:line="360" w:lineRule="auto"/>
        <w:rPr>
          <w:rFonts w:hint="eastAsia" w:ascii="宋体" w:eastAsia="宋体"/>
          <w:b w:val="0"/>
          <w:bCs w:val="0"/>
          <w:color w:val="auto"/>
          <w:sz w:val="22"/>
          <w:szCs w:val="22"/>
          <w:highlight w:val="none"/>
        </w:rPr>
      </w:pPr>
    </w:p>
    <w:p w14:paraId="6EC0BEDC">
      <w:pPr>
        <w:pageBreakBefore w:val="0"/>
        <w:widowControl w:val="0"/>
        <w:kinsoku/>
        <w:overflowPunct/>
        <w:bidi w:val="0"/>
        <w:spacing w:line="360" w:lineRule="auto"/>
        <w:ind w:firstLine="330" w:firstLineChars="15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注：1. </w:t>
      </w:r>
      <w:r>
        <w:rPr>
          <w:rFonts w:hint="eastAsia" w:ascii="宋体" w:eastAsia="宋体"/>
          <w:b w:val="0"/>
          <w:bCs w:val="0"/>
          <w:color w:val="auto"/>
          <w:sz w:val="22"/>
          <w:szCs w:val="22"/>
          <w:highlight w:val="none"/>
        </w:rPr>
        <w:t>合计总价应与附件一“开标一览表”中投标报价相一致。</w:t>
      </w:r>
    </w:p>
    <w:p w14:paraId="45EA4F3E">
      <w:pPr>
        <w:pageBreakBefore w:val="0"/>
        <w:widowControl w:val="0"/>
        <w:kinsoku/>
        <w:overflowPunct/>
        <w:bidi w:val="0"/>
        <w:spacing w:line="360" w:lineRule="auto"/>
        <w:ind w:firstLine="770" w:firstLineChars="35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 本表所列费用为本项目的全部费用，除此外，不允许增加任何费用。</w:t>
      </w:r>
    </w:p>
    <w:p w14:paraId="45079B78">
      <w:pPr>
        <w:pageBreakBefore w:val="0"/>
        <w:widowControl w:val="0"/>
        <w:kinsoku/>
        <w:overflowPunct/>
        <w:bidi w:val="0"/>
        <w:spacing w:line="360" w:lineRule="auto"/>
        <w:ind w:firstLine="770" w:firstLineChars="35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3.不提供此表格的将视为没有实质性响应</w:t>
      </w:r>
      <w:r>
        <w:rPr>
          <w:rFonts w:hint="eastAsia" w:ascii="宋体" w:eastAsia="宋体"/>
          <w:b w:val="0"/>
          <w:bCs w:val="0"/>
          <w:color w:val="auto"/>
          <w:sz w:val="22"/>
          <w:szCs w:val="22"/>
          <w:highlight w:val="none"/>
          <w:lang w:eastAsia="zh-CN"/>
        </w:rPr>
        <w:t>采购</w:t>
      </w:r>
      <w:r>
        <w:rPr>
          <w:rFonts w:hint="eastAsia" w:ascii="宋体" w:eastAsia="宋体"/>
          <w:b w:val="0"/>
          <w:bCs w:val="0"/>
          <w:color w:val="auto"/>
          <w:sz w:val="22"/>
          <w:szCs w:val="22"/>
          <w:highlight w:val="none"/>
        </w:rPr>
        <w:t>文件。</w:t>
      </w:r>
    </w:p>
    <w:p w14:paraId="69E4DC3F">
      <w:pPr>
        <w:pageBreakBefore w:val="0"/>
        <w:widowControl w:val="0"/>
        <w:kinsoku/>
        <w:overflowPunct/>
        <w:bidi w:val="0"/>
        <w:spacing w:line="360" w:lineRule="auto"/>
        <w:ind w:firstLine="770" w:firstLineChars="35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4.本表可在不改变格式的情况下根据具体需要自行增减。</w:t>
      </w:r>
    </w:p>
    <w:p w14:paraId="57B88FE0">
      <w:pPr>
        <w:pStyle w:val="13"/>
        <w:pageBreakBefore w:val="0"/>
        <w:widowControl w:val="0"/>
        <w:kinsoku/>
        <w:overflowPunct/>
        <w:bidi w:val="0"/>
        <w:spacing w:line="360" w:lineRule="auto"/>
        <w:rPr>
          <w:rFonts w:hint="eastAsia" w:ascii="宋体" w:hAnsi="宋体" w:cs="宋体"/>
          <w:b w:val="0"/>
          <w:bCs w:val="0"/>
          <w:color w:val="auto"/>
          <w:highlight w:val="none"/>
        </w:rPr>
      </w:pPr>
    </w:p>
    <w:p w14:paraId="05751B35">
      <w:pPr>
        <w:pStyle w:val="12"/>
        <w:pageBreakBefore w:val="0"/>
        <w:widowControl w:val="0"/>
        <w:kinsoku/>
        <w:overflowPunct/>
        <w:bidi w:val="0"/>
        <w:spacing w:line="360" w:lineRule="auto"/>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投标供应商（盖章）：</w:t>
      </w:r>
    </w:p>
    <w:p w14:paraId="4D41B18B">
      <w:pPr>
        <w:pStyle w:val="12"/>
        <w:pageBreakBefore w:val="0"/>
        <w:widowControl w:val="0"/>
        <w:kinsoku/>
        <w:overflowPunct/>
        <w:bidi w:val="0"/>
        <w:spacing w:line="360" w:lineRule="auto"/>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授权代表签字：</w:t>
      </w:r>
    </w:p>
    <w:p w14:paraId="0EE78531">
      <w:pPr>
        <w:pStyle w:val="12"/>
        <w:pageBreakBefore w:val="0"/>
        <w:widowControl w:val="0"/>
        <w:kinsoku/>
        <w:overflowPunct/>
        <w:bidi w:val="0"/>
        <w:spacing w:line="360" w:lineRule="auto"/>
        <w:rPr>
          <w:rFonts w:hint="eastAsia" w:hAnsi="宋体" w:eastAsia="宋体"/>
          <w:b w:val="0"/>
          <w:bCs w:val="0"/>
          <w:color w:val="auto"/>
          <w:highlight w:val="none"/>
          <w:lang w:val="zh-CN"/>
        </w:rPr>
      </w:pPr>
      <w:r>
        <w:rPr>
          <w:rFonts w:hint="eastAsia" w:hAnsi="宋体" w:eastAsia="宋体"/>
          <w:b w:val="0"/>
          <w:bCs w:val="0"/>
          <w:color w:val="auto"/>
          <w:sz w:val="22"/>
          <w:szCs w:val="22"/>
          <w:highlight w:val="none"/>
        </w:rPr>
        <w:t>日期：</w:t>
      </w:r>
    </w:p>
    <w:p w14:paraId="207BEA96">
      <w:pPr>
        <w:pageBreakBefore w:val="0"/>
        <w:widowControl w:val="0"/>
        <w:kinsoku/>
        <w:overflowPunct/>
        <w:bidi w:val="0"/>
        <w:snapToGrid w:val="0"/>
        <w:spacing w:line="324" w:lineRule="auto"/>
        <w:jc w:val="both"/>
        <w:rPr>
          <w:rFonts w:hint="eastAsia" w:ascii="宋体" w:eastAsia="宋体"/>
          <w:b w:val="0"/>
          <w:bCs w:val="0"/>
          <w:color w:val="auto"/>
          <w:sz w:val="36"/>
          <w:szCs w:val="36"/>
          <w:highlight w:val="none"/>
          <w:lang w:val="zh-CN"/>
        </w:rPr>
      </w:pPr>
    </w:p>
    <w:p w14:paraId="2191FA17">
      <w:pPr>
        <w:pStyle w:val="9"/>
        <w:pageBreakBefore w:val="0"/>
        <w:widowControl w:val="0"/>
        <w:kinsoku/>
        <w:overflowPunct/>
        <w:bidi w:val="0"/>
        <w:spacing w:line="324" w:lineRule="auto"/>
        <w:rPr>
          <w:rFonts w:hint="eastAsia"/>
          <w:color w:val="auto"/>
          <w:highlight w:val="none"/>
          <w:lang w:val="zh-CN"/>
        </w:rPr>
      </w:pPr>
    </w:p>
    <w:p w14:paraId="2E8CF447">
      <w:pPr>
        <w:pageBreakBefore w:val="0"/>
        <w:widowControl w:val="0"/>
        <w:kinsoku/>
        <w:overflowPunct/>
        <w:autoSpaceDE w:val="0"/>
        <w:autoSpaceDN w:val="0"/>
        <w:bidi w:val="0"/>
        <w:adjustRightInd w:val="0"/>
        <w:spacing w:line="324" w:lineRule="auto"/>
        <w:jc w:val="center"/>
        <w:outlineLvl w:val="1"/>
        <w:rPr>
          <w:rFonts w:hint="eastAsia" w:ascii="宋体" w:hAnsi="宋体" w:eastAsia="宋体" w:cs="宋体"/>
          <w:color w:val="auto"/>
          <w:sz w:val="36"/>
          <w:highlight w:val="none"/>
          <w:lang w:val="zh-CN" w:eastAsia="zh-CN"/>
        </w:rPr>
      </w:pPr>
      <w:bookmarkStart w:id="69" w:name="_Toc13314"/>
      <w:r>
        <w:rPr>
          <w:rFonts w:hint="eastAsia" w:ascii="宋体" w:hAnsi="宋体" w:eastAsia="宋体" w:cs="宋体"/>
          <w:color w:val="auto"/>
          <w:sz w:val="36"/>
          <w:highlight w:val="none"/>
          <w:lang w:val="zh-CN" w:eastAsia="zh-CN"/>
        </w:rPr>
        <w:t>三、商务技术文件格式</w:t>
      </w:r>
      <w:bookmarkEnd w:id="69"/>
    </w:p>
    <w:p w14:paraId="6CE8D449">
      <w:pPr>
        <w:pageBreakBefore w:val="0"/>
        <w:widowControl w:val="0"/>
        <w:kinsoku/>
        <w:overflowPunct/>
        <w:autoSpaceDE w:val="0"/>
        <w:autoSpaceDN w:val="0"/>
        <w:bidi w:val="0"/>
        <w:adjustRightInd w:val="0"/>
        <w:spacing w:line="324" w:lineRule="auto"/>
        <w:rPr>
          <w:rFonts w:hint="eastAsia" w:ascii="宋体" w:eastAsia="宋体"/>
          <w:b w:val="0"/>
          <w:bCs w:val="0"/>
          <w:color w:val="auto"/>
          <w:sz w:val="24"/>
          <w:highlight w:val="none"/>
          <w:lang w:val="en-US" w:eastAsia="zh-CN"/>
        </w:rPr>
      </w:pPr>
      <w:r>
        <w:rPr>
          <w:rFonts w:hint="eastAsia" w:ascii="宋体" w:eastAsia="宋体"/>
          <w:b w:val="0"/>
          <w:bCs w:val="0"/>
          <w:color w:val="auto"/>
          <w:sz w:val="30"/>
          <w:szCs w:val="30"/>
          <w:highlight w:val="none"/>
          <w:lang w:val="zh-CN"/>
        </w:rPr>
        <w:t>附件</w:t>
      </w:r>
      <w:r>
        <w:rPr>
          <w:rFonts w:hint="eastAsia" w:ascii="宋体" w:eastAsia="宋体"/>
          <w:b w:val="0"/>
          <w:bCs w:val="0"/>
          <w:color w:val="auto"/>
          <w:sz w:val="30"/>
          <w:szCs w:val="30"/>
          <w:highlight w:val="none"/>
          <w:lang w:val="en-US" w:eastAsia="zh-CN"/>
        </w:rPr>
        <w:t>九</w:t>
      </w:r>
    </w:p>
    <w:p w14:paraId="0AC2CBEA">
      <w:pPr>
        <w:pageBreakBefore w:val="0"/>
        <w:widowControl w:val="0"/>
        <w:kinsoku/>
        <w:overflowPunct/>
        <w:autoSpaceDE w:val="0"/>
        <w:autoSpaceDN w:val="0"/>
        <w:bidi w:val="0"/>
        <w:adjustRightInd w:val="0"/>
        <w:spacing w:line="360" w:lineRule="auto"/>
        <w:jc w:val="center"/>
        <w:rPr>
          <w:rFonts w:hint="eastAsia" w:ascii="宋体" w:eastAsia="宋体"/>
          <w:b w:val="0"/>
          <w:bCs w:val="0"/>
          <w:color w:val="auto"/>
          <w:sz w:val="32"/>
          <w:szCs w:val="32"/>
          <w:highlight w:val="none"/>
          <w:lang w:val="zh-CN"/>
        </w:rPr>
      </w:pPr>
      <w:r>
        <w:rPr>
          <w:rFonts w:hint="eastAsia" w:ascii="宋体" w:eastAsia="宋体"/>
          <w:b w:val="0"/>
          <w:bCs w:val="0"/>
          <w:color w:val="auto"/>
          <w:sz w:val="32"/>
          <w:szCs w:val="32"/>
          <w:highlight w:val="none"/>
          <w:lang w:val="zh-CN"/>
        </w:rPr>
        <w:t>投标函</w:t>
      </w:r>
    </w:p>
    <w:p w14:paraId="3BC333B9">
      <w:pPr>
        <w:pageBreakBefore w:val="0"/>
        <w:widowControl w:val="0"/>
        <w:kinsoku/>
        <w:overflowPunct/>
        <w:bidi w:val="0"/>
        <w:snapToGrid w:val="0"/>
        <w:spacing w:line="360" w:lineRule="auto"/>
        <w:rPr>
          <w:rFonts w:hint="eastAsia" w:ascii="宋体" w:eastAsia="宋体"/>
          <w:b w:val="0"/>
          <w:color w:val="auto"/>
          <w:sz w:val="22"/>
          <w:szCs w:val="22"/>
          <w:highlight w:val="none"/>
        </w:rPr>
      </w:pPr>
      <w:bookmarkStart w:id="70" w:name="_Toc157410897"/>
      <w:r>
        <w:rPr>
          <w:rFonts w:hint="eastAsia" w:ascii="宋体" w:eastAsia="宋体"/>
          <w:b w:val="0"/>
          <w:color w:val="auto"/>
          <w:sz w:val="22"/>
          <w:szCs w:val="22"/>
          <w:highlight w:val="none"/>
        </w:rPr>
        <w:t>致：</w:t>
      </w:r>
      <w:r>
        <w:rPr>
          <w:rFonts w:hint="eastAsia" w:ascii="宋体" w:eastAsia="宋体"/>
          <w:b w:val="0"/>
          <w:color w:val="auto"/>
          <w:sz w:val="22"/>
          <w:szCs w:val="22"/>
          <w:highlight w:val="none"/>
          <w:u w:val="single"/>
        </w:rPr>
        <w:t xml:space="preserve"> （采购人名称） </w:t>
      </w:r>
    </w:p>
    <w:p w14:paraId="3E34DC53">
      <w:pPr>
        <w:pageBreakBefore w:val="0"/>
        <w:widowControl w:val="0"/>
        <w:kinsoku/>
        <w:overflowPunct/>
        <w:bidi w:val="0"/>
        <w:snapToGrid w:val="0"/>
        <w:spacing w:line="360" w:lineRule="auto"/>
        <w:ind w:firstLine="440" w:firstLineChars="200"/>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xml:space="preserve">  </w:t>
      </w:r>
      <w:r>
        <w:rPr>
          <w:rFonts w:hint="eastAsia" w:ascii="宋体" w:eastAsia="宋体"/>
          <w:b w:val="0"/>
          <w:color w:val="auto"/>
          <w:sz w:val="22"/>
          <w:szCs w:val="22"/>
          <w:highlight w:val="none"/>
          <w:u w:val="single"/>
          <w:lang w:val="zh-CN"/>
        </w:rPr>
        <w:t xml:space="preserve">                    </w:t>
      </w:r>
      <w:r>
        <w:rPr>
          <w:rFonts w:hint="eastAsia" w:ascii="宋体" w:eastAsia="宋体"/>
          <w:b w:val="0"/>
          <w:color w:val="auto"/>
          <w:sz w:val="22"/>
          <w:szCs w:val="22"/>
          <w:highlight w:val="none"/>
          <w:lang w:val="zh-CN"/>
        </w:rPr>
        <w:t>（供应商全称）授权</w:t>
      </w:r>
      <w:r>
        <w:rPr>
          <w:rFonts w:hint="eastAsia" w:ascii="宋体" w:eastAsia="宋体"/>
          <w:b w:val="0"/>
          <w:color w:val="auto"/>
          <w:sz w:val="22"/>
          <w:szCs w:val="22"/>
          <w:highlight w:val="none"/>
          <w:u w:val="single"/>
          <w:lang w:val="zh-CN"/>
        </w:rPr>
        <w:t xml:space="preserve">         </w:t>
      </w:r>
      <w:r>
        <w:rPr>
          <w:rFonts w:hint="eastAsia" w:ascii="宋体" w:eastAsia="宋体"/>
          <w:b w:val="0"/>
          <w:color w:val="auto"/>
          <w:sz w:val="22"/>
          <w:szCs w:val="22"/>
          <w:highlight w:val="none"/>
          <w:lang w:val="zh-CN"/>
        </w:rPr>
        <w:t>（授权代表名称）</w:t>
      </w:r>
      <w:r>
        <w:rPr>
          <w:rFonts w:hint="eastAsia" w:ascii="宋体" w:eastAsia="宋体"/>
          <w:b w:val="0"/>
          <w:color w:val="auto"/>
          <w:sz w:val="22"/>
          <w:szCs w:val="22"/>
          <w:highlight w:val="none"/>
          <w:u w:val="single"/>
          <w:lang w:val="zh-CN"/>
        </w:rPr>
        <w:t xml:space="preserve">      </w:t>
      </w:r>
      <w:r>
        <w:rPr>
          <w:rFonts w:hint="eastAsia" w:ascii="宋体" w:eastAsia="宋体"/>
          <w:b w:val="0"/>
          <w:color w:val="auto"/>
          <w:sz w:val="22"/>
          <w:szCs w:val="22"/>
          <w:highlight w:val="none"/>
          <w:lang w:val="zh-CN"/>
        </w:rPr>
        <w:t>（职务、职称）为授权代表，参加采购人组织的</w:t>
      </w:r>
      <w:r>
        <w:rPr>
          <w:rFonts w:hint="eastAsia" w:ascii="宋体" w:eastAsia="宋体"/>
          <w:b w:val="0"/>
          <w:color w:val="auto"/>
          <w:sz w:val="22"/>
          <w:szCs w:val="22"/>
          <w:highlight w:val="none"/>
          <w:u w:val="single"/>
          <w:lang w:val="zh-CN"/>
        </w:rPr>
        <w:t xml:space="preserve">           </w:t>
      </w:r>
      <w:r>
        <w:rPr>
          <w:rFonts w:hint="eastAsia" w:ascii="宋体" w:eastAsia="宋体"/>
          <w:b w:val="0"/>
          <w:color w:val="auto"/>
          <w:sz w:val="22"/>
          <w:szCs w:val="22"/>
          <w:highlight w:val="none"/>
          <w:lang w:val="zh-CN"/>
        </w:rPr>
        <w:t>（采购项目名称）（括号内填报价编号）磋商的有关活动，并对</w:t>
      </w:r>
      <w:r>
        <w:rPr>
          <w:rFonts w:hint="eastAsia" w:ascii="宋体" w:eastAsia="宋体"/>
          <w:b w:val="0"/>
          <w:color w:val="auto"/>
          <w:sz w:val="22"/>
          <w:szCs w:val="22"/>
          <w:highlight w:val="none"/>
          <w:u w:val="single"/>
          <w:lang w:val="zh-CN"/>
        </w:rPr>
        <w:t xml:space="preserve">           </w:t>
      </w:r>
      <w:r>
        <w:rPr>
          <w:rFonts w:hint="eastAsia" w:ascii="宋体" w:eastAsia="宋体"/>
          <w:b w:val="0"/>
          <w:color w:val="auto"/>
          <w:sz w:val="22"/>
          <w:szCs w:val="22"/>
          <w:highlight w:val="none"/>
          <w:lang w:val="zh-CN"/>
        </w:rPr>
        <w:t>项目进行报价。为此：</w:t>
      </w:r>
    </w:p>
    <w:p w14:paraId="71DEB9B5">
      <w:pPr>
        <w:pageBreakBefore w:val="0"/>
        <w:widowControl w:val="0"/>
        <w:kinsoku/>
        <w:overflowPunct/>
        <w:bidi w:val="0"/>
        <w:snapToGrid w:val="0"/>
        <w:spacing w:line="360" w:lineRule="auto"/>
        <w:ind w:firstLine="440" w:firstLineChars="200"/>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rPr>
        <w:t>1、</w:t>
      </w:r>
      <w:r>
        <w:rPr>
          <w:rFonts w:hint="eastAsia" w:ascii="宋体" w:eastAsia="宋体"/>
          <w:b w:val="0"/>
          <w:color w:val="auto"/>
          <w:sz w:val="22"/>
          <w:szCs w:val="22"/>
          <w:highlight w:val="none"/>
          <w:lang w:val="zh-CN"/>
        </w:rPr>
        <w:t>提供磋商须知规定的全部磋商响应文件：</w:t>
      </w:r>
    </w:p>
    <w:p w14:paraId="669C1805">
      <w:pPr>
        <w:pageBreakBefore w:val="0"/>
        <w:widowControl/>
        <w:kinsoku/>
        <w:overflowPunct/>
        <w:autoSpaceDE w:val="0"/>
        <w:autoSpaceDN w:val="0"/>
        <w:bidi w:val="0"/>
        <w:adjustRightInd w:val="0"/>
        <w:snapToGrid w:val="0"/>
        <w:spacing w:line="360" w:lineRule="auto"/>
        <w:ind w:firstLine="440" w:firstLineChars="200"/>
        <w:textAlignment w:val="bottom"/>
        <w:rPr>
          <w:rFonts w:hint="eastAsia" w:ascii="宋体" w:eastAsia="宋体"/>
          <w:color w:val="auto"/>
          <w:sz w:val="22"/>
          <w:szCs w:val="22"/>
          <w:highlight w:val="none"/>
          <w:u w:val="single"/>
        </w:rPr>
      </w:pPr>
      <w:r>
        <w:rPr>
          <w:rFonts w:hint="eastAsia" w:ascii="宋体" w:eastAsia="宋体"/>
          <w:b w:val="0"/>
          <w:color w:val="auto"/>
          <w:sz w:val="22"/>
          <w:szCs w:val="22"/>
          <w:highlight w:val="none"/>
        </w:rPr>
        <w:t>2、</w:t>
      </w:r>
      <w:r>
        <w:rPr>
          <w:rFonts w:hint="eastAsia" w:ascii="宋体" w:eastAsia="宋体"/>
          <w:b w:val="0"/>
          <w:color w:val="auto"/>
          <w:sz w:val="22"/>
          <w:szCs w:val="22"/>
          <w:highlight w:val="none"/>
          <w:lang w:val="zh-CN"/>
        </w:rPr>
        <w:t>我方承诺在合同生效后</w:t>
      </w:r>
      <w:r>
        <w:rPr>
          <w:rFonts w:hint="eastAsia" w:ascii="宋体" w:eastAsia="宋体"/>
          <w:bCs w:val="0"/>
          <w:color w:val="auto"/>
          <w:sz w:val="22"/>
          <w:szCs w:val="22"/>
          <w:highlight w:val="none"/>
          <w:u w:val="single"/>
        </w:rPr>
        <w:t>采购文件</w:t>
      </w:r>
      <w:r>
        <w:rPr>
          <w:rFonts w:hint="eastAsia" w:ascii="宋体" w:eastAsia="宋体"/>
          <w:b w:val="0"/>
          <w:color w:val="auto"/>
          <w:sz w:val="22"/>
          <w:szCs w:val="22"/>
          <w:highlight w:val="none"/>
          <w:lang w:val="zh-CN"/>
        </w:rPr>
        <w:t>内交货并完工通过采购人组织的验收。</w:t>
      </w:r>
    </w:p>
    <w:p w14:paraId="68BDC2F3">
      <w:pPr>
        <w:pageBreakBefore w:val="0"/>
        <w:widowControl w:val="0"/>
        <w:kinsoku/>
        <w:overflowPunct/>
        <w:bidi w:val="0"/>
        <w:snapToGrid w:val="0"/>
        <w:spacing w:line="360" w:lineRule="auto"/>
        <w:ind w:firstLine="440" w:firstLineChars="200"/>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3、保证遵守采购文件中的有关规定和收费标准。</w:t>
      </w:r>
    </w:p>
    <w:p w14:paraId="35EA0D2A">
      <w:pPr>
        <w:pageBreakBefore w:val="0"/>
        <w:widowControl w:val="0"/>
        <w:kinsoku/>
        <w:overflowPunct/>
        <w:bidi w:val="0"/>
        <w:snapToGrid w:val="0"/>
        <w:spacing w:line="360" w:lineRule="auto"/>
        <w:ind w:firstLine="440" w:firstLineChars="200"/>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4、保证忠实地执行采购人、成交供应商双方所签的合同， 并承担合同规定的责任义务。</w:t>
      </w:r>
    </w:p>
    <w:p w14:paraId="29256022">
      <w:pPr>
        <w:pageBreakBefore w:val="0"/>
        <w:widowControl w:val="0"/>
        <w:kinsoku/>
        <w:overflowPunct/>
        <w:bidi w:val="0"/>
        <w:snapToGrid w:val="0"/>
        <w:spacing w:line="360" w:lineRule="auto"/>
        <w:ind w:firstLine="440" w:firstLineChars="200"/>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4105D37A">
      <w:pPr>
        <w:pageBreakBefore w:val="0"/>
        <w:widowControl w:val="0"/>
        <w:kinsoku/>
        <w:overflowPunct/>
        <w:bidi w:val="0"/>
        <w:snapToGrid w:val="0"/>
        <w:spacing w:line="360" w:lineRule="auto"/>
        <w:ind w:firstLine="440" w:firstLineChars="200"/>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6、愿意向贵方提供任何与该项投标有关的数据、情况和技术资料，完全理解贵方不一定接受最低价的投标或收到的任何投标。</w:t>
      </w:r>
    </w:p>
    <w:p w14:paraId="37B51949">
      <w:pPr>
        <w:pageBreakBefore w:val="0"/>
        <w:widowControl w:val="0"/>
        <w:kinsoku/>
        <w:overflowPunct/>
        <w:bidi w:val="0"/>
        <w:snapToGrid w:val="0"/>
        <w:spacing w:line="360" w:lineRule="auto"/>
        <w:ind w:firstLine="440" w:firstLineChars="200"/>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7、利益冲突：近三年内直至目前，我公司与本项目的采购人、采购机构没有任何的隶属关系。</w:t>
      </w:r>
    </w:p>
    <w:p w14:paraId="1EFE132C">
      <w:pPr>
        <w:pageBreakBefore w:val="0"/>
        <w:widowControl w:val="0"/>
        <w:kinsoku/>
        <w:overflowPunct/>
        <w:bidi w:val="0"/>
        <w:snapToGrid w:val="0"/>
        <w:spacing w:line="360" w:lineRule="auto"/>
        <w:ind w:firstLine="440" w:firstLineChars="200"/>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8、我公司没有被浙江省财政厅、温州市财政局及文成县财政局限制参加政府采购活动。</w:t>
      </w:r>
    </w:p>
    <w:p w14:paraId="27FE0D2C">
      <w:pPr>
        <w:pageBreakBefore w:val="0"/>
        <w:widowControl w:val="0"/>
        <w:kinsoku/>
        <w:overflowPunct/>
        <w:bidi w:val="0"/>
        <w:snapToGrid w:val="0"/>
        <w:spacing w:line="360" w:lineRule="auto"/>
        <w:ind w:firstLine="440" w:firstLineChars="200"/>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9、本投标自开标之日起90日历天内有效。</w:t>
      </w:r>
    </w:p>
    <w:p w14:paraId="07BF4FC6">
      <w:pPr>
        <w:pageBreakBefore w:val="0"/>
        <w:widowControl w:val="0"/>
        <w:kinsoku/>
        <w:overflowPunct/>
        <w:bidi w:val="0"/>
        <w:snapToGrid w:val="0"/>
        <w:spacing w:line="360" w:lineRule="auto"/>
        <w:ind w:firstLine="440" w:firstLineChars="200"/>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10、与本投标有关的一切往来通讯请寄：</w:t>
      </w:r>
    </w:p>
    <w:p w14:paraId="55C9C2A6">
      <w:pPr>
        <w:pageBreakBefore w:val="0"/>
        <w:widowControl w:val="0"/>
        <w:kinsoku/>
        <w:overflowPunct/>
        <w:autoSpaceDE w:val="0"/>
        <w:autoSpaceDN w:val="0"/>
        <w:bidi w:val="0"/>
        <w:adjustRightInd w:val="0"/>
        <w:spacing w:line="360" w:lineRule="auto"/>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地址：</w:t>
      </w:r>
      <w:r>
        <w:rPr>
          <w:rFonts w:hint="eastAsia" w:ascii="宋体" w:eastAsia="宋体"/>
          <w:b w:val="0"/>
          <w:color w:val="auto"/>
          <w:sz w:val="22"/>
          <w:szCs w:val="22"/>
          <w:highlight w:val="none"/>
          <w:u w:val="single"/>
          <w:lang w:val="zh-CN"/>
        </w:rPr>
        <w:t xml:space="preserve">                                 </w:t>
      </w:r>
    </w:p>
    <w:p w14:paraId="19379BEE">
      <w:pPr>
        <w:pageBreakBefore w:val="0"/>
        <w:widowControl w:val="0"/>
        <w:kinsoku/>
        <w:overflowPunct/>
        <w:autoSpaceDE w:val="0"/>
        <w:autoSpaceDN w:val="0"/>
        <w:bidi w:val="0"/>
        <w:adjustRightInd w:val="0"/>
        <w:spacing w:line="360" w:lineRule="auto"/>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邮编：</w:t>
      </w:r>
      <w:r>
        <w:rPr>
          <w:rFonts w:hint="eastAsia" w:ascii="宋体" w:eastAsia="宋体"/>
          <w:b w:val="0"/>
          <w:color w:val="auto"/>
          <w:sz w:val="22"/>
          <w:szCs w:val="22"/>
          <w:highlight w:val="none"/>
          <w:u w:val="single"/>
          <w:lang w:val="zh-CN"/>
        </w:rPr>
        <w:t xml:space="preserve">               </w:t>
      </w:r>
      <w:r>
        <w:rPr>
          <w:rFonts w:hint="eastAsia" w:ascii="宋体" w:eastAsia="宋体"/>
          <w:b w:val="0"/>
          <w:color w:val="auto"/>
          <w:sz w:val="22"/>
          <w:szCs w:val="22"/>
          <w:highlight w:val="none"/>
          <w:lang w:val="zh-CN"/>
        </w:rPr>
        <w:t>电话：</w:t>
      </w:r>
      <w:r>
        <w:rPr>
          <w:rFonts w:hint="eastAsia" w:ascii="宋体" w:eastAsia="宋体"/>
          <w:b w:val="0"/>
          <w:color w:val="auto"/>
          <w:sz w:val="22"/>
          <w:szCs w:val="22"/>
          <w:highlight w:val="none"/>
          <w:u w:val="single"/>
          <w:lang w:val="zh-CN"/>
        </w:rPr>
        <w:t xml:space="preserve">                 </w:t>
      </w:r>
      <w:r>
        <w:rPr>
          <w:rFonts w:hint="eastAsia" w:ascii="宋体" w:eastAsia="宋体"/>
          <w:b w:val="0"/>
          <w:color w:val="auto"/>
          <w:sz w:val="22"/>
          <w:szCs w:val="22"/>
          <w:highlight w:val="none"/>
          <w:lang w:val="zh-CN"/>
        </w:rPr>
        <w:t>传真：</w:t>
      </w:r>
      <w:r>
        <w:rPr>
          <w:rFonts w:hint="eastAsia" w:ascii="宋体" w:eastAsia="宋体"/>
          <w:b w:val="0"/>
          <w:color w:val="auto"/>
          <w:sz w:val="22"/>
          <w:szCs w:val="22"/>
          <w:highlight w:val="none"/>
          <w:u w:val="single"/>
          <w:lang w:val="zh-CN"/>
        </w:rPr>
        <w:t xml:space="preserve">                 </w:t>
      </w:r>
    </w:p>
    <w:p w14:paraId="0ED1207B">
      <w:pPr>
        <w:pageBreakBefore w:val="0"/>
        <w:widowControl w:val="0"/>
        <w:kinsoku/>
        <w:overflowPunct/>
        <w:autoSpaceDE w:val="0"/>
        <w:autoSpaceDN w:val="0"/>
        <w:bidi w:val="0"/>
        <w:adjustRightInd w:val="0"/>
        <w:spacing w:line="360" w:lineRule="auto"/>
        <w:ind w:firstLine="1980" w:firstLineChars="900"/>
        <w:rPr>
          <w:rFonts w:hint="eastAsia" w:ascii="宋体" w:eastAsia="宋体"/>
          <w:b w:val="0"/>
          <w:color w:val="auto"/>
          <w:sz w:val="22"/>
          <w:szCs w:val="22"/>
          <w:highlight w:val="none"/>
          <w:lang w:val="zh-CN"/>
        </w:rPr>
      </w:pPr>
    </w:p>
    <w:p w14:paraId="7D00B043">
      <w:pPr>
        <w:pageBreakBefore w:val="0"/>
        <w:widowControl w:val="0"/>
        <w:kinsoku/>
        <w:overflowPunct/>
        <w:autoSpaceDE w:val="0"/>
        <w:autoSpaceDN w:val="0"/>
        <w:bidi w:val="0"/>
        <w:adjustRightInd w:val="0"/>
        <w:spacing w:line="360" w:lineRule="auto"/>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供应商全称（盖章）：</w:t>
      </w:r>
    </w:p>
    <w:p w14:paraId="30621A53">
      <w:pPr>
        <w:pageBreakBefore w:val="0"/>
        <w:widowControl w:val="0"/>
        <w:kinsoku/>
        <w:overflowPunct/>
        <w:autoSpaceDE w:val="0"/>
        <w:autoSpaceDN w:val="0"/>
        <w:bidi w:val="0"/>
        <w:adjustRightInd w:val="0"/>
        <w:spacing w:line="360" w:lineRule="auto"/>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授权代表（签字）：</w:t>
      </w:r>
    </w:p>
    <w:p w14:paraId="31EF630B">
      <w:pPr>
        <w:pageBreakBefore w:val="0"/>
        <w:widowControl w:val="0"/>
        <w:kinsoku/>
        <w:overflowPunct/>
        <w:autoSpaceDE w:val="0"/>
        <w:autoSpaceDN w:val="0"/>
        <w:bidi w:val="0"/>
        <w:adjustRightInd w:val="0"/>
        <w:spacing w:line="360" w:lineRule="auto"/>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日期：</w:t>
      </w:r>
    </w:p>
    <w:p w14:paraId="2C5D3E2D">
      <w:pPr>
        <w:pStyle w:val="9"/>
        <w:pageBreakBefore w:val="0"/>
        <w:widowControl w:val="0"/>
        <w:kinsoku/>
        <w:overflowPunct/>
        <w:bidi w:val="0"/>
        <w:spacing w:line="360" w:lineRule="auto"/>
        <w:rPr>
          <w:rFonts w:hint="eastAsia" w:ascii="宋体" w:hAnsi="宋体" w:cs="宋体"/>
          <w:color w:val="auto"/>
          <w:highlight w:val="none"/>
          <w:lang w:val="zh-CN"/>
        </w:rPr>
      </w:pPr>
    </w:p>
    <w:p w14:paraId="460381E5">
      <w:pPr>
        <w:pStyle w:val="10"/>
        <w:pageBreakBefore w:val="0"/>
        <w:widowControl w:val="0"/>
        <w:kinsoku/>
        <w:overflowPunct/>
        <w:bidi w:val="0"/>
        <w:spacing w:line="324" w:lineRule="auto"/>
        <w:rPr>
          <w:rFonts w:hint="eastAsia" w:ascii="宋体" w:hAnsi="宋体" w:cs="宋体"/>
          <w:color w:val="auto"/>
          <w:highlight w:val="none"/>
          <w:lang w:val="zh-CN"/>
        </w:rPr>
        <w:sectPr>
          <w:pgSz w:w="11906" w:h="16838"/>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14:paraId="2D503A98">
      <w:pPr>
        <w:pStyle w:val="11"/>
        <w:rPr>
          <w:rFonts w:hint="eastAsia"/>
          <w:color w:val="auto"/>
          <w:lang w:val="zh-CN"/>
        </w:rPr>
      </w:pPr>
    </w:p>
    <w:p w14:paraId="44B4F1EE">
      <w:pPr>
        <w:pageBreakBefore w:val="0"/>
        <w:widowControl w:val="0"/>
        <w:kinsoku/>
        <w:overflowPunct/>
        <w:autoSpaceDE w:val="0"/>
        <w:autoSpaceDN w:val="0"/>
        <w:bidi w:val="0"/>
        <w:adjustRightInd w:val="0"/>
        <w:spacing w:line="324" w:lineRule="auto"/>
        <w:outlineLvl w:val="1"/>
        <w:rPr>
          <w:rFonts w:hint="eastAsia" w:ascii="宋体" w:eastAsia="宋体"/>
          <w:b w:val="0"/>
          <w:bCs w:val="0"/>
          <w:color w:val="auto"/>
          <w:sz w:val="32"/>
          <w:highlight w:val="none"/>
          <w:lang w:val="zh-CN" w:eastAsia="zh-CN"/>
        </w:rPr>
      </w:pPr>
      <w:bookmarkStart w:id="71" w:name="_Toc30586"/>
      <w:bookmarkStart w:id="72" w:name="_Toc21429"/>
      <w:r>
        <w:rPr>
          <w:rFonts w:hint="eastAsia" w:ascii="宋体" w:eastAsia="宋体"/>
          <w:b w:val="0"/>
          <w:bCs w:val="0"/>
          <w:color w:val="auto"/>
          <w:sz w:val="32"/>
          <w:highlight w:val="none"/>
          <w:lang w:val="zh-CN"/>
        </w:rPr>
        <w:t>附件</w:t>
      </w:r>
      <w:bookmarkEnd w:id="71"/>
      <w:r>
        <w:rPr>
          <w:rFonts w:hint="eastAsia" w:ascii="宋体" w:eastAsia="宋体"/>
          <w:b w:val="0"/>
          <w:bCs w:val="0"/>
          <w:color w:val="auto"/>
          <w:sz w:val="32"/>
          <w:highlight w:val="none"/>
          <w:lang w:val="en-US" w:eastAsia="zh-CN"/>
        </w:rPr>
        <w:t>十</w:t>
      </w:r>
      <w:bookmarkEnd w:id="72"/>
    </w:p>
    <w:p w14:paraId="412AA669">
      <w:pPr>
        <w:pageBreakBefore w:val="0"/>
        <w:widowControl w:val="0"/>
        <w:kinsoku/>
        <w:overflowPunct/>
        <w:autoSpaceDE w:val="0"/>
        <w:autoSpaceDN w:val="0"/>
        <w:bidi w:val="0"/>
        <w:adjustRightInd w:val="0"/>
        <w:spacing w:line="360" w:lineRule="auto"/>
        <w:jc w:val="center"/>
        <w:rPr>
          <w:rFonts w:hint="eastAsia" w:ascii="宋体" w:hAnsi="宋体" w:eastAsia="宋体" w:cs="宋体"/>
          <w:b w:val="0"/>
          <w:bCs w:val="0"/>
          <w:color w:val="auto"/>
          <w:sz w:val="32"/>
          <w:szCs w:val="32"/>
          <w:highlight w:val="none"/>
          <w:lang w:val="zh-CN"/>
        </w:rPr>
      </w:pPr>
      <w:r>
        <w:rPr>
          <w:rFonts w:hint="eastAsia" w:ascii="宋体" w:hAnsi="宋体" w:eastAsia="宋体" w:cs="宋体"/>
          <w:b w:val="0"/>
          <w:bCs w:val="0"/>
          <w:color w:val="auto"/>
          <w:sz w:val="32"/>
          <w:szCs w:val="32"/>
          <w:highlight w:val="none"/>
          <w:lang w:val="zh-CN"/>
        </w:rPr>
        <w:t>法定代表人授权书</w:t>
      </w:r>
    </w:p>
    <w:p w14:paraId="7A6A7554">
      <w:pPr>
        <w:pageBreakBefore w:val="0"/>
        <w:widowControl w:val="0"/>
        <w:kinsoku/>
        <w:overflowPunct/>
        <w:autoSpaceDE w:val="0"/>
        <w:autoSpaceDN w:val="0"/>
        <w:bidi w:val="0"/>
        <w:adjustRightInd w:val="0"/>
        <w:spacing w:line="360" w:lineRule="auto"/>
        <w:rPr>
          <w:rFonts w:hint="eastAsia" w:ascii="宋体" w:eastAsia="宋体"/>
          <w:b w:val="0"/>
          <w:bCs w:val="0"/>
          <w:color w:val="auto"/>
          <w:sz w:val="22"/>
          <w:szCs w:val="22"/>
          <w:highlight w:val="none"/>
          <w:u w:val="single"/>
          <w:lang w:val="zh-CN"/>
        </w:rPr>
      </w:pPr>
      <w:r>
        <w:rPr>
          <w:rFonts w:hint="eastAsia" w:ascii="宋体" w:eastAsia="宋体"/>
          <w:b w:val="0"/>
          <w:bCs w:val="0"/>
          <w:color w:val="auto"/>
          <w:sz w:val="22"/>
          <w:szCs w:val="22"/>
          <w:highlight w:val="none"/>
          <w:u w:val="single"/>
          <w:lang w:val="zh-CN"/>
        </w:rPr>
        <w:t>温州市生态环境局文成分局</w:t>
      </w:r>
    </w:p>
    <w:p w14:paraId="346313AD">
      <w:pPr>
        <w:pageBreakBefore w:val="0"/>
        <w:widowControl w:val="0"/>
        <w:kinsoku/>
        <w:overflowPunct/>
        <w:autoSpaceDE w:val="0"/>
        <w:autoSpaceDN w:val="0"/>
        <w:bidi w:val="0"/>
        <w:adjustRightInd w:val="0"/>
        <w:spacing w:line="360" w:lineRule="auto"/>
        <w:rPr>
          <w:rFonts w:hint="eastAsia" w:ascii="宋体" w:eastAsia="宋体"/>
          <w:b w:val="0"/>
          <w:bCs w:val="0"/>
          <w:color w:val="auto"/>
          <w:sz w:val="22"/>
          <w:szCs w:val="22"/>
          <w:highlight w:val="none"/>
          <w:u w:val="single"/>
          <w:lang w:val="zh-CN"/>
        </w:rPr>
      </w:pPr>
      <w:r>
        <w:rPr>
          <w:rFonts w:hint="eastAsia" w:ascii="宋体" w:eastAsia="宋体"/>
          <w:b w:val="0"/>
          <w:bCs w:val="0"/>
          <w:color w:val="auto"/>
          <w:sz w:val="22"/>
          <w:szCs w:val="22"/>
          <w:highlight w:val="none"/>
          <w:u w:val="single"/>
          <w:lang w:val="zh-CN"/>
        </w:rPr>
        <w:t>浙江新点项目管理有限公司：</w:t>
      </w:r>
    </w:p>
    <w:p w14:paraId="77CB71E9">
      <w:pPr>
        <w:pageBreakBefore w:val="0"/>
        <w:widowControl w:val="0"/>
        <w:kinsoku/>
        <w:overflowPunct/>
        <w:bidi w:val="0"/>
        <w:snapToGrid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本授权委托书声明：我</w:t>
      </w:r>
      <w:r>
        <w:rPr>
          <w:rFonts w:hint="eastAsia" w:ascii="宋体" w:eastAsia="宋体"/>
          <w:b w:val="0"/>
          <w:bCs w:val="0"/>
          <w:color w:val="auto"/>
          <w:sz w:val="22"/>
          <w:szCs w:val="22"/>
          <w:highlight w:val="none"/>
          <w:u w:val="single"/>
        </w:rPr>
        <w:t xml:space="preserve">   （法定代表人姓名）   </w:t>
      </w:r>
      <w:r>
        <w:rPr>
          <w:rFonts w:hint="eastAsia" w:ascii="宋体" w:eastAsia="宋体"/>
          <w:b w:val="0"/>
          <w:bCs w:val="0"/>
          <w:color w:val="auto"/>
          <w:sz w:val="22"/>
          <w:szCs w:val="22"/>
          <w:highlight w:val="none"/>
        </w:rPr>
        <w:t>系</w:t>
      </w:r>
      <w:r>
        <w:rPr>
          <w:rFonts w:hint="eastAsia" w:ascii="宋体" w:eastAsia="宋体"/>
          <w:b w:val="0"/>
          <w:bCs w:val="0"/>
          <w:color w:val="auto"/>
          <w:sz w:val="22"/>
          <w:szCs w:val="22"/>
          <w:highlight w:val="none"/>
          <w:u w:val="single"/>
        </w:rPr>
        <w:t xml:space="preserve">   （供 应 商 名 称）  </w:t>
      </w:r>
      <w:r>
        <w:rPr>
          <w:rFonts w:hint="eastAsia" w:ascii="宋体" w:eastAsia="宋体"/>
          <w:b w:val="0"/>
          <w:bCs w:val="0"/>
          <w:color w:val="auto"/>
          <w:sz w:val="22"/>
          <w:szCs w:val="22"/>
          <w:highlight w:val="none"/>
        </w:rPr>
        <w:t>的法定代表人，现授权委托</w:t>
      </w:r>
      <w:r>
        <w:rPr>
          <w:rFonts w:hint="eastAsia" w:ascii="宋体" w:eastAsia="宋体"/>
          <w:b w:val="0"/>
          <w:bCs w:val="0"/>
          <w:color w:val="auto"/>
          <w:sz w:val="22"/>
          <w:szCs w:val="22"/>
          <w:highlight w:val="none"/>
          <w:u w:val="single"/>
        </w:rPr>
        <w:t xml:space="preserve">  （单 位 名 称）   </w:t>
      </w:r>
      <w:r>
        <w:rPr>
          <w:rFonts w:hint="eastAsia" w:ascii="宋体" w:eastAsia="宋体"/>
          <w:b w:val="0"/>
          <w:bCs w:val="0"/>
          <w:color w:val="auto"/>
          <w:sz w:val="22"/>
          <w:szCs w:val="22"/>
          <w:highlight w:val="none"/>
        </w:rPr>
        <w:t>的</w:t>
      </w:r>
      <w:r>
        <w:rPr>
          <w:rFonts w:hint="eastAsia" w:ascii="宋体" w:eastAsia="宋体"/>
          <w:b w:val="0"/>
          <w:bCs w:val="0"/>
          <w:color w:val="auto"/>
          <w:sz w:val="22"/>
          <w:szCs w:val="22"/>
          <w:highlight w:val="none"/>
          <w:u w:val="single"/>
        </w:rPr>
        <w:t xml:space="preserve">  （授权代表姓名）  </w:t>
      </w:r>
      <w:r>
        <w:rPr>
          <w:rFonts w:hint="eastAsia" w:ascii="宋体" w:eastAsia="宋体"/>
          <w:b w:val="0"/>
          <w:bCs w:val="0"/>
          <w:color w:val="auto"/>
          <w:sz w:val="22"/>
          <w:szCs w:val="22"/>
          <w:highlight w:val="none"/>
        </w:rPr>
        <w:t>为我公司法定代表人授权代表，参加贵处组织的</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u w:val="single"/>
          <w:lang w:eastAsia="zh-CN"/>
        </w:rPr>
        <w:t>采购</w:t>
      </w:r>
      <w:r>
        <w:rPr>
          <w:rFonts w:hint="eastAsia" w:ascii="宋体" w:eastAsia="宋体"/>
          <w:b w:val="0"/>
          <w:bCs w:val="0"/>
          <w:color w:val="auto"/>
          <w:sz w:val="22"/>
          <w:szCs w:val="22"/>
          <w:highlight w:val="none"/>
          <w:u w:val="single"/>
        </w:rPr>
        <w:t xml:space="preserve">项目名称，括号中填写项目编号）  </w:t>
      </w:r>
      <w:r>
        <w:rPr>
          <w:rFonts w:hint="eastAsia" w:ascii="宋体" w:eastAsia="宋体"/>
          <w:b w:val="0"/>
          <w:bCs w:val="0"/>
          <w:color w:val="auto"/>
          <w:sz w:val="22"/>
          <w:szCs w:val="22"/>
          <w:highlight w:val="none"/>
        </w:rPr>
        <w:t>项目投标，全权处理本次招投标活动中的一切事宜，我承认授权代表全权代表我所签署的本项目的磋商响应文件的内容。</w:t>
      </w:r>
    </w:p>
    <w:p w14:paraId="6DB6E7E7">
      <w:pPr>
        <w:pageBreakBefore w:val="0"/>
        <w:widowControl w:val="0"/>
        <w:kinsoku/>
        <w:overflowPunct/>
        <w:bidi w:val="0"/>
        <w:snapToGrid w:val="0"/>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授权代表无转授权，特此授权。</w:t>
      </w:r>
    </w:p>
    <w:p w14:paraId="6BB619C4">
      <w:pPr>
        <w:pageBreakBefore w:val="0"/>
        <w:widowControl w:val="0"/>
        <w:kinsoku/>
        <w:overflowPunct/>
        <w:bidi w:val="0"/>
        <w:snapToGrid w:val="0"/>
        <w:spacing w:line="360" w:lineRule="auto"/>
        <w:ind w:left="1260"/>
        <w:rPr>
          <w:rFonts w:hint="eastAsia" w:ascii="宋体" w:eastAsia="宋体"/>
          <w:b w:val="0"/>
          <w:bCs w:val="0"/>
          <w:color w:val="auto"/>
          <w:sz w:val="22"/>
          <w:szCs w:val="22"/>
          <w:highlight w:val="none"/>
        </w:rPr>
      </w:pPr>
    </w:p>
    <w:p w14:paraId="38B12E75">
      <w:pPr>
        <w:pageBreakBefore w:val="0"/>
        <w:widowControl w:val="0"/>
        <w:kinsoku/>
        <w:overflowPunct/>
        <w:bidi w:val="0"/>
        <w:snapToGrid w:val="0"/>
        <w:spacing w:line="360" w:lineRule="auto"/>
        <w:ind w:left="2092" w:leftChars="996" w:firstLine="330" w:firstLineChars="150"/>
        <w:rPr>
          <w:rFonts w:hint="eastAsia"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授权代表：</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 xml:space="preserve"> 性别 ：</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 xml:space="preserve"> 年龄：</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 xml:space="preserve"> </w:t>
      </w:r>
    </w:p>
    <w:p w14:paraId="7309EABA">
      <w:pPr>
        <w:pageBreakBefore w:val="0"/>
        <w:widowControl w:val="0"/>
        <w:kinsoku/>
        <w:overflowPunct/>
        <w:bidi w:val="0"/>
        <w:snapToGrid w:val="0"/>
        <w:spacing w:line="360" w:lineRule="auto"/>
        <w:ind w:firstLine="2420" w:firstLineChars="1100"/>
        <w:rPr>
          <w:rFonts w:hint="eastAsia"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详细通讯地址：</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 xml:space="preserve"> 邮政编码：</w:t>
      </w:r>
      <w:r>
        <w:rPr>
          <w:rFonts w:hint="eastAsia" w:ascii="宋体" w:eastAsia="宋体"/>
          <w:b w:val="0"/>
          <w:bCs w:val="0"/>
          <w:color w:val="auto"/>
          <w:sz w:val="22"/>
          <w:szCs w:val="22"/>
          <w:highlight w:val="none"/>
          <w:u w:val="single"/>
        </w:rPr>
        <w:t xml:space="preserve">           </w:t>
      </w:r>
    </w:p>
    <w:p w14:paraId="2721B7C9">
      <w:pPr>
        <w:pageBreakBefore w:val="0"/>
        <w:widowControl w:val="0"/>
        <w:kinsoku/>
        <w:overflowPunct/>
        <w:bidi w:val="0"/>
        <w:snapToGrid w:val="0"/>
        <w:spacing w:line="360" w:lineRule="auto"/>
        <w:ind w:firstLine="2420" w:firstLineChars="1100"/>
        <w:rPr>
          <w:rFonts w:hint="eastAsia"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电话：</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 xml:space="preserve"> 传真：</w:t>
      </w:r>
      <w:r>
        <w:rPr>
          <w:rFonts w:hint="eastAsia" w:ascii="宋体" w:eastAsia="宋体"/>
          <w:b w:val="0"/>
          <w:bCs w:val="0"/>
          <w:color w:val="auto"/>
          <w:sz w:val="22"/>
          <w:szCs w:val="22"/>
          <w:highlight w:val="none"/>
          <w:u w:val="single"/>
        </w:rPr>
        <w:t xml:space="preserve">                      </w:t>
      </w:r>
    </w:p>
    <w:p w14:paraId="64907850">
      <w:pPr>
        <w:pageBreakBefore w:val="0"/>
        <w:widowControl w:val="0"/>
        <w:kinsoku/>
        <w:overflowPunct/>
        <w:bidi w:val="0"/>
        <w:snapToGrid w:val="0"/>
        <w:spacing w:line="360" w:lineRule="auto"/>
        <w:ind w:firstLine="2420" w:firstLineChars="11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w:t>
      </w:r>
      <w:r>
        <w:rPr>
          <w:rFonts w:hint="eastAsia" w:ascii="宋体" w:eastAsia="宋体"/>
          <w:b w:val="0"/>
          <w:bCs w:val="0"/>
          <w:color w:val="auto"/>
          <w:sz w:val="22"/>
          <w:szCs w:val="22"/>
          <w:highlight w:val="none"/>
          <w:u w:val="single"/>
        </w:rPr>
        <w:t xml:space="preserve">                                      （盖章）</w:t>
      </w:r>
    </w:p>
    <w:p w14:paraId="18E25F7A">
      <w:pPr>
        <w:pageBreakBefore w:val="0"/>
        <w:widowControl w:val="0"/>
        <w:kinsoku/>
        <w:overflowPunct/>
        <w:bidi w:val="0"/>
        <w:snapToGrid w:val="0"/>
        <w:spacing w:line="360" w:lineRule="auto"/>
        <w:ind w:right="440" w:firstLine="2420" w:firstLineChars="1100"/>
        <w:jc w:val="both"/>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法定代表人：</w:t>
      </w:r>
      <w:r>
        <w:rPr>
          <w:rFonts w:hint="eastAsia" w:ascii="宋体" w:eastAsia="宋体"/>
          <w:b w:val="0"/>
          <w:bCs w:val="0"/>
          <w:color w:val="auto"/>
          <w:sz w:val="22"/>
          <w:szCs w:val="22"/>
          <w:highlight w:val="none"/>
          <w:u w:val="single"/>
        </w:rPr>
        <w:t xml:space="preserve">                                 （签字或盖章）</w:t>
      </w:r>
    </w:p>
    <w:p w14:paraId="65537025">
      <w:pPr>
        <w:pStyle w:val="12"/>
        <w:pageBreakBefore w:val="0"/>
        <w:widowControl w:val="0"/>
        <w:kinsoku/>
        <w:overflowPunct/>
        <w:bidi w:val="0"/>
        <w:adjustRightInd w:val="0"/>
        <w:snapToGrid w:val="0"/>
        <w:spacing w:line="360" w:lineRule="auto"/>
        <w:ind w:firstLine="2420" w:firstLineChars="11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授权委托日期：</w:t>
      </w:r>
      <w:r>
        <w:rPr>
          <w:rFonts w:hint="eastAsia" w:hAnsi="宋体" w:eastAsia="宋体"/>
          <w:b w:val="0"/>
          <w:bCs w:val="0"/>
          <w:color w:val="auto"/>
          <w:sz w:val="22"/>
          <w:szCs w:val="22"/>
          <w:highlight w:val="none"/>
          <w:u w:val="single"/>
        </w:rPr>
        <w:t xml:space="preserve">     </w:t>
      </w:r>
      <w:r>
        <w:rPr>
          <w:rFonts w:hint="eastAsia" w:hAnsi="宋体" w:eastAsia="宋体"/>
          <w:b w:val="0"/>
          <w:bCs w:val="0"/>
          <w:color w:val="auto"/>
          <w:sz w:val="22"/>
          <w:szCs w:val="22"/>
          <w:highlight w:val="none"/>
        </w:rPr>
        <w:t xml:space="preserve">年 </w:t>
      </w:r>
      <w:r>
        <w:rPr>
          <w:rFonts w:hint="eastAsia" w:hAnsi="宋体" w:eastAsia="宋体"/>
          <w:b w:val="0"/>
          <w:bCs w:val="0"/>
          <w:color w:val="auto"/>
          <w:sz w:val="22"/>
          <w:szCs w:val="22"/>
          <w:highlight w:val="none"/>
          <w:u w:val="single"/>
        </w:rPr>
        <w:t xml:space="preserve">    </w:t>
      </w:r>
      <w:r>
        <w:rPr>
          <w:rFonts w:hint="eastAsia" w:hAnsi="宋体" w:eastAsia="宋体"/>
          <w:b w:val="0"/>
          <w:bCs w:val="0"/>
          <w:color w:val="auto"/>
          <w:sz w:val="22"/>
          <w:szCs w:val="22"/>
          <w:highlight w:val="none"/>
        </w:rPr>
        <w:t>月</w:t>
      </w:r>
      <w:r>
        <w:rPr>
          <w:rFonts w:hint="eastAsia" w:hAnsi="宋体" w:eastAsia="宋体"/>
          <w:b w:val="0"/>
          <w:bCs w:val="0"/>
          <w:color w:val="auto"/>
          <w:sz w:val="22"/>
          <w:szCs w:val="22"/>
          <w:highlight w:val="none"/>
          <w:u w:val="single"/>
        </w:rPr>
        <w:t xml:space="preserve">     </w:t>
      </w:r>
      <w:r>
        <w:rPr>
          <w:rFonts w:hint="eastAsia" w:hAnsi="宋体" w:eastAsia="宋体"/>
          <w:b w:val="0"/>
          <w:bCs w:val="0"/>
          <w:color w:val="auto"/>
          <w:sz w:val="22"/>
          <w:szCs w:val="22"/>
          <w:highlight w:val="none"/>
        </w:rPr>
        <w:t>日</w:t>
      </w:r>
    </w:p>
    <w:tbl>
      <w:tblPr>
        <w:tblStyle w:val="23"/>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37DC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14:paraId="4ED4D1DC">
            <w:pPr>
              <w:pStyle w:val="12"/>
              <w:pageBreakBefore w:val="0"/>
              <w:widowControl w:val="0"/>
              <w:kinsoku/>
              <w:overflowPunct/>
              <w:bidi w:val="0"/>
              <w:spacing w:line="360" w:lineRule="auto"/>
              <w:jc w:val="center"/>
              <w:rPr>
                <w:rFonts w:hint="eastAsia" w:hAnsi="宋体" w:eastAsia="宋体"/>
                <w:b w:val="0"/>
                <w:bCs w:val="0"/>
                <w:color w:val="auto"/>
                <w:sz w:val="36"/>
                <w:szCs w:val="22"/>
                <w:highlight w:val="none"/>
              </w:rPr>
            </w:pPr>
            <w:r>
              <w:rPr>
                <w:rFonts w:hint="eastAsia" w:hAnsi="宋体" w:eastAsia="宋体"/>
                <w:b w:val="0"/>
                <w:bCs w:val="0"/>
                <w:color w:val="auto"/>
                <w:sz w:val="36"/>
                <w:szCs w:val="22"/>
                <w:highlight w:val="none"/>
              </w:rPr>
              <w:t>粘贴授权代表身份证复印件或影印件</w:t>
            </w:r>
          </w:p>
        </w:tc>
      </w:tr>
    </w:tbl>
    <w:p w14:paraId="3C3B0A0B">
      <w:pPr>
        <w:pStyle w:val="12"/>
        <w:pageBreakBefore w:val="0"/>
        <w:widowControl w:val="0"/>
        <w:kinsoku/>
        <w:overflowPunct/>
        <w:bidi w:val="0"/>
        <w:adjustRightInd w:val="0"/>
        <w:snapToGrid w:val="0"/>
        <w:spacing w:line="360" w:lineRule="auto"/>
        <w:jc w:val="both"/>
        <w:rPr>
          <w:rFonts w:hint="eastAsia" w:hAnsi="宋体" w:eastAsia="宋体"/>
          <w:b w:val="0"/>
          <w:bCs w:val="0"/>
          <w:color w:val="auto"/>
          <w:sz w:val="22"/>
          <w:szCs w:val="22"/>
          <w:highlight w:val="none"/>
        </w:rPr>
      </w:pPr>
    </w:p>
    <w:p w14:paraId="42D6BEE1">
      <w:pPr>
        <w:pStyle w:val="12"/>
        <w:pageBreakBefore w:val="0"/>
        <w:widowControl w:val="0"/>
        <w:kinsoku/>
        <w:overflowPunct/>
        <w:bidi w:val="0"/>
        <w:snapToGrid w:val="0"/>
        <w:spacing w:line="360" w:lineRule="auto"/>
        <w:rPr>
          <w:rFonts w:hint="eastAsia" w:hAnsi="宋体" w:eastAsia="宋体"/>
          <w:b w:val="0"/>
          <w:bCs w:val="0"/>
          <w:color w:val="auto"/>
          <w:sz w:val="22"/>
          <w:szCs w:val="22"/>
          <w:highlight w:val="none"/>
          <w:u w:val="thick"/>
        </w:rPr>
      </w:pPr>
    </w:p>
    <w:p w14:paraId="4E345E42">
      <w:pPr>
        <w:pStyle w:val="12"/>
        <w:pageBreakBefore w:val="0"/>
        <w:widowControl w:val="0"/>
        <w:kinsoku/>
        <w:overflowPunct/>
        <w:bidi w:val="0"/>
        <w:snapToGrid w:val="0"/>
        <w:spacing w:line="360" w:lineRule="auto"/>
        <w:rPr>
          <w:rFonts w:hint="eastAsia" w:hAnsi="宋体" w:eastAsia="宋体"/>
          <w:b w:val="0"/>
          <w:bCs w:val="0"/>
          <w:color w:val="auto"/>
          <w:sz w:val="22"/>
          <w:szCs w:val="22"/>
          <w:highlight w:val="none"/>
          <w:u w:val="thick"/>
        </w:rPr>
      </w:pPr>
    </w:p>
    <w:p w14:paraId="2F668407">
      <w:pPr>
        <w:pStyle w:val="12"/>
        <w:pageBreakBefore w:val="0"/>
        <w:widowControl w:val="0"/>
        <w:kinsoku/>
        <w:overflowPunct/>
        <w:bidi w:val="0"/>
        <w:snapToGrid w:val="0"/>
        <w:spacing w:line="360" w:lineRule="auto"/>
        <w:rPr>
          <w:rFonts w:hint="eastAsia" w:hAnsi="宋体" w:eastAsia="宋体"/>
          <w:b w:val="0"/>
          <w:bCs w:val="0"/>
          <w:color w:val="auto"/>
          <w:sz w:val="22"/>
          <w:szCs w:val="22"/>
          <w:highlight w:val="none"/>
          <w:u w:val="thick"/>
        </w:rPr>
      </w:pPr>
    </w:p>
    <w:p w14:paraId="40C624D7">
      <w:pPr>
        <w:pStyle w:val="12"/>
        <w:pageBreakBefore w:val="0"/>
        <w:widowControl w:val="0"/>
        <w:kinsoku/>
        <w:overflowPunct/>
        <w:bidi w:val="0"/>
        <w:adjustRightInd w:val="0"/>
        <w:snapToGrid w:val="0"/>
        <w:spacing w:line="360" w:lineRule="auto"/>
        <w:rPr>
          <w:rFonts w:hint="eastAsia" w:hAnsi="宋体" w:eastAsia="宋体"/>
          <w:b w:val="0"/>
          <w:bCs w:val="0"/>
          <w:color w:val="auto"/>
          <w:sz w:val="22"/>
          <w:highlight w:val="none"/>
        </w:rPr>
      </w:pPr>
    </w:p>
    <w:tbl>
      <w:tblPr>
        <w:tblStyle w:val="23"/>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5447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14:paraId="2895ECEC">
            <w:pPr>
              <w:pStyle w:val="12"/>
              <w:pageBreakBefore w:val="0"/>
              <w:widowControl w:val="0"/>
              <w:kinsoku/>
              <w:overflowPunct/>
              <w:bidi w:val="0"/>
              <w:spacing w:line="360" w:lineRule="auto"/>
              <w:jc w:val="center"/>
              <w:rPr>
                <w:rFonts w:hint="eastAsia" w:hAnsi="宋体" w:eastAsia="宋体"/>
                <w:b w:val="0"/>
                <w:bCs w:val="0"/>
                <w:color w:val="auto"/>
                <w:sz w:val="36"/>
                <w:szCs w:val="22"/>
                <w:highlight w:val="none"/>
              </w:rPr>
            </w:pPr>
            <w:r>
              <w:rPr>
                <w:rFonts w:hint="eastAsia" w:hAnsi="宋体" w:eastAsia="宋体"/>
                <w:b w:val="0"/>
                <w:bCs w:val="0"/>
                <w:color w:val="auto"/>
                <w:sz w:val="36"/>
                <w:szCs w:val="22"/>
                <w:highlight w:val="none"/>
              </w:rPr>
              <w:t>粘贴法定代表人身份证复印件或影印件</w:t>
            </w:r>
          </w:p>
        </w:tc>
      </w:tr>
    </w:tbl>
    <w:p w14:paraId="3AE6B281">
      <w:pPr>
        <w:pageBreakBefore w:val="0"/>
        <w:widowControl w:val="0"/>
        <w:kinsoku/>
        <w:overflowPunct/>
        <w:autoSpaceDE w:val="0"/>
        <w:autoSpaceDN w:val="0"/>
        <w:bidi w:val="0"/>
        <w:adjustRightInd w:val="0"/>
        <w:spacing w:line="360" w:lineRule="auto"/>
        <w:rPr>
          <w:rFonts w:hint="eastAsia" w:ascii="宋体" w:eastAsia="宋体"/>
          <w:b w:val="0"/>
          <w:bCs w:val="0"/>
          <w:color w:val="auto"/>
          <w:sz w:val="30"/>
          <w:szCs w:val="30"/>
          <w:highlight w:val="none"/>
          <w:lang w:val="zh-CN"/>
        </w:rPr>
      </w:pPr>
    </w:p>
    <w:bookmarkEnd w:id="70"/>
    <w:p w14:paraId="5F10EEF3">
      <w:pPr>
        <w:pStyle w:val="12"/>
        <w:pageBreakBefore w:val="0"/>
        <w:widowControl w:val="0"/>
        <w:kinsoku/>
        <w:overflowPunct/>
        <w:bidi w:val="0"/>
        <w:snapToGrid w:val="0"/>
        <w:spacing w:line="360" w:lineRule="auto"/>
        <w:rPr>
          <w:rFonts w:hint="eastAsia" w:hAnsi="宋体" w:eastAsia="宋体"/>
          <w:b w:val="0"/>
          <w:bCs w:val="0"/>
          <w:color w:val="auto"/>
          <w:sz w:val="32"/>
          <w:highlight w:val="none"/>
        </w:rPr>
      </w:pPr>
    </w:p>
    <w:p w14:paraId="7FFD5F56">
      <w:pPr>
        <w:pStyle w:val="12"/>
        <w:pageBreakBefore w:val="0"/>
        <w:widowControl w:val="0"/>
        <w:kinsoku/>
        <w:overflowPunct/>
        <w:bidi w:val="0"/>
        <w:snapToGrid w:val="0"/>
        <w:spacing w:line="360" w:lineRule="auto"/>
        <w:rPr>
          <w:rFonts w:hint="eastAsia" w:hAnsi="宋体" w:eastAsia="宋体"/>
          <w:b w:val="0"/>
          <w:bCs w:val="0"/>
          <w:color w:val="auto"/>
          <w:sz w:val="32"/>
          <w:highlight w:val="none"/>
        </w:rPr>
      </w:pPr>
    </w:p>
    <w:p w14:paraId="3014EEA6">
      <w:pPr>
        <w:pStyle w:val="12"/>
        <w:pageBreakBefore w:val="0"/>
        <w:widowControl w:val="0"/>
        <w:kinsoku/>
        <w:overflowPunct/>
        <w:bidi w:val="0"/>
        <w:snapToGrid w:val="0"/>
        <w:spacing w:line="360" w:lineRule="auto"/>
        <w:rPr>
          <w:rFonts w:hint="eastAsia" w:hAnsi="宋体" w:eastAsia="宋体"/>
          <w:b w:val="0"/>
          <w:bCs w:val="0"/>
          <w:color w:val="auto"/>
          <w:sz w:val="32"/>
          <w:highlight w:val="none"/>
        </w:rPr>
      </w:pPr>
    </w:p>
    <w:p w14:paraId="4BA8E678">
      <w:pPr>
        <w:rPr>
          <w:rFonts w:hint="eastAsia" w:hAnsi="宋体" w:eastAsia="宋体"/>
          <w:b w:val="0"/>
          <w:bCs w:val="0"/>
          <w:color w:val="auto"/>
          <w:sz w:val="32"/>
          <w:highlight w:val="none"/>
        </w:rPr>
      </w:pPr>
    </w:p>
    <w:p w14:paraId="1E72B34D">
      <w:pPr>
        <w:pStyle w:val="2"/>
        <w:rPr>
          <w:rFonts w:hint="eastAsia"/>
          <w:color w:val="auto"/>
          <w:highlight w:val="none"/>
        </w:rPr>
      </w:pPr>
    </w:p>
    <w:p w14:paraId="45626FDB">
      <w:pPr>
        <w:pageBreakBefore w:val="0"/>
        <w:widowControl w:val="0"/>
        <w:kinsoku/>
        <w:overflowPunct/>
        <w:autoSpaceDE w:val="0"/>
        <w:autoSpaceDN w:val="0"/>
        <w:bidi w:val="0"/>
        <w:adjustRightInd w:val="0"/>
        <w:spacing w:line="360" w:lineRule="auto"/>
        <w:rPr>
          <w:rFonts w:hint="eastAsia" w:ascii="宋体" w:eastAsia="宋体"/>
          <w:b w:val="0"/>
          <w:color w:val="auto"/>
          <w:sz w:val="30"/>
          <w:szCs w:val="30"/>
          <w:highlight w:val="none"/>
          <w:lang w:val="zh-CN"/>
        </w:rPr>
      </w:pPr>
    </w:p>
    <w:p w14:paraId="418BDFA5">
      <w:pPr>
        <w:pageBreakBefore w:val="0"/>
        <w:widowControl w:val="0"/>
        <w:kinsoku/>
        <w:overflowPunct/>
        <w:bidi w:val="0"/>
        <w:snapToGrid w:val="0"/>
        <w:spacing w:line="324" w:lineRule="auto"/>
        <w:rPr>
          <w:rFonts w:hint="eastAsia" w:ascii="宋体" w:eastAsia="宋体"/>
          <w:b w:val="0"/>
          <w:bCs w:val="0"/>
          <w:color w:val="auto"/>
          <w:sz w:val="30"/>
          <w:szCs w:val="30"/>
          <w:highlight w:val="none"/>
          <w:lang w:val="en-US" w:eastAsia="zh-CN"/>
        </w:rPr>
      </w:pPr>
      <w:r>
        <w:rPr>
          <w:rFonts w:hint="eastAsia" w:ascii="宋体" w:eastAsia="宋体"/>
          <w:b w:val="0"/>
          <w:bCs w:val="0"/>
          <w:color w:val="auto"/>
          <w:sz w:val="30"/>
          <w:szCs w:val="30"/>
          <w:highlight w:val="none"/>
        </w:rPr>
        <w:t>附件十</w:t>
      </w:r>
      <w:r>
        <w:rPr>
          <w:rFonts w:hint="eastAsia" w:ascii="宋体" w:eastAsia="宋体"/>
          <w:b w:val="0"/>
          <w:bCs w:val="0"/>
          <w:color w:val="auto"/>
          <w:sz w:val="32"/>
          <w:highlight w:val="none"/>
          <w:lang w:val="en-US" w:eastAsia="zh-CN"/>
        </w:rPr>
        <w:t>一</w:t>
      </w:r>
    </w:p>
    <w:p w14:paraId="00F00E37">
      <w:pPr>
        <w:pageBreakBefore w:val="0"/>
        <w:widowControl w:val="0"/>
        <w:kinsoku/>
        <w:overflowPunct/>
        <w:autoSpaceDE w:val="0"/>
        <w:autoSpaceDN w:val="0"/>
        <w:bidi w:val="0"/>
        <w:adjustRightInd w:val="0"/>
        <w:spacing w:line="360" w:lineRule="auto"/>
        <w:jc w:val="center"/>
        <w:rPr>
          <w:rFonts w:hint="eastAsia" w:ascii="宋体" w:hAnsi="宋体" w:eastAsia="宋体" w:cs="宋体"/>
          <w:b w:val="0"/>
          <w:bCs w:val="0"/>
          <w:color w:val="auto"/>
          <w:sz w:val="32"/>
          <w:szCs w:val="32"/>
          <w:highlight w:val="none"/>
          <w:lang w:val="zh-CN"/>
        </w:rPr>
      </w:pPr>
      <w:r>
        <w:rPr>
          <w:rFonts w:hint="eastAsia" w:ascii="宋体" w:hAnsi="宋体" w:eastAsia="宋体" w:cs="宋体"/>
          <w:b w:val="0"/>
          <w:bCs w:val="0"/>
          <w:color w:val="auto"/>
          <w:sz w:val="32"/>
          <w:szCs w:val="32"/>
          <w:highlight w:val="none"/>
          <w:lang w:val="zh-CN"/>
        </w:rPr>
        <w:t>法定代表人诚信投标承诺书</w:t>
      </w:r>
    </w:p>
    <w:p w14:paraId="58F80DCA">
      <w:pPr>
        <w:pageBreakBefore w:val="0"/>
        <w:widowControl w:val="0"/>
        <w:kinsoku/>
        <w:overflowPunct/>
        <w:bidi w:val="0"/>
        <w:spacing w:line="360" w:lineRule="auto"/>
        <w:jc w:val="left"/>
        <w:rPr>
          <w:rFonts w:hint="eastAsia" w:ascii="宋体" w:eastAsia="宋体"/>
          <w:b w:val="0"/>
          <w:bCs w:val="0"/>
          <w:color w:val="auto"/>
          <w:sz w:val="22"/>
          <w:highlight w:val="none"/>
        </w:rPr>
      </w:pPr>
      <w:r>
        <w:rPr>
          <w:rFonts w:hint="eastAsia" w:ascii="宋体" w:eastAsia="宋体"/>
          <w:b w:val="0"/>
          <w:bCs w:val="0"/>
          <w:color w:val="auto"/>
          <w:sz w:val="22"/>
          <w:highlight w:val="none"/>
        </w:rPr>
        <w:t>本人以企业法定代表人的身份郑重承诺：</w:t>
      </w:r>
    </w:p>
    <w:p w14:paraId="7444428A">
      <w:pPr>
        <w:pageBreakBefore w:val="0"/>
        <w:widowControl w:val="0"/>
        <w:kinsoku/>
        <w:overflowPunct/>
        <w:bidi w:val="0"/>
        <w:spacing w:line="360" w:lineRule="auto"/>
        <w:ind w:firstLine="440" w:firstLineChars="200"/>
        <w:jc w:val="left"/>
        <w:rPr>
          <w:rFonts w:hint="eastAsia" w:ascii="宋体" w:eastAsia="宋体"/>
          <w:b w:val="0"/>
          <w:bCs w:val="0"/>
          <w:color w:val="auto"/>
          <w:sz w:val="22"/>
          <w:highlight w:val="none"/>
        </w:rPr>
      </w:pPr>
      <w:r>
        <w:rPr>
          <w:rFonts w:hint="eastAsia" w:ascii="宋体" w:eastAsia="宋体"/>
          <w:b w:val="0"/>
          <w:bCs w:val="0"/>
          <w:color w:val="auto"/>
          <w:sz w:val="22"/>
          <w:highlight w:val="none"/>
        </w:rPr>
        <w:t>将遵循公开、公平、公正和诚信信用的原则参加</w:t>
      </w:r>
      <w:r>
        <w:rPr>
          <w:rFonts w:hint="eastAsia" w:ascii="宋体" w:eastAsia="宋体"/>
          <w:b w:val="0"/>
          <w:bCs w:val="0"/>
          <w:color w:val="auto"/>
          <w:sz w:val="22"/>
          <w:highlight w:val="none"/>
          <w:u w:val="single"/>
        </w:rPr>
        <w:t xml:space="preserve">              项目（</w:t>
      </w:r>
      <w:r>
        <w:rPr>
          <w:rFonts w:hint="eastAsia" w:ascii="宋体" w:eastAsia="宋体"/>
          <w:b w:val="0"/>
          <w:bCs w:val="0"/>
          <w:color w:val="auto"/>
          <w:sz w:val="22"/>
          <w:highlight w:val="none"/>
          <w:u w:val="single"/>
          <w:lang w:eastAsia="zh-CN"/>
        </w:rPr>
        <w:t>采购</w:t>
      </w:r>
      <w:r>
        <w:rPr>
          <w:rFonts w:hint="eastAsia" w:ascii="宋体" w:eastAsia="宋体"/>
          <w:b w:val="0"/>
          <w:bCs w:val="0"/>
          <w:color w:val="auto"/>
          <w:sz w:val="22"/>
          <w:highlight w:val="none"/>
          <w:u w:val="single"/>
        </w:rPr>
        <w:t>编号：   ）</w:t>
      </w:r>
      <w:r>
        <w:rPr>
          <w:rFonts w:hint="eastAsia" w:ascii="宋体" w:eastAsia="宋体"/>
          <w:b w:val="0"/>
          <w:bCs w:val="0"/>
          <w:color w:val="auto"/>
          <w:sz w:val="22"/>
          <w:highlight w:val="none"/>
        </w:rPr>
        <w:t>的投标；</w:t>
      </w:r>
    </w:p>
    <w:p w14:paraId="47DE9715">
      <w:pPr>
        <w:pageBreakBefore w:val="0"/>
        <w:widowControl w:val="0"/>
        <w:kinsoku/>
        <w:overflowPunct/>
        <w:bidi w:val="0"/>
        <w:spacing w:line="360" w:lineRule="auto"/>
        <w:ind w:firstLine="440" w:firstLineChars="200"/>
        <w:jc w:val="left"/>
        <w:rPr>
          <w:rFonts w:hint="eastAsia" w:ascii="宋体" w:eastAsia="宋体"/>
          <w:b w:val="0"/>
          <w:bCs w:val="0"/>
          <w:color w:val="auto"/>
          <w:sz w:val="22"/>
          <w:highlight w:val="none"/>
          <w:u w:val="single"/>
        </w:rPr>
      </w:pPr>
      <w:r>
        <w:rPr>
          <w:rFonts w:hint="eastAsia" w:ascii="宋体" w:eastAsia="宋体"/>
          <w:b w:val="0"/>
          <w:bCs w:val="0"/>
          <w:color w:val="auto"/>
          <w:sz w:val="22"/>
          <w:highlight w:val="none"/>
        </w:rPr>
        <w:t>一、杜绝以收取管理费等形式的一切挂靠、违法转包、分包行为；并选派有丰富经验、无不良行为记录的项目管理人员、技术人员，严格按磋商文件、磋商响应文件及合同等要求保证拟派人员的到岗率。</w:t>
      </w:r>
    </w:p>
    <w:p w14:paraId="0EFB18D8">
      <w:pPr>
        <w:pageBreakBefore w:val="0"/>
        <w:widowControl w:val="0"/>
        <w:kinsoku/>
        <w:overflowPunct/>
        <w:bidi w:val="0"/>
        <w:spacing w:line="360" w:lineRule="auto"/>
        <w:ind w:firstLine="440" w:firstLineChars="200"/>
        <w:jc w:val="left"/>
        <w:outlineLvl w:val="1"/>
        <w:rPr>
          <w:rFonts w:hint="eastAsia" w:ascii="宋体" w:eastAsia="宋体"/>
          <w:b w:val="0"/>
          <w:bCs w:val="0"/>
          <w:color w:val="auto"/>
          <w:sz w:val="22"/>
          <w:highlight w:val="none"/>
        </w:rPr>
      </w:pPr>
      <w:bookmarkStart w:id="73" w:name="_Toc22413"/>
      <w:bookmarkStart w:id="74" w:name="_Toc6130"/>
      <w:r>
        <w:rPr>
          <w:rFonts w:hint="eastAsia" w:ascii="宋体" w:eastAsia="宋体"/>
          <w:b w:val="0"/>
          <w:bCs w:val="0"/>
          <w:color w:val="auto"/>
          <w:sz w:val="22"/>
          <w:highlight w:val="none"/>
        </w:rPr>
        <w:t>二、磋商响应文件所提供的一切材料都是真实、有效、合法的。</w:t>
      </w:r>
      <w:bookmarkEnd w:id="73"/>
      <w:bookmarkEnd w:id="74"/>
    </w:p>
    <w:p w14:paraId="42F2995A">
      <w:pPr>
        <w:pageBreakBefore w:val="0"/>
        <w:widowControl w:val="0"/>
        <w:kinsoku/>
        <w:overflowPunct/>
        <w:bidi w:val="0"/>
        <w:spacing w:line="360" w:lineRule="auto"/>
        <w:ind w:firstLine="440" w:firstLineChars="200"/>
        <w:jc w:val="left"/>
        <w:rPr>
          <w:rFonts w:hint="eastAsia" w:ascii="宋体" w:eastAsia="宋体"/>
          <w:b w:val="0"/>
          <w:bCs w:val="0"/>
          <w:color w:val="auto"/>
          <w:sz w:val="22"/>
          <w:highlight w:val="none"/>
        </w:rPr>
      </w:pPr>
      <w:r>
        <w:rPr>
          <w:rFonts w:hint="eastAsia" w:ascii="宋体" w:eastAsia="宋体"/>
          <w:b w:val="0"/>
          <w:bCs w:val="0"/>
          <w:color w:val="auto"/>
          <w:sz w:val="22"/>
          <w:highlight w:val="none"/>
        </w:rPr>
        <w:t>三、不与其他投标人相互串通投标报价，不排挤其他投标人的公平竞争，不损害</w:t>
      </w:r>
      <w:r>
        <w:rPr>
          <w:rFonts w:hint="eastAsia" w:ascii="宋体" w:eastAsia="宋体"/>
          <w:b w:val="0"/>
          <w:bCs w:val="0"/>
          <w:color w:val="auto"/>
          <w:sz w:val="22"/>
          <w:highlight w:val="none"/>
          <w:lang w:eastAsia="zh-CN"/>
        </w:rPr>
        <w:t>采购</w:t>
      </w:r>
      <w:r>
        <w:rPr>
          <w:rFonts w:hint="eastAsia" w:ascii="宋体" w:eastAsia="宋体"/>
          <w:b w:val="0"/>
          <w:bCs w:val="0"/>
          <w:color w:val="auto"/>
          <w:sz w:val="22"/>
          <w:highlight w:val="none"/>
        </w:rPr>
        <w:t>人或其他投标人的合法权益。</w:t>
      </w:r>
    </w:p>
    <w:p w14:paraId="36101626">
      <w:pPr>
        <w:pageBreakBefore w:val="0"/>
        <w:widowControl w:val="0"/>
        <w:kinsoku/>
        <w:overflowPunct/>
        <w:bidi w:val="0"/>
        <w:spacing w:line="360" w:lineRule="auto"/>
        <w:ind w:firstLine="440" w:firstLineChars="200"/>
        <w:jc w:val="left"/>
        <w:rPr>
          <w:rFonts w:hint="eastAsia" w:ascii="宋体" w:eastAsia="宋体"/>
          <w:b w:val="0"/>
          <w:bCs w:val="0"/>
          <w:color w:val="auto"/>
          <w:sz w:val="22"/>
          <w:highlight w:val="none"/>
        </w:rPr>
      </w:pPr>
      <w:r>
        <w:rPr>
          <w:rFonts w:hint="eastAsia" w:ascii="宋体" w:eastAsia="宋体"/>
          <w:b w:val="0"/>
          <w:bCs w:val="0"/>
          <w:color w:val="auto"/>
          <w:sz w:val="22"/>
          <w:highlight w:val="none"/>
        </w:rPr>
        <w:t>四、不与采购人或采购代理机构串通投标，不损害国家利益，社会公共利益或其他人的合法权益。</w:t>
      </w:r>
    </w:p>
    <w:p w14:paraId="09D7330E">
      <w:pPr>
        <w:pageBreakBefore w:val="0"/>
        <w:widowControl w:val="0"/>
        <w:kinsoku/>
        <w:overflowPunct/>
        <w:bidi w:val="0"/>
        <w:spacing w:line="360" w:lineRule="auto"/>
        <w:ind w:firstLine="440" w:firstLineChars="200"/>
        <w:jc w:val="left"/>
        <w:rPr>
          <w:rFonts w:hint="eastAsia" w:ascii="宋体" w:eastAsia="宋体"/>
          <w:b w:val="0"/>
          <w:bCs w:val="0"/>
          <w:color w:val="auto"/>
          <w:sz w:val="22"/>
          <w:highlight w:val="none"/>
        </w:rPr>
      </w:pPr>
      <w:r>
        <w:rPr>
          <w:rFonts w:hint="eastAsia" w:ascii="宋体" w:eastAsia="宋体"/>
          <w:b w:val="0"/>
          <w:bCs w:val="0"/>
          <w:color w:val="auto"/>
          <w:sz w:val="22"/>
          <w:highlight w:val="none"/>
        </w:rPr>
        <w:t>五、不向采购人或者评标委员会成员行贿以牟取中标。</w:t>
      </w:r>
    </w:p>
    <w:p w14:paraId="2C191963">
      <w:pPr>
        <w:pageBreakBefore w:val="0"/>
        <w:widowControl w:val="0"/>
        <w:kinsoku/>
        <w:overflowPunct/>
        <w:bidi w:val="0"/>
        <w:spacing w:line="360" w:lineRule="auto"/>
        <w:ind w:firstLine="440" w:firstLineChars="200"/>
        <w:jc w:val="left"/>
        <w:rPr>
          <w:rFonts w:hint="eastAsia" w:ascii="宋体" w:eastAsia="宋体"/>
          <w:b w:val="0"/>
          <w:bCs w:val="0"/>
          <w:color w:val="auto"/>
          <w:sz w:val="22"/>
          <w:highlight w:val="none"/>
        </w:rPr>
      </w:pPr>
      <w:r>
        <w:rPr>
          <w:rFonts w:hint="eastAsia" w:ascii="宋体" w:eastAsia="宋体"/>
          <w:b w:val="0"/>
          <w:bCs w:val="0"/>
          <w:color w:val="auto"/>
          <w:sz w:val="22"/>
          <w:highlight w:val="none"/>
        </w:rPr>
        <w:t>六、不以其他人名义投标或者以其他方式弄虚作假，骗取中标。</w:t>
      </w:r>
    </w:p>
    <w:p w14:paraId="4735C194">
      <w:pPr>
        <w:pageBreakBefore w:val="0"/>
        <w:widowControl w:val="0"/>
        <w:kinsoku/>
        <w:overflowPunct/>
        <w:bidi w:val="0"/>
        <w:spacing w:line="360" w:lineRule="auto"/>
        <w:ind w:firstLine="440" w:firstLineChars="200"/>
        <w:jc w:val="left"/>
        <w:rPr>
          <w:rFonts w:hint="eastAsia" w:ascii="宋体" w:eastAsia="宋体"/>
          <w:b w:val="0"/>
          <w:bCs w:val="0"/>
          <w:color w:val="auto"/>
          <w:sz w:val="22"/>
          <w:highlight w:val="none"/>
        </w:rPr>
      </w:pPr>
      <w:r>
        <w:rPr>
          <w:rFonts w:hint="eastAsia" w:ascii="宋体" w:eastAsia="宋体"/>
          <w:b w:val="0"/>
          <w:bCs w:val="0"/>
          <w:color w:val="auto"/>
          <w:sz w:val="22"/>
          <w:highlight w:val="none"/>
        </w:rPr>
        <w:t>七、不在开标后进行虚假恶意投诉。</w:t>
      </w:r>
    </w:p>
    <w:p w14:paraId="2981388B">
      <w:pPr>
        <w:pageBreakBefore w:val="0"/>
        <w:widowControl w:val="0"/>
        <w:kinsoku/>
        <w:overflowPunct/>
        <w:bidi w:val="0"/>
        <w:spacing w:line="360" w:lineRule="auto"/>
        <w:ind w:firstLine="440" w:firstLineChars="200"/>
        <w:jc w:val="left"/>
        <w:rPr>
          <w:rFonts w:hint="eastAsia" w:ascii="宋体" w:eastAsia="宋体"/>
          <w:b w:val="0"/>
          <w:bCs w:val="0"/>
          <w:color w:val="auto"/>
          <w:sz w:val="22"/>
          <w:highlight w:val="none"/>
        </w:rPr>
      </w:pPr>
      <w:r>
        <w:rPr>
          <w:rFonts w:hint="eastAsia" w:ascii="宋体" w:eastAsia="宋体"/>
          <w:b w:val="0"/>
          <w:bCs w:val="0"/>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14:paraId="371090C0">
      <w:pPr>
        <w:pageBreakBefore w:val="0"/>
        <w:widowControl w:val="0"/>
        <w:kinsoku/>
        <w:overflowPunct/>
        <w:bidi w:val="0"/>
        <w:spacing w:line="360" w:lineRule="auto"/>
        <w:ind w:firstLine="440" w:firstLineChars="200"/>
        <w:rPr>
          <w:rFonts w:hint="eastAsia" w:ascii="宋体" w:eastAsia="宋体"/>
          <w:b w:val="0"/>
          <w:bCs w:val="0"/>
          <w:color w:val="auto"/>
          <w:sz w:val="22"/>
          <w:highlight w:val="none"/>
        </w:rPr>
      </w:pPr>
      <w:r>
        <w:rPr>
          <w:rFonts w:hint="eastAsia" w:ascii="宋体" w:eastAsia="宋体"/>
          <w:b w:val="0"/>
          <w:bCs w:val="0"/>
          <w:color w:val="auto"/>
          <w:sz w:val="22"/>
          <w:highlight w:val="none"/>
        </w:rPr>
        <w:t>本公司若有违反本承诺内容的行为，愿意承担法律责任，包括不限于：愿意接受相关行政主管部门作出的处罚；给采购人造成损失的，依法承担相应的赔偿责任。</w:t>
      </w:r>
    </w:p>
    <w:p w14:paraId="0720DFE1">
      <w:pPr>
        <w:pageBreakBefore w:val="0"/>
        <w:widowControl w:val="0"/>
        <w:kinsoku/>
        <w:overflowPunct/>
        <w:bidi w:val="0"/>
        <w:spacing w:line="360" w:lineRule="auto"/>
        <w:ind w:right="1120"/>
        <w:rPr>
          <w:rFonts w:hint="eastAsia" w:ascii="宋体" w:eastAsia="宋体"/>
          <w:b w:val="0"/>
          <w:bCs w:val="0"/>
          <w:color w:val="auto"/>
          <w:sz w:val="22"/>
          <w:highlight w:val="none"/>
        </w:rPr>
      </w:pPr>
    </w:p>
    <w:p w14:paraId="03F815F6">
      <w:pPr>
        <w:pageBreakBefore w:val="0"/>
        <w:widowControl w:val="0"/>
        <w:kinsoku/>
        <w:overflowPunct/>
        <w:bidi w:val="0"/>
        <w:spacing w:line="360" w:lineRule="auto"/>
        <w:ind w:right="1120"/>
        <w:rPr>
          <w:rFonts w:hint="eastAsia" w:ascii="宋体" w:eastAsia="宋体"/>
          <w:b w:val="0"/>
          <w:bCs w:val="0"/>
          <w:color w:val="auto"/>
          <w:sz w:val="22"/>
          <w:highlight w:val="none"/>
        </w:rPr>
      </w:pPr>
      <w:r>
        <w:rPr>
          <w:rFonts w:hint="eastAsia" w:ascii="宋体" w:eastAsia="宋体"/>
          <w:b w:val="0"/>
          <w:bCs w:val="0"/>
          <w:color w:val="auto"/>
          <w:sz w:val="22"/>
          <w:highlight w:val="none"/>
        </w:rPr>
        <w:t>投标供应商（盖章）</w:t>
      </w:r>
    </w:p>
    <w:p w14:paraId="443EC30E">
      <w:pPr>
        <w:pageBreakBefore w:val="0"/>
        <w:widowControl w:val="0"/>
        <w:kinsoku/>
        <w:overflowPunct/>
        <w:bidi w:val="0"/>
        <w:spacing w:line="360" w:lineRule="auto"/>
        <w:ind w:right="1120"/>
        <w:rPr>
          <w:rFonts w:hint="eastAsia" w:ascii="宋体" w:eastAsia="宋体"/>
          <w:b w:val="0"/>
          <w:bCs w:val="0"/>
          <w:color w:val="auto"/>
          <w:sz w:val="22"/>
          <w:highlight w:val="none"/>
        </w:rPr>
      </w:pPr>
      <w:r>
        <w:rPr>
          <w:rFonts w:hint="eastAsia" w:ascii="宋体" w:eastAsia="宋体"/>
          <w:b w:val="0"/>
          <w:bCs w:val="0"/>
          <w:color w:val="auto"/>
          <w:sz w:val="22"/>
          <w:highlight w:val="none"/>
        </w:rPr>
        <w:t>法定代表人（签字或盖章）：</w:t>
      </w:r>
    </w:p>
    <w:p w14:paraId="0AA4D114">
      <w:pPr>
        <w:pageBreakBefore w:val="0"/>
        <w:widowControl w:val="0"/>
        <w:kinsoku/>
        <w:overflowPunct/>
        <w:bidi w:val="0"/>
        <w:snapToGrid w:val="0"/>
        <w:spacing w:line="360" w:lineRule="auto"/>
        <w:rPr>
          <w:rFonts w:hint="eastAsia" w:ascii="宋体" w:eastAsia="宋体"/>
          <w:b w:val="0"/>
          <w:bCs w:val="0"/>
          <w:color w:val="auto"/>
          <w:sz w:val="30"/>
          <w:szCs w:val="30"/>
          <w:highlight w:val="none"/>
        </w:rPr>
      </w:pPr>
      <w:r>
        <w:rPr>
          <w:rFonts w:hint="eastAsia" w:ascii="宋体" w:eastAsia="宋体"/>
          <w:b w:val="0"/>
          <w:bCs w:val="0"/>
          <w:color w:val="auto"/>
          <w:sz w:val="22"/>
          <w:highlight w:val="none"/>
        </w:rPr>
        <w:t>承诺书签署日期：</w:t>
      </w:r>
    </w:p>
    <w:p w14:paraId="189BF052">
      <w:pPr>
        <w:pageBreakBefore w:val="0"/>
        <w:widowControl w:val="0"/>
        <w:kinsoku/>
        <w:overflowPunct/>
        <w:bidi w:val="0"/>
        <w:snapToGrid w:val="0"/>
        <w:spacing w:line="324" w:lineRule="auto"/>
        <w:rPr>
          <w:rFonts w:hint="eastAsia" w:ascii="宋体" w:eastAsia="宋体"/>
          <w:b w:val="0"/>
          <w:color w:val="auto"/>
          <w:sz w:val="36"/>
          <w:highlight w:val="none"/>
        </w:rPr>
      </w:pPr>
    </w:p>
    <w:p w14:paraId="2A83E704">
      <w:pPr>
        <w:pageBreakBefore w:val="0"/>
        <w:widowControl w:val="0"/>
        <w:kinsoku/>
        <w:overflowPunct/>
        <w:bidi w:val="0"/>
        <w:snapToGrid w:val="0"/>
        <w:spacing w:line="324" w:lineRule="auto"/>
        <w:rPr>
          <w:rFonts w:hint="eastAsia" w:ascii="宋体" w:eastAsia="宋体"/>
          <w:b w:val="0"/>
          <w:color w:val="auto"/>
          <w:sz w:val="36"/>
          <w:highlight w:val="none"/>
        </w:rPr>
        <w:sectPr>
          <w:pgSz w:w="11906" w:h="16838"/>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14:paraId="537167D4">
      <w:pPr>
        <w:pageBreakBefore w:val="0"/>
        <w:widowControl w:val="0"/>
        <w:kinsoku/>
        <w:overflowPunct/>
        <w:bidi w:val="0"/>
        <w:snapToGrid w:val="0"/>
        <w:spacing w:line="324" w:lineRule="auto"/>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rPr>
        <w:t>附件十</w:t>
      </w:r>
      <w:r>
        <w:rPr>
          <w:rFonts w:hint="eastAsia" w:ascii="宋体" w:eastAsia="宋体" w:cs="宋体"/>
          <w:b w:val="0"/>
          <w:bCs w:val="0"/>
          <w:color w:val="auto"/>
          <w:sz w:val="30"/>
          <w:szCs w:val="30"/>
          <w:highlight w:val="none"/>
          <w:lang w:val="en-US" w:eastAsia="zh-CN"/>
        </w:rPr>
        <w:t>二</w:t>
      </w:r>
    </w:p>
    <w:p w14:paraId="7E31AD2B">
      <w:pPr>
        <w:pStyle w:val="12"/>
        <w:pageBreakBefore w:val="0"/>
        <w:widowControl w:val="0"/>
        <w:kinsoku/>
        <w:overflowPunct/>
        <w:bidi w:val="0"/>
        <w:adjustRightInd w:val="0"/>
        <w:snapToGrid w:val="0"/>
        <w:spacing w:line="324" w:lineRule="auto"/>
        <w:jc w:val="center"/>
        <w:rPr>
          <w:rFonts w:hint="eastAsia" w:ascii="宋体" w:hAnsi="宋体" w:eastAsia="宋体" w:cs="宋体"/>
          <w:b w:val="0"/>
          <w:bCs w:val="0"/>
          <w:color w:val="auto"/>
          <w:sz w:val="32"/>
          <w:szCs w:val="32"/>
          <w:highlight w:val="none"/>
          <w:lang w:val="zh-CN" w:eastAsia="zh-CN" w:bidi="ar-SA"/>
        </w:rPr>
      </w:pPr>
      <w:r>
        <w:rPr>
          <w:rFonts w:hint="eastAsia" w:ascii="宋体" w:hAnsi="宋体" w:eastAsia="宋体" w:cs="宋体"/>
          <w:b w:val="0"/>
          <w:bCs w:val="0"/>
          <w:color w:val="auto"/>
          <w:sz w:val="32"/>
          <w:szCs w:val="32"/>
          <w:highlight w:val="none"/>
          <w:lang w:val="zh-CN" w:eastAsia="zh-CN" w:bidi="ar-SA"/>
        </w:rPr>
        <w:t>投标供应商承担过类似项目的业绩（提供合同复印件加盖公章）</w:t>
      </w:r>
    </w:p>
    <w:tbl>
      <w:tblPr>
        <w:tblStyle w:val="23"/>
        <w:tblW w:w="9820" w:type="dxa"/>
        <w:tblInd w:w="-2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1957"/>
        <w:gridCol w:w="1510"/>
        <w:gridCol w:w="1265"/>
        <w:gridCol w:w="1512"/>
        <w:gridCol w:w="1666"/>
        <w:gridCol w:w="1280"/>
      </w:tblGrid>
      <w:tr w14:paraId="222CD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630" w:type="dxa"/>
            <w:vAlign w:val="center"/>
          </w:tcPr>
          <w:p w14:paraId="19DE4FE4">
            <w:pPr>
              <w:pageBreakBefore w:val="0"/>
              <w:widowControl w:val="0"/>
              <w:kinsoku/>
              <w:overflowPunct/>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1957" w:type="dxa"/>
            <w:vAlign w:val="center"/>
          </w:tcPr>
          <w:p w14:paraId="187C3E5C">
            <w:pPr>
              <w:pageBreakBefore w:val="0"/>
              <w:widowControl w:val="0"/>
              <w:kinsoku/>
              <w:overflowPunct/>
              <w:bidi w:val="0"/>
              <w:spacing w:line="240" w:lineRule="auto"/>
              <w:ind w:firstLine="220" w:firstLineChars="1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项目名称</w:t>
            </w:r>
          </w:p>
        </w:tc>
        <w:tc>
          <w:tcPr>
            <w:tcW w:w="1510" w:type="dxa"/>
            <w:vAlign w:val="center"/>
          </w:tcPr>
          <w:p w14:paraId="2351950C">
            <w:pPr>
              <w:pageBreakBefore w:val="0"/>
              <w:widowControl w:val="0"/>
              <w:kinsoku/>
              <w:overflowPunct/>
              <w:bidi w:val="0"/>
              <w:spacing w:line="240" w:lineRule="auto"/>
              <w:ind w:firstLine="440" w:firstLineChars="2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采购人</w:t>
            </w:r>
          </w:p>
        </w:tc>
        <w:tc>
          <w:tcPr>
            <w:tcW w:w="1265" w:type="dxa"/>
            <w:vAlign w:val="center"/>
          </w:tcPr>
          <w:p w14:paraId="3A44C3FE">
            <w:pPr>
              <w:pageBreakBefore w:val="0"/>
              <w:widowControl w:val="0"/>
              <w:kinsoku/>
              <w:overflowPunct/>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合同金额</w:t>
            </w:r>
          </w:p>
          <w:p w14:paraId="45A8D88A">
            <w:pPr>
              <w:pageBreakBefore w:val="0"/>
              <w:widowControl w:val="0"/>
              <w:kinsoku/>
              <w:overflowPunct/>
              <w:bidi w:val="0"/>
              <w:spacing w:line="240" w:lineRule="auto"/>
              <w:jc w:val="center"/>
              <w:rPr>
                <w:rFonts w:hint="eastAsia" w:ascii="宋体" w:hAnsi="宋体" w:eastAsia="宋体" w:cs="宋体"/>
                <w:b w:val="0"/>
                <w:bCs w:val="0"/>
                <w:color w:val="auto"/>
                <w:sz w:val="22"/>
                <w:szCs w:val="22"/>
                <w:highlight w:val="none"/>
                <w:lang w:eastAsia="zh-CN"/>
              </w:rPr>
            </w:pP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人民币</w:t>
            </w:r>
            <w:r>
              <w:rPr>
                <w:rFonts w:hint="eastAsia" w:ascii="宋体" w:hAnsi="宋体" w:eastAsia="宋体" w:cs="宋体"/>
                <w:b w:val="0"/>
                <w:bCs w:val="0"/>
                <w:color w:val="auto"/>
                <w:sz w:val="22"/>
                <w:szCs w:val="22"/>
                <w:highlight w:val="none"/>
                <w:lang w:eastAsia="zh-CN"/>
              </w:rPr>
              <w:t>）</w:t>
            </w:r>
          </w:p>
        </w:tc>
        <w:tc>
          <w:tcPr>
            <w:tcW w:w="1512" w:type="dxa"/>
            <w:vAlign w:val="center"/>
          </w:tcPr>
          <w:p w14:paraId="10AE79AA">
            <w:pPr>
              <w:pageBreakBefore w:val="0"/>
              <w:widowControl w:val="0"/>
              <w:kinsoku/>
              <w:overflowPunct/>
              <w:bidi w:val="0"/>
              <w:spacing w:line="240" w:lineRule="auto"/>
              <w:ind w:firstLine="220" w:firstLineChars="1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签订时间</w:t>
            </w:r>
          </w:p>
        </w:tc>
        <w:tc>
          <w:tcPr>
            <w:tcW w:w="1666" w:type="dxa"/>
            <w:vAlign w:val="center"/>
          </w:tcPr>
          <w:p w14:paraId="22655B74">
            <w:pPr>
              <w:pageBreakBefore w:val="0"/>
              <w:widowControl w:val="0"/>
              <w:kinsoku/>
              <w:overflowPunct/>
              <w:bidi w:val="0"/>
              <w:spacing w:line="240" w:lineRule="auto"/>
              <w:ind w:firstLine="220" w:firstLineChars="1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使用方联系人</w:t>
            </w:r>
          </w:p>
        </w:tc>
        <w:tc>
          <w:tcPr>
            <w:tcW w:w="1280" w:type="dxa"/>
            <w:vAlign w:val="center"/>
          </w:tcPr>
          <w:p w14:paraId="52985055">
            <w:pPr>
              <w:pageBreakBefore w:val="0"/>
              <w:widowControl w:val="0"/>
              <w:kinsoku/>
              <w:overflowPunct/>
              <w:bidi w:val="0"/>
              <w:spacing w:line="240" w:lineRule="auto"/>
              <w:ind w:firstLine="220" w:firstLineChars="1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联系方式</w:t>
            </w:r>
          </w:p>
        </w:tc>
      </w:tr>
      <w:tr w14:paraId="43DAC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30" w:type="dxa"/>
            <w:tcBorders>
              <w:top w:val="single" w:color="000000" w:sz="2" w:space="0"/>
              <w:left w:val="single" w:color="000000" w:sz="2" w:space="0"/>
              <w:right w:val="single" w:color="000000" w:sz="2" w:space="0"/>
            </w:tcBorders>
          </w:tcPr>
          <w:p w14:paraId="7D3E178E">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957" w:type="dxa"/>
            <w:tcBorders>
              <w:top w:val="single" w:color="000000" w:sz="2" w:space="0"/>
              <w:left w:val="single" w:color="000000" w:sz="2" w:space="0"/>
              <w:right w:val="single" w:color="000000" w:sz="2" w:space="0"/>
            </w:tcBorders>
          </w:tcPr>
          <w:p w14:paraId="41B9537A">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0" w:type="dxa"/>
            <w:tcBorders>
              <w:top w:val="single" w:color="000000" w:sz="2" w:space="0"/>
              <w:left w:val="single" w:color="000000" w:sz="2" w:space="0"/>
              <w:right w:val="single" w:color="000000" w:sz="2" w:space="0"/>
            </w:tcBorders>
          </w:tcPr>
          <w:p w14:paraId="0F481BD9">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65" w:type="dxa"/>
            <w:tcBorders>
              <w:top w:val="single" w:color="000000" w:sz="2" w:space="0"/>
              <w:left w:val="single" w:color="000000" w:sz="2" w:space="0"/>
              <w:right w:val="single" w:color="000000" w:sz="2" w:space="0"/>
            </w:tcBorders>
          </w:tcPr>
          <w:p w14:paraId="38B054D8">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2" w:type="dxa"/>
            <w:tcBorders>
              <w:top w:val="single" w:color="000000" w:sz="2" w:space="0"/>
              <w:left w:val="single" w:color="000000" w:sz="2" w:space="0"/>
              <w:right w:val="single" w:color="000000" w:sz="2" w:space="0"/>
            </w:tcBorders>
          </w:tcPr>
          <w:p w14:paraId="42BB48CA">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666" w:type="dxa"/>
            <w:tcBorders>
              <w:top w:val="single" w:color="000000" w:sz="2" w:space="0"/>
              <w:left w:val="single" w:color="000000" w:sz="2" w:space="0"/>
              <w:right w:val="single" w:color="000000" w:sz="2" w:space="0"/>
            </w:tcBorders>
          </w:tcPr>
          <w:p w14:paraId="32441D8B">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80" w:type="dxa"/>
            <w:tcBorders>
              <w:top w:val="single" w:color="000000" w:sz="2" w:space="0"/>
              <w:left w:val="single" w:color="000000" w:sz="2" w:space="0"/>
              <w:right w:val="single" w:color="000000" w:sz="2" w:space="0"/>
            </w:tcBorders>
          </w:tcPr>
          <w:p w14:paraId="490A615C">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r w14:paraId="4D71D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30" w:type="dxa"/>
            <w:tcBorders>
              <w:top w:val="single" w:color="000000" w:sz="2" w:space="0"/>
              <w:left w:val="single" w:color="000000" w:sz="2" w:space="0"/>
              <w:right w:val="single" w:color="000000" w:sz="2" w:space="0"/>
            </w:tcBorders>
          </w:tcPr>
          <w:p w14:paraId="5B1D7BEB">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957" w:type="dxa"/>
            <w:tcBorders>
              <w:top w:val="single" w:color="000000" w:sz="2" w:space="0"/>
              <w:left w:val="single" w:color="000000" w:sz="2" w:space="0"/>
              <w:right w:val="single" w:color="000000" w:sz="2" w:space="0"/>
            </w:tcBorders>
          </w:tcPr>
          <w:p w14:paraId="3FBAB3F6">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0" w:type="dxa"/>
            <w:tcBorders>
              <w:top w:val="single" w:color="000000" w:sz="2" w:space="0"/>
              <w:left w:val="single" w:color="000000" w:sz="2" w:space="0"/>
              <w:right w:val="single" w:color="000000" w:sz="2" w:space="0"/>
            </w:tcBorders>
          </w:tcPr>
          <w:p w14:paraId="24969FFD">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65" w:type="dxa"/>
            <w:tcBorders>
              <w:top w:val="single" w:color="000000" w:sz="2" w:space="0"/>
              <w:left w:val="single" w:color="000000" w:sz="2" w:space="0"/>
              <w:right w:val="single" w:color="000000" w:sz="2" w:space="0"/>
            </w:tcBorders>
          </w:tcPr>
          <w:p w14:paraId="15099C36">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2" w:type="dxa"/>
            <w:tcBorders>
              <w:top w:val="single" w:color="000000" w:sz="2" w:space="0"/>
              <w:left w:val="single" w:color="000000" w:sz="2" w:space="0"/>
              <w:right w:val="single" w:color="000000" w:sz="2" w:space="0"/>
            </w:tcBorders>
          </w:tcPr>
          <w:p w14:paraId="15181CA8">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666" w:type="dxa"/>
            <w:tcBorders>
              <w:top w:val="single" w:color="000000" w:sz="2" w:space="0"/>
              <w:left w:val="single" w:color="000000" w:sz="2" w:space="0"/>
              <w:right w:val="single" w:color="000000" w:sz="2" w:space="0"/>
            </w:tcBorders>
          </w:tcPr>
          <w:p w14:paraId="6DD1CCFC">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80" w:type="dxa"/>
            <w:tcBorders>
              <w:top w:val="single" w:color="000000" w:sz="2" w:space="0"/>
              <w:left w:val="single" w:color="000000" w:sz="2" w:space="0"/>
              <w:right w:val="single" w:color="000000" w:sz="2" w:space="0"/>
            </w:tcBorders>
          </w:tcPr>
          <w:p w14:paraId="6E5A49C2">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r w14:paraId="2B1B1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30" w:type="dxa"/>
            <w:tcBorders>
              <w:top w:val="single" w:color="000000" w:sz="2" w:space="0"/>
              <w:left w:val="single" w:color="000000" w:sz="2" w:space="0"/>
              <w:right w:val="single" w:color="000000" w:sz="2" w:space="0"/>
            </w:tcBorders>
          </w:tcPr>
          <w:p w14:paraId="0031CB70">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957" w:type="dxa"/>
            <w:tcBorders>
              <w:top w:val="single" w:color="000000" w:sz="2" w:space="0"/>
              <w:left w:val="single" w:color="000000" w:sz="2" w:space="0"/>
              <w:right w:val="single" w:color="000000" w:sz="2" w:space="0"/>
            </w:tcBorders>
          </w:tcPr>
          <w:p w14:paraId="67DB2B73">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0" w:type="dxa"/>
            <w:tcBorders>
              <w:top w:val="single" w:color="000000" w:sz="2" w:space="0"/>
              <w:left w:val="single" w:color="000000" w:sz="2" w:space="0"/>
              <w:right w:val="single" w:color="000000" w:sz="2" w:space="0"/>
            </w:tcBorders>
          </w:tcPr>
          <w:p w14:paraId="60F88DB1">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65" w:type="dxa"/>
            <w:tcBorders>
              <w:top w:val="single" w:color="000000" w:sz="2" w:space="0"/>
              <w:left w:val="single" w:color="000000" w:sz="2" w:space="0"/>
              <w:right w:val="single" w:color="000000" w:sz="2" w:space="0"/>
            </w:tcBorders>
          </w:tcPr>
          <w:p w14:paraId="4B5C1D56">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2" w:type="dxa"/>
            <w:tcBorders>
              <w:top w:val="single" w:color="000000" w:sz="2" w:space="0"/>
              <w:left w:val="single" w:color="000000" w:sz="2" w:space="0"/>
              <w:right w:val="single" w:color="000000" w:sz="2" w:space="0"/>
            </w:tcBorders>
          </w:tcPr>
          <w:p w14:paraId="34B77C7F">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666" w:type="dxa"/>
            <w:tcBorders>
              <w:top w:val="single" w:color="000000" w:sz="2" w:space="0"/>
              <w:left w:val="single" w:color="000000" w:sz="2" w:space="0"/>
              <w:right w:val="single" w:color="000000" w:sz="2" w:space="0"/>
            </w:tcBorders>
          </w:tcPr>
          <w:p w14:paraId="3C19B8E4">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80" w:type="dxa"/>
            <w:tcBorders>
              <w:top w:val="single" w:color="000000" w:sz="2" w:space="0"/>
              <w:left w:val="single" w:color="000000" w:sz="2" w:space="0"/>
              <w:right w:val="single" w:color="000000" w:sz="2" w:space="0"/>
            </w:tcBorders>
          </w:tcPr>
          <w:p w14:paraId="30D6ACC5">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r w14:paraId="6372A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30" w:type="dxa"/>
            <w:tcBorders>
              <w:top w:val="single" w:color="000000" w:sz="2" w:space="0"/>
              <w:left w:val="single" w:color="000000" w:sz="2" w:space="0"/>
              <w:right w:val="single" w:color="000000" w:sz="2" w:space="0"/>
            </w:tcBorders>
          </w:tcPr>
          <w:p w14:paraId="1E072C53">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957" w:type="dxa"/>
            <w:tcBorders>
              <w:top w:val="single" w:color="000000" w:sz="2" w:space="0"/>
              <w:left w:val="single" w:color="000000" w:sz="2" w:space="0"/>
              <w:right w:val="single" w:color="000000" w:sz="2" w:space="0"/>
            </w:tcBorders>
          </w:tcPr>
          <w:p w14:paraId="43D50ED0">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0" w:type="dxa"/>
            <w:tcBorders>
              <w:top w:val="single" w:color="000000" w:sz="2" w:space="0"/>
              <w:left w:val="single" w:color="000000" w:sz="2" w:space="0"/>
              <w:right w:val="single" w:color="000000" w:sz="2" w:space="0"/>
            </w:tcBorders>
          </w:tcPr>
          <w:p w14:paraId="6A6E2E0A">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65" w:type="dxa"/>
            <w:tcBorders>
              <w:top w:val="single" w:color="000000" w:sz="2" w:space="0"/>
              <w:left w:val="single" w:color="000000" w:sz="2" w:space="0"/>
              <w:right w:val="single" w:color="000000" w:sz="2" w:space="0"/>
            </w:tcBorders>
          </w:tcPr>
          <w:p w14:paraId="7CF32572">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2" w:type="dxa"/>
            <w:tcBorders>
              <w:top w:val="single" w:color="000000" w:sz="2" w:space="0"/>
              <w:left w:val="single" w:color="000000" w:sz="2" w:space="0"/>
              <w:right w:val="single" w:color="000000" w:sz="2" w:space="0"/>
            </w:tcBorders>
          </w:tcPr>
          <w:p w14:paraId="6F97E9BD">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666" w:type="dxa"/>
            <w:tcBorders>
              <w:top w:val="single" w:color="000000" w:sz="2" w:space="0"/>
              <w:left w:val="single" w:color="000000" w:sz="2" w:space="0"/>
              <w:right w:val="single" w:color="000000" w:sz="2" w:space="0"/>
            </w:tcBorders>
          </w:tcPr>
          <w:p w14:paraId="6B28B27D">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80" w:type="dxa"/>
            <w:tcBorders>
              <w:top w:val="single" w:color="000000" w:sz="2" w:space="0"/>
              <w:left w:val="single" w:color="000000" w:sz="2" w:space="0"/>
              <w:right w:val="single" w:color="000000" w:sz="2" w:space="0"/>
            </w:tcBorders>
          </w:tcPr>
          <w:p w14:paraId="2B55B6D8">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r w14:paraId="6E8BC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30" w:type="dxa"/>
            <w:tcBorders>
              <w:top w:val="single" w:color="000000" w:sz="2" w:space="0"/>
              <w:left w:val="single" w:color="000000" w:sz="2" w:space="0"/>
              <w:right w:val="single" w:color="000000" w:sz="2" w:space="0"/>
            </w:tcBorders>
          </w:tcPr>
          <w:p w14:paraId="01D27C4B">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957" w:type="dxa"/>
            <w:tcBorders>
              <w:top w:val="single" w:color="000000" w:sz="2" w:space="0"/>
              <w:left w:val="single" w:color="000000" w:sz="2" w:space="0"/>
              <w:right w:val="single" w:color="000000" w:sz="2" w:space="0"/>
            </w:tcBorders>
          </w:tcPr>
          <w:p w14:paraId="2008305B">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0" w:type="dxa"/>
            <w:tcBorders>
              <w:top w:val="single" w:color="000000" w:sz="2" w:space="0"/>
              <w:left w:val="single" w:color="000000" w:sz="2" w:space="0"/>
              <w:right w:val="single" w:color="000000" w:sz="2" w:space="0"/>
            </w:tcBorders>
          </w:tcPr>
          <w:p w14:paraId="4203FD51">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65" w:type="dxa"/>
            <w:tcBorders>
              <w:top w:val="single" w:color="000000" w:sz="2" w:space="0"/>
              <w:left w:val="single" w:color="000000" w:sz="2" w:space="0"/>
              <w:right w:val="single" w:color="000000" w:sz="2" w:space="0"/>
            </w:tcBorders>
          </w:tcPr>
          <w:p w14:paraId="0A16D2B1">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2" w:type="dxa"/>
            <w:tcBorders>
              <w:top w:val="single" w:color="000000" w:sz="2" w:space="0"/>
              <w:left w:val="single" w:color="000000" w:sz="2" w:space="0"/>
              <w:right w:val="single" w:color="000000" w:sz="2" w:space="0"/>
            </w:tcBorders>
          </w:tcPr>
          <w:p w14:paraId="06AF6D73">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666" w:type="dxa"/>
            <w:tcBorders>
              <w:top w:val="single" w:color="000000" w:sz="2" w:space="0"/>
              <w:left w:val="single" w:color="000000" w:sz="2" w:space="0"/>
              <w:right w:val="single" w:color="000000" w:sz="2" w:space="0"/>
            </w:tcBorders>
          </w:tcPr>
          <w:p w14:paraId="2F9FC1BF">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80" w:type="dxa"/>
            <w:tcBorders>
              <w:top w:val="single" w:color="000000" w:sz="2" w:space="0"/>
              <w:left w:val="single" w:color="000000" w:sz="2" w:space="0"/>
              <w:right w:val="single" w:color="000000" w:sz="2" w:space="0"/>
            </w:tcBorders>
          </w:tcPr>
          <w:p w14:paraId="4BF5619A">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r w14:paraId="6F535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30" w:type="dxa"/>
            <w:tcBorders>
              <w:top w:val="single" w:color="000000" w:sz="2" w:space="0"/>
              <w:left w:val="single" w:color="000000" w:sz="2" w:space="0"/>
              <w:right w:val="single" w:color="000000" w:sz="2" w:space="0"/>
            </w:tcBorders>
          </w:tcPr>
          <w:p w14:paraId="792B68E5">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957" w:type="dxa"/>
            <w:tcBorders>
              <w:top w:val="single" w:color="000000" w:sz="2" w:space="0"/>
              <w:left w:val="single" w:color="000000" w:sz="2" w:space="0"/>
              <w:right w:val="single" w:color="000000" w:sz="2" w:space="0"/>
            </w:tcBorders>
          </w:tcPr>
          <w:p w14:paraId="42CAB9FB">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0" w:type="dxa"/>
            <w:tcBorders>
              <w:top w:val="single" w:color="000000" w:sz="2" w:space="0"/>
              <w:left w:val="single" w:color="000000" w:sz="2" w:space="0"/>
              <w:right w:val="single" w:color="000000" w:sz="2" w:space="0"/>
            </w:tcBorders>
          </w:tcPr>
          <w:p w14:paraId="37D099FA">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65" w:type="dxa"/>
            <w:tcBorders>
              <w:top w:val="single" w:color="000000" w:sz="2" w:space="0"/>
              <w:left w:val="single" w:color="000000" w:sz="2" w:space="0"/>
              <w:right w:val="single" w:color="000000" w:sz="2" w:space="0"/>
            </w:tcBorders>
          </w:tcPr>
          <w:p w14:paraId="1486EDFA">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2" w:type="dxa"/>
            <w:tcBorders>
              <w:top w:val="single" w:color="000000" w:sz="2" w:space="0"/>
              <w:left w:val="single" w:color="000000" w:sz="2" w:space="0"/>
              <w:right w:val="single" w:color="000000" w:sz="2" w:space="0"/>
            </w:tcBorders>
          </w:tcPr>
          <w:p w14:paraId="52AF197F">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666" w:type="dxa"/>
            <w:tcBorders>
              <w:top w:val="single" w:color="000000" w:sz="2" w:space="0"/>
              <w:left w:val="single" w:color="000000" w:sz="2" w:space="0"/>
              <w:right w:val="single" w:color="000000" w:sz="2" w:space="0"/>
            </w:tcBorders>
          </w:tcPr>
          <w:p w14:paraId="78A2856E">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80" w:type="dxa"/>
            <w:tcBorders>
              <w:top w:val="single" w:color="000000" w:sz="2" w:space="0"/>
              <w:left w:val="single" w:color="000000" w:sz="2" w:space="0"/>
              <w:right w:val="single" w:color="000000" w:sz="2" w:space="0"/>
            </w:tcBorders>
          </w:tcPr>
          <w:p w14:paraId="0214871C">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r w14:paraId="4DB47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30" w:type="dxa"/>
            <w:tcBorders>
              <w:top w:val="single" w:color="000000" w:sz="2" w:space="0"/>
              <w:left w:val="single" w:color="000000" w:sz="2" w:space="0"/>
              <w:right w:val="single" w:color="000000" w:sz="2" w:space="0"/>
            </w:tcBorders>
          </w:tcPr>
          <w:p w14:paraId="20BD9074">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957" w:type="dxa"/>
            <w:tcBorders>
              <w:top w:val="single" w:color="000000" w:sz="2" w:space="0"/>
              <w:left w:val="single" w:color="000000" w:sz="2" w:space="0"/>
              <w:right w:val="single" w:color="000000" w:sz="2" w:space="0"/>
            </w:tcBorders>
          </w:tcPr>
          <w:p w14:paraId="474DE3A0">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0" w:type="dxa"/>
            <w:tcBorders>
              <w:top w:val="single" w:color="000000" w:sz="2" w:space="0"/>
              <w:left w:val="single" w:color="000000" w:sz="2" w:space="0"/>
              <w:right w:val="single" w:color="000000" w:sz="2" w:space="0"/>
            </w:tcBorders>
          </w:tcPr>
          <w:p w14:paraId="2E0E6382">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65" w:type="dxa"/>
            <w:tcBorders>
              <w:top w:val="single" w:color="000000" w:sz="2" w:space="0"/>
              <w:left w:val="single" w:color="000000" w:sz="2" w:space="0"/>
              <w:right w:val="single" w:color="000000" w:sz="2" w:space="0"/>
            </w:tcBorders>
          </w:tcPr>
          <w:p w14:paraId="4C7B3536">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2" w:type="dxa"/>
            <w:tcBorders>
              <w:top w:val="single" w:color="000000" w:sz="2" w:space="0"/>
              <w:left w:val="single" w:color="000000" w:sz="2" w:space="0"/>
              <w:right w:val="single" w:color="000000" w:sz="2" w:space="0"/>
            </w:tcBorders>
          </w:tcPr>
          <w:p w14:paraId="526556EC">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666" w:type="dxa"/>
            <w:tcBorders>
              <w:top w:val="single" w:color="000000" w:sz="2" w:space="0"/>
              <w:left w:val="single" w:color="000000" w:sz="2" w:space="0"/>
              <w:right w:val="single" w:color="000000" w:sz="2" w:space="0"/>
            </w:tcBorders>
          </w:tcPr>
          <w:p w14:paraId="7485E2C7">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80" w:type="dxa"/>
            <w:tcBorders>
              <w:top w:val="single" w:color="000000" w:sz="2" w:space="0"/>
              <w:left w:val="single" w:color="000000" w:sz="2" w:space="0"/>
              <w:right w:val="single" w:color="000000" w:sz="2" w:space="0"/>
            </w:tcBorders>
          </w:tcPr>
          <w:p w14:paraId="7764FA79">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r w14:paraId="12B00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30" w:type="dxa"/>
            <w:tcBorders>
              <w:top w:val="single" w:color="000000" w:sz="2" w:space="0"/>
              <w:left w:val="single" w:color="000000" w:sz="2" w:space="0"/>
              <w:right w:val="single" w:color="000000" w:sz="2" w:space="0"/>
            </w:tcBorders>
          </w:tcPr>
          <w:p w14:paraId="33466506">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957" w:type="dxa"/>
            <w:tcBorders>
              <w:top w:val="single" w:color="000000" w:sz="2" w:space="0"/>
              <w:left w:val="single" w:color="000000" w:sz="2" w:space="0"/>
              <w:right w:val="single" w:color="000000" w:sz="2" w:space="0"/>
            </w:tcBorders>
          </w:tcPr>
          <w:p w14:paraId="2D3D295E">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0" w:type="dxa"/>
            <w:tcBorders>
              <w:top w:val="single" w:color="000000" w:sz="2" w:space="0"/>
              <w:left w:val="single" w:color="000000" w:sz="2" w:space="0"/>
              <w:right w:val="single" w:color="000000" w:sz="2" w:space="0"/>
            </w:tcBorders>
          </w:tcPr>
          <w:p w14:paraId="2D870EA6">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65" w:type="dxa"/>
            <w:tcBorders>
              <w:top w:val="single" w:color="000000" w:sz="2" w:space="0"/>
              <w:left w:val="single" w:color="000000" w:sz="2" w:space="0"/>
              <w:right w:val="single" w:color="000000" w:sz="2" w:space="0"/>
            </w:tcBorders>
          </w:tcPr>
          <w:p w14:paraId="342EFF0D">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2" w:type="dxa"/>
            <w:tcBorders>
              <w:top w:val="single" w:color="000000" w:sz="2" w:space="0"/>
              <w:left w:val="single" w:color="000000" w:sz="2" w:space="0"/>
              <w:right w:val="single" w:color="000000" w:sz="2" w:space="0"/>
            </w:tcBorders>
          </w:tcPr>
          <w:p w14:paraId="73CCAE79">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666" w:type="dxa"/>
            <w:tcBorders>
              <w:top w:val="single" w:color="000000" w:sz="2" w:space="0"/>
              <w:left w:val="single" w:color="000000" w:sz="2" w:space="0"/>
              <w:right w:val="single" w:color="000000" w:sz="2" w:space="0"/>
            </w:tcBorders>
          </w:tcPr>
          <w:p w14:paraId="29E77DF3">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80" w:type="dxa"/>
            <w:tcBorders>
              <w:top w:val="single" w:color="000000" w:sz="2" w:space="0"/>
              <w:left w:val="single" w:color="000000" w:sz="2" w:space="0"/>
              <w:right w:val="single" w:color="000000" w:sz="2" w:space="0"/>
            </w:tcBorders>
          </w:tcPr>
          <w:p w14:paraId="57F71FAA">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r w14:paraId="783E3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630" w:type="dxa"/>
            <w:tcBorders>
              <w:top w:val="single" w:color="000000" w:sz="2" w:space="0"/>
              <w:left w:val="single" w:color="000000" w:sz="2" w:space="0"/>
              <w:right w:val="single" w:color="000000" w:sz="2" w:space="0"/>
            </w:tcBorders>
          </w:tcPr>
          <w:p w14:paraId="79745D06">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957" w:type="dxa"/>
            <w:tcBorders>
              <w:top w:val="single" w:color="000000" w:sz="2" w:space="0"/>
              <w:left w:val="single" w:color="000000" w:sz="2" w:space="0"/>
              <w:right w:val="single" w:color="000000" w:sz="2" w:space="0"/>
            </w:tcBorders>
          </w:tcPr>
          <w:p w14:paraId="60A46DF6">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0" w:type="dxa"/>
            <w:tcBorders>
              <w:top w:val="single" w:color="000000" w:sz="2" w:space="0"/>
              <w:left w:val="single" w:color="000000" w:sz="2" w:space="0"/>
              <w:right w:val="single" w:color="000000" w:sz="2" w:space="0"/>
            </w:tcBorders>
          </w:tcPr>
          <w:p w14:paraId="61B1850D">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65" w:type="dxa"/>
            <w:tcBorders>
              <w:top w:val="single" w:color="000000" w:sz="2" w:space="0"/>
              <w:left w:val="single" w:color="000000" w:sz="2" w:space="0"/>
              <w:right w:val="single" w:color="000000" w:sz="2" w:space="0"/>
            </w:tcBorders>
          </w:tcPr>
          <w:p w14:paraId="195AFF46">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2" w:type="dxa"/>
            <w:tcBorders>
              <w:top w:val="single" w:color="000000" w:sz="2" w:space="0"/>
              <w:left w:val="single" w:color="000000" w:sz="2" w:space="0"/>
              <w:right w:val="single" w:color="000000" w:sz="2" w:space="0"/>
            </w:tcBorders>
          </w:tcPr>
          <w:p w14:paraId="002C3336">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666" w:type="dxa"/>
            <w:tcBorders>
              <w:top w:val="single" w:color="000000" w:sz="2" w:space="0"/>
              <w:left w:val="single" w:color="000000" w:sz="2" w:space="0"/>
              <w:right w:val="single" w:color="000000" w:sz="2" w:space="0"/>
            </w:tcBorders>
          </w:tcPr>
          <w:p w14:paraId="3CB14E76">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280" w:type="dxa"/>
            <w:tcBorders>
              <w:top w:val="single" w:color="000000" w:sz="2" w:space="0"/>
              <w:left w:val="single" w:color="000000" w:sz="2" w:space="0"/>
              <w:right w:val="single" w:color="000000" w:sz="2" w:space="0"/>
            </w:tcBorders>
          </w:tcPr>
          <w:p w14:paraId="7E5A33A2">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bl>
    <w:p w14:paraId="181525AC">
      <w:pPr>
        <w:pStyle w:val="12"/>
        <w:pageBreakBefore w:val="0"/>
        <w:widowControl w:val="0"/>
        <w:kinsoku/>
        <w:overflowPunct/>
        <w:bidi w:val="0"/>
        <w:adjustRightInd w:val="0"/>
        <w:snapToGrid w:val="0"/>
        <w:spacing w:line="324" w:lineRule="auto"/>
        <w:rPr>
          <w:rFonts w:hint="eastAsia" w:hAnsi="宋体" w:eastAsia="宋体"/>
          <w:b w:val="0"/>
          <w:color w:val="auto"/>
          <w:spacing w:val="20"/>
          <w:sz w:val="22"/>
          <w:szCs w:val="22"/>
          <w:highlight w:val="none"/>
        </w:rPr>
      </w:pPr>
    </w:p>
    <w:p w14:paraId="583B3033">
      <w:pPr>
        <w:pStyle w:val="12"/>
        <w:pageBreakBefore w:val="0"/>
        <w:widowControl w:val="0"/>
        <w:kinsoku/>
        <w:overflowPunct/>
        <w:bidi w:val="0"/>
        <w:adjustRightInd w:val="0"/>
        <w:snapToGrid w:val="0"/>
        <w:spacing w:line="324" w:lineRule="auto"/>
        <w:rPr>
          <w:rFonts w:hint="eastAsia" w:ascii="宋体" w:eastAsia="宋体"/>
          <w:b w:val="0"/>
          <w:bCs w:val="0"/>
          <w:color w:val="auto"/>
          <w:sz w:val="32"/>
          <w:szCs w:val="32"/>
          <w:highlight w:val="none"/>
          <w:lang w:val="zh-CN"/>
        </w:rPr>
      </w:pPr>
      <w:r>
        <w:rPr>
          <w:rFonts w:hint="eastAsia" w:hAnsi="宋体" w:eastAsia="宋体"/>
          <w:b w:val="0"/>
          <w:color w:val="auto"/>
          <w:spacing w:val="15"/>
          <w:sz w:val="22"/>
          <w:szCs w:val="22"/>
          <w:highlight w:val="none"/>
        </w:rPr>
        <w:t>供应商盖章</w:t>
      </w:r>
      <w:r>
        <w:rPr>
          <w:rFonts w:hint="eastAsia" w:hAnsi="宋体" w:eastAsia="宋体"/>
          <w:b w:val="0"/>
          <w:color w:val="auto"/>
          <w:spacing w:val="-35"/>
          <w:sz w:val="22"/>
          <w:szCs w:val="22"/>
          <w:highlight w:val="none"/>
        </w:rPr>
        <w:t>：</w:t>
      </w:r>
    </w:p>
    <w:p w14:paraId="39D7CC17">
      <w:pPr>
        <w:pageBreakBefore w:val="0"/>
        <w:widowControl w:val="0"/>
        <w:kinsoku/>
        <w:overflowPunct/>
        <w:bidi w:val="0"/>
        <w:spacing w:line="324" w:lineRule="auto"/>
        <w:rPr>
          <w:rFonts w:hint="eastAsia" w:ascii="宋体" w:eastAsia="宋体"/>
          <w:b w:val="0"/>
          <w:bCs w:val="0"/>
          <w:color w:val="auto"/>
          <w:spacing w:val="20"/>
          <w:sz w:val="22"/>
          <w:szCs w:val="22"/>
          <w:highlight w:val="none"/>
        </w:rPr>
      </w:pPr>
      <w:r>
        <w:rPr>
          <w:rFonts w:hint="eastAsia" w:ascii="宋体" w:eastAsia="宋体"/>
          <w:b w:val="0"/>
          <w:bCs w:val="0"/>
          <w:color w:val="auto"/>
          <w:spacing w:val="20"/>
          <w:sz w:val="22"/>
          <w:szCs w:val="22"/>
          <w:highlight w:val="none"/>
        </w:rPr>
        <w:t>日期：</w:t>
      </w:r>
    </w:p>
    <w:p w14:paraId="328E737C">
      <w:pPr>
        <w:pageBreakBefore w:val="0"/>
        <w:widowControl w:val="0"/>
        <w:kinsoku/>
        <w:overflowPunct/>
        <w:autoSpaceDE w:val="0"/>
        <w:autoSpaceDN w:val="0"/>
        <w:bidi w:val="0"/>
        <w:adjustRightInd w:val="0"/>
        <w:spacing w:line="324" w:lineRule="auto"/>
        <w:jc w:val="left"/>
        <w:rPr>
          <w:rFonts w:hint="eastAsia" w:ascii="宋体" w:eastAsia="宋体"/>
          <w:b w:val="0"/>
          <w:bCs w:val="0"/>
          <w:color w:val="auto"/>
          <w:sz w:val="32"/>
          <w:szCs w:val="32"/>
          <w:highlight w:val="none"/>
          <w:lang w:val="zh-CN"/>
        </w:rPr>
      </w:pPr>
    </w:p>
    <w:p w14:paraId="4DE72511">
      <w:pPr>
        <w:pageBreakBefore w:val="0"/>
        <w:widowControl w:val="0"/>
        <w:kinsoku/>
        <w:overflowPunct/>
        <w:autoSpaceDE w:val="0"/>
        <w:autoSpaceDN w:val="0"/>
        <w:bidi w:val="0"/>
        <w:adjustRightInd w:val="0"/>
        <w:spacing w:line="324" w:lineRule="auto"/>
        <w:jc w:val="left"/>
        <w:rPr>
          <w:rFonts w:hint="eastAsia" w:ascii="宋体" w:eastAsia="宋体"/>
          <w:b w:val="0"/>
          <w:bCs w:val="0"/>
          <w:color w:val="auto"/>
          <w:sz w:val="32"/>
          <w:szCs w:val="32"/>
          <w:highlight w:val="none"/>
          <w:lang w:val="zh-CN"/>
        </w:rPr>
        <w:sectPr>
          <w:pgSz w:w="11906" w:h="16838"/>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14:paraId="3E8AD72C">
      <w:pPr>
        <w:pageBreakBefore w:val="0"/>
        <w:widowControl w:val="0"/>
        <w:kinsoku/>
        <w:overflowPunct/>
        <w:bidi w:val="0"/>
        <w:spacing w:line="324" w:lineRule="auto"/>
        <w:outlineLvl w:val="1"/>
        <w:rPr>
          <w:rFonts w:hint="eastAsia" w:ascii="宋体" w:eastAsia="宋体"/>
          <w:b w:val="0"/>
          <w:color w:val="auto"/>
          <w:sz w:val="28"/>
          <w:szCs w:val="28"/>
          <w:highlight w:val="none"/>
        </w:rPr>
      </w:pPr>
      <w:bookmarkStart w:id="75" w:name="_Toc9249"/>
      <w:bookmarkStart w:id="76" w:name="_Toc15979"/>
      <w:r>
        <w:rPr>
          <w:rFonts w:hint="eastAsia" w:ascii="宋体" w:eastAsia="宋体"/>
          <w:b w:val="0"/>
          <w:color w:val="auto"/>
          <w:sz w:val="28"/>
          <w:szCs w:val="28"/>
          <w:highlight w:val="none"/>
        </w:rPr>
        <w:t>附件十</w:t>
      </w:r>
      <w:bookmarkEnd w:id="75"/>
      <w:bookmarkEnd w:id="76"/>
      <w:r>
        <w:rPr>
          <w:rFonts w:hint="eastAsia" w:ascii="宋体" w:eastAsia="宋体"/>
          <w:b w:val="0"/>
          <w:color w:val="auto"/>
          <w:sz w:val="28"/>
          <w:szCs w:val="28"/>
          <w:highlight w:val="none"/>
          <w:lang w:val="en-US" w:eastAsia="zh-CN"/>
        </w:rPr>
        <w:t>三</w:t>
      </w:r>
    </w:p>
    <w:p w14:paraId="58143705">
      <w:pPr>
        <w:pageBreakBefore w:val="0"/>
        <w:widowControl w:val="0"/>
        <w:kinsoku/>
        <w:overflowPunct/>
        <w:bidi w:val="0"/>
        <w:spacing w:line="360" w:lineRule="auto"/>
        <w:jc w:val="center"/>
        <w:outlineLvl w:val="1"/>
        <w:rPr>
          <w:rFonts w:hint="eastAsia" w:ascii="宋体" w:eastAsia="宋体"/>
          <w:color w:val="auto"/>
          <w:sz w:val="32"/>
          <w:szCs w:val="32"/>
          <w:highlight w:val="none"/>
        </w:rPr>
      </w:pPr>
      <w:bookmarkStart w:id="77" w:name="_Toc2922"/>
      <w:bookmarkStart w:id="78" w:name="_Toc6627"/>
      <w:r>
        <w:rPr>
          <w:rFonts w:hint="eastAsia" w:ascii="宋体" w:eastAsia="宋体"/>
          <w:b w:val="0"/>
          <w:bCs w:val="0"/>
          <w:color w:val="auto"/>
          <w:sz w:val="32"/>
          <w:szCs w:val="32"/>
          <w:highlight w:val="none"/>
        </w:rPr>
        <w:t>拟投入设备及工具一览表</w:t>
      </w:r>
      <w:bookmarkEnd w:id="77"/>
      <w:bookmarkEnd w:id="78"/>
    </w:p>
    <w:p w14:paraId="731FBCD9">
      <w:pPr>
        <w:pageBreakBefore w:val="0"/>
        <w:widowControl w:val="0"/>
        <w:kinsoku/>
        <w:overflowPunct/>
        <w:bidi w:val="0"/>
        <w:spacing w:after="120" w:afterLines="50" w:line="360" w:lineRule="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项目名称：                             </w:t>
      </w:r>
      <w:r>
        <w:rPr>
          <w:rFonts w:hint="eastAsia" w:ascii="宋体" w:eastAsia="宋体"/>
          <w:b w:val="0"/>
          <w:bCs w:val="0"/>
          <w:color w:val="auto"/>
          <w:sz w:val="22"/>
          <w:szCs w:val="22"/>
          <w:highlight w:val="none"/>
          <w:lang w:eastAsia="zh-CN"/>
        </w:rPr>
        <w:t>采购</w:t>
      </w:r>
      <w:r>
        <w:rPr>
          <w:rFonts w:hint="eastAsia" w:ascii="宋体" w:eastAsia="宋体"/>
          <w:b w:val="0"/>
          <w:bCs w:val="0"/>
          <w:color w:val="auto"/>
          <w:sz w:val="22"/>
          <w:szCs w:val="22"/>
          <w:highlight w:val="none"/>
        </w:rPr>
        <w:t>编号：</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3970"/>
        <w:gridCol w:w="2743"/>
      </w:tblGrid>
      <w:tr w14:paraId="20F9A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3101" w:type="dxa"/>
            <w:vAlign w:val="center"/>
          </w:tcPr>
          <w:p w14:paraId="12C42E9E">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设备或工具名称</w:t>
            </w:r>
          </w:p>
        </w:tc>
        <w:tc>
          <w:tcPr>
            <w:tcW w:w="3970" w:type="dxa"/>
            <w:vAlign w:val="center"/>
          </w:tcPr>
          <w:p w14:paraId="21110A58">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规格型号</w:t>
            </w:r>
          </w:p>
        </w:tc>
        <w:tc>
          <w:tcPr>
            <w:tcW w:w="2743" w:type="dxa"/>
            <w:vAlign w:val="center"/>
          </w:tcPr>
          <w:p w14:paraId="7FAE5076">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数量</w:t>
            </w:r>
          </w:p>
        </w:tc>
      </w:tr>
      <w:tr w14:paraId="71CA4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vAlign w:val="center"/>
          </w:tcPr>
          <w:p w14:paraId="73B7D8A2">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vAlign w:val="center"/>
          </w:tcPr>
          <w:p w14:paraId="7398F16B">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vAlign w:val="center"/>
          </w:tcPr>
          <w:p w14:paraId="6241AFD6">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75D746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vAlign w:val="center"/>
          </w:tcPr>
          <w:p w14:paraId="73C16CCE">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vAlign w:val="center"/>
          </w:tcPr>
          <w:p w14:paraId="0449810F">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vAlign w:val="center"/>
          </w:tcPr>
          <w:p w14:paraId="626DCEB9">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723DD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vAlign w:val="center"/>
          </w:tcPr>
          <w:p w14:paraId="4069FAF8">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vAlign w:val="center"/>
          </w:tcPr>
          <w:p w14:paraId="0B868160">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vAlign w:val="center"/>
          </w:tcPr>
          <w:p w14:paraId="5116C7CE">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389A2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vAlign w:val="center"/>
          </w:tcPr>
          <w:p w14:paraId="29385FFB">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vAlign w:val="center"/>
          </w:tcPr>
          <w:p w14:paraId="5680423E">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vAlign w:val="center"/>
          </w:tcPr>
          <w:p w14:paraId="1907F13C">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36E3B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vAlign w:val="center"/>
          </w:tcPr>
          <w:p w14:paraId="275111C9">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vAlign w:val="center"/>
          </w:tcPr>
          <w:p w14:paraId="368BEF10">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vAlign w:val="center"/>
          </w:tcPr>
          <w:p w14:paraId="1EAF5AAD">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2506EA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vAlign w:val="center"/>
          </w:tcPr>
          <w:p w14:paraId="2FD17A24">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vAlign w:val="center"/>
          </w:tcPr>
          <w:p w14:paraId="25F059AE">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vAlign w:val="center"/>
          </w:tcPr>
          <w:p w14:paraId="19ECC62B">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6C59C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vAlign w:val="center"/>
          </w:tcPr>
          <w:p w14:paraId="3D1BCF9A">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vAlign w:val="center"/>
          </w:tcPr>
          <w:p w14:paraId="3AA5FA64">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vAlign w:val="center"/>
          </w:tcPr>
          <w:p w14:paraId="300F88AA">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5B4F2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vAlign w:val="center"/>
          </w:tcPr>
          <w:p w14:paraId="27ACC524">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vAlign w:val="center"/>
          </w:tcPr>
          <w:p w14:paraId="4855CBA6">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vAlign w:val="center"/>
          </w:tcPr>
          <w:p w14:paraId="2D6228B2">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36EA8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vAlign w:val="center"/>
          </w:tcPr>
          <w:p w14:paraId="51DDD7D4">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vAlign w:val="center"/>
          </w:tcPr>
          <w:p w14:paraId="791A8CAC">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vAlign w:val="center"/>
          </w:tcPr>
          <w:p w14:paraId="7A3BAD84">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4F709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vAlign w:val="center"/>
          </w:tcPr>
          <w:p w14:paraId="5FF515A9">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vAlign w:val="center"/>
          </w:tcPr>
          <w:p w14:paraId="20622B53">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vAlign w:val="center"/>
          </w:tcPr>
          <w:p w14:paraId="63D37E13">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4F686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vAlign w:val="center"/>
          </w:tcPr>
          <w:p w14:paraId="7FA32B2F">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vAlign w:val="center"/>
          </w:tcPr>
          <w:p w14:paraId="2E3293C5">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vAlign w:val="center"/>
          </w:tcPr>
          <w:p w14:paraId="62F62330">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1A5FD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vAlign w:val="center"/>
          </w:tcPr>
          <w:p w14:paraId="00F6098E">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vAlign w:val="center"/>
          </w:tcPr>
          <w:p w14:paraId="07D4B5E9">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vAlign w:val="center"/>
          </w:tcPr>
          <w:p w14:paraId="679477FE">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50938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vAlign w:val="center"/>
          </w:tcPr>
          <w:p w14:paraId="73A41294">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vAlign w:val="center"/>
          </w:tcPr>
          <w:p w14:paraId="36496D60">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vAlign w:val="center"/>
          </w:tcPr>
          <w:p w14:paraId="276B8747">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bl>
    <w:p w14:paraId="7A0DF229">
      <w:pPr>
        <w:pageBreakBefore w:val="0"/>
        <w:widowControl w:val="0"/>
        <w:kinsoku/>
        <w:overflowPunct/>
        <w:bidi w:val="0"/>
        <w:spacing w:line="360" w:lineRule="auto"/>
        <w:rPr>
          <w:rFonts w:hint="eastAsia" w:ascii="宋体" w:eastAsia="宋体"/>
          <w:b w:val="0"/>
          <w:bCs w:val="0"/>
          <w:color w:val="auto"/>
          <w:sz w:val="8"/>
          <w:szCs w:val="8"/>
          <w:highlight w:val="none"/>
        </w:rPr>
      </w:pPr>
    </w:p>
    <w:p w14:paraId="77B16C36">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注：1、本表所列为项目所需的设备及工具，请按每种设备或工具分别填写。</w:t>
      </w:r>
    </w:p>
    <w:p w14:paraId="7321D1AC">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2、表格可以延续。</w:t>
      </w:r>
    </w:p>
    <w:p w14:paraId="4A990063">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p>
    <w:p w14:paraId="31AD5177">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p>
    <w:p w14:paraId="1A7FBCFC">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供应商全称（公章）：</w:t>
      </w:r>
    </w:p>
    <w:p w14:paraId="46000F24">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日期：</w:t>
      </w:r>
    </w:p>
    <w:p w14:paraId="16AFFF51">
      <w:pPr>
        <w:pageBreakBefore w:val="0"/>
        <w:widowControl w:val="0"/>
        <w:kinsoku/>
        <w:overflowPunct/>
        <w:autoSpaceDE w:val="0"/>
        <w:autoSpaceDN w:val="0"/>
        <w:bidi w:val="0"/>
        <w:adjustRightInd w:val="0"/>
        <w:spacing w:line="324" w:lineRule="auto"/>
        <w:rPr>
          <w:rFonts w:hint="eastAsia" w:ascii="宋体" w:eastAsia="宋体"/>
          <w:b w:val="0"/>
          <w:color w:val="auto"/>
          <w:sz w:val="32"/>
          <w:highlight w:val="none"/>
          <w:lang w:val="zh-CN"/>
        </w:rPr>
      </w:pPr>
    </w:p>
    <w:p w14:paraId="5B437A60">
      <w:pPr>
        <w:pStyle w:val="10"/>
        <w:pageBreakBefore w:val="0"/>
        <w:widowControl w:val="0"/>
        <w:kinsoku/>
        <w:overflowPunct/>
        <w:bidi w:val="0"/>
        <w:spacing w:line="324" w:lineRule="auto"/>
        <w:rPr>
          <w:rFonts w:hint="eastAsia" w:ascii="宋体" w:hAnsi="宋体" w:cs="宋体"/>
          <w:b/>
          <w:color w:val="auto"/>
          <w:sz w:val="32"/>
          <w:highlight w:val="none"/>
          <w:lang w:val="zh-CN"/>
        </w:rPr>
        <w:sectPr>
          <w:pgSz w:w="11906" w:h="16838"/>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14:paraId="3AFB97D6">
      <w:pPr>
        <w:pageBreakBefore w:val="0"/>
        <w:widowControl w:val="0"/>
        <w:kinsoku/>
        <w:overflowPunct/>
        <w:autoSpaceDE w:val="0"/>
        <w:autoSpaceDN w:val="0"/>
        <w:bidi w:val="0"/>
        <w:adjustRightInd w:val="0"/>
        <w:spacing w:line="324" w:lineRule="auto"/>
        <w:rPr>
          <w:rFonts w:hint="eastAsia" w:ascii="宋体" w:eastAsia="宋体"/>
          <w:b w:val="0"/>
          <w:color w:val="auto"/>
          <w:sz w:val="32"/>
          <w:highlight w:val="none"/>
          <w:lang w:val="zh-CN"/>
        </w:rPr>
      </w:pPr>
      <w:r>
        <w:rPr>
          <w:rFonts w:hint="eastAsia" w:ascii="宋体" w:eastAsia="宋体"/>
          <w:b w:val="0"/>
          <w:color w:val="auto"/>
          <w:sz w:val="32"/>
          <w:highlight w:val="none"/>
          <w:lang w:val="zh-CN"/>
        </w:rPr>
        <w:t>附件十</w:t>
      </w:r>
      <w:r>
        <w:rPr>
          <w:rFonts w:hint="eastAsia" w:ascii="宋体" w:eastAsia="宋体"/>
          <w:b w:val="0"/>
          <w:color w:val="auto"/>
          <w:sz w:val="32"/>
          <w:highlight w:val="none"/>
          <w:lang w:val="en-US" w:eastAsia="zh-CN"/>
        </w:rPr>
        <w:t>四</w:t>
      </w:r>
    </w:p>
    <w:p w14:paraId="33C02D2A">
      <w:pPr>
        <w:pStyle w:val="12"/>
        <w:pageBreakBefore w:val="0"/>
        <w:widowControl w:val="0"/>
        <w:kinsoku/>
        <w:overflowPunct/>
        <w:bidi w:val="0"/>
        <w:spacing w:line="360" w:lineRule="auto"/>
        <w:jc w:val="center"/>
        <w:outlineLvl w:val="1"/>
        <w:rPr>
          <w:rFonts w:hint="eastAsia" w:hAnsi="宋体" w:eastAsia="宋体"/>
          <w:b w:val="0"/>
          <w:bCs w:val="0"/>
          <w:color w:val="auto"/>
          <w:sz w:val="32"/>
          <w:szCs w:val="32"/>
          <w:highlight w:val="none"/>
        </w:rPr>
      </w:pPr>
      <w:bookmarkStart w:id="79" w:name="_Toc24965"/>
      <w:bookmarkStart w:id="80" w:name="_Toc29743"/>
      <w:r>
        <w:rPr>
          <w:rFonts w:hint="eastAsia" w:hAnsi="宋体" w:eastAsia="宋体"/>
          <w:b w:val="0"/>
          <w:color w:val="auto"/>
          <w:sz w:val="32"/>
          <w:szCs w:val="32"/>
          <w:highlight w:val="none"/>
        </w:rPr>
        <w:t>拟派项目负责人履历表</w:t>
      </w:r>
      <w:bookmarkEnd w:id="79"/>
      <w:bookmarkEnd w:id="80"/>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49"/>
        <w:gridCol w:w="1838"/>
        <w:gridCol w:w="1601"/>
        <w:gridCol w:w="1742"/>
        <w:gridCol w:w="1462"/>
        <w:gridCol w:w="1602"/>
      </w:tblGrid>
      <w:tr w14:paraId="0E10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734" w:type="dxa"/>
            <w:gridSpan w:val="7"/>
            <w:vAlign w:val="center"/>
          </w:tcPr>
          <w:p w14:paraId="2A54DA67">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1、一般情况</w:t>
            </w:r>
          </w:p>
        </w:tc>
      </w:tr>
      <w:tr w14:paraId="03FF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tcBorders>
              <w:top w:val="single" w:color="auto" w:sz="4" w:space="0"/>
              <w:left w:val="single" w:color="auto" w:sz="4" w:space="0"/>
              <w:right w:val="single" w:color="auto" w:sz="4" w:space="0"/>
            </w:tcBorders>
            <w:vAlign w:val="center"/>
          </w:tcPr>
          <w:p w14:paraId="72CAFDC7">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姓   名</w:t>
            </w:r>
          </w:p>
        </w:tc>
        <w:tc>
          <w:tcPr>
            <w:tcW w:w="1838" w:type="dxa"/>
            <w:tcBorders>
              <w:top w:val="single" w:color="auto" w:sz="4" w:space="0"/>
              <w:left w:val="single" w:color="auto" w:sz="4" w:space="0"/>
              <w:right w:val="single" w:color="auto" w:sz="4" w:space="0"/>
            </w:tcBorders>
            <w:vAlign w:val="center"/>
          </w:tcPr>
          <w:p w14:paraId="5E19268A">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601" w:type="dxa"/>
            <w:tcBorders>
              <w:top w:val="single" w:color="auto" w:sz="4" w:space="0"/>
              <w:left w:val="single" w:color="auto" w:sz="4" w:space="0"/>
              <w:right w:val="single" w:color="auto" w:sz="4" w:space="0"/>
            </w:tcBorders>
            <w:vAlign w:val="center"/>
          </w:tcPr>
          <w:p w14:paraId="5FD28C8D">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年  龄</w:t>
            </w:r>
          </w:p>
        </w:tc>
        <w:tc>
          <w:tcPr>
            <w:tcW w:w="1742" w:type="dxa"/>
            <w:tcBorders>
              <w:top w:val="single" w:color="auto" w:sz="4" w:space="0"/>
              <w:left w:val="single" w:color="auto" w:sz="4" w:space="0"/>
              <w:right w:val="single" w:color="auto" w:sz="4" w:space="0"/>
            </w:tcBorders>
            <w:vAlign w:val="center"/>
          </w:tcPr>
          <w:p w14:paraId="48E721A3">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462" w:type="dxa"/>
            <w:tcBorders>
              <w:top w:val="single" w:color="auto" w:sz="4" w:space="0"/>
              <w:left w:val="single" w:color="auto" w:sz="4" w:space="0"/>
              <w:right w:val="single" w:color="auto" w:sz="4" w:space="0"/>
            </w:tcBorders>
            <w:vAlign w:val="center"/>
          </w:tcPr>
          <w:p w14:paraId="18EFAE5A">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学  历</w:t>
            </w:r>
          </w:p>
        </w:tc>
        <w:tc>
          <w:tcPr>
            <w:tcW w:w="1602" w:type="dxa"/>
            <w:tcBorders>
              <w:top w:val="single" w:color="auto" w:sz="4" w:space="0"/>
              <w:left w:val="single" w:color="auto" w:sz="4" w:space="0"/>
              <w:right w:val="single" w:color="auto" w:sz="4" w:space="0"/>
            </w:tcBorders>
            <w:vAlign w:val="center"/>
          </w:tcPr>
          <w:p w14:paraId="0B70F0C5">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5D0B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tcBorders>
              <w:top w:val="single" w:color="auto" w:sz="4" w:space="0"/>
              <w:left w:val="single" w:color="auto" w:sz="4" w:space="0"/>
              <w:right w:val="single" w:color="auto" w:sz="4" w:space="0"/>
            </w:tcBorders>
            <w:vAlign w:val="center"/>
          </w:tcPr>
          <w:p w14:paraId="1C9AA486">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毕业学校</w:t>
            </w:r>
          </w:p>
        </w:tc>
        <w:tc>
          <w:tcPr>
            <w:tcW w:w="1838" w:type="dxa"/>
            <w:tcBorders>
              <w:top w:val="single" w:color="auto" w:sz="4" w:space="0"/>
              <w:left w:val="single" w:color="auto" w:sz="4" w:space="0"/>
              <w:right w:val="single" w:color="auto" w:sz="4" w:space="0"/>
            </w:tcBorders>
            <w:vAlign w:val="center"/>
          </w:tcPr>
          <w:p w14:paraId="5DC3ABF9">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1601" w:type="dxa"/>
            <w:tcBorders>
              <w:top w:val="single" w:color="auto" w:sz="4" w:space="0"/>
              <w:left w:val="single" w:color="auto" w:sz="4" w:space="0"/>
              <w:right w:val="single" w:color="auto" w:sz="4" w:space="0"/>
            </w:tcBorders>
            <w:vAlign w:val="center"/>
          </w:tcPr>
          <w:p w14:paraId="42880021">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专  业</w:t>
            </w:r>
          </w:p>
        </w:tc>
        <w:tc>
          <w:tcPr>
            <w:tcW w:w="1742" w:type="dxa"/>
            <w:tcBorders>
              <w:top w:val="single" w:color="auto" w:sz="4" w:space="0"/>
              <w:left w:val="single" w:color="auto" w:sz="4" w:space="0"/>
              <w:right w:val="single" w:color="auto" w:sz="4" w:space="0"/>
            </w:tcBorders>
            <w:vAlign w:val="center"/>
          </w:tcPr>
          <w:p w14:paraId="1D97B8D2">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462" w:type="dxa"/>
            <w:tcBorders>
              <w:top w:val="single" w:color="auto" w:sz="4" w:space="0"/>
              <w:left w:val="single" w:color="auto" w:sz="4" w:space="0"/>
              <w:right w:val="single" w:color="auto" w:sz="4" w:space="0"/>
            </w:tcBorders>
            <w:vAlign w:val="center"/>
          </w:tcPr>
          <w:p w14:paraId="6890A46D">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职  务</w:t>
            </w:r>
          </w:p>
        </w:tc>
        <w:tc>
          <w:tcPr>
            <w:tcW w:w="1602" w:type="dxa"/>
            <w:tcBorders>
              <w:top w:val="single" w:color="auto" w:sz="4" w:space="0"/>
              <w:left w:val="single" w:color="auto" w:sz="4" w:space="0"/>
              <w:right w:val="single" w:color="auto" w:sz="4" w:space="0"/>
            </w:tcBorders>
            <w:vAlign w:val="center"/>
          </w:tcPr>
          <w:p w14:paraId="0FE14E02">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0BED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jc w:val="center"/>
        </w:trPr>
        <w:tc>
          <w:tcPr>
            <w:tcW w:w="1489" w:type="dxa"/>
            <w:gridSpan w:val="2"/>
            <w:tcBorders>
              <w:top w:val="single" w:color="auto" w:sz="4" w:space="0"/>
              <w:left w:val="single" w:color="auto" w:sz="4" w:space="0"/>
              <w:right w:val="single" w:color="auto" w:sz="4" w:space="0"/>
            </w:tcBorders>
            <w:vAlign w:val="center"/>
          </w:tcPr>
          <w:p w14:paraId="67A55930">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职  称</w:t>
            </w:r>
          </w:p>
        </w:tc>
        <w:tc>
          <w:tcPr>
            <w:tcW w:w="1838" w:type="dxa"/>
            <w:tcBorders>
              <w:top w:val="single" w:color="auto" w:sz="4" w:space="0"/>
              <w:left w:val="single" w:color="auto" w:sz="4" w:space="0"/>
              <w:right w:val="single" w:color="auto" w:sz="4" w:space="0"/>
            </w:tcBorders>
            <w:vAlign w:val="center"/>
          </w:tcPr>
          <w:p w14:paraId="3F65DAB0">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1601" w:type="dxa"/>
            <w:tcBorders>
              <w:top w:val="single" w:color="auto" w:sz="4" w:space="0"/>
              <w:left w:val="single" w:color="auto" w:sz="4" w:space="0"/>
              <w:right w:val="single" w:color="auto" w:sz="4" w:space="0"/>
            </w:tcBorders>
            <w:vAlign w:val="center"/>
          </w:tcPr>
          <w:p w14:paraId="43B952E8">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拟任何职</w:t>
            </w:r>
          </w:p>
        </w:tc>
        <w:tc>
          <w:tcPr>
            <w:tcW w:w="1742" w:type="dxa"/>
            <w:tcBorders>
              <w:top w:val="single" w:color="auto" w:sz="4" w:space="0"/>
              <w:left w:val="single" w:color="auto" w:sz="4" w:space="0"/>
              <w:right w:val="single" w:color="auto" w:sz="4" w:space="0"/>
            </w:tcBorders>
            <w:vAlign w:val="center"/>
          </w:tcPr>
          <w:p w14:paraId="6EEA92DF">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462" w:type="dxa"/>
            <w:tcBorders>
              <w:top w:val="single" w:color="auto" w:sz="4" w:space="0"/>
              <w:left w:val="single" w:color="auto" w:sz="4" w:space="0"/>
              <w:right w:val="single" w:color="auto" w:sz="4" w:space="0"/>
            </w:tcBorders>
            <w:vAlign w:val="center"/>
          </w:tcPr>
          <w:p w14:paraId="1DD96EA8">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参加工作</w:t>
            </w:r>
          </w:p>
          <w:p w14:paraId="0D6C62B7">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时间</w:t>
            </w:r>
          </w:p>
        </w:tc>
        <w:tc>
          <w:tcPr>
            <w:tcW w:w="1602" w:type="dxa"/>
            <w:tcBorders>
              <w:top w:val="single" w:color="auto" w:sz="4" w:space="0"/>
              <w:left w:val="single" w:color="auto" w:sz="4" w:space="0"/>
              <w:right w:val="single" w:color="auto" w:sz="4" w:space="0"/>
            </w:tcBorders>
            <w:vAlign w:val="center"/>
          </w:tcPr>
          <w:p w14:paraId="578A4EE7">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07A0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tcBorders>
              <w:top w:val="single" w:color="auto" w:sz="4" w:space="0"/>
              <w:left w:val="single" w:color="auto" w:sz="4" w:space="0"/>
              <w:right w:val="single" w:color="auto" w:sz="4" w:space="0"/>
            </w:tcBorders>
            <w:vAlign w:val="center"/>
          </w:tcPr>
          <w:p w14:paraId="297A7537">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2、个人简历</w:t>
            </w:r>
          </w:p>
        </w:tc>
      </w:tr>
      <w:tr w14:paraId="272F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tcBorders>
              <w:top w:val="single" w:color="auto" w:sz="4" w:space="0"/>
              <w:left w:val="single" w:color="auto" w:sz="4" w:space="0"/>
              <w:right w:val="single" w:color="auto" w:sz="4" w:space="0"/>
            </w:tcBorders>
            <w:vAlign w:val="center"/>
          </w:tcPr>
          <w:p w14:paraId="54D23868">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时  间</w:t>
            </w:r>
          </w:p>
        </w:tc>
        <w:tc>
          <w:tcPr>
            <w:tcW w:w="8245" w:type="dxa"/>
            <w:gridSpan w:val="5"/>
            <w:tcBorders>
              <w:top w:val="single" w:color="auto" w:sz="4" w:space="0"/>
              <w:left w:val="single" w:color="auto" w:sz="4" w:space="0"/>
              <w:right w:val="single" w:color="auto" w:sz="4" w:space="0"/>
            </w:tcBorders>
            <w:vAlign w:val="center"/>
          </w:tcPr>
          <w:p w14:paraId="7E0F34D2">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专业工作经历</w:t>
            </w:r>
          </w:p>
        </w:tc>
      </w:tr>
      <w:tr w14:paraId="585B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tcBorders>
              <w:top w:val="single" w:color="auto" w:sz="4" w:space="0"/>
              <w:left w:val="single" w:color="auto" w:sz="4" w:space="0"/>
              <w:right w:val="single" w:color="auto" w:sz="4" w:space="0"/>
            </w:tcBorders>
            <w:vAlign w:val="center"/>
          </w:tcPr>
          <w:p w14:paraId="7CB4D945">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8245" w:type="dxa"/>
            <w:gridSpan w:val="5"/>
            <w:tcBorders>
              <w:top w:val="single" w:color="auto" w:sz="4" w:space="0"/>
              <w:left w:val="single" w:color="auto" w:sz="4" w:space="0"/>
              <w:right w:val="single" w:color="auto" w:sz="4" w:space="0"/>
            </w:tcBorders>
            <w:vAlign w:val="center"/>
          </w:tcPr>
          <w:p w14:paraId="296F2B4E">
            <w:pPr>
              <w:pageBreakBefore w:val="0"/>
              <w:widowControl w:val="0"/>
              <w:kinsoku/>
              <w:overflowPunct/>
              <w:bidi w:val="0"/>
              <w:spacing w:line="360" w:lineRule="auto"/>
              <w:rPr>
                <w:rFonts w:hint="eastAsia" w:ascii="宋体" w:eastAsia="宋体"/>
                <w:b w:val="0"/>
                <w:bCs w:val="0"/>
                <w:color w:val="auto"/>
                <w:sz w:val="22"/>
                <w:szCs w:val="22"/>
                <w:highlight w:val="none"/>
              </w:rPr>
            </w:pPr>
          </w:p>
        </w:tc>
      </w:tr>
      <w:tr w14:paraId="6013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tcBorders>
              <w:top w:val="single" w:color="auto" w:sz="4" w:space="0"/>
              <w:left w:val="single" w:color="auto" w:sz="4" w:space="0"/>
              <w:right w:val="single" w:color="auto" w:sz="4" w:space="0"/>
            </w:tcBorders>
            <w:vAlign w:val="center"/>
          </w:tcPr>
          <w:p w14:paraId="347912C0">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8245" w:type="dxa"/>
            <w:gridSpan w:val="5"/>
            <w:tcBorders>
              <w:top w:val="single" w:color="auto" w:sz="4" w:space="0"/>
              <w:left w:val="single" w:color="auto" w:sz="4" w:space="0"/>
              <w:right w:val="single" w:color="auto" w:sz="4" w:space="0"/>
            </w:tcBorders>
            <w:vAlign w:val="center"/>
          </w:tcPr>
          <w:p w14:paraId="589CACF6">
            <w:pPr>
              <w:pageBreakBefore w:val="0"/>
              <w:widowControl w:val="0"/>
              <w:kinsoku/>
              <w:overflowPunct/>
              <w:bidi w:val="0"/>
              <w:spacing w:line="360" w:lineRule="auto"/>
              <w:rPr>
                <w:rFonts w:hint="eastAsia" w:ascii="宋体" w:eastAsia="宋体"/>
                <w:b w:val="0"/>
                <w:bCs w:val="0"/>
                <w:color w:val="auto"/>
                <w:sz w:val="22"/>
                <w:szCs w:val="22"/>
                <w:highlight w:val="none"/>
              </w:rPr>
            </w:pPr>
          </w:p>
        </w:tc>
      </w:tr>
      <w:tr w14:paraId="1238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tcBorders>
              <w:top w:val="single" w:color="auto" w:sz="4" w:space="0"/>
              <w:left w:val="single" w:color="auto" w:sz="4" w:space="0"/>
              <w:right w:val="single" w:color="auto" w:sz="4" w:space="0"/>
            </w:tcBorders>
            <w:vAlign w:val="center"/>
          </w:tcPr>
          <w:p w14:paraId="1C383084">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3、负责人相关项目业绩</w:t>
            </w:r>
          </w:p>
        </w:tc>
      </w:tr>
      <w:tr w14:paraId="52C8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tcBorders>
              <w:top w:val="single" w:color="auto" w:sz="4" w:space="0"/>
              <w:left w:val="single" w:color="auto" w:sz="4" w:space="0"/>
              <w:right w:val="single" w:color="auto" w:sz="4" w:space="0"/>
            </w:tcBorders>
            <w:vAlign w:val="center"/>
          </w:tcPr>
          <w:p w14:paraId="345F1236">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序号</w:t>
            </w:r>
          </w:p>
        </w:tc>
        <w:tc>
          <w:tcPr>
            <w:tcW w:w="5630" w:type="dxa"/>
            <w:gridSpan w:val="4"/>
            <w:tcBorders>
              <w:top w:val="single" w:color="auto" w:sz="4" w:space="0"/>
              <w:left w:val="single" w:color="auto" w:sz="4" w:space="0"/>
              <w:right w:val="single" w:color="auto" w:sz="4" w:space="0"/>
            </w:tcBorders>
            <w:vAlign w:val="center"/>
          </w:tcPr>
          <w:p w14:paraId="28A0DFB2">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项  目  名  称</w:t>
            </w:r>
          </w:p>
        </w:tc>
        <w:tc>
          <w:tcPr>
            <w:tcW w:w="3064" w:type="dxa"/>
            <w:gridSpan w:val="2"/>
            <w:tcBorders>
              <w:top w:val="single" w:color="auto" w:sz="4" w:space="0"/>
              <w:left w:val="single" w:color="auto" w:sz="4" w:space="0"/>
              <w:right w:val="single" w:color="auto" w:sz="4" w:space="0"/>
            </w:tcBorders>
            <w:vAlign w:val="center"/>
          </w:tcPr>
          <w:p w14:paraId="0389DB2D">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完成年份</w:t>
            </w:r>
          </w:p>
        </w:tc>
      </w:tr>
      <w:tr w14:paraId="0706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tcBorders>
              <w:top w:val="single" w:color="auto" w:sz="4" w:space="0"/>
              <w:left w:val="single" w:color="auto" w:sz="4" w:space="0"/>
              <w:right w:val="single" w:color="auto" w:sz="4" w:space="0"/>
            </w:tcBorders>
            <w:vAlign w:val="center"/>
          </w:tcPr>
          <w:p w14:paraId="72F3297A">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5630" w:type="dxa"/>
            <w:gridSpan w:val="4"/>
            <w:tcBorders>
              <w:top w:val="single" w:color="auto" w:sz="4" w:space="0"/>
              <w:left w:val="single" w:color="auto" w:sz="4" w:space="0"/>
              <w:right w:val="single" w:color="auto" w:sz="4" w:space="0"/>
            </w:tcBorders>
            <w:vAlign w:val="center"/>
          </w:tcPr>
          <w:p w14:paraId="06E8F30B">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3064" w:type="dxa"/>
            <w:gridSpan w:val="2"/>
            <w:tcBorders>
              <w:top w:val="single" w:color="auto" w:sz="4" w:space="0"/>
              <w:left w:val="single" w:color="auto" w:sz="4" w:space="0"/>
              <w:right w:val="single" w:color="auto" w:sz="4" w:space="0"/>
            </w:tcBorders>
            <w:vAlign w:val="center"/>
          </w:tcPr>
          <w:p w14:paraId="260E3C7F">
            <w:pPr>
              <w:pageBreakBefore w:val="0"/>
              <w:widowControl w:val="0"/>
              <w:kinsoku/>
              <w:overflowPunct/>
              <w:bidi w:val="0"/>
              <w:spacing w:line="360" w:lineRule="auto"/>
              <w:rPr>
                <w:rFonts w:hint="eastAsia" w:ascii="宋体" w:eastAsia="宋体"/>
                <w:b w:val="0"/>
                <w:bCs w:val="0"/>
                <w:color w:val="auto"/>
                <w:sz w:val="22"/>
                <w:szCs w:val="22"/>
                <w:highlight w:val="none"/>
              </w:rPr>
            </w:pPr>
          </w:p>
        </w:tc>
      </w:tr>
      <w:tr w14:paraId="4D29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tcBorders>
              <w:top w:val="single" w:color="auto" w:sz="4" w:space="0"/>
              <w:left w:val="single" w:color="auto" w:sz="4" w:space="0"/>
              <w:right w:val="single" w:color="auto" w:sz="4" w:space="0"/>
            </w:tcBorders>
            <w:vAlign w:val="center"/>
          </w:tcPr>
          <w:p w14:paraId="5FDA22FE">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5630" w:type="dxa"/>
            <w:gridSpan w:val="4"/>
            <w:tcBorders>
              <w:top w:val="single" w:color="auto" w:sz="4" w:space="0"/>
              <w:left w:val="single" w:color="auto" w:sz="4" w:space="0"/>
              <w:right w:val="single" w:color="auto" w:sz="4" w:space="0"/>
            </w:tcBorders>
            <w:vAlign w:val="center"/>
          </w:tcPr>
          <w:p w14:paraId="3B192DD6">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3064" w:type="dxa"/>
            <w:gridSpan w:val="2"/>
            <w:tcBorders>
              <w:top w:val="single" w:color="auto" w:sz="4" w:space="0"/>
              <w:left w:val="single" w:color="auto" w:sz="4" w:space="0"/>
              <w:right w:val="single" w:color="auto" w:sz="4" w:space="0"/>
            </w:tcBorders>
            <w:vAlign w:val="center"/>
          </w:tcPr>
          <w:p w14:paraId="52BDD67F">
            <w:pPr>
              <w:pageBreakBefore w:val="0"/>
              <w:widowControl w:val="0"/>
              <w:kinsoku/>
              <w:overflowPunct/>
              <w:bidi w:val="0"/>
              <w:spacing w:line="360" w:lineRule="auto"/>
              <w:rPr>
                <w:rFonts w:hint="eastAsia" w:ascii="宋体" w:eastAsia="宋体"/>
                <w:b w:val="0"/>
                <w:bCs w:val="0"/>
                <w:color w:val="auto"/>
                <w:sz w:val="22"/>
                <w:szCs w:val="22"/>
                <w:highlight w:val="none"/>
              </w:rPr>
            </w:pPr>
          </w:p>
        </w:tc>
      </w:tr>
      <w:tr w14:paraId="7694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tcBorders>
              <w:top w:val="single" w:color="auto" w:sz="4" w:space="0"/>
              <w:left w:val="single" w:color="auto" w:sz="4" w:space="0"/>
              <w:right w:val="single" w:color="auto" w:sz="4" w:space="0"/>
            </w:tcBorders>
            <w:vAlign w:val="center"/>
          </w:tcPr>
          <w:p w14:paraId="51358B5A">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5630" w:type="dxa"/>
            <w:gridSpan w:val="4"/>
            <w:tcBorders>
              <w:top w:val="single" w:color="auto" w:sz="4" w:space="0"/>
              <w:left w:val="single" w:color="auto" w:sz="4" w:space="0"/>
              <w:right w:val="single" w:color="auto" w:sz="4" w:space="0"/>
            </w:tcBorders>
            <w:vAlign w:val="center"/>
          </w:tcPr>
          <w:p w14:paraId="102CF962">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3064" w:type="dxa"/>
            <w:gridSpan w:val="2"/>
            <w:tcBorders>
              <w:top w:val="single" w:color="auto" w:sz="4" w:space="0"/>
              <w:left w:val="single" w:color="auto" w:sz="4" w:space="0"/>
              <w:right w:val="single" w:color="auto" w:sz="4" w:space="0"/>
            </w:tcBorders>
            <w:vAlign w:val="center"/>
          </w:tcPr>
          <w:p w14:paraId="4A5A03E0">
            <w:pPr>
              <w:pageBreakBefore w:val="0"/>
              <w:widowControl w:val="0"/>
              <w:kinsoku/>
              <w:overflowPunct/>
              <w:bidi w:val="0"/>
              <w:spacing w:line="360" w:lineRule="auto"/>
              <w:rPr>
                <w:rFonts w:hint="eastAsia" w:ascii="宋体" w:eastAsia="宋体"/>
                <w:b w:val="0"/>
                <w:bCs w:val="0"/>
                <w:color w:val="auto"/>
                <w:sz w:val="22"/>
                <w:szCs w:val="22"/>
                <w:highlight w:val="none"/>
              </w:rPr>
            </w:pPr>
          </w:p>
        </w:tc>
      </w:tr>
      <w:tr w14:paraId="3E32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tcBorders>
              <w:top w:val="single" w:color="auto" w:sz="4" w:space="0"/>
              <w:left w:val="single" w:color="auto" w:sz="4" w:space="0"/>
              <w:right w:val="single" w:color="auto" w:sz="4" w:space="0"/>
            </w:tcBorders>
            <w:vAlign w:val="center"/>
          </w:tcPr>
          <w:p w14:paraId="04F476B7">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5630" w:type="dxa"/>
            <w:gridSpan w:val="4"/>
            <w:tcBorders>
              <w:top w:val="single" w:color="auto" w:sz="4" w:space="0"/>
              <w:left w:val="single" w:color="auto" w:sz="4" w:space="0"/>
              <w:right w:val="single" w:color="auto" w:sz="4" w:space="0"/>
            </w:tcBorders>
            <w:vAlign w:val="center"/>
          </w:tcPr>
          <w:p w14:paraId="6CAF5EA4">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3064" w:type="dxa"/>
            <w:gridSpan w:val="2"/>
            <w:tcBorders>
              <w:top w:val="single" w:color="auto" w:sz="4" w:space="0"/>
              <w:left w:val="single" w:color="auto" w:sz="4" w:space="0"/>
              <w:right w:val="single" w:color="auto" w:sz="4" w:space="0"/>
            </w:tcBorders>
            <w:vAlign w:val="center"/>
          </w:tcPr>
          <w:p w14:paraId="23DE9E14">
            <w:pPr>
              <w:pageBreakBefore w:val="0"/>
              <w:widowControl w:val="0"/>
              <w:kinsoku/>
              <w:overflowPunct/>
              <w:bidi w:val="0"/>
              <w:spacing w:line="360" w:lineRule="auto"/>
              <w:rPr>
                <w:rFonts w:hint="eastAsia" w:ascii="宋体" w:eastAsia="宋体"/>
                <w:b w:val="0"/>
                <w:bCs w:val="0"/>
                <w:color w:val="auto"/>
                <w:sz w:val="22"/>
                <w:szCs w:val="22"/>
                <w:highlight w:val="none"/>
              </w:rPr>
            </w:pPr>
          </w:p>
        </w:tc>
      </w:tr>
    </w:tbl>
    <w:p w14:paraId="4CEC17E1">
      <w:pPr>
        <w:pageBreakBefore w:val="0"/>
        <w:widowControl w:val="0"/>
        <w:kinsoku/>
        <w:overflowPunct/>
        <w:bidi w:val="0"/>
        <w:spacing w:line="360" w:lineRule="auto"/>
        <w:rPr>
          <w:rFonts w:hint="eastAsia" w:ascii="宋体" w:eastAsia="宋体"/>
          <w:b w:val="0"/>
          <w:bCs w:val="0"/>
          <w:color w:val="auto"/>
          <w:sz w:val="8"/>
          <w:szCs w:val="8"/>
          <w:highlight w:val="none"/>
        </w:rPr>
      </w:pPr>
    </w:p>
    <w:p w14:paraId="52C8CC98">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附注：1、本表可在不改变格式的情况下根据具体需要自行增减。</w:t>
      </w:r>
    </w:p>
    <w:p w14:paraId="4FDDDB19">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2、需在本表格后加附项目总负责人身份证复印件、劳动合同复印件、相关证书复印件、投标截止时间前在投标单位</w:t>
      </w:r>
      <w:r>
        <w:rPr>
          <w:rFonts w:hint="eastAsia" w:ascii="宋体" w:hAnsi="宋体" w:eastAsia="宋体" w:cs="宋体"/>
          <w:b w:val="0"/>
          <w:bCs w:val="0"/>
          <w:color w:val="auto"/>
          <w:sz w:val="22"/>
          <w:highlight w:val="none"/>
          <w:lang w:val="en-US" w:eastAsia="zh-CN"/>
        </w:rPr>
        <w:t>的</w:t>
      </w:r>
      <w:r>
        <w:rPr>
          <w:rFonts w:hint="eastAsia" w:ascii="宋体" w:hAnsi="宋体" w:eastAsia="宋体" w:cs="宋体"/>
          <w:b w:val="0"/>
          <w:bCs w:val="0"/>
          <w:color w:val="auto"/>
          <w:sz w:val="22"/>
          <w:highlight w:val="none"/>
        </w:rPr>
        <w:t>社保缴纳证明材料及在公司曾参加的项目经历（如有）等。</w:t>
      </w:r>
    </w:p>
    <w:p w14:paraId="4CB6FDF8">
      <w:pPr>
        <w:pageBreakBefore w:val="0"/>
        <w:widowControl w:val="0"/>
        <w:kinsoku/>
        <w:overflowPunct/>
        <w:bidi w:val="0"/>
        <w:spacing w:line="360" w:lineRule="auto"/>
        <w:ind w:firstLine="480"/>
        <w:rPr>
          <w:rFonts w:hint="eastAsia" w:ascii="宋体" w:eastAsia="宋体"/>
          <w:b w:val="0"/>
          <w:bCs w:val="0"/>
          <w:color w:val="auto"/>
          <w:spacing w:val="20"/>
          <w:sz w:val="22"/>
          <w:szCs w:val="22"/>
          <w:highlight w:val="none"/>
        </w:rPr>
      </w:pPr>
    </w:p>
    <w:p w14:paraId="1C307BAE">
      <w:pPr>
        <w:pageBreakBefore w:val="0"/>
        <w:widowControl w:val="0"/>
        <w:kinsoku/>
        <w:overflowPunct/>
        <w:bidi w:val="0"/>
        <w:spacing w:line="360" w:lineRule="auto"/>
        <w:ind w:firstLine="480"/>
        <w:rPr>
          <w:rFonts w:hint="eastAsia" w:ascii="宋体" w:eastAsia="宋体"/>
          <w:b w:val="0"/>
          <w:bCs w:val="0"/>
          <w:color w:val="auto"/>
          <w:spacing w:val="20"/>
          <w:sz w:val="22"/>
          <w:szCs w:val="22"/>
          <w:highlight w:val="none"/>
        </w:rPr>
      </w:pPr>
      <w:r>
        <w:rPr>
          <w:rFonts w:hint="eastAsia" w:ascii="宋体" w:eastAsia="宋体"/>
          <w:b w:val="0"/>
          <w:bCs w:val="0"/>
          <w:color w:val="auto"/>
          <w:spacing w:val="20"/>
          <w:sz w:val="22"/>
          <w:szCs w:val="22"/>
          <w:highlight w:val="none"/>
        </w:rPr>
        <w:t>投标供应商全称（盖章）：</w:t>
      </w:r>
    </w:p>
    <w:p w14:paraId="5D47885C">
      <w:pPr>
        <w:pageBreakBefore w:val="0"/>
        <w:widowControl w:val="0"/>
        <w:kinsoku/>
        <w:overflowPunct/>
        <w:bidi w:val="0"/>
        <w:spacing w:line="360" w:lineRule="auto"/>
        <w:ind w:firstLine="480"/>
        <w:rPr>
          <w:rFonts w:hint="eastAsia" w:ascii="宋体" w:eastAsia="宋体"/>
          <w:b w:val="0"/>
          <w:bCs w:val="0"/>
          <w:color w:val="auto"/>
          <w:spacing w:val="20"/>
          <w:sz w:val="22"/>
          <w:szCs w:val="22"/>
          <w:highlight w:val="none"/>
        </w:rPr>
      </w:pPr>
      <w:r>
        <w:rPr>
          <w:rFonts w:hint="eastAsia" w:ascii="宋体" w:eastAsia="宋体"/>
          <w:b w:val="0"/>
          <w:bCs w:val="0"/>
          <w:color w:val="auto"/>
          <w:spacing w:val="20"/>
          <w:sz w:val="22"/>
          <w:szCs w:val="22"/>
          <w:highlight w:val="none"/>
        </w:rPr>
        <w:t>法定代表人或授权代表（签字或盖章）：</w:t>
      </w:r>
    </w:p>
    <w:p w14:paraId="49F6476D">
      <w:pPr>
        <w:pageBreakBefore w:val="0"/>
        <w:widowControl w:val="0"/>
        <w:kinsoku/>
        <w:overflowPunct/>
        <w:bidi w:val="0"/>
        <w:spacing w:line="360" w:lineRule="auto"/>
        <w:ind w:firstLine="480"/>
        <w:rPr>
          <w:rFonts w:hint="eastAsia" w:ascii="宋体" w:eastAsia="宋体"/>
          <w:b w:val="0"/>
          <w:bCs w:val="0"/>
          <w:color w:val="auto"/>
          <w:spacing w:val="20"/>
          <w:sz w:val="22"/>
          <w:szCs w:val="22"/>
          <w:highlight w:val="none"/>
        </w:rPr>
      </w:pPr>
      <w:r>
        <w:rPr>
          <w:rFonts w:hint="eastAsia" w:ascii="宋体" w:eastAsia="宋体"/>
          <w:b w:val="0"/>
          <w:bCs w:val="0"/>
          <w:color w:val="auto"/>
          <w:spacing w:val="20"/>
          <w:sz w:val="22"/>
          <w:szCs w:val="22"/>
          <w:highlight w:val="none"/>
        </w:rPr>
        <w:t>日期：</w:t>
      </w:r>
    </w:p>
    <w:p w14:paraId="0C49EC16">
      <w:pPr>
        <w:pageBreakBefore w:val="0"/>
        <w:widowControl w:val="0"/>
        <w:kinsoku/>
        <w:overflowPunct/>
        <w:bidi w:val="0"/>
        <w:spacing w:line="324" w:lineRule="auto"/>
        <w:rPr>
          <w:rFonts w:hint="eastAsia" w:ascii="宋体" w:eastAsia="宋体"/>
          <w:b w:val="0"/>
          <w:color w:val="auto"/>
          <w:sz w:val="22"/>
          <w:szCs w:val="22"/>
          <w:highlight w:val="none"/>
        </w:rPr>
      </w:pPr>
    </w:p>
    <w:p w14:paraId="5DE380CE">
      <w:pPr>
        <w:pageBreakBefore w:val="0"/>
        <w:widowControl w:val="0"/>
        <w:kinsoku/>
        <w:overflowPunct/>
        <w:bidi w:val="0"/>
        <w:spacing w:line="324" w:lineRule="auto"/>
        <w:rPr>
          <w:rFonts w:hint="eastAsia" w:ascii="宋体" w:eastAsia="宋体"/>
          <w:b w:val="0"/>
          <w:color w:val="auto"/>
          <w:sz w:val="32"/>
          <w:szCs w:val="32"/>
          <w:highlight w:val="none"/>
        </w:rPr>
        <w:sectPr>
          <w:pgSz w:w="11906" w:h="16838"/>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14:paraId="5F85FC38">
      <w:pPr>
        <w:pageBreakBefore w:val="0"/>
        <w:widowControl w:val="0"/>
        <w:kinsoku/>
        <w:overflowPunct/>
        <w:bidi w:val="0"/>
        <w:spacing w:line="324" w:lineRule="auto"/>
        <w:rPr>
          <w:rFonts w:hint="eastAsia" w:ascii="宋体" w:eastAsia="宋体"/>
          <w:b w:val="0"/>
          <w:color w:val="auto"/>
          <w:sz w:val="32"/>
          <w:szCs w:val="32"/>
          <w:highlight w:val="none"/>
          <w:lang w:eastAsia="zh-CN"/>
        </w:rPr>
      </w:pPr>
      <w:r>
        <w:rPr>
          <w:rFonts w:hint="eastAsia" w:ascii="宋体" w:eastAsia="宋体"/>
          <w:b w:val="0"/>
          <w:color w:val="auto"/>
          <w:sz w:val="32"/>
          <w:szCs w:val="32"/>
          <w:highlight w:val="none"/>
        </w:rPr>
        <w:t>附件十</w:t>
      </w:r>
      <w:r>
        <w:rPr>
          <w:rFonts w:hint="eastAsia" w:ascii="宋体" w:eastAsia="宋体"/>
          <w:b w:val="0"/>
          <w:color w:val="auto"/>
          <w:sz w:val="32"/>
          <w:szCs w:val="32"/>
          <w:highlight w:val="none"/>
          <w:lang w:val="en-US" w:eastAsia="zh-CN"/>
        </w:rPr>
        <w:t>五</w:t>
      </w:r>
    </w:p>
    <w:p w14:paraId="4BFA7ED5">
      <w:pPr>
        <w:pageBreakBefore w:val="0"/>
        <w:widowControl w:val="0"/>
        <w:kinsoku/>
        <w:overflowPunct/>
        <w:bidi w:val="0"/>
        <w:spacing w:line="360" w:lineRule="auto"/>
        <w:ind w:firstLine="3200" w:firstLineChars="1000"/>
        <w:outlineLvl w:val="1"/>
        <w:rPr>
          <w:rFonts w:hint="eastAsia" w:ascii="宋体" w:hAnsi="宋体" w:eastAsia="宋体" w:cs="宋体"/>
          <w:b w:val="0"/>
          <w:bCs/>
          <w:color w:val="auto"/>
          <w:sz w:val="32"/>
          <w:szCs w:val="32"/>
          <w:highlight w:val="none"/>
          <w:lang w:val="en-US" w:eastAsia="zh-CN" w:bidi="ar-SA"/>
        </w:rPr>
      </w:pPr>
      <w:bookmarkStart w:id="81" w:name="_Toc26737"/>
      <w:bookmarkStart w:id="82" w:name="_Toc3316"/>
      <w:r>
        <w:rPr>
          <w:rFonts w:hint="eastAsia" w:ascii="宋体" w:hAnsi="宋体" w:eastAsia="宋体" w:cs="宋体"/>
          <w:b w:val="0"/>
          <w:bCs/>
          <w:color w:val="auto"/>
          <w:sz w:val="32"/>
          <w:szCs w:val="32"/>
          <w:highlight w:val="none"/>
          <w:lang w:val="en-US" w:eastAsia="zh-CN" w:bidi="ar-SA"/>
        </w:rPr>
        <w:t>项目组人员配备一览表</w:t>
      </w:r>
      <w:bookmarkEnd w:id="81"/>
      <w:bookmarkEnd w:id="82"/>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2"/>
        <w:gridCol w:w="1785"/>
        <w:gridCol w:w="3030"/>
        <w:gridCol w:w="1140"/>
        <w:gridCol w:w="1455"/>
        <w:gridCol w:w="1170"/>
      </w:tblGrid>
      <w:tr w14:paraId="547633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vAlign w:val="center"/>
          </w:tcPr>
          <w:p w14:paraId="464745BA">
            <w:pPr>
              <w:pageBreakBefore w:val="0"/>
              <w:widowControl w:val="0"/>
              <w:kinsoku/>
              <w:overflowPunct/>
              <w:bidi w:val="0"/>
              <w:spacing w:line="24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序号</w:t>
            </w:r>
          </w:p>
        </w:tc>
        <w:tc>
          <w:tcPr>
            <w:tcW w:w="1785" w:type="dxa"/>
            <w:vAlign w:val="center"/>
          </w:tcPr>
          <w:p w14:paraId="7C349FE1">
            <w:pPr>
              <w:pageBreakBefore w:val="0"/>
              <w:widowControl w:val="0"/>
              <w:kinsoku/>
              <w:overflowPunct/>
              <w:bidi w:val="0"/>
              <w:spacing w:line="24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姓名</w:t>
            </w:r>
          </w:p>
        </w:tc>
        <w:tc>
          <w:tcPr>
            <w:tcW w:w="3030" w:type="dxa"/>
            <w:vAlign w:val="center"/>
          </w:tcPr>
          <w:p w14:paraId="347300FF">
            <w:pPr>
              <w:pageBreakBefore w:val="0"/>
              <w:widowControl w:val="0"/>
              <w:kinsoku/>
              <w:overflowPunct/>
              <w:bidi w:val="0"/>
              <w:spacing w:line="24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身份证号码</w:t>
            </w:r>
          </w:p>
        </w:tc>
        <w:tc>
          <w:tcPr>
            <w:tcW w:w="1140" w:type="dxa"/>
            <w:vAlign w:val="center"/>
          </w:tcPr>
          <w:p w14:paraId="3EA4E505">
            <w:pPr>
              <w:pageBreakBefore w:val="0"/>
              <w:widowControl w:val="0"/>
              <w:kinsoku/>
              <w:overflowPunct/>
              <w:bidi w:val="0"/>
              <w:spacing w:line="24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岗位</w:t>
            </w:r>
          </w:p>
        </w:tc>
        <w:tc>
          <w:tcPr>
            <w:tcW w:w="1455" w:type="dxa"/>
            <w:vAlign w:val="center"/>
          </w:tcPr>
          <w:p w14:paraId="7C4E79AD">
            <w:pPr>
              <w:pageBreakBefore w:val="0"/>
              <w:widowControl w:val="0"/>
              <w:kinsoku/>
              <w:overflowPunct/>
              <w:bidi w:val="0"/>
              <w:spacing w:line="24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工作年限</w:t>
            </w:r>
          </w:p>
        </w:tc>
        <w:tc>
          <w:tcPr>
            <w:tcW w:w="1170" w:type="dxa"/>
            <w:vAlign w:val="center"/>
          </w:tcPr>
          <w:p w14:paraId="2E014C0A">
            <w:pPr>
              <w:pageBreakBefore w:val="0"/>
              <w:widowControl w:val="0"/>
              <w:kinsoku/>
              <w:overflowPunct/>
              <w:bidi w:val="0"/>
              <w:spacing w:line="24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备注</w:t>
            </w:r>
          </w:p>
        </w:tc>
      </w:tr>
      <w:tr w14:paraId="094AEA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tcBorders>
              <w:top w:val="single" w:color="auto" w:sz="6" w:space="0"/>
              <w:left w:val="single" w:color="auto" w:sz="4" w:space="0"/>
              <w:right w:val="single" w:color="auto" w:sz="6" w:space="0"/>
            </w:tcBorders>
            <w:vAlign w:val="center"/>
          </w:tcPr>
          <w:p w14:paraId="5AD8039D">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785" w:type="dxa"/>
            <w:tcBorders>
              <w:top w:val="single" w:color="auto" w:sz="6" w:space="0"/>
              <w:left w:val="single" w:color="auto" w:sz="6" w:space="0"/>
              <w:right w:val="single" w:color="auto" w:sz="6" w:space="0"/>
            </w:tcBorders>
            <w:vAlign w:val="center"/>
          </w:tcPr>
          <w:p w14:paraId="04EDC9F5">
            <w:pPr>
              <w:pStyle w:val="26"/>
              <w:pageBreakBefore w:val="0"/>
              <w:widowControl w:val="0"/>
              <w:pBdr>
                <w:left w:val="none" w:color="auto" w:sz="0" w:space="0"/>
                <w:bottom w:val="none" w:color="auto" w:sz="0" w:space="0"/>
                <w:right w:val="none" w:color="auto" w:sz="0" w:space="0"/>
              </w:pBdr>
              <w:kinsoku/>
              <w:overflowPunct/>
              <w:bidi w:val="0"/>
              <w:spacing w:before="0" w:beforeAutospacing="0" w:after="0" w:afterAutospacing="0" w:line="240" w:lineRule="auto"/>
              <w:textAlignment w:val="auto"/>
              <w:rPr>
                <w:rFonts w:hint="eastAsia" w:ascii="宋体" w:hAnsi="宋体" w:eastAsia="宋体" w:cs="宋体"/>
                <w:b w:val="0"/>
                <w:bCs w:val="0"/>
                <w:color w:val="auto"/>
                <w:kern w:val="2"/>
                <w:sz w:val="22"/>
                <w:szCs w:val="22"/>
                <w:highlight w:val="none"/>
              </w:rPr>
            </w:pPr>
          </w:p>
        </w:tc>
        <w:tc>
          <w:tcPr>
            <w:tcW w:w="3030" w:type="dxa"/>
            <w:tcBorders>
              <w:top w:val="single" w:color="auto" w:sz="6" w:space="0"/>
              <w:left w:val="single" w:color="auto" w:sz="6" w:space="0"/>
              <w:right w:val="single" w:color="auto" w:sz="6" w:space="0"/>
            </w:tcBorders>
            <w:vAlign w:val="center"/>
          </w:tcPr>
          <w:p w14:paraId="188EB2F4">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40" w:type="dxa"/>
            <w:tcBorders>
              <w:top w:val="single" w:color="auto" w:sz="6" w:space="0"/>
              <w:left w:val="single" w:color="auto" w:sz="6" w:space="0"/>
              <w:right w:val="single" w:color="auto" w:sz="6" w:space="0"/>
            </w:tcBorders>
            <w:vAlign w:val="center"/>
          </w:tcPr>
          <w:p w14:paraId="06D966B2">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455" w:type="dxa"/>
            <w:tcBorders>
              <w:top w:val="single" w:color="auto" w:sz="6" w:space="0"/>
              <w:left w:val="single" w:color="auto" w:sz="6" w:space="0"/>
              <w:right w:val="single" w:color="auto" w:sz="6" w:space="0"/>
            </w:tcBorders>
            <w:vAlign w:val="center"/>
          </w:tcPr>
          <w:p w14:paraId="66277230">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70" w:type="dxa"/>
            <w:tcBorders>
              <w:top w:val="single" w:color="auto" w:sz="6" w:space="0"/>
              <w:left w:val="single" w:color="auto" w:sz="6" w:space="0"/>
              <w:right w:val="single" w:color="auto" w:sz="4" w:space="0"/>
            </w:tcBorders>
            <w:vAlign w:val="center"/>
          </w:tcPr>
          <w:p w14:paraId="3ED16698">
            <w:pPr>
              <w:pageBreakBefore w:val="0"/>
              <w:widowControl w:val="0"/>
              <w:kinsoku/>
              <w:overflowPunct/>
              <w:bidi w:val="0"/>
              <w:spacing w:line="240" w:lineRule="auto"/>
              <w:rPr>
                <w:rFonts w:hint="eastAsia" w:ascii="宋体" w:eastAsia="宋体"/>
                <w:b w:val="0"/>
                <w:bCs w:val="0"/>
                <w:color w:val="auto"/>
                <w:sz w:val="22"/>
                <w:szCs w:val="22"/>
                <w:highlight w:val="none"/>
              </w:rPr>
            </w:pPr>
          </w:p>
        </w:tc>
      </w:tr>
      <w:tr w14:paraId="52439E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tcBorders>
              <w:top w:val="single" w:color="auto" w:sz="6" w:space="0"/>
              <w:left w:val="single" w:color="auto" w:sz="4" w:space="0"/>
              <w:right w:val="single" w:color="auto" w:sz="6" w:space="0"/>
            </w:tcBorders>
            <w:vAlign w:val="center"/>
          </w:tcPr>
          <w:p w14:paraId="30998E2A">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785" w:type="dxa"/>
            <w:tcBorders>
              <w:top w:val="single" w:color="auto" w:sz="6" w:space="0"/>
              <w:left w:val="single" w:color="auto" w:sz="6" w:space="0"/>
              <w:right w:val="single" w:color="auto" w:sz="6" w:space="0"/>
            </w:tcBorders>
            <w:vAlign w:val="center"/>
          </w:tcPr>
          <w:p w14:paraId="77C261C4">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3030" w:type="dxa"/>
            <w:tcBorders>
              <w:top w:val="single" w:color="auto" w:sz="6" w:space="0"/>
              <w:left w:val="single" w:color="auto" w:sz="6" w:space="0"/>
              <w:right w:val="single" w:color="auto" w:sz="6" w:space="0"/>
            </w:tcBorders>
            <w:vAlign w:val="center"/>
          </w:tcPr>
          <w:p w14:paraId="1D684D2E">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40" w:type="dxa"/>
            <w:tcBorders>
              <w:top w:val="single" w:color="auto" w:sz="6" w:space="0"/>
              <w:left w:val="single" w:color="auto" w:sz="6" w:space="0"/>
              <w:right w:val="single" w:color="auto" w:sz="6" w:space="0"/>
            </w:tcBorders>
            <w:vAlign w:val="center"/>
          </w:tcPr>
          <w:p w14:paraId="0E75C119">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455" w:type="dxa"/>
            <w:tcBorders>
              <w:top w:val="single" w:color="auto" w:sz="6" w:space="0"/>
              <w:left w:val="single" w:color="auto" w:sz="6" w:space="0"/>
              <w:right w:val="single" w:color="auto" w:sz="6" w:space="0"/>
            </w:tcBorders>
            <w:vAlign w:val="center"/>
          </w:tcPr>
          <w:p w14:paraId="695A6EC3">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70" w:type="dxa"/>
            <w:tcBorders>
              <w:top w:val="single" w:color="auto" w:sz="6" w:space="0"/>
              <w:left w:val="single" w:color="auto" w:sz="6" w:space="0"/>
              <w:right w:val="single" w:color="auto" w:sz="4" w:space="0"/>
            </w:tcBorders>
            <w:vAlign w:val="center"/>
          </w:tcPr>
          <w:p w14:paraId="2F52724E">
            <w:pPr>
              <w:pageBreakBefore w:val="0"/>
              <w:widowControl w:val="0"/>
              <w:kinsoku/>
              <w:overflowPunct/>
              <w:bidi w:val="0"/>
              <w:spacing w:line="240" w:lineRule="auto"/>
              <w:rPr>
                <w:rFonts w:hint="eastAsia" w:ascii="宋体" w:eastAsia="宋体"/>
                <w:b w:val="0"/>
                <w:bCs w:val="0"/>
                <w:color w:val="auto"/>
                <w:sz w:val="22"/>
                <w:szCs w:val="22"/>
                <w:highlight w:val="none"/>
              </w:rPr>
            </w:pPr>
          </w:p>
        </w:tc>
      </w:tr>
      <w:tr w14:paraId="0661D1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tcBorders>
              <w:top w:val="single" w:color="auto" w:sz="6" w:space="0"/>
              <w:left w:val="single" w:color="auto" w:sz="4" w:space="0"/>
              <w:right w:val="single" w:color="auto" w:sz="6" w:space="0"/>
            </w:tcBorders>
            <w:vAlign w:val="center"/>
          </w:tcPr>
          <w:p w14:paraId="5E85C464">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785" w:type="dxa"/>
            <w:tcBorders>
              <w:top w:val="single" w:color="auto" w:sz="6" w:space="0"/>
              <w:left w:val="single" w:color="auto" w:sz="6" w:space="0"/>
              <w:right w:val="single" w:color="auto" w:sz="6" w:space="0"/>
            </w:tcBorders>
            <w:vAlign w:val="center"/>
          </w:tcPr>
          <w:p w14:paraId="4E38F807">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3030" w:type="dxa"/>
            <w:tcBorders>
              <w:top w:val="single" w:color="auto" w:sz="6" w:space="0"/>
              <w:left w:val="single" w:color="auto" w:sz="6" w:space="0"/>
              <w:right w:val="single" w:color="auto" w:sz="6" w:space="0"/>
            </w:tcBorders>
            <w:vAlign w:val="center"/>
          </w:tcPr>
          <w:p w14:paraId="49A2FCF0">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40" w:type="dxa"/>
            <w:tcBorders>
              <w:top w:val="single" w:color="auto" w:sz="6" w:space="0"/>
              <w:left w:val="single" w:color="auto" w:sz="6" w:space="0"/>
              <w:right w:val="single" w:color="auto" w:sz="6" w:space="0"/>
            </w:tcBorders>
            <w:vAlign w:val="center"/>
          </w:tcPr>
          <w:p w14:paraId="137C8D55">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455" w:type="dxa"/>
            <w:tcBorders>
              <w:top w:val="single" w:color="auto" w:sz="6" w:space="0"/>
              <w:left w:val="single" w:color="auto" w:sz="6" w:space="0"/>
              <w:right w:val="single" w:color="auto" w:sz="6" w:space="0"/>
            </w:tcBorders>
            <w:vAlign w:val="center"/>
          </w:tcPr>
          <w:p w14:paraId="7ED9AE9D">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70" w:type="dxa"/>
            <w:tcBorders>
              <w:top w:val="single" w:color="auto" w:sz="6" w:space="0"/>
              <w:left w:val="single" w:color="auto" w:sz="6" w:space="0"/>
              <w:right w:val="single" w:color="auto" w:sz="4" w:space="0"/>
            </w:tcBorders>
            <w:vAlign w:val="center"/>
          </w:tcPr>
          <w:p w14:paraId="37391867">
            <w:pPr>
              <w:pageBreakBefore w:val="0"/>
              <w:widowControl w:val="0"/>
              <w:kinsoku/>
              <w:overflowPunct/>
              <w:bidi w:val="0"/>
              <w:spacing w:line="240" w:lineRule="auto"/>
              <w:rPr>
                <w:rFonts w:hint="eastAsia" w:ascii="宋体" w:eastAsia="宋体"/>
                <w:b w:val="0"/>
                <w:bCs w:val="0"/>
                <w:color w:val="auto"/>
                <w:sz w:val="22"/>
                <w:szCs w:val="22"/>
                <w:highlight w:val="none"/>
              </w:rPr>
            </w:pPr>
          </w:p>
        </w:tc>
      </w:tr>
      <w:tr w14:paraId="74F127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tcBorders>
              <w:top w:val="single" w:color="auto" w:sz="6" w:space="0"/>
              <w:left w:val="single" w:color="auto" w:sz="4" w:space="0"/>
              <w:right w:val="single" w:color="auto" w:sz="6" w:space="0"/>
            </w:tcBorders>
            <w:vAlign w:val="center"/>
          </w:tcPr>
          <w:p w14:paraId="104CC9BE">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785" w:type="dxa"/>
            <w:tcBorders>
              <w:top w:val="single" w:color="auto" w:sz="6" w:space="0"/>
              <w:left w:val="single" w:color="auto" w:sz="6" w:space="0"/>
              <w:right w:val="single" w:color="auto" w:sz="6" w:space="0"/>
            </w:tcBorders>
            <w:vAlign w:val="center"/>
          </w:tcPr>
          <w:p w14:paraId="20F0C3AC">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3030" w:type="dxa"/>
            <w:tcBorders>
              <w:top w:val="single" w:color="auto" w:sz="6" w:space="0"/>
              <w:left w:val="single" w:color="auto" w:sz="6" w:space="0"/>
              <w:right w:val="single" w:color="auto" w:sz="6" w:space="0"/>
            </w:tcBorders>
            <w:vAlign w:val="center"/>
          </w:tcPr>
          <w:p w14:paraId="7D4309D8">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40" w:type="dxa"/>
            <w:tcBorders>
              <w:top w:val="single" w:color="auto" w:sz="6" w:space="0"/>
              <w:left w:val="single" w:color="auto" w:sz="6" w:space="0"/>
              <w:right w:val="single" w:color="auto" w:sz="6" w:space="0"/>
            </w:tcBorders>
            <w:vAlign w:val="center"/>
          </w:tcPr>
          <w:p w14:paraId="7BA2A6AC">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455" w:type="dxa"/>
            <w:tcBorders>
              <w:top w:val="single" w:color="auto" w:sz="6" w:space="0"/>
              <w:left w:val="single" w:color="auto" w:sz="6" w:space="0"/>
              <w:right w:val="single" w:color="auto" w:sz="6" w:space="0"/>
            </w:tcBorders>
            <w:vAlign w:val="center"/>
          </w:tcPr>
          <w:p w14:paraId="6F7DA937">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70" w:type="dxa"/>
            <w:tcBorders>
              <w:top w:val="single" w:color="auto" w:sz="6" w:space="0"/>
              <w:left w:val="single" w:color="auto" w:sz="6" w:space="0"/>
              <w:right w:val="single" w:color="auto" w:sz="4" w:space="0"/>
            </w:tcBorders>
            <w:vAlign w:val="center"/>
          </w:tcPr>
          <w:p w14:paraId="5F381163">
            <w:pPr>
              <w:pageBreakBefore w:val="0"/>
              <w:widowControl w:val="0"/>
              <w:kinsoku/>
              <w:overflowPunct/>
              <w:bidi w:val="0"/>
              <w:spacing w:line="240" w:lineRule="auto"/>
              <w:rPr>
                <w:rFonts w:hint="eastAsia" w:ascii="宋体" w:eastAsia="宋体"/>
                <w:b w:val="0"/>
                <w:bCs w:val="0"/>
                <w:color w:val="auto"/>
                <w:sz w:val="22"/>
                <w:szCs w:val="22"/>
                <w:highlight w:val="none"/>
              </w:rPr>
            </w:pPr>
          </w:p>
        </w:tc>
      </w:tr>
      <w:tr w14:paraId="49079D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tcBorders>
              <w:top w:val="single" w:color="auto" w:sz="6" w:space="0"/>
              <w:left w:val="single" w:color="auto" w:sz="4" w:space="0"/>
              <w:right w:val="single" w:color="auto" w:sz="6" w:space="0"/>
            </w:tcBorders>
            <w:vAlign w:val="center"/>
          </w:tcPr>
          <w:p w14:paraId="6D245543">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785" w:type="dxa"/>
            <w:tcBorders>
              <w:top w:val="single" w:color="auto" w:sz="6" w:space="0"/>
              <w:left w:val="single" w:color="auto" w:sz="6" w:space="0"/>
              <w:right w:val="single" w:color="auto" w:sz="6" w:space="0"/>
            </w:tcBorders>
            <w:vAlign w:val="center"/>
          </w:tcPr>
          <w:p w14:paraId="40F07B18">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3030" w:type="dxa"/>
            <w:tcBorders>
              <w:top w:val="single" w:color="auto" w:sz="6" w:space="0"/>
              <w:left w:val="single" w:color="auto" w:sz="6" w:space="0"/>
              <w:right w:val="single" w:color="auto" w:sz="6" w:space="0"/>
            </w:tcBorders>
            <w:vAlign w:val="center"/>
          </w:tcPr>
          <w:p w14:paraId="60351D12">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40" w:type="dxa"/>
            <w:tcBorders>
              <w:top w:val="single" w:color="auto" w:sz="6" w:space="0"/>
              <w:left w:val="single" w:color="auto" w:sz="6" w:space="0"/>
              <w:right w:val="single" w:color="auto" w:sz="6" w:space="0"/>
            </w:tcBorders>
            <w:vAlign w:val="center"/>
          </w:tcPr>
          <w:p w14:paraId="3B0C951E">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455" w:type="dxa"/>
            <w:tcBorders>
              <w:top w:val="single" w:color="auto" w:sz="6" w:space="0"/>
              <w:left w:val="single" w:color="auto" w:sz="6" w:space="0"/>
              <w:right w:val="single" w:color="auto" w:sz="6" w:space="0"/>
            </w:tcBorders>
            <w:vAlign w:val="center"/>
          </w:tcPr>
          <w:p w14:paraId="67EA7E3F">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70" w:type="dxa"/>
            <w:tcBorders>
              <w:top w:val="single" w:color="auto" w:sz="6" w:space="0"/>
              <w:left w:val="single" w:color="auto" w:sz="6" w:space="0"/>
              <w:right w:val="single" w:color="auto" w:sz="4" w:space="0"/>
            </w:tcBorders>
            <w:vAlign w:val="center"/>
          </w:tcPr>
          <w:p w14:paraId="31481996">
            <w:pPr>
              <w:pageBreakBefore w:val="0"/>
              <w:widowControl w:val="0"/>
              <w:kinsoku/>
              <w:overflowPunct/>
              <w:bidi w:val="0"/>
              <w:spacing w:line="240" w:lineRule="auto"/>
              <w:rPr>
                <w:rFonts w:hint="eastAsia" w:ascii="宋体" w:eastAsia="宋体"/>
                <w:b w:val="0"/>
                <w:bCs w:val="0"/>
                <w:color w:val="auto"/>
                <w:sz w:val="22"/>
                <w:szCs w:val="22"/>
                <w:highlight w:val="none"/>
              </w:rPr>
            </w:pPr>
          </w:p>
        </w:tc>
      </w:tr>
      <w:tr w14:paraId="711859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tcBorders>
              <w:top w:val="single" w:color="auto" w:sz="6" w:space="0"/>
              <w:left w:val="single" w:color="auto" w:sz="4" w:space="0"/>
              <w:right w:val="single" w:color="auto" w:sz="6" w:space="0"/>
            </w:tcBorders>
            <w:vAlign w:val="center"/>
          </w:tcPr>
          <w:p w14:paraId="6F9C39B5">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785" w:type="dxa"/>
            <w:tcBorders>
              <w:top w:val="single" w:color="auto" w:sz="6" w:space="0"/>
              <w:left w:val="single" w:color="auto" w:sz="6" w:space="0"/>
              <w:right w:val="single" w:color="auto" w:sz="6" w:space="0"/>
            </w:tcBorders>
            <w:vAlign w:val="center"/>
          </w:tcPr>
          <w:p w14:paraId="454B0520">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3030" w:type="dxa"/>
            <w:tcBorders>
              <w:top w:val="single" w:color="auto" w:sz="6" w:space="0"/>
              <w:left w:val="single" w:color="auto" w:sz="6" w:space="0"/>
              <w:right w:val="single" w:color="auto" w:sz="6" w:space="0"/>
            </w:tcBorders>
            <w:vAlign w:val="center"/>
          </w:tcPr>
          <w:p w14:paraId="63566C90">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40" w:type="dxa"/>
            <w:tcBorders>
              <w:top w:val="single" w:color="auto" w:sz="6" w:space="0"/>
              <w:left w:val="single" w:color="auto" w:sz="6" w:space="0"/>
              <w:right w:val="single" w:color="auto" w:sz="6" w:space="0"/>
            </w:tcBorders>
            <w:vAlign w:val="center"/>
          </w:tcPr>
          <w:p w14:paraId="5520EFCE">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455" w:type="dxa"/>
            <w:tcBorders>
              <w:top w:val="single" w:color="auto" w:sz="6" w:space="0"/>
              <w:left w:val="single" w:color="auto" w:sz="6" w:space="0"/>
              <w:right w:val="single" w:color="auto" w:sz="6" w:space="0"/>
            </w:tcBorders>
            <w:vAlign w:val="center"/>
          </w:tcPr>
          <w:p w14:paraId="0E6F1C47">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70" w:type="dxa"/>
            <w:tcBorders>
              <w:top w:val="single" w:color="auto" w:sz="6" w:space="0"/>
              <w:left w:val="single" w:color="auto" w:sz="6" w:space="0"/>
              <w:right w:val="single" w:color="auto" w:sz="4" w:space="0"/>
            </w:tcBorders>
            <w:vAlign w:val="center"/>
          </w:tcPr>
          <w:p w14:paraId="707A1ADF">
            <w:pPr>
              <w:pageBreakBefore w:val="0"/>
              <w:widowControl w:val="0"/>
              <w:kinsoku/>
              <w:overflowPunct/>
              <w:bidi w:val="0"/>
              <w:spacing w:line="240" w:lineRule="auto"/>
              <w:rPr>
                <w:rFonts w:hint="eastAsia" w:ascii="宋体" w:eastAsia="宋体"/>
                <w:b w:val="0"/>
                <w:bCs w:val="0"/>
                <w:color w:val="auto"/>
                <w:sz w:val="22"/>
                <w:szCs w:val="22"/>
                <w:highlight w:val="none"/>
              </w:rPr>
            </w:pPr>
          </w:p>
        </w:tc>
      </w:tr>
      <w:tr w14:paraId="6DDC08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tcBorders>
              <w:top w:val="single" w:color="auto" w:sz="6" w:space="0"/>
              <w:left w:val="single" w:color="auto" w:sz="4" w:space="0"/>
              <w:right w:val="single" w:color="auto" w:sz="6" w:space="0"/>
            </w:tcBorders>
            <w:vAlign w:val="center"/>
          </w:tcPr>
          <w:p w14:paraId="2508516D">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785" w:type="dxa"/>
            <w:tcBorders>
              <w:top w:val="single" w:color="auto" w:sz="6" w:space="0"/>
              <w:left w:val="single" w:color="auto" w:sz="6" w:space="0"/>
              <w:right w:val="single" w:color="auto" w:sz="6" w:space="0"/>
            </w:tcBorders>
            <w:vAlign w:val="center"/>
          </w:tcPr>
          <w:p w14:paraId="2C94BDE6">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3030" w:type="dxa"/>
            <w:tcBorders>
              <w:top w:val="single" w:color="auto" w:sz="6" w:space="0"/>
              <w:left w:val="single" w:color="auto" w:sz="6" w:space="0"/>
              <w:right w:val="single" w:color="auto" w:sz="6" w:space="0"/>
            </w:tcBorders>
            <w:vAlign w:val="center"/>
          </w:tcPr>
          <w:p w14:paraId="5BE29CD2">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40" w:type="dxa"/>
            <w:tcBorders>
              <w:top w:val="single" w:color="auto" w:sz="6" w:space="0"/>
              <w:left w:val="single" w:color="auto" w:sz="6" w:space="0"/>
              <w:right w:val="single" w:color="auto" w:sz="6" w:space="0"/>
            </w:tcBorders>
            <w:vAlign w:val="center"/>
          </w:tcPr>
          <w:p w14:paraId="1532F51B">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455" w:type="dxa"/>
            <w:tcBorders>
              <w:top w:val="single" w:color="auto" w:sz="6" w:space="0"/>
              <w:left w:val="single" w:color="auto" w:sz="6" w:space="0"/>
              <w:right w:val="single" w:color="auto" w:sz="6" w:space="0"/>
            </w:tcBorders>
            <w:vAlign w:val="center"/>
          </w:tcPr>
          <w:p w14:paraId="225F0AA2">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70" w:type="dxa"/>
            <w:tcBorders>
              <w:top w:val="single" w:color="auto" w:sz="6" w:space="0"/>
              <w:left w:val="single" w:color="auto" w:sz="6" w:space="0"/>
              <w:right w:val="single" w:color="auto" w:sz="4" w:space="0"/>
            </w:tcBorders>
            <w:vAlign w:val="center"/>
          </w:tcPr>
          <w:p w14:paraId="4926224A">
            <w:pPr>
              <w:pageBreakBefore w:val="0"/>
              <w:widowControl w:val="0"/>
              <w:kinsoku/>
              <w:overflowPunct/>
              <w:bidi w:val="0"/>
              <w:spacing w:line="240" w:lineRule="auto"/>
              <w:rPr>
                <w:rFonts w:hint="eastAsia" w:ascii="宋体" w:eastAsia="宋体"/>
                <w:b w:val="0"/>
                <w:bCs w:val="0"/>
                <w:color w:val="auto"/>
                <w:sz w:val="22"/>
                <w:szCs w:val="22"/>
                <w:highlight w:val="none"/>
              </w:rPr>
            </w:pPr>
          </w:p>
        </w:tc>
      </w:tr>
      <w:tr w14:paraId="71101B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tcBorders>
              <w:top w:val="single" w:color="auto" w:sz="6" w:space="0"/>
              <w:left w:val="single" w:color="auto" w:sz="4" w:space="0"/>
              <w:right w:val="single" w:color="auto" w:sz="6" w:space="0"/>
            </w:tcBorders>
            <w:vAlign w:val="center"/>
          </w:tcPr>
          <w:p w14:paraId="0EAA12B0">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785" w:type="dxa"/>
            <w:tcBorders>
              <w:top w:val="single" w:color="auto" w:sz="6" w:space="0"/>
              <w:left w:val="single" w:color="auto" w:sz="6" w:space="0"/>
              <w:right w:val="single" w:color="auto" w:sz="6" w:space="0"/>
            </w:tcBorders>
            <w:vAlign w:val="center"/>
          </w:tcPr>
          <w:p w14:paraId="7B15B67B">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3030" w:type="dxa"/>
            <w:tcBorders>
              <w:top w:val="single" w:color="auto" w:sz="6" w:space="0"/>
              <w:left w:val="single" w:color="auto" w:sz="6" w:space="0"/>
              <w:right w:val="single" w:color="auto" w:sz="6" w:space="0"/>
            </w:tcBorders>
            <w:vAlign w:val="center"/>
          </w:tcPr>
          <w:p w14:paraId="5E4F7B48">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40" w:type="dxa"/>
            <w:tcBorders>
              <w:top w:val="single" w:color="auto" w:sz="6" w:space="0"/>
              <w:left w:val="single" w:color="auto" w:sz="6" w:space="0"/>
              <w:right w:val="single" w:color="auto" w:sz="6" w:space="0"/>
            </w:tcBorders>
            <w:vAlign w:val="center"/>
          </w:tcPr>
          <w:p w14:paraId="780DB2C1">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455" w:type="dxa"/>
            <w:tcBorders>
              <w:top w:val="single" w:color="auto" w:sz="6" w:space="0"/>
              <w:left w:val="single" w:color="auto" w:sz="6" w:space="0"/>
              <w:right w:val="single" w:color="auto" w:sz="6" w:space="0"/>
            </w:tcBorders>
            <w:vAlign w:val="center"/>
          </w:tcPr>
          <w:p w14:paraId="61D35BE0">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70" w:type="dxa"/>
            <w:tcBorders>
              <w:top w:val="single" w:color="auto" w:sz="6" w:space="0"/>
              <w:left w:val="single" w:color="auto" w:sz="6" w:space="0"/>
              <w:right w:val="single" w:color="auto" w:sz="4" w:space="0"/>
            </w:tcBorders>
            <w:vAlign w:val="center"/>
          </w:tcPr>
          <w:p w14:paraId="09185E16">
            <w:pPr>
              <w:pageBreakBefore w:val="0"/>
              <w:widowControl w:val="0"/>
              <w:kinsoku/>
              <w:overflowPunct/>
              <w:bidi w:val="0"/>
              <w:spacing w:line="240" w:lineRule="auto"/>
              <w:rPr>
                <w:rFonts w:hint="eastAsia" w:ascii="宋体" w:eastAsia="宋体"/>
                <w:b w:val="0"/>
                <w:bCs w:val="0"/>
                <w:color w:val="auto"/>
                <w:sz w:val="22"/>
                <w:szCs w:val="22"/>
                <w:highlight w:val="none"/>
              </w:rPr>
            </w:pPr>
          </w:p>
        </w:tc>
      </w:tr>
      <w:tr w14:paraId="550C78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tcBorders>
              <w:top w:val="single" w:color="auto" w:sz="6" w:space="0"/>
              <w:left w:val="single" w:color="auto" w:sz="4" w:space="0"/>
              <w:right w:val="single" w:color="auto" w:sz="6" w:space="0"/>
            </w:tcBorders>
            <w:vAlign w:val="center"/>
          </w:tcPr>
          <w:p w14:paraId="506CB94D">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785" w:type="dxa"/>
            <w:tcBorders>
              <w:top w:val="single" w:color="auto" w:sz="6" w:space="0"/>
              <w:left w:val="single" w:color="auto" w:sz="6" w:space="0"/>
              <w:right w:val="single" w:color="auto" w:sz="6" w:space="0"/>
            </w:tcBorders>
            <w:vAlign w:val="center"/>
          </w:tcPr>
          <w:p w14:paraId="66DFE821">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3030" w:type="dxa"/>
            <w:tcBorders>
              <w:top w:val="single" w:color="auto" w:sz="6" w:space="0"/>
              <w:left w:val="single" w:color="auto" w:sz="6" w:space="0"/>
              <w:right w:val="single" w:color="auto" w:sz="6" w:space="0"/>
            </w:tcBorders>
            <w:vAlign w:val="center"/>
          </w:tcPr>
          <w:p w14:paraId="67CF8052">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40" w:type="dxa"/>
            <w:tcBorders>
              <w:top w:val="single" w:color="auto" w:sz="6" w:space="0"/>
              <w:left w:val="single" w:color="auto" w:sz="6" w:space="0"/>
              <w:right w:val="single" w:color="auto" w:sz="6" w:space="0"/>
            </w:tcBorders>
            <w:vAlign w:val="center"/>
          </w:tcPr>
          <w:p w14:paraId="0D88D9B9">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455" w:type="dxa"/>
            <w:tcBorders>
              <w:top w:val="single" w:color="auto" w:sz="6" w:space="0"/>
              <w:left w:val="single" w:color="auto" w:sz="6" w:space="0"/>
              <w:right w:val="single" w:color="auto" w:sz="6" w:space="0"/>
            </w:tcBorders>
            <w:vAlign w:val="center"/>
          </w:tcPr>
          <w:p w14:paraId="398F9DFA">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70" w:type="dxa"/>
            <w:tcBorders>
              <w:top w:val="single" w:color="auto" w:sz="6" w:space="0"/>
              <w:left w:val="single" w:color="auto" w:sz="6" w:space="0"/>
              <w:right w:val="single" w:color="auto" w:sz="4" w:space="0"/>
            </w:tcBorders>
            <w:vAlign w:val="center"/>
          </w:tcPr>
          <w:p w14:paraId="38CDFB15">
            <w:pPr>
              <w:pageBreakBefore w:val="0"/>
              <w:widowControl w:val="0"/>
              <w:kinsoku/>
              <w:overflowPunct/>
              <w:bidi w:val="0"/>
              <w:spacing w:line="240" w:lineRule="auto"/>
              <w:rPr>
                <w:rFonts w:hint="eastAsia" w:ascii="宋体" w:eastAsia="宋体"/>
                <w:b w:val="0"/>
                <w:bCs w:val="0"/>
                <w:color w:val="auto"/>
                <w:sz w:val="22"/>
                <w:szCs w:val="22"/>
                <w:highlight w:val="none"/>
              </w:rPr>
            </w:pPr>
          </w:p>
        </w:tc>
      </w:tr>
      <w:tr w14:paraId="247104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tcBorders>
              <w:top w:val="single" w:color="auto" w:sz="6" w:space="0"/>
              <w:left w:val="single" w:color="auto" w:sz="4" w:space="0"/>
              <w:right w:val="single" w:color="auto" w:sz="6" w:space="0"/>
            </w:tcBorders>
            <w:vAlign w:val="center"/>
          </w:tcPr>
          <w:p w14:paraId="0F31FCED">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785" w:type="dxa"/>
            <w:tcBorders>
              <w:top w:val="single" w:color="auto" w:sz="6" w:space="0"/>
              <w:left w:val="single" w:color="auto" w:sz="6" w:space="0"/>
              <w:right w:val="single" w:color="auto" w:sz="6" w:space="0"/>
            </w:tcBorders>
            <w:vAlign w:val="center"/>
          </w:tcPr>
          <w:p w14:paraId="1835B35A">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3030" w:type="dxa"/>
            <w:tcBorders>
              <w:top w:val="single" w:color="auto" w:sz="6" w:space="0"/>
              <w:left w:val="single" w:color="auto" w:sz="6" w:space="0"/>
              <w:right w:val="single" w:color="auto" w:sz="6" w:space="0"/>
            </w:tcBorders>
            <w:vAlign w:val="center"/>
          </w:tcPr>
          <w:p w14:paraId="2E39C8B0">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40" w:type="dxa"/>
            <w:tcBorders>
              <w:top w:val="single" w:color="auto" w:sz="6" w:space="0"/>
              <w:left w:val="single" w:color="auto" w:sz="6" w:space="0"/>
              <w:right w:val="single" w:color="auto" w:sz="6" w:space="0"/>
            </w:tcBorders>
            <w:vAlign w:val="center"/>
          </w:tcPr>
          <w:p w14:paraId="5E51B72D">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455" w:type="dxa"/>
            <w:tcBorders>
              <w:top w:val="single" w:color="auto" w:sz="6" w:space="0"/>
              <w:left w:val="single" w:color="auto" w:sz="6" w:space="0"/>
              <w:right w:val="single" w:color="auto" w:sz="6" w:space="0"/>
            </w:tcBorders>
            <w:vAlign w:val="center"/>
          </w:tcPr>
          <w:p w14:paraId="2FD181D7">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70" w:type="dxa"/>
            <w:tcBorders>
              <w:top w:val="single" w:color="auto" w:sz="6" w:space="0"/>
              <w:left w:val="single" w:color="auto" w:sz="6" w:space="0"/>
              <w:right w:val="single" w:color="auto" w:sz="4" w:space="0"/>
            </w:tcBorders>
            <w:vAlign w:val="center"/>
          </w:tcPr>
          <w:p w14:paraId="230CFC5F">
            <w:pPr>
              <w:pageBreakBefore w:val="0"/>
              <w:widowControl w:val="0"/>
              <w:kinsoku/>
              <w:overflowPunct/>
              <w:bidi w:val="0"/>
              <w:spacing w:line="240" w:lineRule="auto"/>
              <w:rPr>
                <w:rFonts w:hint="eastAsia" w:ascii="宋体" w:eastAsia="宋体"/>
                <w:b w:val="0"/>
                <w:bCs w:val="0"/>
                <w:color w:val="auto"/>
                <w:sz w:val="22"/>
                <w:szCs w:val="22"/>
                <w:highlight w:val="none"/>
              </w:rPr>
            </w:pPr>
          </w:p>
        </w:tc>
      </w:tr>
      <w:tr w14:paraId="5B67D1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tcBorders>
              <w:top w:val="single" w:color="auto" w:sz="6" w:space="0"/>
              <w:left w:val="single" w:color="auto" w:sz="4" w:space="0"/>
              <w:right w:val="single" w:color="auto" w:sz="6" w:space="0"/>
            </w:tcBorders>
            <w:vAlign w:val="center"/>
          </w:tcPr>
          <w:p w14:paraId="1B4F1D16">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785" w:type="dxa"/>
            <w:tcBorders>
              <w:top w:val="single" w:color="auto" w:sz="6" w:space="0"/>
              <w:left w:val="single" w:color="auto" w:sz="6" w:space="0"/>
              <w:right w:val="single" w:color="auto" w:sz="6" w:space="0"/>
            </w:tcBorders>
            <w:vAlign w:val="center"/>
          </w:tcPr>
          <w:p w14:paraId="39111984">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3030" w:type="dxa"/>
            <w:tcBorders>
              <w:top w:val="single" w:color="auto" w:sz="6" w:space="0"/>
              <w:left w:val="single" w:color="auto" w:sz="6" w:space="0"/>
              <w:right w:val="single" w:color="auto" w:sz="6" w:space="0"/>
            </w:tcBorders>
            <w:vAlign w:val="center"/>
          </w:tcPr>
          <w:p w14:paraId="1538256D">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40" w:type="dxa"/>
            <w:tcBorders>
              <w:top w:val="single" w:color="auto" w:sz="6" w:space="0"/>
              <w:left w:val="single" w:color="auto" w:sz="6" w:space="0"/>
              <w:right w:val="single" w:color="auto" w:sz="6" w:space="0"/>
            </w:tcBorders>
            <w:vAlign w:val="center"/>
          </w:tcPr>
          <w:p w14:paraId="526F915E">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455" w:type="dxa"/>
            <w:tcBorders>
              <w:top w:val="single" w:color="auto" w:sz="6" w:space="0"/>
              <w:left w:val="single" w:color="auto" w:sz="6" w:space="0"/>
              <w:right w:val="single" w:color="auto" w:sz="6" w:space="0"/>
            </w:tcBorders>
            <w:vAlign w:val="center"/>
          </w:tcPr>
          <w:p w14:paraId="2C55C15C">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70" w:type="dxa"/>
            <w:tcBorders>
              <w:top w:val="single" w:color="auto" w:sz="6" w:space="0"/>
              <w:left w:val="single" w:color="auto" w:sz="6" w:space="0"/>
              <w:right w:val="single" w:color="auto" w:sz="4" w:space="0"/>
            </w:tcBorders>
            <w:vAlign w:val="center"/>
          </w:tcPr>
          <w:p w14:paraId="20F4C64F">
            <w:pPr>
              <w:pageBreakBefore w:val="0"/>
              <w:widowControl w:val="0"/>
              <w:kinsoku/>
              <w:overflowPunct/>
              <w:bidi w:val="0"/>
              <w:spacing w:line="240" w:lineRule="auto"/>
              <w:rPr>
                <w:rFonts w:hint="eastAsia" w:ascii="宋体" w:eastAsia="宋体"/>
                <w:b w:val="0"/>
                <w:bCs w:val="0"/>
                <w:color w:val="auto"/>
                <w:sz w:val="22"/>
                <w:szCs w:val="22"/>
                <w:highlight w:val="none"/>
              </w:rPr>
            </w:pPr>
          </w:p>
        </w:tc>
      </w:tr>
      <w:tr w14:paraId="3CD0E9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tcBorders>
              <w:top w:val="single" w:color="auto" w:sz="6" w:space="0"/>
              <w:left w:val="single" w:color="auto" w:sz="4" w:space="0"/>
              <w:right w:val="single" w:color="auto" w:sz="6" w:space="0"/>
            </w:tcBorders>
            <w:vAlign w:val="center"/>
          </w:tcPr>
          <w:p w14:paraId="3073AF02">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785" w:type="dxa"/>
            <w:tcBorders>
              <w:top w:val="single" w:color="auto" w:sz="6" w:space="0"/>
              <w:left w:val="single" w:color="auto" w:sz="6" w:space="0"/>
              <w:right w:val="single" w:color="auto" w:sz="6" w:space="0"/>
            </w:tcBorders>
            <w:vAlign w:val="center"/>
          </w:tcPr>
          <w:p w14:paraId="729EB232">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3030" w:type="dxa"/>
            <w:tcBorders>
              <w:top w:val="single" w:color="auto" w:sz="6" w:space="0"/>
              <w:left w:val="single" w:color="auto" w:sz="6" w:space="0"/>
              <w:right w:val="single" w:color="auto" w:sz="6" w:space="0"/>
            </w:tcBorders>
            <w:vAlign w:val="center"/>
          </w:tcPr>
          <w:p w14:paraId="27F1F5E9">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40" w:type="dxa"/>
            <w:tcBorders>
              <w:top w:val="single" w:color="auto" w:sz="6" w:space="0"/>
              <w:left w:val="single" w:color="auto" w:sz="6" w:space="0"/>
              <w:right w:val="single" w:color="auto" w:sz="6" w:space="0"/>
            </w:tcBorders>
            <w:vAlign w:val="center"/>
          </w:tcPr>
          <w:p w14:paraId="32DB7DC3">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455" w:type="dxa"/>
            <w:tcBorders>
              <w:top w:val="single" w:color="auto" w:sz="6" w:space="0"/>
              <w:left w:val="single" w:color="auto" w:sz="6" w:space="0"/>
              <w:right w:val="single" w:color="auto" w:sz="6" w:space="0"/>
            </w:tcBorders>
            <w:vAlign w:val="center"/>
          </w:tcPr>
          <w:p w14:paraId="118F1CFC">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70" w:type="dxa"/>
            <w:tcBorders>
              <w:top w:val="single" w:color="auto" w:sz="6" w:space="0"/>
              <w:left w:val="single" w:color="auto" w:sz="6" w:space="0"/>
              <w:right w:val="single" w:color="auto" w:sz="4" w:space="0"/>
            </w:tcBorders>
            <w:vAlign w:val="center"/>
          </w:tcPr>
          <w:p w14:paraId="08367AB7">
            <w:pPr>
              <w:pageBreakBefore w:val="0"/>
              <w:widowControl w:val="0"/>
              <w:kinsoku/>
              <w:overflowPunct/>
              <w:bidi w:val="0"/>
              <w:spacing w:line="240" w:lineRule="auto"/>
              <w:rPr>
                <w:rFonts w:hint="eastAsia" w:ascii="宋体" w:eastAsia="宋体"/>
                <w:b w:val="0"/>
                <w:bCs w:val="0"/>
                <w:color w:val="auto"/>
                <w:sz w:val="22"/>
                <w:szCs w:val="22"/>
                <w:highlight w:val="none"/>
              </w:rPr>
            </w:pPr>
          </w:p>
        </w:tc>
      </w:tr>
      <w:tr w14:paraId="7D47CD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tcBorders>
              <w:top w:val="single" w:color="auto" w:sz="6" w:space="0"/>
              <w:left w:val="single" w:color="auto" w:sz="4" w:space="0"/>
              <w:right w:val="single" w:color="auto" w:sz="6" w:space="0"/>
            </w:tcBorders>
            <w:vAlign w:val="center"/>
          </w:tcPr>
          <w:p w14:paraId="398CD8EB">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785" w:type="dxa"/>
            <w:tcBorders>
              <w:top w:val="single" w:color="auto" w:sz="6" w:space="0"/>
              <w:left w:val="single" w:color="auto" w:sz="6" w:space="0"/>
              <w:right w:val="single" w:color="auto" w:sz="6" w:space="0"/>
            </w:tcBorders>
            <w:vAlign w:val="center"/>
          </w:tcPr>
          <w:p w14:paraId="5A9C6FC4">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3030" w:type="dxa"/>
            <w:tcBorders>
              <w:top w:val="single" w:color="auto" w:sz="6" w:space="0"/>
              <w:left w:val="single" w:color="auto" w:sz="6" w:space="0"/>
              <w:right w:val="single" w:color="auto" w:sz="6" w:space="0"/>
            </w:tcBorders>
            <w:vAlign w:val="center"/>
          </w:tcPr>
          <w:p w14:paraId="4F97BBE1">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40" w:type="dxa"/>
            <w:tcBorders>
              <w:top w:val="single" w:color="auto" w:sz="6" w:space="0"/>
              <w:left w:val="single" w:color="auto" w:sz="6" w:space="0"/>
              <w:right w:val="single" w:color="auto" w:sz="6" w:space="0"/>
            </w:tcBorders>
            <w:vAlign w:val="center"/>
          </w:tcPr>
          <w:p w14:paraId="523591AF">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455" w:type="dxa"/>
            <w:tcBorders>
              <w:top w:val="single" w:color="auto" w:sz="6" w:space="0"/>
              <w:left w:val="single" w:color="auto" w:sz="6" w:space="0"/>
              <w:right w:val="single" w:color="auto" w:sz="6" w:space="0"/>
            </w:tcBorders>
            <w:vAlign w:val="center"/>
          </w:tcPr>
          <w:p w14:paraId="4B5CD02F">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70" w:type="dxa"/>
            <w:tcBorders>
              <w:top w:val="single" w:color="auto" w:sz="6" w:space="0"/>
              <w:left w:val="single" w:color="auto" w:sz="6" w:space="0"/>
              <w:right w:val="single" w:color="auto" w:sz="4" w:space="0"/>
            </w:tcBorders>
            <w:vAlign w:val="center"/>
          </w:tcPr>
          <w:p w14:paraId="65352BBF">
            <w:pPr>
              <w:pageBreakBefore w:val="0"/>
              <w:widowControl w:val="0"/>
              <w:kinsoku/>
              <w:overflowPunct/>
              <w:bidi w:val="0"/>
              <w:spacing w:line="240" w:lineRule="auto"/>
              <w:rPr>
                <w:rFonts w:hint="eastAsia" w:ascii="宋体" w:eastAsia="宋体"/>
                <w:b w:val="0"/>
                <w:bCs w:val="0"/>
                <w:color w:val="auto"/>
                <w:sz w:val="22"/>
                <w:szCs w:val="22"/>
                <w:highlight w:val="none"/>
              </w:rPr>
            </w:pPr>
          </w:p>
        </w:tc>
      </w:tr>
      <w:tr w14:paraId="3D12D0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tcBorders>
              <w:top w:val="single" w:color="auto" w:sz="6" w:space="0"/>
              <w:left w:val="single" w:color="auto" w:sz="4" w:space="0"/>
              <w:right w:val="single" w:color="auto" w:sz="6" w:space="0"/>
            </w:tcBorders>
            <w:vAlign w:val="center"/>
          </w:tcPr>
          <w:p w14:paraId="2F0483C0">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785" w:type="dxa"/>
            <w:tcBorders>
              <w:top w:val="single" w:color="auto" w:sz="6" w:space="0"/>
              <w:left w:val="single" w:color="auto" w:sz="6" w:space="0"/>
              <w:right w:val="single" w:color="auto" w:sz="6" w:space="0"/>
            </w:tcBorders>
            <w:vAlign w:val="center"/>
          </w:tcPr>
          <w:p w14:paraId="2E8C7001">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3030" w:type="dxa"/>
            <w:tcBorders>
              <w:top w:val="single" w:color="auto" w:sz="6" w:space="0"/>
              <w:left w:val="single" w:color="auto" w:sz="6" w:space="0"/>
              <w:right w:val="single" w:color="auto" w:sz="6" w:space="0"/>
            </w:tcBorders>
            <w:vAlign w:val="center"/>
          </w:tcPr>
          <w:p w14:paraId="7BC81D5F">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40" w:type="dxa"/>
            <w:tcBorders>
              <w:top w:val="single" w:color="auto" w:sz="6" w:space="0"/>
              <w:left w:val="single" w:color="auto" w:sz="6" w:space="0"/>
              <w:right w:val="single" w:color="auto" w:sz="6" w:space="0"/>
            </w:tcBorders>
            <w:vAlign w:val="center"/>
          </w:tcPr>
          <w:p w14:paraId="645CD683">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455" w:type="dxa"/>
            <w:tcBorders>
              <w:top w:val="single" w:color="auto" w:sz="6" w:space="0"/>
              <w:left w:val="single" w:color="auto" w:sz="6" w:space="0"/>
              <w:right w:val="single" w:color="auto" w:sz="6" w:space="0"/>
            </w:tcBorders>
            <w:vAlign w:val="center"/>
          </w:tcPr>
          <w:p w14:paraId="2B5D205C">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70" w:type="dxa"/>
            <w:tcBorders>
              <w:top w:val="single" w:color="auto" w:sz="6" w:space="0"/>
              <w:left w:val="single" w:color="auto" w:sz="6" w:space="0"/>
              <w:right w:val="single" w:color="auto" w:sz="4" w:space="0"/>
            </w:tcBorders>
            <w:vAlign w:val="center"/>
          </w:tcPr>
          <w:p w14:paraId="2C96CC98">
            <w:pPr>
              <w:pageBreakBefore w:val="0"/>
              <w:widowControl w:val="0"/>
              <w:kinsoku/>
              <w:overflowPunct/>
              <w:bidi w:val="0"/>
              <w:spacing w:line="240" w:lineRule="auto"/>
              <w:rPr>
                <w:rFonts w:hint="eastAsia" w:ascii="宋体" w:eastAsia="宋体"/>
                <w:b w:val="0"/>
                <w:bCs w:val="0"/>
                <w:color w:val="auto"/>
                <w:sz w:val="22"/>
                <w:szCs w:val="22"/>
                <w:highlight w:val="none"/>
              </w:rPr>
            </w:pPr>
          </w:p>
        </w:tc>
      </w:tr>
      <w:tr w14:paraId="75295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tcBorders>
              <w:top w:val="single" w:color="auto" w:sz="6" w:space="0"/>
              <w:left w:val="single" w:color="auto" w:sz="4" w:space="0"/>
              <w:right w:val="single" w:color="auto" w:sz="6" w:space="0"/>
            </w:tcBorders>
            <w:vAlign w:val="center"/>
          </w:tcPr>
          <w:p w14:paraId="2696708E">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785" w:type="dxa"/>
            <w:tcBorders>
              <w:top w:val="single" w:color="auto" w:sz="6" w:space="0"/>
              <w:left w:val="single" w:color="auto" w:sz="6" w:space="0"/>
              <w:right w:val="single" w:color="auto" w:sz="6" w:space="0"/>
            </w:tcBorders>
            <w:vAlign w:val="center"/>
          </w:tcPr>
          <w:p w14:paraId="63237116">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3030" w:type="dxa"/>
            <w:tcBorders>
              <w:top w:val="single" w:color="auto" w:sz="6" w:space="0"/>
              <w:left w:val="single" w:color="auto" w:sz="6" w:space="0"/>
              <w:right w:val="single" w:color="auto" w:sz="6" w:space="0"/>
            </w:tcBorders>
            <w:vAlign w:val="center"/>
          </w:tcPr>
          <w:p w14:paraId="4C259993">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40" w:type="dxa"/>
            <w:tcBorders>
              <w:top w:val="single" w:color="auto" w:sz="6" w:space="0"/>
              <w:left w:val="single" w:color="auto" w:sz="6" w:space="0"/>
              <w:right w:val="single" w:color="auto" w:sz="6" w:space="0"/>
            </w:tcBorders>
            <w:vAlign w:val="center"/>
          </w:tcPr>
          <w:p w14:paraId="712EF94E">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455" w:type="dxa"/>
            <w:tcBorders>
              <w:top w:val="single" w:color="auto" w:sz="6" w:space="0"/>
              <w:left w:val="single" w:color="auto" w:sz="6" w:space="0"/>
              <w:right w:val="single" w:color="auto" w:sz="6" w:space="0"/>
            </w:tcBorders>
            <w:vAlign w:val="center"/>
          </w:tcPr>
          <w:p w14:paraId="77B4DF6D">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70" w:type="dxa"/>
            <w:tcBorders>
              <w:top w:val="single" w:color="auto" w:sz="6" w:space="0"/>
              <w:left w:val="single" w:color="auto" w:sz="6" w:space="0"/>
              <w:right w:val="single" w:color="auto" w:sz="4" w:space="0"/>
            </w:tcBorders>
            <w:vAlign w:val="center"/>
          </w:tcPr>
          <w:p w14:paraId="33F7DD2E">
            <w:pPr>
              <w:pageBreakBefore w:val="0"/>
              <w:widowControl w:val="0"/>
              <w:kinsoku/>
              <w:overflowPunct/>
              <w:bidi w:val="0"/>
              <w:spacing w:line="240" w:lineRule="auto"/>
              <w:rPr>
                <w:rFonts w:hint="eastAsia" w:ascii="宋体" w:eastAsia="宋体"/>
                <w:b w:val="0"/>
                <w:bCs w:val="0"/>
                <w:color w:val="auto"/>
                <w:sz w:val="22"/>
                <w:szCs w:val="22"/>
                <w:highlight w:val="none"/>
              </w:rPr>
            </w:pPr>
          </w:p>
        </w:tc>
      </w:tr>
      <w:tr w14:paraId="3C0E4C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62" w:type="dxa"/>
            <w:tcBorders>
              <w:top w:val="single" w:color="auto" w:sz="6" w:space="0"/>
              <w:left w:val="single" w:color="auto" w:sz="4" w:space="0"/>
              <w:right w:val="single" w:color="auto" w:sz="6" w:space="0"/>
            </w:tcBorders>
            <w:vAlign w:val="center"/>
          </w:tcPr>
          <w:p w14:paraId="4ECF1AFA">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785" w:type="dxa"/>
            <w:tcBorders>
              <w:top w:val="single" w:color="auto" w:sz="6" w:space="0"/>
              <w:left w:val="single" w:color="auto" w:sz="6" w:space="0"/>
              <w:right w:val="single" w:color="auto" w:sz="6" w:space="0"/>
            </w:tcBorders>
            <w:vAlign w:val="center"/>
          </w:tcPr>
          <w:p w14:paraId="17CC4C76">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3030" w:type="dxa"/>
            <w:tcBorders>
              <w:top w:val="single" w:color="auto" w:sz="6" w:space="0"/>
              <w:left w:val="single" w:color="auto" w:sz="6" w:space="0"/>
              <w:right w:val="single" w:color="auto" w:sz="6" w:space="0"/>
            </w:tcBorders>
            <w:vAlign w:val="center"/>
          </w:tcPr>
          <w:p w14:paraId="16AEE1D3">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40" w:type="dxa"/>
            <w:tcBorders>
              <w:top w:val="single" w:color="auto" w:sz="6" w:space="0"/>
              <w:left w:val="single" w:color="auto" w:sz="6" w:space="0"/>
              <w:right w:val="single" w:color="auto" w:sz="6" w:space="0"/>
            </w:tcBorders>
            <w:vAlign w:val="center"/>
          </w:tcPr>
          <w:p w14:paraId="450A6ED8">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455" w:type="dxa"/>
            <w:tcBorders>
              <w:top w:val="single" w:color="auto" w:sz="6" w:space="0"/>
              <w:left w:val="single" w:color="auto" w:sz="6" w:space="0"/>
              <w:right w:val="single" w:color="auto" w:sz="6" w:space="0"/>
            </w:tcBorders>
            <w:vAlign w:val="center"/>
          </w:tcPr>
          <w:p w14:paraId="44C971CF">
            <w:pPr>
              <w:pageBreakBefore w:val="0"/>
              <w:widowControl w:val="0"/>
              <w:kinsoku/>
              <w:overflowPunct/>
              <w:bidi w:val="0"/>
              <w:spacing w:line="240" w:lineRule="auto"/>
              <w:rPr>
                <w:rFonts w:hint="eastAsia" w:ascii="宋体" w:eastAsia="宋体"/>
                <w:b w:val="0"/>
                <w:bCs w:val="0"/>
                <w:color w:val="auto"/>
                <w:sz w:val="22"/>
                <w:szCs w:val="22"/>
                <w:highlight w:val="none"/>
              </w:rPr>
            </w:pPr>
          </w:p>
        </w:tc>
        <w:tc>
          <w:tcPr>
            <w:tcW w:w="1170" w:type="dxa"/>
            <w:tcBorders>
              <w:top w:val="single" w:color="auto" w:sz="6" w:space="0"/>
              <w:left w:val="single" w:color="auto" w:sz="6" w:space="0"/>
              <w:right w:val="single" w:color="auto" w:sz="4" w:space="0"/>
            </w:tcBorders>
            <w:vAlign w:val="center"/>
          </w:tcPr>
          <w:p w14:paraId="0D635E5A">
            <w:pPr>
              <w:pageBreakBefore w:val="0"/>
              <w:widowControl w:val="0"/>
              <w:kinsoku/>
              <w:overflowPunct/>
              <w:bidi w:val="0"/>
              <w:spacing w:line="240" w:lineRule="auto"/>
              <w:rPr>
                <w:rFonts w:hint="eastAsia" w:ascii="宋体" w:eastAsia="宋体"/>
                <w:b w:val="0"/>
                <w:bCs w:val="0"/>
                <w:color w:val="auto"/>
                <w:sz w:val="22"/>
                <w:szCs w:val="22"/>
                <w:highlight w:val="none"/>
              </w:rPr>
            </w:pPr>
          </w:p>
        </w:tc>
      </w:tr>
    </w:tbl>
    <w:p w14:paraId="4F748A26">
      <w:pPr>
        <w:pageBreakBefore w:val="0"/>
        <w:widowControl w:val="0"/>
        <w:kinsoku/>
        <w:overflowPunct/>
        <w:bidi w:val="0"/>
        <w:spacing w:line="360" w:lineRule="auto"/>
        <w:rPr>
          <w:rFonts w:hint="eastAsia" w:ascii="宋体" w:eastAsia="宋体"/>
          <w:b w:val="0"/>
          <w:bCs w:val="0"/>
          <w:color w:val="auto"/>
          <w:sz w:val="8"/>
          <w:szCs w:val="8"/>
          <w:highlight w:val="none"/>
        </w:rPr>
      </w:pPr>
    </w:p>
    <w:p w14:paraId="6A252C91">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注：1、列入本表人员如要更换，需经采购人同意；擅自更换或不到位属违约行为。</w:t>
      </w:r>
    </w:p>
    <w:p w14:paraId="7B18DA53">
      <w:pPr>
        <w:pageBreakBefore w:val="0"/>
        <w:widowControl w:val="0"/>
        <w:kinsoku/>
        <w:overflowPunct/>
        <w:bidi w:val="0"/>
        <w:spacing w:line="360" w:lineRule="auto"/>
        <w:ind w:firstLine="480"/>
        <w:rPr>
          <w:rFonts w:hint="eastAsia" w:ascii="宋体" w:eastAsia="宋体"/>
          <w:b w:val="0"/>
          <w:bCs w:val="0"/>
          <w:color w:val="auto"/>
          <w:spacing w:val="20"/>
          <w:sz w:val="22"/>
          <w:szCs w:val="22"/>
          <w:highlight w:val="none"/>
        </w:rPr>
      </w:pPr>
    </w:p>
    <w:p w14:paraId="20730663">
      <w:pPr>
        <w:pageBreakBefore w:val="0"/>
        <w:widowControl w:val="0"/>
        <w:kinsoku/>
        <w:overflowPunct/>
        <w:bidi w:val="0"/>
        <w:spacing w:line="360" w:lineRule="auto"/>
        <w:ind w:firstLine="480"/>
        <w:rPr>
          <w:rFonts w:hint="eastAsia" w:ascii="宋体" w:eastAsia="宋体"/>
          <w:b w:val="0"/>
          <w:bCs w:val="0"/>
          <w:color w:val="auto"/>
          <w:spacing w:val="20"/>
          <w:sz w:val="22"/>
          <w:szCs w:val="22"/>
          <w:highlight w:val="none"/>
        </w:rPr>
      </w:pPr>
      <w:r>
        <w:rPr>
          <w:rFonts w:hint="eastAsia" w:ascii="宋体" w:eastAsia="宋体"/>
          <w:b w:val="0"/>
          <w:bCs w:val="0"/>
          <w:color w:val="auto"/>
          <w:spacing w:val="20"/>
          <w:sz w:val="22"/>
          <w:szCs w:val="22"/>
          <w:highlight w:val="none"/>
        </w:rPr>
        <w:t>供应商全称（公章）：</w:t>
      </w:r>
    </w:p>
    <w:p w14:paraId="04174C6B">
      <w:pPr>
        <w:pStyle w:val="21"/>
        <w:pageBreakBefore w:val="0"/>
        <w:widowControl w:val="0"/>
        <w:kinsoku/>
        <w:overflowPunct/>
        <w:bidi w:val="0"/>
        <w:spacing w:line="360" w:lineRule="auto"/>
        <w:ind w:firstLine="520" w:firstLineChars="200"/>
        <w:jc w:val="both"/>
        <w:rPr>
          <w:rFonts w:hint="eastAsia" w:ascii="宋体" w:hAnsi="宋体" w:cs="宋体"/>
          <w:b w:val="0"/>
          <w:bCs w:val="0"/>
          <w:color w:val="auto"/>
          <w:spacing w:val="20"/>
          <w:sz w:val="22"/>
          <w:szCs w:val="22"/>
          <w:highlight w:val="none"/>
        </w:rPr>
      </w:pPr>
      <w:bookmarkStart w:id="83" w:name="_Toc31900"/>
      <w:bookmarkStart w:id="84" w:name="_Toc13929"/>
      <w:r>
        <w:rPr>
          <w:rFonts w:hint="eastAsia" w:ascii="宋体" w:hAnsi="宋体" w:cs="宋体"/>
          <w:b w:val="0"/>
          <w:bCs w:val="0"/>
          <w:color w:val="auto"/>
          <w:spacing w:val="20"/>
          <w:sz w:val="22"/>
          <w:szCs w:val="22"/>
          <w:highlight w:val="none"/>
        </w:rPr>
        <w:t>日期：</w:t>
      </w:r>
      <w:bookmarkEnd w:id="83"/>
      <w:bookmarkEnd w:id="84"/>
    </w:p>
    <w:p w14:paraId="78BD5CDB">
      <w:pPr>
        <w:pStyle w:val="12"/>
        <w:pageBreakBefore w:val="0"/>
        <w:widowControl w:val="0"/>
        <w:kinsoku/>
        <w:overflowPunct/>
        <w:bidi w:val="0"/>
        <w:spacing w:line="324" w:lineRule="auto"/>
        <w:rPr>
          <w:rFonts w:hint="eastAsia" w:hAnsi="宋体" w:eastAsia="宋体"/>
          <w:b w:val="0"/>
          <w:color w:val="auto"/>
          <w:sz w:val="32"/>
          <w:szCs w:val="32"/>
          <w:highlight w:val="none"/>
        </w:rPr>
      </w:pPr>
    </w:p>
    <w:p w14:paraId="4D55E312">
      <w:pPr>
        <w:pStyle w:val="12"/>
        <w:pageBreakBefore w:val="0"/>
        <w:widowControl w:val="0"/>
        <w:kinsoku/>
        <w:overflowPunct/>
        <w:bidi w:val="0"/>
        <w:spacing w:line="324" w:lineRule="auto"/>
        <w:rPr>
          <w:rFonts w:hint="eastAsia" w:hAnsi="宋体" w:eastAsia="宋体"/>
          <w:b w:val="0"/>
          <w:color w:val="auto"/>
          <w:sz w:val="32"/>
          <w:szCs w:val="32"/>
          <w:highlight w:val="none"/>
        </w:rPr>
        <w:sectPr>
          <w:pgSz w:w="11906" w:h="16838"/>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14:paraId="65A7AF33">
      <w:pPr>
        <w:pageBreakBefore w:val="0"/>
        <w:widowControl w:val="0"/>
        <w:kinsoku/>
        <w:overflowPunct/>
        <w:autoSpaceDE w:val="0"/>
        <w:autoSpaceDN w:val="0"/>
        <w:bidi w:val="0"/>
        <w:adjustRightInd w:val="0"/>
        <w:spacing w:line="324" w:lineRule="auto"/>
        <w:jc w:val="left"/>
        <w:rPr>
          <w:rFonts w:hint="eastAsia" w:ascii="宋体" w:eastAsia="宋体"/>
          <w:b w:val="0"/>
          <w:bCs w:val="0"/>
          <w:color w:val="auto"/>
          <w:sz w:val="32"/>
          <w:szCs w:val="32"/>
          <w:highlight w:val="none"/>
          <w:lang w:val="zh-CN"/>
        </w:rPr>
      </w:pPr>
      <w:r>
        <w:rPr>
          <w:rFonts w:hint="eastAsia" w:ascii="宋体" w:eastAsia="宋体"/>
          <w:b w:val="0"/>
          <w:bCs w:val="0"/>
          <w:color w:val="auto"/>
          <w:sz w:val="32"/>
          <w:szCs w:val="32"/>
          <w:highlight w:val="none"/>
          <w:lang w:val="zh-CN"/>
        </w:rPr>
        <w:t>附件</w:t>
      </w:r>
      <w:r>
        <w:rPr>
          <w:rFonts w:hint="eastAsia" w:ascii="宋体" w:eastAsia="宋体"/>
          <w:b w:val="0"/>
          <w:bCs w:val="0"/>
          <w:color w:val="auto"/>
          <w:sz w:val="32"/>
          <w:szCs w:val="32"/>
          <w:highlight w:val="none"/>
        </w:rPr>
        <w:t>十</w:t>
      </w:r>
      <w:r>
        <w:rPr>
          <w:rFonts w:hint="eastAsia" w:ascii="宋体" w:eastAsia="宋体"/>
          <w:b w:val="0"/>
          <w:bCs w:val="0"/>
          <w:color w:val="auto"/>
          <w:sz w:val="32"/>
          <w:szCs w:val="32"/>
          <w:highlight w:val="none"/>
          <w:lang w:val="en-US" w:eastAsia="zh-CN"/>
        </w:rPr>
        <w:t>六</w:t>
      </w:r>
      <w:r>
        <w:rPr>
          <w:rFonts w:hint="eastAsia" w:ascii="宋体" w:eastAsia="宋体"/>
          <w:b w:val="0"/>
          <w:bCs w:val="0"/>
          <w:color w:val="auto"/>
          <w:sz w:val="32"/>
          <w:szCs w:val="32"/>
          <w:highlight w:val="none"/>
          <w:lang w:val="zh-CN"/>
        </w:rPr>
        <w:t>（一）</w:t>
      </w:r>
    </w:p>
    <w:p w14:paraId="0C99753E">
      <w:pPr>
        <w:pageBreakBefore w:val="0"/>
        <w:widowControl w:val="0"/>
        <w:kinsoku/>
        <w:overflowPunct/>
        <w:autoSpaceDE w:val="0"/>
        <w:autoSpaceDN w:val="0"/>
        <w:bidi w:val="0"/>
        <w:adjustRightInd w:val="0"/>
        <w:spacing w:line="360" w:lineRule="auto"/>
        <w:ind w:firstLine="3520" w:firstLineChars="1100"/>
        <w:rPr>
          <w:rFonts w:hint="eastAsia" w:ascii="宋体" w:eastAsia="宋体"/>
          <w:b w:val="0"/>
          <w:color w:val="auto"/>
          <w:sz w:val="32"/>
          <w:szCs w:val="32"/>
          <w:highlight w:val="none"/>
          <w:lang w:val="zh-CN"/>
        </w:rPr>
      </w:pPr>
      <w:r>
        <w:rPr>
          <w:rFonts w:hint="eastAsia" w:ascii="宋体" w:eastAsia="宋体"/>
          <w:b w:val="0"/>
          <w:color w:val="auto"/>
          <w:sz w:val="32"/>
          <w:szCs w:val="32"/>
          <w:highlight w:val="none"/>
          <w:lang w:val="zh-CN"/>
        </w:rPr>
        <w:t>商务偏离表</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
        <w:gridCol w:w="1805"/>
        <w:gridCol w:w="2669"/>
        <w:gridCol w:w="2115"/>
        <w:gridCol w:w="2131"/>
      </w:tblGrid>
      <w:tr w14:paraId="18F6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902" w:type="dxa"/>
            <w:tcBorders>
              <w:top w:val="single" w:color="auto" w:sz="6" w:space="0"/>
              <w:left w:val="single" w:color="auto" w:sz="6" w:space="0"/>
              <w:bottom w:val="single" w:color="auto" w:sz="6" w:space="0"/>
              <w:right w:val="single" w:color="auto" w:sz="6" w:space="0"/>
            </w:tcBorders>
            <w:vAlign w:val="center"/>
          </w:tcPr>
          <w:p w14:paraId="0402B815">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序号</w:t>
            </w:r>
          </w:p>
        </w:tc>
        <w:tc>
          <w:tcPr>
            <w:tcW w:w="1805" w:type="dxa"/>
            <w:tcBorders>
              <w:top w:val="single" w:color="auto" w:sz="6" w:space="0"/>
              <w:left w:val="single" w:color="auto" w:sz="6" w:space="0"/>
              <w:bottom w:val="single" w:color="auto" w:sz="6" w:space="0"/>
              <w:right w:val="single" w:color="auto" w:sz="6" w:space="0"/>
            </w:tcBorders>
            <w:vAlign w:val="center"/>
          </w:tcPr>
          <w:p w14:paraId="077500CF">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内容</w:t>
            </w:r>
          </w:p>
        </w:tc>
        <w:tc>
          <w:tcPr>
            <w:tcW w:w="2669" w:type="dxa"/>
            <w:tcBorders>
              <w:top w:val="single" w:color="auto" w:sz="6" w:space="0"/>
              <w:left w:val="single" w:color="auto" w:sz="6" w:space="0"/>
              <w:bottom w:val="single" w:color="auto" w:sz="6" w:space="0"/>
              <w:right w:val="single" w:color="auto" w:sz="6" w:space="0"/>
            </w:tcBorders>
            <w:vAlign w:val="center"/>
          </w:tcPr>
          <w:p w14:paraId="6EA8BEA8">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磋商采购文件规范要求</w:t>
            </w:r>
          </w:p>
        </w:tc>
        <w:tc>
          <w:tcPr>
            <w:tcW w:w="2115" w:type="dxa"/>
            <w:tcBorders>
              <w:top w:val="single" w:color="auto" w:sz="6" w:space="0"/>
              <w:left w:val="single" w:color="auto" w:sz="6" w:space="0"/>
              <w:bottom w:val="single" w:color="auto" w:sz="6" w:space="0"/>
              <w:right w:val="single" w:color="auto" w:sz="6" w:space="0"/>
            </w:tcBorders>
            <w:vAlign w:val="center"/>
          </w:tcPr>
          <w:p w14:paraId="407111B2">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磋商响应文件</w:t>
            </w:r>
          </w:p>
          <w:p w14:paraId="317A224B">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对应规范</w:t>
            </w:r>
          </w:p>
        </w:tc>
        <w:tc>
          <w:tcPr>
            <w:tcW w:w="2131" w:type="dxa"/>
            <w:tcBorders>
              <w:top w:val="single" w:color="auto" w:sz="6" w:space="0"/>
              <w:left w:val="single" w:color="auto" w:sz="6" w:space="0"/>
              <w:bottom w:val="single" w:color="auto" w:sz="6" w:space="0"/>
              <w:right w:val="single" w:color="auto" w:sz="6" w:space="0"/>
            </w:tcBorders>
            <w:vAlign w:val="center"/>
          </w:tcPr>
          <w:p w14:paraId="32192F93">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备注</w:t>
            </w:r>
          </w:p>
        </w:tc>
      </w:tr>
      <w:tr w14:paraId="26FC9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tcPr>
          <w:p w14:paraId="6093F178">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tcPr>
          <w:p w14:paraId="21CCE06B">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tcPr>
          <w:p w14:paraId="692C0B3D">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tcPr>
          <w:p w14:paraId="69A91ED6">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tcPr>
          <w:p w14:paraId="3F57DC92">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5B0C4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tcPr>
          <w:p w14:paraId="0B46B0B3">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tcPr>
          <w:p w14:paraId="2841CFB1">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tcPr>
          <w:p w14:paraId="66A87EFA">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tcPr>
          <w:p w14:paraId="7FECC3B9">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tcPr>
          <w:p w14:paraId="6299EAFC">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00652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tcPr>
          <w:p w14:paraId="33D4CD6D">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tcPr>
          <w:p w14:paraId="27BF7688">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tcPr>
          <w:p w14:paraId="173ED1FA">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tcPr>
          <w:p w14:paraId="3201E117">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tcPr>
          <w:p w14:paraId="290A125B">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6A7F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02" w:type="dxa"/>
            <w:tcBorders>
              <w:top w:val="single" w:color="auto" w:sz="6" w:space="0"/>
              <w:left w:val="single" w:color="auto" w:sz="6" w:space="0"/>
              <w:bottom w:val="single" w:color="auto" w:sz="6" w:space="0"/>
              <w:right w:val="single" w:color="auto" w:sz="6" w:space="0"/>
            </w:tcBorders>
          </w:tcPr>
          <w:p w14:paraId="57D33FE2">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tcPr>
          <w:p w14:paraId="2C9E00E8">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tcPr>
          <w:p w14:paraId="3757DAFF">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tcPr>
          <w:p w14:paraId="7549B947">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tcPr>
          <w:p w14:paraId="1E760E9A">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49E6E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02" w:type="dxa"/>
            <w:tcBorders>
              <w:top w:val="single" w:color="auto" w:sz="6" w:space="0"/>
              <w:left w:val="single" w:color="auto" w:sz="6" w:space="0"/>
              <w:bottom w:val="single" w:color="auto" w:sz="6" w:space="0"/>
              <w:right w:val="single" w:color="auto" w:sz="6" w:space="0"/>
            </w:tcBorders>
          </w:tcPr>
          <w:p w14:paraId="561ED1C0">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tcPr>
          <w:p w14:paraId="0FE08F86">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tcPr>
          <w:p w14:paraId="2B13319A">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tcPr>
          <w:p w14:paraId="1C599897">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tcPr>
          <w:p w14:paraId="290DEB96">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4976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tcPr>
          <w:p w14:paraId="26828D3D">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tcPr>
          <w:p w14:paraId="43459C35">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tcPr>
          <w:p w14:paraId="789A3315">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tcPr>
          <w:p w14:paraId="153F85E0">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tcPr>
          <w:p w14:paraId="4489468C">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54BDD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tcPr>
          <w:p w14:paraId="58F9C7E3">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tcPr>
          <w:p w14:paraId="2F9B02CD">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tcPr>
          <w:p w14:paraId="1F73B19D">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tcPr>
          <w:p w14:paraId="22F702AF">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tcPr>
          <w:p w14:paraId="6DF63733">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bl>
    <w:p w14:paraId="6AB1352E">
      <w:pPr>
        <w:pageBreakBefore w:val="0"/>
        <w:widowControl w:val="0"/>
        <w:kinsoku/>
        <w:overflowPunct/>
        <w:autoSpaceDE w:val="0"/>
        <w:autoSpaceDN w:val="0"/>
        <w:bidi w:val="0"/>
        <w:adjustRightInd w:val="0"/>
        <w:spacing w:line="360" w:lineRule="auto"/>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供应商盖章：</w:t>
      </w:r>
    </w:p>
    <w:p w14:paraId="4F5E543C">
      <w:pPr>
        <w:pageBreakBefore w:val="0"/>
        <w:widowControl w:val="0"/>
        <w:kinsoku/>
        <w:overflowPunct/>
        <w:autoSpaceDE w:val="0"/>
        <w:autoSpaceDN w:val="0"/>
        <w:bidi w:val="0"/>
        <w:adjustRightInd w:val="0"/>
        <w:spacing w:line="360" w:lineRule="auto"/>
        <w:rPr>
          <w:rFonts w:hint="eastAsia" w:ascii="宋体" w:eastAsia="宋体"/>
          <w:b w:val="0"/>
          <w:bCs w:val="0"/>
          <w:color w:val="auto"/>
          <w:sz w:val="22"/>
          <w:szCs w:val="22"/>
          <w:highlight w:val="none"/>
          <w:lang w:val="zh-CN"/>
        </w:rPr>
      </w:pPr>
    </w:p>
    <w:p w14:paraId="5EAD4C5F">
      <w:pPr>
        <w:pageBreakBefore w:val="0"/>
        <w:widowControl w:val="0"/>
        <w:kinsoku/>
        <w:overflowPunct/>
        <w:autoSpaceDE w:val="0"/>
        <w:autoSpaceDN w:val="0"/>
        <w:bidi w:val="0"/>
        <w:adjustRightInd w:val="0"/>
        <w:spacing w:line="360" w:lineRule="auto"/>
        <w:rPr>
          <w:rFonts w:hint="eastAsia" w:ascii="宋体" w:eastAsia="宋体"/>
          <w:b w:val="0"/>
          <w:bCs w:val="0"/>
          <w:color w:val="auto"/>
          <w:sz w:val="32"/>
          <w:szCs w:val="32"/>
          <w:highlight w:val="none"/>
          <w:lang w:val="zh-CN"/>
        </w:rPr>
      </w:pPr>
      <w:r>
        <w:rPr>
          <w:rFonts w:hint="eastAsia" w:ascii="宋体" w:eastAsia="宋体"/>
          <w:b w:val="0"/>
          <w:bCs w:val="0"/>
          <w:color w:val="auto"/>
          <w:sz w:val="32"/>
          <w:szCs w:val="32"/>
          <w:highlight w:val="none"/>
          <w:lang w:val="zh-CN"/>
        </w:rPr>
        <w:t>附件</w:t>
      </w:r>
      <w:r>
        <w:rPr>
          <w:rFonts w:hint="eastAsia" w:ascii="宋体" w:eastAsia="宋体"/>
          <w:b w:val="0"/>
          <w:bCs w:val="0"/>
          <w:color w:val="auto"/>
          <w:sz w:val="32"/>
          <w:szCs w:val="32"/>
          <w:highlight w:val="none"/>
        </w:rPr>
        <w:t>十</w:t>
      </w:r>
      <w:r>
        <w:rPr>
          <w:rFonts w:hint="eastAsia" w:ascii="宋体" w:eastAsia="宋体"/>
          <w:b w:val="0"/>
          <w:bCs w:val="0"/>
          <w:color w:val="auto"/>
          <w:sz w:val="32"/>
          <w:szCs w:val="32"/>
          <w:highlight w:val="none"/>
          <w:lang w:val="en-US" w:eastAsia="zh-CN"/>
        </w:rPr>
        <w:t>六</w:t>
      </w:r>
      <w:r>
        <w:rPr>
          <w:rFonts w:hint="eastAsia" w:ascii="宋体" w:eastAsia="宋体"/>
          <w:b w:val="0"/>
          <w:bCs w:val="0"/>
          <w:color w:val="auto"/>
          <w:sz w:val="32"/>
          <w:szCs w:val="32"/>
          <w:highlight w:val="none"/>
          <w:lang w:val="zh-CN"/>
        </w:rPr>
        <w:t>（二）</w:t>
      </w:r>
    </w:p>
    <w:p w14:paraId="77E1F296">
      <w:pPr>
        <w:pageBreakBefore w:val="0"/>
        <w:widowControl w:val="0"/>
        <w:kinsoku/>
        <w:overflowPunct/>
        <w:autoSpaceDE w:val="0"/>
        <w:autoSpaceDN w:val="0"/>
        <w:bidi w:val="0"/>
        <w:adjustRightInd w:val="0"/>
        <w:spacing w:line="360" w:lineRule="auto"/>
        <w:ind w:left="0" w:firstLine="3558" w:firstLineChars="1112"/>
        <w:rPr>
          <w:rFonts w:hint="eastAsia" w:ascii="宋体" w:eastAsia="宋体"/>
          <w:b w:val="0"/>
          <w:color w:val="auto"/>
          <w:sz w:val="32"/>
          <w:szCs w:val="32"/>
          <w:highlight w:val="none"/>
          <w:lang w:val="zh-CN"/>
        </w:rPr>
      </w:pPr>
      <w:r>
        <w:rPr>
          <w:rFonts w:hint="eastAsia" w:ascii="宋体" w:eastAsia="宋体"/>
          <w:b w:val="0"/>
          <w:color w:val="auto"/>
          <w:sz w:val="32"/>
          <w:szCs w:val="32"/>
          <w:highlight w:val="none"/>
          <w:lang w:val="zh-CN"/>
        </w:rPr>
        <w:t>技术偏离表</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
        <w:gridCol w:w="1803"/>
        <w:gridCol w:w="2653"/>
        <w:gridCol w:w="2113"/>
        <w:gridCol w:w="2128"/>
      </w:tblGrid>
      <w:tr w14:paraId="1CC9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902" w:type="dxa"/>
            <w:tcBorders>
              <w:top w:val="single" w:color="auto" w:sz="6" w:space="0"/>
              <w:left w:val="single" w:color="auto" w:sz="6" w:space="0"/>
              <w:bottom w:val="single" w:color="auto" w:sz="6" w:space="0"/>
              <w:right w:val="single" w:color="auto" w:sz="6" w:space="0"/>
            </w:tcBorders>
            <w:vAlign w:val="center"/>
          </w:tcPr>
          <w:p w14:paraId="46B73ABC">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序号</w:t>
            </w:r>
          </w:p>
        </w:tc>
        <w:tc>
          <w:tcPr>
            <w:tcW w:w="1803" w:type="dxa"/>
            <w:tcBorders>
              <w:top w:val="single" w:color="auto" w:sz="6" w:space="0"/>
              <w:left w:val="single" w:color="auto" w:sz="6" w:space="0"/>
              <w:bottom w:val="single" w:color="auto" w:sz="6" w:space="0"/>
              <w:right w:val="single" w:color="auto" w:sz="6" w:space="0"/>
            </w:tcBorders>
            <w:vAlign w:val="center"/>
          </w:tcPr>
          <w:p w14:paraId="6EF987B6">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内容</w:t>
            </w:r>
          </w:p>
        </w:tc>
        <w:tc>
          <w:tcPr>
            <w:tcW w:w="2653" w:type="dxa"/>
            <w:tcBorders>
              <w:top w:val="single" w:color="auto" w:sz="6" w:space="0"/>
              <w:left w:val="single" w:color="auto" w:sz="6" w:space="0"/>
              <w:bottom w:val="single" w:color="auto" w:sz="6" w:space="0"/>
              <w:right w:val="single" w:color="auto" w:sz="6" w:space="0"/>
            </w:tcBorders>
            <w:vAlign w:val="center"/>
          </w:tcPr>
          <w:p w14:paraId="441B080D">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磋商采购文件规范要求</w:t>
            </w:r>
          </w:p>
        </w:tc>
        <w:tc>
          <w:tcPr>
            <w:tcW w:w="2113" w:type="dxa"/>
            <w:tcBorders>
              <w:top w:val="single" w:color="auto" w:sz="6" w:space="0"/>
              <w:left w:val="single" w:color="auto" w:sz="6" w:space="0"/>
              <w:bottom w:val="single" w:color="auto" w:sz="6" w:space="0"/>
              <w:right w:val="single" w:color="auto" w:sz="6" w:space="0"/>
            </w:tcBorders>
            <w:vAlign w:val="center"/>
          </w:tcPr>
          <w:p w14:paraId="5B663F98">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磋商响应文件</w:t>
            </w:r>
          </w:p>
          <w:p w14:paraId="18F5AAC0">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对应规范</w:t>
            </w:r>
          </w:p>
        </w:tc>
        <w:tc>
          <w:tcPr>
            <w:tcW w:w="2128" w:type="dxa"/>
            <w:tcBorders>
              <w:top w:val="single" w:color="auto" w:sz="6" w:space="0"/>
              <w:left w:val="single" w:color="auto" w:sz="6" w:space="0"/>
              <w:bottom w:val="single" w:color="auto" w:sz="6" w:space="0"/>
              <w:right w:val="single" w:color="auto" w:sz="6" w:space="0"/>
            </w:tcBorders>
            <w:vAlign w:val="center"/>
          </w:tcPr>
          <w:p w14:paraId="5B620146">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备注</w:t>
            </w:r>
          </w:p>
        </w:tc>
      </w:tr>
      <w:tr w14:paraId="066C6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02" w:type="dxa"/>
            <w:tcBorders>
              <w:top w:val="single" w:color="auto" w:sz="6" w:space="0"/>
              <w:left w:val="single" w:color="auto" w:sz="6" w:space="0"/>
              <w:bottom w:val="single" w:color="auto" w:sz="6" w:space="0"/>
              <w:right w:val="single" w:color="auto" w:sz="6" w:space="0"/>
            </w:tcBorders>
          </w:tcPr>
          <w:p w14:paraId="67BAC41B">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tcPr>
          <w:p w14:paraId="171FB3DE">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tcPr>
          <w:p w14:paraId="7EC2243D">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tcPr>
          <w:p w14:paraId="26D575F9">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tcPr>
          <w:p w14:paraId="6CBB4C20">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13853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tcPr>
          <w:p w14:paraId="49123284">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tcPr>
          <w:p w14:paraId="28B0E224">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tcPr>
          <w:p w14:paraId="0484C27A">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tcPr>
          <w:p w14:paraId="1575FD9A">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tcPr>
          <w:p w14:paraId="6D1AED70">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39773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tcPr>
          <w:p w14:paraId="4CAAF17B">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tcPr>
          <w:p w14:paraId="5EF0E607">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tcPr>
          <w:p w14:paraId="3ED568CA">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tcPr>
          <w:p w14:paraId="5D9AEEF4">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tcPr>
          <w:p w14:paraId="725E4D78">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05B8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02" w:type="dxa"/>
            <w:tcBorders>
              <w:top w:val="single" w:color="auto" w:sz="6" w:space="0"/>
              <w:left w:val="single" w:color="auto" w:sz="6" w:space="0"/>
              <w:bottom w:val="single" w:color="auto" w:sz="6" w:space="0"/>
              <w:right w:val="single" w:color="auto" w:sz="6" w:space="0"/>
            </w:tcBorders>
          </w:tcPr>
          <w:p w14:paraId="56C2913C">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tcPr>
          <w:p w14:paraId="2E9F9D4A">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tcPr>
          <w:p w14:paraId="1E845BA2">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tcPr>
          <w:p w14:paraId="045524DC">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tcPr>
          <w:p w14:paraId="00FD8354">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222B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tcPr>
          <w:p w14:paraId="07F7EC13">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tcPr>
          <w:p w14:paraId="174F28AD">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tcPr>
          <w:p w14:paraId="2FCDAAD6">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tcPr>
          <w:p w14:paraId="51550D81">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tcPr>
          <w:p w14:paraId="5F4137D3">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11DB2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tcPr>
          <w:p w14:paraId="674D4978">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tcPr>
          <w:p w14:paraId="15699462">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tcPr>
          <w:p w14:paraId="4AD2088B">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tcPr>
          <w:p w14:paraId="6D3ED716">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tcPr>
          <w:p w14:paraId="37266254">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2A9A6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02" w:type="dxa"/>
            <w:tcBorders>
              <w:top w:val="single" w:color="auto" w:sz="6" w:space="0"/>
              <w:left w:val="single" w:color="auto" w:sz="6" w:space="0"/>
              <w:bottom w:val="single" w:color="auto" w:sz="6" w:space="0"/>
              <w:right w:val="single" w:color="auto" w:sz="6" w:space="0"/>
            </w:tcBorders>
          </w:tcPr>
          <w:p w14:paraId="7232D8E4">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tcPr>
          <w:p w14:paraId="05DF1449">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tcPr>
          <w:p w14:paraId="471281C4">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tcPr>
          <w:p w14:paraId="1079859B">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tcPr>
          <w:p w14:paraId="4DB88EA2">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bl>
    <w:p w14:paraId="47E78CF1">
      <w:pPr>
        <w:pageBreakBefore w:val="0"/>
        <w:widowControl w:val="0"/>
        <w:kinsoku/>
        <w:overflowPunct/>
        <w:autoSpaceDE w:val="0"/>
        <w:autoSpaceDN w:val="0"/>
        <w:bidi w:val="0"/>
        <w:adjustRightInd w:val="0"/>
        <w:spacing w:line="360" w:lineRule="auto"/>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供应商盖章：</w:t>
      </w:r>
    </w:p>
    <w:p w14:paraId="7DF90D9B">
      <w:pPr>
        <w:pageBreakBefore w:val="0"/>
        <w:widowControl w:val="0"/>
        <w:kinsoku/>
        <w:overflowPunct/>
        <w:autoSpaceDE w:val="0"/>
        <w:autoSpaceDN w:val="0"/>
        <w:bidi w:val="0"/>
        <w:adjustRightInd w:val="0"/>
        <w:spacing w:line="360" w:lineRule="auto"/>
        <w:rPr>
          <w:rFonts w:hint="eastAsia" w:ascii="宋体" w:eastAsia="宋体"/>
          <w:b w:val="0"/>
          <w:color w:val="auto"/>
          <w:sz w:val="32"/>
          <w:szCs w:val="32"/>
          <w:highlight w:val="none"/>
        </w:rPr>
      </w:pPr>
    </w:p>
    <w:p w14:paraId="0161A927">
      <w:pPr>
        <w:pageBreakBefore w:val="0"/>
        <w:widowControl w:val="0"/>
        <w:kinsoku/>
        <w:overflowPunct/>
        <w:autoSpaceDE w:val="0"/>
        <w:autoSpaceDN w:val="0"/>
        <w:bidi w:val="0"/>
        <w:adjustRightInd w:val="0"/>
        <w:snapToGrid w:val="0"/>
        <w:spacing w:line="360" w:lineRule="auto"/>
        <w:textAlignment w:val="bottom"/>
        <w:rPr>
          <w:rFonts w:hint="eastAsia" w:ascii="宋体" w:eastAsia="宋体"/>
          <w:bCs w:val="0"/>
          <w:color w:val="auto"/>
          <w:sz w:val="32"/>
          <w:szCs w:val="32"/>
          <w:highlight w:val="none"/>
        </w:rPr>
      </w:pPr>
      <w:r>
        <w:rPr>
          <w:rFonts w:hint="eastAsia" w:ascii="宋体" w:eastAsia="宋体"/>
          <w:bCs w:val="0"/>
          <w:color w:val="auto"/>
          <w:sz w:val="32"/>
          <w:szCs w:val="32"/>
          <w:highlight w:val="none"/>
        </w:rPr>
        <w:t>附件十</w:t>
      </w:r>
      <w:r>
        <w:rPr>
          <w:rFonts w:hint="eastAsia" w:ascii="宋体" w:eastAsia="宋体"/>
          <w:bCs w:val="0"/>
          <w:color w:val="auto"/>
          <w:sz w:val="32"/>
          <w:szCs w:val="32"/>
          <w:highlight w:val="none"/>
          <w:lang w:val="en-US" w:eastAsia="zh-CN"/>
        </w:rPr>
        <w:t>七</w:t>
      </w:r>
      <w:r>
        <w:rPr>
          <w:rFonts w:hint="eastAsia" w:ascii="宋体" w:eastAsia="宋体"/>
          <w:bCs w:val="0"/>
          <w:color w:val="auto"/>
          <w:sz w:val="32"/>
          <w:szCs w:val="32"/>
          <w:highlight w:val="none"/>
        </w:rPr>
        <w:t xml:space="preserve">  针对本项目实施方案介绍说明，主要内容包括：</w:t>
      </w:r>
    </w:p>
    <w:p w14:paraId="283E4178">
      <w:pPr>
        <w:pageBreakBefore w:val="0"/>
        <w:widowControl w:val="0"/>
        <w:tabs>
          <w:tab w:val="left" w:pos="8820"/>
        </w:tabs>
        <w:kinsoku/>
        <w:overflowPunct/>
        <w:bidi w:val="0"/>
        <w:adjustRightInd w:val="0"/>
        <w:spacing w:before="100" w:after="50" w:line="360" w:lineRule="auto"/>
        <w:ind w:firstLine="440" w:firstLineChars="200"/>
        <w:rPr>
          <w:rFonts w:hint="eastAsia" w:ascii="宋体" w:eastAsia="宋体"/>
          <w:b w:val="0"/>
          <w:bCs w:val="0"/>
          <w:color w:val="auto"/>
          <w:sz w:val="22"/>
          <w:szCs w:val="22"/>
          <w:highlight w:val="none"/>
        </w:rPr>
      </w:pPr>
      <w:bookmarkStart w:id="85" w:name="_Toc427581348"/>
      <w:r>
        <w:rPr>
          <w:rFonts w:hint="eastAsia" w:ascii="宋体" w:eastAsia="宋体"/>
          <w:b w:val="0"/>
          <w:bCs w:val="0"/>
          <w:color w:val="auto"/>
          <w:sz w:val="22"/>
          <w:szCs w:val="22"/>
          <w:highlight w:val="none"/>
        </w:rPr>
        <w:t>A</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对</w:t>
      </w:r>
      <w:r>
        <w:rPr>
          <w:rFonts w:hint="eastAsia" w:ascii="宋体" w:eastAsia="宋体"/>
          <w:b w:val="0"/>
          <w:bCs w:val="0"/>
          <w:color w:val="auto"/>
          <w:sz w:val="22"/>
          <w:szCs w:val="22"/>
          <w:highlight w:val="none"/>
          <w:lang w:eastAsia="zh-CN"/>
        </w:rPr>
        <w:t>采购</w:t>
      </w:r>
      <w:r>
        <w:rPr>
          <w:rFonts w:hint="eastAsia" w:ascii="宋体" w:eastAsia="宋体"/>
          <w:b w:val="0"/>
          <w:bCs w:val="0"/>
          <w:color w:val="auto"/>
          <w:sz w:val="22"/>
          <w:szCs w:val="22"/>
          <w:highlight w:val="none"/>
        </w:rPr>
        <w:t>项目的理解；</w:t>
      </w:r>
    </w:p>
    <w:p w14:paraId="29DE3998">
      <w:pPr>
        <w:pageBreakBefore w:val="0"/>
        <w:widowControl w:val="0"/>
        <w:tabs>
          <w:tab w:val="left" w:pos="8820"/>
        </w:tabs>
        <w:kinsoku/>
        <w:overflowPunct/>
        <w:bidi w:val="0"/>
        <w:adjustRightInd w:val="0"/>
        <w:spacing w:before="100" w:after="50"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B</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项目实施方案；</w:t>
      </w:r>
    </w:p>
    <w:p w14:paraId="07A8498A">
      <w:pPr>
        <w:pageBreakBefore w:val="0"/>
        <w:widowControl w:val="0"/>
        <w:tabs>
          <w:tab w:val="left" w:pos="8820"/>
        </w:tabs>
        <w:kinsoku/>
        <w:overflowPunct/>
        <w:bidi w:val="0"/>
        <w:adjustRightInd w:val="0"/>
        <w:spacing w:before="100" w:after="50"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C</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工作量及计划安排；</w:t>
      </w:r>
    </w:p>
    <w:p w14:paraId="416F774C">
      <w:pPr>
        <w:pageBreakBefore w:val="0"/>
        <w:widowControl w:val="0"/>
        <w:tabs>
          <w:tab w:val="left" w:pos="8820"/>
        </w:tabs>
        <w:kinsoku/>
        <w:overflowPunct/>
        <w:bidi w:val="0"/>
        <w:adjustRightInd w:val="0"/>
        <w:spacing w:before="100" w:after="50"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D</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质量保证措施、进度保证措施；</w:t>
      </w:r>
    </w:p>
    <w:p w14:paraId="26B5FA96">
      <w:pPr>
        <w:pageBreakBefore w:val="0"/>
        <w:widowControl w:val="0"/>
        <w:tabs>
          <w:tab w:val="left" w:pos="8820"/>
        </w:tabs>
        <w:kinsoku/>
        <w:overflowPunct/>
        <w:bidi w:val="0"/>
        <w:adjustRightInd w:val="0"/>
        <w:spacing w:before="100" w:after="50" w:line="360" w:lineRule="auto"/>
        <w:ind w:firstLine="440" w:firstLineChars="200"/>
        <w:rPr>
          <w:rFonts w:hint="eastAsia" w:ascii="宋体" w:eastAsia="宋体"/>
          <w:color w:val="auto"/>
          <w:highlight w:val="none"/>
          <w:lang w:eastAsia="zh-CN"/>
        </w:rPr>
      </w:pPr>
      <w:r>
        <w:rPr>
          <w:rFonts w:hint="eastAsia" w:ascii="宋体" w:eastAsia="宋体"/>
          <w:b w:val="0"/>
          <w:bCs w:val="0"/>
          <w:color w:val="auto"/>
          <w:sz w:val="22"/>
          <w:szCs w:val="22"/>
          <w:highlight w:val="none"/>
        </w:rPr>
        <w:t>E</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有必要说明的其他内容</w:t>
      </w:r>
      <w:r>
        <w:rPr>
          <w:rFonts w:hint="eastAsia" w:ascii="宋体" w:eastAsia="宋体"/>
          <w:b w:val="0"/>
          <w:bCs w:val="0"/>
          <w:color w:val="auto"/>
          <w:sz w:val="22"/>
          <w:szCs w:val="22"/>
          <w:highlight w:val="none"/>
          <w:lang w:eastAsia="zh-CN"/>
        </w:rPr>
        <w:t>。</w:t>
      </w:r>
    </w:p>
    <w:p w14:paraId="53BE2AD8">
      <w:pPr>
        <w:pageBreakBefore w:val="0"/>
        <w:widowControl w:val="0"/>
        <w:kinsoku/>
        <w:overflowPunct/>
        <w:autoSpaceDE w:val="0"/>
        <w:autoSpaceDN w:val="0"/>
        <w:bidi w:val="0"/>
        <w:adjustRightInd w:val="0"/>
        <w:snapToGrid w:val="0"/>
        <w:spacing w:line="360" w:lineRule="auto"/>
        <w:textAlignment w:val="bottom"/>
        <w:outlineLvl w:val="0"/>
        <w:rPr>
          <w:rFonts w:hint="eastAsia" w:ascii="宋体" w:hAnsi="宋体" w:eastAsia="宋体" w:cs="宋体"/>
          <w:bCs w:val="0"/>
          <w:color w:val="auto"/>
          <w:sz w:val="32"/>
          <w:szCs w:val="32"/>
          <w:highlight w:val="none"/>
          <w:lang w:val="en-US" w:eastAsia="zh-CN"/>
        </w:rPr>
      </w:pPr>
      <w:bookmarkStart w:id="86" w:name="_Toc29028"/>
      <w:bookmarkStart w:id="87" w:name="_Toc28604"/>
      <w:r>
        <w:rPr>
          <w:rFonts w:hint="eastAsia" w:ascii="宋体" w:hAnsi="宋体" w:eastAsia="宋体" w:cs="宋体"/>
          <w:bCs w:val="0"/>
          <w:color w:val="auto"/>
          <w:sz w:val="32"/>
          <w:szCs w:val="32"/>
          <w:highlight w:val="none"/>
          <w:lang w:val="en-US" w:eastAsia="zh-CN"/>
        </w:rPr>
        <w:t>验收方案</w:t>
      </w:r>
      <w:bookmarkEnd w:id="86"/>
    </w:p>
    <w:p w14:paraId="05EF281B">
      <w:pPr>
        <w:pStyle w:val="31"/>
        <w:pageBreakBefore w:val="0"/>
        <w:widowControl w:val="0"/>
        <w:kinsoku/>
        <w:overflowPunct/>
        <w:bidi w:val="0"/>
        <w:spacing w:line="360" w:lineRule="auto"/>
        <w:ind w:left="0" w:leftChars="0" w:firstLine="440" w:firstLineChars="200"/>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格式由投标供应商自拟。</w:t>
      </w:r>
    </w:p>
    <w:p w14:paraId="5446A415">
      <w:pPr>
        <w:pStyle w:val="31"/>
        <w:pageBreakBefore w:val="0"/>
        <w:widowControl w:val="0"/>
        <w:kinsoku/>
        <w:overflowPunct/>
        <w:bidi w:val="0"/>
        <w:spacing w:line="360" w:lineRule="auto"/>
        <w:ind w:left="0" w:leftChars="0" w:firstLine="0" w:firstLineChars="0"/>
        <w:rPr>
          <w:rFonts w:hint="eastAsia" w:ascii="宋体" w:hAnsi="宋体" w:eastAsia="宋体" w:cs="宋体"/>
          <w:b w:val="0"/>
          <w:bCs w:val="0"/>
          <w:color w:val="auto"/>
          <w:sz w:val="22"/>
          <w:szCs w:val="22"/>
          <w:highlight w:val="none"/>
          <w:lang w:val="en-US" w:eastAsia="zh-CN" w:bidi="ar-SA"/>
        </w:rPr>
      </w:pPr>
    </w:p>
    <w:p w14:paraId="4D35837A">
      <w:pPr>
        <w:pStyle w:val="31"/>
        <w:pageBreakBefore w:val="0"/>
        <w:widowControl w:val="0"/>
        <w:kinsoku/>
        <w:overflowPunct/>
        <w:bidi w:val="0"/>
        <w:spacing w:line="360" w:lineRule="auto"/>
        <w:ind w:left="0" w:leftChars="0" w:firstLine="440" w:firstLineChars="200"/>
        <w:rPr>
          <w:rFonts w:hint="eastAsia" w:ascii="宋体" w:hAnsi="宋体" w:eastAsia="宋体" w:cs="宋体"/>
          <w:b w:val="0"/>
          <w:bCs w:val="0"/>
          <w:color w:val="auto"/>
          <w:sz w:val="22"/>
          <w:szCs w:val="22"/>
          <w:highlight w:val="none"/>
          <w:lang w:val="en-US" w:eastAsia="zh-CN" w:bidi="ar-SA"/>
        </w:rPr>
        <w:sectPr>
          <w:pgSz w:w="11906" w:h="16838"/>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14:paraId="1C93F423">
      <w:pPr>
        <w:pStyle w:val="21"/>
        <w:pageBreakBefore w:val="0"/>
        <w:widowControl w:val="0"/>
        <w:kinsoku/>
        <w:overflowPunct/>
        <w:bidi w:val="0"/>
        <w:spacing w:line="324" w:lineRule="auto"/>
        <w:rPr>
          <w:rFonts w:hint="eastAsia" w:ascii="宋体" w:hAnsi="宋体" w:cs="宋体"/>
          <w:color w:val="auto"/>
          <w:highlight w:val="none"/>
        </w:rPr>
      </w:pPr>
      <w:r>
        <w:rPr>
          <w:rFonts w:hint="eastAsia" w:ascii="宋体" w:hAnsi="宋体" w:cs="宋体"/>
          <w:color w:val="auto"/>
          <w:highlight w:val="none"/>
        </w:rPr>
        <w:t xml:space="preserve">附 </w:t>
      </w:r>
      <w:r>
        <w:rPr>
          <w:rFonts w:hint="eastAsia" w:ascii="宋体" w:hAnsi="宋体" w:cs="宋体"/>
          <w:color w:val="auto"/>
          <w:highlight w:val="none"/>
          <w:lang w:val="en-US" w:eastAsia="zh-CN"/>
        </w:rPr>
        <w:t xml:space="preserve"> </w:t>
      </w:r>
      <w:r>
        <w:rPr>
          <w:rFonts w:hint="eastAsia" w:ascii="宋体" w:hAnsi="宋体" w:cs="宋体"/>
          <w:color w:val="auto"/>
          <w:highlight w:val="none"/>
        </w:rPr>
        <w:t>确定成交供应商办法</w:t>
      </w:r>
      <w:bookmarkEnd w:id="85"/>
      <w:bookmarkEnd w:id="87"/>
    </w:p>
    <w:p w14:paraId="67B18F6A">
      <w:pPr>
        <w:pageBreakBefore w:val="0"/>
        <w:widowControl w:val="0"/>
        <w:kinsoku/>
        <w:overflowPunct/>
        <w:bidi w:val="0"/>
        <w:snapToGrid w:val="0"/>
        <w:spacing w:line="360" w:lineRule="auto"/>
        <w:ind w:firstLine="54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根据《中华人民共和国政府采购法》等有关政府采购法规，结合本次所要采购服务的实际，按照公平、公正、科学、择优的原则选择成交单位，特制定本评审办法。</w:t>
      </w:r>
    </w:p>
    <w:p w14:paraId="085310C5">
      <w:pPr>
        <w:pageBreakBefore w:val="0"/>
        <w:widowControl w:val="0"/>
        <w:kinsoku/>
        <w:overflowPunct/>
        <w:bidi w:val="0"/>
        <w:snapToGrid w:val="0"/>
        <w:spacing w:line="360" w:lineRule="auto"/>
        <w:ind w:firstLine="3795" w:firstLineChars="1725"/>
        <w:outlineLvl w:val="1"/>
        <w:rPr>
          <w:rFonts w:hint="eastAsia" w:ascii="宋体" w:eastAsia="宋体"/>
          <w:b w:val="0"/>
          <w:bCs w:val="0"/>
          <w:color w:val="auto"/>
          <w:sz w:val="22"/>
          <w:szCs w:val="22"/>
          <w:highlight w:val="none"/>
        </w:rPr>
      </w:pPr>
      <w:bookmarkStart w:id="88" w:name="_Toc14273"/>
      <w:r>
        <w:rPr>
          <w:rFonts w:hint="eastAsia" w:ascii="宋体" w:eastAsia="宋体"/>
          <w:b w:val="0"/>
          <w:bCs w:val="0"/>
          <w:color w:val="auto"/>
          <w:sz w:val="22"/>
          <w:szCs w:val="22"/>
          <w:highlight w:val="none"/>
        </w:rPr>
        <w:t>一、总则</w:t>
      </w:r>
      <w:bookmarkEnd w:id="88"/>
    </w:p>
    <w:p w14:paraId="17E82880">
      <w:pPr>
        <w:pageBreakBefore w:val="0"/>
        <w:widowControl w:val="0"/>
        <w:kinsoku/>
        <w:overflowPunct/>
        <w:bidi w:val="0"/>
        <w:snapToGrid w:val="0"/>
        <w:spacing w:line="360" w:lineRule="auto"/>
        <w:ind w:firstLine="54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评审工作遵循公平、公正、民主、科学的原则和诚实、信誉、效率的服务原则。本着科学、严谨的态度，认真进行评审。择优选定提供服务单位，最大限度</w:t>
      </w:r>
      <w:r>
        <w:rPr>
          <w:rFonts w:hint="eastAsia" w:ascii="宋体" w:eastAsia="宋体"/>
          <w:b w:val="0"/>
          <w:bCs w:val="0"/>
          <w:color w:val="auto"/>
          <w:sz w:val="22"/>
          <w:szCs w:val="22"/>
          <w:highlight w:val="none"/>
          <w:lang w:eastAsia="zh-CN"/>
        </w:rPr>
        <w:t>地</w:t>
      </w:r>
      <w:r>
        <w:rPr>
          <w:rFonts w:hint="eastAsia" w:ascii="宋体" w:eastAsia="宋体"/>
          <w:b w:val="0"/>
          <w:bCs w:val="0"/>
          <w:color w:val="auto"/>
          <w:sz w:val="22"/>
          <w:szCs w:val="22"/>
          <w:highlight w:val="none"/>
        </w:rPr>
        <w:t>保护当事人权益，严格按照竞争性磋商文件的商务、技术要求，对磋商响应文件进行综合评定，提出优选方案，编写评审报告。磋商小组必须严格遵守保密规定，不得</w:t>
      </w:r>
      <w:r>
        <w:rPr>
          <w:rFonts w:hint="eastAsia" w:ascii="宋体" w:eastAsia="宋体"/>
          <w:b w:val="0"/>
          <w:bCs w:val="0"/>
          <w:color w:val="auto"/>
          <w:sz w:val="22"/>
          <w:szCs w:val="22"/>
          <w:highlight w:val="none"/>
          <w:lang w:eastAsia="zh-CN"/>
        </w:rPr>
        <w:t>泄露</w:t>
      </w:r>
      <w:r>
        <w:rPr>
          <w:rFonts w:hint="eastAsia" w:ascii="宋体" w:eastAsia="宋体"/>
          <w:b w:val="0"/>
          <w:bCs w:val="0"/>
          <w:color w:val="auto"/>
          <w:sz w:val="22"/>
          <w:szCs w:val="22"/>
          <w:highlight w:val="none"/>
        </w:rPr>
        <w:t>评审的有关情况，不得索贿受贿，不得接受吃请和礼品，不得参加影响公正评审的有关活动。对未成交单位，磋商小组不作任何解释。供应商不得以任何方式干扰采购工作的进行，一经发现其磋商响应文件将被拒绝。</w:t>
      </w:r>
    </w:p>
    <w:p w14:paraId="1FB1F452">
      <w:pPr>
        <w:pageBreakBefore w:val="0"/>
        <w:widowControl w:val="0"/>
        <w:kinsoku/>
        <w:overflowPunct/>
        <w:bidi w:val="0"/>
        <w:snapToGrid w:val="0"/>
        <w:spacing w:line="360" w:lineRule="auto"/>
        <w:ind w:firstLine="3795" w:firstLineChars="1725"/>
        <w:outlineLvl w:val="1"/>
        <w:rPr>
          <w:rFonts w:hint="eastAsia" w:ascii="宋体" w:eastAsia="宋体"/>
          <w:b w:val="0"/>
          <w:bCs w:val="0"/>
          <w:color w:val="auto"/>
          <w:sz w:val="22"/>
          <w:szCs w:val="22"/>
          <w:highlight w:val="none"/>
        </w:rPr>
      </w:pPr>
      <w:bookmarkStart w:id="89" w:name="_Toc10922"/>
      <w:r>
        <w:rPr>
          <w:rFonts w:hint="eastAsia" w:ascii="宋体" w:eastAsia="宋体"/>
          <w:b w:val="0"/>
          <w:bCs w:val="0"/>
          <w:color w:val="auto"/>
          <w:sz w:val="22"/>
          <w:szCs w:val="22"/>
          <w:highlight w:val="none"/>
        </w:rPr>
        <w:t>二、评审组织</w:t>
      </w:r>
      <w:bookmarkEnd w:id="89"/>
    </w:p>
    <w:p w14:paraId="11F74CD0">
      <w:pPr>
        <w:pageBreakBefore w:val="0"/>
        <w:widowControl w:val="0"/>
        <w:kinsoku/>
        <w:overflowPunct/>
        <w:bidi w:val="0"/>
        <w:snapToGrid w:val="0"/>
        <w:spacing w:line="360" w:lineRule="auto"/>
        <w:ind w:firstLine="54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评审工作由采购人依法组建的磋商小组负责，磋商小组由采购人代表以及评审专家库中随机抽取的有关技术、经济专家共同组成。评审全过程由采购管理部门全程监督。</w:t>
      </w:r>
    </w:p>
    <w:p w14:paraId="5E88FFFC">
      <w:pPr>
        <w:pageBreakBefore w:val="0"/>
        <w:widowControl w:val="0"/>
        <w:kinsoku/>
        <w:overflowPunct/>
        <w:bidi w:val="0"/>
        <w:snapToGrid w:val="0"/>
        <w:spacing w:line="360" w:lineRule="auto"/>
        <w:jc w:val="center"/>
        <w:outlineLvl w:val="1"/>
        <w:rPr>
          <w:rFonts w:hint="eastAsia" w:ascii="宋体" w:eastAsia="宋体"/>
          <w:b w:val="0"/>
          <w:bCs w:val="0"/>
          <w:color w:val="auto"/>
          <w:sz w:val="22"/>
          <w:szCs w:val="22"/>
          <w:highlight w:val="none"/>
        </w:rPr>
      </w:pPr>
      <w:bookmarkStart w:id="90" w:name="_Toc15412"/>
      <w:r>
        <w:rPr>
          <w:rFonts w:hint="eastAsia" w:ascii="宋体" w:eastAsia="宋体"/>
          <w:b w:val="0"/>
          <w:bCs w:val="0"/>
          <w:color w:val="auto"/>
          <w:sz w:val="22"/>
          <w:szCs w:val="22"/>
          <w:highlight w:val="none"/>
        </w:rPr>
        <w:t>三、响应文件递交截止、磋商程序、磋商原则和方式</w:t>
      </w:r>
      <w:bookmarkEnd w:id="90"/>
    </w:p>
    <w:p w14:paraId="1A66C984">
      <w:pPr>
        <w:pageBreakBefore w:val="0"/>
        <w:widowControl w:val="0"/>
        <w:kinsoku/>
        <w:overflowPunct/>
        <w:bidi w:val="0"/>
        <w:snapToGrid w:val="0"/>
        <w:spacing w:line="360" w:lineRule="auto"/>
        <w:ind w:firstLine="54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具体见本磋商文件第三部分相关内容描述。</w:t>
      </w:r>
    </w:p>
    <w:p w14:paraId="513BDE8B">
      <w:pPr>
        <w:pageBreakBefore w:val="0"/>
        <w:widowControl w:val="0"/>
        <w:kinsoku/>
        <w:overflowPunct/>
        <w:bidi w:val="0"/>
        <w:adjustRightInd w:val="0"/>
        <w:spacing w:before="100" w:after="50" w:line="360" w:lineRule="auto"/>
        <w:jc w:val="center"/>
        <w:rPr>
          <w:rFonts w:hint="eastAsia" w:ascii="宋体" w:eastAsia="宋体"/>
          <w:color w:val="auto"/>
          <w:sz w:val="22"/>
          <w:szCs w:val="22"/>
          <w:highlight w:val="none"/>
        </w:rPr>
      </w:pPr>
      <w:r>
        <w:rPr>
          <w:rFonts w:hint="eastAsia" w:ascii="宋体" w:eastAsia="宋体"/>
          <w:color w:val="auto"/>
          <w:sz w:val="22"/>
          <w:szCs w:val="22"/>
          <w:highlight w:val="none"/>
        </w:rPr>
        <w:t>四、评分细则</w:t>
      </w:r>
    </w:p>
    <w:p w14:paraId="24F8A756">
      <w:pPr>
        <w:pageBreakBefore w:val="0"/>
        <w:widowControl w:val="0"/>
        <w:kinsoku/>
        <w:overflowPunct/>
        <w:bidi w:val="0"/>
        <w:spacing w:line="360" w:lineRule="auto"/>
        <w:rPr>
          <w:rFonts w:hint="eastAsia" w:ascii="宋体" w:eastAsia="宋体"/>
          <w:color w:val="auto"/>
          <w:sz w:val="22"/>
          <w:szCs w:val="22"/>
          <w:highlight w:val="none"/>
        </w:rPr>
      </w:pPr>
      <w:r>
        <w:rPr>
          <w:rFonts w:hint="eastAsia" w:ascii="宋体" w:eastAsia="宋体"/>
          <w:color w:val="auto"/>
          <w:sz w:val="22"/>
          <w:szCs w:val="22"/>
          <w:highlight w:val="none"/>
        </w:rPr>
        <w:t>一、商务价格评分（</w:t>
      </w:r>
      <w:r>
        <w:rPr>
          <w:rFonts w:hint="eastAsia" w:ascii="宋体" w:eastAsia="宋体"/>
          <w:color w:val="auto"/>
          <w:sz w:val="22"/>
          <w:szCs w:val="22"/>
          <w:highlight w:val="none"/>
          <w:lang w:val="en-US" w:eastAsia="zh-CN"/>
        </w:rPr>
        <w:t>10</w:t>
      </w:r>
      <w:r>
        <w:rPr>
          <w:rFonts w:hint="eastAsia" w:ascii="宋体" w:eastAsia="宋体"/>
          <w:color w:val="auto"/>
          <w:sz w:val="22"/>
          <w:szCs w:val="22"/>
          <w:highlight w:val="none"/>
        </w:rPr>
        <w:t>分）</w:t>
      </w:r>
    </w:p>
    <w:p w14:paraId="00E2CE97">
      <w:pPr>
        <w:pageBreakBefore w:val="0"/>
        <w:widowControl w:val="0"/>
        <w:kinsoku/>
        <w:overflowPunct/>
        <w:bidi w:val="0"/>
        <w:snapToGrid w:val="0"/>
        <w:spacing w:line="360" w:lineRule="auto"/>
        <w:ind w:firstLine="442" w:firstLineChars="200"/>
        <w:rPr>
          <w:rFonts w:hint="eastAsia" w:ascii="宋体" w:eastAsia="宋体"/>
          <w:color w:val="auto"/>
          <w:sz w:val="22"/>
          <w:szCs w:val="22"/>
          <w:highlight w:val="none"/>
          <w:u w:val="single"/>
        </w:rPr>
      </w:pPr>
      <w:r>
        <w:rPr>
          <w:rFonts w:hint="eastAsia" w:ascii="宋体" w:eastAsia="宋体"/>
          <w:color w:val="auto"/>
          <w:sz w:val="22"/>
          <w:szCs w:val="22"/>
          <w:highlight w:val="none"/>
          <w:u w:val="single"/>
        </w:rPr>
        <w:t>1、商务报价评分</w:t>
      </w:r>
      <w:r>
        <w:rPr>
          <w:rFonts w:hint="eastAsia" w:ascii="宋体" w:eastAsia="宋体"/>
          <w:color w:val="auto"/>
          <w:sz w:val="22"/>
          <w:szCs w:val="22"/>
          <w:highlight w:val="none"/>
          <w:u w:val="single"/>
          <w:lang w:val="en-US" w:eastAsia="zh-CN"/>
        </w:rPr>
        <w:t>1</w:t>
      </w:r>
      <w:r>
        <w:rPr>
          <w:rFonts w:hint="eastAsia" w:ascii="宋体" w:eastAsia="宋体"/>
          <w:color w:val="auto"/>
          <w:sz w:val="22"/>
          <w:szCs w:val="22"/>
          <w:highlight w:val="none"/>
          <w:u w:val="single"/>
          <w:lang w:eastAsia="zh-CN"/>
        </w:rPr>
        <w:t>0</w:t>
      </w:r>
      <w:r>
        <w:rPr>
          <w:rFonts w:hint="eastAsia" w:ascii="宋体" w:eastAsia="宋体"/>
          <w:color w:val="auto"/>
          <w:sz w:val="22"/>
          <w:szCs w:val="22"/>
          <w:highlight w:val="none"/>
          <w:u w:val="single"/>
        </w:rPr>
        <w:t>分；以供应商有效投标价中的最低价为评标基准价，得满分</w:t>
      </w:r>
      <w:r>
        <w:rPr>
          <w:rFonts w:hint="eastAsia" w:ascii="宋体" w:eastAsia="宋体"/>
          <w:color w:val="auto"/>
          <w:sz w:val="22"/>
          <w:szCs w:val="22"/>
          <w:highlight w:val="none"/>
          <w:u w:val="single"/>
          <w:lang w:val="en-US" w:eastAsia="zh-CN"/>
        </w:rPr>
        <w:t>1</w:t>
      </w:r>
      <w:r>
        <w:rPr>
          <w:rFonts w:hint="eastAsia" w:ascii="宋体" w:eastAsia="宋体"/>
          <w:color w:val="auto"/>
          <w:sz w:val="22"/>
          <w:szCs w:val="22"/>
          <w:highlight w:val="none"/>
          <w:u w:val="single"/>
          <w:lang w:eastAsia="zh-CN"/>
        </w:rPr>
        <w:t>0</w:t>
      </w:r>
      <w:r>
        <w:rPr>
          <w:rFonts w:hint="eastAsia" w:ascii="宋体" w:eastAsia="宋体"/>
          <w:color w:val="auto"/>
          <w:sz w:val="22"/>
          <w:szCs w:val="22"/>
          <w:highlight w:val="none"/>
          <w:u w:val="single"/>
        </w:rPr>
        <w:t>分。报价评分计算公式为</w:t>
      </w:r>
      <w:r>
        <w:rPr>
          <w:rFonts w:hint="eastAsia" w:ascii="宋体" w:eastAsia="宋体"/>
          <w:color w:val="auto"/>
          <w:sz w:val="22"/>
          <w:szCs w:val="22"/>
          <w:highlight w:val="none"/>
          <w:u w:val="single"/>
          <w:lang w:eastAsia="zh-CN"/>
        </w:rPr>
        <w:t>：</w:t>
      </w:r>
      <w:r>
        <w:rPr>
          <w:rFonts w:hint="eastAsia" w:ascii="宋体" w:eastAsia="宋体"/>
          <w:color w:val="auto"/>
          <w:sz w:val="22"/>
          <w:szCs w:val="22"/>
          <w:highlight w:val="none"/>
          <w:u w:val="single"/>
        </w:rPr>
        <w:t>投标报价得分=</w:t>
      </w:r>
      <w:r>
        <w:rPr>
          <w:rFonts w:hint="eastAsia" w:ascii="宋体" w:eastAsia="宋体"/>
          <w:color w:val="auto"/>
          <w:sz w:val="22"/>
          <w:szCs w:val="22"/>
          <w:highlight w:val="none"/>
          <w:u w:val="single"/>
          <w:lang w:eastAsia="zh-CN"/>
        </w:rPr>
        <w:t>（</w:t>
      </w:r>
      <w:r>
        <w:rPr>
          <w:rFonts w:hint="eastAsia" w:ascii="宋体" w:eastAsia="宋体"/>
          <w:color w:val="auto"/>
          <w:sz w:val="22"/>
          <w:szCs w:val="22"/>
          <w:highlight w:val="none"/>
          <w:u w:val="single"/>
        </w:rPr>
        <w:t>评标基准价／投标报价</w:t>
      </w:r>
      <w:r>
        <w:rPr>
          <w:rFonts w:hint="eastAsia" w:ascii="宋体" w:eastAsia="宋体"/>
          <w:color w:val="auto"/>
          <w:sz w:val="22"/>
          <w:szCs w:val="22"/>
          <w:highlight w:val="none"/>
          <w:u w:val="single"/>
          <w:lang w:eastAsia="zh-CN"/>
        </w:rPr>
        <w:t>）</w:t>
      </w:r>
      <w:r>
        <w:rPr>
          <w:rFonts w:hint="eastAsia" w:ascii="宋体" w:eastAsia="宋体"/>
          <w:color w:val="auto"/>
          <w:sz w:val="22"/>
          <w:szCs w:val="22"/>
          <w:highlight w:val="none"/>
          <w:u w:val="single"/>
        </w:rPr>
        <w:t>×</w:t>
      </w:r>
      <w:r>
        <w:rPr>
          <w:rFonts w:hint="eastAsia" w:ascii="宋体" w:eastAsia="宋体"/>
          <w:color w:val="auto"/>
          <w:sz w:val="22"/>
          <w:szCs w:val="22"/>
          <w:highlight w:val="none"/>
          <w:u w:val="single"/>
          <w:lang w:val="en-US" w:eastAsia="zh-CN"/>
        </w:rPr>
        <w:t>10</w:t>
      </w:r>
      <w:r>
        <w:rPr>
          <w:rFonts w:hint="eastAsia" w:ascii="宋体" w:eastAsia="宋体"/>
          <w:color w:val="auto"/>
          <w:sz w:val="22"/>
          <w:szCs w:val="22"/>
          <w:highlight w:val="none"/>
          <w:u w:val="single"/>
        </w:rPr>
        <w:t>%×100。</w:t>
      </w:r>
    </w:p>
    <w:p w14:paraId="7F57E09B">
      <w:pPr>
        <w:pageBreakBefore w:val="0"/>
        <w:widowControl w:val="0"/>
        <w:kinsoku/>
        <w:overflowPunct/>
        <w:bidi w:val="0"/>
        <w:spacing w:line="360"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u w:val="single"/>
        </w:rPr>
        <w:t>2、符合采购文件规定条件的小、微企业（或监狱企业、残疾人福利性单位），所投的价格给予10%的扣除。</w:t>
      </w:r>
    </w:p>
    <w:p w14:paraId="2D4B77F4">
      <w:pPr>
        <w:pageBreakBefore w:val="0"/>
        <w:widowControl w:val="0"/>
        <w:kinsoku/>
        <w:overflowPunct/>
        <w:bidi w:val="0"/>
        <w:spacing w:line="360" w:lineRule="auto"/>
        <w:rPr>
          <w:rFonts w:hint="eastAsia" w:ascii="宋体" w:eastAsia="宋体"/>
          <w:b w:val="0"/>
          <w:color w:val="auto"/>
          <w:sz w:val="22"/>
          <w:szCs w:val="22"/>
          <w:highlight w:val="none"/>
        </w:rPr>
      </w:pPr>
      <w:r>
        <w:rPr>
          <w:rFonts w:hint="eastAsia" w:ascii="宋体" w:eastAsia="宋体"/>
          <w:color w:val="auto"/>
          <w:sz w:val="22"/>
          <w:szCs w:val="22"/>
          <w:highlight w:val="none"/>
        </w:rPr>
        <w:t>二、技术、服务、资信业绩、资质综合评分</w:t>
      </w:r>
      <w:r>
        <w:rPr>
          <w:rFonts w:hint="eastAsia" w:ascii="宋体" w:eastAsia="宋体"/>
          <w:color w:val="auto"/>
          <w:sz w:val="22"/>
          <w:szCs w:val="22"/>
          <w:highlight w:val="none"/>
          <w:lang w:val="en-US" w:eastAsia="zh-CN"/>
        </w:rPr>
        <w:t>90</w:t>
      </w:r>
      <w:r>
        <w:rPr>
          <w:rFonts w:hint="eastAsia" w:ascii="宋体" w:eastAsia="宋体"/>
          <w:color w:val="auto"/>
          <w:sz w:val="22"/>
          <w:szCs w:val="22"/>
          <w:highlight w:val="none"/>
        </w:rPr>
        <w:t>分</w:t>
      </w:r>
    </w:p>
    <w:tbl>
      <w:tblPr>
        <w:tblStyle w:val="23"/>
        <w:tblW w:w="10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63"/>
        <w:gridCol w:w="6948"/>
        <w:gridCol w:w="1095"/>
      </w:tblGrid>
      <w:tr w14:paraId="45E4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53DA2294">
            <w:pPr>
              <w:keepNext w:val="0"/>
              <w:keepLines w:val="0"/>
              <w:pageBreakBefore w:val="0"/>
              <w:kinsoku/>
              <w:wordWrap/>
              <w:overflowPunct/>
              <w:topLinePunct w:val="0"/>
              <w:autoSpaceDE/>
              <w:autoSpaceDN/>
              <w:bidi w:val="0"/>
              <w:adjustRightInd/>
              <w:snapToGrid w:val="0"/>
              <w:spacing w:line="320" w:lineRule="exact"/>
              <w:ind w:left="-50"/>
              <w:jc w:val="center"/>
              <w:textAlignment w:val="auto"/>
              <w:rPr>
                <w:rFonts w:hint="eastAsia" w:ascii="宋体" w:hAnsi="宋体" w:eastAsia="宋体" w:cs="宋体"/>
                <w:b/>
                <w:bCs/>
                <w:color w:val="auto"/>
                <w:sz w:val="22"/>
                <w:szCs w:val="22"/>
                <w:lang w:val="zh-CN"/>
              </w:rPr>
            </w:pPr>
            <w:r>
              <w:rPr>
                <w:rFonts w:hint="eastAsia" w:ascii="宋体" w:hAnsi="宋体" w:eastAsia="宋体" w:cs="宋体"/>
                <w:b/>
                <w:bCs/>
                <w:color w:val="auto"/>
                <w:sz w:val="22"/>
                <w:szCs w:val="22"/>
                <w:lang w:val="zh-CN"/>
              </w:rPr>
              <w:t>序号</w:t>
            </w:r>
          </w:p>
        </w:tc>
        <w:tc>
          <w:tcPr>
            <w:tcW w:w="8311" w:type="dxa"/>
            <w:gridSpan w:val="2"/>
            <w:tcBorders>
              <w:top w:val="single" w:color="auto" w:sz="4" w:space="0"/>
              <w:left w:val="single" w:color="auto" w:sz="4" w:space="0"/>
              <w:bottom w:val="single" w:color="auto" w:sz="6" w:space="0"/>
              <w:right w:val="single" w:color="auto" w:sz="6" w:space="0"/>
            </w:tcBorders>
            <w:noWrap w:val="0"/>
            <w:vAlign w:val="center"/>
          </w:tcPr>
          <w:p w14:paraId="21385644">
            <w:pPr>
              <w:keepNext w:val="0"/>
              <w:keepLines w:val="0"/>
              <w:pageBreakBefore w:val="0"/>
              <w:kinsoku/>
              <w:wordWrap/>
              <w:overflowPunct/>
              <w:topLinePunct w:val="0"/>
              <w:autoSpaceDE/>
              <w:autoSpaceDN/>
              <w:bidi w:val="0"/>
              <w:adjustRightInd/>
              <w:snapToGrid w:val="0"/>
              <w:spacing w:line="320" w:lineRule="exact"/>
              <w:ind w:left="-5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评分内容</w:t>
            </w:r>
          </w:p>
        </w:tc>
        <w:tc>
          <w:tcPr>
            <w:tcW w:w="1095" w:type="dxa"/>
            <w:tcBorders>
              <w:top w:val="single" w:color="auto" w:sz="4" w:space="0"/>
              <w:left w:val="single" w:color="auto" w:sz="6" w:space="0"/>
              <w:bottom w:val="single" w:color="auto" w:sz="6" w:space="0"/>
              <w:right w:val="single" w:color="auto" w:sz="6" w:space="0"/>
            </w:tcBorders>
            <w:noWrap w:val="0"/>
            <w:vAlign w:val="center"/>
          </w:tcPr>
          <w:p w14:paraId="044A522E">
            <w:pPr>
              <w:keepNext w:val="0"/>
              <w:keepLines w:val="0"/>
              <w:pageBreakBefore w:val="0"/>
              <w:kinsoku/>
              <w:wordWrap/>
              <w:overflowPunct/>
              <w:topLinePunct w:val="0"/>
              <w:autoSpaceDE/>
              <w:autoSpaceDN/>
              <w:bidi w:val="0"/>
              <w:adjustRightInd/>
              <w:snapToGrid w:val="0"/>
              <w:spacing w:line="320" w:lineRule="exact"/>
              <w:ind w:left="-5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分值范围</w:t>
            </w:r>
          </w:p>
        </w:tc>
      </w:tr>
      <w:tr w14:paraId="266D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1" w:type="dxa"/>
            <w:gridSpan w:val="4"/>
            <w:noWrap w:val="0"/>
            <w:vAlign w:val="center"/>
          </w:tcPr>
          <w:p w14:paraId="37E2B2C7">
            <w:pPr>
              <w:keepNext w:val="0"/>
              <w:keepLines w:val="0"/>
              <w:pageBreakBefore w:val="0"/>
              <w:kinsoku/>
              <w:wordWrap/>
              <w:overflowPunct/>
              <w:topLinePunct w:val="0"/>
              <w:autoSpaceDE/>
              <w:autoSpaceDN/>
              <w:bidi w:val="0"/>
              <w:adjustRightInd/>
              <w:snapToGrid w:val="0"/>
              <w:spacing w:line="320" w:lineRule="exact"/>
              <w:ind w:left="-50"/>
              <w:jc w:val="both"/>
              <w:textAlignment w:val="auto"/>
              <w:rPr>
                <w:rFonts w:hint="eastAsia" w:ascii="宋体" w:hAnsi="宋体" w:eastAsia="宋体" w:cs="宋体"/>
                <w:b w:val="0"/>
                <w:bCs w:val="0"/>
                <w:color w:val="auto"/>
                <w:sz w:val="22"/>
                <w:szCs w:val="22"/>
              </w:rPr>
            </w:pPr>
            <w:r>
              <w:rPr>
                <w:rFonts w:hint="eastAsia" w:ascii="宋体" w:hAnsi="宋体" w:eastAsia="宋体" w:cs="宋体"/>
                <w:b/>
                <w:bCs/>
                <w:color w:val="auto"/>
                <w:sz w:val="22"/>
                <w:szCs w:val="22"/>
              </w:rPr>
              <w:t>技术部分</w:t>
            </w:r>
          </w:p>
        </w:tc>
      </w:tr>
      <w:tr w14:paraId="6D6F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5" w:type="dxa"/>
            <w:vMerge w:val="restart"/>
            <w:noWrap w:val="0"/>
            <w:vAlign w:val="center"/>
          </w:tcPr>
          <w:p w14:paraId="778F64DE">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1363" w:type="dxa"/>
            <w:vMerge w:val="restart"/>
            <w:noWrap w:val="0"/>
            <w:vAlign w:val="center"/>
          </w:tcPr>
          <w:p w14:paraId="47C230A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技术服务方案</w:t>
            </w:r>
          </w:p>
        </w:tc>
        <w:tc>
          <w:tcPr>
            <w:tcW w:w="6948" w:type="dxa"/>
            <w:noWrap w:val="0"/>
            <w:vAlign w:val="center"/>
          </w:tcPr>
          <w:p w14:paraId="1D347F61">
            <w:pPr>
              <w:keepNext w:val="0"/>
              <w:keepLines w:val="0"/>
              <w:pageBreakBefore w:val="0"/>
              <w:numPr>
                <w:ilvl w:val="0"/>
                <w:numId w:val="0"/>
              </w:numPr>
              <w:kinsoku/>
              <w:wordWrap/>
              <w:overflowPunct/>
              <w:topLinePunct w:val="0"/>
              <w:autoSpaceDE/>
              <w:autoSpaceDN/>
              <w:bidi w:val="0"/>
              <w:adjustRightInd/>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1、对于本次项目的背景、工作任务等方面的理解分析</w:t>
            </w:r>
          </w:p>
          <w:p w14:paraId="53A9FDD0">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(1)</w:t>
            </w:r>
            <w:r>
              <w:rPr>
                <w:rFonts w:hint="eastAsia" w:ascii="宋体" w:hAnsi="宋体" w:eastAsia="宋体" w:cs="宋体"/>
                <w:b w:val="0"/>
                <w:bCs w:val="0"/>
                <w:color w:val="auto"/>
                <w:kern w:val="0"/>
                <w:sz w:val="22"/>
                <w:szCs w:val="22"/>
                <w:lang w:val="en-US" w:eastAsia="zh-CN" w:bidi="ar-SA"/>
              </w:rPr>
              <w:t>对项目背景、工作任务理解准确到位、分析全面、阐述清晰，针对性强，有利于任务完成的得7-9分；</w:t>
            </w:r>
          </w:p>
          <w:p w14:paraId="04FBE009">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(2)</w:t>
            </w:r>
            <w:r>
              <w:rPr>
                <w:rFonts w:hint="eastAsia" w:ascii="宋体" w:hAnsi="宋体" w:eastAsia="宋体" w:cs="宋体"/>
                <w:b w:val="0"/>
                <w:bCs w:val="0"/>
                <w:color w:val="auto"/>
                <w:kern w:val="0"/>
                <w:sz w:val="22"/>
                <w:szCs w:val="22"/>
                <w:lang w:val="en-US" w:eastAsia="zh-CN" w:bidi="ar-SA"/>
              </w:rPr>
              <w:t>对项目背景、工作任务理解较为准确，分析较为全面清晰，比较有针对性的得4-6分；</w:t>
            </w:r>
          </w:p>
          <w:p w14:paraId="0CF4498D">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(3)</w:t>
            </w:r>
            <w:r>
              <w:rPr>
                <w:rFonts w:hint="eastAsia" w:ascii="宋体" w:hAnsi="宋体" w:eastAsia="宋体" w:cs="宋体"/>
                <w:b w:val="0"/>
                <w:bCs w:val="0"/>
                <w:color w:val="auto"/>
                <w:kern w:val="0"/>
                <w:sz w:val="22"/>
                <w:szCs w:val="22"/>
                <w:lang w:val="en-US" w:eastAsia="zh-CN" w:bidi="ar-SA"/>
              </w:rPr>
              <w:t>理解分析描述简单、不够全面清晰，针对性不强，存在明显缺陷遗漏的得0-3分；</w:t>
            </w:r>
          </w:p>
          <w:p w14:paraId="40EAC4F9">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(4)</w:t>
            </w:r>
            <w:r>
              <w:rPr>
                <w:rFonts w:hint="eastAsia" w:ascii="宋体" w:hAnsi="宋体" w:eastAsia="宋体" w:cs="宋体"/>
                <w:b w:val="0"/>
                <w:bCs w:val="0"/>
                <w:color w:val="auto"/>
                <w:kern w:val="0"/>
                <w:sz w:val="22"/>
                <w:szCs w:val="22"/>
                <w:lang w:val="en-US" w:eastAsia="zh-CN" w:bidi="ar-SA"/>
              </w:rPr>
              <w:t>未提供不得分。</w:t>
            </w:r>
          </w:p>
        </w:tc>
        <w:tc>
          <w:tcPr>
            <w:tcW w:w="1095" w:type="dxa"/>
            <w:noWrap w:val="0"/>
            <w:vAlign w:val="center"/>
          </w:tcPr>
          <w:p w14:paraId="6FBC8BD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9</w:t>
            </w:r>
            <w:r>
              <w:rPr>
                <w:rFonts w:hint="eastAsia" w:ascii="宋体" w:hAnsi="宋体" w:eastAsia="宋体" w:cs="宋体"/>
                <w:b w:val="0"/>
                <w:bCs w:val="0"/>
                <w:color w:val="auto"/>
                <w:sz w:val="22"/>
                <w:szCs w:val="22"/>
                <w:lang w:val="zh-CN"/>
              </w:rPr>
              <w:t>分</w:t>
            </w:r>
          </w:p>
        </w:tc>
      </w:tr>
      <w:tr w14:paraId="47DA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705" w:type="dxa"/>
            <w:vMerge w:val="continue"/>
            <w:noWrap w:val="0"/>
            <w:vAlign w:val="center"/>
          </w:tcPr>
          <w:p w14:paraId="3F6D364E">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p>
        </w:tc>
        <w:tc>
          <w:tcPr>
            <w:tcW w:w="1363" w:type="dxa"/>
            <w:vMerge w:val="continue"/>
            <w:noWrap w:val="0"/>
            <w:vAlign w:val="center"/>
          </w:tcPr>
          <w:p w14:paraId="719B9CB4">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2"/>
                <w:szCs w:val="22"/>
              </w:rPr>
            </w:pPr>
          </w:p>
        </w:tc>
        <w:tc>
          <w:tcPr>
            <w:tcW w:w="6948" w:type="dxa"/>
            <w:noWrap w:val="0"/>
            <w:vAlign w:val="center"/>
          </w:tcPr>
          <w:p w14:paraId="041BAA23">
            <w:pPr>
              <w:keepNext w:val="0"/>
              <w:keepLines w:val="0"/>
              <w:pageBreakBefore w:val="0"/>
              <w:numPr>
                <w:ilvl w:val="0"/>
                <w:numId w:val="0"/>
              </w:numPr>
              <w:kinsoku/>
              <w:wordWrap/>
              <w:overflowPunct/>
              <w:topLinePunct w:val="0"/>
              <w:autoSpaceDE/>
              <w:autoSpaceDN/>
              <w:bidi w:val="0"/>
              <w:adjustRightInd/>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2、对文成县宁静小区建设评价及申报情况的了解</w:t>
            </w:r>
          </w:p>
          <w:p w14:paraId="712609EC">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(1)</w:t>
            </w:r>
            <w:r>
              <w:rPr>
                <w:rFonts w:hint="eastAsia" w:ascii="宋体" w:hAnsi="宋体" w:eastAsia="宋体" w:cs="宋体"/>
                <w:b w:val="0"/>
                <w:bCs w:val="0"/>
                <w:color w:val="auto"/>
                <w:kern w:val="0"/>
                <w:sz w:val="22"/>
                <w:szCs w:val="22"/>
                <w:lang w:val="en-US" w:eastAsia="zh-CN" w:bidi="ar-SA"/>
              </w:rPr>
              <w:t>对文成县宁静小区建设评价及申报情况了解全面、客观深入、详细到位，有利于项目实施的得7-8分；</w:t>
            </w:r>
          </w:p>
          <w:p w14:paraId="1EFE0A5D">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(2)</w:t>
            </w:r>
            <w:r>
              <w:rPr>
                <w:rFonts w:hint="eastAsia" w:ascii="宋体" w:hAnsi="宋体" w:eastAsia="宋体" w:cs="宋体"/>
                <w:b w:val="0"/>
                <w:bCs w:val="0"/>
                <w:color w:val="auto"/>
                <w:kern w:val="0"/>
                <w:sz w:val="22"/>
                <w:szCs w:val="22"/>
                <w:lang w:val="en-US" w:eastAsia="zh-CN" w:bidi="ar-SA"/>
              </w:rPr>
              <w:t>对文成县宁静小区建设评价及申报情况基本熟悉了解的得4-6分；</w:t>
            </w:r>
          </w:p>
          <w:p w14:paraId="1998DB38">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(3)</w:t>
            </w:r>
            <w:r>
              <w:rPr>
                <w:rFonts w:hint="eastAsia" w:ascii="宋体" w:hAnsi="宋体" w:eastAsia="宋体" w:cs="宋体"/>
                <w:b w:val="0"/>
                <w:bCs w:val="0"/>
                <w:color w:val="auto"/>
                <w:kern w:val="0"/>
                <w:sz w:val="22"/>
                <w:szCs w:val="22"/>
                <w:lang w:val="en-US" w:eastAsia="zh-CN" w:bidi="ar-SA"/>
              </w:rPr>
              <w:t>对文成县宁静小区建设评价及申报的了解较为欠缺的得0-3分；</w:t>
            </w:r>
          </w:p>
          <w:p w14:paraId="76467208">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(4)</w:t>
            </w:r>
            <w:r>
              <w:rPr>
                <w:rFonts w:hint="eastAsia" w:ascii="宋体" w:hAnsi="宋体" w:eastAsia="宋体" w:cs="宋体"/>
                <w:b w:val="0"/>
                <w:bCs w:val="0"/>
                <w:color w:val="auto"/>
                <w:kern w:val="0"/>
                <w:sz w:val="22"/>
                <w:szCs w:val="22"/>
                <w:lang w:val="en-US" w:eastAsia="zh-CN" w:bidi="ar-SA"/>
              </w:rPr>
              <w:t>未提供不得分。</w:t>
            </w:r>
          </w:p>
        </w:tc>
        <w:tc>
          <w:tcPr>
            <w:tcW w:w="1095" w:type="dxa"/>
            <w:noWrap w:val="0"/>
            <w:vAlign w:val="center"/>
          </w:tcPr>
          <w:p w14:paraId="487A368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8</w:t>
            </w:r>
            <w:r>
              <w:rPr>
                <w:rFonts w:hint="eastAsia" w:ascii="宋体" w:hAnsi="宋体" w:eastAsia="宋体" w:cs="宋体"/>
                <w:b w:val="0"/>
                <w:bCs w:val="0"/>
                <w:color w:val="auto"/>
                <w:sz w:val="22"/>
                <w:szCs w:val="22"/>
              </w:rPr>
              <w:t>分</w:t>
            </w:r>
          </w:p>
        </w:tc>
      </w:tr>
      <w:tr w14:paraId="5054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705" w:type="dxa"/>
            <w:vMerge w:val="continue"/>
            <w:noWrap w:val="0"/>
            <w:vAlign w:val="center"/>
          </w:tcPr>
          <w:p w14:paraId="46D1B3B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p>
        </w:tc>
        <w:tc>
          <w:tcPr>
            <w:tcW w:w="1363" w:type="dxa"/>
            <w:vMerge w:val="continue"/>
            <w:noWrap w:val="0"/>
            <w:vAlign w:val="center"/>
          </w:tcPr>
          <w:p w14:paraId="35AFEFE5">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2"/>
                <w:szCs w:val="22"/>
              </w:rPr>
            </w:pPr>
          </w:p>
        </w:tc>
        <w:tc>
          <w:tcPr>
            <w:tcW w:w="6948" w:type="dxa"/>
            <w:noWrap w:val="0"/>
            <w:vAlign w:val="center"/>
          </w:tcPr>
          <w:p w14:paraId="17045ABE">
            <w:pPr>
              <w:keepNext w:val="0"/>
              <w:keepLines w:val="0"/>
              <w:pageBreakBefore w:val="0"/>
              <w:numPr>
                <w:ilvl w:val="0"/>
                <w:numId w:val="0"/>
              </w:numPr>
              <w:kinsoku/>
              <w:wordWrap/>
              <w:overflowPunct/>
              <w:topLinePunct w:val="0"/>
              <w:autoSpaceDE/>
              <w:autoSpaceDN/>
              <w:bidi w:val="0"/>
              <w:adjustRightInd/>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3、对本项目工作的重点、难点进行梳理、剖析，并针对性提出克服重难点的解决措施</w:t>
            </w:r>
          </w:p>
          <w:p w14:paraId="2DD52DA9">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(1)</w:t>
            </w:r>
            <w:r>
              <w:rPr>
                <w:rFonts w:hint="eastAsia" w:ascii="宋体" w:hAnsi="宋体" w:eastAsia="宋体" w:cs="宋体"/>
                <w:b w:val="0"/>
                <w:bCs w:val="0"/>
                <w:color w:val="auto"/>
                <w:kern w:val="0"/>
                <w:sz w:val="22"/>
                <w:szCs w:val="22"/>
                <w:lang w:val="en-US" w:eastAsia="zh-CN" w:bidi="ar-SA"/>
              </w:rPr>
              <w:t>对重难点问题的梳理剖析全面合理、准确到位，针对性强，提出解决措施考虑周全、科学合理，可行性强的得7-8分；</w:t>
            </w:r>
          </w:p>
          <w:p w14:paraId="60B48A17">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(2)</w:t>
            </w:r>
            <w:r>
              <w:rPr>
                <w:rFonts w:hint="eastAsia" w:ascii="宋体" w:hAnsi="宋体" w:eastAsia="宋体" w:cs="宋体"/>
                <w:b w:val="0"/>
                <w:bCs w:val="0"/>
                <w:color w:val="auto"/>
                <w:kern w:val="0"/>
                <w:sz w:val="22"/>
                <w:szCs w:val="22"/>
                <w:lang w:val="en-US" w:eastAsia="zh-CN" w:bidi="ar-SA"/>
              </w:rPr>
              <w:t>梳理剖析较为合理到位，解决措施比较周全，基本合理可行的得4-6分；</w:t>
            </w:r>
          </w:p>
          <w:p w14:paraId="4F5F6788">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(3)</w:t>
            </w:r>
            <w:r>
              <w:rPr>
                <w:rFonts w:hint="eastAsia" w:ascii="宋体" w:hAnsi="宋体" w:eastAsia="宋体" w:cs="宋体"/>
                <w:b w:val="0"/>
                <w:bCs w:val="0"/>
                <w:color w:val="auto"/>
                <w:kern w:val="0"/>
                <w:sz w:val="22"/>
                <w:szCs w:val="22"/>
                <w:lang w:val="en-US" w:eastAsia="zh-CN" w:bidi="ar-SA"/>
              </w:rPr>
              <w:t>梳理剖析比较简单、不够周全，解决措施的合理可行性存在明显不足的得0-3分；</w:t>
            </w:r>
          </w:p>
          <w:p w14:paraId="1EB87B14">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(4)</w:t>
            </w:r>
            <w:r>
              <w:rPr>
                <w:rFonts w:hint="eastAsia" w:ascii="宋体" w:hAnsi="宋体" w:eastAsia="宋体" w:cs="宋体"/>
                <w:b w:val="0"/>
                <w:bCs w:val="0"/>
                <w:color w:val="auto"/>
                <w:kern w:val="0"/>
                <w:sz w:val="22"/>
                <w:szCs w:val="22"/>
                <w:lang w:val="en-US" w:eastAsia="zh-CN" w:bidi="ar-SA"/>
              </w:rPr>
              <w:t>未提供不得分。</w:t>
            </w:r>
          </w:p>
        </w:tc>
        <w:tc>
          <w:tcPr>
            <w:tcW w:w="1095" w:type="dxa"/>
            <w:noWrap w:val="0"/>
            <w:vAlign w:val="center"/>
          </w:tcPr>
          <w:p w14:paraId="781AF65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8</w:t>
            </w:r>
            <w:r>
              <w:rPr>
                <w:rFonts w:hint="eastAsia" w:ascii="宋体" w:hAnsi="宋体" w:eastAsia="宋体" w:cs="宋体"/>
                <w:b w:val="0"/>
                <w:bCs w:val="0"/>
                <w:color w:val="auto"/>
                <w:sz w:val="22"/>
                <w:szCs w:val="22"/>
              </w:rPr>
              <w:t>分</w:t>
            </w:r>
          </w:p>
        </w:tc>
      </w:tr>
      <w:tr w14:paraId="13B0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705" w:type="dxa"/>
            <w:vMerge w:val="continue"/>
            <w:noWrap w:val="0"/>
            <w:vAlign w:val="center"/>
          </w:tcPr>
          <w:p w14:paraId="137C1C59">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p>
        </w:tc>
        <w:tc>
          <w:tcPr>
            <w:tcW w:w="1363" w:type="dxa"/>
            <w:vMerge w:val="continue"/>
            <w:noWrap w:val="0"/>
            <w:vAlign w:val="center"/>
          </w:tcPr>
          <w:p w14:paraId="2155A97D">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2"/>
                <w:szCs w:val="22"/>
              </w:rPr>
            </w:pPr>
          </w:p>
        </w:tc>
        <w:tc>
          <w:tcPr>
            <w:tcW w:w="6948" w:type="dxa"/>
            <w:noWrap w:val="0"/>
            <w:vAlign w:val="center"/>
          </w:tcPr>
          <w:p w14:paraId="37C25103">
            <w:pPr>
              <w:keepNext w:val="0"/>
              <w:keepLines w:val="0"/>
              <w:pageBreakBefore w:val="0"/>
              <w:numPr>
                <w:ilvl w:val="0"/>
                <w:numId w:val="0"/>
              </w:numPr>
              <w:kinsoku/>
              <w:wordWrap/>
              <w:overflowPunct/>
              <w:topLinePunct w:val="0"/>
              <w:autoSpaceDE/>
              <w:autoSpaceDN/>
              <w:bidi w:val="0"/>
              <w:adjustRightInd/>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4、本项目工作思路、工作流程以及工作内容</w:t>
            </w:r>
          </w:p>
          <w:p w14:paraId="45CD43AB">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根据采购需求阐述文成县宁静小区建设评价及申报工作思路、工作流程以及工作内容，要求体现专业性、合理性、可行性：</w:t>
            </w:r>
          </w:p>
          <w:p w14:paraId="75E2AFD7">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(1)</w:t>
            </w:r>
            <w:r>
              <w:rPr>
                <w:rFonts w:hint="eastAsia" w:ascii="宋体" w:hAnsi="宋体" w:eastAsia="宋体" w:cs="宋体"/>
                <w:b w:val="0"/>
                <w:bCs w:val="0"/>
                <w:color w:val="auto"/>
                <w:kern w:val="0"/>
                <w:sz w:val="22"/>
                <w:szCs w:val="22"/>
                <w:lang w:val="en-US" w:eastAsia="zh-CN" w:bidi="ar-SA"/>
              </w:rPr>
              <w:t>文成县宁静小区建设评价及申报工作思路、工作流程以及工作内容清晰，任务分解合理，针对性可行性强的得8-10分；</w:t>
            </w:r>
          </w:p>
          <w:p w14:paraId="25557DCA">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(2)</w:t>
            </w:r>
            <w:r>
              <w:rPr>
                <w:rFonts w:hint="eastAsia" w:ascii="宋体" w:hAnsi="宋体" w:eastAsia="宋体" w:cs="宋体"/>
                <w:b w:val="0"/>
                <w:bCs w:val="0"/>
                <w:color w:val="auto"/>
                <w:kern w:val="0"/>
                <w:sz w:val="22"/>
                <w:szCs w:val="22"/>
                <w:lang w:val="en-US" w:eastAsia="zh-CN" w:bidi="ar-SA"/>
              </w:rPr>
              <w:t>文成县宁静小区建设评价及申报工作思路、工作流程以及工作内容比较清晰，任务分解较为合理，具有一定针对性和可行性的得5-7分；</w:t>
            </w:r>
          </w:p>
          <w:p w14:paraId="73465CA8">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(3)</w:t>
            </w:r>
            <w:r>
              <w:rPr>
                <w:rFonts w:hint="eastAsia" w:ascii="宋体" w:hAnsi="宋体" w:eastAsia="宋体" w:cs="宋体"/>
                <w:b w:val="0"/>
                <w:bCs w:val="0"/>
                <w:color w:val="auto"/>
                <w:kern w:val="0"/>
                <w:sz w:val="22"/>
                <w:szCs w:val="22"/>
                <w:lang w:val="en-US" w:eastAsia="zh-CN" w:bidi="ar-SA"/>
              </w:rPr>
              <w:t>文成县宁静小区建设评价及申报工作思路、工作流程以及工作内容基本清晰，任务分解基本合理可行的得2-4分；</w:t>
            </w:r>
          </w:p>
          <w:p w14:paraId="75F22D03">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(4)</w:t>
            </w:r>
            <w:r>
              <w:rPr>
                <w:rFonts w:hint="eastAsia" w:ascii="宋体" w:hAnsi="宋体" w:eastAsia="宋体" w:cs="宋体"/>
                <w:b w:val="0"/>
                <w:bCs w:val="0"/>
                <w:color w:val="auto"/>
                <w:kern w:val="0"/>
                <w:sz w:val="22"/>
                <w:szCs w:val="22"/>
                <w:lang w:val="en-US" w:eastAsia="zh-CN" w:bidi="ar-SA"/>
              </w:rPr>
              <w:t>文成县宁静小区建设评价及申报工作思路、工作流程以及工作内容模糊，任务分解欠缺合理性可行性的得0-1分；</w:t>
            </w:r>
          </w:p>
          <w:p w14:paraId="23BE168B">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(5)</w:t>
            </w:r>
            <w:r>
              <w:rPr>
                <w:rFonts w:hint="eastAsia" w:ascii="宋体" w:hAnsi="宋体" w:eastAsia="宋体" w:cs="宋体"/>
                <w:b w:val="0"/>
                <w:bCs w:val="0"/>
                <w:color w:val="auto"/>
                <w:kern w:val="0"/>
                <w:sz w:val="22"/>
                <w:szCs w:val="22"/>
                <w:lang w:val="en-US" w:eastAsia="zh-CN" w:bidi="ar-SA"/>
              </w:rPr>
              <w:t>未提供不得分。</w:t>
            </w:r>
          </w:p>
        </w:tc>
        <w:tc>
          <w:tcPr>
            <w:tcW w:w="1095" w:type="dxa"/>
            <w:noWrap w:val="0"/>
            <w:vAlign w:val="center"/>
          </w:tcPr>
          <w:p w14:paraId="4F4CF625">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10</w:t>
            </w:r>
            <w:r>
              <w:rPr>
                <w:rFonts w:hint="eastAsia" w:ascii="宋体" w:hAnsi="宋体" w:eastAsia="宋体" w:cs="宋体"/>
                <w:b w:val="0"/>
                <w:bCs w:val="0"/>
                <w:color w:val="auto"/>
                <w:sz w:val="22"/>
                <w:szCs w:val="22"/>
              </w:rPr>
              <w:t>分</w:t>
            </w:r>
          </w:p>
        </w:tc>
      </w:tr>
      <w:tr w14:paraId="07FB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05" w:type="dxa"/>
            <w:vMerge w:val="continue"/>
            <w:noWrap w:val="0"/>
            <w:vAlign w:val="center"/>
          </w:tcPr>
          <w:p w14:paraId="5CCF9BF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p>
        </w:tc>
        <w:tc>
          <w:tcPr>
            <w:tcW w:w="1363" w:type="dxa"/>
            <w:vMerge w:val="continue"/>
            <w:noWrap w:val="0"/>
            <w:vAlign w:val="center"/>
          </w:tcPr>
          <w:p w14:paraId="12EA1337">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2"/>
                <w:szCs w:val="22"/>
              </w:rPr>
            </w:pPr>
          </w:p>
        </w:tc>
        <w:tc>
          <w:tcPr>
            <w:tcW w:w="6948" w:type="dxa"/>
            <w:noWrap w:val="0"/>
            <w:vAlign w:val="center"/>
          </w:tcPr>
          <w:p w14:paraId="6C5D4902">
            <w:pPr>
              <w:keepNext w:val="0"/>
              <w:keepLines w:val="0"/>
              <w:pageBreakBefore w:val="0"/>
              <w:numPr>
                <w:ilvl w:val="0"/>
                <w:numId w:val="0"/>
              </w:numPr>
              <w:kinsoku/>
              <w:wordWrap/>
              <w:overflowPunct/>
              <w:topLinePunct w:val="0"/>
              <w:autoSpaceDE/>
              <w:autoSpaceDN/>
              <w:bidi w:val="0"/>
              <w:adjustRightInd/>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5、工作进度安排</w:t>
            </w:r>
          </w:p>
          <w:p w14:paraId="4AC41A11">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根据对项目工作计划、工作进度安排及各阶段详细工作任务安排的合理性、可操作性等进行综合评议：</w:t>
            </w:r>
          </w:p>
          <w:p w14:paraId="4CF06E18">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(1)</w:t>
            </w:r>
            <w:r>
              <w:rPr>
                <w:rFonts w:hint="eastAsia" w:ascii="宋体" w:hAnsi="宋体" w:eastAsia="宋体" w:cs="宋体"/>
                <w:b w:val="0"/>
                <w:bCs w:val="0"/>
                <w:color w:val="auto"/>
                <w:kern w:val="0"/>
                <w:sz w:val="22"/>
                <w:szCs w:val="22"/>
                <w:lang w:val="en-US" w:eastAsia="zh-CN" w:bidi="ar-SA"/>
              </w:rPr>
              <w:t xml:space="preserve">项目工作计划、进度安排主次分明、措施严密，各阶段工作任务安排合理可行，能按期完成的得5-6分； </w:t>
            </w:r>
          </w:p>
          <w:p w14:paraId="43E52E61">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(2)</w:t>
            </w:r>
            <w:r>
              <w:rPr>
                <w:rFonts w:hint="eastAsia" w:ascii="宋体" w:hAnsi="宋体" w:eastAsia="宋体" w:cs="宋体"/>
                <w:b w:val="0"/>
                <w:bCs w:val="0"/>
                <w:color w:val="auto"/>
                <w:kern w:val="0"/>
                <w:sz w:val="22"/>
                <w:szCs w:val="22"/>
                <w:lang w:val="en-US" w:eastAsia="zh-CN" w:bidi="ar-SA"/>
              </w:rPr>
              <w:t>项目工作计划、进度安排较好，各阶段工作任务安排较为合理可行的得3-4分；</w:t>
            </w:r>
          </w:p>
          <w:p w14:paraId="2014024F">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(3)</w:t>
            </w:r>
            <w:r>
              <w:rPr>
                <w:rFonts w:hint="eastAsia" w:ascii="宋体" w:hAnsi="宋体" w:eastAsia="宋体" w:cs="宋体"/>
                <w:b w:val="0"/>
                <w:bCs w:val="0"/>
                <w:color w:val="auto"/>
                <w:kern w:val="0"/>
                <w:sz w:val="22"/>
                <w:szCs w:val="22"/>
                <w:lang w:val="en-US" w:eastAsia="zh-CN" w:bidi="ar-SA"/>
              </w:rPr>
              <w:t>项目工作计划、进度安排描述简单、不够清晰，存在明显缺陷遗漏的得0-2分；</w:t>
            </w:r>
          </w:p>
          <w:p w14:paraId="4A789BBC">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(4)</w:t>
            </w:r>
            <w:r>
              <w:rPr>
                <w:rFonts w:hint="eastAsia" w:ascii="宋体" w:hAnsi="宋体" w:eastAsia="宋体" w:cs="宋体"/>
                <w:b w:val="0"/>
                <w:bCs w:val="0"/>
                <w:color w:val="auto"/>
                <w:kern w:val="0"/>
                <w:sz w:val="22"/>
                <w:szCs w:val="22"/>
                <w:lang w:val="en-US" w:eastAsia="zh-CN" w:bidi="ar-SA"/>
              </w:rPr>
              <w:t>未提供不得分。</w:t>
            </w:r>
          </w:p>
        </w:tc>
        <w:tc>
          <w:tcPr>
            <w:tcW w:w="1095" w:type="dxa"/>
            <w:noWrap w:val="0"/>
            <w:vAlign w:val="center"/>
          </w:tcPr>
          <w:p w14:paraId="4E154BF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6</w:t>
            </w:r>
            <w:r>
              <w:rPr>
                <w:rFonts w:hint="eastAsia" w:ascii="宋体" w:hAnsi="宋体" w:eastAsia="宋体" w:cs="宋体"/>
                <w:b w:val="0"/>
                <w:bCs w:val="0"/>
                <w:color w:val="auto"/>
                <w:sz w:val="22"/>
                <w:szCs w:val="22"/>
              </w:rPr>
              <w:t>分</w:t>
            </w:r>
          </w:p>
        </w:tc>
      </w:tr>
      <w:tr w14:paraId="4F5D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705" w:type="dxa"/>
            <w:vMerge w:val="continue"/>
            <w:noWrap w:val="0"/>
            <w:vAlign w:val="center"/>
          </w:tcPr>
          <w:p w14:paraId="785E329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p>
        </w:tc>
        <w:tc>
          <w:tcPr>
            <w:tcW w:w="1363" w:type="dxa"/>
            <w:vMerge w:val="continue"/>
            <w:noWrap w:val="0"/>
            <w:vAlign w:val="center"/>
          </w:tcPr>
          <w:p w14:paraId="7604D5AA">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2"/>
                <w:szCs w:val="22"/>
              </w:rPr>
            </w:pPr>
          </w:p>
        </w:tc>
        <w:tc>
          <w:tcPr>
            <w:tcW w:w="6948" w:type="dxa"/>
            <w:noWrap w:val="0"/>
            <w:vAlign w:val="center"/>
          </w:tcPr>
          <w:p w14:paraId="0CE58812">
            <w:pPr>
              <w:keepNext w:val="0"/>
              <w:keepLines w:val="0"/>
              <w:pageBreakBefore w:val="0"/>
              <w:numPr>
                <w:ilvl w:val="0"/>
                <w:numId w:val="0"/>
              </w:numPr>
              <w:kinsoku/>
              <w:wordWrap/>
              <w:overflowPunct/>
              <w:topLinePunct w:val="0"/>
              <w:autoSpaceDE/>
              <w:autoSpaceDN/>
              <w:bidi w:val="0"/>
              <w:adjustRightInd/>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6、质量控制管理措施</w:t>
            </w:r>
          </w:p>
          <w:p w14:paraId="661FAF9E">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(1)</w:t>
            </w:r>
            <w:r>
              <w:rPr>
                <w:rFonts w:hint="eastAsia" w:ascii="宋体" w:hAnsi="宋体" w:eastAsia="宋体" w:cs="宋体"/>
                <w:b w:val="0"/>
                <w:bCs w:val="0"/>
                <w:color w:val="auto"/>
                <w:kern w:val="0"/>
                <w:sz w:val="22"/>
                <w:szCs w:val="22"/>
                <w:lang w:val="en-US" w:eastAsia="zh-CN" w:bidi="ar-SA"/>
              </w:rPr>
              <w:t>各阶段工作质量控制管理措施科学、可行，质量保证体系完备周全，并具有针对性应对措施，有利于项目实施的5-6分；</w:t>
            </w:r>
          </w:p>
          <w:p w14:paraId="4D80AF7E">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(2)</w:t>
            </w:r>
            <w:r>
              <w:rPr>
                <w:rFonts w:hint="eastAsia" w:ascii="宋体" w:hAnsi="宋体" w:eastAsia="宋体" w:cs="宋体"/>
                <w:b w:val="0"/>
                <w:bCs w:val="0"/>
                <w:color w:val="auto"/>
                <w:kern w:val="0"/>
                <w:sz w:val="22"/>
                <w:szCs w:val="22"/>
                <w:lang w:val="en-US" w:eastAsia="zh-CN" w:bidi="ar-SA"/>
              </w:rPr>
              <w:t>质量控制管理措施及质量保证体系基本完整，应对措施合理可行的得3-4分；</w:t>
            </w:r>
          </w:p>
          <w:p w14:paraId="6D40ED01">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(3)</w:t>
            </w:r>
            <w:r>
              <w:rPr>
                <w:rFonts w:hint="eastAsia" w:ascii="宋体" w:hAnsi="宋体" w:eastAsia="宋体" w:cs="宋体"/>
                <w:b w:val="0"/>
                <w:bCs w:val="0"/>
                <w:color w:val="auto"/>
                <w:kern w:val="0"/>
                <w:sz w:val="22"/>
                <w:szCs w:val="22"/>
                <w:lang w:val="en-US" w:eastAsia="zh-CN" w:bidi="ar-SA"/>
              </w:rPr>
              <w:t>质量控制管理措施及质量保证体系较为简单，应对措施可行性较差的得0-2分；</w:t>
            </w:r>
          </w:p>
          <w:p w14:paraId="44770E05">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(4)</w:t>
            </w:r>
            <w:r>
              <w:rPr>
                <w:rFonts w:hint="eastAsia" w:ascii="宋体" w:hAnsi="宋体" w:eastAsia="宋体" w:cs="宋体"/>
                <w:b w:val="0"/>
                <w:bCs w:val="0"/>
                <w:color w:val="auto"/>
                <w:kern w:val="0"/>
                <w:sz w:val="22"/>
                <w:szCs w:val="22"/>
                <w:lang w:val="en-US" w:eastAsia="zh-CN" w:bidi="ar-SA"/>
              </w:rPr>
              <w:t>未提供不得分。</w:t>
            </w:r>
          </w:p>
        </w:tc>
        <w:tc>
          <w:tcPr>
            <w:tcW w:w="1095" w:type="dxa"/>
            <w:noWrap w:val="0"/>
            <w:vAlign w:val="center"/>
          </w:tcPr>
          <w:p w14:paraId="2612916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6</w:t>
            </w:r>
            <w:r>
              <w:rPr>
                <w:rFonts w:hint="eastAsia" w:ascii="宋体" w:hAnsi="宋体" w:eastAsia="宋体" w:cs="宋体"/>
                <w:b w:val="0"/>
                <w:bCs w:val="0"/>
                <w:color w:val="auto"/>
                <w:sz w:val="22"/>
                <w:szCs w:val="22"/>
              </w:rPr>
              <w:t>分</w:t>
            </w:r>
          </w:p>
        </w:tc>
      </w:tr>
      <w:tr w14:paraId="4C5D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705" w:type="dxa"/>
            <w:vMerge w:val="continue"/>
            <w:noWrap w:val="0"/>
            <w:vAlign w:val="center"/>
          </w:tcPr>
          <w:p w14:paraId="05732FC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p>
        </w:tc>
        <w:tc>
          <w:tcPr>
            <w:tcW w:w="1363" w:type="dxa"/>
            <w:vMerge w:val="continue"/>
            <w:noWrap w:val="0"/>
            <w:vAlign w:val="center"/>
          </w:tcPr>
          <w:p w14:paraId="028019A7">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2"/>
                <w:szCs w:val="22"/>
              </w:rPr>
            </w:pPr>
          </w:p>
        </w:tc>
        <w:tc>
          <w:tcPr>
            <w:tcW w:w="6948" w:type="dxa"/>
            <w:noWrap w:val="0"/>
            <w:vAlign w:val="center"/>
          </w:tcPr>
          <w:p w14:paraId="781B16B1">
            <w:pPr>
              <w:keepNext w:val="0"/>
              <w:keepLines w:val="0"/>
              <w:pageBreakBefore w:val="0"/>
              <w:numPr>
                <w:ilvl w:val="0"/>
                <w:numId w:val="0"/>
              </w:numPr>
              <w:kinsoku/>
              <w:wordWrap/>
              <w:overflowPunct/>
              <w:topLinePunct w:val="0"/>
              <w:autoSpaceDE/>
              <w:autoSpaceDN/>
              <w:bidi w:val="0"/>
              <w:adjustRightInd/>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7、数据资料安全保密方案及承诺</w:t>
            </w:r>
          </w:p>
          <w:p w14:paraId="6139B113">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(1)</w:t>
            </w:r>
            <w:r>
              <w:rPr>
                <w:rFonts w:hint="eastAsia" w:ascii="宋体" w:hAnsi="宋体" w:eastAsia="宋体" w:cs="宋体"/>
                <w:b w:val="0"/>
                <w:bCs w:val="0"/>
                <w:color w:val="auto"/>
                <w:kern w:val="0"/>
                <w:sz w:val="22"/>
                <w:szCs w:val="22"/>
                <w:lang w:val="en-US" w:eastAsia="zh-CN" w:bidi="ar-SA"/>
              </w:rPr>
              <w:t>数据资料安全保密方案及承诺全面明确、合理可行的得4-5分；</w:t>
            </w:r>
          </w:p>
          <w:p w14:paraId="460F010D">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(2)</w:t>
            </w:r>
            <w:r>
              <w:rPr>
                <w:rFonts w:hint="eastAsia" w:ascii="宋体" w:hAnsi="宋体" w:eastAsia="宋体" w:cs="宋体"/>
                <w:b w:val="0"/>
                <w:bCs w:val="0"/>
                <w:color w:val="auto"/>
                <w:kern w:val="0"/>
                <w:sz w:val="22"/>
                <w:szCs w:val="22"/>
                <w:lang w:val="en-US" w:eastAsia="zh-CN" w:bidi="ar-SA"/>
              </w:rPr>
              <w:t>数据资料安全保密方案及承诺较为合理可行的得2-3分；</w:t>
            </w:r>
          </w:p>
          <w:p w14:paraId="02E7ED35">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(3)</w:t>
            </w:r>
            <w:r>
              <w:rPr>
                <w:rFonts w:hint="eastAsia" w:ascii="宋体" w:hAnsi="宋体" w:eastAsia="宋体" w:cs="宋体"/>
                <w:b w:val="0"/>
                <w:bCs w:val="0"/>
                <w:color w:val="auto"/>
                <w:kern w:val="0"/>
                <w:sz w:val="22"/>
                <w:szCs w:val="22"/>
                <w:lang w:val="en-US" w:eastAsia="zh-CN" w:bidi="ar-SA"/>
              </w:rPr>
              <w:t>数据资料安全保密方案及承诺简单欠缺的得0-1分；</w:t>
            </w:r>
          </w:p>
          <w:p w14:paraId="36ABAA72">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(4)</w:t>
            </w:r>
            <w:r>
              <w:rPr>
                <w:rFonts w:hint="eastAsia" w:ascii="宋体" w:hAnsi="宋体" w:eastAsia="宋体" w:cs="宋体"/>
                <w:b w:val="0"/>
                <w:bCs w:val="0"/>
                <w:color w:val="auto"/>
                <w:kern w:val="0"/>
                <w:sz w:val="22"/>
                <w:szCs w:val="22"/>
                <w:lang w:val="en-US" w:eastAsia="zh-CN" w:bidi="ar-SA"/>
              </w:rPr>
              <w:t>未提供不得分。</w:t>
            </w:r>
          </w:p>
        </w:tc>
        <w:tc>
          <w:tcPr>
            <w:tcW w:w="1095" w:type="dxa"/>
            <w:noWrap w:val="0"/>
            <w:vAlign w:val="center"/>
          </w:tcPr>
          <w:p w14:paraId="572DDF6F">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rPr>
              <w:t>分</w:t>
            </w:r>
          </w:p>
        </w:tc>
      </w:tr>
      <w:tr w14:paraId="1FF6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705" w:type="dxa"/>
            <w:vMerge w:val="restart"/>
            <w:noWrap w:val="0"/>
            <w:vAlign w:val="center"/>
          </w:tcPr>
          <w:p w14:paraId="3BB74CA3">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w:t>
            </w:r>
          </w:p>
        </w:tc>
        <w:tc>
          <w:tcPr>
            <w:tcW w:w="1363" w:type="dxa"/>
            <w:vMerge w:val="restart"/>
            <w:noWrap w:val="0"/>
            <w:vAlign w:val="center"/>
          </w:tcPr>
          <w:p w14:paraId="6F466481">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项目人员配备情况</w:t>
            </w:r>
          </w:p>
        </w:tc>
        <w:tc>
          <w:tcPr>
            <w:tcW w:w="6948" w:type="dxa"/>
            <w:noWrap w:val="0"/>
            <w:vAlign w:val="center"/>
          </w:tcPr>
          <w:p w14:paraId="4923B1DC">
            <w:pPr>
              <w:keepNext w:val="0"/>
              <w:keepLines w:val="0"/>
              <w:pageBreakBefore w:val="0"/>
              <w:numPr>
                <w:ilvl w:val="0"/>
                <w:numId w:val="0"/>
              </w:numPr>
              <w:kinsoku/>
              <w:wordWrap/>
              <w:overflowPunct/>
              <w:topLinePunct w:val="0"/>
              <w:autoSpaceDE/>
              <w:autoSpaceDN/>
              <w:bidi w:val="0"/>
              <w:adjustRightInd/>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1、项目负责人（限1人）</w:t>
            </w:r>
          </w:p>
          <w:p w14:paraId="4FE64D55">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项目负责人</w:t>
            </w:r>
            <w:r>
              <w:rPr>
                <w:rFonts w:hint="eastAsia" w:ascii="宋体" w:hAnsi="宋体" w:eastAsia="宋体" w:cs="宋体"/>
                <w:b w:val="0"/>
                <w:bCs w:val="0"/>
                <w:color w:val="auto"/>
                <w:kern w:val="0"/>
                <w:sz w:val="22"/>
                <w:szCs w:val="22"/>
                <w:lang w:val="en-US" w:eastAsia="zh-CN" w:bidi="ar-SA"/>
              </w:rPr>
              <w:t>同时</w:t>
            </w:r>
            <w:r>
              <w:rPr>
                <w:rFonts w:hint="eastAsia" w:ascii="宋体" w:hAnsi="宋体" w:eastAsia="宋体" w:cs="宋体"/>
                <w:b w:val="0"/>
                <w:bCs w:val="0"/>
                <w:color w:val="auto"/>
                <w:kern w:val="0"/>
                <w:sz w:val="22"/>
                <w:szCs w:val="22"/>
                <w:lang w:val="zh-CN" w:eastAsia="zh-CN" w:bidi="ar-SA"/>
              </w:rPr>
              <w:t>具有</w:t>
            </w:r>
            <w:r>
              <w:rPr>
                <w:rFonts w:hint="eastAsia" w:ascii="宋体" w:hAnsi="宋体" w:eastAsia="宋体" w:cs="宋体"/>
                <w:b w:val="0"/>
                <w:bCs w:val="0"/>
                <w:color w:val="auto"/>
                <w:kern w:val="0"/>
                <w:sz w:val="22"/>
                <w:szCs w:val="22"/>
                <w:lang w:val="en-US" w:eastAsia="zh-CN" w:bidi="ar-SA"/>
              </w:rPr>
              <w:t>注册环保工程师证书以及生态</w:t>
            </w:r>
            <w:r>
              <w:rPr>
                <w:rFonts w:hint="eastAsia" w:ascii="宋体" w:hAnsi="宋体" w:eastAsia="宋体" w:cs="宋体"/>
                <w:b w:val="0"/>
                <w:bCs w:val="0"/>
                <w:color w:val="auto"/>
                <w:kern w:val="0"/>
                <w:sz w:val="22"/>
                <w:szCs w:val="22"/>
                <w:lang w:val="zh-CN" w:eastAsia="zh-CN" w:bidi="ar-SA"/>
              </w:rPr>
              <w:t>环保类相关专业（环境科学、生态环境规划与管理、环境保护、环境工程、</w:t>
            </w:r>
            <w:r>
              <w:rPr>
                <w:rFonts w:hint="eastAsia" w:ascii="宋体" w:hAnsi="宋体" w:eastAsia="宋体" w:cs="宋体"/>
                <w:b w:val="0"/>
                <w:bCs w:val="0"/>
                <w:color w:val="auto"/>
                <w:kern w:val="0"/>
                <w:sz w:val="22"/>
                <w:szCs w:val="22"/>
                <w:lang w:val="en-US" w:eastAsia="zh-CN" w:bidi="ar-SA"/>
              </w:rPr>
              <w:t>生态学、</w:t>
            </w:r>
            <w:r>
              <w:rPr>
                <w:rFonts w:hint="eastAsia" w:ascii="宋体" w:hAnsi="宋体" w:eastAsia="宋体" w:cs="宋体"/>
                <w:b w:val="0"/>
                <w:bCs w:val="0"/>
                <w:color w:val="auto"/>
                <w:kern w:val="0"/>
                <w:sz w:val="22"/>
                <w:szCs w:val="22"/>
                <w:lang w:val="zh-CN" w:eastAsia="zh-CN" w:bidi="ar-SA"/>
              </w:rPr>
              <w:t>生态环境工程与咨询、环境评估与管理）副高级</w:t>
            </w:r>
            <w:r>
              <w:rPr>
                <w:rFonts w:hint="eastAsia" w:ascii="宋体" w:hAnsi="宋体" w:eastAsia="宋体" w:cs="宋体"/>
                <w:b w:val="0"/>
                <w:bCs w:val="0"/>
                <w:color w:val="auto"/>
                <w:kern w:val="0"/>
                <w:sz w:val="22"/>
                <w:szCs w:val="22"/>
                <w:lang w:val="en-US" w:eastAsia="zh-CN" w:bidi="ar-SA"/>
              </w:rPr>
              <w:t>及以上</w:t>
            </w:r>
            <w:r>
              <w:rPr>
                <w:rFonts w:hint="eastAsia" w:ascii="宋体" w:hAnsi="宋体" w:eastAsia="宋体" w:cs="宋体"/>
                <w:b w:val="0"/>
                <w:bCs w:val="0"/>
                <w:color w:val="auto"/>
                <w:kern w:val="0"/>
                <w:sz w:val="22"/>
                <w:szCs w:val="22"/>
                <w:lang w:val="zh-CN" w:eastAsia="zh-CN" w:bidi="ar-SA"/>
              </w:rPr>
              <w:t>职称</w:t>
            </w:r>
            <w:r>
              <w:rPr>
                <w:rFonts w:hint="eastAsia" w:ascii="宋体" w:hAnsi="宋体" w:eastAsia="宋体" w:cs="宋体"/>
                <w:b w:val="0"/>
                <w:bCs w:val="0"/>
                <w:color w:val="auto"/>
                <w:kern w:val="0"/>
                <w:sz w:val="22"/>
                <w:szCs w:val="22"/>
                <w:lang w:val="en-US" w:eastAsia="zh-CN" w:bidi="ar-SA"/>
              </w:rPr>
              <w:t>证书这两种证书</w:t>
            </w:r>
            <w:r>
              <w:rPr>
                <w:rFonts w:hint="eastAsia" w:ascii="宋体" w:hAnsi="宋体" w:eastAsia="宋体" w:cs="宋体"/>
                <w:b w:val="0"/>
                <w:bCs w:val="0"/>
                <w:color w:val="auto"/>
                <w:kern w:val="0"/>
                <w:sz w:val="22"/>
                <w:szCs w:val="22"/>
                <w:lang w:val="zh-CN" w:eastAsia="zh-CN" w:bidi="ar-SA"/>
              </w:rPr>
              <w:t>的得</w:t>
            </w:r>
            <w:r>
              <w:rPr>
                <w:rFonts w:hint="eastAsia" w:ascii="宋体" w:hAnsi="宋体" w:eastAsia="宋体" w:cs="宋体"/>
                <w:b w:val="0"/>
                <w:bCs w:val="0"/>
                <w:color w:val="auto"/>
                <w:kern w:val="0"/>
                <w:sz w:val="22"/>
                <w:szCs w:val="22"/>
                <w:lang w:val="en-US" w:eastAsia="zh-CN" w:bidi="ar-SA"/>
              </w:rPr>
              <w:t>6</w:t>
            </w:r>
            <w:r>
              <w:rPr>
                <w:rFonts w:hint="eastAsia" w:ascii="宋体" w:hAnsi="宋体" w:eastAsia="宋体" w:cs="宋体"/>
                <w:b w:val="0"/>
                <w:bCs w:val="0"/>
                <w:color w:val="auto"/>
                <w:kern w:val="0"/>
                <w:sz w:val="22"/>
                <w:szCs w:val="22"/>
                <w:lang w:val="zh-CN" w:eastAsia="zh-CN" w:bidi="ar-SA"/>
              </w:rPr>
              <w:t>分，</w:t>
            </w:r>
            <w:r>
              <w:rPr>
                <w:rFonts w:hint="eastAsia" w:ascii="宋体" w:hAnsi="宋体" w:eastAsia="宋体" w:cs="宋体"/>
                <w:b w:val="0"/>
                <w:bCs w:val="0"/>
                <w:color w:val="auto"/>
                <w:kern w:val="0"/>
                <w:sz w:val="22"/>
                <w:szCs w:val="22"/>
                <w:lang w:val="en-US" w:eastAsia="zh-CN" w:bidi="ar-SA"/>
              </w:rPr>
              <w:t>两种证书中只具有其中一种的得3分，</w:t>
            </w:r>
            <w:r>
              <w:rPr>
                <w:rFonts w:hint="eastAsia" w:ascii="宋体" w:hAnsi="宋体" w:eastAsia="宋体" w:cs="宋体"/>
                <w:b w:val="0"/>
                <w:bCs w:val="0"/>
                <w:color w:val="auto"/>
                <w:kern w:val="0"/>
                <w:sz w:val="22"/>
                <w:szCs w:val="22"/>
                <w:lang w:val="zh-CN" w:eastAsia="zh-CN" w:bidi="ar-SA"/>
              </w:rPr>
              <w:t>其</w:t>
            </w:r>
            <w:r>
              <w:rPr>
                <w:rFonts w:hint="eastAsia" w:ascii="宋体" w:hAnsi="宋体" w:eastAsia="宋体" w:cs="宋体"/>
                <w:b w:val="0"/>
                <w:bCs w:val="0"/>
                <w:color w:val="auto"/>
                <w:kern w:val="0"/>
                <w:sz w:val="22"/>
                <w:szCs w:val="22"/>
                <w:lang w:val="en-US" w:eastAsia="zh-CN" w:bidi="ar-SA"/>
              </w:rPr>
              <w:t>他</w:t>
            </w:r>
            <w:r>
              <w:rPr>
                <w:rFonts w:hint="eastAsia" w:ascii="宋体" w:hAnsi="宋体" w:eastAsia="宋体" w:cs="宋体"/>
                <w:b w:val="0"/>
                <w:bCs w:val="0"/>
                <w:color w:val="auto"/>
                <w:kern w:val="0"/>
                <w:sz w:val="22"/>
                <w:szCs w:val="22"/>
                <w:lang w:val="zh-CN" w:eastAsia="zh-CN" w:bidi="ar-SA"/>
              </w:rPr>
              <w:t>不得分。</w:t>
            </w:r>
          </w:p>
          <w:p w14:paraId="69F7A5E2">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（需</w:t>
            </w:r>
            <w:r>
              <w:rPr>
                <w:rFonts w:hint="eastAsia" w:ascii="宋体" w:hAnsi="宋体" w:eastAsia="宋体" w:cs="宋体"/>
                <w:b w:val="0"/>
                <w:bCs w:val="0"/>
                <w:color w:val="auto"/>
                <w:kern w:val="0"/>
                <w:sz w:val="22"/>
                <w:szCs w:val="22"/>
                <w:lang w:val="en-US" w:eastAsia="zh-CN" w:bidi="ar-SA"/>
              </w:rPr>
              <w:t>提供人员相关证书、证明</w:t>
            </w:r>
            <w:r>
              <w:rPr>
                <w:rFonts w:hint="eastAsia" w:ascii="宋体" w:hAnsi="宋体" w:eastAsia="宋体" w:cs="宋体"/>
                <w:b w:val="0"/>
                <w:bCs w:val="0"/>
                <w:color w:val="auto"/>
                <w:kern w:val="0"/>
                <w:sz w:val="22"/>
                <w:szCs w:val="22"/>
                <w:lang w:val="zh-CN" w:eastAsia="zh-CN" w:bidi="ar-SA"/>
              </w:rPr>
              <w:t>及人社部门</w:t>
            </w:r>
            <w:r>
              <w:rPr>
                <w:rFonts w:hint="eastAsia" w:ascii="宋体" w:hAnsi="宋体" w:eastAsia="宋体" w:cs="宋体"/>
                <w:b w:val="0"/>
                <w:bCs w:val="0"/>
                <w:color w:val="auto"/>
                <w:kern w:val="0"/>
                <w:sz w:val="22"/>
                <w:szCs w:val="22"/>
                <w:lang w:val="en-US" w:eastAsia="zh-CN" w:bidi="ar-SA"/>
              </w:rPr>
              <w:t>投标截止前</w:t>
            </w:r>
            <w:r>
              <w:rPr>
                <w:rFonts w:hint="eastAsia" w:ascii="宋体" w:hAnsi="宋体" w:eastAsia="宋体" w:cs="宋体"/>
                <w:b w:val="0"/>
                <w:bCs w:val="0"/>
                <w:color w:val="auto"/>
                <w:kern w:val="0"/>
                <w:sz w:val="22"/>
                <w:szCs w:val="22"/>
                <w:lang w:val="zh-CN" w:eastAsia="zh-CN" w:bidi="ar-SA"/>
              </w:rPr>
              <w:t>近</w:t>
            </w:r>
            <w:r>
              <w:rPr>
                <w:rFonts w:hint="eastAsia" w:ascii="宋体" w:hAnsi="宋体" w:eastAsia="宋体" w:cs="宋体"/>
                <w:b w:val="0"/>
                <w:bCs w:val="0"/>
                <w:color w:val="auto"/>
                <w:kern w:val="0"/>
                <w:sz w:val="22"/>
                <w:szCs w:val="22"/>
                <w:lang w:val="en-US" w:eastAsia="zh-CN" w:bidi="ar-SA"/>
              </w:rPr>
              <w:t>2</w:t>
            </w:r>
            <w:r>
              <w:rPr>
                <w:rFonts w:hint="eastAsia" w:ascii="宋体" w:hAnsi="宋体" w:eastAsia="宋体" w:cs="宋体"/>
                <w:b w:val="0"/>
                <w:bCs w:val="0"/>
                <w:color w:val="auto"/>
                <w:kern w:val="0"/>
                <w:sz w:val="22"/>
                <w:szCs w:val="22"/>
                <w:lang w:val="zh-CN" w:eastAsia="zh-CN" w:bidi="ar-SA"/>
              </w:rPr>
              <w:t>个月内</w:t>
            </w:r>
            <w:r>
              <w:rPr>
                <w:rFonts w:hint="eastAsia" w:ascii="宋体" w:hAnsi="宋体" w:eastAsia="宋体" w:cs="宋体"/>
                <w:b w:val="0"/>
                <w:bCs w:val="0"/>
                <w:color w:val="auto"/>
                <w:kern w:val="0"/>
                <w:sz w:val="22"/>
                <w:szCs w:val="22"/>
                <w:lang w:val="en-US" w:eastAsia="zh-CN" w:bidi="ar-SA"/>
              </w:rPr>
              <w:t>出具的</w:t>
            </w:r>
            <w:r>
              <w:rPr>
                <w:rFonts w:hint="eastAsia" w:ascii="宋体" w:hAnsi="宋体" w:eastAsia="宋体" w:cs="宋体"/>
                <w:b w:val="0"/>
                <w:bCs w:val="0"/>
                <w:color w:val="auto"/>
                <w:kern w:val="0"/>
                <w:sz w:val="22"/>
                <w:szCs w:val="22"/>
                <w:lang w:val="zh-CN" w:eastAsia="zh-CN" w:bidi="ar-SA"/>
              </w:rPr>
              <w:t>在投标单位的社保证明，</w:t>
            </w:r>
            <w:r>
              <w:rPr>
                <w:rFonts w:hint="eastAsia" w:ascii="宋体" w:hAnsi="宋体" w:eastAsia="宋体" w:cs="宋体"/>
                <w:b w:val="0"/>
                <w:bCs w:val="0"/>
                <w:color w:val="auto"/>
                <w:kern w:val="0"/>
                <w:sz w:val="22"/>
                <w:szCs w:val="22"/>
                <w:lang w:val="en-US" w:eastAsia="zh-CN" w:bidi="ar-SA"/>
              </w:rPr>
              <w:t>未提供或不符合要求的不得分</w:t>
            </w:r>
            <w:r>
              <w:rPr>
                <w:rFonts w:hint="eastAsia" w:ascii="宋体" w:hAnsi="宋体" w:eastAsia="宋体" w:cs="宋体"/>
                <w:b w:val="0"/>
                <w:bCs w:val="0"/>
                <w:color w:val="auto"/>
                <w:kern w:val="0"/>
                <w:sz w:val="22"/>
                <w:szCs w:val="22"/>
                <w:lang w:val="zh-CN" w:eastAsia="zh-CN" w:bidi="ar-SA"/>
              </w:rPr>
              <w:t>。）</w:t>
            </w:r>
          </w:p>
        </w:tc>
        <w:tc>
          <w:tcPr>
            <w:tcW w:w="1095" w:type="dxa"/>
            <w:noWrap w:val="0"/>
            <w:vAlign w:val="center"/>
          </w:tcPr>
          <w:p w14:paraId="4C27AE3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6分</w:t>
            </w:r>
          </w:p>
        </w:tc>
      </w:tr>
      <w:tr w14:paraId="759F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705" w:type="dxa"/>
            <w:vMerge w:val="continue"/>
            <w:noWrap w:val="0"/>
            <w:vAlign w:val="center"/>
          </w:tcPr>
          <w:p w14:paraId="03FBAC1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p>
        </w:tc>
        <w:tc>
          <w:tcPr>
            <w:tcW w:w="1363" w:type="dxa"/>
            <w:vMerge w:val="continue"/>
            <w:noWrap w:val="0"/>
            <w:vAlign w:val="center"/>
          </w:tcPr>
          <w:p w14:paraId="0C674E93">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2"/>
                <w:szCs w:val="22"/>
              </w:rPr>
            </w:pPr>
          </w:p>
        </w:tc>
        <w:tc>
          <w:tcPr>
            <w:tcW w:w="6948" w:type="dxa"/>
            <w:noWrap w:val="0"/>
            <w:vAlign w:val="center"/>
          </w:tcPr>
          <w:p w14:paraId="3BF9F5E4">
            <w:pPr>
              <w:keepNext w:val="0"/>
              <w:keepLines w:val="0"/>
              <w:pageBreakBefore w:val="0"/>
              <w:numPr>
                <w:ilvl w:val="0"/>
                <w:numId w:val="0"/>
              </w:numPr>
              <w:kinsoku/>
              <w:wordWrap/>
              <w:overflowPunct/>
              <w:topLinePunct w:val="0"/>
              <w:autoSpaceDE/>
              <w:autoSpaceDN/>
              <w:bidi w:val="0"/>
              <w:adjustRightInd/>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2、项目组其他人员资质情况（项目负责人除外）</w:t>
            </w:r>
          </w:p>
          <w:p w14:paraId="4A991BE2">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项目组其他人员具有注册环保工程师证书或具有注册环境影响评价工程师证书，每人得2分；具有</w:t>
            </w:r>
            <w:r>
              <w:rPr>
                <w:rFonts w:hint="eastAsia" w:ascii="宋体" w:hAnsi="宋体" w:eastAsia="宋体" w:cs="宋体"/>
                <w:b w:val="0"/>
                <w:bCs w:val="0"/>
                <w:color w:val="auto"/>
                <w:kern w:val="0"/>
                <w:sz w:val="22"/>
                <w:szCs w:val="22"/>
                <w:lang w:val="zh-CN" w:eastAsia="zh-CN" w:bidi="ar-SA"/>
              </w:rPr>
              <w:t>环保类相关专业（环境科学、生态环境规划与管理、环境保护、环境工程、</w:t>
            </w:r>
            <w:r>
              <w:rPr>
                <w:rFonts w:hint="eastAsia" w:ascii="宋体" w:hAnsi="宋体" w:eastAsia="宋体" w:cs="宋体"/>
                <w:b w:val="0"/>
                <w:bCs w:val="0"/>
                <w:color w:val="auto"/>
                <w:kern w:val="0"/>
                <w:sz w:val="22"/>
                <w:szCs w:val="22"/>
                <w:lang w:val="en-US" w:eastAsia="zh-CN" w:bidi="ar-SA"/>
              </w:rPr>
              <w:t>生态学、</w:t>
            </w:r>
            <w:r>
              <w:rPr>
                <w:rFonts w:hint="eastAsia" w:ascii="宋体" w:hAnsi="宋体" w:eastAsia="宋体" w:cs="宋体"/>
                <w:b w:val="0"/>
                <w:bCs w:val="0"/>
                <w:color w:val="auto"/>
                <w:kern w:val="0"/>
                <w:sz w:val="22"/>
                <w:szCs w:val="22"/>
                <w:lang w:val="zh-CN" w:eastAsia="zh-CN" w:bidi="ar-SA"/>
              </w:rPr>
              <w:t>生态环境工程与咨询、环境评估与管理；</w:t>
            </w:r>
            <w:r>
              <w:rPr>
                <w:rFonts w:hint="eastAsia" w:ascii="宋体" w:hAnsi="宋体" w:eastAsia="宋体" w:cs="宋体"/>
                <w:b w:val="0"/>
                <w:bCs w:val="0"/>
                <w:color w:val="auto"/>
                <w:kern w:val="0"/>
                <w:sz w:val="22"/>
                <w:szCs w:val="22"/>
                <w:lang w:val="en-US" w:eastAsia="zh-CN" w:bidi="ar-SA"/>
              </w:rPr>
              <w:t>下同</w:t>
            </w: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副高级及以上职称的，每人得2分；具有</w:t>
            </w:r>
            <w:r>
              <w:rPr>
                <w:rFonts w:hint="eastAsia" w:ascii="宋体" w:hAnsi="宋体" w:eastAsia="宋体" w:cs="宋体"/>
                <w:b w:val="0"/>
                <w:bCs w:val="0"/>
                <w:color w:val="auto"/>
                <w:kern w:val="0"/>
                <w:sz w:val="22"/>
                <w:szCs w:val="22"/>
                <w:lang w:val="zh-CN" w:eastAsia="zh-CN" w:bidi="ar-SA"/>
              </w:rPr>
              <w:t>环保类相关专业</w:t>
            </w:r>
            <w:r>
              <w:rPr>
                <w:rFonts w:hint="eastAsia" w:ascii="宋体" w:hAnsi="宋体" w:eastAsia="宋体" w:cs="宋体"/>
                <w:b w:val="0"/>
                <w:bCs w:val="0"/>
                <w:color w:val="auto"/>
                <w:kern w:val="0"/>
                <w:sz w:val="22"/>
                <w:szCs w:val="22"/>
                <w:lang w:val="en-US" w:eastAsia="zh-CN" w:bidi="ar-SA"/>
              </w:rPr>
              <w:t>中级职称的，每人得1分。本项最高得12分。（本项每人最多只计一个证书，就高原则）</w:t>
            </w:r>
          </w:p>
          <w:p w14:paraId="21E194F4">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en-US" w:eastAsia="zh-CN" w:bidi="ar-SA"/>
              </w:rPr>
              <w:t>注：</w:t>
            </w:r>
            <w:r>
              <w:rPr>
                <w:rFonts w:hint="eastAsia" w:ascii="宋体" w:hAnsi="宋体" w:eastAsia="宋体" w:cs="宋体"/>
                <w:b w:val="0"/>
                <w:bCs w:val="0"/>
                <w:color w:val="auto"/>
                <w:kern w:val="0"/>
                <w:sz w:val="22"/>
                <w:szCs w:val="22"/>
                <w:lang w:val="zh-CN" w:eastAsia="zh-CN" w:bidi="ar-SA"/>
              </w:rPr>
              <w:t>需</w:t>
            </w:r>
            <w:r>
              <w:rPr>
                <w:rFonts w:hint="eastAsia" w:ascii="宋体" w:hAnsi="宋体" w:eastAsia="宋体" w:cs="宋体"/>
                <w:b w:val="0"/>
                <w:bCs w:val="0"/>
                <w:color w:val="auto"/>
                <w:kern w:val="0"/>
                <w:sz w:val="22"/>
                <w:szCs w:val="22"/>
                <w:lang w:val="en-US" w:eastAsia="zh-CN" w:bidi="ar-SA"/>
              </w:rPr>
              <w:t>提供人员相关证书</w:t>
            </w:r>
            <w:r>
              <w:rPr>
                <w:rFonts w:hint="eastAsia" w:ascii="宋体" w:hAnsi="宋体" w:eastAsia="宋体" w:cs="宋体"/>
                <w:b w:val="0"/>
                <w:bCs w:val="0"/>
                <w:color w:val="auto"/>
                <w:kern w:val="0"/>
                <w:sz w:val="22"/>
                <w:szCs w:val="22"/>
                <w:lang w:val="zh-CN" w:eastAsia="zh-CN" w:bidi="ar-SA"/>
              </w:rPr>
              <w:t>及人社部门</w:t>
            </w:r>
            <w:r>
              <w:rPr>
                <w:rFonts w:hint="eastAsia" w:ascii="宋体" w:hAnsi="宋体" w:eastAsia="宋体" w:cs="宋体"/>
                <w:b w:val="0"/>
                <w:bCs w:val="0"/>
                <w:color w:val="auto"/>
                <w:kern w:val="0"/>
                <w:sz w:val="22"/>
                <w:szCs w:val="22"/>
                <w:lang w:val="en-US" w:eastAsia="zh-CN" w:bidi="ar-SA"/>
              </w:rPr>
              <w:t>投标截止前</w:t>
            </w:r>
            <w:r>
              <w:rPr>
                <w:rFonts w:hint="eastAsia" w:ascii="宋体" w:hAnsi="宋体" w:eastAsia="宋体" w:cs="宋体"/>
                <w:b w:val="0"/>
                <w:bCs w:val="0"/>
                <w:color w:val="auto"/>
                <w:kern w:val="0"/>
                <w:sz w:val="22"/>
                <w:szCs w:val="22"/>
                <w:lang w:val="zh-CN" w:eastAsia="zh-CN" w:bidi="ar-SA"/>
              </w:rPr>
              <w:t>近</w:t>
            </w:r>
            <w:r>
              <w:rPr>
                <w:rFonts w:hint="eastAsia" w:ascii="宋体" w:hAnsi="宋体" w:eastAsia="宋体" w:cs="宋体"/>
                <w:b w:val="0"/>
                <w:bCs w:val="0"/>
                <w:color w:val="auto"/>
                <w:kern w:val="0"/>
                <w:sz w:val="22"/>
                <w:szCs w:val="22"/>
                <w:lang w:val="en-US" w:eastAsia="zh-CN" w:bidi="ar-SA"/>
              </w:rPr>
              <w:t>2</w:t>
            </w:r>
            <w:r>
              <w:rPr>
                <w:rFonts w:hint="eastAsia" w:ascii="宋体" w:hAnsi="宋体" w:eastAsia="宋体" w:cs="宋体"/>
                <w:b w:val="0"/>
                <w:bCs w:val="0"/>
                <w:color w:val="auto"/>
                <w:kern w:val="0"/>
                <w:sz w:val="22"/>
                <w:szCs w:val="22"/>
                <w:lang w:val="zh-CN" w:eastAsia="zh-CN" w:bidi="ar-SA"/>
              </w:rPr>
              <w:t>个月内</w:t>
            </w:r>
            <w:r>
              <w:rPr>
                <w:rFonts w:hint="eastAsia" w:ascii="宋体" w:hAnsi="宋体" w:eastAsia="宋体" w:cs="宋体"/>
                <w:b w:val="0"/>
                <w:bCs w:val="0"/>
                <w:color w:val="auto"/>
                <w:kern w:val="0"/>
                <w:sz w:val="22"/>
                <w:szCs w:val="22"/>
                <w:lang w:val="en-US" w:eastAsia="zh-CN" w:bidi="ar-SA"/>
              </w:rPr>
              <w:t>出具的</w:t>
            </w:r>
            <w:r>
              <w:rPr>
                <w:rFonts w:hint="eastAsia" w:ascii="宋体" w:hAnsi="宋体" w:eastAsia="宋体" w:cs="宋体"/>
                <w:b w:val="0"/>
                <w:bCs w:val="0"/>
                <w:color w:val="auto"/>
                <w:kern w:val="0"/>
                <w:sz w:val="22"/>
                <w:szCs w:val="22"/>
                <w:lang w:val="zh-CN" w:eastAsia="zh-CN" w:bidi="ar-SA"/>
              </w:rPr>
              <w:t>在投标单位的社保证明，</w:t>
            </w:r>
            <w:r>
              <w:rPr>
                <w:rFonts w:hint="eastAsia" w:ascii="宋体" w:hAnsi="宋体" w:eastAsia="宋体" w:cs="宋体"/>
                <w:b w:val="0"/>
                <w:bCs w:val="0"/>
                <w:color w:val="auto"/>
                <w:kern w:val="0"/>
                <w:sz w:val="22"/>
                <w:szCs w:val="22"/>
                <w:lang w:val="en-US" w:eastAsia="zh-CN" w:bidi="ar-SA"/>
              </w:rPr>
              <w:t>未提供或不符合要求的不得分</w:t>
            </w:r>
            <w:r>
              <w:rPr>
                <w:rFonts w:hint="eastAsia" w:ascii="宋体" w:hAnsi="宋体" w:eastAsia="宋体" w:cs="宋体"/>
                <w:b w:val="0"/>
                <w:bCs w:val="0"/>
                <w:color w:val="auto"/>
                <w:kern w:val="0"/>
                <w:sz w:val="22"/>
                <w:szCs w:val="22"/>
                <w:lang w:val="zh-CN" w:eastAsia="zh-CN" w:bidi="ar-SA"/>
              </w:rPr>
              <w:t>。</w:t>
            </w:r>
          </w:p>
        </w:tc>
        <w:tc>
          <w:tcPr>
            <w:tcW w:w="1095" w:type="dxa"/>
            <w:noWrap w:val="0"/>
            <w:vAlign w:val="center"/>
          </w:tcPr>
          <w:p w14:paraId="7241B15D">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12分</w:t>
            </w:r>
          </w:p>
        </w:tc>
      </w:tr>
      <w:tr w14:paraId="63C4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705" w:type="dxa"/>
            <w:vMerge w:val="restart"/>
            <w:noWrap w:val="0"/>
            <w:vAlign w:val="center"/>
          </w:tcPr>
          <w:p w14:paraId="6F77D775">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w:t>
            </w:r>
          </w:p>
        </w:tc>
        <w:tc>
          <w:tcPr>
            <w:tcW w:w="1363" w:type="dxa"/>
            <w:vMerge w:val="restart"/>
            <w:noWrap w:val="0"/>
            <w:vAlign w:val="center"/>
          </w:tcPr>
          <w:p w14:paraId="13EF5B4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服务保障能力</w:t>
            </w:r>
          </w:p>
        </w:tc>
        <w:tc>
          <w:tcPr>
            <w:tcW w:w="6948" w:type="dxa"/>
            <w:noWrap w:val="0"/>
            <w:vAlign w:val="center"/>
          </w:tcPr>
          <w:p w14:paraId="25D4AEC6">
            <w:pPr>
              <w:keepNext w:val="0"/>
              <w:keepLines w:val="0"/>
              <w:pageBreakBefore w:val="0"/>
              <w:numPr>
                <w:ilvl w:val="0"/>
                <w:numId w:val="0"/>
              </w:numPr>
              <w:kinsoku/>
              <w:wordWrap/>
              <w:overflowPunct/>
              <w:topLinePunct w:val="0"/>
              <w:autoSpaceDE/>
              <w:autoSpaceDN/>
              <w:bidi w:val="0"/>
              <w:adjustRightInd/>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1、服务保障硬件能力：</w:t>
            </w:r>
          </w:p>
          <w:p w14:paraId="394CB0F5">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根据服务内容要求，为确保宁静小区评价噪声监测数据来源的准确性和可靠性。</w:t>
            </w:r>
            <w:r>
              <w:rPr>
                <w:rFonts w:hint="eastAsia" w:ascii="宋体" w:hAnsi="宋体" w:eastAsia="宋体" w:cs="宋体"/>
                <w:b w:val="0"/>
                <w:bCs w:val="0"/>
                <w:color w:val="auto"/>
                <w:kern w:val="0"/>
                <w:sz w:val="22"/>
                <w:szCs w:val="22"/>
                <w:lang w:val="en-US" w:eastAsia="en-US" w:bidi="ar-SA"/>
              </w:rPr>
              <w:t>供应商</w:t>
            </w:r>
            <w:r>
              <w:rPr>
                <w:rFonts w:hint="eastAsia" w:ascii="宋体" w:hAnsi="宋体" w:eastAsia="宋体" w:cs="宋体"/>
                <w:b w:val="0"/>
                <w:bCs w:val="0"/>
                <w:color w:val="auto"/>
                <w:kern w:val="0"/>
                <w:sz w:val="22"/>
                <w:szCs w:val="22"/>
                <w:lang w:val="en-US" w:eastAsia="zh-CN" w:bidi="ar-SA"/>
              </w:rPr>
              <w:t>应该具备噪声污染检测能力得6分。</w:t>
            </w:r>
          </w:p>
          <w:p w14:paraId="13EE40E5">
            <w:pPr>
              <w:keepNext w:val="0"/>
              <w:keepLines w:val="0"/>
              <w:pageBreakBefore w:val="0"/>
              <w:numPr>
                <w:ilvl w:val="0"/>
                <w:numId w:val="0"/>
              </w:numPr>
              <w:kinsoku/>
              <w:wordWrap/>
              <w:overflowPunct/>
              <w:topLinePunct w:val="0"/>
              <w:autoSpaceDE/>
              <w:autoSpaceDN/>
              <w:bidi w:val="0"/>
              <w:adjustRightInd/>
              <w:spacing w:line="320" w:lineRule="exact"/>
              <w:ind w:left="0" w:leftChars="0"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注：需提供噪声检测CMA资质证书复印件</w:t>
            </w:r>
            <w:r>
              <w:rPr>
                <w:rFonts w:hint="eastAsia" w:ascii="宋体" w:eastAsia="宋体" w:cs="宋体"/>
                <w:b w:val="0"/>
                <w:bCs w:val="0"/>
                <w:color w:val="auto"/>
                <w:kern w:val="0"/>
                <w:sz w:val="22"/>
                <w:szCs w:val="22"/>
                <w:lang w:val="en-US" w:eastAsia="zh-CN" w:bidi="ar-SA"/>
              </w:rPr>
              <w:t>并加盖公章</w:t>
            </w:r>
            <w:r>
              <w:rPr>
                <w:rFonts w:hint="eastAsia" w:ascii="宋体" w:hAnsi="宋体" w:eastAsia="宋体" w:cs="宋体"/>
                <w:b w:val="0"/>
                <w:bCs w:val="0"/>
                <w:color w:val="auto"/>
                <w:kern w:val="0"/>
                <w:sz w:val="22"/>
                <w:szCs w:val="22"/>
                <w:lang w:val="en-US" w:eastAsia="zh-CN" w:bidi="ar-SA"/>
              </w:rPr>
              <w:t>，提供供应商自有资质或第三方资质</w:t>
            </w:r>
            <w:r>
              <w:rPr>
                <w:rFonts w:hint="eastAsia" w:ascii="宋体" w:eastAsia="宋体" w:cs="宋体"/>
                <w:b w:val="0"/>
                <w:bCs w:val="0"/>
                <w:color w:val="auto"/>
                <w:kern w:val="0"/>
                <w:sz w:val="22"/>
                <w:szCs w:val="22"/>
                <w:lang w:val="en-US" w:eastAsia="zh-CN" w:bidi="ar-SA"/>
              </w:rPr>
              <w:t>，</w:t>
            </w:r>
            <w:r>
              <w:rPr>
                <w:rFonts w:hint="eastAsia" w:ascii="宋体" w:hAnsi="宋体" w:eastAsia="宋体" w:cs="宋体"/>
                <w:b w:val="0"/>
                <w:bCs w:val="0"/>
                <w:color w:val="auto"/>
                <w:kern w:val="0"/>
                <w:sz w:val="22"/>
                <w:szCs w:val="22"/>
                <w:lang w:val="en-US" w:eastAsia="zh-CN" w:bidi="ar-SA"/>
              </w:rPr>
              <w:t>若为第三方资质，须同时提供资质证书及委托协议</w:t>
            </w:r>
            <w:r>
              <w:rPr>
                <w:rFonts w:hint="eastAsia" w:ascii="宋体" w:eastAsia="宋体" w:cs="宋体"/>
                <w:b w:val="0"/>
                <w:bCs w:val="0"/>
                <w:color w:val="auto"/>
                <w:kern w:val="0"/>
                <w:sz w:val="22"/>
                <w:szCs w:val="22"/>
                <w:lang w:val="en-US" w:eastAsia="zh-CN" w:bidi="ar-SA"/>
              </w:rPr>
              <w:t>复制件并加盖公章。证明材料</w:t>
            </w:r>
            <w:r>
              <w:rPr>
                <w:rFonts w:hint="eastAsia" w:ascii="宋体" w:hAnsi="宋体" w:eastAsia="宋体" w:cs="宋体"/>
                <w:b w:val="0"/>
                <w:bCs w:val="0"/>
                <w:color w:val="auto"/>
                <w:kern w:val="0"/>
                <w:sz w:val="22"/>
                <w:szCs w:val="22"/>
                <w:lang w:val="en-US" w:eastAsia="zh-CN" w:bidi="ar-SA"/>
              </w:rPr>
              <w:t>未提供或不符合要求的不得分</w:t>
            </w:r>
            <w:r>
              <w:rPr>
                <w:rFonts w:hint="eastAsia" w:ascii="宋体" w:hAnsi="宋体" w:eastAsia="宋体" w:cs="宋体"/>
                <w:b w:val="0"/>
                <w:bCs w:val="0"/>
                <w:color w:val="auto"/>
                <w:kern w:val="0"/>
                <w:sz w:val="22"/>
                <w:szCs w:val="22"/>
                <w:lang w:val="zh-CN" w:eastAsia="zh-CN" w:bidi="ar-SA"/>
              </w:rPr>
              <w:t>。</w:t>
            </w:r>
          </w:p>
        </w:tc>
        <w:tc>
          <w:tcPr>
            <w:tcW w:w="1095" w:type="dxa"/>
            <w:noWrap w:val="0"/>
            <w:vAlign w:val="center"/>
          </w:tcPr>
          <w:p w14:paraId="4ABCC8EE">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6分</w:t>
            </w:r>
          </w:p>
        </w:tc>
      </w:tr>
      <w:tr w14:paraId="6A96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705" w:type="dxa"/>
            <w:vMerge w:val="continue"/>
            <w:noWrap w:val="0"/>
            <w:vAlign w:val="center"/>
          </w:tcPr>
          <w:p w14:paraId="39A4910E">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p>
        </w:tc>
        <w:tc>
          <w:tcPr>
            <w:tcW w:w="1363" w:type="dxa"/>
            <w:vMerge w:val="continue"/>
            <w:noWrap w:val="0"/>
            <w:vAlign w:val="center"/>
          </w:tcPr>
          <w:p w14:paraId="19D119C4">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2"/>
                <w:szCs w:val="22"/>
              </w:rPr>
            </w:pPr>
          </w:p>
        </w:tc>
        <w:tc>
          <w:tcPr>
            <w:tcW w:w="6948" w:type="dxa"/>
            <w:noWrap w:val="0"/>
            <w:vAlign w:val="center"/>
          </w:tcPr>
          <w:p w14:paraId="649B095D">
            <w:pPr>
              <w:keepNext w:val="0"/>
              <w:keepLines w:val="0"/>
              <w:pageBreakBefore w:val="0"/>
              <w:numPr>
                <w:ilvl w:val="0"/>
                <w:numId w:val="0"/>
              </w:numPr>
              <w:kinsoku/>
              <w:wordWrap/>
              <w:overflowPunct/>
              <w:topLinePunct w:val="0"/>
              <w:autoSpaceDE/>
              <w:autoSpaceDN/>
              <w:bidi w:val="0"/>
              <w:adjustRightInd/>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2、服务保障方案及后续技术支持服务：</w:t>
            </w:r>
          </w:p>
          <w:p w14:paraId="1BCC31A2">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根据供应商能否为本项目提供完善的服务保障方案和后续技术支持服务进行综合评价打分。</w:t>
            </w:r>
          </w:p>
          <w:p w14:paraId="703899CB">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(1)</w:t>
            </w:r>
            <w:r>
              <w:rPr>
                <w:rFonts w:hint="eastAsia" w:ascii="宋体" w:hAnsi="宋体" w:eastAsia="宋体" w:cs="宋体"/>
                <w:b w:val="0"/>
                <w:bCs w:val="0"/>
                <w:color w:val="auto"/>
                <w:kern w:val="0"/>
                <w:sz w:val="22"/>
                <w:szCs w:val="22"/>
                <w:lang w:val="en-US" w:eastAsia="zh-CN" w:bidi="ar-SA"/>
              </w:rPr>
              <w:t>供应商能为本项目提供完善的项目全过程服务保障方案及后续技术支持服务，能保障项目良好运行的得4-5分；</w:t>
            </w:r>
          </w:p>
          <w:p w14:paraId="7EAAE8F1">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(2)</w:t>
            </w:r>
            <w:r>
              <w:rPr>
                <w:rFonts w:hint="eastAsia" w:ascii="宋体" w:hAnsi="宋体" w:eastAsia="宋体" w:cs="宋体"/>
                <w:b w:val="0"/>
                <w:bCs w:val="0"/>
                <w:color w:val="auto"/>
                <w:kern w:val="0"/>
                <w:sz w:val="22"/>
                <w:szCs w:val="22"/>
                <w:lang w:val="en-US" w:eastAsia="zh-CN" w:bidi="ar-SA"/>
              </w:rPr>
              <w:t>供应商能为本项目提供较完善的服务保障方案及后续技术支持服务，能基本保障项目正常运行的得2-3分；</w:t>
            </w:r>
          </w:p>
          <w:p w14:paraId="7EE28436">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(3)</w:t>
            </w:r>
            <w:r>
              <w:rPr>
                <w:rFonts w:hint="eastAsia" w:ascii="宋体" w:hAnsi="宋体" w:eastAsia="宋体" w:cs="宋体"/>
                <w:b w:val="0"/>
                <w:bCs w:val="0"/>
                <w:color w:val="auto"/>
                <w:kern w:val="0"/>
                <w:sz w:val="22"/>
                <w:szCs w:val="22"/>
                <w:lang w:val="en-US" w:eastAsia="zh-CN" w:bidi="ar-SA"/>
              </w:rPr>
              <w:t>供应商提供的服务保障方案及后续技术支持服务简单不全，存在明显缺陷遗漏的得0-1分；</w:t>
            </w:r>
          </w:p>
          <w:p w14:paraId="590952FF">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w:t>
            </w:r>
            <w:r>
              <w:rPr>
                <w:rFonts w:hint="eastAsia" w:ascii="宋体" w:eastAsia="宋体" w:cs="宋体"/>
                <w:b w:val="0"/>
                <w:bCs w:val="0"/>
                <w:color w:val="auto"/>
                <w:kern w:val="0"/>
                <w:sz w:val="22"/>
                <w:szCs w:val="22"/>
                <w:lang w:val="en-US" w:eastAsia="zh-CN" w:bidi="ar-SA"/>
              </w:rPr>
              <w:t>4</w:t>
            </w:r>
            <w:r>
              <w:rPr>
                <w:rFonts w:hint="default" w:ascii="宋体" w:hAnsi="宋体" w:eastAsia="宋体" w:cs="宋体"/>
                <w:b w:val="0"/>
                <w:bCs w:val="0"/>
                <w:color w:val="auto"/>
                <w:kern w:val="0"/>
                <w:sz w:val="22"/>
                <w:szCs w:val="22"/>
                <w:lang w:val="en-US" w:eastAsia="zh-CN" w:bidi="ar-SA"/>
              </w:rPr>
              <w:t>)</w:t>
            </w:r>
            <w:r>
              <w:rPr>
                <w:rFonts w:hint="eastAsia" w:ascii="宋体" w:hAnsi="宋体" w:eastAsia="宋体" w:cs="宋体"/>
                <w:b w:val="0"/>
                <w:bCs w:val="0"/>
                <w:color w:val="auto"/>
                <w:kern w:val="0"/>
                <w:sz w:val="22"/>
                <w:szCs w:val="22"/>
                <w:lang w:val="en-US" w:eastAsia="zh-CN" w:bidi="ar-SA"/>
              </w:rPr>
              <w:t>未提供不得分。</w:t>
            </w:r>
          </w:p>
        </w:tc>
        <w:tc>
          <w:tcPr>
            <w:tcW w:w="1095" w:type="dxa"/>
            <w:noWrap w:val="0"/>
            <w:vAlign w:val="center"/>
          </w:tcPr>
          <w:p w14:paraId="0629A85E">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5分</w:t>
            </w:r>
          </w:p>
        </w:tc>
      </w:tr>
      <w:tr w14:paraId="005F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05" w:type="dxa"/>
            <w:vMerge w:val="continue"/>
            <w:noWrap w:val="0"/>
            <w:vAlign w:val="center"/>
          </w:tcPr>
          <w:p w14:paraId="67F815CB">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p>
        </w:tc>
        <w:tc>
          <w:tcPr>
            <w:tcW w:w="1363" w:type="dxa"/>
            <w:vMerge w:val="continue"/>
            <w:noWrap w:val="0"/>
            <w:vAlign w:val="center"/>
          </w:tcPr>
          <w:p w14:paraId="3C24F180">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2"/>
                <w:szCs w:val="22"/>
              </w:rPr>
            </w:pPr>
          </w:p>
        </w:tc>
        <w:tc>
          <w:tcPr>
            <w:tcW w:w="6948" w:type="dxa"/>
            <w:noWrap w:val="0"/>
            <w:vAlign w:val="center"/>
          </w:tcPr>
          <w:p w14:paraId="730D55D2">
            <w:pPr>
              <w:keepNext w:val="0"/>
              <w:keepLines w:val="0"/>
              <w:pageBreakBefore w:val="0"/>
              <w:numPr>
                <w:ilvl w:val="0"/>
                <w:numId w:val="0"/>
              </w:numPr>
              <w:kinsoku/>
              <w:wordWrap/>
              <w:overflowPunct/>
              <w:topLinePunct w:val="0"/>
              <w:autoSpaceDE/>
              <w:autoSpaceDN/>
              <w:bidi w:val="0"/>
              <w:adjustRightInd/>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3、服务响应能力和后勤保障能力：</w:t>
            </w:r>
          </w:p>
          <w:p w14:paraId="1CDFC874">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根据供应商能否为本项目提供快速便捷的服务响应能力和充分的后勤保障能力，综合评价打分。</w:t>
            </w:r>
          </w:p>
          <w:p w14:paraId="665E0125">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(1)</w:t>
            </w:r>
            <w:r>
              <w:rPr>
                <w:rFonts w:hint="eastAsia" w:ascii="宋体" w:hAnsi="宋体" w:eastAsia="宋体" w:cs="宋体"/>
                <w:b w:val="0"/>
                <w:bCs w:val="0"/>
                <w:color w:val="auto"/>
                <w:kern w:val="0"/>
                <w:sz w:val="22"/>
                <w:szCs w:val="22"/>
                <w:lang w:val="en-US" w:eastAsia="zh-CN" w:bidi="ar-SA"/>
              </w:rPr>
              <w:t>供应商能提供快速便捷、及时有效的服务响应能力和充分的后勤保障能力的得4-5分；</w:t>
            </w:r>
          </w:p>
          <w:p w14:paraId="21E96300">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(2)</w:t>
            </w:r>
            <w:r>
              <w:rPr>
                <w:rFonts w:hint="eastAsia" w:ascii="宋体" w:hAnsi="宋体" w:eastAsia="宋体" w:cs="宋体"/>
                <w:b w:val="0"/>
                <w:bCs w:val="0"/>
                <w:color w:val="auto"/>
                <w:kern w:val="0"/>
                <w:sz w:val="22"/>
                <w:szCs w:val="22"/>
                <w:lang w:val="en-US" w:eastAsia="zh-CN" w:bidi="ar-SA"/>
              </w:rPr>
              <w:t>供应商能提供比较快速有效的服务响应能力和较充分的后勤保障能力的得2-3分；</w:t>
            </w:r>
          </w:p>
          <w:p w14:paraId="1A524CFB">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(3)</w:t>
            </w:r>
            <w:r>
              <w:rPr>
                <w:rFonts w:hint="eastAsia" w:ascii="宋体" w:hAnsi="宋体" w:eastAsia="宋体" w:cs="宋体"/>
                <w:b w:val="0"/>
                <w:bCs w:val="0"/>
                <w:color w:val="auto"/>
                <w:kern w:val="0"/>
                <w:sz w:val="22"/>
                <w:szCs w:val="22"/>
                <w:lang w:val="en-US" w:eastAsia="zh-CN" w:bidi="ar-SA"/>
              </w:rPr>
              <w:t>供应商提供的服务响应能力和后勤保障能力较差的得0-1分；</w:t>
            </w:r>
          </w:p>
          <w:p w14:paraId="1B3985CD">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default" w:ascii="宋体" w:hAnsi="宋体" w:eastAsia="宋体" w:cs="宋体"/>
                <w:b w:val="0"/>
                <w:bCs w:val="0"/>
                <w:color w:val="auto"/>
                <w:kern w:val="0"/>
                <w:sz w:val="22"/>
                <w:szCs w:val="22"/>
                <w:lang w:val="en-US" w:eastAsia="zh-CN" w:bidi="ar-SA"/>
              </w:rPr>
              <w:t>(</w:t>
            </w:r>
            <w:r>
              <w:rPr>
                <w:rFonts w:hint="eastAsia" w:ascii="宋体" w:eastAsia="宋体" w:cs="宋体"/>
                <w:b w:val="0"/>
                <w:bCs w:val="0"/>
                <w:color w:val="auto"/>
                <w:kern w:val="0"/>
                <w:sz w:val="22"/>
                <w:szCs w:val="22"/>
                <w:lang w:val="en-US" w:eastAsia="zh-CN" w:bidi="ar-SA"/>
              </w:rPr>
              <w:t>4</w:t>
            </w:r>
            <w:r>
              <w:rPr>
                <w:rFonts w:hint="default" w:ascii="宋体" w:hAnsi="宋体" w:eastAsia="宋体" w:cs="宋体"/>
                <w:b w:val="0"/>
                <w:bCs w:val="0"/>
                <w:color w:val="auto"/>
                <w:kern w:val="0"/>
                <w:sz w:val="22"/>
                <w:szCs w:val="22"/>
                <w:lang w:val="en-US" w:eastAsia="zh-CN" w:bidi="ar-SA"/>
              </w:rPr>
              <w:t>)</w:t>
            </w:r>
            <w:r>
              <w:rPr>
                <w:rFonts w:hint="eastAsia" w:ascii="宋体" w:hAnsi="宋体" w:eastAsia="宋体" w:cs="宋体"/>
                <w:b w:val="0"/>
                <w:bCs w:val="0"/>
                <w:color w:val="auto"/>
                <w:kern w:val="0"/>
                <w:sz w:val="22"/>
                <w:szCs w:val="22"/>
                <w:lang w:val="en-US" w:eastAsia="zh-CN" w:bidi="ar-SA"/>
              </w:rPr>
              <w:t>未提供不得分。</w:t>
            </w:r>
          </w:p>
        </w:tc>
        <w:tc>
          <w:tcPr>
            <w:tcW w:w="1095" w:type="dxa"/>
            <w:noWrap w:val="0"/>
            <w:vAlign w:val="center"/>
          </w:tcPr>
          <w:p w14:paraId="2E8CEFB1">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5分</w:t>
            </w:r>
          </w:p>
        </w:tc>
      </w:tr>
      <w:tr w14:paraId="744F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111" w:type="dxa"/>
            <w:gridSpan w:val="4"/>
            <w:noWrap w:val="0"/>
            <w:vAlign w:val="center"/>
          </w:tcPr>
          <w:p w14:paraId="0216201E">
            <w:pPr>
              <w:keepNext w:val="0"/>
              <w:keepLines w:val="0"/>
              <w:pageBreakBefore w:val="0"/>
              <w:numPr>
                <w:ilvl w:val="0"/>
                <w:numId w:val="0"/>
              </w:numPr>
              <w:kinsoku/>
              <w:wordWrap/>
              <w:overflowPunct/>
              <w:topLinePunct w:val="0"/>
              <w:autoSpaceDE/>
              <w:autoSpaceDN/>
              <w:bidi w:val="0"/>
              <w:adjustRightInd/>
              <w:spacing w:line="320" w:lineRule="exact"/>
              <w:jc w:val="both"/>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bCs/>
                <w:color w:val="auto"/>
                <w:kern w:val="0"/>
                <w:sz w:val="22"/>
                <w:szCs w:val="22"/>
                <w:lang w:val="en-US" w:eastAsia="zh-CN" w:bidi="ar-SA"/>
              </w:rPr>
              <w:t>商务资信部分</w:t>
            </w:r>
          </w:p>
        </w:tc>
      </w:tr>
      <w:tr w14:paraId="3489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05" w:type="dxa"/>
            <w:noWrap w:val="0"/>
            <w:vAlign w:val="center"/>
          </w:tcPr>
          <w:p w14:paraId="5AB00229">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w:t>
            </w:r>
          </w:p>
        </w:tc>
        <w:tc>
          <w:tcPr>
            <w:tcW w:w="1363" w:type="dxa"/>
            <w:noWrap w:val="0"/>
            <w:vAlign w:val="center"/>
          </w:tcPr>
          <w:p w14:paraId="0190105D">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w:t>
            </w:r>
            <w:r>
              <w:rPr>
                <w:rFonts w:hint="eastAsia" w:ascii="宋体" w:hAnsi="宋体" w:eastAsia="宋体" w:cs="宋体"/>
                <w:b w:val="0"/>
                <w:bCs w:val="0"/>
                <w:color w:val="auto"/>
                <w:sz w:val="22"/>
                <w:szCs w:val="22"/>
                <w:lang w:val="zh-CN"/>
              </w:rPr>
              <w:t>供应商</w:t>
            </w:r>
            <w:r>
              <w:rPr>
                <w:rFonts w:hint="eastAsia" w:ascii="宋体" w:hAnsi="宋体" w:eastAsia="宋体" w:cs="宋体"/>
                <w:b w:val="0"/>
                <w:bCs w:val="0"/>
                <w:color w:val="auto"/>
                <w:sz w:val="22"/>
                <w:szCs w:val="22"/>
              </w:rPr>
              <w:t>相关认证</w:t>
            </w:r>
          </w:p>
        </w:tc>
        <w:tc>
          <w:tcPr>
            <w:tcW w:w="6948" w:type="dxa"/>
            <w:noWrap w:val="0"/>
            <w:vAlign w:val="center"/>
          </w:tcPr>
          <w:p w14:paraId="6C991AE8">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投标供应商具有有效的质量管理体系认证证书、环境管理体系认证证书、职业健康安全管理体系认证证书，每提供1个证书得1分，最高3分。</w:t>
            </w:r>
          </w:p>
          <w:p w14:paraId="47005BF9">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（需提供证书扫描件及全国认证认可信息公共服务平台网页证书查询截图，未提供或不符合要求的不得分。）</w:t>
            </w:r>
          </w:p>
        </w:tc>
        <w:tc>
          <w:tcPr>
            <w:tcW w:w="1095" w:type="dxa"/>
            <w:noWrap w:val="0"/>
            <w:vAlign w:val="center"/>
          </w:tcPr>
          <w:p w14:paraId="463A4F06">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分</w:t>
            </w:r>
          </w:p>
        </w:tc>
      </w:tr>
      <w:tr w14:paraId="35DE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705" w:type="dxa"/>
            <w:noWrap w:val="0"/>
            <w:vAlign w:val="center"/>
          </w:tcPr>
          <w:p w14:paraId="2263D3D3">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5</w:t>
            </w:r>
          </w:p>
        </w:tc>
        <w:tc>
          <w:tcPr>
            <w:tcW w:w="1363" w:type="dxa"/>
            <w:noWrap w:val="0"/>
            <w:vAlign w:val="center"/>
          </w:tcPr>
          <w:p w14:paraId="3FCCBD7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投标供应商业绩情况</w:t>
            </w:r>
          </w:p>
        </w:tc>
        <w:tc>
          <w:tcPr>
            <w:tcW w:w="6948" w:type="dxa"/>
            <w:noWrap w:val="0"/>
            <w:vAlign w:val="center"/>
          </w:tcPr>
          <w:p w14:paraId="272ED940">
            <w:pPr>
              <w:keepNext w:val="0"/>
              <w:keepLines w:val="0"/>
              <w:pageBreakBefore w:val="0"/>
              <w:numPr>
                <w:ilvl w:val="0"/>
                <w:numId w:val="0"/>
              </w:numPr>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2021年1月1日以来（以合同签订时间为准）投标供应商具有</w:t>
            </w:r>
            <w:r>
              <w:rPr>
                <w:rFonts w:hint="eastAsia" w:ascii="宋体" w:eastAsia="宋体" w:cs="宋体"/>
                <w:b w:val="0"/>
                <w:bCs w:val="0"/>
                <w:color w:val="auto"/>
                <w:kern w:val="0"/>
                <w:sz w:val="22"/>
                <w:szCs w:val="22"/>
                <w:lang w:val="en-US" w:eastAsia="zh-CN" w:bidi="ar-SA"/>
              </w:rPr>
              <w:t>创建</w:t>
            </w:r>
            <w:r>
              <w:rPr>
                <w:rFonts w:hint="eastAsia" w:ascii="宋体" w:hAnsi="宋体" w:eastAsia="宋体" w:cs="宋体"/>
                <w:b w:val="0"/>
                <w:bCs w:val="0"/>
                <w:color w:val="auto"/>
                <w:kern w:val="0"/>
                <w:sz w:val="22"/>
                <w:szCs w:val="22"/>
                <w:lang w:val="en-US" w:eastAsia="zh-CN" w:bidi="ar-SA"/>
              </w:rPr>
              <w:t>宁静小区</w:t>
            </w:r>
            <w:r>
              <w:rPr>
                <w:rFonts w:hint="eastAsia" w:ascii="宋体" w:hAnsi="宋体" w:cs="宋体"/>
                <w:b w:val="0"/>
                <w:bCs w:val="0"/>
                <w:color w:val="auto"/>
                <w:kern w:val="0"/>
                <w:sz w:val="22"/>
                <w:szCs w:val="22"/>
                <w:lang w:val="en-US" w:eastAsia="zh-CN" w:bidi="ar-SA"/>
              </w:rPr>
              <w:t>或者</w:t>
            </w:r>
            <w:r>
              <w:rPr>
                <w:rFonts w:hint="eastAsia" w:ascii="宋体" w:hAnsi="宋体" w:eastAsia="宋体" w:cs="宋体"/>
                <w:b w:val="0"/>
                <w:bCs w:val="0"/>
                <w:color w:val="auto"/>
                <w:kern w:val="0"/>
                <w:sz w:val="22"/>
                <w:szCs w:val="22"/>
                <w:lang w:val="en-US" w:eastAsia="zh-CN" w:bidi="ar-SA"/>
              </w:rPr>
              <w:t>声环境监测</w:t>
            </w:r>
            <w:r>
              <w:rPr>
                <w:rFonts w:hint="eastAsia" w:ascii="宋体" w:eastAsia="宋体" w:cs="宋体"/>
                <w:b w:val="0"/>
                <w:bCs w:val="0"/>
                <w:color w:val="auto"/>
                <w:kern w:val="0"/>
                <w:sz w:val="22"/>
                <w:szCs w:val="22"/>
                <w:lang w:val="en-US" w:eastAsia="zh-CN" w:bidi="ar-SA"/>
              </w:rPr>
              <w:t>（</w:t>
            </w:r>
            <w:r>
              <w:rPr>
                <w:rFonts w:hint="eastAsia" w:ascii="宋体" w:hAnsi="宋体" w:cs="宋体"/>
                <w:b w:val="0"/>
                <w:bCs w:val="0"/>
                <w:color w:val="auto"/>
                <w:kern w:val="0"/>
                <w:sz w:val="22"/>
                <w:szCs w:val="22"/>
                <w:lang w:val="en-US" w:eastAsia="zh-CN" w:bidi="ar-SA"/>
              </w:rPr>
              <w:t>或</w:t>
            </w:r>
            <w:r>
              <w:rPr>
                <w:rFonts w:hint="eastAsia" w:ascii="宋体" w:hAnsi="宋体" w:eastAsia="宋体" w:cs="宋体"/>
                <w:b w:val="0"/>
                <w:bCs w:val="0"/>
                <w:color w:val="auto"/>
                <w:kern w:val="0"/>
                <w:sz w:val="22"/>
                <w:szCs w:val="22"/>
                <w:lang w:val="en-US" w:eastAsia="zh-CN" w:bidi="ar-SA"/>
              </w:rPr>
              <w:t>治理</w:t>
            </w:r>
            <w:r>
              <w:rPr>
                <w:rFonts w:hint="eastAsia" w:ascii="宋体" w:eastAsia="宋体" w:cs="宋体"/>
                <w:b w:val="0"/>
                <w:bCs w:val="0"/>
                <w:color w:val="auto"/>
                <w:kern w:val="0"/>
                <w:sz w:val="22"/>
                <w:szCs w:val="22"/>
                <w:lang w:val="en-US" w:eastAsia="zh-CN" w:bidi="ar-SA"/>
              </w:rPr>
              <w:t>）等</w:t>
            </w:r>
            <w:r>
              <w:rPr>
                <w:rFonts w:hint="eastAsia" w:ascii="宋体" w:hAnsi="宋体" w:eastAsia="宋体" w:cs="宋体"/>
                <w:b w:val="0"/>
                <w:bCs w:val="0"/>
                <w:color w:val="auto"/>
                <w:kern w:val="0"/>
                <w:sz w:val="22"/>
                <w:szCs w:val="22"/>
                <w:lang w:val="en-US" w:eastAsia="zh-CN" w:bidi="ar-SA"/>
              </w:rPr>
              <w:t>相关业绩，每提供一个得1分，最高得1分。</w:t>
            </w:r>
          </w:p>
          <w:p w14:paraId="55D1FD25">
            <w:pPr>
              <w:keepNext w:val="0"/>
              <w:keepLines w:val="0"/>
              <w:pageBreakBefore w:val="0"/>
              <w:numPr>
                <w:ilvl w:val="0"/>
                <w:numId w:val="0"/>
              </w:numPr>
              <w:kinsoku/>
              <w:wordWrap/>
              <w:overflowPunct/>
              <w:topLinePunct w:val="0"/>
              <w:autoSpaceDE/>
              <w:autoSpaceDN/>
              <w:bidi w:val="0"/>
              <w:adjustRightInd/>
              <w:spacing w:line="320" w:lineRule="exact"/>
              <w:ind w:left="0" w:leftChars="0"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注：</w:t>
            </w:r>
            <w:r>
              <w:rPr>
                <w:rFonts w:hint="eastAsia" w:ascii="宋体" w:hAnsi="宋体" w:eastAsia="宋体" w:cs="宋体"/>
                <w:b w:val="0"/>
                <w:bCs w:val="0"/>
                <w:color w:val="auto"/>
                <w:kern w:val="0"/>
                <w:sz w:val="22"/>
                <w:szCs w:val="22"/>
                <w:lang w:val="zh-CN" w:eastAsia="zh-CN" w:bidi="ar-SA"/>
              </w:rPr>
              <w:t>须提供合同扫描件并加盖公章，</w:t>
            </w:r>
            <w:r>
              <w:rPr>
                <w:rFonts w:hint="eastAsia" w:ascii="宋体" w:hAnsi="宋体" w:eastAsia="宋体" w:cs="宋体"/>
                <w:b w:val="0"/>
                <w:bCs w:val="0"/>
                <w:color w:val="auto"/>
                <w:kern w:val="0"/>
                <w:sz w:val="22"/>
                <w:szCs w:val="22"/>
                <w:lang w:val="en-US" w:eastAsia="zh-CN" w:bidi="ar-SA"/>
              </w:rPr>
              <w:t>如合同不能反映相关内容的，须同时提供业主出具的加盖业主公章的相关证明材料扫描件</w:t>
            </w: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未提供或不符合要求的不得分</w:t>
            </w:r>
            <w:r>
              <w:rPr>
                <w:rFonts w:hint="eastAsia" w:ascii="宋体" w:hAnsi="宋体" w:eastAsia="宋体" w:cs="宋体"/>
                <w:b w:val="0"/>
                <w:bCs w:val="0"/>
                <w:color w:val="auto"/>
                <w:kern w:val="0"/>
                <w:sz w:val="22"/>
                <w:szCs w:val="22"/>
                <w:lang w:val="zh-CN" w:eastAsia="zh-CN" w:bidi="ar-SA"/>
              </w:rPr>
              <w:t>。</w:t>
            </w:r>
          </w:p>
        </w:tc>
        <w:tc>
          <w:tcPr>
            <w:tcW w:w="1095" w:type="dxa"/>
            <w:noWrap w:val="0"/>
            <w:vAlign w:val="center"/>
          </w:tcPr>
          <w:p w14:paraId="501D488B">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分</w:t>
            </w:r>
          </w:p>
        </w:tc>
      </w:tr>
    </w:tbl>
    <w:p w14:paraId="442076CF">
      <w:pPr>
        <w:pageBreakBefore w:val="0"/>
        <w:widowControl w:val="0"/>
        <w:kinsoku/>
        <w:overflowPunct/>
        <w:bidi w:val="0"/>
        <w:spacing w:line="324" w:lineRule="auto"/>
        <w:rPr>
          <w:rFonts w:hint="eastAsia" w:ascii="宋体" w:eastAsia="宋体"/>
          <w:b w:val="0"/>
          <w:color w:val="auto"/>
          <w:sz w:val="15"/>
          <w:szCs w:val="15"/>
          <w:highlight w:val="none"/>
        </w:rPr>
      </w:pPr>
    </w:p>
    <w:p w14:paraId="232723AA">
      <w:pPr>
        <w:pageBreakBefore w:val="0"/>
        <w:widowControl w:val="0"/>
        <w:kinsoku/>
        <w:overflowPunct/>
        <w:bidi w:val="0"/>
        <w:spacing w:line="324" w:lineRule="auto"/>
        <w:rPr>
          <w:rFonts w:hint="eastAsia" w:ascii="宋体" w:eastAsia="宋体"/>
          <w:b/>
          <w:bCs w:val="0"/>
          <w:color w:val="auto"/>
          <w:sz w:val="22"/>
          <w:szCs w:val="22"/>
          <w:highlight w:val="none"/>
        </w:rPr>
      </w:pPr>
      <w:r>
        <w:rPr>
          <w:rFonts w:hint="eastAsia" w:ascii="宋体" w:eastAsia="宋体"/>
          <w:b/>
          <w:bCs w:val="0"/>
          <w:color w:val="auto"/>
          <w:sz w:val="22"/>
          <w:szCs w:val="22"/>
          <w:highlight w:val="none"/>
        </w:rPr>
        <w:t>三、说明</w:t>
      </w:r>
    </w:p>
    <w:p w14:paraId="7F1281BB">
      <w:pPr>
        <w:pageBreakBefore w:val="0"/>
        <w:widowControl w:val="0"/>
        <w:kinsoku/>
        <w:overflowPunct/>
        <w:bidi w:val="0"/>
        <w:spacing w:line="324" w:lineRule="auto"/>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1、每个供应商最终得分=技术资信部分分值（所有磋商小组成员打分的算术平均值）＋商务报价部分分值。</w:t>
      </w:r>
    </w:p>
    <w:p w14:paraId="1B814D96">
      <w:pPr>
        <w:pageBreakBefore w:val="0"/>
        <w:widowControl w:val="0"/>
        <w:kinsoku/>
        <w:overflowPunct/>
        <w:bidi w:val="0"/>
        <w:spacing w:line="324" w:lineRule="auto"/>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2、磋商小组推荐综合得分第一名的供应商为成交供应商，（如果得分相同，以报价低的优先；报价也相同，以抽签决定，并编写采购报告）。</w:t>
      </w:r>
    </w:p>
    <w:p w14:paraId="6CA65435">
      <w:pPr>
        <w:pageBreakBefore w:val="0"/>
        <w:widowControl w:val="0"/>
        <w:kinsoku/>
        <w:overflowPunct/>
        <w:bidi w:val="0"/>
        <w:spacing w:line="324" w:lineRule="auto"/>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3、所有分值计算保留小数点后二位，小数点后三位四舍五入。</w:t>
      </w:r>
    </w:p>
    <w:p w14:paraId="58765E38">
      <w:pPr>
        <w:pageBreakBefore w:val="0"/>
        <w:widowControl w:val="0"/>
        <w:kinsoku/>
        <w:overflowPunct/>
        <w:bidi w:val="0"/>
        <w:spacing w:line="324" w:lineRule="auto"/>
        <w:ind w:firstLine="442" w:firstLineChars="200"/>
        <w:rPr>
          <w:rFonts w:hint="eastAsia" w:ascii="宋体" w:eastAsia="宋体"/>
          <w:color w:val="auto"/>
          <w:sz w:val="22"/>
          <w:szCs w:val="22"/>
          <w:highlight w:val="none"/>
        </w:rPr>
      </w:pPr>
      <w:r>
        <w:rPr>
          <w:rFonts w:hint="eastAsia" w:ascii="宋体" w:eastAsia="宋体"/>
          <w:color w:val="auto"/>
          <w:sz w:val="22"/>
          <w:szCs w:val="22"/>
          <w:highlight w:val="none"/>
        </w:rPr>
        <w:t>4、最终得分为技术资信分与商务分之和。</w:t>
      </w:r>
    </w:p>
    <w:p w14:paraId="61B17791">
      <w:pPr>
        <w:pageBreakBefore w:val="0"/>
        <w:widowControl w:val="0"/>
        <w:kinsoku/>
        <w:overflowPunct/>
        <w:bidi w:val="0"/>
        <w:spacing w:line="324" w:lineRule="auto"/>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5、参见本竞争性磋商采购第三部分：“供应商须知”中的相关内容，未尽事宜按有关法律规定处理。</w:t>
      </w:r>
    </w:p>
    <w:p w14:paraId="3CFC7A78">
      <w:pPr>
        <w:pageBreakBefore w:val="0"/>
        <w:widowControl w:val="0"/>
        <w:kinsoku/>
        <w:overflowPunct/>
        <w:bidi w:val="0"/>
        <w:spacing w:line="324" w:lineRule="auto"/>
        <w:rPr>
          <w:rFonts w:hint="eastAsia" w:ascii="宋体" w:eastAsia="宋体"/>
          <w:b w:val="0"/>
          <w:color w:val="auto"/>
          <w:sz w:val="22"/>
          <w:szCs w:val="22"/>
          <w:highlight w:val="none"/>
        </w:rPr>
      </w:pPr>
    </w:p>
    <w:p w14:paraId="5EB63CDC">
      <w:pPr>
        <w:pageBreakBefore w:val="0"/>
        <w:widowControl w:val="0"/>
        <w:kinsoku/>
        <w:overflowPunct/>
        <w:bidi w:val="0"/>
        <w:spacing w:line="324" w:lineRule="auto"/>
        <w:jc w:val="center"/>
        <w:outlineLvl w:val="1"/>
        <w:rPr>
          <w:rFonts w:hint="eastAsia" w:ascii="宋体" w:eastAsia="宋体"/>
          <w:b w:val="0"/>
          <w:bCs w:val="0"/>
          <w:color w:val="auto"/>
          <w:sz w:val="32"/>
          <w:szCs w:val="32"/>
          <w:highlight w:val="none"/>
        </w:rPr>
      </w:pPr>
      <w:bookmarkStart w:id="91" w:name="_Toc10038"/>
      <w:r>
        <w:rPr>
          <w:rFonts w:hint="eastAsia" w:ascii="宋体" w:eastAsia="宋体"/>
          <w:b w:val="0"/>
          <w:bCs w:val="0"/>
          <w:color w:val="auto"/>
          <w:sz w:val="32"/>
          <w:szCs w:val="32"/>
          <w:highlight w:val="none"/>
        </w:rPr>
        <w:t>五、评分对应表（参考）</w:t>
      </w:r>
      <w:bookmarkEnd w:id="91"/>
    </w:p>
    <w:p w14:paraId="273247CA">
      <w:pPr>
        <w:pageBreakBefore w:val="0"/>
        <w:widowControl w:val="0"/>
        <w:kinsoku/>
        <w:overflowPunct/>
        <w:autoSpaceDE w:val="0"/>
        <w:autoSpaceDN w:val="0"/>
        <w:bidi w:val="0"/>
        <w:adjustRightInd w:val="0"/>
        <w:spacing w:line="324" w:lineRule="auto"/>
        <w:ind w:firstLine="477" w:firstLineChars="199"/>
        <w:rPr>
          <w:rFonts w:hint="eastAsia" w:ascii="宋体" w:eastAsia="宋体"/>
          <w:b w:val="0"/>
          <w:bCs w:val="0"/>
          <w:color w:val="auto"/>
          <w:sz w:val="24"/>
          <w:highlight w:val="none"/>
        </w:rPr>
      </w:pPr>
      <w:r>
        <w:rPr>
          <w:rFonts w:hint="eastAsia" w:ascii="宋体" w:eastAsia="宋体"/>
          <w:b w:val="0"/>
          <w:bCs w:val="0"/>
          <w:color w:val="auto"/>
          <w:sz w:val="24"/>
          <w:highlight w:val="none"/>
          <w:lang w:val="zh-CN"/>
        </w:rPr>
        <w:t xml:space="preserve">供应商名称：             </w:t>
      </w:r>
      <w:r>
        <w:rPr>
          <w:rFonts w:hint="eastAsia" w:ascii="宋体" w:eastAsia="宋体"/>
          <w:b w:val="0"/>
          <w:bCs w:val="0"/>
          <w:color w:val="auto"/>
          <w:sz w:val="24"/>
          <w:highlight w:val="none"/>
        </w:rPr>
        <w:t xml:space="preserve">   项目编号：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8"/>
        <w:gridCol w:w="3508"/>
        <w:gridCol w:w="1561"/>
        <w:gridCol w:w="2692"/>
      </w:tblGrid>
      <w:tr w14:paraId="35F72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14:paraId="6474811C">
            <w:pPr>
              <w:pStyle w:val="12"/>
              <w:pageBreakBefore w:val="0"/>
              <w:widowControl w:val="0"/>
              <w:kinsoku/>
              <w:overflowPunct/>
              <w:bidi w:val="0"/>
              <w:adjustRightInd w:val="0"/>
              <w:snapToGrid w:val="0"/>
              <w:spacing w:line="324" w:lineRule="auto"/>
              <w:jc w:val="center"/>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序号</w:t>
            </w:r>
          </w:p>
        </w:tc>
        <w:tc>
          <w:tcPr>
            <w:tcW w:w="3508" w:type="dxa"/>
            <w:tcBorders>
              <w:top w:val="single" w:color="auto" w:sz="4" w:space="0"/>
              <w:left w:val="single" w:color="auto" w:sz="4" w:space="0"/>
              <w:bottom w:val="single" w:color="auto" w:sz="4" w:space="0"/>
              <w:right w:val="single" w:color="auto" w:sz="4" w:space="0"/>
            </w:tcBorders>
            <w:vAlign w:val="center"/>
          </w:tcPr>
          <w:p w14:paraId="1FBCC68D">
            <w:pPr>
              <w:pStyle w:val="12"/>
              <w:pageBreakBefore w:val="0"/>
              <w:widowControl w:val="0"/>
              <w:kinsoku/>
              <w:overflowPunct/>
              <w:bidi w:val="0"/>
              <w:adjustRightInd w:val="0"/>
              <w:snapToGrid w:val="0"/>
              <w:spacing w:line="324" w:lineRule="auto"/>
              <w:jc w:val="center"/>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评审内容</w:t>
            </w:r>
          </w:p>
        </w:tc>
        <w:tc>
          <w:tcPr>
            <w:tcW w:w="1561" w:type="dxa"/>
            <w:tcBorders>
              <w:top w:val="single" w:color="auto" w:sz="4" w:space="0"/>
              <w:left w:val="single" w:color="auto" w:sz="4" w:space="0"/>
              <w:bottom w:val="single" w:color="auto" w:sz="4" w:space="0"/>
              <w:right w:val="single" w:color="auto" w:sz="4" w:space="0"/>
            </w:tcBorders>
            <w:vAlign w:val="center"/>
          </w:tcPr>
          <w:p w14:paraId="0E211BD5">
            <w:pPr>
              <w:pStyle w:val="12"/>
              <w:pageBreakBefore w:val="0"/>
              <w:widowControl w:val="0"/>
              <w:kinsoku/>
              <w:overflowPunct/>
              <w:bidi w:val="0"/>
              <w:adjustRightInd w:val="0"/>
              <w:snapToGrid w:val="0"/>
              <w:spacing w:line="324" w:lineRule="auto"/>
              <w:jc w:val="center"/>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评分标准</w:t>
            </w:r>
          </w:p>
        </w:tc>
        <w:tc>
          <w:tcPr>
            <w:tcW w:w="2692" w:type="dxa"/>
            <w:tcBorders>
              <w:top w:val="single" w:color="auto" w:sz="4" w:space="0"/>
              <w:left w:val="single" w:color="auto" w:sz="4" w:space="0"/>
              <w:bottom w:val="single" w:color="auto" w:sz="4" w:space="0"/>
              <w:right w:val="single" w:color="auto" w:sz="4" w:space="0"/>
            </w:tcBorders>
            <w:vAlign w:val="center"/>
          </w:tcPr>
          <w:p w14:paraId="53CD1072">
            <w:pPr>
              <w:pStyle w:val="12"/>
              <w:pageBreakBefore w:val="0"/>
              <w:widowControl w:val="0"/>
              <w:kinsoku/>
              <w:overflowPunct/>
              <w:bidi w:val="0"/>
              <w:adjustRightInd w:val="0"/>
              <w:snapToGrid w:val="0"/>
              <w:spacing w:line="324" w:lineRule="auto"/>
              <w:jc w:val="center"/>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页码</w:t>
            </w:r>
          </w:p>
        </w:tc>
      </w:tr>
      <w:tr w14:paraId="07B27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14:paraId="07B224B3">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一</w:t>
            </w:r>
          </w:p>
        </w:tc>
        <w:tc>
          <w:tcPr>
            <w:tcW w:w="3508" w:type="dxa"/>
            <w:tcBorders>
              <w:top w:val="single" w:color="auto" w:sz="4" w:space="0"/>
              <w:left w:val="single" w:color="auto" w:sz="4" w:space="0"/>
              <w:bottom w:val="single" w:color="auto" w:sz="4" w:space="0"/>
              <w:right w:val="single" w:color="auto" w:sz="4" w:space="0"/>
            </w:tcBorders>
            <w:vAlign w:val="center"/>
          </w:tcPr>
          <w:p w14:paraId="40B4D708">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技术部分</w:t>
            </w:r>
          </w:p>
        </w:tc>
        <w:tc>
          <w:tcPr>
            <w:tcW w:w="1561" w:type="dxa"/>
            <w:tcBorders>
              <w:top w:val="single" w:color="auto" w:sz="4" w:space="0"/>
              <w:left w:val="single" w:color="auto" w:sz="4" w:space="0"/>
              <w:bottom w:val="single" w:color="auto" w:sz="4" w:space="0"/>
              <w:right w:val="single" w:color="auto" w:sz="4" w:space="0"/>
            </w:tcBorders>
            <w:vAlign w:val="center"/>
          </w:tcPr>
          <w:p w14:paraId="01F7C415">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2692" w:type="dxa"/>
            <w:tcBorders>
              <w:top w:val="single" w:color="auto" w:sz="4" w:space="0"/>
              <w:left w:val="single" w:color="auto" w:sz="4" w:space="0"/>
              <w:bottom w:val="single" w:color="auto" w:sz="4" w:space="0"/>
              <w:right w:val="single" w:color="auto" w:sz="4" w:space="0"/>
            </w:tcBorders>
            <w:vAlign w:val="center"/>
          </w:tcPr>
          <w:p w14:paraId="5E274813">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r>
      <w:tr w14:paraId="2526E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4"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14:paraId="151E917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10E8EFA3">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技术服务方案</w:t>
            </w:r>
          </w:p>
        </w:tc>
        <w:tc>
          <w:tcPr>
            <w:tcW w:w="1561" w:type="dxa"/>
            <w:tcBorders>
              <w:top w:val="single" w:color="auto" w:sz="4" w:space="0"/>
              <w:left w:val="single" w:color="auto" w:sz="4" w:space="0"/>
              <w:bottom w:val="single" w:color="auto" w:sz="4" w:space="0"/>
              <w:right w:val="single" w:color="auto" w:sz="4" w:space="0"/>
            </w:tcBorders>
            <w:vAlign w:val="center"/>
          </w:tcPr>
          <w:p w14:paraId="6DECCDF1">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2692" w:type="dxa"/>
            <w:tcBorders>
              <w:top w:val="single" w:color="auto" w:sz="4" w:space="0"/>
              <w:left w:val="single" w:color="auto" w:sz="4" w:space="0"/>
              <w:bottom w:val="nil"/>
              <w:right w:val="single" w:color="auto" w:sz="4" w:space="0"/>
            </w:tcBorders>
            <w:vAlign w:val="center"/>
          </w:tcPr>
          <w:p w14:paraId="5BB54D86">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详见技术文件第几页</w:t>
            </w:r>
          </w:p>
        </w:tc>
      </w:tr>
      <w:tr w14:paraId="105E4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4"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14:paraId="044227CD">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176D6BDD">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项目人员配备情况</w:t>
            </w:r>
          </w:p>
        </w:tc>
        <w:tc>
          <w:tcPr>
            <w:tcW w:w="1561" w:type="dxa"/>
            <w:tcBorders>
              <w:top w:val="single" w:color="auto" w:sz="4" w:space="0"/>
              <w:left w:val="single" w:color="auto" w:sz="4" w:space="0"/>
              <w:bottom w:val="nil"/>
              <w:right w:val="single" w:color="auto" w:sz="4" w:space="0"/>
            </w:tcBorders>
            <w:vAlign w:val="center"/>
          </w:tcPr>
          <w:p w14:paraId="2B1039D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2692" w:type="dxa"/>
            <w:tcBorders>
              <w:top w:val="single" w:color="auto" w:sz="4" w:space="0"/>
              <w:left w:val="single" w:color="auto" w:sz="4" w:space="0"/>
              <w:bottom w:val="nil"/>
              <w:right w:val="single" w:color="auto" w:sz="4" w:space="0"/>
            </w:tcBorders>
            <w:vAlign w:val="center"/>
          </w:tcPr>
          <w:p w14:paraId="231C7823">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详见技术文件第几页</w:t>
            </w:r>
          </w:p>
        </w:tc>
      </w:tr>
      <w:tr w14:paraId="5153F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14:paraId="12D1C615">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3</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6468CBC5">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服务保障能力</w:t>
            </w:r>
          </w:p>
        </w:tc>
        <w:tc>
          <w:tcPr>
            <w:tcW w:w="1561" w:type="dxa"/>
            <w:tcBorders>
              <w:top w:val="single" w:color="auto" w:sz="4" w:space="0"/>
              <w:left w:val="single" w:color="auto" w:sz="4" w:space="0"/>
              <w:bottom w:val="single" w:color="auto" w:sz="4" w:space="0"/>
              <w:right w:val="single" w:color="auto" w:sz="4" w:space="0"/>
            </w:tcBorders>
            <w:vAlign w:val="center"/>
          </w:tcPr>
          <w:p w14:paraId="455A5EF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2692" w:type="dxa"/>
            <w:tcBorders>
              <w:top w:val="single" w:color="auto" w:sz="4" w:space="0"/>
              <w:left w:val="single" w:color="auto" w:sz="4" w:space="0"/>
              <w:bottom w:val="single" w:color="auto" w:sz="4" w:space="0"/>
              <w:right w:val="single" w:color="auto" w:sz="4" w:space="0"/>
            </w:tcBorders>
            <w:vAlign w:val="center"/>
          </w:tcPr>
          <w:p w14:paraId="3C1AFF2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详见技术文件第几页</w:t>
            </w:r>
          </w:p>
        </w:tc>
      </w:tr>
      <w:tr w14:paraId="7597F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4"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14:paraId="74C0CF53">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二</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3147E4C3">
            <w:pPr>
              <w:keepNext w:val="0"/>
              <w:keepLines w:val="0"/>
              <w:pageBreakBefore w:val="0"/>
              <w:kinsoku/>
              <w:wordWrap/>
              <w:overflowPunct/>
              <w:topLinePunct w:val="0"/>
              <w:autoSpaceDE/>
              <w:autoSpaceDN/>
              <w:bidi w:val="0"/>
              <w:adjustRightInd/>
              <w:snapToGrid w:val="0"/>
              <w:spacing w:line="320" w:lineRule="exact"/>
              <w:jc w:val="left"/>
              <w:textAlignment w:val="auto"/>
              <w:rPr>
                <w:rFonts w:hint="default"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商务资信部分</w:t>
            </w:r>
          </w:p>
        </w:tc>
        <w:tc>
          <w:tcPr>
            <w:tcW w:w="1561" w:type="dxa"/>
            <w:tcBorders>
              <w:top w:val="single" w:color="auto" w:sz="4" w:space="0"/>
              <w:left w:val="single" w:color="auto" w:sz="4" w:space="0"/>
              <w:bottom w:val="single" w:color="auto" w:sz="4" w:space="0"/>
              <w:right w:val="single" w:color="auto" w:sz="4" w:space="0"/>
            </w:tcBorders>
            <w:vAlign w:val="center"/>
          </w:tcPr>
          <w:p w14:paraId="5B71A3A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2692" w:type="dxa"/>
            <w:tcBorders>
              <w:top w:val="single" w:color="auto" w:sz="4" w:space="0"/>
              <w:left w:val="single" w:color="auto" w:sz="4" w:space="0"/>
              <w:bottom w:val="single" w:color="auto" w:sz="4" w:space="0"/>
              <w:right w:val="single" w:color="auto" w:sz="4" w:space="0"/>
            </w:tcBorders>
            <w:vAlign w:val="center"/>
          </w:tcPr>
          <w:p w14:paraId="68785A2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r>
      <w:tr w14:paraId="5877C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4"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14:paraId="2B3D0BB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4</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588E277F">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投标</w:t>
            </w:r>
            <w:r>
              <w:rPr>
                <w:rFonts w:hint="eastAsia" w:ascii="宋体" w:hAnsi="宋体" w:eastAsia="宋体" w:cs="宋体"/>
                <w:b w:val="0"/>
                <w:bCs w:val="0"/>
                <w:color w:val="auto"/>
                <w:kern w:val="0"/>
                <w:sz w:val="22"/>
                <w:szCs w:val="22"/>
                <w:lang w:val="zh-CN" w:eastAsia="zh-CN" w:bidi="ar-SA"/>
              </w:rPr>
              <w:t>供应商</w:t>
            </w:r>
            <w:r>
              <w:rPr>
                <w:rFonts w:hint="eastAsia" w:ascii="宋体" w:hAnsi="宋体" w:eastAsia="宋体" w:cs="宋体"/>
                <w:b w:val="0"/>
                <w:bCs w:val="0"/>
                <w:color w:val="auto"/>
                <w:kern w:val="0"/>
                <w:sz w:val="22"/>
                <w:szCs w:val="22"/>
                <w:lang w:val="en-US" w:eastAsia="zh-CN" w:bidi="ar-SA"/>
              </w:rPr>
              <w:t>相关认证</w:t>
            </w:r>
          </w:p>
        </w:tc>
        <w:tc>
          <w:tcPr>
            <w:tcW w:w="1561" w:type="dxa"/>
            <w:tcBorders>
              <w:top w:val="single" w:color="auto" w:sz="4" w:space="0"/>
              <w:left w:val="single" w:color="auto" w:sz="4" w:space="0"/>
              <w:bottom w:val="single" w:color="auto" w:sz="4" w:space="0"/>
              <w:right w:val="single" w:color="auto" w:sz="4" w:space="0"/>
            </w:tcBorders>
            <w:vAlign w:val="center"/>
          </w:tcPr>
          <w:p w14:paraId="49E1D8E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2692" w:type="dxa"/>
            <w:tcBorders>
              <w:top w:val="single" w:color="auto" w:sz="4" w:space="0"/>
              <w:left w:val="single" w:color="auto" w:sz="4" w:space="0"/>
              <w:bottom w:val="single" w:color="auto" w:sz="4" w:space="0"/>
              <w:right w:val="single" w:color="auto" w:sz="4" w:space="0"/>
            </w:tcBorders>
            <w:vAlign w:val="center"/>
          </w:tcPr>
          <w:p w14:paraId="4E8D0A15">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详见技术文件第几页</w:t>
            </w:r>
          </w:p>
        </w:tc>
      </w:tr>
      <w:tr w14:paraId="5A50B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4"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14:paraId="2530CF9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5</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3A1A0D7C">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投标供应商业绩情况</w:t>
            </w:r>
          </w:p>
        </w:tc>
        <w:tc>
          <w:tcPr>
            <w:tcW w:w="1561" w:type="dxa"/>
            <w:tcBorders>
              <w:top w:val="single" w:color="auto" w:sz="4" w:space="0"/>
              <w:left w:val="single" w:color="auto" w:sz="4" w:space="0"/>
              <w:bottom w:val="single" w:color="auto" w:sz="4" w:space="0"/>
              <w:right w:val="single" w:color="auto" w:sz="4" w:space="0"/>
            </w:tcBorders>
            <w:vAlign w:val="center"/>
          </w:tcPr>
          <w:p w14:paraId="6B4D8D4E">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2692" w:type="dxa"/>
            <w:tcBorders>
              <w:top w:val="single" w:color="auto" w:sz="4" w:space="0"/>
              <w:left w:val="single" w:color="auto" w:sz="4" w:space="0"/>
              <w:bottom w:val="single" w:color="auto" w:sz="4" w:space="0"/>
              <w:right w:val="single" w:color="auto" w:sz="4" w:space="0"/>
            </w:tcBorders>
            <w:vAlign w:val="center"/>
          </w:tcPr>
          <w:p w14:paraId="561964A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详见技术文件第几页</w:t>
            </w:r>
          </w:p>
        </w:tc>
      </w:tr>
      <w:tr w14:paraId="63B43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14:paraId="1B29D373">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6</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04E710FD">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1561" w:type="dxa"/>
            <w:tcBorders>
              <w:top w:val="single" w:color="auto" w:sz="4" w:space="0"/>
              <w:left w:val="single" w:color="auto" w:sz="4" w:space="0"/>
              <w:bottom w:val="single" w:color="auto" w:sz="4" w:space="0"/>
              <w:right w:val="single" w:color="auto" w:sz="4" w:space="0"/>
            </w:tcBorders>
            <w:vAlign w:val="center"/>
          </w:tcPr>
          <w:p w14:paraId="4B70AE8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2692" w:type="dxa"/>
            <w:tcBorders>
              <w:top w:val="single" w:color="auto" w:sz="4" w:space="0"/>
              <w:left w:val="single" w:color="auto" w:sz="4" w:space="0"/>
              <w:bottom w:val="single" w:color="auto" w:sz="4" w:space="0"/>
              <w:right w:val="single" w:color="auto" w:sz="4" w:space="0"/>
            </w:tcBorders>
            <w:vAlign w:val="center"/>
          </w:tcPr>
          <w:p w14:paraId="03E9A71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r>
      <w:tr w14:paraId="74D29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14:paraId="464B384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7</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277F0AFE">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1561" w:type="dxa"/>
            <w:tcBorders>
              <w:top w:val="single" w:color="auto" w:sz="4" w:space="0"/>
              <w:left w:val="single" w:color="auto" w:sz="4" w:space="0"/>
              <w:bottom w:val="single" w:color="auto" w:sz="4" w:space="0"/>
              <w:right w:val="single" w:color="auto" w:sz="4" w:space="0"/>
            </w:tcBorders>
            <w:shd w:val="clear" w:color="auto" w:fill="auto"/>
          </w:tcPr>
          <w:p w14:paraId="69C73D5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2692" w:type="dxa"/>
            <w:tcBorders>
              <w:top w:val="single" w:color="auto" w:sz="4" w:space="0"/>
              <w:left w:val="single" w:color="auto" w:sz="4" w:space="0"/>
              <w:bottom w:val="single" w:color="auto" w:sz="4" w:space="0"/>
              <w:right w:val="single" w:color="auto" w:sz="4" w:space="0"/>
            </w:tcBorders>
            <w:vAlign w:val="center"/>
          </w:tcPr>
          <w:p w14:paraId="4B70531E">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r>
      <w:tr w14:paraId="4E7FB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14:paraId="5C3D1FE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8</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0FC214CA">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1561" w:type="dxa"/>
            <w:tcBorders>
              <w:top w:val="single" w:color="auto" w:sz="4" w:space="0"/>
              <w:left w:val="single" w:color="auto" w:sz="4" w:space="0"/>
              <w:bottom w:val="single" w:color="auto" w:sz="4" w:space="0"/>
              <w:right w:val="single" w:color="auto" w:sz="4" w:space="0"/>
            </w:tcBorders>
            <w:vAlign w:val="center"/>
          </w:tcPr>
          <w:p w14:paraId="17F099C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2692" w:type="dxa"/>
            <w:tcBorders>
              <w:top w:val="single" w:color="auto" w:sz="4" w:space="0"/>
              <w:left w:val="single" w:color="auto" w:sz="4" w:space="0"/>
              <w:bottom w:val="single" w:color="auto" w:sz="4" w:space="0"/>
              <w:right w:val="single" w:color="auto" w:sz="4" w:space="0"/>
            </w:tcBorders>
            <w:vAlign w:val="center"/>
          </w:tcPr>
          <w:p w14:paraId="663DC50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r>
      <w:tr w14:paraId="3D690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14:paraId="6C4E9ADE">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9</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65217715">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1561" w:type="dxa"/>
            <w:tcBorders>
              <w:top w:val="single" w:color="auto" w:sz="4" w:space="0"/>
              <w:left w:val="single" w:color="auto" w:sz="4" w:space="0"/>
              <w:bottom w:val="single" w:color="auto" w:sz="4" w:space="0"/>
              <w:right w:val="single" w:color="auto" w:sz="4" w:space="0"/>
            </w:tcBorders>
            <w:vAlign w:val="center"/>
          </w:tcPr>
          <w:p w14:paraId="24B1585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2692" w:type="dxa"/>
            <w:tcBorders>
              <w:top w:val="single" w:color="auto" w:sz="4" w:space="0"/>
              <w:left w:val="single" w:color="auto" w:sz="4" w:space="0"/>
              <w:bottom w:val="single" w:color="auto" w:sz="4" w:space="0"/>
              <w:right w:val="single" w:color="auto" w:sz="4" w:space="0"/>
            </w:tcBorders>
            <w:vAlign w:val="center"/>
          </w:tcPr>
          <w:p w14:paraId="3434B3C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r>
      <w:tr w14:paraId="34F68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14:paraId="7B862434">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10</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547C4D7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1561" w:type="dxa"/>
            <w:tcBorders>
              <w:top w:val="single" w:color="auto" w:sz="4" w:space="0"/>
              <w:left w:val="single" w:color="auto" w:sz="4" w:space="0"/>
              <w:bottom w:val="single" w:color="auto" w:sz="4" w:space="0"/>
              <w:right w:val="single" w:color="auto" w:sz="4" w:space="0"/>
            </w:tcBorders>
            <w:vAlign w:val="center"/>
          </w:tcPr>
          <w:p w14:paraId="75EE82B5">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c>
          <w:tcPr>
            <w:tcW w:w="2692" w:type="dxa"/>
            <w:tcBorders>
              <w:top w:val="single" w:color="auto" w:sz="4" w:space="0"/>
              <w:left w:val="single" w:color="auto" w:sz="4" w:space="0"/>
              <w:bottom w:val="single" w:color="auto" w:sz="4" w:space="0"/>
              <w:right w:val="single" w:color="auto" w:sz="4" w:space="0"/>
            </w:tcBorders>
            <w:vAlign w:val="center"/>
          </w:tcPr>
          <w:p w14:paraId="5F873D41">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kern w:val="0"/>
                <w:sz w:val="22"/>
                <w:szCs w:val="22"/>
                <w:lang w:val="en-US" w:eastAsia="zh-CN" w:bidi="ar-SA"/>
              </w:rPr>
            </w:pPr>
          </w:p>
        </w:tc>
      </w:tr>
    </w:tbl>
    <w:p w14:paraId="445B1B74">
      <w:pPr>
        <w:pageBreakBefore w:val="0"/>
        <w:widowControl w:val="0"/>
        <w:kinsoku/>
        <w:overflowPunct/>
        <w:bidi w:val="0"/>
        <w:spacing w:line="324" w:lineRule="auto"/>
        <w:ind w:firstLine="240" w:firstLineChars="100"/>
        <w:rPr>
          <w:rFonts w:hint="eastAsia" w:ascii="宋体" w:eastAsia="宋体"/>
          <w:b w:val="0"/>
          <w:bCs w:val="0"/>
          <w:color w:val="auto"/>
          <w:spacing w:val="-30"/>
          <w:sz w:val="36"/>
          <w:highlight w:val="none"/>
        </w:rPr>
      </w:pPr>
      <w:r>
        <w:rPr>
          <w:rFonts w:hint="eastAsia" w:ascii="宋体" w:eastAsia="宋体"/>
          <w:b w:val="0"/>
          <w:bCs w:val="0"/>
          <w:color w:val="auto"/>
          <w:sz w:val="24"/>
          <w:highlight w:val="none"/>
        </w:rPr>
        <w:t>注：评分对应表主要用于作为专家评分的一个参考及查阅依据。</w:t>
      </w:r>
    </w:p>
    <w:p w14:paraId="6F729F1B">
      <w:pPr>
        <w:pageBreakBefore w:val="0"/>
        <w:widowControl w:val="0"/>
        <w:kinsoku/>
        <w:overflowPunct/>
        <w:bidi w:val="0"/>
        <w:spacing w:line="324" w:lineRule="auto"/>
        <w:rPr>
          <w:rFonts w:hint="eastAsia" w:ascii="宋体" w:eastAsia="宋体"/>
          <w:b w:val="0"/>
          <w:bCs w:val="0"/>
          <w:color w:val="auto"/>
          <w:spacing w:val="-30"/>
          <w:sz w:val="36"/>
          <w:highlight w:val="none"/>
        </w:rPr>
      </w:pPr>
    </w:p>
    <w:p w14:paraId="658E6AF4">
      <w:pPr>
        <w:pageBreakBefore w:val="0"/>
        <w:widowControl w:val="0"/>
        <w:kinsoku/>
        <w:overflowPunct/>
        <w:autoSpaceDE w:val="0"/>
        <w:autoSpaceDN w:val="0"/>
        <w:bidi w:val="0"/>
        <w:snapToGrid w:val="0"/>
        <w:spacing w:line="324" w:lineRule="auto"/>
        <w:textAlignment w:val="bottom"/>
        <w:rPr>
          <w:rFonts w:hint="eastAsia" w:ascii="宋体" w:eastAsia="宋体"/>
          <w:color w:val="auto"/>
          <w:kern w:val="2"/>
          <w:highlight w:val="none"/>
        </w:rPr>
        <w:sectPr>
          <w:pgSz w:w="11906" w:h="16838"/>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14:paraId="362C070C">
      <w:pPr>
        <w:pageBreakBefore w:val="0"/>
        <w:widowControl w:val="0"/>
        <w:kinsoku/>
        <w:overflowPunct/>
        <w:bidi w:val="0"/>
        <w:spacing w:line="324" w:lineRule="auto"/>
        <w:outlineLvl w:val="1"/>
        <w:rPr>
          <w:rFonts w:hint="eastAsia" w:ascii="宋体" w:eastAsia="宋体"/>
          <w:b w:val="0"/>
          <w:bCs w:val="0"/>
          <w:color w:val="auto"/>
          <w:sz w:val="36"/>
          <w:szCs w:val="36"/>
          <w:highlight w:val="none"/>
        </w:rPr>
      </w:pPr>
      <w:bookmarkStart w:id="92" w:name="_Toc11262"/>
      <w:r>
        <w:rPr>
          <w:rFonts w:hint="eastAsia" w:ascii="宋体" w:eastAsia="宋体"/>
          <w:b w:val="0"/>
          <w:bCs w:val="0"/>
          <w:color w:val="auto"/>
          <w:sz w:val="36"/>
          <w:szCs w:val="36"/>
          <w:highlight w:val="none"/>
        </w:rPr>
        <w:t>六、信贷政策</w:t>
      </w:r>
      <w:bookmarkEnd w:id="92"/>
    </w:p>
    <w:p w14:paraId="06E2198C">
      <w:pPr>
        <w:pageBreakBefore w:val="0"/>
        <w:widowControl w:val="0"/>
        <w:kinsoku/>
        <w:overflowPunct/>
        <w:bidi w:val="0"/>
        <w:spacing w:line="324" w:lineRule="auto"/>
        <w:jc w:val="center"/>
        <w:outlineLvl w:val="0"/>
        <w:rPr>
          <w:rFonts w:hint="eastAsia" w:ascii="宋体" w:eastAsia="宋体"/>
          <w:b w:val="0"/>
          <w:bCs w:val="0"/>
          <w:color w:val="auto"/>
          <w:sz w:val="32"/>
          <w:szCs w:val="32"/>
          <w:highlight w:val="none"/>
        </w:rPr>
      </w:pPr>
      <w:bookmarkStart w:id="93" w:name="_Toc7730"/>
      <w:r>
        <w:rPr>
          <w:rFonts w:hint="eastAsia" w:ascii="宋体" w:eastAsia="宋体"/>
          <w:b w:val="0"/>
          <w:bCs w:val="0"/>
          <w:color w:val="auto"/>
          <w:sz w:val="32"/>
          <w:szCs w:val="32"/>
          <w:highlight w:val="none"/>
        </w:rPr>
        <w:t>温州市政府采购信用融资意向银行选择表</w:t>
      </w:r>
      <w:bookmarkEnd w:id="93"/>
    </w:p>
    <w:p w14:paraId="3DBE64EC">
      <w:pPr>
        <w:pageBreakBefore w:val="0"/>
        <w:widowControl w:val="0"/>
        <w:kinsoku/>
        <w:overflowPunct/>
        <w:bidi w:val="0"/>
        <w:spacing w:line="324" w:lineRule="auto"/>
        <w:jc w:val="center"/>
        <w:rPr>
          <w:rFonts w:hint="eastAsia" w:ascii="宋体" w:eastAsia="宋体"/>
          <w:b w:val="0"/>
          <w:bCs w:val="0"/>
          <w:color w:val="auto"/>
          <w:sz w:val="32"/>
          <w:szCs w:val="32"/>
          <w:highlight w:val="none"/>
        </w:rPr>
      </w:pPr>
      <w:r>
        <w:rPr>
          <w:rFonts w:hint="eastAsia" w:ascii="宋体" w:eastAsia="宋体"/>
          <w:b w:val="0"/>
          <w:bCs w:val="0"/>
          <w:color w:val="auto"/>
          <w:sz w:val="32"/>
          <w:szCs w:val="32"/>
          <w:highlight w:val="none"/>
        </w:rPr>
        <w:t>（温州市供应商填写）</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501"/>
        <w:gridCol w:w="1563"/>
        <w:gridCol w:w="938"/>
        <w:gridCol w:w="1720"/>
        <w:gridCol w:w="838"/>
      </w:tblGrid>
      <w:tr w14:paraId="12BD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vAlign w:val="center"/>
          </w:tcPr>
          <w:p w14:paraId="075EE32B">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企业名称</w:t>
            </w:r>
          </w:p>
        </w:tc>
        <w:tc>
          <w:tcPr>
            <w:tcW w:w="7560" w:type="dxa"/>
            <w:gridSpan w:val="5"/>
            <w:vAlign w:val="center"/>
          </w:tcPr>
          <w:p w14:paraId="35AB0271">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1423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tcBorders>
              <w:top w:val="single" w:color="auto" w:sz="4" w:space="0"/>
              <w:left w:val="single" w:color="auto" w:sz="4" w:space="0"/>
              <w:right w:val="single" w:color="auto" w:sz="4" w:space="0"/>
            </w:tcBorders>
            <w:vAlign w:val="center"/>
          </w:tcPr>
          <w:p w14:paraId="219101F4">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企业注册地</w:t>
            </w:r>
          </w:p>
        </w:tc>
        <w:tc>
          <w:tcPr>
            <w:tcW w:w="4064" w:type="dxa"/>
            <w:gridSpan w:val="2"/>
            <w:tcBorders>
              <w:top w:val="single" w:color="auto" w:sz="4" w:space="0"/>
              <w:left w:val="single" w:color="auto" w:sz="4" w:space="0"/>
              <w:right w:val="single" w:color="auto" w:sz="4" w:space="0"/>
            </w:tcBorders>
            <w:vAlign w:val="center"/>
          </w:tcPr>
          <w:p w14:paraId="46B35CD5">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c>
          <w:tcPr>
            <w:tcW w:w="2658" w:type="dxa"/>
            <w:gridSpan w:val="2"/>
            <w:tcBorders>
              <w:top w:val="single" w:color="auto" w:sz="4" w:space="0"/>
              <w:left w:val="single" w:color="auto" w:sz="4" w:space="0"/>
              <w:right w:val="single" w:color="auto" w:sz="4" w:space="0"/>
            </w:tcBorders>
            <w:vAlign w:val="center"/>
          </w:tcPr>
          <w:p w14:paraId="6DFAD036">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是否有融资意向</w:t>
            </w:r>
          </w:p>
        </w:tc>
        <w:tc>
          <w:tcPr>
            <w:tcW w:w="838" w:type="dxa"/>
            <w:tcBorders>
              <w:top w:val="single" w:color="auto" w:sz="4" w:space="0"/>
              <w:left w:val="single" w:color="auto" w:sz="4" w:space="0"/>
              <w:right w:val="single" w:color="auto" w:sz="4" w:space="0"/>
            </w:tcBorders>
            <w:vAlign w:val="center"/>
          </w:tcPr>
          <w:p w14:paraId="37F5FAED">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5D50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tcBorders>
              <w:top w:val="single" w:color="auto" w:sz="4" w:space="0"/>
              <w:left w:val="single" w:color="auto" w:sz="4" w:space="0"/>
              <w:right w:val="single" w:color="auto" w:sz="4" w:space="0"/>
            </w:tcBorders>
            <w:vAlign w:val="center"/>
          </w:tcPr>
          <w:p w14:paraId="4BA9F9D7">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融资联系人</w:t>
            </w:r>
          </w:p>
        </w:tc>
        <w:tc>
          <w:tcPr>
            <w:tcW w:w="2501" w:type="dxa"/>
            <w:tcBorders>
              <w:top w:val="single" w:color="auto" w:sz="4" w:space="0"/>
              <w:left w:val="single" w:color="auto" w:sz="4" w:space="0"/>
              <w:right w:val="single" w:color="auto" w:sz="4" w:space="0"/>
            </w:tcBorders>
            <w:vAlign w:val="center"/>
          </w:tcPr>
          <w:p w14:paraId="1463A965">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c>
          <w:tcPr>
            <w:tcW w:w="2501" w:type="dxa"/>
            <w:gridSpan w:val="2"/>
            <w:tcBorders>
              <w:top w:val="single" w:color="auto" w:sz="4" w:space="0"/>
              <w:left w:val="single" w:color="auto" w:sz="4" w:space="0"/>
              <w:right w:val="single" w:color="auto" w:sz="4" w:space="0"/>
            </w:tcBorders>
            <w:vAlign w:val="center"/>
          </w:tcPr>
          <w:p w14:paraId="7B47D7EE">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联系方式</w:t>
            </w:r>
          </w:p>
        </w:tc>
        <w:tc>
          <w:tcPr>
            <w:tcW w:w="2558" w:type="dxa"/>
            <w:gridSpan w:val="2"/>
            <w:tcBorders>
              <w:top w:val="single" w:color="auto" w:sz="4" w:space="0"/>
              <w:left w:val="single" w:color="auto" w:sz="4" w:space="0"/>
              <w:right w:val="single" w:color="auto" w:sz="4" w:space="0"/>
            </w:tcBorders>
            <w:vAlign w:val="center"/>
          </w:tcPr>
          <w:p w14:paraId="42DDA754">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1382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841" w:type="dxa"/>
            <w:gridSpan w:val="4"/>
            <w:tcBorders>
              <w:top w:val="single" w:color="auto" w:sz="4" w:space="0"/>
              <w:left w:val="single" w:color="auto" w:sz="4" w:space="0"/>
              <w:right w:val="single" w:color="auto" w:sz="4" w:space="0"/>
            </w:tcBorders>
            <w:vAlign w:val="center"/>
          </w:tcPr>
          <w:p w14:paraId="5893A58A">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温州市政府采购信用融资合作银行</w:t>
            </w:r>
          </w:p>
        </w:tc>
        <w:tc>
          <w:tcPr>
            <w:tcW w:w="2558" w:type="dxa"/>
            <w:gridSpan w:val="2"/>
            <w:tcBorders>
              <w:top w:val="single" w:color="auto" w:sz="4" w:space="0"/>
              <w:left w:val="single" w:color="auto" w:sz="4" w:space="0"/>
              <w:right w:val="single" w:color="auto" w:sz="4" w:space="0"/>
            </w:tcBorders>
            <w:vAlign w:val="center"/>
          </w:tcPr>
          <w:p w14:paraId="09EC21E4">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选择作为意向融资银行（可多选）</w:t>
            </w:r>
          </w:p>
        </w:tc>
      </w:tr>
      <w:tr w14:paraId="0FB8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tcBorders>
              <w:top w:val="single" w:color="auto" w:sz="4" w:space="0"/>
              <w:left w:val="single" w:color="auto" w:sz="4" w:space="0"/>
              <w:right w:val="single" w:color="auto" w:sz="4" w:space="0"/>
            </w:tcBorders>
            <w:vAlign w:val="center"/>
          </w:tcPr>
          <w:p w14:paraId="3DC78F7E">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温州银行股份有限公司温州分行</w:t>
            </w:r>
          </w:p>
        </w:tc>
        <w:tc>
          <w:tcPr>
            <w:tcW w:w="2558" w:type="dxa"/>
            <w:gridSpan w:val="2"/>
            <w:tcBorders>
              <w:top w:val="single" w:color="auto" w:sz="4" w:space="0"/>
              <w:left w:val="single" w:color="auto" w:sz="4" w:space="0"/>
              <w:right w:val="single" w:color="auto" w:sz="4" w:space="0"/>
            </w:tcBorders>
            <w:vAlign w:val="center"/>
          </w:tcPr>
          <w:p w14:paraId="0F77DA2A">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3D86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tcBorders>
              <w:top w:val="single" w:color="auto" w:sz="4" w:space="0"/>
              <w:left w:val="single" w:color="auto" w:sz="4" w:space="0"/>
              <w:right w:val="single" w:color="auto" w:sz="4" w:space="0"/>
            </w:tcBorders>
            <w:vAlign w:val="center"/>
          </w:tcPr>
          <w:p w14:paraId="21214533">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温州银行股份有限公司鹿城分行</w:t>
            </w:r>
          </w:p>
        </w:tc>
        <w:tc>
          <w:tcPr>
            <w:tcW w:w="2558" w:type="dxa"/>
            <w:gridSpan w:val="2"/>
            <w:tcBorders>
              <w:top w:val="single" w:color="auto" w:sz="4" w:space="0"/>
              <w:left w:val="single" w:color="auto" w:sz="4" w:space="0"/>
              <w:right w:val="single" w:color="auto" w:sz="4" w:space="0"/>
            </w:tcBorders>
            <w:vAlign w:val="center"/>
          </w:tcPr>
          <w:p w14:paraId="1C25B864">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01EF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tcBorders>
              <w:top w:val="single" w:color="auto" w:sz="4" w:space="0"/>
              <w:left w:val="single" w:color="auto" w:sz="4" w:space="0"/>
              <w:right w:val="single" w:color="auto" w:sz="4" w:space="0"/>
            </w:tcBorders>
            <w:vAlign w:val="center"/>
          </w:tcPr>
          <w:p w14:paraId="0301E6BE">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中国工商银行股份有限公司温州分行</w:t>
            </w:r>
          </w:p>
        </w:tc>
        <w:tc>
          <w:tcPr>
            <w:tcW w:w="2558" w:type="dxa"/>
            <w:gridSpan w:val="2"/>
            <w:tcBorders>
              <w:top w:val="single" w:color="auto" w:sz="4" w:space="0"/>
              <w:left w:val="single" w:color="auto" w:sz="4" w:space="0"/>
              <w:right w:val="single" w:color="auto" w:sz="4" w:space="0"/>
            </w:tcBorders>
            <w:vAlign w:val="center"/>
          </w:tcPr>
          <w:p w14:paraId="0F3413B2">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5314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tcBorders>
              <w:top w:val="single" w:color="auto" w:sz="4" w:space="0"/>
              <w:left w:val="single" w:color="auto" w:sz="4" w:space="0"/>
              <w:right w:val="single" w:color="auto" w:sz="4" w:space="0"/>
            </w:tcBorders>
            <w:vAlign w:val="center"/>
          </w:tcPr>
          <w:p w14:paraId="032308B7">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中国建设银行股份有限公司温州分行</w:t>
            </w:r>
          </w:p>
        </w:tc>
        <w:tc>
          <w:tcPr>
            <w:tcW w:w="2558" w:type="dxa"/>
            <w:gridSpan w:val="2"/>
            <w:tcBorders>
              <w:top w:val="single" w:color="auto" w:sz="4" w:space="0"/>
              <w:left w:val="single" w:color="auto" w:sz="4" w:space="0"/>
              <w:right w:val="single" w:color="auto" w:sz="4" w:space="0"/>
            </w:tcBorders>
            <w:vAlign w:val="center"/>
          </w:tcPr>
          <w:p w14:paraId="545FDF1B">
            <w:pPr>
              <w:pageBreakBefore w:val="0"/>
              <w:widowControl w:val="0"/>
              <w:kinsoku/>
              <w:overflowPunct/>
              <w:bidi w:val="0"/>
              <w:spacing w:line="324" w:lineRule="auto"/>
              <w:rPr>
                <w:rFonts w:hint="eastAsia" w:ascii="宋体" w:eastAsia="宋体"/>
                <w:b w:val="0"/>
                <w:bCs w:val="0"/>
                <w:color w:val="auto"/>
                <w:sz w:val="24"/>
                <w:szCs w:val="24"/>
                <w:highlight w:val="none"/>
              </w:rPr>
            </w:pPr>
          </w:p>
        </w:tc>
      </w:tr>
      <w:tr w14:paraId="5B36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tcBorders>
              <w:top w:val="single" w:color="auto" w:sz="4" w:space="0"/>
              <w:left w:val="single" w:color="auto" w:sz="4" w:space="0"/>
              <w:right w:val="single" w:color="auto" w:sz="4" w:space="0"/>
            </w:tcBorders>
            <w:vAlign w:val="center"/>
          </w:tcPr>
          <w:p w14:paraId="0412B23B">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中国邮政储蓄银行股份有限公司温州市分行</w:t>
            </w:r>
          </w:p>
        </w:tc>
        <w:tc>
          <w:tcPr>
            <w:tcW w:w="2558" w:type="dxa"/>
            <w:gridSpan w:val="2"/>
            <w:tcBorders>
              <w:top w:val="single" w:color="auto" w:sz="4" w:space="0"/>
              <w:left w:val="single" w:color="auto" w:sz="4" w:space="0"/>
              <w:right w:val="single" w:color="auto" w:sz="4" w:space="0"/>
            </w:tcBorders>
            <w:vAlign w:val="center"/>
          </w:tcPr>
          <w:p w14:paraId="5E0FA300">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6DD5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tcBorders>
              <w:top w:val="single" w:color="auto" w:sz="4" w:space="0"/>
              <w:left w:val="single" w:color="auto" w:sz="4" w:space="0"/>
              <w:right w:val="single" w:color="auto" w:sz="4" w:space="0"/>
            </w:tcBorders>
            <w:vAlign w:val="center"/>
          </w:tcPr>
          <w:p w14:paraId="17B95C8D">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中国民生银行股份有限公司温州分行</w:t>
            </w:r>
          </w:p>
        </w:tc>
        <w:tc>
          <w:tcPr>
            <w:tcW w:w="2558" w:type="dxa"/>
            <w:gridSpan w:val="2"/>
            <w:tcBorders>
              <w:top w:val="single" w:color="auto" w:sz="4" w:space="0"/>
              <w:left w:val="single" w:color="auto" w:sz="4" w:space="0"/>
              <w:right w:val="single" w:color="auto" w:sz="4" w:space="0"/>
            </w:tcBorders>
            <w:vAlign w:val="center"/>
          </w:tcPr>
          <w:p w14:paraId="4B5A7E7E">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0562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tcBorders>
              <w:top w:val="single" w:color="auto" w:sz="4" w:space="0"/>
              <w:left w:val="single" w:color="auto" w:sz="4" w:space="0"/>
              <w:right w:val="single" w:color="auto" w:sz="4" w:space="0"/>
            </w:tcBorders>
            <w:vAlign w:val="center"/>
          </w:tcPr>
          <w:p w14:paraId="52F0EDC0">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宁波银行股份有限公司温州分行</w:t>
            </w:r>
          </w:p>
        </w:tc>
        <w:tc>
          <w:tcPr>
            <w:tcW w:w="2558" w:type="dxa"/>
            <w:gridSpan w:val="2"/>
            <w:tcBorders>
              <w:top w:val="single" w:color="auto" w:sz="4" w:space="0"/>
              <w:left w:val="single" w:color="auto" w:sz="4" w:space="0"/>
              <w:right w:val="single" w:color="auto" w:sz="4" w:space="0"/>
            </w:tcBorders>
            <w:vAlign w:val="center"/>
          </w:tcPr>
          <w:p w14:paraId="1AFEA176">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3C2F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tcBorders>
              <w:top w:val="single" w:color="auto" w:sz="4" w:space="0"/>
              <w:left w:val="single" w:color="auto" w:sz="4" w:space="0"/>
              <w:right w:val="single" w:color="auto" w:sz="4" w:space="0"/>
            </w:tcBorders>
            <w:vAlign w:val="center"/>
          </w:tcPr>
          <w:p w14:paraId="084C6CDF">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杭州银行股份有限公司温州分行</w:t>
            </w:r>
          </w:p>
        </w:tc>
        <w:tc>
          <w:tcPr>
            <w:tcW w:w="2558" w:type="dxa"/>
            <w:gridSpan w:val="2"/>
            <w:tcBorders>
              <w:top w:val="single" w:color="auto" w:sz="4" w:space="0"/>
              <w:left w:val="single" w:color="auto" w:sz="4" w:space="0"/>
              <w:right w:val="single" w:color="auto" w:sz="4" w:space="0"/>
            </w:tcBorders>
            <w:vAlign w:val="center"/>
          </w:tcPr>
          <w:p w14:paraId="6A379FED">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20A5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tcBorders>
              <w:top w:val="single" w:color="auto" w:sz="4" w:space="0"/>
              <w:left w:val="single" w:color="auto" w:sz="4" w:space="0"/>
              <w:right w:val="single" w:color="auto" w:sz="4" w:space="0"/>
            </w:tcBorders>
            <w:vAlign w:val="center"/>
          </w:tcPr>
          <w:p w14:paraId="025A08FF">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招商银行股份有限公司温州分行</w:t>
            </w:r>
          </w:p>
        </w:tc>
        <w:tc>
          <w:tcPr>
            <w:tcW w:w="2558" w:type="dxa"/>
            <w:gridSpan w:val="2"/>
            <w:tcBorders>
              <w:top w:val="single" w:color="auto" w:sz="4" w:space="0"/>
              <w:left w:val="single" w:color="auto" w:sz="4" w:space="0"/>
              <w:right w:val="single" w:color="auto" w:sz="4" w:space="0"/>
            </w:tcBorders>
            <w:vAlign w:val="center"/>
          </w:tcPr>
          <w:p w14:paraId="01FAEBE7">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584A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tcBorders>
              <w:top w:val="single" w:color="auto" w:sz="4" w:space="0"/>
              <w:left w:val="single" w:color="auto" w:sz="4" w:space="0"/>
              <w:right w:val="single" w:color="auto" w:sz="4" w:space="0"/>
            </w:tcBorders>
            <w:vAlign w:val="center"/>
          </w:tcPr>
          <w:p w14:paraId="18E25E7D">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兴业银行股份有限公司温州分行</w:t>
            </w:r>
          </w:p>
        </w:tc>
        <w:tc>
          <w:tcPr>
            <w:tcW w:w="2558" w:type="dxa"/>
            <w:gridSpan w:val="2"/>
            <w:tcBorders>
              <w:top w:val="single" w:color="auto" w:sz="4" w:space="0"/>
              <w:left w:val="single" w:color="auto" w:sz="4" w:space="0"/>
              <w:right w:val="single" w:color="auto" w:sz="4" w:space="0"/>
            </w:tcBorders>
            <w:vAlign w:val="center"/>
          </w:tcPr>
          <w:p w14:paraId="53EA8EF5">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511C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tcBorders>
              <w:top w:val="single" w:color="auto" w:sz="4" w:space="0"/>
              <w:left w:val="single" w:color="auto" w:sz="4" w:space="0"/>
              <w:right w:val="single" w:color="auto" w:sz="4" w:space="0"/>
            </w:tcBorders>
            <w:vAlign w:val="center"/>
          </w:tcPr>
          <w:p w14:paraId="2ADD12D8">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交通银行股份有限公司温州分行</w:t>
            </w:r>
          </w:p>
        </w:tc>
        <w:tc>
          <w:tcPr>
            <w:tcW w:w="2558" w:type="dxa"/>
            <w:gridSpan w:val="2"/>
            <w:tcBorders>
              <w:top w:val="single" w:color="auto" w:sz="4" w:space="0"/>
              <w:left w:val="single" w:color="auto" w:sz="4" w:space="0"/>
              <w:right w:val="single" w:color="auto" w:sz="4" w:space="0"/>
            </w:tcBorders>
            <w:vAlign w:val="center"/>
          </w:tcPr>
          <w:p w14:paraId="0977E65F">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6927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tcBorders>
              <w:top w:val="single" w:color="auto" w:sz="4" w:space="0"/>
              <w:left w:val="single" w:color="auto" w:sz="4" w:space="0"/>
              <w:right w:val="single" w:color="auto" w:sz="4" w:space="0"/>
            </w:tcBorders>
            <w:vAlign w:val="center"/>
          </w:tcPr>
          <w:p w14:paraId="68953740">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上海浦东发展银行股份有限公司温州分行</w:t>
            </w:r>
          </w:p>
        </w:tc>
        <w:tc>
          <w:tcPr>
            <w:tcW w:w="2558" w:type="dxa"/>
            <w:gridSpan w:val="2"/>
            <w:tcBorders>
              <w:top w:val="single" w:color="auto" w:sz="4" w:space="0"/>
              <w:left w:val="single" w:color="auto" w:sz="4" w:space="0"/>
              <w:right w:val="single" w:color="auto" w:sz="4" w:space="0"/>
            </w:tcBorders>
            <w:vAlign w:val="center"/>
          </w:tcPr>
          <w:p w14:paraId="1587503A">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3DC7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tcBorders>
              <w:top w:val="single" w:color="auto" w:sz="4" w:space="0"/>
              <w:left w:val="single" w:color="auto" w:sz="4" w:space="0"/>
              <w:right w:val="single" w:color="auto" w:sz="4" w:space="0"/>
            </w:tcBorders>
            <w:vAlign w:val="center"/>
          </w:tcPr>
          <w:p w14:paraId="1F4AF08B">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中国银行股份有限公司温州市分行</w:t>
            </w:r>
          </w:p>
        </w:tc>
        <w:tc>
          <w:tcPr>
            <w:tcW w:w="2558" w:type="dxa"/>
            <w:gridSpan w:val="2"/>
            <w:tcBorders>
              <w:top w:val="single" w:color="auto" w:sz="4" w:space="0"/>
              <w:left w:val="single" w:color="auto" w:sz="4" w:space="0"/>
              <w:right w:val="single" w:color="auto" w:sz="4" w:space="0"/>
            </w:tcBorders>
            <w:vAlign w:val="center"/>
          </w:tcPr>
          <w:p w14:paraId="264E5DFD">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1768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tcBorders>
              <w:top w:val="single" w:color="auto" w:sz="4" w:space="0"/>
              <w:left w:val="single" w:color="auto" w:sz="4" w:space="0"/>
              <w:right w:val="single" w:color="auto" w:sz="4" w:space="0"/>
            </w:tcBorders>
            <w:vAlign w:val="center"/>
          </w:tcPr>
          <w:p w14:paraId="3012D6E1">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中国农业银行股份有限公司温州分行</w:t>
            </w:r>
          </w:p>
        </w:tc>
        <w:tc>
          <w:tcPr>
            <w:tcW w:w="2558" w:type="dxa"/>
            <w:gridSpan w:val="2"/>
            <w:tcBorders>
              <w:top w:val="single" w:color="auto" w:sz="4" w:space="0"/>
              <w:left w:val="single" w:color="auto" w:sz="4" w:space="0"/>
              <w:right w:val="single" w:color="auto" w:sz="4" w:space="0"/>
            </w:tcBorders>
            <w:vAlign w:val="center"/>
          </w:tcPr>
          <w:p w14:paraId="00187D0A">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3A5A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tcBorders>
              <w:top w:val="single" w:color="auto" w:sz="4" w:space="0"/>
              <w:left w:val="single" w:color="auto" w:sz="4" w:space="0"/>
              <w:right w:val="single" w:color="auto" w:sz="4" w:space="0"/>
            </w:tcBorders>
            <w:vAlign w:val="center"/>
          </w:tcPr>
          <w:p w14:paraId="1CE77E71">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中信银行股份有限公司温州分行</w:t>
            </w:r>
          </w:p>
        </w:tc>
        <w:tc>
          <w:tcPr>
            <w:tcW w:w="2558" w:type="dxa"/>
            <w:gridSpan w:val="2"/>
            <w:tcBorders>
              <w:top w:val="single" w:color="auto" w:sz="4" w:space="0"/>
              <w:left w:val="single" w:color="auto" w:sz="4" w:space="0"/>
              <w:right w:val="single" w:color="auto" w:sz="4" w:space="0"/>
            </w:tcBorders>
            <w:vAlign w:val="center"/>
          </w:tcPr>
          <w:p w14:paraId="15EFF710">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r w14:paraId="4969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41" w:type="dxa"/>
            <w:gridSpan w:val="4"/>
            <w:tcBorders>
              <w:top w:val="single" w:color="auto" w:sz="4" w:space="0"/>
              <w:left w:val="single" w:color="auto" w:sz="4" w:space="0"/>
              <w:right w:val="single" w:color="auto" w:sz="4" w:space="0"/>
            </w:tcBorders>
            <w:vAlign w:val="center"/>
          </w:tcPr>
          <w:p w14:paraId="26DA67B5">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浙商银行股份有限公司温州分行</w:t>
            </w:r>
          </w:p>
        </w:tc>
        <w:tc>
          <w:tcPr>
            <w:tcW w:w="2558" w:type="dxa"/>
            <w:gridSpan w:val="2"/>
            <w:tcBorders>
              <w:top w:val="single" w:color="auto" w:sz="4" w:space="0"/>
              <w:left w:val="single" w:color="auto" w:sz="4" w:space="0"/>
              <w:right w:val="single" w:color="auto" w:sz="4" w:space="0"/>
            </w:tcBorders>
            <w:vAlign w:val="center"/>
          </w:tcPr>
          <w:p w14:paraId="22559CD3">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highlight w:val="none"/>
              </w:rPr>
            </w:pPr>
          </w:p>
        </w:tc>
      </w:tr>
    </w:tbl>
    <w:p w14:paraId="1916AC48">
      <w:pPr>
        <w:pageBreakBefore w:val="0"/>
        <w:widowControl w:val="0"/>
        <w:kinsoku/>
        <w:overflowPunct/>
        <w:bidi w:val="0"/>
        <w:spacing w:line="324" w:lineRule="auto"/>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注：1、本表填写对象为注册地在温州市域内的供应商。</w:t>
      </w:r>
    </w:p>
    <w:p w14:paraId="5137BBC7">
      <w:pPr>
        <w:pageBreakBefore w:val="0"/>
        <w:widowControl w:val="0"/>
        <w:kinsoku/>
        <w:overflowPunct/>
        <w:bidi w:val="0"/>
        <w:spacing w:line="324" w:lineRule="auto"/>
        <w:ind w:firstLine="480" w:firstLineChars="200"/>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2、财政部门根据企业自行选择，将本表及企业相关信息推送至相对应的融资意向银行经办人。</w:t>
      </w:r>
    </w:p>
    <w:p w14:paraId="70DAA34E">
      <w:pPr>
        <w:pStyle w:val="10"/>
        <w:pageBreakBefore w:val="0"/>
        <w:widowControl w:val="0"/>
        <w:kinsoku/>
        <w:overflowPunct/>
        <w:bidi w:val="0"/>
        <w:spacing w:line="324" w:lineRule="auto"/>
        <w:ind w:left="0" w:leftChars="0" w:firstLine="0" w:firstLineChars="0"/>
        <w:rPr>
          <w:rFonts w:hint="eastAsia" w:ascii="宋体" w:hAnsi="宋体" w:cs="宋体"/>
          <w:color w:val="auto"/>
          <w:highlight w:val="none"/>
        </w:rPr>
      </w:pPr>
    </w:p>
    <w:p w14:paraId="0EA0C223">
      <w:pPr>
        <w:pStyle w:val="10"/>
        <w:pageBreakBefore w:val="0"/>
        <w:widowControl w:val="0"/>
        <w:kinsoku/>
        <w:overflowPunct/>
        <w:bidi w:val="0"/>
        <w:spacing w:line="324" w:lineRule="auto"/>
        <w:ind w:firstLine="0"/>
        <w:rPr>
          <w:rFonts w:hint="eastAsia" w:ascii="宋体" w:hAnsi="宋体" w:cs="宋体"/>
          <w:color w:val="auto"/>
          <w:highlight w:val="none"/>
        </w:rPr>
      </w:pPr>
    </w:p>
    <w:tbl>
      <w:tblPr>
        <w:tblStyle w:val="23"/>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5615"/>
        <w:gridCol w:w="1095"/>
        <w:gridCol w:w="1650"/>
      </w:tblGrid>
      <w:tr w14:paraId="444A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0" w:type="dxa"/>
            <w:gridSpan w:val="4"/>
            <w:vAlign w:val="center"/>
          </w:tcPr>
          <w:p w14:paraId="3DEE1DCC">
            <w:pPr>
              <w:pageBreakBefore w:val="0"/>
              <w:widowControl w:val="0"/>
              <w:kinsoku/>
              <w:overflowPunct/>
              <w:bidi w:val="0"/>
              <w:spacing w:line="324" w:lineRule="auto"/>
              <w:jc w:val="center"/>
              <w:rPr>
                <w:rFonts w:hint="eastAsia" w:ascii="宋体" w:eastAsia="宋体"/>
                <w:b w:val="0"/>
                <w:bCs w:val="0"/>
                <w:color w:val="auto"/>
                <w:sz w:val="28"/>
                <w:szCs w:val="28"/>
                <w:highlight w:val="none"/>
              </w:rPr>
            </w:pPr>
            <w:r>
              <w:rPr>
                <w:rFonts w:hint="eastAsia" w:ascii="宋体" w:eastAsia="宋体"/>
                <w:b w:val="0"/>
                <w:bCs w:val="0"/>
                <w:color w:val="auto"/>
                <w:sz w:val="33"/>
                <w:szCs w:val="33"/>
                <w:highlight w:val="none"/>
              </w:rPr>
              <w:t>温州市政府采购支持中小企业信用融资合作银行</w:t>
            </w:r>
          </w:p>
        </w:tc>
      </w:tr>
      <w:tr w14:paraId="457F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90" w:type="dxa"/>
            <w:tcBorders>
              <w:top w:val="single" w:color="auto" w:sz="4" w:space="0"/>
              <w:left w:val="single" w:color="auto" w:sz="4" w:space="0"/>
              <w:right w:val="single" w:color="auto" w:sz="4" w:space="0"/>
            </w:tcBorders>
            <w:vAlign w:val="center"/>
          </w:tcPr>
          <w:p w14:paraId="364A3A41">
            <w:pPr>
              <w:pStyle w:val="27"/>
              <w:pageBreakBefore w:val="0"/>
              <w:widowControl w:val="0"/>
              <w:kinsoku/>
              <w:overflowPunct/>
              <w:bidi w:val="0"/>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银行名称</w:t>
            </w:r>
          </w:p>
        </w:tc>
        <w:tc>
          <w:tcPr>
            <w:tcW w:w="5615" w:type="dxa"/>
            <w:tcBorders>
              <w:top w:val="single" w:color="auto" w:sz="4" w:space="0"/>
              <w:left w:val="single" w:color="auto" w:sz="4" w:space="0"/>
              <w:right w:val="single" w:color="auto" w:sz="4" w:space="0"/>
            </w:tcBorders>
            <w:vAlign w:val="center"/>
          </w:tcPr>
          <w:p w14:paraId="541C90C4">
            <w:pPr>
              <w:pStyle w:val="27"/>
              <w:pageBreakBefore w:val="0"/>
              <w:widowControl w:val="0"/>
              <w:kinsoku/>
              <w:overflowPunct/>
              <w:bidi w:val="0"/>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产品特点（不超过120字）</w:t>
            </w:r>
          </w:p>
        </w:tc>
        <w:tc>
          <w:tcPr>
            <w:tcW w:w="1095" w:type="dxa"/>
            <w:tcBorders>
              <w:top w:val="single" w:color="auto" w:sz="4" w:space="0"/>
              <w:left w:val="single" w:color="auto" w:sz="4" w:space="0"/>
              <w:right w:val="single" w:color="auto" w:sz="4" w:space="0"/>
            </w:tcBorders>
            <w:vAlign w:val="center"/>
          </w:tcPr>
          <w:p w14:paraId="6B394FE3">
            <w:pPr>
              <w:pStyle w:val="27"/>
              <w:pageBreakBefore w:val="0"/>
              <w:widowControl w:val="0"/>
              <w:kinsoku/>
              <w:overflowPunct/>
              <w:bidi w:val="0"/>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经办人</w:t>
            </w:r>
          </w:p>
        </w:tc>
        <w:tc>
          <w:tcPr>
            <w:tcW w:w="1650" w:type="dxa"/>
            <w:tcBorders>
              <w:top w:val="single" w:color="auto" w:sz="4" w:space="0"/>
              <w:left w:val="single" w:color="auto" w:sz="4" w:space="0"/>
              <w:right w:val="single" w:color="auto" w:sz="4" w:space="0"/>
            </w:tcBorders>
            <w:vAlign w:val="center"/>
          </w:tcPr>
          <w:p w14:paraId="4FED9315">
            <w:pPr>
              <w:pageBreakBefore w:val="0"/>
              <w:widowControl w:val="0"/>
              <w:kinsoku/>
              <w:overflowPunct/>
              <w:bidi w:val="0"/>
              <w:spacing w:line="240" w:lineRule="auto"/>
              <w:jc w:val="center"/>
              <w:rPr>
                <w:rFonts w:hint="eastAsia" w:ascii="宋体" w:eastAsia="宋体"/>
                <w:color w:val="auto"/>
                <w:sz w:val="22"/>
                <w:szCs w:val="22"/>
                <w:highlight w:val="none"/>
              </w:rPr>
            </w:pPr>
            <w:r>
              <w:rPr>
                <w:rFonts w:hint="eastAsia" w:ascii="宋体" w:eastAsia="宋体"/>
                <w:color w:val="auto"/>
                <w:sz w:val="22"/>
                <w:szCs w:val="22"/>
                <w:highlight w:val="none"/>
              </w:rPr>
              <w:t>联系方式</w:t>
            </w:r>
          </w:p>
        </w:tc>
      </w:tr>
      <w:tr w14:paraId="7ADB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right w:val="single" w:color="auto" w:sz="4" w:space="0"/>
            </w:tcBorders>
            <w:vAlign w:val="center"/>
          </w:tcPr>
          <w:p w14:paraId="261B3A64">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中国工商银行股份有限公司温州分行</w:t>
            </w:r>
          </w:p>
        </w:tc>
        <w:tc>
          <w:tcPr>
            <w:tcW w:w="5615" w:type="dxa"/>
            <w:tcBorders>
              <w:top w:val="single" w:color="auto" w:sz="4" w:space="0"/>
              <w:left w:val="single" w:color="auto" w:sz="4" w:space="0"/>
              <w:right w:val="single" w:color="auto" w:sz="4" w:space="0"/>
            </w:tcBorders>
            <w:vAlign w:val="center"/>
          </w:tcPr>
          <w:p w14:paraId="34D081CC">
            <w:pPr>
              <w:pageBreakBefore w:val="0"/>
              <w:widowControl w:val="0"/>
              <w:kinsoku/>
              <w:overflowPunct/>
              <w:bidi w:val="0"/>
              <w:spacing w:line="324" w:lineRule="auto"/>
              <w:rPr>
                <w:rFonts w:hint="eastAsia" w:ascii="宋体" w:eastAsia="宋体"/>
                <w:b w:val="0"/>
                <w:bCs w:val="0"/>
                <w:color w:val="auto"/>
                <w:highlight w:val="none"/>
              </w:rPr>
            </w:pPr>
            <w:r>
              <w:rPr>
                <w:rFonts w:hint="eastAsia" w:ascii="宋体" w:eastAsia="宋体"/>
                <w:b w:val="0"/>
                <w:bCs w:val="0"/>
                <w:color w:val="auto"/>
                <w:highlight w:val="none"/>
              </w:rPr>
              <w:t>一、融资方式：采取简易方式</w:t>
            </w:r>
            <w:r>
              <w:rPr>
                <w:rFonts w:hint="eastAsia" w:ascii="宋体" w:eastAsia="宋体"/>
                <w:b w:val="0"/>
                <w:bCs w:val="0"/>
                <w:color w:val="auto"/>
                <w:highlight w:val="none"/>
                <w:lang w:eastAsia="zh-CN"/>
              </w:rPr>
              <w:t>，</w:t>
            </w:r>
            <w:r>
              <w:rPr>
                <w:rFonts w:hint="eastAsia" w:ascii="宋体" w:eastAsia="宋体"/>
                <w:b w:val="0"/>
                <w:bCs w:val="0"/>
                <w:color w:val="auto"/>
                <w:highlight w:val="none"/>
              </w:rPr>
              <w:t>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95" w:type="dxa"/>
            <w:tcBorders>
              <w:top w:val="single" w:color="auto" w:sz="4" w:space="0"/>
              <w:left w:val="single" w:color="auto" w:sz="4" w:space="0"/>
              <w:right w:val="single" w:color="auto" w:sz="4" w:space="0"/>
            </w:tcBorders>
            <w:vAlign w:val="center"/>
          </w:tcPr>
          <w:p w14:paraId="0377F5F6">
            <w:pPr>
              <w:pStyle w:val="27"/>
              <w:pageBreakBefore w:val="0"/>
              <w:widowControl w:val="0"/>
              <w:kinsoku/>
              <w:overflowPunct/>
              <w:bidi w:val="0"/>
              <w:spacing w:line="324" w:lineRule="auto"/>
              <w:ind w:firstLine="0" w:firstLineChars="0"/>
              <w:jc w:val="center"/>
              <w:rPr>
                <w:rFonts w:hint="eastAsia" w:ascii="宋体" w:hAnsi="宋体" w:eastAsia="宋体" w:cs="宋体"/>
                <w:b w:val="0"/>
                <w:bCs w:val="0"/>
                <w:color w:val="auto"/>
                <w:sz w:val="21"/>
                <w:szCs w:val="28"/>
                <w:highlight w:val="none"/>
              </w:rPr>
            </w:pPr>
            <w:r>
              <w:rPr>
                <w:rFonts w:hint="eastAsia" w:ascii="宋体" w:hAnsi="宋体" w:eastAsia="宋体" w:cs="宋体"/>
                <w:b w:val="0"/>
                <w:bCs w:val="0"/>
                <w:color w:val="auto"/>
                <w:sz w:val="21"/>
                <w:szCs w:val="28"/>
                <w:highlight w:val="none"/>
              </w:rPr>
              <w:t>王经理</w:t>
            </w:r>
          </w:p>
        </w:tc>
        <w:tc>
          <w:tcPr>
            <w:tcW w:w="1650" w:type="dxa"/>
            <w:tcBorders>
              <w:top w:val="single" w:color="auto" w:sz="4" w:space="0"/>
              <w:left w:val="single" w:color="auto" w:sz="4" w:space="0"/>
              <w:right w:val="single" w:color="auto" w:sz="4" w:space="0"/>
            </w:tcBorders>
            <w:vAlign w:val="center"/>
          </w:tcPr>
          <w:p w14:paraId="349E5E4E">
            <w:pPr>
              <w:pageBreakBefore w:val="0"/>
              <w:widowControl w:val="0"/>
              <w:kinsoku/>
              <w:overflowPunct/>
              <w:bidi w:val="0"/>
              <w:spacing w:line="324" w:lineRule="auto"/>
              <w:jc w:val="center"/>
              <w:rPr>
                <w:rFonts w:hint="eastAsia" w:ascii="宋体" w:eastAsia="宋体"/>
                <w:b w:val="0"/>
                <w:bCs w:val="0"/>
                <w:color w:val="auto"/>
                <w:highlight w:val="none"/>
              </w:rPr>
            </w:pPr>
            <w:r>
              <w:rPr>
                <w:rFonts w:hint="eastAsia" w:ascii="宋体" w:eastAsia="宋体"/>
                <w:b w:val="0"/>
                <w:bCs w:val="0"/>
                <w:color w:val="auto"/>
                <w:highlight w:val="none"/>
              </w:rPr>
              <w:t>0577-88186626</w:t>
            </w:r>
          </w:p>
          <w:p w14:paraId="014116C6">
            <w:pPr>
              <w:pageBreakBefore w:val="0"/>
              <w:widowControl w:val="0"/>
              <w:kinsoku/>
              <w:overflowPunct/>
              <w:bidi w:val="0"/>
              <w:spacing w:line="324" w:lineRule="auto"/>
              <w:jc w:val="center"/>
              <w:rPr>
                <w:rFonts w:hint="eastAsia" w:ascii="宋体" w:eastAsia="宋体"/>
                <w:b w:val="0"/>
                <w:bCs w:val="0"/>
                <w:color w:val="auto"/>
                <w:highlight w:val="none"/>
              </w:rPr>
            </w:pPr>
          </w:p>
        </w:tc>
      </w:tr>
      <w:tr w14:paraId="74C0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590" w:type="dxa"/>
            <w:tcBorders>
              <w:top w:val="single" w:color="auto" w:sz="4" w:space="0"/>
              <w:left w:val="single" w:color="auto" w:sz="4" w:space="0"/>
              <w:right w:val="single" w:color="auto" w:sz="4" w:space="0"/>
            </w:tcBorders>
            <w:vAlign w:val="center"/>
          </w:tcPr>
          <w:p w14:paraId="3BF03363">
            <w:pPr>
              <w:pageBreakBefore w:val="0"/>
              <w:widowControl w:val="0"/>
              <w:kinsoku/>
              <w:overflowPunct/>
              <w:bidi w:val="0"/>
              <w:spacing w:line="324" w:lineRule="auto"/>
              <w:rPr>
                <w:rFonts w:hint="eastAsia" w:ascii="宋体" w:eastAsia="宋体"/>
                <w:b w:val="0"/>
                <w:bCs w:val="0"/>
                <w:color w:val="auto"/>
                <w:szCs w:val="24"/>
                <w:highlight w:val="none"/>
              </w:rPr>
            </w:pPr>
            <w:r>
              <w:rPr>
                <w:rFonts w:hint="eastAsia" w:ascii="宋体" w:eastAsia="宋体"/>
                <w:b w:val="0"/>
                <w:bCs w:val="0"/>
                <w:color w:val="auto"/>
                <w:szCs w:val="24"/>
                <w:highlight w:val="none"/>
              </w:rPr>
              <w:t>中国建设银行股份有限公司温州分行</w:t>
            </w:r>
          </w:p>
        </w:tc>
        <w:tc>
          <w:tcPr>
            <w:tcW w:w="5615" w:type="dxa"/>
            <w:tcBorders>
              <w:top w:val="single" w:color="auto" w:sz="4" w:space="0"/>
              <w:left w:val="single" w:color="auto" w:sz="4" w:space="0"/>
              <w:right w:val="single" w:color="auto" w:sz="4" w:space="0"/>
            </w:tcBorders>
            <w:vAlign w:val="center"/>
          </w:tcPr>
          <w:p w14:paraId="1DE5D9CA">
            <w:pPr>
              <w:pageBreakBefore w:val="0"/>
              <w:widowControl w:val="0"/>
              <w:kinsoku/>
              <w:overflowPunct/>
              <w:bidi w:val="0"/>
              <w:spacing w:line="324" w:lineRule="auto"/>
              <w:rPr>
                <w:rFonts w:hint="eastAsia" w:ascii="宋体" w:eastAsia="宋体"/>
                <w:b w:val="0"/>
                <w:bCs w:val="0"/>
                <w:color w:val="auto"/>
                <w:highlight w:val="none"/>
              </w:rPr>
            </w:pPr>
            <w:r>
              <w:rPr>
                <w:rFonts w:hint="eastAsia" w:ascii="宋体" w:eastAsia="宋体"/>
                <w:b w:val="0"/>
                <w:bCs w:val="0"/>
                <w:color w:val="auto"/>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95" w:type="dxa"/>
            <w:tcBorders>
              <w:top w:val="single" w:color="auto" w:sz="4" w:space="0"/>
              <w:left w:val="single" w:color="auto" w:sz="4" w:space="0"/>
              <w:right w:val="single" w:color="auto" w:sz="4" w:space="0"/>
            </w:tcBorders>
            <w:vAlign w:val="center"/>
          </w:tcPr>
          <w:p w14:paraId="225D6AF2">
            <w:pPr>
              <w:pageBreakBefore w:val="0"/>
              <w:widowControl w:val="0"/>
              <w:kinsoku/>
              <w:overflowPunct/>
              <w:bidi w:val="0"/>
              <w:spacing w:line="324" w:lineRule="auto"/>
              <w:jc w:val="center"/>
              <w:rPr>
                <w:rFonts w:hint="eastAsia" w:ascii="宋体" w:eastAsia="宋体"/>
                <w:b w:val="0"/>
                <w:bCs w:val="0"/>
                <w:color w:val="auto"/>
                <w:szCs w:val="28"/>
                <w:highlight w:val="none"/>
              </w:rPr>
            </w:pPr>
            <w:r>
              <w:rPr>
                <w:rFonts w:hint="eastAsia" w:ascii="宋体" w:eastAsia="宋体"/>
                <w:b w:val="0"/>
                <w:bCs w:val="0"/>
                <w:color w:val="auto"/>
                <w:szCs w:val="28"/>
                <w:highlight w:val="none"/>
              </w:rPr>
              <w:t>张经理</w:t>
            </w:r>
          </w:p>
        </w:tc>
        <w:tc>
          <w:tcPr>
            <w:tcW w:w="1650" w:type="dxa"/>
            <w:tcBorders>
              <w:top w:val="single" w:color="auto" w:sz="4" w:space="0"/>
              <w:left w:val="single" w:color="auto" w:sz="4" w:space="0"/>
              <w:right w:val="single" w:color="auto" w:sz="4" w:space="0"/>
            </w:tcBorders>
            <w:vAlign w:val="center"/>
          </w:tcPr>
          <w:p w14:paraId="68750C97">
            <w:pPr>
              <w:pageBreakBefore w:val="0"/>
              <w:widowControl w:val="0"/>
              <w:kinsoku/>
              <w:overflowPunct/>
              <w:bidi w:val="0"/>
              <w:spacing w:line="324" w:lineRule="auto"/>
              <w:jc w:val="center"/>
              <w:rPr>
                <w:rFonts w:hint="eastAsia" w:ascii="宋体" w:eastAsia="宋体"/>
                <w:b w:val="0"/>
                <w:bCs w:val="0"/>
                <w:color w:val="auto"/>
                <w:szCs w:val="28"/>
                <w:highlight w:val="none"/>
              </w:rPr>
            </w:pPr>
            <w:r>
              <w:rPr>
                <w:rFonts w:hint="eastAsia" w:ascii="宋体" w:eastAsia="宋体"/>
                <w:b w:val="0"/>
                <w:bCs w:val="0"/>
                <w:color w:val="auto"/>
                <w:szCs w:val="28"/>
                <w:highlight w:val="none"/>
              </w:rPr>
              <w:t>0577-88093286</w:t>
            </w:r>
          </w:p>
        </w:tc>
      </w:tr>
      <w:tr w14:paraId="3C71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right w:val="single" w:color="auto" w:sz="4" w:space="0"/>
            </w:tcBorders>
            <w:vAlign w:val="center"/>
          </w:tcPr>
          <w:p w14:paraId="56E30524">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中国邮政储蓄银行股份有限公司温州市分行</w:t>
            </w:r>
          </w:p>
        </w:tc>
        <w:tc>
          <w:tcPr>
            <w:tcW w:w="5615" w:type="dxa"/>
            <w:tcBorders>
              <w:top w:val="single" w:color="auto" w:sz="4" w:space="0"/>
              <w:left w:val="single" w:color="auto" w:sz="4" w:space="0"/>
              <w:right w:val="single" w:color="auto" w:sz="4" w:space="0"/>
            </w:tcBorders>
            <w:vAlign w:val="center"/>
          </w:tcPr>
          <w:p w14:paraId="094B0105">
            <w:pPr>
              <w:pageBreakBefore w:val="0"/>
              <w:widowControl w:val="0"/>
              <w:kinsoku/>
              <w:overflowPunct/>
              <w:bidi w:val="0"/>
              <w:spacing w:line="324" w:lineRule="auto"/>
              <w:rPr>
                <w:rFonts w:hint="eastAsia" w:ascii="宋体" w:eastAsia="宋体"/>
                <w:b w:val="0"/>
                <w:bCs w:val="0"/>
                <w:color w:val="auto"/>
                <w:szCs w:val="28"/>
                <w:highlight w:val="none"/>
              </w:rPr>
            </w:pPr>
            <w:r>
              <w:rPr>
                <w:rFonts w:hint="eastAsia" w:ascii="宋体" w:eastAsia="宋体"/>
                <w:b w:val="0"/>
                <w:bCs w:val="0"/>
                <w:color w:val="auto"/>
                <w:szCs w:val="28"/>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95" w:type="dxa"/>
            <w:tcBorders>
              <w:top w:val="single" w:color="auto" w:sz="4" w:space="0"/>
              <w:left w:val="single" w:color="auto" w:sz="4" w:space="0"/>
              <w:right w:val="single" w:color="auto" w:sz="4" w:space="0"/>
            </w:tcBorders>
            <w:vAlign w:val="center"/>
          </w:tcPr>
          <w:p w14:paraId="67D415BF">
            <w:pPr>
              <w:pageBreakBefore w:val="0"/>
              <w:widowControl w:val="0"/>
              <w:kinsoku/>
              <w:overflowPunct/>
              <w:bidi w:val="0"/>
              <w:spacing w:line="324" w:lineRule="auto"/>
              <w:jc w:val="center"/>
              <w:rPr>
                <w:rFonts w:hint="eastAsia" w:ascii="宋体" w:eastAsia="宋体"/>
                <w:b w:val="0"/>
                <w:bCs w:val="0"/>
                <w:color w:val="auto"/>
                <w:szCs w:val="28"/>
                <w:highlight w:val="none"/>
              </w:rPr>
            </w:pPr>
            <w:r>
              <w:rPr>
                <w:rFonts w:hint="eastAsia" w:ascii="宋体" w:eastAsia="宋体"/>
                <w:b w:val="0"/>
                <w:bCs w:val="0"/>
                <w:color w:val="auto"/>
                <w:szCs w:val="28"/>
                <w:highlight w:val="none"/>
              </w:rPr>
              <w:t>郑经理</w:t>
            </w:r>
          </w:p>
        </w:tc>
        <w:tc>
          <w:tcPr>
            <w:tcW w:w="1650" w:type="dxa"/>
            <w:tcBorders>
              <w:top w:val="single" w:color="auto" w:sz="4" w:space="0"/>
              <w:left w:val="single" w:color="auto" w:sz="4" w:space="0"/>
              <w:right w:val="single" w:color="auto" w:sz="4" w:space="0"/>
            </w:tcBorders>
            <w:vAlign w:val="center"/>
          </w:tcPr>
          <w:p w14:paraId="6BED5CCE">
            <w:pPr>
              <w:pageBreakBefore w:val="0"/>
              <w:widowControl w:val="0"/>
              <w:kinsoku/>
              <w:overflowPunct/>
              <w:bidi w:val="0"/>
              <w:spacing w:line="324" w:lineRule="auto"/>
              <w:jc w:val="center"/>
              <w:rPr>
                <w:rFonts w:hint="eastAsia" w:ascii="宋体" w:eastAsia="宋体"/>
                <w:b w:val="0"/>
                <w:bCs w:val="0"/>
                <w:color w:val="auto"/>
                <w:highlight w:val="none"/>
              </w:rPr>
            </w:pPr>
            <w:r>
              <w:rPr>
                <w:rFonts w:hint="eastAsia" w:ascii="宋体" w:eastAsia="宋体"/>
                <w:b w:val="0"/>
                <w:bCs w:val="0"/>
                <w:color w:val="auto"/>
                <w:highlight w:val="none"/>
              </w:rPr>
              <w:t>0577-88193910</w:t>
            </w:r>
          </w:p>
        </w:tc>
      </w:tr>
      <w:tr w14:paraId="466D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right w:val="single" w:color="auto" w:sz="4" w:space="0"/>
            </w:tcBorders>
            <w:vAlign w:val="center"/>
          </w:tcPr>
          <w:p w14:paraId="1868A311">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中国民生银行股份有限公司温州分行</w:t>
            </w:r>
          </w:p>
        </w:tc>
        <w:tc>
          <w:tcPr>
            <w:tcW w:w="5615" w:type="dxa"/>
            <w:tcBorders>
              <w:top w:val="single" w:color="auto" w:sz="4" w:space="0"/>
              <w:left w:val="single" w:color="auto" w:sz="4" w:space="0"/>
              <w:right w:val="single" w:color="auto" w:sz="4" w:space="0"/>
            </w:tcBorders>
            <w:vAlign w:val="center"/>
          </w:tcPr>
          <w:p w14:paraId="6AE9A860">
            <w:pPr>
              <w:pageBreakBefore w:val="0"/>
              <w:widowControl w:val="0"/>
              <w:kinsoku/>
              <w:overflowPunct/>
              <w:bidi w:val="0"/>
              <w:spacing w:line="324" w:lineRule="auto"/>
              <w:rPr>
                <w:rFonts w:hint="eastAsia" w:ascii="宋体" w:eastAsia="宋体"/>
                <w:b w:val="0"/>
                <w:bCs w:val="0"/>
                <w:color w:val="auto"/>
                <w:szCs w:val="28"/>
                <w:highlight w:val="none"/>
              </w:rPr>
            </w:pPr>
            <w:r>
              <w:rPr>
                <w:rFonts w:hint="eastAsia" w:ascii="宋体" w:eastAsia="宋体"/>
                <w:b w:val="0"/>
                <w:bCs w:val="0"/>
                <w:color w:val="auto"/>
                <w:highlight w:val="none"/>
              </w:rPr>
              <w:t>民生银行供应链金融“政采贷”产品，专为政府采购场景下的中小企业融资而设计，最高融资额度可达政府采购合同交易金额的70%</w:t>
            </w:r>
            <w:r>
              <w:rPr>
                <w:rFonts w:hint="eastAsia" w:ascii="宋体" w:eastAsia="宋体"/>
                <w:b w:val="0"/>
                <w:bCs w:val="0"/>
                <w:color w:val="auto"/>
                <w:highlight w:val="none"/>
                <w:lang w:eastAsia="zh-CN"/>
              </w:rPr>
              <w:t>，</w:t>
            </w:r>
            <w:r>
              <w:rPr>
                <w:rFonts w:hint="eastAsia" w:ascii="宋体" w:eastAsia="宋体"/>
                <w:b w:val="0"/>
                <w:bCs w:val="0"/>
                <w:color w:val="auto"/>
                <w:highlight w:val="none"/>
              </w:rPr>
              <w:t>最高单笔授信金额可达500万元，期限最长可达1年，无需抵押，无需办理应收账款质押，材料简单，流程便捷，利率优惠。</w:t>
            </w:r>
          </w:p>
        </w:tc>
        <w:tc>
          <w:tcPr>
            <w:tcW w:w="1095" w:type="dxa"/>
            <w:tcBorders>
              <w:top w:val="single" w:color="auto" w:sz="4" w:space="0"/>
              <w:left w:val="single" w:color="auto" w:sz="4" w:space="0"/>
              <w:right w:val="single" w:color="auto" w:sz="4" w:space="0"/>
            </w:tcBorders>
            <w:vAlign w:val="center"/>
          </w:tcPr>
          <w:p w14:paraId="6C982AB8">
            <w:pPr>
              <w:pageBreakBefore w:val="0"/>
              <w:widowControl w:val="0"/>
              <w:kinsoku/>
              <w:overflowPunct/>
              <w:bidi w:val="0"/>
              <w:spacing w:line="324" w:lineRule="auto"/>
              <w:jc w:val="center"/>
              <w:rPr>
                <w:rFonts w:hint="eastAsia" w:ascii="宋体" w:eastAsia="宋体"/>
                <w:b w:val="0"/>
                <w:bCs w:val="0"/>
                <w:color w:val="auto"/>
                <w:szCs w:val="28"/>
                <w:highlight w:val="none"/>
              </w:rPr>
            </w:pPr>
            <w:r>
              <w:rPr>
                <w:rFonts w:hint="eastAsia" w:ascii="宋体" w:eastAsia="宋体"/>
                <w:b w:val="0"/>
                <w:bCs w:val="0"/>
                <w:color w:val="auto"/>
                <w:szCs w:val="28"/>
                <w:highlight w:val="none"/>
              </w:rPr>
              <w:t>项经理</w:t>
            </w:r>
          </w:p>
        </w:tc>
        <w:tc>
          <w:tcPr>
            <w:tcW w:w="1650" w:type="dxa"/>
            <w:tcBorders>
              <w:top w:val="single" w:color="auto" w:sz="4" w:space="0"/>
              <w:left w:val="single" w:color="auto" w:sz="4" w:space="0"/>
              <w:right w:val="single" w:color="auto" w:sz="4" w:space="0"/>
            </w:tcBorders>
            <w:vAlign w:val="center"/>
          </w:tcPr>
          <w:p w14:paraId="6EF9248B">
            <w:pPr>
              <w:pageBreakBefore w:val="0"/>
              <w:widowControl w:val="0"/>
              <w:kinsoku/>
              <w:overflowPunct/>
              <w:bidi w:val="0"/>
              <w:spacing w:line="324" w:lineRule="auto"/>
              <w:jc w:val="center"/>
              <w:rPr>
                <w:rFonts w:hint="eastAsia" w:ascii="宋体" w:eastAsia="宋体"/>
                <w:b w:val="0"/>
                <w:bCs w:val="0"/>
                <w:color w:val="auto"/>
                <w:highlight w:val="none"/>
              </w:rPr>
            </w:pPr>
            <w:r>
              <w:rPr>
                <w:rFonts w:hint="eastAsia" w:ascii="宋体" w:eastAsia="宋体"/>
                <w:b w:val="0"/>
                <w:bCs w:val="0"/>
                <w:color w:val="auto"/>
                <w:highlight w:val="none"/>
              </w:rPr>
              <w:t>18057779630</w:t>
            </w:r>
          </w:p>
        </w:tc>
      </w:tr>
      <w:tr w14:paraId="49EA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right w:val="single" w:color="auto" w:sz="4" w:space="0"/>
            </w:tcBorders>
            <w:vAlign w:val="center"/>
          </w:tcPr>
          <w:p w14:paraId="5A089C40">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宁波银行股份有限公司温州分行</w:t>
            </w:r>
          </w:p>
        </w:tc>
        <w:tc>
          <w:tcPr>
            <w:tcW w:w="5615" w:type="dxa"/>
            <w:tcBorders>
              <w:top w:val="single" w:color="auto" w:sz="4" w:space="0"/>
              <w:left w:val="single" w:color="auto" w:sz="4" w:space="0"/>
              <w:right w:val="single" w:color="auto" w:sz="4" w:space="0"/>
            </w:tcBorders>
            <w:vAlign w:val="center"/>
          </w:tcPr>
          <w:p w14:paraId="3A812F8B">
            <w:pPr>
              <w:pageBreakBefore w:val="0"/>
              <w:widowControl w:val="0"/>
              <w:kinsoku/>
              <w:overflowPunct/>
              <w:bidi w:val="0"/>
              <w:spacing w:line="324" w:lineRule="auto"/>
              <w:rPr>
                <w:rFonts w:hint="eastAsia" w:ascii="宋体" w:eastAsia="宋体"/>
                <w:b w:val="0"/>
                <w:bCs w:val="0"/>
                <w:color w:val="auto"/>
                <w:szCs w:val="28"/>
                <w:highlight w:val="none"/>
              </w:rPr>
            </w:pPr>
            <w:r>
              <w:rPr>
                <w:rFonts w:hint="eastAsia" w:ascii="宋体" w:eastAsia="宋体"/>
                <w:b w:val="0"/>
                <w:bCs w:val="0"/>
                <w:color w:val="auto"/>
                <w:szCs w:val="28"/>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95" w:type="dxa"/>
            <w:tcBorders>
              <w:top w:val="single" w:color="auto" w:sz="4" w:space="0"/>
              <w:left w:val="single" w:color="auto" w:sz="4" w:space="0"/>
              <w:right w:val="single" w:color="auto" w:sz="4" w:space="0"/>
            </w:tcBorders>
            <w:vAlign w:val="center"/>
          </w:tcPr>
          <w:p w14:paraId="3FADF2A3">
            <w:pPr>
              <w:pageBreakBefore w:val="0"/>
              <w:widowControl w:val="0"/>
              <w:kinsoku/>
              <w:overflowPunct/>
              <w:bidi w:val="0"/>
              <w:spacing w:line="324" w:lineRule="auto"/>
              <w:jc w:val="center"/>
              <w:rPr>
                <w:rFonts w:hint="eastAsia" w:ascii="宋体" w:eastAsia="宋体"/>
                <w:b w:val="0"/>
                <w:bCs w:val="0"/>
                <w:color w:val="auto"/>
                <w:szCs w:val="28"/>
                <w:highlight w:val="none"/>
              </w:rPr>
            </w:pPr>
            <w:r>
              <w:rPr>
                <w:rFonts w:hint="eastAsia" w:ascii="宋体" w:eastAsia="宋体"/>
                <w:b w:val="0"/>
                <w:bCs w:val="0"/>
                <w:color w:val="auto"/>
                <w:szCs w:val="28"/>
                <w:highlight w:val="none"/>
              </w:rPr>
              <w:t>陈经理</w:t>
            </w:r>
          </w:p>
        </w:tc>
        <w:tc>
          <w:tcPr>
            <w:tcW w:w="1650" w:type="dxa"/>
            <w:tcBorders>
              <w:top w:val="single" w:color="auto" w:sz="4" w:space="0"/>
              <w:left w:val="single" w:color="auto" w:sz="4" w:space="0"/>
              <w:right w:val="single" w:color="auto" w:sz="4" w:space="0"/>
            </w:tcBorders>
            <w:vAlign w:val="center"/>
          </w:tcPr>
          <w:p w14:paraId="2C5125DD">
            <w:pPr>
              <w:pageBreakBefore w:val="0"/>
              <w:widowControl w:val="0"/>
              <w:kinsoku/>
              <w:overflowPunct/>
              <w:bidi w:val="0"/>
              <w:spacing w:line="324" w:lineRule="auto"/>
              <w:jc w:val="center"/>
              <w:rPr>
                <w:rFonts w:hint="eastAsia" w:ascii="宋体" w:eastAsia="宋体"/>
                <w:b w:val="0"/>
                <w:bCs w:val="0"/>
                <w:color w:val="auto"/>
                <w:highlight w:val="none"/>
              </w:rPr>
            </w:pPr>
            <w:r>
              <w:rPr>
                <w:rFonts w:hint="eastAsia" w:ascii="宋体" w:eastAsia="宋体"/>
                <w:b w:val="0"/>
                <w:bCs w:val="0"/>
                <w:color w:val="auto"/>
                <w:highlight w:val="none"/>
              </w:rPr>
              <w:t>0577－88007377</w:t>
            </w:r>
          </w:p>
          <w:p w14:paraId="08FB2EB9">
            <w:pPr>
              <w:pageBreakBefore w:val="0"/>
              <w:widowControl w:val="0"/>
              <w:kinsoku/>
              <w:overflowPunct/>
              <w:bidi w:val="0"/>
              <w:spacing w:line="324" w:lineRule="auto"/>
              <w:jc w:val="center"/>
              <w:rPr>
                <w:rFonts w:hint="eastAsia" w:ascii="宋体" w:eastAsia="宋体"/>
                <w:b w:val="0"/>
                <w:bCs w:val="0"/>
                <w:color w:val="auto"/>
                <w:highlight w:val="none"/>
              </w:rPr>
            </w:pPr>
          </w:p>
        </w:tc>
      </w:tr>
      <w:tr w14:paraId="57F4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right w:val="single" w:color="auto" w:sz="4" w:space="0"/>
            </w:tcBorders>
            <w:vAlign w:val="center"/>
          </w:tcPr>
          <w:p w14:paraId="29A55560">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杭州银行股份有限公司温州分行</w:t>
            </w:r>
          </w:p>
        </w:tc>
        <w:tc>
          <w:tcPr>
            <w:tcW w:w="5615" w:type="dxa"/>
            <w:tcBorders>
              <w:top w:val="single" w:color="auto" w:sz="4" w:space="0"/>
              <w:left w:val="single" w:color="auto" w:sz="4" w:space="0"/>
              <w:right w:val="single" w:color="auto" w:sz="4" w:space="0"/>
            </w:tcBorders>
            <w:vAlign w:val="center"/>
          </w:tcPr>
          <w:p w14:paraId="0AA41943">
            <w:pPr>
              <w:pageBreakBefore w:val="0"/>
              <w:widowControl w:val="0"/>
              <w:kinsoku/>
              <w:overflowPunct/>
              <w:bidi w:val="0"/>
              <w:spacing w:line="324" w:lineRule="auto"/>
              <w:rPr>
                <w:rFonts w:hint="eastAsia" w:ascii="宋体" w:eastAsia="宋体"/>
                <w:b w:val="0"/>
                <w:bCs w:val="0"/>
                <w:color w:val="auto"/>
                <w:highlight w:val="none"/>
              </w:rPr>
            </w:pPr>
            <w:r>
              <w:rPr>
                <w:rFonts w:hint="eastAsia" w:ascii="宋体" w:eastAsia="宋体"/>
                <w:b w:val="0"/>
                <w:bCs w:val="0"/>
                <w:color w:val="auto"/>
                <w:highlight w:val="none"/>
              </w:rPr>
              <w:t>门槛低：纯信用，平台注册入库并取得采购合同即可申请</w:t>
            </w:r>
          </w:p>
          <w:p w14:paraId="777B3BF3">
            <w:pPr>
              <w:pageBreakBefore w:val="0"/>
              <w:widowControl w:val="0"/>
              <w:kinsoku/>
              <w:overflowPunct/>
              <w:bidi w:val="0"/>
              <w:spacing w:line="324" w:lineRule="auto"/>
              <w:rPr>
                <w:rFonts w:hint="eastAsia" w:ascii="宋体" w:eastAsia="宋体"/>
                <w:b w:val="0"/>
                <w:bCs w:val="0"/>
                <w:color w:val="auto"/>
                <w:highlight w:val="none"/>
              </w:rPr>
            </w:pPr>
            <w:r>
              <w:rPr>
                <w:rFonts w:hint="eastAsia" w:ascii="宋体" w:eastAsia="宋体"/>
                <w:b w:val="0"/>
                <w:bCs w:val="0"/>
                <w:color w:val="auto"/>
                <w:highlight w:val="none"/>
              </w:rPr>
              <w:t>手续简：线上申请+线上签约，足不出户</w:t>
            </w:r>
          </w:p>
          <w:p w14:paraId="725B0044">
            <w:pPr>
              <w:pageBreakBefore w:val="0"/>
              <w:widowControl w:val="0"/>
              <w:kinsoku/>
              <w:overflowPunct/>
              <w:bidi w:val="0"/>
              <w:spacing w:line="324" w:lineRule="auto"/>
              <w:rPr>
                <w:rFonts w:hint="eastAsia" w:ascii="宋体" w:eastAsia="宋体"/>
                <w:b w:val="0"/>
                <w:bCs w:val="0"/>
                <w:color w:val="auto"/>
                <w:highlight w:val="none"/>
              </w:rPr>
            </w:pPr>
            <w:r>
              <w:rPr>
                <w:rFonts w:hint="eastAsia" w:ascii="宋体" w:eastAsia="宋体"/>
                <w:b w:val="0"/>
                <w:bCs w:val="0"/>
                <w:color w:val="auto"/>
                <w:highlight w:val="none"/>
              </w:rPr>
              <w:t>利率优：按优于一般中小企业贷款利率执行</w:t>
            </w:r>
          </w:p>
          <w:p w14:paraId="3AFFA149">
            <w:pPr>
              <w:pageBreakBefore w:val="0"/>
              <w:widowControl w:val="0"/>
              <w:kinsoku/>
              <w:overflowPunct/>
              <w:bidi w:val="0"/>
              <w:spacing w:line="324" w:lineRule="auto"/>
              <w:rPr>
                <w:rFonts w:hint="eastAsia" w:ascii="宋体" w:eastAsia="宋体"/>
                <w:b w:val="0"/>
                <w:bCs w:val="0"/>
                <w:color w:val="auto"/>
                <w:szCs w:val="28"/>
                <w:highlight w:val="none"/>
              </w:rPr>
            </w:pPr>
            <w:r>
              <w:rPr>
                <w:rFonts w:hint="eastAsia" w:ascii="宋体" w:eastAsia="宋体"/>
                <w:b w:val="0"/>
                <w:bCs w:val="0"/>
                <w:color w:val="auto"/>
                <w:highlight w:val="none"/>
              </w:rPr>
              <w:t>额度高：最高为合同金额的80%</w:t>
            </w:r>
          </w:p>
        </w:tc>
        <w:tc>
          <w:tcPr>
            <w:tcW w:w="1095" w:type="dxa"/>
            <w:tcBorders>
              <w:top w:val="single" w:color="auto" w:sz="4" w:space="0"/>
              <w:left w:val="single" w:color="auto" w:sz="4" w:space="0"/>
              <w:right w:val="single" w:color="auto" w:sz="4" w:space="0"/>
            </w:tcBorders>
            <w:vAlign w:val="center"/>
          </w:tcPr>
          <w:p w14:paraId="68BAD8FE">
            <w:pPr>
              <w:pageBreakBefore w:val="0"/>
              <w:widowControl w:val="0"/>
              <w:kinsoku/>
              <w:overflowPunct/>
              <w:bidi w:val="0"/>
              <w:spacing w:line="324" w:lineRule="auto"/>
              <w:jc w:val="center"/>
              <w:rPr>
                <w:rFonts w:hint="eastAsia" w:ascii="宋体" w:eastAsia="宋体"/>
                <w:b w:val="0"/>
                <w:bCs w:val="0"/>
                <w:color w:val="auto"/>
                <w:szCs w:val="28"/>
                <w:highlight w:val="none"/>
              </w:rPr>
            </w:pPr>
            <w:r>
              <w:rPr>
                <w:rFonts w:hint="eastAsia" w:ascii="宋体" w:eastAsia="宋体"/>
                <w:b w:val="0"/>
                <w:bCs w:val="0"/>
                <w:color w:val="auto"/>
                <w:szCs w:val="28"/>
                <w:highlight w:val="none"/>
              </w:rPr>
              <w:t>叶经理</w:t>
            </w:r>
          </w:p>
        </w:tc>
        <w:tc>
          <w:tcPr>
            <w:tcW w:w="1650" w:type="dxa"/>
            <w:tcBorders>
              <w:top w:val="single" w:color="auto" w:sz="4" w:space="0"/>
              <w:left w:val="single" w:color="auto" w:sz="4" w:space="0"/>
              <w:right w:val="single" w:color="auto" w:sz="4" w:space="0"/>
            </w:tcBorders>
            <w:vAlign w:val="center"/>
          </w:tcPr>
          <w:p w14:paraId="320479D6">
            <w:pPr>
              <w:pageBreakBefore w:val="0"/>
              <w:widowControl w:val="0"/>
              <w:kinsoku/>
              <w:overflowPunct/>
              <w:bidi w:val="0"/>
              <w:spacing w:line="324" w:lineRule="auto"/>
              <w:jc w:val="center"/>
              <w:rPr>
                <w:rFonts w:hint="eastAsia" w:ascii="宋体" w:eastAsia="宋体"/>
                <w:b w:val="0"/>
                <w:bCs w:val="0"/>
                <w:color w:val="auto"/>
                <w:highlight w:val="none"/>
              </w:rPr>
            </w:pPr>
            <w:r>
              <w:rPr>
                <w:rFonts w:hint="eastAsia" w:ascii="宋体" w:eastAsia="宋体"/>
                <w:b w:val="0"/>
                <w:bCs w:val="0"/>
                <w:color w:val="auto"/>
                <w:highlight w:val="none"/>
              </w:rPr>
              <w:t>0577-88008933</w:t>
            </w:r>
          </w:p>
        </w:tc>
      </w:tr>
      <w:tr w14:paraId="0915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right w:val="single" w:color="auto" w:sz="4" w:space="0"/>
            </w:tcBorders>
            <w:vAlign w:val="center"/>
          </w:tcPr>
          <w:p w14:paraId="42EA55DC">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招商银行股份有限公司温州分行</w:t>
            </w:r>
          </w:p>
        </w:tc>
        <w:tc>
          <w:tcPr>
            <w:tcW w:w="5615" w:type="dxa"/>
            <w:tcBorders>
              <w:top w:val="single" w:color="auto" w:sz="4" w:space="0"/>
              <w:left w:val="single" w:color="auto" w:sz="4" w:space="0"/>
              <w:right w:val="single" w:color="auto" w:sz="4" w:space="0"/>
            </w:tcBorders>
            <w:vAlign w:val="center"/>
          </w:tcPr>
          <w:p w14:paraId="41562B90">
            <w:pPr>
              <w:pageBreakBefore w:val="0"/>
              <w:widowControl w:val="0"/>
              <w:kinsoku/>
              <w:overflowPunct/>
              <w:bidi w:val="0"/>
              <w:spacing w:line="324" w:lineRule="auto"/>
              <w:rPr>
                <w:rFonts w:hint="eastAsia" w:ascii="宋体" w:eastAsia="宋体"/>
                <w:b w:val="0"/>
                <w:bCs w:val="0"/>
                <w:color w:val="auto"/>
                <w:szCs w:val="28"/>
                <w:highlight w:val="none"/>
              </w:rPr>
            </w:pPr>
            <w:r>
              <w:rPr>
                <w:rFonts w:hint="eastAsia" w:ascii="宋体" w:eastAsia="宋体"/>
                <w:b w:val="0"/>
                <w:bCs w:val="0"/>
                <w:color w:val="auto"/>
                <w:szCs w:val="28"/>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95" w:type="dxa"/>
            <w:tcBorders>
              <w:top w:val="single" w:color="auto" w:sz="4" w:space="0"/>
              <w:left w:val="single" w:color="auto" w:sz="4" w:space="0"/>
              <w:right w:val="single" w:color="auto" w:sz="4" w:space="0"/>
            </w:tcBorders>
            <w:vAlign w:val="center"/>
          </w:tcPr>
          <w:p w14:paraId="0BEC9904">
            <w:pPr>
              <w:pageBreakBefore w:val="0"/>
              <w:widowControl w:val="0"/>
              <w:kinsoku/>
              <w:overflowPunct/>
              <w:bidi w:val="0"/>
              <w:spacing w:line="324" w:lineRule="auto"/>
              <w:jc w:val="center"/>
              <w:rPr>
                <w:rFonts w:hint="eastAsia" w:ascii="宋体" w:eastAsia="宋体"/>
                <w:b w:val="0"/>
                <w:bCs w:val="0"/>
                <w:color w:val="auto"/>
                <w:szCs w:val="28"/>
                <w:highlight w:val="none"/>
              </w:rPr>
            </w:pPr>
            <w:r>
              <w:rPr>
                <w:rFonts w:hint="eastAsia" w:ascii="宋体" w:eastAsia="宋体"/>
                <w:b w:val="0"/>
                <w:bCs w:val="0"/>
                <w:color w:val="auto"/>
                <w:szCs w:val="28"/>
                <w:highlight w:val="none"/>
              </w:rPr>
              <w:t>陈经理</w:t>
            </w:r>
          </w:p>
        </w:tc>
        <w:tc>
          <w:tcPr>
            <w:tcW w:w="1650" w:type="dxa"/>
            <w:tcBorders>
              <w:top w:val="single" w:color="auto" w:sz="4" w:space="0"/>
              <w:left w:val="single" w:color="auto" w:sz="4" w:space="0"/>
              <w:right w:val="single" w:color="auto" w:sz="4" w:space="0"/>
            </w:tcBorders>
            <w:vAlign w:val="center"/>
          </w:tcPr>
          <w:p w14:paraId="3ACC3A55">
            <w:pPr>
              <w:pageBreakBefore w:val="0"/>
              <w:widowControl w:val="0"/>
              <w:kinsoku/>
              <w:overflowPunct/>
              <w:bidi w:val="0"/>
              <w:spacing w:line="324" w:lineRule="auto"/>
              <w:jc w:val="center"/>
              <w:rPr>
                <w:rFonts w:hint="eastAsia" w:ascii="宋体" w:eastAsia="宋体"/>
                <w:b w:val="0"/>
                <w:bCs w:val="0"/>
                <w:color w:val="auto"/>
                <w:highlight w:val="none"/>
              </w:rPr>
            </w:pPr>
            <w:r>
              <w:rPr>
                <w:rFonts w:hint="eastAsia" w:ascii="宋体" w:eastAsia="宋体"/>
                <w:b w:val="0"/>
                <w:bCs w:val="0"/>
                <w:color w:val="auto"/>
                <w:highlight w:val="none"/>
              </w:rPr>
              <w:t>0577-88056876</w:t>
            </w:r>
          </w:p>
          <w:p w14:paraId="5A588E6D">
            <w:pPr>
              <w:pageBreakBefore w:val="0"/>
              <w:widowControl w:val="0"/>
              <w:kinsoku/>
              <w:overflowPunct/>
              <w:bidi w:val="0"/>
              <w:spacing w:line="324" w:lineRule="auto"/>
              <w:jc w:val="center"/>
              <w:rPr>
                <w:rFonts w:hint="eastAsia" w:ascii="宋体" w:eastAsia="宋体"/>
                <w:b w:val="0"/>
                <w:bCs w:val="0"/>
                <w:color w:val="auto"/>
                <w:highlight w:val="none"/>
              </w:rPr>
            </w:pPr>
          </w:p>
        </w:tc>
      </w:tr>
      <w:tr w14:paraId="5108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right w:val="single" w:color="auto" w:sz="4" w:space="0"/>
            </w:tcBorders>
            <w:vAlign w:val="center"/>
          </w:tcPr>
          <w:p w14:paraId="41DBAAB7">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兴业银行股份有限公司温州分行</w:t>
            </w:r>
          </w:p>
        </w:tc>
        <w:tc>
          <w:tcPr>
            <w:tcW w:w="5615" w:type="dxa"/>
            <w:tcBorders>
              <w:top w:val="single" w:color="auto" w:sz="4" w:space="0"/>
              <w:left w:val="single" w:color="auto" w:sz="4" w:space="0"/>
              <w:right w:val="single" w:color="auto" w:sz="4" w:space="0"/>
            </w:tcBorders>
            <w:vAlign w:val="center"/>
          </w:tcPr>
          <w:p w14:paraId="33C4EEE1">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95" w:type="dxa"/>
            <w:tcBorders>
              <w:top w:val="single" w:color="auto" w:sz="4" w:space="0"/>
              <w:left w:val="single" w:color="auto" w:sz="4" w:space="0"/>
              <w:right w:val="single" w:color="auto" w:sz="4" w:space="0"/>
            </w:tcBorders>
            <w:vAlign w:val="center"/>
          </w:tcPr>
          <w:p w14:paraId="1FB8F9A6">
            <w:pPr>
              <w:pageBreakBefore w:val="0"/>
              <w:widowControl w:val="0"/>
              <w:kinsoku/>
              <w:overflowPunct/>
              <w:bidi w:val="0"/>
              <w:spacing w:line="324" w:lineRule="auto"/>
              <w:jc w:val="center"/>
              <w:rPr>
                <w:rFonts w:hint="eastAsia" w:ascii="宋体" w:eastAsia="宋体"/>
                <w:b w:val="0"/>
                <w:bCs w:val="0"/>
                <w:color w:val="auto"/>
                <w:szCs w:val="28"/>
                <w:highlight w:val="none"/>
              </w:rPr>
            </w:pPr>
            <w:r>
              <w:rPr>
                <w:rFonts w:hint="eastAsia" w:ascii="宋体" w:eastAsia="宋体"/>
                <w:b w:val="0"/>
                <w:bCs w:val="0"/>
                <w:color w:val="auto"/>
                <w:szCs w:val="28"/>
                <w:highlight w:val="none"/>
              </w:rPr>
              <w:t>张经理</w:t>
            </w:r>
          </w:p>
          <w:p w14:paraId="5510FA50">
            <w:pPr>
              <w:pageBreakBefore w:val="0"/>
              <w:widowControl w:val="0"/>
              <w:kinsoku/>
              <w:overflowPunct/>
              <w:bidi w:val="0"/>
              <w:spacing w:line="324" w:lineRule="auto"/>
              <w:jc w:val="center"/>
              <w:rPr>
                <w:rFonts w:hint="eastAsia" w:ascii="宋体" w:eastAsia="宋体"/>
                <w:b w:val="0"/>
                <w:bCs w:val="0"/>
                <w:color w:val="auto"/>
                <w:szCs w:val="28"/>
                <w:highlight w:val="none"/>
              </w:rPr>
            </w:pPr>
            <w:r>
              <w:rPr>
                <w:rFonts w:hint="eastAsia" w:ascii="宋体" w:eastAsia="宋体"/>
                <w:b w:val="0"/>
                <w:bCs w:val="0"/>
                <w:color w:val="auto"/>
                <w:szCs w:val="28"/>
                <w:highlight w:val="none"/>
              </w:rPr>
              <w:t>陈经理</w:t>
            </w:r>
          </w:p>
        </w:tc>
        <w:tc>
          <w:tcPr>
            <w:tcW w:w="1650" w:type="dxa"/>
            <w:tcBorders>
              <w:top w:val="single" w:color="auto" w:sz="4" w:space="0"/>
              <w:left w:val="single" w:color="auto" w:sz="4" w:space="0"/>
              <w:right w:val="single" w:color="auto" w:sz="4" w:space="0"/>
            </w:tcBorders>
            <w:vAlign w:val="center"/>
          </w:tcPr>
          <w:p w14:paraId="356D4F32">
            <w:pPr>
              <w:pStyle w:val="27"/>
              <w:pageBreakBefore w:val="0"/>
              <w:widowControl w:val="0"/>
              <w:kinsoku/>
              <w:overflowPunct/>
              <w:bidi w:val="0"/>
              <w:spacing w:line="324" w:lineRule="auto"/>
              <w:ind w:firstLine="0" w:firstLineChars="0"/>
              <w:jc w:val="center"/>
              <w:rPr>
                <w:rFonts w:hint="eastAsia" w:ascii="宋体" w:hAnsi="宋体" w:eastAsia="宋体" w:cs="宋体"/>
                <w:b w:val="0"/>
                <w:bCs w:val="0"/>
                <w:color w:val="auto"/>
                <w:sz w:val="21"/>
                <w:szCs w:val="22"/>
                <w:highlight w:val="none"/>
              </w:rPr>
            </w:pPr>
            <w:r>
              <w:rPr>
                <w:rFonts w:hint="eastAsia" w:ascii="宋体" w:hAnsi="宋体" w:eastAsia="宋体" w:cs="宋体"/>
                <w:b w:val="0"/>
                <w:bCs w:val="0"/>
                <w:color w:val="auto"/>
                <w:sz w:val="21"/>
                <w:szCs w:val="22"/>
                <w:highlight w:val="none"/>
              </w:rPr>
              <w:t>0577-88369368/13857713118</w:t>
            </w:r>
          </w:p>
          <w:p w14:paraId="143103CC">
            <w:pPr>
              <w:pStyle w:val="27"/>
              <w:pageBreakBefore w:val="0"/>
              <w:widowControl w:val="0"/>
              <w:kinsoku/>
              <w:overflowPunct/>
              <w:bidi w:val="0"/>
              <w:spacing w:line="324" w:lineRule="auto"/>
              <w:ind w:firstLine="0" w:firstLineChars="0"/>
              <w:jc w:val="center"/>
              <w:rPr>
                <w:rFonts w:hint="eastAsia" w:ascii="宋体" w:hAnsi="宋体" w:eastAsia="宋体" w:cs="宋体"/>
                <w:b w:val="0"/>
                <w:bCs w:val="0"/>
                <w:color w:val="auto"/>
                <w:sz w:val="21"/>
                <w:szCs w:val="22"/>
                <w:highlight w:val="none"/>
              </w:rPr>
            </w:pPr>
            <w:r>
              <w:rPr>
                <w:rFonts w:hint="eastAsia" w:ascii="宋体" w:hAnsi="宋体" w:eastAsia="宋体" w:cs="宋体"/>
                <w:b w:val="0"/>
                <w:bCs w:val="0"/>
                <w:color w:val="auto"/>
                <w:sz w:val="21"/>
                <w:szCs w:val="22"/>
                <w:highlight w:val="none"/>
              </w:rPr>
              <w:t>0577-56969696-526506</w:t>
            </w:r>
          </w:p>
        </w:tc>
      </w:tr>
      <w:tr w14:paraId="0C2A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90" w:type="dxa"/>
            <w:tcBorders>
              <w:top w:val="single" w:color="auto" w:sz="4" w:space="0"/>
              <w:left w:val="single" w:color="auto" w:sz="4" w:space="0"/>
              <w:right w:val="single" w:color="auto" w:sz="4" w:space="0"/>
            </w:tcBorders>
            <w:vAlign w:val="center"/>
          </w:tcPr>
          <w:p w14:paraId="701A012E">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温州银行股份有限公司</w:t>
            </w:r>
          </w:p>
        </w:tc>
        <w:tc>
          <w:tcPr>
            <w:tcW w:w="5615" w:type="dxa"/>
            <w:tcBorders>
              <w:top w:val="single" w:color="auto" w:sz="4" w:space="0"/>
              <w:left w:val="single" w:color="auto" w:sz="4" w:space="0"/>
              <w:right w:val="single" w:color="auto" w:sz="4" w:space="0"/>
            </w:tcBorders>
            <w:vAlign w:val="center"/>
          </w:tcPr>
          <w:p w14:paraId="09E13F75">
            <w:pPr>
              <w:pageBreakBefore w:val="0"/>
              <w:widowControl w:val="0"/>
              <w:kinsoku/>
              <w:overflowPunct/>
              <w:bidi w:val="0"/>
              <w:spacing w:line="324" w:lineRule="auto"/>
              <w:rPr>
                <w:rFonts w:hint="eastAsia" w:ascii="宋体" w:eastAsia="宋体"/>
                <w:b w:val="0"/>
                <w:bCs w:val="0"/>
                <w:color w:val="auto"/>
                <w:szCs w:val="24"/>
                <w:highlight w:val="none"/>
              </w:rPr>
            </w:pPr>
            <w:r>
              <w:rPr>
                <w:rFonts w:hint="eastAsia" w:ascii="宋体" w:eastAsia="宋体"/>
                <w:b w:val="0"/>
                <w:bCs w:val="0"/>
                <w:color w:val="auto"/>
                <w:szCs w:val="24"/>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95" w:type="dxa"/>
            <w:tcBorders>
              <w:top w:val="single" w:color="auto" w:sz="4" w:space="0"/>
              <w:left w:val="single" w:color="auto" w:sz="4" w:space="0"/>
              <w:right w:val="single" w:color="auto" w:sz="4" w:space="0"/>
            </w:tcBorders>
            <w:vAlign w:val="center"/>
          </w:tcPr>
          <w:p w14:paraId="65ADE69C">
            <w:pPr>
              <w:pageBreakBefore w:val="0"/>
              <w:widowControl w:val="0"/>
              <w:kinsoku/>
              <w:overflowPunct/>
              <w:bidi w:val="0"/>
              <w:spacing w:line="324" w:lineRule="auto"/>
              <w:jc w:val="center"/>
              <w:rPr>
                <w:rFonts w:hint="eastAsia" w:ascii="宋体" w:eastAsia="宋体"/>
                <w:b w:val="0"/>
                <w:bCs w:val="0"/>
                <w:color w:val="auto"/>
                <w:szCs w:val="24"/>
                <w:highlight w:val="none"/>
              </w:rPr>
            </w:pPr>
            <w:r>
              <w:rPr>
                <w:rFonts w:hint="eastAsia" w:ascii="宋体" w:eastAsia="宋体"/>
                <w:b w:val="0"/>
                <w:bCs w:val="0"/>
                <w:color w:val="auto"/>
                <w:szCs w:val="24"/>
                <w:highlight w:val="none"/>
              </w:rPr>
              <w:t>陈经理</w:t>
            </w:r>
          </w:p>
          <w:p w14:paraId="39690D6A">
            <w:pPr>
              <w:pageBreakBefore w:val="0"/>
              <w:widowControl w:val="0"/>
              <w:kinsoku/>
              <w:overflowPunct/>
              <w:bidi w:val="0"/>
              <w:spacing w:line="324" w:lineRule="auto"/>
              <w:jc w:val="center"/>
              <w:rPr>
                <w:rFonts w:hint="eastAsia" w:ascii="宋体" w:eastAsia="宋体"/>
                <w:b w:val="0"/>
                <w:bCs w:val="0"/>
                <w:color w:val="auto"/>
                <w:szCs w:val="24"/>
                <w:highlight w:val="none"/>
              </w:rPr>
            </w:pPr>
            <w:r>
              <w:rPr>
                <w:rFonts w:hint="eastAsia" w:ascii="宋体" w:eastAsia="宋体"/>
                <w:b w:val="0"/>
                <w:bCs w:val="0"/>
                <w:color w:val="auto"/>
                <w:highlight w:val="none"/>
              </w:rPr>
              <w:t>戴经理</w:t>
            </w:r>
          </w:p>
        </w:tc>
        <w:tc>
          <w:tcPr>
            <w:tcW w:w="1650" w:type="dxa"/>
            <w:tcBorders>
              <w:top w:val="single" w:color="auto" w:sz="4" w:space="0"/>
              <w:left w:val="single" w:color="auto" w:sz="4" w:space="0"/>
              <w:right w:val="single" w:color="auto" w:sz="4" w:space="0"/>
            </w:tcBorders>
            <w:vAlign w:val="center"/>
          </w:tcPr>
          <w:p w14:paraId="3C28FC9A">
            <w:pPr>
              <w:pageBreakBefore w:val="0"/>
              <w:widowControl w:val="0"/>
              <w:kinsoku/>
              <w:overflowPunct/>
              <w:bidi w:val="0"/>
              <w:spacing w:line="324" w:lineRule="auto"/>
              <w:jc w:val="center"/>
              <w:rPr>
                <w:rFonts w:hint="eastAsia" w:ascii="宋体" w:eastAsia="宋体"/>
                <w:b w:val="0"/>
                <w:bCs w:val="0"/>
                <w:color w:val="auto"/>
                <w:highlight w:val="none"/>
              </w:rPr>
            </w:pPr>
            <w:r>
              <w:rPr>
                <w:rFonts w:hint="eastAsia" w:ascii="宋体" w:eastAsia="宋体"/>
                <w:b w:val="0"/>
                <w:bCs w:val="0"/>
                <w:color w:val="auto"/>
                <w:highlight w:val="none"/>
              </w:rPr>
              <w:t>13736355866</w:t>
            </w:r>
          </w:p>
          <w:p w14:paraId="09627D1A">
            <w:pPr>
              <w:pageBreakBefore w:val="0"/>
              <w:widowControl w:val="0"/>
              <w:kinsoku/>
              <w:overflowPunct/>
              <w:bidi w:val="0"/>
              <w:spacing w:line="324" w:lineRule="auto"/>
              <w:jc w:val="center"/>
              <w:rPr>
                <w:rFonts w:hint="eastAsia" w:ascii="宋体" w:eastAsia="宋体"/>
                <w:b w:val="0"/>
                <w:bCs w:val="0"/>
                <w:color w:val="auto"/>
                <w:highlight w:val="none"/>
              </w:rPr>
            </w:pPr>
            <w:r>
              <w:rPr>
                <w:rFonts w:hint="eastAsia" w:ascii="宋体" w:eastAsia="宋体"/>
                <w:b w:val="0"/>
                <w:bCs w:val="0"/>
                <w:color w:val="auto"/>
                <w:highlight w:val="none"/>
              </w:rPr>
              <w:t>13605772302</w:t>
            </w:r>
          </w:p>
        </w:tc>
      </w:tr>
      <w:tr w14:paraId="6577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right w:val="single" w:color="auto" w:sz="4" w:space="0"/>
            </w:tcBorders>
            <w:vAlign w:val="center"/>
          </w:tcPr>
          <w:p w14:paraId="2574C29E">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交通银行股份有限公司温州分行</w:t>
            </w:r>
          </w:p>
        </w:tc>
        <w:tc>
          <w:tcPr>
            <w:tcW w:w="5615" w:type="dxa"/>
            <w:tcBorders>
              <w:top w:val="single" w:color="auto" w:sz="4" w:space="0"/>
              <w:left w:val="single" w:color="auto" w:sz="4" w:space="0"/>
              <w:right w:val="single" w:color="auto" w:sz="4" w:space="0"/>
            </w:tcBorders>
            <w:vAlign w:val="center"/>
          </w:tcPr>
          <w:p w14:paraId="0CBC7785">
            <w:pPr>
              <w:pageBreakBefore w:val="0"/>
              <w:widowControl w:val="0"/>
              <w:kinsoku/>
              <w:overflowPunct/>
              <w:autoSpaceDE w:val="0"/>
              <w:autoSpaceDN w:val="0"/>
              <w:bidi w:val="0"/>
              <w:adjustRightInd w:val="0"/>
              <w:spacing w:line="324" w:lineRule="auto"/>
              <w:rPr>
                <w:rFonts w:hint="eastAsia" w:ascii="宋体" w:eastAsia="宋体"/>
                <w:b w:val="0"/>
                <w:bCs w:val="0"/>
                <w:color w:val="auto"/>
                <w:szCs w:val="24"/>
                <w:highlight w:val="none"/>
              </w:rPr>
            </w:pPr>
            <w:r>
              <w:rPr>
                <w:rFonts w:hint="eastAsia" w:ascii="宋体" w:eastAsia="宋体"/>
                <w:b w:val="0"/>
                <w:bCs w:val="0"/>
                <w:color w:val="auto"/>
                <w:szCs w:val="24"/>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95" w:type="dxa"/>
            <w:tcBorders>
              <w:top w:val="single" w:color="auto" w:sz="4" w:space="0"/>
              <w:left w:val="single" w:color="auto" w:sz="4" w:space="0"/>
              <w:right w:val="single" w:color="auto" w:sz="4" w:space="0"/>
            </w:tcBorders>
            <w:vAlign w:val="center"/>
          </w:tcPr>
          <w:p w14:paraId="06CFDBF0">
            <w:pPr>
              <w:pageBreakBefore w:val="0"/>
              <w:widowControl w:val="0"/>
              <w:kinsoku/>
              <w:overflowPunct/>
              <w:bidi w:val="0"/>
              <w:spacing w:line="324" w:lineRule="auto"/>
              <w:jc w:val="center"/>
              <w:rPr>
                <w:rFonts w:hint="eastAsia" w:ascii="宋体" w:eastAsia="宋体"/>
                <w:b w:val="0"/>
                <w:bCs w:val="0"/>
                <w:color w:val="auto"/>
                <w:szCs w:val="28"/>
                <w:highlight w:val="none"/>
              </w:rPr>
            </w:pPr>
            <w:r>
              <w:rPr>
                <w:rFonts w:hint="eastAsia" w:ascii="宋体" w:eastAsia="宋体"/>
                <w:b w:val="0"/>
                <w:bCs w:val="0"/>
                <w:color w:val="auto"/>
                <w:szCs w:val="28"/>
                <w:highlight w:val="none"/>
              </w:rPr>
              <w:t>缪经理</w:t>
            </w:r>
          </w:p>
        </w:tc>
        <w:tc>
          <w:tcPr>
            <w:tcW w:w="1650" w:type="dxa"/>
            <w:tcBorders>
              <w:top w:val="single" w:color="auto" w:sz="4" w:space="0"/>
              <w:left w:val="single" w:color="auto" w:sz="4" w:space="0"/>
              <w:right w:val="single" w:color="auto" w:sz="4" w:space="0"/>
            </w:tcBorders>
            <w:vAlign w:val="center"/>
          </w:tcPr>
          <w:p w14:paraId="6A730289">
            <w:pPr>
              <w:pageBreakBefore w:val="0"/>
              <w:widowControl w:val="0"/>
              <w:kinsoku/>
              <w:overflowPunct/>
              <w:bidi w:val="0"/>
              <w:spacing w:line="324" w:lineRule="auto"/>
              <w:jc w:val="center"/>
              <w:rPr>
                <w:rFonts w:hint="eastAsia" w:ascii="宋体" w:eastAsia="宋体"/>
                <w:b w:val="0"/>
                <w:bCs w:val="0"/>
                <w:color w:val="auto"/>
                <w:szCs w:val="28"/>
                <w:highlight w:val="none"/>
              </w:rPr>
            </w:pPr>
            <w:r>
              <w:rPr>
                <w:rFonts w:hint="eastAsia" w:ascii="宋体" w:eastAsia="宋体"/>
                <w:b w:val="0"/>
                <w:bCs w:val="0"/>
                <w:color w:val="auto"/>
                <w:highlight w:val="none"/>
              </w:rPr>
              <w:t>0577-88248454</w:t>
            </w:r>
          </w:p>
        </w:tc>
      </w:tr>
      <w:tr w14:paraId="32BB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tcBorders>
              <w:top w:val="single" w:color="auto" w:sz="4" w:space="0"/>
              <w:left w:val="single" w:color="auto" w:sz="4" w:space="0"/>
              <w:right w:val="single" w:color="auto" w:sz="4" w:space="0"/>
            </w:tcBorders>
            <w:vAlign w:val="center"/>
          </w:tcPr>
          <w:p w14:paraId="0127FEEE">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上海浦东发展银行股份有限公司温州分行</w:t>
            </w:r>
          </w:p>
        </w:tc>
        <w:tc>
          <w:tcPr>
            <w:tcW w:w="5615" w:type="dxa"/>
            <w:tcBorders>
              <w:top w:val="single" w:color="auto" w:sz="4" w:space="0"/>
              <w:left w:val="single" w:color="auto" w:sz="4" w:space="0"/>
              <w:right w:val="single" w:color="auto" w:sz="4" w:space="0"/>
            </w:tcBorders>
            <w:vAlign w:val="center"/>
          </w:tcPr>
          <w:p w14:paraId="5D20B0FD">
            <w:pPr>
              <w:pageBreakBefore w:val="0"/>
              <w:widowControl w:val="0"/>
              <w:kinsoku/>
              <w:overflowPunct/>
              <w:bidi w:val="0"/>
              <w:spacing w:line="324" w:lineRule="auto"/>
              <w:rPr>
                <w:rFonts w:hint="eastAsia" w:ascii="宋体" w:eastAsia="宋体"/>
                <w:b w:val="0"/>
                <w:bCs w:val="0"/>
                <w:color w:val="auto"/>
                <w:szCs w:val="24"/>
                <w:highlight w:val="none"/>
              </w:rPr>
            </w:pPr>
            <w:r>
              <w:rPr>
                <w:rFonts w:hint="eastAsia" w:ascii="宋体" w:eastAsia="宋体"/>
                <w:b w:val="0"/>
                <w:bCs w:val="0"/>
                <w:color w:val="auto"/>
                <w:szCs w:val="24"/>
                <w:highlight w:val="none"/>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095" w:type="dxa"/>
            <w:tcBorders>
              <w:top w:val="single" w:color="auto" w:sz="4" w:space="0"/>
              <w:left w:val="single" w:color="auto" w:sz="4" w:space="0"/>
              <w:right w:val="single" w:color="auto" w:sz="4" w:space="0"/>
            </w:tcBorders>
            <w:vAlign w:val="center"/>
          </w:tcPr>
          <w:p w14:paraId="175B98F2">
            <w:pPr>
              <w:pageBreakBefore w:val="0"/>
              <w:widowControl w:val="0"/>
              <w:kinsoku/>
              <w:overflowPunct/>
              <w:bidi w:val="0"/>
              <w:spacing w:line="324" w:lineRule="auto"/>
              <w:jc w:val="center"/>
              <w:rPr>
                <w:rFonts w:hint="eastAsia" w:ascii="宋体" w:eastAsia="宋体"/>
                <w:b w:val="0"/>
                <w:bCs w:val="0"/>
                <w:color w:val="auto"/>
                <w:szCs w:val="24"/>
                <w:highlight w:val="none"/>
              </w:rPr>
            </w:pPr>
            <w:r>
              <w:rPr>
                <w:rFonts w:hint="eastAsia" w:ascii="宋体" w:eastAsia="宋体"/>
                <w:b w:val="0"/>
                <w:bCs w:val="0"/>
                <w:color w:val="auto"/>
                <w:szCs w:val="24"/>
                <w:highlight w:val="none"/>
              </w:rPr>
              <w:t>叶经理</w:t>
            </w:r>
          </w:p>
        </w:tc>
        <w:tc>
          <w:tcPr>
            <w:tcW w:w="1650" w:type="dxa"/>
            <w:tcBorders>
              <w:top w:val="single" w:color="auto" w:sz="4" w:space="0"/>
              <w:left w:val="single" w:color="auto" w:sz="4" w:space="0"/>
              <w:right w:val="single" w:color="auto" w:sz="4" w:space="0"/>
            </w:tcBorders>
            <w:vAlign w:val="center"/>
          </w:tcPr>
          <w:p w14:paraId="7270E309">
            <w:pPr>
              <w:pageBreakBefore w:val="0"/>
              <w:widowControl w:val="0"/>
              <w:kinsoku/>
              <w:overflowPunct/>
              <w:bidi w:val="0"/>
              <w:spacing w:line="324" w:lineRule="auto"/>
              <w:jc w:val="center"/>
              <w:rPr>
                <w:rFonts w:hint="eastAsia" w:ascii="宋体" w:eastAsia="宋体"/>
                <w:b w:val="0"/>
                <w:bCs w:val="0"/>
                <w:color w:val="auto"/>
                <w:highlight w:val="none"/>
              </w:rPr>
            </w:pPr>
            <w:r>
              <w:rPr>
                <w:rFonts w:hint="eastAsia" w:ascii="宋体" w:eastAsia="宋体"/>
                <w:b w:val="0"/>
                <w:bCs w:val="0"/>
                <w:color w:val="auto"/>
                <w:highlight w:val="none"/>
              </w:rPr>
              <w:t>0577-55570829</w:t>
            </w:r>
          </w:p>
          <w:p w14:paraId="3CB1DDB9">
            <w:pPr>
              <w:pageBreakBefore w:val="0"/>
              <w:widowControl w:val="0"/>
              <w:kinsoku/>
              <w:overflowPunct/>
              <w:bidi w:val="0"/>
              <w:spacing w:line="324" w:lineRule="auto"/>
              <w:jc w:val="center"/>
              <w:rPr>
                <w:rFonts w:hint="eastAsia" w:ascii="宋体" w:eastAsia="宋体"/>
                <w:b w:val="0"/>
                <w:bCs w:val="0"/>
                <w:color w:val="auto"/>
                <w:highlight w:val="none"/>
              </w:rPr>
            </w:pPr>
          </w:p>
        </w:tc>
      </w:tr>
      <w:tr w14:paraId="09B5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tcBorders>
              <w:top w:val="single" w:color="auto" w:sz="4" w:space="0"/>
              <w:left w:val="single" w:color="auto" w:sz="4" w:space="0"/>
              <w:right w:val="single" w:color="auto" w:sz="4" w:space="0"/>
            </w:tcBorders>
            <w:vAlign w:val="center"/>
          </w:tcPr>
          <w:p w14:paraId="099AF0FA">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中国银行股份有限公司温州市分行</w:t>
            </w:r>
          </w:p>
        </w:tc>
        <w:tc>
          <w:tcPr>
            <w:tcW w:w="5615" w:type="dxa"/>
            <w:tcBorders>
              <w:top w:val="single" w:color="auto" w:sz="4" w:space="0"/>
              <w:left w:val="single" w:color="auto" w:sz="4" w:space="0"/>
              <w:right w:val="single" w:color="auto" w:sz="4" w:space="0"/>
            </w:tcBorders>
            <w:vAlign w:val="center"/>
          </w:tcPr>
          <w:p w14:paraId="72B72F8A">
            <w:pPr>
              <w:pageBreakBefore w:val="0"/>
              <w:widowControl w:val="0"/>
              <w:kinsoku/>
              <w:overflowPunct/>
              <w:bidi w:val="0"/>
              <w:spacing w:line="324" w:lineRule="auto"/>
              <w:rPr>
                <w:rFonts w:hint="eastAsia" w:ascii="宋体" w:eastAsia="宋体"/>
                <w:b w:val="0"/>
                <w:bCs w:val="0"/>
                <w:color w:val="auto"/>
                <w:szCs w:val="24"/>
                <w:highlight w:val="none"/>
              </w:rPr>
            </w:pPr>
            <w:r>
              <w:rPr>
                <w:rFonts w:hint="eastAsia" w:ascii="宋体" w:eastAsia="宋体"/>
                <w:b w:val="0"/>
                <w:bCs w:val="0"/>
                <w:color w:val="auto"/>
                <w:szCs w:val="24"/>
                <w:highlight w:val="none"/>
              </w:rPr>
              <w:t>中标通知，即可申贷；合同签订，快速获贷；最高可贷采购金额的90%；全面享受普惠贷款优惠利率；信用贷款，免抵押免担保。</w:t>
            </w:r>
          </w:p>
        </w:tc>
        <w:tc>
          <w:tcPr>
            <w:tcW w:w="1095" w:type="dxa"/>
            <w:tcBorders>
              <w:top w:val="single" w:color="auto" w:sz="4" w:space="0"/>
              <w:left w:val="single" w:color="auto" w:sz="4" w:space="0"/>
              <w:right w:val="single" w:color="auto" w:sz="4" w:space="0"/>
            </w:tcBorders>
            <w:vAlign w:val="center"/>
          </w:tcPr>
          <w:p w14:paraId="275A51AF">
            <w:pPr>
              <w:pageBreakBefore w:val="0"/>
              <w:widowControl w:val="0"/>
              <w:kinsoku/>
              <w:overflowPunct/>
              <w:bidi w:val="0"/>
              <w:spacing w:line="324" w:lineRule="auto"/>
              <w:jc w:val="center"/>
              <w:rPr>
                <w:rFonts w:hint="eastAsia" w:ascii="宋体" w:eastAsia="宋体"/>
                <w:b w:val="0"/>
                <w:bCs w:val="0"/>
                <w:color w:val="auto"/>
                <w:szCs w:val="24"/>
                <w:highlight w:val="none"/>
              </w:rPr>
            </w:pPr>
            <w:r>
              <w:rPr>
                <w:rFonts w:hint="eastAsia" w:ascii="宋体" w:eastAsia="宋体"/>
                <w:b w:val="0"/>
                <w:bCs w:val="0"/>
                <w:color w:val="auto"/>
                <w:szCs w:val="24"/>
                <w:highlight w:val="none"/>
              </w:rPr>
              <w:t>金经理</w:t>
            </w:r>
          </w:p>
          <w:p w14:paraId="5629208F">
            <w:pPr>
              <w:pageBreakBefore w:val="0"/>
              <w:widowControl w:val="0"/>
              <w:kinsoku/>
              <w:overflowPunct/>
              <w:bidi w:val="0"/>
              <w:spacing w:line="324" w:lineRule="auto"/>
              <w:jc w:val="center"/>
              <w:rPr>
                <w:rFonts w:hint="eastAsia" w:ascii="宋体" w:eastAsia="宋体"/>
                <w:b w:val="0"/>
                <w:bCs w:val="0"/>
                <w:color w:val="auto"/>
                <w:szCs w:val="24"/>
                <w:highlight w:val="none"/>
              </w:rPr>
            </w:pPr>
            <w:r>
              <w:rPr>
                <w:rFonts w:hint="eastAsia" w:ascii="宋体" w:eastAsia="宋体"/>
                <w:b w:val="0"/>
                <w:bCs w:val="0"/>
                <w:color w:val="auto"/>
                <w:szCs w:val="24"/>
                <w:highlight w:val="none"/>
              </w:rPr>
              <w:t>陈经理</w:t>
            </w:r>
          </w:p>
        </w:tc>
        <w:tc>
          <w:tcPr>
            <w:tcW w:w="1650" w:type="dxa"/>
            <w:tcBorders>
              <w:top w:val="single" w:color="auto" w:sz="4" w:space="0"/>
              <w:left w:val="single" w:color="auto" w:sz="4" w:space="0"/>
              <w:right w:val="single" w:color="auto" w:sz="4" w:space="0"/>
            </w:tcBorders>
            <w:vAlign w:val="center"/>
          </w:tcPr>
          <w:p w14:paraId="5EA08496">
            <w:pPr>
              <w:pageBreakBefore w:val="0"/>
              <w:widowControl w:val="0"/>
              <w:kinsoku/>
              <w:overflowPunct/>
              <w:bidi w:val="0"/>
              <w:spacing w:line="324" w:lineRule="auto"/>
              <w:jc w:val="center"/>
              <w:rPr>
                <w:rFonts w:hint="eastAsia" w:ascii="宋体" w:eastAsia="宋体"/>
                <w:b w:val="0"/>
                <w:bCs w:val="0"/>
                <w:color w:val="auto"/>
                <w:highlight w:val="none"/>
              </w:rPr>
            </w:pPr>
            <w:r>
              <w:rPr>
                <w:rFonts w:hint="eastAsia" w:ascii="宋体" w:eastAsia="宋体"/>
                <w:b w:val="0"/>
                <w:bCs w:val="0"/>
                <w:color w:val="auto"/>
                <w:highlight w:val="none"/>
              </w:rPr>
              <w:t>0577-88802225-8243</w:t>
            </w:r>
          </w:p>
          <w:p w14:paraId="4F507A9F">
            <w:pPr>
              <w:pageBreakBefore w:val="0"/>
              <w:widowControl w:val="0"/>
              <w:kinsoku/>
              <w:overflowPunct/>
              <w:bidi w:val="0"/>
              <w:spacing w:line="324" w:lineRule="auto"/>
              <w:jc w:val="center"/>
              <w:rPr>
                <w:rFonts w:hint="eastAsia" w:ascii="宋体" w:eastAsia="宋体"/>
                <w:b w:val="0"/>
                <w:bCs w:val="0"/>
                <w:color w:val="auto"/>
                <w:highlight w:val="none"/>
              </w:rPr>
            </w:pPr>
            <w:r>
              <w:rPr>
                <w:rFonts w:hint="eastAsia" w:ascii="宋体" w:eastAsia="宋体"/>
                <w:b w:val="0"/>
                <w:bCs w:val="0"/>
                <w:color w:val="auto"/>
                <w:highlight w:val="none"/>
              </w:rPr>
              <w:t>0577-88802225-8241</w:t>
            </w:r>
          </w:p>
        </w:tc>
      </w:tr>
      <w:tr w14:paraId="5822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tcBorders>
              <w:top w:val="single" w:color="auto" w:sz="4" w:space="0"/>
              <w:left w:val="single" w:color="auto" w:sz="4" w:space="0"/>
              <w:right w:val="single" w:color="auto" w:sz="4" w:space="0"/>
            </w:tcBorders>
            <w:vAlign w:val="center"/>
          </w:tcPr>
          <w:p w14:paraId="719F2D2B">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中国农业银行股份有限公司温州分行</w:t>
            </w:r>
          </w:p>
        </w:tc>
        <w:tc>
          <w:tcPr>
            <w:tcW w:w="5615" w:type="dxa"/>
            <w:tcBorders>
              <w:top w:val="single" w:color="auto" w:sz="4" w:space="0"/>
              <w:left w:val="single" w:color="auto" w:sz="4" w:space="0"/>
              <w:right w:val="single" w:color="auto" w:sz="4" w:space="0"/>
            </w:tcBorders>
            <w:vAlign w:val="center"/>
          </w:tcPr>
          <w:p w14:paraId="20C855AF">
            <w:pPr>
              <w:pageBreakBefore w:val="0"/>
              <w:widowControl w:val="0"/>
              <w:kinsoku/>
              <w:overflowPunct/>
              <w:bidi w:val="0"/>
              <w:spacing w:line="324" w:lineRule="auto"/>
              <w:rPr>
                <w:rFonts w:hint="eastAsia" w:ascii="宋体" w:eastAsia="宋体"/>
                <w:b w:val="0"/>
                <w:bCs w:val="0"/>
                <w:color w:val="auto"/>
                <w:szCs w:val="24"/>
                <w:highlight w:val="none"/>
              </w:rPr>
            </w:pPr>
            <w:r>
              <w:rPr>
                <w:rFonts w:hint="eastAsia" w:ascii="宋体" w:eastAsia="宋体"/>
                <w:b w:val="0"/>
                <w:bCs w:val="0"/>
                <w:color w:val="auto"/>
                <w:szCs w:val="24"/>
                <w:highlight w:val="none"/>
              </w:rPr>
              <w:t>借款额度不超过政府采购合同实有金额的80%，借款到期日不得晚于合同约定付款日后90天，担保方式原则上可以采用信用、保证、抵押方式用信，借款利率原则上可以享受优惠利率。</w:t>
            </w:r>
          </w:p>
        </w:tc>
        <w:tc>
          <w:tcPr>
            <w:tcW w:w="1095" w:type="dxa"/>
            <w:tcBorders>
              <w:top w:val="single" w:color="auto" w:sz="4" w:space="0"/>
              <w:left w:val="single" w:color="auto" w:sz="4" w:space="0"/>
              <w:right w:val="single" w:color="auto" w:sz="4" w:space="0"/>
            </w:tcBorders>
            <w:vAlign w:val="center"/>
          </w:tcPr>
          <w:p w14:paraId="35BD9695">
            <w:pPr>
              <w:pageBreakBefore w:val="0"/>
              <w:widowControl w:val="0"/>
              <w:kinsoku/>
              <w:overflowPunct/>
              <w:bidi w:val="0"/>
              <w:spacing w:line="324" w:lineRule="auto"/>
              <w:jc w:val="center"/>
              <w:rPr>
                <w:rFonts w:hint="eastAsia" w:ascii="宋体" w:eastAsia="宋体"/>
                <w:b w:val="0"/>
                <w:bCs w:val="0"/>
                <w:color w:val="auto"/>
                <w:szCs w:val="24"/>
                <w:highlight w:val="none"/>
              </w:rPr>
            </w:pPr>
            <w:r>
              <w:rPr>
                <w:rFonts w:hint="eastAsia" w:ascii="宋体" w:eastAsia="宋体"/>
                <w:b w:val="0"/>
                <w:bCs w:val="0"/>
                <w:color w:val="auto"/>
                <w:szCs w:val="24"/>
                <w:highlight w:val="none"/>
              </w:rPr>
              <w:t>陈经理</w:t>
            </w:r>
          </w:p>
        </w:tc>
        <w:tc>
          <w:tcPr>
            <w:tcW w:w="1650" w:type="dxa"/>
            <w:tcBorders>
              <w:top w:val="single" w:color="auto" w:sz="4" w:space="0"/>
              <w:left w:val="single" w:color="auto" w:sz="4" w:space="0"/>
              <w:right w:val="single" w:color="auto" w:sz="4" w:space="0"/>
            </w:tcBorders>
            <w:vAlign w:val="center"/>
          </w:tcPr>
          <w:p w14:paraId="64A1C5FD">
            <w:pPr>
              <w:pageBreakBefore w:val="0"/>
              <w:widowControl w:val="0"/>
              <w:kinsoku/>
              <w:overflowPunct/>
              <w:bidi w:val="0"/>
              <w:spacing w:line="324" w:lineRule="auto"/>
              <w:jc w:val="center"/>
              <w:rPr>
                <w:rFonts w:hint="eastAsia" w:ascii="宋体" w:eastAsia="宋体"/>
                <w:b w:val="0"/>
                <w:bCs w:val="0"/>
                <w:color w:val="auto"/>
                <w:highlight w:val="none"/>
              </w:rPr>
            </w:pPr>
            <w:r>
              <w:rPr>
                <w:rFonts w:hint="eastAsia" w:ascii="宋体" w:eastAsia="宋体"/>
                <w:b w:val="0"/>
                <w:bCs w:val="0"/>
                <w:color w:val="auto"/>
                <w:highlight w:val="none"/>
              </w:rPr>
              <w:t>0577-88021093</w:t>
            </w:r>
          </w:p>
          <w:p w14:paraId="0837EB96">
            <w:pPr>
              <w:pageBreakBefore w:val="0"/>
              <w:widowControl w:val="0"/>
              <w:kinsoku/>
              <w:overflowPunct/>
              <w:bidi w:val="0"/>
              <w:spacing w:line="324" w:lineRule="auto"/>
              <w:jc w:val="center"/>
              <w:rPr>
                <w:rFonts w:hint="eastAsia" w:ascii="宋体" w:eastAsia="宋体"/>
                <w:b w:val="0"/>
                <w:bCs w:val="0"/>
                <w:color w:val="auto"/>
                <w:highlight w:val="none"/>
              </w:rPr>
            </w:pPr>
            <w:r>
              <w:rPr>
                <w:rFonts w:hint="eastAsia" w:ascii="宋体" w:eastAsia="宋体"/>
                <w:b w:val="0"/>
                <w:bCs w:val="0"/>
                <w:color w:val="auto"/>
                <w:highlight w:val="none"/>
              </w:rPr>
              <w:t>13858780486</w:t>
            </w:r>
          </w:p>
        </w:tc>
      </w:tr>
      <w:tr w14:paraId="2E85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tcBorders>
              <w:top w:val="single" w:color="auto" w:sz="4" w:space="0"/>
              <w:left w:val="single" w:color="auto" w:sz="4" w:space="0"/>
              <w:right w:val="single" w:color="auto" w:sz="4" w:space="0"/>
            </w:tcBorders>
            <w:vAlign w:val="center"/>
          </w:tcPr>
          <w:p w14:paraId="0BD41D34">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中信银行股份有限公司温州分行</w:t>
            </w:r>
          </w:p>
        </w:tc>
        <w:tc>
          <w:tcPr>
            <w:tcW w:w="5615" w:type="dxa"/>
            <w:tcBorders>
              <w:top w:val="single" w:color="auto" w:sz="4" w:space="0"/>
              <w:left w:val="single" w:color="auto" w:sz="4" w:space="0"/>
              <w:right w:val="single" w:color="auto" w:sz="4" w:space="0"/>
            </w:tcBorders>
            <w:vAlign w:val="center"/>
          </w:tcPr>
          <w:p w14:paraId="1DCFCB4A">
            <w:pPr>
              <w:pageBreakBefore w:val="0"/>
              <w:widowControl w:val="0"/>
              <w:kinsoku/>
              <w:overflowPunct/>
              <w:bidi w:val="0"/>
              <w:spacing w:line="324" w:lineRule="auto"/>
              <w:rPr>
                <w:rFonts w:hint="eastAsia" w:ascii="宋体" w:eastAsia="宋体"/>
                <w:b w:val="0"/>
                <w:bCs w:val="0"/>
                <w:color w:val="auto"/>
                <w:szCs w:val="24"/>
                <w:highlight w:val="none"/>
              </w:rPr>
            </w:pPr>
            <w:r>
              <w:rPr>
                <w:rFonts w:hint="eastAsia" w:ascii="宋体" w:eastAsia="宋体"/>
                <w:b w:val="0"/>
                <w:bCs w:val="0"/>
                <w:color w:val="auto"/>
                <w:szCs w:val="24"/>
                <w:highlight w:val="none"/>
              </w:rPr>
              <w:t>标准政采贷贷款金额不超过政府采购合同金额（扣除相应的预付款、质保金、其他已付款等）的90%，最高不超过1000万元。期限最长不超过一年，利率优惠，审批快，资料齐全最快当日审批。</w:t>
            </w:r>
          </w:p>
        </w:tc>
        <w:tc>
          <w:tcPr>
            <w:tcW w:w="1095" w:type="dxa"/>
            <w:tcBorders>
              <w:top w:val="single" w:color="auto" w:sz="4" w:space="0"/>
              <w:left w:val="single" w:color="auto" w:sz="4" w:space="0"/>
              <w:right w:val="single" w:color="auto" w:sz="4" w:space="0"/>
            </w:tcBorders>
            <w:vAlign w:val="center"/>
          </w:tcPr>
          <w:p w14:paraId="4C5A915A">
            <w:pPr>
              <w:pageBreakBefore w:val="0"/>
              <w:widowControl w:val="0"/>
              <w:kinsoku/>
              <w:overflowPunct/>
              <w:bidi w:val="0"/>
              <w:spacing w:line="324" w:lineRule="auto"/>
              <w:jc w:val="center"/>
              <w:rPr>
                <w:rFonts w:hint="eastAsia" w:ascii="宋体" w:eastAsia="宋体"/>
                <w:b w:val="0"/>
                <w:bCs w:val="0"/>
                <w:color w:val="auto"/>
                <w:szCs w:val="24"/>
                <w:highlight w:val="none"/>
              </w:rPr>
            </w:pPr>
            <w:r>
              <w:rPr>
                <w:rFonts w:hint="eastAsia" w:ascii="宋体" w:eastAsia="宋体"/>
                <w:b w:val="0"/>
                <w:bCs w:val="0"/>
                <w:color w:val="auto"/>
                <w:szCs w:val="24"/>
                <w:highlight w:val="none"/>
              </w:rPr>
              <w:t>陈经理</w:t>
            </w:r>
          </w:p>
        </w:tc>
        <w:tc>
          <w:tcPr>
            <w:tcW w:w="1650" w:type="dxa"/>
            <w:tcBorders>
              <w:top w:val="single" w:color="auto" w:sz="4" w:space="0"/>
              <w:left w:val="single" w:color="auto" w:sz="4" w:space="0"/>
              <w:right w:val="single" w:color="auto" w:sz="4" w:space="0"/>
            </w:tcBorders>
            <w:vAlign w:val="center"/>
          </w:tcPr>
          <w:p w14:paraId="2265A2CA">
            <w:pPr>
              <w:pageBreakBefore w:val="0"/>
              <w:widowControl w:val="0"/>
              <w:kinsoku/>
              <w:overflowPunct/>
              <w:bidi w:val="0"/>
              <w:spacing w:line="324" w:lineRule="auto"/>
              <w:jc w:val="center"/>
              <w:rPr>
                <w:rFonts w:hint="eastAsia" w:ascii="宋体" w:eastAsia="宋体"/>
                <w:b w:val="0"/>
                <w:bCs w:val="0"/>
                <w:color w:val="auto"/>
                <w:highlight w:val="none"/>
              </w:rPr>
            </w:pPr>
            <w:r>
              <w:rPr>
                <w:rFonts w:hint="eastAsia" w:ascii="宋体" w:eastAsia="宋体"/>
                <w:b w:val="0"/>
                <w:bCs w:val="0"/>
                <w:color w:val="auto"/>
                <w:highlight w:val="none"/>
              </w:rPr>
              <w:t>13968701618</w:t>
            </w:r>
          </w:p>
        </w:tc>
      </w:tr>
      <w:tr w14:paraId="4648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tcBorders>
              <w:top w:val="single" w:color="auto" w:sz="4" w:space="0"/>
              <w:left w:val="single" w:color="auto" w:sz="4" w:space="0"/>
              <w:right w:val="single" w:color="auto" w:sz="4" w:space="0"/>
            </w:tcBorders>
            <w:vAlign w:val="center"/>
          </w:tcPr>
          <w:p w14:paraId="4863912A">
            <w:pPr>
              <w:pStyle w:val="27"/>
              <w:pageBreakBefore w:val="0"/>
              <w:widowControl w:val="0"/>
              <w:kinsoku/>
              <w:overflowPunct/>
              <w:bidi w:val="0"/>
              <w:spacing w:line="324" w:lineRule="auto"/>
              <w:ind w:firstLine="0" w:firstLineChars="0"/>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浙商银行股份有限公司温州分行</w:t>
            </w:r>
          </w:p>
        </w:tc>
        <w:tc>
          <w:tcPr>
            <w:tcW w:w="5615" w:type="dxa"/>
            <w:tcBorders>
              <w:top w:val="single" w:color="auto" w:sz="4" w:space="0"/>
              <w:left w:val="single" w:color="auto" w:sz="4" w:space="0"/>
              <w:right w:val="single" w:color="auto" w:sz="4" w:space="0"/>
            </w:tcBorders>
            <w:vAlign w:val="center"/>
          </w:tcPr>
          <w:p w14:paraId="6CD63ECC">
            <w:pPr>
              <w:pageBreakBefore w:val="0"/>
              <w:widowControl w:val="0"/>
              <w:kinsoku/>
              <w:overflowPunct/>
              <w:bidi w:val="0"/>
              <w:spacing w:line="324" w:lineRule="auto"/>
              <w:rPr>
                <w:rFonts w:hint="eastAsia" w:ascii="宋体" w:eastAsia="宋体"/>
                <w:b w:val="0"/>
                <w:bCs w:val="0"/>
                <w:color w:val="auto"/>
                <w:szCs w:val="24"/>
                <w:highlight w:val="none"/>
              </w:rPr>
            </w:pPr>
            <w:r>
              <w:rPr>
                <w:rFonts w:hint="eastAsia" w:ascii="宋体" w:eastAsia="宋体"/>
                <w:b w:val="0"/>
                <w:bCs w:val="0"/>
                <w:color w:val="auto"/>
                <w:szCs w:val="24"/>
                <w:highlight w:val="none"/>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095" w:type="dxa"/>
            <w:tcBorders>
              <w:top w:val="single" w:color="auto" w:sz="4" w:space="0"/>
              <w:left w:val="single" w:color="auto" w:sz="4" w:space="0"/>
              <w:right w:val="single" w:color="auto" w:sz="4" w:space="0"/>
            </w:tcBorders>
            <w:vAlign w:val="center"/>
          </w:tcPr>
          <w:p w14:paraId="62F91B5F">
            <w:pPr>
              <w:pageBreakBefore w:val="0"/>
              <w:widowControl w:val="0"/>
              <w:kinsoku/>
              <w:overflowPunct/>
              <w:bidi w:val="0"/>
              <w:spacing w:line="324" w:lineRule="auto"/>
              <w:jc w:val="center"/>
              <w:rPr>
                <w:rFonts w:hint="eastAsia" w:ascii="宋体" w:eastAsia="宋体"/>
                <w:b w:val="0"/>
                <w:bCs w:val="0"/>
                <w:color w:val="auto"/>
                <w:szCs w:val="24"/>
                <w:highlight w:val="none"/>
              </w:rPr>
            </w:pPr>
            <w:r>
              <w:rPr>
                <w:rFonts w:hint="eastAsia" w:ascii="宋体" w:eastAsia="宋体"/>
                <w:b w:val="0"/>
                <w:bCs w:val="0"/>
                <w:color w:val="auto"/>
                <w:szCs w:val="24"/>
                <w:highlight w:val="none"/>
              </w:rPr>
              <w:t>瞿经理</w:t>
            </w:r>
          </w:p>
        </w:tc>
        <w:tc>
          <w:tcPr>
            <w:tcW w:w="1650" w:type="dxa"/>
            <w:tcBorders>
              <w:top w:val="single" w:color="auto" w:sz="4" w:space="0"/>
              <w:left w:val="single" w:color="auto" w:sz="4" w:space="0"/>
              <w:right w:val="single" w:color="auto" w:sz="4" w:space="0"/>
            </w:tcBorders>
            <w:vAlign w:val="center"/>
          </w:tcPr>
          <w:p w14:paraId="53B43EBA">
            <w:pPr>
              <w:pageBreakBefore w:val="0"/>
              <w:widowControl w:val="0"/>
              <w:kinsoku/>
              <w:overflowPunct/>
              <w:bidi w:val="0"/>
              <w:spacing w:line="324" w:lineRule="auto"/>
              <w:jc w:val="center"/>
              <w:rPr>
                <w:rFonts w:hint="eastAsia" w:ascii="宋体" w:eastAsia="宋体"/>
                <w:b w:val="0"/>
                <w:bCs w:val="0"/>
                <w:color w:val="auto"/>
                <w:highlight w:val="none"/>
              </w:rPr>
            </w:pPr>
            <w:r>
              <w:rPr>
                <w:rFonts w:hint="eastAsia" w:ascii="宋体" w:eastAsia="宋体"/>
                <w:b w:val="0"/>
                <w:bCs w:val="0"/>
                <w:color w:val="auto"/>
                <w:highlight w:val="none"/>
              </w:rPr>
              <w:t>0577-88673097</w:t>
            </w:r>
          </w:p>
        </w:tc>
      </w:tr>
    </w:tbl>
    <w:p w14:paraId="7F764493">
      <w:pPr>
        <w:pageBreakBefore w:val="0"/>
        <w:widowControl w:val="0"/>
        <w:kinsoku/>
        <w:overflowPunct/>
        <w:bidi w:val="0"/>
        <w:spacing w:line="324" w:lineRule="auto"/>
        <w:rPr>
          <w:rFonts w:hint="eastAsia" w:eastAsia="仿宋_GB2312"/>
          <w:color w:val="auto"/>
          <w:highlight w:val="none"/>
          <w:lang w:val="en-US" w:eastAsia="zh-CN"/>
        </w:rPr>
      </w:pPr>
    </w:p>
    <w:sectPr>
      <w:pgSz w:w="11906" w:h="16838"/>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Arial (W1)">
    <w:altName w:val="Arial"/>
    <w:panose1 w:val="00000000000000000000"/>
    <w:charset w:val="00"/>
    <w:family w:val="auto"/>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56220">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F174">
    <w:pPr>
      <w:spacing w:line="200" w:lineRule="exact"/>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B4F5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4B4F5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9D4AF">
    <w:pPr>
      <w:spacing w:line="209" w:lineRule="auto"/>
      <w:ind w:left="3991"/>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D892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FD892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1305B">
    <w:pPr>
      <w:spacing w:line="200" w:lineRule="exact"/>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15B3B">
                          <w:pPr>
                            <w:pStyle w:val="1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F15B3B">
                    <w:pPr>
                      <w:pStyle w:val="1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58FC">
    <w:pPr>
      <w:pStyle w:val="9"/>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01E61415"/>
    <w:multiLevelType w:val="multilevel"/>
    <w:tmpl w:val="01E61415"/>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0FD5D2C"/>
    <w:rsid w:val="04E40393"/>
    <w:rsid w:val="0D6510C3"/>
    <w:rsid w:val="150F0522"/>
    <w:rsid w:val="180154B9"/>
    <w:rsid w:val="1BAB3F72"/>
    <w:rsid w:val="205A6E5B"/>
    <w:rsid w:val="211D62B9"/>
    <w:rsid w:val="39B604C0"/>
    <w:rsid w:val="3A2D55A1"/>
    <w:rsid w:val="46642E74"/>
    <w:rsid w:val="48C55D19"/>
    <w:rsid w:val="49F41004"/>
    <w:rsid w:val="54B96610"/>
    <w:rsid w:val="576372B0"/>
    <w:rsid w:val="589C79C1"/>
    <w:rsid w:val="5A286BF0"/>
    <w:rsid w:val="5C410F03"/>
    <w:rsid w:val="64D03844"/>
    <w:rsid w:val="6F835D2E"/>
    <w:rsid w:val="7F5873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2">
    <w:name w:val="heading 1"/>
    <w:basedOn w:val="1"/>
    <w:next w:val="1"/>
    <w:qFormat/>
    <w:uiPriority w:val="0"/>
    <w:pPr>
      <w:spacing w:before="50" w:beforeLines="50" w:after="50" w:afterLines="50" w:line="360" w:lineRule="auto"/>
      <w:outlineLvl w:val="0"/>
    </w:pPr>
    <w:rPr>
      <w:rFonts w:ascii="仿宋_GB2312" w:eastAsia="仿宋_GB2312"/>
      <w:sz w:val="32"/>
      <w:szCs w:val="32"/>
    </w:rPr>
  </w:style>
  <w:style w:type="paragraph" w:styleId="3">
    <w:name w:val="heading 2"/>
    <w:basedOn w:val="1"/>
    <w:next w:val="1"/>
    <w:qFormat/>
    <w:uiPriority w:val="0"/>
    <w:pPr>
      <w:keepNext/>
      <w:keepLines/>
      <w:widowControl w:val="0"/>
      <w:numPr>
        <w:ilvl w:val="1"/>
        <w:numId w:val="1"/>
      </w:numPr>
      <w:spacing w:before="260" w:after="50" w:afterLines="50" w:line="413" w:lineRule="auto"/>
      <w:outlineLvl w:val="1"/>
    </w:pPr>
    <w:rPr>
      <w:rFonts w:ascii="Arial" w:hAnsi="Arial" w:eastAsia="黑体"/>
      <w:b w:val="0"/>
      <w:bCs w:val="0"/>
      <w:spacing w:val="20"/>
      <w:sz w:val="32"/>
      <w:szCs w:val="32"/>
    </w:rPr>
  </w:style>
  <w:style w:type="paragraph" w:styleId="4">
    <w:name w:val="heading 3"/>
    <w:basedOn w:val="1"/>
    <w:next w:val="1"/>
    <w:qFormat/>
    <w:uiPriority w:val="0"/>
    <w:pPr>
      <w:keepNext/>
      <w:keepLines/>
      <w:widowControl w:val="0"/>
      <w:spacing w:before="260" w:after="260" w:line="415" w:lineRule="auto"/>
      <w:outlineLvl w:val="2"/>
    </w:pPr>
    <w:rPr>
      <w:sz w:val="32"/>
      <w:szCs w:val="32"/>
    </w:rPr>
  </w:style>
  <w:style w:type="paragraph" w:styleId="5">
    <w:name w:val="heading 5"/>
    <w:basedOn w:val="1"/>
    <w:next w:val="1"/>
    <w:qFormat/>
    <w:uiPriority w:val="0"/>
    <w:pPr>
      <w:keepNext/>
      <w:keepLines/>
      <w:widowControl w:val="0"/>
      <w:spacing w:before="280" w:after="290" w:line="372" w:lineRule="auto"/>
      <w:outlineLvl w:val="4"/>
    </w:pPr>
    <w:rPr>
      <w:rFonts w:ascii="仿宋_GB2312" w:hAnsi="Tahoma"/>
      <w:sz w:val="28"/>
      <w:szCs w:val="28"/>
    </w:rPr>
  </w:style>
  <w:style w:type="character" w:default="1" w:styleId="24">
    <w:name w:val="Default Paragraph Font"/>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ind w:firstLine="200" w:firstLineChars="200"/>
    </w:pPr>
  </w:style>
  <w:style w:type="paragraph" w:styleId="7">
    <w:name w:val="Body Text Indent"/>
    <w:basedOn w:val="1"/>
    <w:next w:val="6"/>
    <w:qFormat/>
    <w:uiPriority w:val="0"/>
    <w:pPr>
      <w:spacing w:after="120"/>
      <w:ind w:left="200" w:leftChars="200"/>
    </w:pPr>
    <w:rPr>
      <w:rFonts w:ascii="Times New Roman" w:hAnsi="Times New Roman" w:eastAsia="宋体" w:cs="Times New Roman"/>
      <w:b w:val="0"/>
      <w:bCs w:val="0"/>
      <w:color w:val="auto"/>
      <w:kern w:val="2"/>
      <w:szCs w:val="24"/>
    </w:rPr>
  </w:style>
  <w:style w:type="paragraph" w:styleId="8">
    <w:name w:val="annotation text"/>
    <w:basedOn w:val="1"/>
    <w:qFormat/>
    <w:uiPriority w:val="0"/>
    <w:pPr>
      <w:jc w:val="left"/>
    </w:pPr>
  </w:style>
  <w:style w:type="paragraph" w:styleId="9">
    <w:name w:val="Body Text"/>
    <w:basedOn w:val="1"/>
    <w:next w:val="10"/>
    <w:qFormat/>
    <w:uiPriority w:val="0"/>
    <w:pPr>
      <w:spacing w:after="120"/>
    </w:pPr>
    <w:rPr>
      <w:rFonts w:ascii="Times New Roman" w:hAnsi="Times New Roman" w:eastAsia="宋体" w:cs="Times New Roman"/>
      <w:b w:val="0"/>
      <w:bCs w:val="0"/>
      <w:color w:val="auto"/>
      <w:kern w:val="2"/>
      <w:szCs w:val="24"/>
    </w:rPr>
  </w:style>
  <w:style w:type="paragraph" w:styleId="10">
    <w:name w:val="Body Text First Indent"/>
    <w:basedOn w:val="9"/>
    <w:next w:val="11"/>
    <w:qFormat/>
    <w:uiPriority w:val="0"/>
    <w:pPr>
      <w:tabs>
        <w:tab w:val="left" w:pos="482"/>
        <w:tab w:val="left" w:pos="2183"/>
        <w:tab w:val="left" w:pos="3884"/>
        <w:tab w:val="left" w:pos="5585"/>
      </w:tabs>
      <w:adjustRightInd w:val="0"/>
      <w:spacing w:after="0"/>
      <w:ind w:firstLine="482"/>
      <w:textAlignment w:val="baseline"/>
    </w:pPr>
    <w:rPr>
      <w:kern w:val="0"/>
      <w:sz w:val="24"/>
      <w:szCs w:val="20"/>
    </w:rPr>
  </w:style>
  <w:style w:type="paragraph" w:styleId="11">
    <w:name w:val="toc 6"/>
    <w:basedOn w:val="1"/>
    <w:next w:val="1"/>
    <w:qFormat/>
    <w:uiPriority w:val="0"/>
    <w:pPr>
      <w:ind w:left="1000" w:leftChars="1000"/>
    </w:pPr>
    <w:rPr>
      <w:rFonts w:ascii="Times New Roman" w:hAnsi="Times New Roman" w:eastAsia="宋体" w:cs="Times New Roman"/>
      <w:b w:val="0"/>
      <w:bCs w:val="0"/>
      <w:color w:val="auto"/>
      <w:kern w:val="2"/>
      <w:szCs w:val="20"/>
    </w:rPr>
  </w:style>
  <w:style w:type="paragraph" w:styleId="12">
    <w:name w:val="Plain Text"/>
    <w:basedOn w:val="1"/>
    <w:next w:val="13"/>
    <w:qFormat/>
    <w:uiPriority w:val="0"/>
    <w:rPr>
      <w:rFonts w:ascii="宋体" w:hAnsi="Courier New"/>
      <w:szCs w:val="20"/>
    </w:rPr>
  </w:style>
  <w:style w:type="paragraph" w:styleId="13">
    <w:name w:val="toc 2"/>
    <w:basedOn w:val="1"/>
    <w:next w:val="1"/>
    <w:qFormat/>
    <w:uiPriority w:val="0"/>
    <w:pPr>
      <w:ind w:left="200" w:leftChars="200"/>
    </w:pPr>
    <w:rPr>
      <w:rFonts w:ascii="Times New Roman" w:hAnsi="Times New Roman" w:eastAsia="宋体" w:cs="Times New Roman"/>
      <w:b w:val="0"/>
      <w:bCs w:val="0"/>
      <w:color w:val="auto"/>
      <w:kern w:val="2"/>
      <w:szCs w:val="20"/>
    </w:rPr>
  </w:style>
  <w:style w:type="paragraph" w:styleId="14">
    <w:name w:val="Date"/>
    <w:basedOn w:val="1"/>
    <w:next w:val="1"/>
    <w:qFormat/>
    <w:uiPriority w:val="0"/>
    <w:pPr>
      <w:ind w:left="2500" w:leftChars="2500"/>
    </w:pPr>
    <w:rPr>
      <w:sz w:val="24"/>
    </w:rPr>
  </w:style>
  <w:style w:type="paragraph" w:styleId="15">
    <w:name w:val="Body Text Indent 2"/>
    <w:basedOn w:val="1"/>
    <w:qFormat/>
    <w:uiPriority w:val="0"/>
    <w:pPr>
      <w:widowControl/>
      <w:spacing w:line="480" w:lineRule="atLeast"/>
      <w:ind w:firstLine="480"/>
    </w:pPr>
    <w:rPr>
      <w:rFonts w:ascii="宋体" w:hAnsi="宋体"/>
      <w:kern w:val="0"/>
      <w:sz w:val="24"/>
      <w:szCs w:val="20"/>
    </w:rPr>
  </w:style>
  <w:style w:type="paragraph" w:styleId="16">
    <w:name w:val="footer"/>
    <w:basedOn w:val="1"/>
    <w:qFormat/>
    <w:uiPriority w:val="0"/>
    <w:pPr>
      <w:tabs>
        <w:tab w:val="center" w:pos="4153"/>
        <w:tab w:val="right" w:pos="8306"/>
      </w:tabs>
      <w:adjustRightInd w:val="0"/>
      <w:jc w:val="left"/>
    </w:pPr>
    <w:rPr>
      <w:rFonts w:eastAsia="Century Gothic"/>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rPr>
      <w:rFonts w:ascii="Times New Roman" w:hAnsi="Times New Roman" w:eastAsia="宋体" w:cs="Times New Roman"/>
      <w:b w:val="0"/>
      <w:bCs w:val="0"/>
      <w:color w:val="auto"/>
      <w:kern w:val="2"/>
      <w:szCs w:val="24"/>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Cs w:val="24"/>
    </w:rPr>
  </w:style>
  <w:style w:type="paragraph" w:styleId="20">
    <w:name w:val="Normal (Web)"/>
    <w:basedOn w:val="1"/>
    <w:qFormat/>
    <w:uiPriority w:val="0"/>
    <w:pPr>
      <w:widowControl/>
      <w:spacing w:after="50" w:afterLines="50"/>
      <w:jc w:val="left"/>
    </w:pPr>
    <w:rPr>
      <w:rFonts w:ascii="Times New Roman" w:hAnsi="Times New Roman" w:eastAsia="宋体" w:cs="Times New Roman"/>
      <w:b w:val="0"/>
      <w:bCs w:val="0"/>
      <w:color w:val="auto"/>
      <w:sz w:val="24"/>
      <w:szCs w:val="24"/>
    </w:rPr>
  </w:style>
  <w:style w:type="paragraph" w:styleId="21">
    <w:name w:val="Title"/>
    <w:basedOn w:val="1"/>
    <w:next w:val="1"/>
    <w:qFormat/>
    <w:uiPriority w:val="0"/>
    <w:pPr>
      <w:spacing w:before="240" w:after="60"/>
      <w:jc w:val="center"/>
      <w:outlineLvl w:val="0"/>
    </w:pPr>
    <w:rPr>
      <w:rFonts w:ascii="Arial" w:hAnsi="Arial" w:eastAsia="宋体" w:cs="Arial"/>
      <w:sz w:val="36"/>
      <w:szCs w:val="32"/>
    </w:rPr>
  </w:style>
  <w:style w:type="paragraph" w:styleId="22">
    <w:name w:val="Body Text First Indent 2"/>
    <w:basedOn w:val="7"/>
    <w:next w:val="1"/>
    <w:qFormat/>
    <w:uiPriority w:val="0"/>
    <w:pPr>
      <w:spacing w:after="120"/>
      <w:ind w:left="200" w:leftChars="200" w:firstLine="200" w:firstLineChars="200"/>
    </w:pPr>
    <w:rPr>
      <w:rFonts w:ascii="Calibri" w:hAnsi="Calibri"/>
      <w:sz w:val="21"/>
    </w:rPr>
  </w:style>
  <w:style w:type="paragraph" w:customStyle="1" w:styleId="25">
    <w:name w:val="表格文字"/>
    <w:basedOn w:val="12"/>
    <w:next w:val="9"/>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b w:val="0"/>
      <w:bCs w:val="0"/>
      <w:color w:val="auto"/>
      <w:sz w:val="24"/>
      <w:szCs w:val="24"/>
    </w:rPr>
  </w:style>
  <w:style w:type="paragraph" w:customStyle="1" w:styleId="27">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28">
    <w:name w:val="null3"/>
    <w:qFormat/>
    <w:uiPriority w:val="0"/>
    <w:rPr>
      <w:rFonts w:ascii="Calibri" w:hAnsi="Calibri" w:eastAsia="宋体" w:cs="Times New Roman"/>
      <w:sz w:val="20"/>
      <w:szCs w:val="20"/>
      <w:lang w:val="en-US" w:eastAsia="zh-CN" w:bidi="ar-SA"/>
    </w:rPr>
  </w:style>
  <w:style w:type="paragraph" w:customStyle="1" w:styleId="29">
    <w:name w:val="Table Text"/>
    <w:basedOn w:val="1"/>
    <w:qFormat/>
    <w:uiPriority w:val="0"/>
    <w:rPr>
      <w:rFonts w:ascii="仿宋" w:hAnsi="仿宋" w:eastAsia="仿宋" w:cs="仿宋"/>
      <w:sz w:val="24"/>
      <w:szCs w:val="24"/>
      <w:lang w:val="en-US" w:bidi="ar-SA"/>
    </w:rPr>
  </w:style>
  <w:style w:type="paragraph" w:customStyle="1" w:styleId="30">
    <w:name w:val="Body Text Indent1"/>
    <w:basedOn w:val="1"/>
    <w:next w:val="1"/>
    <w:qFormat/>
    <w:uiPriority w:val="0"/>
    <w:pPr>
      <w:spacing w:after="120"/>
      <w:ind w:left="200" w:leftChars="200"/>
    </w:pPr>
    <w:rPr>
      <w:color w:val="000000"/>
      <w:szCs w:val="21"/>
    </w:rPr>
  </w:style>
  <w:style w:type="paragraph" w:customStyle="1" w:styleId="31">
    <w:name w:val="Body Text First Indent 21"/>
    <w:basedOn w:val="30"/>
    <w:qFormat/>
    <w:uiPriority w:val="0"/>
    <w:pPr>
      <w:ind w:firstLine="420"/>
    </w:pPr>
    <w:rPr>
      <w:rFonts w:ascii="Times New Roman" w:hAnsi="Times New Roman" w:cs="宋体"/>
    </w:rPr>
  </w:style>
  <w:style w:type="character" w:customStyle="1" w:styleId="32">
    <w:name w:val="font91"/>
    <w:basedOn w:val="24"/>
    <w:qFormat/>
    <w:uiPriority w:val="0"/>
    <w:rPr>
      <w:rFonts w:ascii="宋体" w:hAnsi="宋体" w:eastAsia="宋体" w:cs="宋体"/>
      <w:color w:val="000000"/>
      <w:sz w:val="24"/>
      <w:szCs w:val="24"/>
      <w:u w:val="none"/>
      <w:vertAlign w:val="superscript"/>
    </w:rPr>
  </w:style>
  <w:style w:type="character" w:customStyle="1" w:styleId="33">
    <w:name w:val="font41"/>
    <w:basedOn w:val="24"/>
    <w:qFormat/>
    <w:uiPriority w:val="0"/>
    <w:rPr>
      <w:rFonts w:ascii="宋体" w:hAnsi="宋体" w:eastAsia="宋体" w:cs="宋体"/>
      <w:color w:val="000000"/>
      <w:sz w:val="24"/>
      <w:szCs w:val="24"/>
      <w:u w:val="none"/>
    </w:rPr>
  </w:style>
  <w:style w:type="character" w:customStyle="1" w:styleId="34">
    <w:name w:val="font61"/>
    <w:basedOn w:val="24"/>
    <w:qFormat/>
    <w:uiPriority w:val="0"/>
    <w:rPr>
      <w:rFonts w:ascii="宋体" w:hAnsi="宋体" w:eastAsia="宋体" w:cs="宋体"/>
      <w:color w:val="000000"/>
      <w:sz w:val="24"/>
      <w:szCs w:val="24"/>
      <w:u w:val="none"/>
    </w:rPr>
  </w:style>
  <w:style w:type="character" w:customStyle="1" w:styleId="35">
    <w:name w:val="font81"/>
    <w:basedOn w:val="24"/>
    <w:qFormat/>
    <w:uiPriority w:val="0"/>
    <w:rPr>
      <w:rFonts w:ascii="Times New Roman" w:hAnsi="Times New Roman" w:cs="Times New Roman"/>
      <w:color w:val="000000"/>
      <w:sz w:val="24"/>
      <w:szCs w:val="24"/>
      <w:u w:val="none"/>
    </w:rPr>
  </w:style>
  <w:style w:type="paragraph" w:customStyle="1" w:styleId="36">
    <w:name w:val="样式6 正文"/>
    <w:qFormat/>
    <w:uiPriority w:val="0"/>
    <w:pPr>
      <w:spacing w:line="360" w:lineRule="auto"/>
      <w:ind w:firstLine="510"/>
      <w:jc w:val="both"/>
    </w:pPr>
    <w:rPr>
      <w:rFonts w:ascii="Times New Roman" w:hAnsi="Times New Roman" w:eastAsia="宋体" w:cs="Times New Roman"/>
      <w:kern w:val="2"/>
      <w:sz w:val="24"/>
      <w:szCs w:val="22"/>
      <w:lang w:val="en-US" w:eastAsia="zh-CN" w:bidi="ar-SA"/>
    </w:rPr>
  </w:style>
  <w:style w:type="character" w:customStyle="1" w:styleId="37">
    <w:name w:val="font11"/>
    <w:basedOn w:val="24"/>
    <w:qFormat/>
    <w:uiPriority w:val="0"/>
    <w:rPr>
      <w:rFonts w:ascii="宋体" w:hAnsi="宋体" w:eastAsia="宋体" w:cs="宋体"/>
      <w:color w:val="000000"/>
      <w:sz w:val="21"/>
      <w:szCs w:val="21"/>
      <w:u w:val="none"/>
    </w:rPr>
  </w:style>
  <w:style w:type="character" w:customStyle="1" w:styleId="38">
    <w:name w:val="font71"/>
    <w:basedOn w:val="24"/>
    <w:qFormat/>
    <w:uiPriority w:val="0"/>
    <w:rPr>
      <w:rFonts w:ascii="Times New Roman" w:hAnsi="Times New Roman" w:cs="Times New Roman"/>
      <w:color w:val="000000"/>
      <w:sz w:val="24"/>
      <w:szCs w:val="24"/>
      <w:u w:val="none"/>
    </w:rPr>
  </w:style>
  <w:style w:type="paragraph" w:customStyle="1" w:styleId="39">
    <w:name w:val="Normal Indent1"/>
    <w:basedOn w:val="1"/>
    <w:qFormat/>
    <w:uiPriority w:val="0"/>
    <w:pPr>
      <w:ind w:firstLine="200" w:firstLineChars="200"/>
    </w:pPr>
    <w:rPr>
      <w:rFonts w:ascii="Calibri" w:hAnsi="Calibri" w:eastAsia="宋体"/>
      <w:szCs w:val="24"/>
    </w:rPr>
  </w:style>
  <w:style w:type="character" w:customStyle="1" w:styleId="40">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市直单位</Company>
  <Pages>55</Pages>
  <Words>15606</Words>
  <Characters>16575</Characters>
  <Lines>0</Lines>
  <Paragraphs>860</Paragraphs>
  <TotalTime>11</TotalTime>
  <ScaleCrop>false</ScaleCrop>
  <LinksUpToDate>false</LinksUpToDate>
  <CharactersWithSpaces>16695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2023-04-27T17:41:00Z</dcterms:created>
  <dc:creator>我们都忘了最初</dc:creator>
  <cp:lastModifiedBy>2</cp:lastModifiedBy>
  <cp:lastPrinted>2025-06-11T02:30:00Z</cp:lastPrinted>
  <dcterms:modified xsi:type="dcterms:W3CDTF">2025-06-26T01:44:51Z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14417B1CB38C4FBBA33918830FBBF3FB_13</vt:lpwstr>
  </property>
  <property fmtid="{D5CDD505-2E9C-101B-9397-08002B2CF9AE}" pid="4" name="KSOTemplateDocerSaveRecord">
    <vt:lpwstr>eyJoZGlkIjoiNzdkMjVmZjNiNzQ3YmFkZmQ0NGExODU5MTFhNTJmYmUiLCJ1c2VySWQiOiIyMTcxNDQ4MjQifQ==</vt:lpwstr>
  </property>
</Properties>
</file>