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0" w:type="auto"/>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358" w:hRule="atLeast"/>
        </w:trPr>
        <w:tc>
          <w:tcPr>
            <w:tcW w:w="9620" w:type="dxa"/>
          </w:tcPr>
          <w:p>
            <w:pPr>
              <w:tabs>
                <w:tab w:val="left" w:pos="8375"/>
              </w:tabs>
              <w:rPr>
                <w:rFonts w:hint="eastAsia"/>
                <w:b/>
                <w:color w:val="000000"/>
                <w:sz w:val="36"/>
              </w:rPr>
            </w:pPr>
          </w:p>
          <w:p>
            <w:pPr>
              <w:jc w:val="center"/>
              <w:rPr>
                <w:b/>
                <w:bCs/>
                <w:color w:val="FFFFFF"/>
              </w:rPr>
            </w:pPr>
          </w:p>
          <w:p>
            <w:pPr>
              <w:jc w:val="center"/>
              <w:rPr>
                <w:b/>
                <w:bCs/>
                <w:color w:val="FFFFFF"/>
              </w:rPr>
            </w:pPr>
            <w:r>
              <w:rPr>
                <w:rFonts w:hint="eastAsia"/>
                <w:b/>
                <w:bCs/>
                <w:color w:val="FFFFFF"/>
              </w:rPr>
              <w:t>2</w:t>
            </w:r>
          </w:p>
          <w:p>
            <w:pPr>
              <w:jc w:val="center"/>
              <w:rPr>
                <w:sz w:val="56"/>
                <w:szCs w:val="20"/>
              </w:rPr>
            </w:pPr>
            <w:r>
              <w:rPr>
                <w:rFonts w:hint="eastAsia"/>
                <w:sz w:val="56"/>
                <w:szCs w:val="20"/>
              </w:rPr>
              <w:t>浙江欣源工程项目管理有限公司</w:t>
            </w:r>
          </w:p>
          <w:p>
            <w:pPr>
              <w:jc w:val="center"/>
              <w:rPr>
                <w:sz w:val="56"/>
                <w:szCs w:val="20"/>
              </w:rPr>
            </w:pPr>
            <w:r>
              <w:rPr>
                <w:rFonts w:hint="eastAsia"/>
                <w:sz w:val="56"/>
                <w:szCs w:val="20"/>
              </w:rPr>
              <w:t>竞争性磋商采购文件</w:t>
            </w:r>
          </w:p>
          <w:p>
            <w:pPr>
              <w:spacing w:line="440" w:lineRule="exact"/>
              <w:ind w:left="1148"/>
              <w:rPr>
                <w:b/>
                <w:bCs/>
                <w:color w:val="000000"/>
                <w:sz w:val="28"/>
              </w:rPr>
            </w:pPr>
          </w:p>
          <w:p>
            <w:pPr>
              <w:spacing w:line="440" w:lineRule="exact"/>
              <w:ind w:left="1148"/>
              <w:rPr>
                <w:b/>
                <w:bCs/>
                <w:color w:val="000000"/>
                <w:sz w:val="28"/>
                <w:highlight w:val="yellow"/>
              </w:rPr>
            </w:pPr>
          </w:p>
          <w:p>
            <w:pPr>
              <w:tabs>
                <w:tab w:val="left" w:pos="1795"/>
              </w:tabs>
              <w:snapToGrid w:val="0"/>
              <w:spacing w:line="440" w:lineRule="atLeast"/>
              <w:ind w:left="3081" w:leftChars="762" w:hanging="1405" w:hangingChars="500"/>
              <w:rPr>
                <w:rFonts w:hint="eastAsia" w:eastAsia="宋体"/>
                <w:b/>
                <w:bCs/>
                <w:color w:val="000000"/>
                <w:sz w:val="28"/>
                <w:szCs w:val="28"/>
                <w:lang w:eastAsia="zh-CN"/>
              </w:rPr>
            </w:pPr>
            <w:r>
              <w:rPr>
                <w:rFonts w:hint="eastAsia"/>
                <w:b/>
                <w:color w:val="000000"/>
                <w:sz w:val="28"/>
                <w:szCs w:val="28"/>
                <w:u w:color="800080"/>
              </w:rPr>
              <w:t>项目名称：</w:t>
            </w:r>
            <w:r>
              <w:rPr>
                <w:rFonts w:hint="eastAsia"/>
                <w:b/>
                <w:color w:val="000000"/>
                <w:sz w:val="28"/>
                <w:szCs w:val="28"/>
                <w:u w:color="800080"/>
                <w:lang w:eastAsia="zh-CN"/>
              </w:rPr>
              <w:t>文成县政务服务中心政府购买第三方辅助团队服务</w:t>
            </w:r>
          </w:p>
          <w:p>
            <w:pPr>
              <w:snapToGrid w:val="0"/>
              <w:spacing w:line="440" w:lineRule="atLeast"/>
              <w:ind w:firstLine="1687" w:firstLineChars="600"/>
              <w:rPr>
                <w:rFonts w:hint="eastAsia" w:eastAsia="宋体"/>
                <w:b/>
                <w:bCs/>
                <w:color w:val="000000"/>
                <w:sz w:val="28"/>
                <w:szCs w:val="28"/>
                <w:highlight w:val="none"/>
                <w:lang w:eastAsia="zh-CN"/>
              </w:rPr>
            </w:pPr>
            <w:r>
              <w:rPr>
                <w:rFonts w:hint="eastAsia"/>
                <w:b/>
                <w:bCs/>
                <w:color w:val="000000"/>
                <w:sz w:val="28"/>
                <w:szCs w:val="28"/>
                <w:highlight w:val="none"/>
              </w:rPr>
              <w:t>采购编号：</w:t>
            </w:r>
            <w:r>
              <w:rPr>
                <w:rFonts w:hint="eastAsia"/>
                <w:b/>
                <w:bCs/>
                <w:color w:val="000000"/>
                <w:sz w:val="28"/>
                <w:szCs w:val="28"/>
                <w:highlight w:val="none"/>
                <w:lang w:eastAsia="zh-CN"/>
              </w:rPr>
              <w:t>XY-2024-001ZW</w:t>
            </w:r>
          </w:p>
          <w:p>
            <w:pPr>
              <w:snapToGrid w:val="0"/>
              <w:spacing w:line="440" w:lineRule="atLeast"/>
              <w:ind w:firstLine="1687" w:firstLineChars="600"/>
              <w:rPr>
                <w:b/>
                <w:bCs/>
                <w:color w:val="000000"/>
                <w:sz w:val="28"/>
                <w:szCs w:val="28"/>
              </w:rPr>
            </w:pPr>
          </w:p>
          <w:p>
            <w:pPr>
              <w:spacing w:line="440" w:lineRule="exact"/>
              <w:ind w:firstLine="1687" w:firstLineChars="600"/>
            </w:pPr>
            <w:r>
              <w:rPr>
                <w:rFonts w:hint="eastAsia"/>
                <w:b/>
                <w:color w:val="000000"/>
                <w:sz w:val="28"/>
                <w:szCs w:val="28"/>
              </w:rPr>
              <w:t xml:space="preserve">              </w:t>
            </w:r>
          </w:p>
          <w:p>
            <w:pPr>
              <w:spacing w:line="440" w:lineRule="exact"/>
              <w:ind w:firstLine="1687" w:firstLineChars="600"/>
              <w:rPr>
                <w:b/>
                <w:color w:val="000000"/>
                <w:sz w:val="28"/>
                <w:szCs w:val="28"/>
              </w:rPr>
            </w:pPr>
            <w:r>
              <w:rPr>
                <w:rFonts w:hint="eastAsia"/>
                <w:b/>
                <w:color w:val="000000"/>
                <w:sz w:val="28"/>
                <w:szCs w:val="28"/>
              </w:rPr>
              <w:t>采 购 人：文成县政务服务中心</w:t>
            </w:r>
          </w:p>
          <w:p>
            <w:pPr>
              <w:spacing w:line="440" w:lineRule="exact"/>
              <w:ind w:firstLine="1687" w:firstLineChars="600"/>
              <w:rPr>
                <w:rFonts w:hint="eastAsia" w:eastAsia="宋体"/>
                <w:b/>
                <w:color w:val="000000"/>
                <w:sz w:val="28"/>
                <w:szCs w:val="28"/>
                <w:highlight w:val="none"/>
                <w:lang w:eastAsia="zh-CN"/>
              </w:rPr>
            </w:pPr>
            <w:r>
              <w:rPr>
                <w:rFonts w:hint="eastAsia"/>
                <w:b/>
                <w:color w:val="000000"/>
                <w:sz w:val="28"/>
                <w:szCs w:val="28"/>
                <w:highlight w:val="none"/>
              </w:rPr>
              <w:t>联 系 人：</w:t>
            </w:r>
            <w:r>
              <w:rPr>
                <w:rFonts w:hint="eastAsia"/>
                <w:b/>
                <w:color w:val="000000"/>
                <w:sz w:val="28"/>
                <w:szCs w:val="28"/>
                <w:highlight w:val="none"/>
                <w:lang w:eastAsia="zh-CN"/>
              </w:rPr>
              <w:t>赵先生</w:t>
            </w:r>
          </w:p>
          <w:p>
            <w:pPr>
              <w:spacing w:line="440" w:lineRule="exact"/>
              <w:ind w:firstLine="1687" w:firstLineChars="600"/>
              <w:rPr>
                <w:b/>
                <w:color w:val="000000"/>
                <w:sz w:val="28"/>
                <w:szCs w:val="28"/>
              </w:rPr>
            </w:pPr>
            <w:r>
              <w:rPr>
                <w:rFonts w:hint="eastAsia"/>
                <w:b/>
                <w:color w:val="000000"/>
                <w:sz w:val="28"/>
                <w:szCs w:val="28"/>
                <w:highlight w:val="none"/>
              </w:rPr>
              <w:t>联系电话：</w:t>
            </w:r>
            <w:r>
              <w:rPr>
                <w:rFonts w:hint="eastAsia"/>
                <w:b/>
                <w:color w:val="000000"/>
                <w:sz w:val="28"/>
                <w:szCs w:val="28"/>
                <w:highlight w:val="none"/>
                <w:lang w:eastAsia="zh-CN"/>
              </w:rPr>
              <w:t>13868671828</w:t>
            </w:r>
            <w:r>
              <w:rPr>
                <w:rFonts w:hint="eastAsia"/>
                <w:b/>
                <w:color w:val="000000"/>
                <w:sz w:val="28"/>
                <w:szCs w:val="28"/>
                <w:highlight w:val="none"/>
              </w:rPr>
              <w:t xml:space="preserve">    </w:t>
            </w:r>
            <w:r>
              <w:rPr>
                <w:rFonts w:hint="eastAsia"/>
                <w:b/>
                <w:color w:val="000000"/>
                <w:sz w:val="28"/>
                <w:szCs w:val="28"/>
              </w:rPr>
              <w:t xml:space="preserve">   </w:t>
            </w:r>
          </w:p>
          <w:p>
            <w:pPr>
              <w:spacing w:line="440" w:lineRule="exact"/>
              <w:ind w:firstLine="1687" w:firstLineChars="600"/>
              <w:rPr>
                <w:b/>
                <w:color w:val="000000"/>
                <w:sz w:val="28"/>
                <w:szCs w:val="28"/>
              </w:rPr>
            </w:pPr>
          </w:p>
          <w:p>
            <w:pPr>
              <w:spacing w:line="440" w:lineRule="exact"/>
              <w:ind w:firstLine="1687" w:firstLineChars="600"/>
              <w:rPr>
                <w:b/>
                <w:color w:val="000000"/>
                <w:sz w:val="28"/>
                <w:szCs w:val="28"/>
              </w:rPr>
            </w:pPr>
          </w:p>
          <w:p>
            <w:pPr>
              <w:spacing w:line="440" w:lineRule="exact"/>
              <w:ind w:firstLine="1687" w:firstLineChars="600"/>
              <w:rPr>
                <w:b/>
                <w:color w:val="000000"/>
                <w:sz w:val="28"/>
                <w:szCs w:val="28"/>
              </w:rPr>
            </w:pPr>
            <w:r>
              <w:rPr>
                <w:rFonts w:hint="eastAsia"/>
                <w:b/>
                <w:color w:val="000000"/>
                <w:sz w:val="28"/>
                <w:szCs w:val="28"/>
              </w:rPr>
              <w:t>代理机构：浙江欣源工程项目管理有限公司</w:t>
            </w:r>
          </w:p>
          <w:p>
            <w:pPr>
              <w:spacing w:line="440" w:lineRule="exact"/>
              <w:ind w:firstLine="1687" w:firstLineChars="600"/>
              <w:rPr>
                <w:b/>
                <w:color w:val="000000"/>
                <w:sz w:val="28"/>
                <w:szCs w:val="28"/>
              </w:rPr>
            </w:pPr>
            <w:r>
              <w:rPr>
                <w:rFonts w:hint="eastAsia"/>
                <w:b/>
                <w:color w:val="000000"/>
                <w:sz w:val="28"/>
                <w:szCs w:val="28"/>
              </w:rPr>
              <w:t>联 系 人：刘先生</w:t>
            </w:r>
          </w:p>
          <w:p>
            <w:pPr>
              <w:spacing w:line="440" w:lineRule="exact"/>
              <w:ind w:firstLine="1687" w:firstLineChars="600"/>
              <w:rPr>
                <w:b/>
                <w:color w:val="000000"/>
                <w:sz w:val="28"/>
                <w:szCs w:val="28"/>
              </w:rPr>
            </w:pPr>
            <w:r>
              <w:rPr>
                <w:rFonts w:hint="eastAsia"/>
                <w:b/>
                <w:color w:val="000000"/>
                <w:sz w:val="28"/>
                <w:szCs w:val="28"/>
              </w:rPr>
              <w:t>联系电话：18072155570</w:t>
            </w:r>
          </w:p>
          <w:p>
            <w:pPr>
              <w:ind w:firstLine="1791" w:firstLineChars="811"/>
              <w:rPr>
                <w:b/>
                <w:color w:val="000000"/>
              </w:rPr>
            </w:pPr>
          </w:p>
          <w:p>
            <w:pPr>
              <w:ind w:firstLine="1791" w:firstLineChars="811"/>
              <w:rPr>
                <w:b/>
                <w:color w:val="000000"/>
              </w:rPr>
            </w:pPr>
            <w:r>
              <w:rPr>
                <w:rFonts w:hint="eastAsia"/>
                <w:b/>
                <w:color w:val="000000"/>
              </w:rPr>
              <w:t xml:space="preserve">                                      </w:t>
            </w:r>
          </w:p>
          <w:p>
            <w:pPr>
              <w:ind w:firstLine="1791" w:firstLineChars="811"/>
            </w:pPr>
            <w:r>
              <w:rPr>
                <w:rFonts w:hint="eastAsia"/>
                <w:b/>
                <w:color w:val="000000"/>
              </w:rPr>
              <w:t xml:space="preserve">                               </w:t>
            </w:r>
          </w:p>
          <w:p>
            <w:pPr>
              <w:ind w:firstLine="1791" w:firstLineChars="811"/>
              <w:rPr>
                <w:b/>
                <w:color w:val="000000"/>
              </w:rPr>
            </w:pPr>
            <w:r>
              <w:rPr>
                <w:rFonts w:hint="eastAsia"/>
                <w:b/>
                <w:color w:val="000000"/>
              </w:rPr>
              <w:t xml:space="preserve">       </w:t>
            </w:r>
          </w:p>
          <w:p>
            <w:pPr>
              <w:jc w:val="center"/>
              <w:rPr>
                <w:b/>
                <w:color w:val="000000"/>
                <w:sz w:val="30"/>
                <w:szCs w:val="30"/>
              </w:rPr>
            </w:pPr>
            <w:r>
              <w:rPr>
                <w:rFonts w:hint="eastAsia"/>
                <w:b/>
                <w:color w:val="000000"/>
                <w:sz w:val="30"/>
                <w:szCs w:val="30"/>
              </w:rPr>
              <w:t>202</w:t>
            </w:r>
            <w:r>
              <w:rPr>
                <w:rFonts w:hint="eastAsia"/>
                <w:b/>
                <w:color w:val="000000"/>
                <w:sz w:val="30"/>
                <w:szCs w:val="30"/>
                <w:lang w:val="en-US" w:eastAsia="zh-CN"/>
              </w:rPr>
              <w:t>4</w:t>
            </w:r>
            <w:r>
              <w:rPr>
                <w:rFonts w:hint="eastAsia"/>
                <w:b/>
                <w:color w:val="000000"/>
                <w:sz w:val="30"/>
                <w:szCs w:val="30"/>
              </w:rPr>
              <w:t>年</w:t>
            </w:r>
          </w:p>
          <w:p>
            <w:pPr>
              <w:jc w:val="center"/>
              <w:rPr>
                <w:b/>
                <w:sz w:val="30"/>
                <w:szCs w:val="30"/>
              </w:rPr>
            </w:pPr>
          </w:p>
        </w:tc>
      </w:tr>
    </w:tbl>
    <w:p>
      <w:pPr>
        <w:spacing w:after="120" w:afterLines="50" w:line="288" w:lineRule="auto"/>
        <w:jc w:val="center"/>
        <w:outlineLvl w:val="0"/>
        <w:rPr>
          <w:b/>
          <w:color w:val="000000"/>
          <w:sz w:val="28"/>
          <w:szCs w:val="28"/>
        </w:rPr>
      </w:pPr>
      <w:r>
        <w:rPr>
          <w:rFonts w:hint="eastAsia"/>
          <w:b/>
          <w:color w:val="000000"/>
          <w:sz w:val="28"/>
          <w:szCs w:val="28"/>
        </w:rPr>
        <w:t>浙江欣源工程项目管理有限公司关于</w:t>
      </w:r>
      <w:r>
        <w:rPr>
          <w:rFonts w:hint="eastAsia"/>
          <w:b/>
          <w:color w:val="000000"/>
          <w:sz w:val="28"/>
          <w:szCs w:val="28"/>
          <w:lang w:eastAsia="zh-CN"/>
        </w:rPr>
        <w:t>文成县政务服务中心政府购买第三方辅助团队服务</w:t>
      </w:r>
      <w:r>
        <w:rPr>
          <w:rFonts w:hint="eastAsia"/>
          <w:b/>
          <w:color w:val="000000"/>
          <w:sz w:val="28"/>
          <w:szCs w:val="28"/>
        </w:rPr>
        <w:t>竞争性磋商采购</w:t>
      </w:r>
      <w:r>
        <w:rPr>
          <w:rFonts w:hint="eastAsia"/>
          <w:b/>
          <w:color w:val="auto"/>
          <w:sz w:val="28"/>
          <w:szCs w:val="28"/>
        </w:rPr>
        <w:t>（政采云电子交易）</w:t>
      </w:r>
      <w:r>
        <w:rPr>
          <w:rFonts w:hint="eastAsia"/>
          <w:b/>
          <w:color w:val="000000"/>
          <w:sz w:val="28"/>
          <w:szCs w:val="28"/>
        </w:rPr>
        <w:t>公告</w:t>
      </w:r>
    </w:p>
    <w:p>
      <w:pPr>
        <w:pBdr>
          <w:top w:val="single" w:color="auto" w:sz="4" w:space="1"/>
          <w:left w:val="single" w:color="auto" w:sz="4" w:space="4"/>
          <w:bottom w:val="single" w:color="auto" w:sz="4" w:space="1"/>
          <w:right w:val="single" w:color="auto" w:sz="4" w:space="4"/>
        </w:pBdr>
        <w:ind w:firstLine="442" w:firstLineChars="200"/>
        <w:rPr>
          <w:b/>
          <w:bCs/>
        </w:rPr>
      </w:pPr>
      <w:r>
        <w:rPr>
          <w:rFonts w:hint="eastAsia"/>
          <w:b/>
          <w:bCs/>
        </w:rPr>
        <w:t>项目概况</w:t>
      </w:r>
    </w:p>
    <w:p>
      <w:pPr>
        <w:pBdr>
          <w:top w:val="single" w:color="auto" w:sz="4" w:space="1"/>
          <w:left w:val="single" w:color="auto" w:sz="4" w:space="4"/>
          <w:bottom w:val="single" w:color="auto" w:sz="4" w:space="1"/>
          <w:right w:val="single" w:color="auto" w:sz="4" w:space="4"/>
        </w:pBdr>
        <w:ind w:firstLine="442" w:firstLineChars="200"/>
        <w:rPr>
          <w:color w:val="000000"/>
          <w:kern w:val="0"/>
        </w:rPr>
      </w:pPr>
      <w:r>
        <w:rPr>
          <w:rFonts w:hint="eastAsia"/>
          <w:b/>
          <w:bCs/>
          <w:color w:val="000000"/>
        </w:rPr>
        <w:t>关于</w:t>
      </w:r>
      <w:r>
        <w:rPr>
          <w:rFonts w:hint="eastAsia"/>
          <w:b/>
          <w:bCs/>
          <w:color w:val="000000"/>
          <w:u w:val="single"/>
          <w:lang w:eastAsia="zh-CN"/>
        </w:rPr>
        <w:t>文成县政务服务中心政府购买第三方辅助团队服务</w:t>
      </w:r>
      <w:r>
        <w:rPr>
          <w:rFonts w:hint="eastAsia"/>
          <w:b/>
          <w:bCs/>
          <w:color w:val="000000"/>
        </w:rPr>
        <w:t>的潜在供应商应在</w:t>
      </w:r>
      <w:r>
        <w:rPr>
          <w:rFonts w:hint="eastAsia"/>
          <w:b/>
          <w:bCs/>
          <w:color w:val="000000"/>
          <w:u w:val="single"/>
        </w:rPr>
        <w:t>浙江政府采购网（http://zfcg.czt.zj.gov.cn/）</w:t>
      </w:r>
      <w:r>
        <w:rPr>
          <w:rFonts w:hint="eastAsia"/>
          <w:b/>
          <w:bCs/>
          <w:color w:val="000000"/>
        </w:rPr>
        <w:t>获取（下载）采购文件，并于</w:t>
      </w:r>
      <w:r>
        <w:rPr>
          <w:rFonts w:hint="eastAsia"/>
          <w:b/>
          <w:bCs/>
          <w:color w:val="000000"/>
          <w:u w:val="single"/>
          <w:lang w:eastAsia="zh-CN"/>
        </w:rPr>
        <w:t>2024年02月29日09:30</w:t>
      </w:r>
      <w:r>
        <w:rPr>
          <w:rFonts w:hint="eastAsia"/>
          <w:b/>
          <w:bCs/>
          <w:color w:val="000000"/>
        </w:rPr>
        <w:t>（北京时间）前提交（上传）响应文件。</w:t>
      </w:r>
    </w:p>
    <w:p>
      <w:pPr>
        <w:widowControl/>
        <w:numPr>
          <w:ilvl w:val="0"/>
          <w:numId w:val="1"/>
        </w:numPr>
        <w:snapToGrid w:val="0"/>
        <w:spacing w:before="120" w:beforeLines="50"/>
        <w:ind w:right="62"/>
        <w:jc w:val="left"/>
        <w:rPr>
          <w:b/>
          <w:color w:val="000000"/>
          <w:kern w:val="0"/>
        </w:rPr>
      </w:pPr>
      <w:r>
        <w:rPr>
          <w:rFonts w:hint="eastAsia"/>
          <w:b/>
          <w:color w:val="000000"/>
          <w:kern w:val="0"/>
        </w:rPr>
        <w:t>磋商采购项目编号：</w:t>
      </w:r>
      <w:r>
        <w:rPr>
          <w:rFonts w:hint="eastAsia"/>
          <w:b/>
          <w:color w:val="000000"/>
          <w:kern w:val="0"/>
          <w:lang w:eastAsia="zh-CN"/>
        </w:rPr>
        <w:t>XY-2024-001ZW</w:t>
      </w:r>
      <w:r>
        <w:rPr>
          <w:rFonts w:hint="eastAsia"/>
          <w:b/>
          <w:color w:val="000000"/>
          <w:kern w:val="0"/>
        </w:rPr>
        <w:t xml:space="preserve"> </w:t>
      </w:r>
    </w:p>
    <w:p>
      <w:pPr>
        <w:widowControl/>
        <w:snapToGrid w:val="0"/>
        <w:ind w:right="60"/>
        <w:jc w:val="left"/>
        <w:rPr>
          <w:b/>
          <w:color w:val="000000"/>
          <w:kern w:val="0"/>
        </w:rPr>
      </w:pPr>
      <w:r>
        <w:rPr>
          <w:rFonts w:hint="eastAsia"/>
          <w:b/>
          <w:color w:val="000000"/>
          <w:kern w:val="0"/>
        </w:rPr>
        <w:t>二、磋商采购组织类型：分散委托采购</w:t>
      </w:r>
    </w:p>
    <w:p>
      <w:pPr>
        <w:widowControl/>
        <w:snapToGrid w:val="0"/>
        <w:ind w:right="62"/>
        <w:jc w:val="left"/>
        <w:rPr>
          <w:b/>
          <w:color w:val="000000"/>
          <w:kern w:val="0"/>
        </w:rPr>
      </w:pPr>
      <w:r>
        <w:rPr>
          <w:rFonts w:hint="eastAsia"/>
          <w:b/>
          <w:color w:val="000000"/>
          <w:kern w:val="0"/>
        </w:rPr>
        <w:t>三、磋商采购项目概况</w:t>
      </w:r>
    </w:p>
    <w:tbl>
      <w:tblPr>
        <w:tblStyle w:val="29"/>
        <w:tblW w:w="0" w:type="auto"/>
        <w:tblInd w:w="-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8"/>
        <w:gridCol w:w="3024"/>
        <w:gridCol w:w="794"/>
        <w:gridCol w:w="768"/>
        <w:gridCol w:w="1161"/>
        <w:gridCol w:w="2686"/>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2" w:hRule="atLeast"/>
          <w:tblHeader/>
        </w:trPr>
        <w:tc>
          <w:tcPr>
            <w:tcW w:w="718" w:type="dxa"/>
            <w:tcBorders>
              <w:tl2br w:val="nil"/>
              <w:tr2bl w:val="nil"/>
            </w:tcBorders>
            <w:vAlign w:val="center"/>
          </w:tcPr>
          <w:p>
            <w:pPr>
              <w:jc w:val="center"/>
              <w:rPr>
                <w:b/>
                <w:kern w:val="1"/>
              </w:rPr>
            </w:pPr>
            <w:r>
              <w:rPr>
                <w:rFonts w:hint="eastAsia"/>
                <w:b/>
                <w:kern w:val="1"/>
              </w:rPr>
              <w:t>序号</w:t>
            </w:r>
          </w:p>
        </w:tc>
        <w:tc>
          <w:tcPr>
            <w:tcW w:w="3024" w:type="dxa"/>
            <w:tcBorders>
              <w:tl2br w:val="nil"/>
              <w:tr2bl w:val="nil"/>
            </w:tcBorders>
            <w:vAlign w:val="center"/>
          </w:tcPr>
          <w:p>
            <w:pPr>
              <w:jc w:val="center"/>
              <w:rPr>
                <w:b/>
                <w:kern w:val="1"/>
              </w:rPr>
            </w:pPr>
            <w:r>
              <w:rPr>
                <w:rFonts w:hint="eastAsia"/>
                <w:b/>
                <w:kern w:val="1"/>
              </w:rPr>
              <w:t>标项名称</w:t>
            </w:r>
          </w:p>
        </w:tc>
        <w:tc>
          <w:tcPr>
            <w:tcW w:w="794" w:type="dxa"/>
            <w:tcBorders>
              <w:tl2br w:val="nil"/>
              <w:tr2bl w:val="nil"/>
            </w:tcBorders>
            <w:vAlign w:val="center"/>
          </w:tcPr>
          <w:p>
            <w:pPr>
              <w:jc w:val="center"/>
              <w:rPr>
                <w:b/>
                <w:kern w:val="1"/>
              </w:rPr>
            </w:pPr>
            <w:r>
              <w:rPr>
                <w:rFonts w:hint="eastAsia"/>
                <w:b/>
                <w:kern w:val="1"/>
              </w:rPr>
              <w:t>单位</w:t>
            </w:r>
          </w:p>
        </w:tc>
        <w:tc>
          <w:tcPr>
            <w:tcW w:w="768" w:type="dxa"/>
            <w:tcBorders>
              <w:tl2br w:val="nil"/>
              <w:tr2bl w:val="nil"/>
            </w:tcBorders>
            <w:vAlign w:val="center"/>
          </w:tcPr>
          <w:p>
            <w:pPr>
              <w:jc w:val="center"/>
              <w:rPr>
                <w:color w:val="auto"/>
                <w:kern w:val="1"/>
                <w:highlight w:val="none"/>
              </w:rPr>
            </w:pPr>
            <w:r>
              <w:rPr>
                <w:rFonts w:hint="eastAsia"/>
                <w:b/>
                <w:color w:val="auto"/>
                <w:kern w:val="1"/>
                <w:highlight w:val="none"/>
              </w:rPr>
              <w:t>数量</w:t>
            </w:r>
          </w:p>
        </w:tc>
        <w:tc>
          <w:tcPr>
            <w:tcW w:w="1161" w:type="dxa"/>
            <w:tcBorders>
              <w:tl2br w:val="nil"/>
              <w:tr2bl w:val="nil"/>
            </w:tcBorders>
            <w:vAlign w:val="center"/>
          </w:tcPr>
          <w:p>
            <w:pPr>
              <w:jc w:val="center"/>
              <w:rPr>
                <w:b/>
                <w:color w:val="auto"/>
                <w:kern w:val="1"/>
                <w:highlight w:val="none"/>
              </w:rPr>
            </w:pPr>
            <w:r>
              <w:rPr>
                <w:rFonts w:hint="eastAsia"/>
                <w:b/>
                <w:color w:val="auto"/>
                <w:kern w:val="1"/>
                <w:highlight w:val="none"/>
              </w:rPr>
              <w:t>预算金额</w:t>
            </w:r>
          </w:p>
          <w:p>
            <w:pPr>
              <w:jc w:val="center"/>
              <w:rPr>
                <w:b/>
                <w:color w:val="auto"/>
                <w:kern w:val="1"/>
                <w:highlight w:val="none"/>
              </w:rPr>
            </w:pPr>
            <w:r>
              <w:rPr>
                <w:rFonts w:hint="eastAsia"/>
                <w:b/>
                <w:color w:val="auto"/>
                <w:kern w:val="1"/>
                <w:highlight w:val="none"/>
              </w:rPr>
              <w:t>(万元)</w:t>
            </w:r>
          </w:p>
        </w:tc>
        <w:tc>
          <w:tcPr>
            <w:tcW w:w="2686" w:type="dxa"/>
            <w:tcBorders>
              <w:tl2br w:val="nil"/>
              <w:tr2bl w:val="nil"/>
            </w:tcBorders>
            <w:vAlign w:val="center"/>
          </w:tcPr>
          <w:p>
            <w:pPr>
              <w:jc w:val="center"/>
              <w:rPr>
                <w:b/>
                <w:kern w:val="1"/>
              </w:rPr>
            </w:pPr>
            <w:r>
              <w:rPr>
                <w:rFonts w:hint="eastAsia"/>
                <w:b/>
                <w:kern w:val="1"/>
              </w:rPr>
              <w:t>简要规格描述或标项基本概况介绍</w:t>
            </w:r>
          </w:p>
        </w:tc>
        <w:tc>
          <w:tcPr>
            <w:tcW w:w="686" w:type="dxa"/>
            <w:tcBorders>
              <w:tl2br w:val="nil"/>
              <w:tr2bl w:val="nil"/>
            </w:tcBorders>
            <w:vAlign w:val="center"/>
          </w:tcPr>
          <w:p>
            <w:pPr>
              <w:jc w:val="center"/>
              <w:rPr>
                <w:b/>
                <w:kern w:val="1"/>
              </w:rPr>
            </w:pPr>
            <w:r>
              <w:rPr>
                <w:rFonts w:hint="eastAsia"/>
                <w:b/>
                <w:kern w:val="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2" w:hRule="atLeast"/>
        </w:trPr>
        <w:tc>
          <w:tcPr>
            <w:tcW w:w="718" w:type="dxa"/>
            <w:tcBorders>
              <w:tl2br w:val="nil"/>
              <w:tr2bl w:val="nil"/>
            </w:tcBorders>
            <w:vAlign w:val="center"/>
          </w:tcPr>
          <w:p>
            <w:pPr>
              <w:jc w:val="center"/>
              <w:rPr>
                <w:kern w:val="1"/>
              </w:rPr>
            </w:pPr>
            <w:r>
              <w:rPr>
                <w:rFonts w:hint="eastAsia"/>
                <w:kern w:val="1"/>
              </w:rPr>
              <w:t>1</w:t>
            </w:r>
          </w:p>
        </w:tc>
        <w:tc>
          <w:tcPr>
            <w:tcW w:w="3024" w:type="dxa"/>
            <w:tcBorders>
              <w:tl2br w:val="nil"/>
              <w:tr2bl w:val="nil"/>
            </w:tcBorders>
            <w:vAlign w:val="center"/>
          </w:tcPr>
          <w:p>
            <w:pPr>
              <w:jc w:val="center"/>
              <w:rPr>
                <w:rFonts w:hint="eastAsia" w:eastAsia="宋体"/>
                <w:kern w:val="1"/>
                <w:lang w:eastAsia="zh-CN"/>
              </w:rPr>
            </w:pPr>
            <w:r>
              <w:rPr>
                <w:rFonts w:hint="eastAsia"/>
                <w:kern w:val="1"/>
                <w:lang w:eastAsia="zh-CN"/>
              </w:rPr>
              <w:t>文成县政务服务中心政府购买第三方辅助团队服务</w:t>
            </w:r>
          </w:p>
        </w:tc>
        <w:tc>
          <w:tcPr>
            <w:tcW w:w="794" w:type="dxa"/>
            <w:tcBorders>
              <w:tl2br w:val="nil"/>
              <w:tr2bl w:val="nil"/>
            </w:tcBorders>
            <w:vAlign w:val="center"/>
          </w:tcPr>
          <w:p>
            <w:pPr>
              <w:jc w:val="center"/>
              <w:rPr>
                <w:kern w:val="1"/>
              </w:rPr>
            </w:pPr>
            <w:r>
              <w:rPr>
                <w:rFonts w:hint="eastAsia"/>
                <w:kern w:val="1"/>
              </w:rPr>
              <w:t>项</w:t>
            </w:r>
          </w:p>
        </w:tc>
        <w:tc>
          <w:tcPr>
            <w:tcW w:w="768" w:type="dxa"/>
            <w:tcBorders>
              <w:tl2br w:val="nil"/>
              <w:tr2bl w:val="nil"/>
            </w:tcBorders>
            <w:vAlign w:val="center"/>
          </w:tcPr>
          <w:p>
            <w:pPr>
              <w:jc w:val="center"/>
              <w:rPr>
                <w:color w:val="auto"/>
                <w:kern w:val="1"/>
                <w:highlight w:val="none"/>
              </w:rPr>
            </w:pPr>
            <w:r>
              <w:rPr>
                <w:rFonts w:hint="eastAsia"/>
                <w:color w:val="auto"/>
                <w:kern w:val="1"/>
                <w:highlight w:val="none"/>
              </w:rPr>
              <w:t>1</w:t>
            </w:r>
          </w:p>
        </w:tc>
        <w:tc>
          <w:tcPr>
            <w:tcW w:w="1161" w:type="dxa"/>
            <w:tcBorders>
              <w:tl2br w:val="nil"/>
              <w:tr2bl w:val="nil"/>
            </w:tcBorders>
            <w:vAlign w:val="center"/>
          </w:tcPr>
          <w:p>
            <w:pPr>
              <w:jc w:val="center"/>
              <w:rPr>
                <w:rFonts w:hint="default" w:eastAsia="宋体"/>
                <w:color w:val="auto"/>
                <w:kern w:val="1"/>
                <w:highlight w:val="none"/>
                <w:lang w:val="en-US" w:eastAsia="zh-CN"/>
              </w:rPr>
            </w:pPr>
            <w:r>
              <w:rPr>
                <w:rFonts w:hint="eastAsia"/>
                <w:color w:val="auto"/>
                <w:kern w:val="1"/>
                <w:highlight w:val="none"/>
                <w:lang w:val="en-US" w:eastAsia="zh-CN"/>
              </w:rPr>
              <w:t>45</w:t>
            </w:r>
          </w:p>
        </w:tc>
        <w:tc>
          <w:tcPr>
            <w:tcW w:w="2686" w:type="dxa"/>
            <w:tcBorders>
              <w:tl2br w:val="nil"/>
              <w:tr2bl w:val="nil"/>
            </w:tcBorders>
            <w:vAlign w:val="center"/>
          </w:tcPr>
          <w:p>
            <w:pPr>
              <w:jc w:val="center"/>
              <w:rPr>
                <w:kern w:val="1"/>
              </w:rPr>
            </w:pPr>
            <w:r>
              <w:rPr>
                <w:rFonts w:hint="eastAsia"/>
                <w:kern w:val="1"/>
              </w:rPr>
              <w:t>详见磋商文件</w:t>
            </w:r>
          </w:p>
        </w:tc>
        <w:tc>
          <w:tcPr>
            <w:tcW w:w="686" w:type="dxa"/>
            <w:tcBorders>
              <w:tl2br w:val="nil"/>
              <w:tr2bl w:val="nil"/>
            </w:tcBorders>
            <w:vAlign w:val="center"/>
          </w:tcPr>
          <w:p>
            <w:pPr>
              <w:jc w:val="center"/>
              <w:rPr>
                <w:kern w:val="1"/>
              </w:rPr>
            </w:pPr>
            <w:r>
              <w:rPr>
                <w:rFonts w:hint="eastAsia"/>
                <w:kern w:val="1"/>
              </w:rPr>
              <w:t>/</w:t>
            </w:r>
          </w:p>
        </w:tc>
      </w:tr>
    </w:tbl>
    <w:p>
      <w:pPr>
        <w:pStyle w:val="25"/>
        <w:outlineLvl w:val="9"/>
        <w:rPr>
          <w:rFonts w:ascii="宋体"/>
          <w:color w:val="FF0000"/>
          <w:sz w:val="8"/>
          <w:szCs w:val="8"/>
        </w:rPr>
      </w:pPr>
    </w:p>
    <w:p>
      <w:pPr>
        <w:widowControl/>
        <w:snapToGrid w:val="0"/>
        <w:ind w:left="62" w:right="62"/>
        <w:jc w:val="left"/>
        <w:rPr>
          <w:b/>
          <w:color w:val="000000"/>
        </w:rPr>
      </w:pPr>
      <w:r>
        <w:rPr>
          <w:rFonts w:hint="eastAsia"/>
          <w:b/>
          <w:color w:val="000000"/>
          <w:kern w:val="0"/>
        </w:rPr>
        <w:t>四、磋商供应商资格要求：</w:t>
      </w:r>
    </w:p>
    <w:p>
      <w:pPr>
        <w:widowControl/>
        <w:snapToGrid w:val="0"/>
        <w:ind w:firstLine="440" w:firstLineChars="200"/>
        <w:jc w:val="left"/>
      </w:pPr>
      <w:r>
        <w:rPr>
          <w:rFonts w:hint="eastAsia"/>
        </w:rPr>
        <w:t>1、符合《中华人民共和国政府采购法》第二十二条和浙财采监【2013】24号《关于规范政府采</w:t>
      </w:r>
      <w:r>
        <w:rPr>
          <w:rFonts w:hint="eastAsia"/>
        </w:rPr>
        <w:tab/>
      </w:r>
      <w:r>
        <w:rPr>
          <w:rFonts w:hint="eastAsia"/>
        </w:rPr>
        <w:t>购供应商资格设定及资格审查的通知》第六条规定,且未被“信用中国”（www.creditchina.gov.cn）、中国政府采购网（www.ccgp.gov.cn）列入失信被执行人、重大税收违法案件当事人名单、政府采购严重违法失信行为记录名单。</w:t>
      </w:r>
    </w:p>
    <w:p>
      <w:pPr>
        <w:widowControl/>
        <w:snapToGrid w:val="0"/>
        <w:ind w:firstLine="440" w:firstLineChars="200"/>
        <w:jc w:val="left"/>
      </w:pPr>
      <w:r>
        <w:rPr>
          <w:rFonts w:hint="eastAsia"/>
        </w:rPr>
        <w:t>2、本项目拒绝联合体投标。</w:t>
      </w:r>
    </w:p>
    <w:p>
      <w:pPr>
        <w:widowControl/>
        <w:snapToGrid w:val="0"/>
        <w:ind w:firstLine="440" w:firstLineChars="200"/>
        <w:jc w:val="left"/>
        <w:rPr>
          <w:rFonts w:hint="eastAsia"/>
          <w:highlight w:val="none"/>
        </w:rPr>
      </w:pPr>
      <w:r>
        <w:rPr>
          <w:rFonts w:hint="eastAsia"/>
          <w:highlight w:val="none"/>
        </w:rPr>
        <w:t>3、落实政府采购政策需满足的资格要求：本项目为面向中小企业采购的项目。须满足《政府采购促进中小企业发展管理办法》（财库〔2020〕46 号）第二、四条规定。浙财采监〔2019〕8号文件规定，监狱企业、残疾人福利性单位视为小微企业。</w:t>
      </w:r>
    </w:p>
    <w:p>
      <w:pPr>
        <w:widowControl/>
        <w:snapToGrid w:val="0"/>
        <w:ind w:firstLine="440" w:firstLineChars="200"/>
        <w:jc w:val="left"/>
        <w:rPr>
          <w:highlight w:val="yellow"/>
        </w:rPr>
      </w:pPr>
      <w:r>
        <w:rPr>
          <w:rFonts w:hint="eastAsia"/>
          <w:highlight w:val="none"/>
          <w:lang w:val="en-US" w:eastAsia="zh-CN"/>
        </w:rPr>
        <w:t>4</w:t>
      </w:r>
      <w:r>
        <w:rPr>
          <w:rFonts w:hint="eastAsia"/>
          <w:highlight w:val="none"/>
        </w:rPr>
        <w:t>、特定资格要求：在登记管理部门登记或经国务院批准免予登记的社会组织、按事业单位分类改革应划入公益二类或转为企业的事业单位，依法在工商管理或行业主管部门登记成立的企业、机构等社会力量，且具有为企事业、机关行政单位提供综合后勤服务的经营范围（以营业执照或法人登记证等相关证明材料为准）。</w:t>
      </w:r>
    </w:p>
    <w:p>
      <w:pPr>
        <w:widowControl/>
        <w:snapToGrid w:val="0"/>
        <w:ind w:left="62" w:right="62"/>
        <w:jc w:val="left"/>
        <w:rPr>
          <w:color w:val="000000"/>
          <w:kern w:val="0"/>
        </w:rPr>
      </w:pPr>
      <w:r>
        <w:rPr>
          <w:rFonts w:hint="eastAsia"/>
          <w:b/>
          <w:color w:val="000000"/>
          <w:kern w:val="0"/>
        </w:rPr>
        <w:t>五、磋商文件的获取时间、方式、平台等</w:t>
      </w:r>
      <w:r>
        <w:rPr>
          <w:rFonts w:hint="eastAsia"/>
          <w:color w:val="000000"/>
          <w:kern w:val="0"/>
        </w:rPr>
        <w:t>:</w:t>
      </w:r>
    </w:p>
    <w:p>
      <w:pPr>
        <w:widowControl/>
        <w:snapToGrid w:val="0"/>
        <w:ind w:left="62" w:right="62" w:firstLine="440" w:firstLineChars="200"/>
        <w:jc w:val="left"/>
        <w:rPr>
          <w:color w:val="000000"/>
          <w:kern w:val="0"/>
        </w:rPr>
      </w:pPr>
      <w:r>
        <w:rPr>
          <w:rFonts w:hint="eastAsia"/>
          <w:color w:val="000000"/>
          <w:kern w:val="0"/>
        </w:rPr>
        <w:t>1、本项目采购文件实行“政府采购云平台（以下简称政采云)”在线获取，供应商获取采购文件前应先完成“政采云”的供应商账号注册；</w:t>
      </w:r>
    </w:p>
    <w:p>
      <w:pPr>
        <w:widowControl/>
        <w:snapToGrid w:val="0"/>
        <w:ind w:left="62" w:right="62" w:firstLine="440" w:firstLineChars="200"/>
        <w:jc w:val="left"/>
        <w:rPr>
          <w:color w:val="000000"/>
          <w:kern w:val="0"/>
        </w:rPr>
      </w:pPr>
      <w:r>
        <w:rPr>
          <w:rFonts w:hint="eastAsia"/>
          <w:color w:val="000000"/>
          <w:kern w:val="0"/>
        </w:rPr>
        <w:t>2、时间：公告发布之日起至磋商响应文件提交截止时间；</w:t>
      </w:r>
    </w:p>
    <w:p>
      <w:pPr>
        <w:widowControl/>
        <w:snapToGrid w:val="0"/>
        <w:ind w:left="62" w:right="62" w:firstLine="440" w:firstLineChars="200"/>
        <w:jc w:val="left"/>
        <w:rPr>
          <w:color w:val="000000"/>
          <w:kern w:val="0"/>
        </w:rPr>
      </w:pPr>
      <w:r>
        <w:rPr>
          <w:rFonts w:hint="eastAsia"/>
          <w:color w:val="000000"/>
          <w:kern w:val="0"/>
        </w:rPr>
        <w:t>3、平台：政采云（www.zcygov.cn）；</w:t>
      </w:r>
    </w:p>
    <w:p>
      <w:pPr>
        <w:widowControl/>
        <w:snapToGrid w:val="0"/>
        <w:ind w:left="62" w:right="62" w:firstLine="440" w:firstLineChars="200"/>
        <w:jc w:val="left"/>
        <w:rPr>
          <w:color w:val="000000"/>
          <w:kern w:val="0"/>
        </w:rPr>
      </w:pPr>
      <w:r>
        <w:rPr>
          <w:rFonts w:hint="eastAsia"/>
          <w:color w:val="000000"/>
          <w:kern w:val="0"/>
        </w:rPr>
        <w:t>4、方式：潜在供应商登陆政采云平台，在线申请获取采购文件（进入“项目采购”应用，在获取采购文件菜单中选择项目，按采购公告要求提交报名资料上传附件后申请获取采购文件）；</w:t>
      </w:r>
    </w:p>
    <w:p>
      <w:pPr>
        <w:widowControl/>
        <w:snapToGrid w:val="0"/>
        <w:ind w:left="62" w:right="62" w:firstLine="440" w:firstLineChars="200"/>
        <w:jc w:val="left"/>
        <w:rPr>
          <w:color w:val="000000"/>
          <w:kern w:val="0"/>
        </w:rPr>
      </w:pPr>
      <w:r>
        <w:rPr>
          <w:rFonts w:hint="eastAsia"/>
          <w:color w:val="000000"/>
          <w:kern w:val="0"/>
        </w:rPr>
        <w:t>5、供应商获取采购文件时须提交的文件资料：详见公告“其他事项”并按要求提供；</w:t>
      </w:r>
    </w:p>
    <w:p>
      <w:pPr>
        <w:widowControl/>
        <w:snapToGrid w:val="0"/>
        <w:ind w:left="62" w:right="62" w:firstLine="440" w:firstLineChars="200"/>
        <w:jc w:val="left"/>
        <w:rPr>
          <w:color w:val="000000"/>
          <w:kern w:val="0"/>
        </w:rPr>
      </w:pPr>
      <w:r>
        <w:rPr>
          <w:rFonts w:hint="eastAsia"/>
          <w:color w:val="000000"/>
          <w:kern w:val="0"/>
        </w:rPr>
        <w:t>6、提示：招标公告附件内的采购文件（及相关附件内容）仅供阅览使用，供应商只有在“政采云”平台提交了报名资料完成获取采购文件申请并下载了采购文件后才视作依法获取采购文件（法律法规所指的供应商获取采购文件时间以供应商完成获取采购文件申请后下载采购文件的时间为准）。</w:t>
      </w:r>
    </w:p>
    <w:p>
      <w:pPr>
        <w:widowControl/>
        <w:snapToGrid w:val="0"/>
        <w:ind w:right="60" w:firstLine="418" w:firstLineChars="190"/>
        <w:jc w:val="left"/>
        <w:rPr>
          <w:color w:val="000000"/>
          <w:kern w:val="0"/>
        </w:rPr>
      </w:pPr>
      <w:r>
        <w:rPr>
          <w:rFonts w:hint="eastAsia"/>
          <w:color w:val="000000"/>
          <w:kern w:val="0"/>
        </w:rPr>
        <w:t>注：请供应商按上述要求获取采购文件，如未在“政采云”系统内完成以上流程，引起的投标无效，供应商责任自负。</w:t>
      </w:r>
    </w:p>
    <w:p>
      <w:pPr>
        <w:widowControl/>
        <w:snapToGrid w:val="0"/>
        <w:ind w:right="60"/>
        <w:jc w:val="left"/>
        <w:rPr>
          <w:b/>
          <w:color w:val="000000"/>
          <w:highlight w:val="none"/>
        </w:rPr>
      </w:pPr>
      <w:r>
        <w:rPr>
          <w:rFonts w:hint="eastAsia"/>
          <w:b/>
          <w:color w:val="000000"/>
          <w:kern w:val="0"/>
          <w:highlight w:val="none"/>
        </w:rPr>
        <w:t>六、磋商响应文件提交截止时间：</w:t>
      </w:r>
      <w:bookmarkStart w:id="60" w:name="_GoBack"/>
      <w:bookmarkEnd w:id="60"/>
      <w:r>
        <w:rPr>
          <w:rFonts w:hint="eastAsia"/>
          <w:b/>
          <w:color w:val="000000"/>
          <w:kern w:val="0"/>
          <w:highlight w:val="none"/>
          <w:u w:val="single"/>
          <w:lang w:eastAsia="zh-CN"/>
        </w:rPr>
        <w:t>2024年02月29日09:30</w:t>
      </w:r>
      <w:r>
        <w:rPr>
          <w:rFonts w:hint="eastAsia"/>
          <w:b/>
          <w:color w:val="000000"/>
          <w:kern w:val="0"/>
          <w:highlight w:val="none"/>
          <w:u w:val="single"/>
        </w:rPr>
        <w:t>分整</w:t>
      </w:r>
    </w:p>
    <w:p>
      <w:pPr>
        <w:widowControl/>
        <w:snapToGrid w:val="0"/>
        <w:ind w:right="62"/>
        <w:jc w:val="left"/>
        <w:rPr>
          <w:b/>
          <w:color w:val="000000"/>
          <w:kern w:val="0"/>
          <w:highlight w:val="none"/>
        </w:rPr>
      </w:pPr>
      <w:r>
        <w:rPr>
          <w:rFonts w:hint="eastAsia"/>
          <w:b/>
          <w:color w:val="000000"/>
          <w:kern w:val="0"/>
          <w:highlight w:val="none"/>
        </w:rPr>
        <w:t>七、磋商平台：政采云（www.zcygov.cn）</w:t>
      </w:r>
    </w:p>
    <w:p>
      <w:pPr>
        <w:widowControl/>
        <w:snapToGrid w:val="0"/>
        <w:ind w:right="62"/>
        <w:jc w:val="left"/>
        <w:rPr>
          <w:b/>
          <w:color w:val="000000"/>
          <w:highlight w:val="none"/>
        </w:rPr>
      </w:pPr>
      <w:r>
        <w:rPr>
          <w:rFonts w:hint="eastAsia"/>
          <w:b/>
          <w:color w:val="000000"/>
          <w:kern w:val="0"/>
          <w:highlight w:val="none"/>
        </w:rPr>
        <w:t>八、磋商开始时间：</w:t>
      </w:r>
      <w:r>
        <w:rPr>
          <w:rFonts w:hint="eastAsia"/>
          <w:b/>
          <w:color w:val="000000"/>
          <w:kern w:val="0"/>
          <w:highlight w:val="none"/>
          <w:u w:val="single"/>
          <w:lang w:eastAsia="zh-CN"/>
        </w:rPr>
        <w:t>2024年02月29日09:30</w:t>
      </w:r>
      <w:r>
        <w:rPr>
          <w:rFonts w:hint="eastAsia"/>
          <w:b/>
          <w:color w:val="000000"/>
          <w:kern w:val="0"/>
          <w:highlight w:val="none"/>
          <w:u w:val="single"/>
        </w:rPr>
        <w:t>分整</w:t>
      </w:r>
    </w:p>
    <w:p>
      <w:pPr>
        <w:widowControl/>
        <w:snapToGrid w:val="0"/>
        <w:ind w:left="60" w:right="60"/>
        <w:jc w:val="left"/>
        <w:rPr>
          <w:b/>
          <w:color w:val="000000"/>
          <w:kern w:val="0"/>
        </w:rPr>
      </w:pPr>
      <w:r>
        <w:rPr>
          <w:rFonts w:hint="eastAsia"/>
          <w:b/>
          <w:color w:val="000000"/>
          <w:kern w:val="0"/>
        </w:rPr>
        <w:t>九、磋商开始平台：政采云（www.zcygov.cn）</w:t>
      </w:r>
    </w:p>
    <w:p>
      <w:pPr>
        <w:widowControl/>
        <w:snapToGrid w:val="0"/>
        <w:ind w:left="60" w:right="60"/>
        <w:jc w:val="left"/>
        <w:rPr>
          <w:b/>
          <w:color w:val="000000"/>
          <w:kern w:val="0"/>
        </w:rPr>
      </w:pPr>
      <w:r>
        <w:rPr>
          <w:rFonts w:hint="eastAsia"/>
          <w:b/>
          <w:color w:val="000000"/>
          <w:kern w:val="0"/>
        </w:rPr>
        <w:t>十、在线投标响应（电子投标）说明</w:t>
      </w:r>
    </w:p>
    <w:p>
      <w:pPr>
        <w:widowControl/>
        <w:snapToGrid w:val="0"/>
        <w:ind w:right="60" w:firstLine="418" w:firstLineChars="190"/>
        <w:jc w:val="left"/>
        <w:rPr>
          <w:color w:val="000000"/>
          <w:kern w:val="0"/>
        </w:rPr>
      </w:pPr>
      <w:r>
        <w:rPr>
          <w:rFonts w:hint="eastAsia"/>
          <w:color w:val="000000"/>
          <w:kern w:val="0"/>
        </w:rPr>
        <w:t>1、本项目通过“政采云平台（www.zcygov.cn）”实行在线投标响应（电子投标）（不接受现场递交的纸质响应文件），供应商应先安装“政采云电子交易客户端”，并按照本采购文件和“政采云平台”的要求，通过“政采云电子交易客户端”编制并加密响应文件。供应商未按规定加密的响应文件，“政采云平台”将予以拒收。</w:t>
      </w:r>
    </w:p>
    <w:p>
      <w:pPr>
        <w:widowControl/>
        <w:snapToGrid w:val="0"/>
        <w:ind w:right="60" w:firstLine="420" w:firstLineChars="190"/>
        <w:jc w:val="left"/>
        <w:rPr>
          <w:color w:val="000000"/>
          <w:kern w:val="0"/>
        </w:rPr>
      </w:pPr>
      <w:r>
        <w:rPr>
          <w:rFonts w:hint="eastAsia"/>
          <w:b/>
          <w:bCs/>
          <w:color w:val="000000"/>
          <w:kern w:val="0"/>
        </w:rPr>
        <w:t>“政采云电子交易客户端”请自行前往“浙江政府采购网-下载专区-电子交易客户端”进行下载；</w:t>
      </w:r>
      <w:r>
        <w:rPr>
          <w:rFonts w:hint="eastAsia"/>
          <w:color w:val="000000"/>
          <w:kern w:val="0"/>
        </w:rPr>
        <w:t>电子投标具体操作流程详见“政采云平台（www.zcygov.cn）-服务中心-帮助文档-操作流程-电子招投标”；在线投标时如遇平台操作/技术问题详询政采云客服400-881-7190。</w:t>
      </w:r>
    </w:p>
    <w:p>
      <w:pPr>
        <w:widowControl/>
        <w:snapToGrid w:val="0"/>
        <w:ind w:right="60" w:firstLine="418" w:firstLineChars="190"/>
        <w:jc w:val="left"/>
        <w:rPr>
          <w:color w:val="000000"/>
          <w:kern w:val="0"/>
        </w:rPr>
      </w:pPr>
      <w:r>
        <w:rPr>
          <w:rFonts w:hint="eastAsia"/>
          <w:color w:val="000000"/>
          <w:kern w:val="0"/>
        </w:rPr>
        <w:t>2、为确保网上操作合法、有效和安全，政采云规定投标供应商应当在投标截止时间前完成在“政采云平台”的身份认证，确保在电子投标过程中能够对相关数据电文进行加密和使用电子签章。</w:t>
      </w:r>
      <w:r>
        <w:rPr>
          <w:rFonts w:hint="eastAsia"/>
          <w:b/>
          <w:bCs/>
          <w:color w:val="000000"/>
          <w:kern w:val="0"/>
        </w:rPr>
        <w:t>使用“政采云电子交易客户端”需要提前申领CA数字证书</w:t>
      </w:r>
      <w:r>
        <w:rPr>
          <w:rFonts w:hint="eastAsia"/>
          <w:color w:val="000000"/>
          <w:kern w:val="0"/>
        </w:rPr>
        <w:t>，申领流程请自行前往“浙江政府采购网-下载专区-电子交易客户端-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hint="eastAsia"/>
          <w:color w:val="000000"/>
          <w:kern w:val="0"/>
        </w:rPr>
        <w:t>CA驱动和申领流程</w:t>
      </w:r>
      <w:r>
        <w:rPr>
          <w:rFonts w:hint="eastAsia"/>
          <w:color w:val="000000"/>
          <w:kern w:val="0"/>
        </w:rPr>
        <w:fldChar w:fldCharType="end"/>
      </w:r>
      <w:r>
        <w:rPr>
          <w:rFonts w:hint="eastAsia"/>
          <w:color w:val="000000"/>
          <w:kern w:val="0"/>
        </w:rPr>
        <w:t>”进行查阅；</w:t>
      </w:r>
    </w:p>
    <w:p>
      <w:pPr>
        <w:widowControl/>
        <w:snapToGrid w:val="0"/>
        <w:ind w:right="60" w:firstLine="418" w:firstLineChars="190"/>
        <w:jc w:val="left"/>
        <w:rPr>
          <w:color w:val="000000"/>
          <w:kern w:val="0"/>
        </w:rPr>
      </w:pPr>
      <w:r>
        <w:rPr>
          <w:rFonts w:hint="eastAsia"/>
          <w:color w:val="000000"/>
          <w:kern w:val="0"/>
        </w:rPr>
        <w:t>3、投标供应商应当在投标截止时间前，将生成的《电子加密响应文件》上传递交至“政采云平台”并在开标时在“政采云平台”进行CA数字证书解密参与投标。投标截止时间以后上传的响应文件将被“政采云平台”拒收。</w:t>
      </w:r>
    </w:p>
    <w:p>
      <w:pPr>
        <w:widowControl/>
        <w:snapToGrid w:val="0"/>
        <w:ind w:right="60" w:firstLine="418" w:firstLineChars="190"/>
        <w:jc w:val="left"/>
        <w:rPr>
          <w:color w:val="000000"/>
          <w:kern w:val="0"/>
        </w:rPr>
      </w:pPr>
      <w:r>
        <w:rPr>
          <w:rFonts w:hint="eastAsia"/>
          <w:color w:val="000000"/>
          <w:kern w:val="0"/>
        </w:rPr>
        <w:t>4、投标供应商在“政府采购云平台”完成“电子加密投标文件”的上传递交后，还可以（EMS邮寄形式）在投标截止时间前递交以（U盘）存储的数据电文形式的“备份投标文件”至代理公司，“备份投标文件”应当密封包装并在包装上标注投标项目名称、投标单位名称并加盖公章。</w:t>
      </w:r>
    </w:p>
    <w:p>
      <w:pPr>
        <w:widowControl/>
        <w:snapToGrid w:val="0"/>
        <w:ind w:right="60" w:firstLine="418" w:firstLineChars="190"/>
        <w:jc w:val="left"/>
        <w:rPr>
          <w:color w:val="000000"/>
          <w:kern w:val="0"/>
        </w:rPr>
      </w:pPr>
      <w:r>
        <w:rPr>
          <w:rFonts w:hint="eastAsia"/>
          <w:color w:val="000000"/>
          <w:kern w:val="0"/>
        </w:rPr>
        <w:t>5、通过“政府采购云平台”上传递交的“电子加密投标文件”无法按时解密，投标供应商有递交了备份投标文件的，以备份投标文件为依据，否则视为投标文件撤回，放弃投标。通过“政府采购云平台”上传递交的“电子加密投标文件”已按时解密的，“备份投标文件”自动失效。投标供应商仅递交备份投标文件的，投标无效。</w:t>
      </w:r>
    </w:p>
    <w:p>
      <w:pPr>
        <w:widowControl/>
        <w:snapToGrid w:val="0"/>
        <w:ind w:right="60" w:firstLine="418" w:firstLineChars="190"/>
        <w:jc w:val="left"/>
        <w:rPr>
          <w:color w:val="000000"/>
          <w:kern w:val="0"/>
        </w:rPr>
      </w:pPr>
      <w:r>
        <w:rPr>
          <w:rFonts w:hint="eastAsia"/>
          <w:color w:val="000000"/>
          <w:kern w:val="0"/>
        </w:rPr>
        <w:t>6、其他内容详见磋商文件</w:t>
      </w:r>
    </w:p>
    <w:p>
      <w:pPr>
        <w:widowControl/>
        <w:snapToGrid w:val="0"/>
        <w:ind w:left="60" w:right="60"/>
        <w:jc w:val="left"/>
        <w:rPr>
          <w:b/>
          <w:color w:val="000000"/>
          <w:kern w:val="0"/>
        </w:rPr>
      </w:pPr>
      <w:r>
        <w:rPr>
          <w:rFonts w:hint="eastAsia"/>
          <w:b/>
          <w:color w:val="000000"/>
          <w:kern w:val="0"/>
        </w:rPr>
        <w:t>十一、其他事项：</w:t>
      </w:r>
    </w:p>
    <w:p>
      <w:pPr>
        <w:widowControl/>
        <w:snapToGrid w:val="0"/>
        <w:ind w:right="60" w:firstLine="440" w:firstLineChars="200"/>
        <w:jc w:val="left"/>
        <w:rPr>
          <w:b/>
          <w:color w:val="000000"/>
          <w:kern w:val="0"/>
        </w:rPr>
      </w:pPr>
      <w:r>
        <w:rPr>
          <w:rFonts w:hint="eastAsia"/>
        </w:rPr>
        <w:t>1. 本项目公告期限为5个工作日，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ind w:firstLine="440"/>
        <w:jc w:val="left"/>
        <w:rPr>
          <w:color w:val="000000"/>
          <w:kern w:val="0"/>
          <w:shd w:val="clear" w:color="auto" w:fill="FFFFFF"/>
        </w:rPr>
      </w:pPr>
      <w:r>
        <w:rPr>
          <w:rFonts w:hint="eastAsia"/>
          <w:color w:val="000000"/>
          <w:kern w:val="0"/>
        </w:rPr>
        <w:t>2.</w:t>
      </w:r>
      <w:r>
        <w:rPr>
          <w:rFonts w:hint="eastAsia"/>
          <w:color w:val="000000"/>
          <w:kern w:val="0"/>
          <w:shd w:val="clear" w:color="auto" w:fill="FFFFFF"/>
        </w:rPr>
        <w:t>本次项目按《财政部关于在政府采购活动中查询及使用信用记录的通知》（财库〔2016〕125号）相关规定，对供应商进行信用甄别，详细规定见磋商文件第三部分供应商须知。</w:t>
      </w:r>
    </w:p>
    <w:p>
      <w:pPr>
        <w:widowControl/>
        <w:spacing w:line="360" w:lineRule="auto"/>
        <w:ind w:firstLine="440"/>
        <w:jc w:val="left"/>
        <w:rPr>
          <w:rFonts w:hint="eastAsia" w:ascii="宋体" w:hAnsi="宋体" w:eastAsia="宋体" w:cs="宋体"/>
          <w:b/>
          <w:bCs/>
          <w:color w:val="000000"/>
          <w:kern w:val="0"/>
          <w:sz w:val="22"/>
          <w:highlight w:val="none"/>
          <w:shd w:val="clear" w:color="auto" w:fill="FFFFFF"/>
          <w:lang w:eastAsia="zh-CN"/>
        </w:rPr>
      </w:pPr>
      <w:r>
        <w:rPr>
          <w:rFonts w:hint="eastAsia" w:cs="宋体"/>
          <w:b/>
          <w:bCs/>
          <w:color w:val="000000"/>
          <w:kern w:val="0"/>
          <w:sz w:val="22"/>
          <w:highlight w:val="none"/>
          <w:shd w:val="clear" w:color="auto" w:fill="FFFFFF"/>
          <w:lang w:val="en-US" w:eastAsia="zh-CN"/>
        </w:rPr>
        <w:t>3</w:t>
      </w:r>
      <w:r>
        <w:rPr>
          <w:rFonts w:hint="eastAsia" w:ascii="宋体" w:hAnsi="宋体" w:cs="宋体"/>
          <w:b/>
          <w:bCs/>
          <w:color w:val="000000"/>
          <w:kern w:val="0"/>
          <w:sz w:val="22"/>
          <w:highlight w:val="none"/>
          <w:shd w:val="clear" w:color="auto" w:fill="FFFFFF"/>
        </w:rPr>
        <w:t>.</w:t>
      </w:r>
      <w:r>
        <w:rPr>
          <w:rFonts w:hint="eastAsia" w:ascii="宋体"/>
          <w:b/>
          <w:bCs/>
          <w:sz w:val="22"/>
        </w:rPr>
        <w:t>本项目为面向中小企业采购的项目</w:t>
      </w:r>
      <w:r>
        <w:rPr>
          <w:rFonts w:hint="eastAsia"/>
          <w:b/>
          <w:bCs/>
          <w:sz w:val="22"/>
          <w:lang w:eastAsia="zh-CN"/>
        </w:rPr>
        <w:t>，</w:t>
      </w:r>
      <w:r>
        <w:rPr>
          <w:rFonts w:hint="eastAsia" w:ascii="宋体" w:hAnsi="宋体" w:cs="宋体"/>
          <w:b/>
          <w:bCs/>
          <w:color w:val="000000"/>
          <w:kern w:val="0"/>
          <w:sz w:val="22"/>
          <w:highlight w:val="none"/>
          <w:shd w:val="clear" w:color="auto" w:fill="FFFFFF"/>
        </w:rPr>
        <w:t>在报价分评审时</w:t>
      </w:r>
      <w:r>
        <w:rPr>
          <w:rFonts w:hint="eastAsia" w:cs="宋体"/>
          <w:b/>
          <w:bCs/>
          <w:color w:val="000000"/>
          <w:kern w:val="0"/>
          <w:sz w:val="22"/>
          <w:highlight w:val="none"/>
          <w:shd w:val="clear" w:color="auto" w:fill="FFFFFF"/>
          <w:lang w:eastAsia="zh-CN"/>
        </w:rPr>
        <w:t>不再</w:t>
      </w:r>
      <w:r>
        <w:rPr>
          <w:rFonts w:hint="eastAsia" w:ascii="宋体" w:hAnsi="宋体" w:cs="宋体"/>
          <w:b/>
          <w:bCs/>
          <w:color w:val="000000"/>
          <w:kern w:val="0"/>
          <w:sz w:val="22"/>
          <w:highlight w:val="none"/>
          <w:shd w:val="clear" w:color="auto" w:fill="FFFFFF"/>
        </w:rPr>
        <w:t>对小、微型企业,监狱企业，残疾人福利性单位给予价格优惠扶持</w:t>
      </w:r>
      <w:r>
        <w:rPr>
          <w:rFonts w:hint="eastAsia" w:cs="宋体"/>
          <w:b/>
          <w:bCs/>
          <w:color w:val="000000"/>
          <w:kern w:val="0"/>
          <w:sz w:val="22"/>
          <w:highlight w:val="none"/>
          <w:shd w:val="clear" w:color="auto" w:fill="FFFFFF"/>
          <w:lang w:eastAsia="zh-CN"/>
        </w:rPr>
        <w:t>。</w:t>
      </w:r>
    </w:p>
    <w:p>
      <w:pPr>
        <w:widowControl/>
        <w:jc w:val="left"/>
        <w:rPr>
          <w:b/>
          <w:color w:val="000000"/>
        </w:rPr>
      </w:pPr>
      <w:r>
        <w:rPr>
          <w:rFonts w:hint="eastAsia"/>
          <w:b/>
          <w:color w:val="000000"/>
          <w:kern w:val="0"/>
        </w:rPr>
        <w:t>十二、联系方式</w:t>
      </w:r>
    </w:p>
    <w:p>
      <w:pPr>
        <w:ind w:firstLine="418" w:firstLineChars="190"/>
        <w:rPr>
          <w:color w:val="000000"/>
          <w:u w:val="single"/>
        </w:rPr>
      </w:pPr>
      <w:r>
        <w:rPr>
          <w:rFonts w:hint="eastAsia"/>
          <w:color w:val="000000"/>
          <w:u w:val="single"/>
        </w:rPr>
        <w:t>采购人名称：文成县政务服务中心</w:t>
      </w:r>
    </w:p>
    <w:p>
      <w:pPr>
        <w:ind w:firstLine="418" w:firstLineChars="190"/>
        <w:rPr>
          <w:rFonts w:hint="eastAsia" w:eastAsia="宋体"/>
          <w:color w:val="000000"/>
          <w:lang w:eastAsia="zh-CN"/>
        </w:rPr>
      </w:pPr>
      <w:r>
        <w:rPr>
          <w:rFonts w:hint="eastAsia"/>
          <w:color w:val="000000"/>
        </w:rPr>
        <w:t>联系人：</w:t>
      </w:r>
      <w:r>
        <w:rPr>
          <w:rFonts w:hint="eastAsia"/>
          <w:color w:val="000000"/>
          <w:lang w:eastAsia="zh-CN"/>
        </w:rPr>
        <w:t>赵先生</w:t>
      </w:r>
    </w:p>
    <w:p>
      <w:pPr>
        <w:ind w:firstLine="418" w:firstLineChars="190"/>
        <w:rPr>
          <w:rFonts w:hint="eastAsia" w:eastAsia="宋体"/>
          <w:color w:val="000000"/>
          <w:lang w:eastAsia="zh-CN"/>
        </w:rPr>
      </w:pPr>
      <w:r>
        <w:rPr>
          <w:rFonts w:hint="eastAsia"/>
          <w:color w:val="000000"/>
        </w:rPr>
        <w:t>联系电话：</w:t>
      </w:r>
      <w:r>
        <w:rPr>
          <w:rFonts w:hint="eastAsia"/>
          <w:color w:val="000000"/>
          <w:lang w:eastAsia="zh-CN"/>
        </w:rPr>
        <w:t>13868671828</w:t>
      </w:r>
    </w:p>
    <w:p>
      <w:pPr>
        <w:ind w:firstLine="418" w:firstLineChars="190"/>
        <w:rPr>
          <w:color w:val="000000"/>
          <w:u w:val="single"/>
        </w:rPr>
      </w:pPr>
      <w:r>
        <w:rPr>
          <w:rFonts w:hint="eastAsia"/>
          <w:color w:val="000000"/>
          <w:u w:val="single"/>
        </w:rPr>
        <w:t>代理机构名称：</w:t>
      </w:r>
      <w:r>
        <w:rPr>
          <w:rFonts w:hint="eastAsia" w:ascii="新宋体" w:hAnsi="新宋体" w:eastAsia="新宋体"/>
          <w:color w:val="000000"/>
          <w:u w:val="single"/>
        </w:rPr>
        <w:t>浙江欣源工程项目管理有限公司</w:t>
      </w:r>
      <w:r>
        <w:rPr>
          <w:rFonts w:hint="eastAsia"/>
          <w:color w:val="000000"/>
          <w:u w:val="single"/>
        </w:rPr>
        <w:t xml:space="preserve"> </w:t>
      </w:r>
    </w:p>
    <w:p>
      <w:pPr>
        <w:ind w:firstLine="418" w:firstLineChars="190"/>
        <w:rPr>
          <w:color w:val="000000"/>
        </w:rPr>
      </w:pPr>
      <w:r>
        <w:rPr>
          <w:rFonts w:hint="eastAsia"/>
          <w:color w:val="000000"/>
        </w:rPr>
        <w:t>联系人：</w:t>
      </w:r>
      <w:r>
        <w:rPr>
          <w:rFonts w:hint="eastAsia" w:ascii="新宋体" w:hAnsi="新宋体" w:eastAsia="新宋体"/>
          <w:color w:val="000000"/>
        </w:rPr>
        <w:t>刘先生</w:t>
      </w:r>
    </w:p>
    <w:p>
      <w:pPr>
        <w:ind w:firstLine="418" w:firstLineChars="190"/>
        <w:rPr>
          <w:rFonts w:ascii="新宋体" w:hAnsi="新宋体" w:eastAsia="新宋体"/>
          <w:color w:val="000000"/>
        </w:rPr>
      </w:pPr>
      <w:r>
        <w:rPr>
          <w:rFonts w:hint="eastAsia"/>
          <w:color w:val="000000"/>
        </w:rPr>
        <w:t>联系电话：</w:t>
      </w:r>
      <w:r>
        <w:rPr>
          <w:rFonts w:hint="eastAsia" w:ascii="新宋体" w:hAnsi="新宋体" w:eastAsia="新宋体"/>
          <w:color w:val="000000"/>
        </w:rPr>
        <w:t xml:space="preserve">18072155570 </w:t>
      </w:r>
    </w:p>
    <w:p>
      <w:pPr>
        <w:ind w:firstLine="418" w:firstLineChars="190"/>
        <w:rPr>
          <w:color w:val="000000"/>
        </w:rPr>
      </w:pPr>
      <w:r>
        <w:rPr>
          <w:rFonts w:hint="eastAsia"/>
          <w:color w:val="000000"/>
        </w:rPr>
        <w:t xml:space="preserve">E-mail:942069708@qq.com   </w:t>
      </w:r>
    </w:p>
    <w:p>
      <w:pPr>
        <w:ind w:firstLine="418" w:firstLineChars="190"/>
        <w:rPr>
          <w:color w:val="000000"/>
        </w:rPr>
      </w:pPr>
      <w:r>
        <w:rPr>
          <w:rFonts w:hint="eastAsia"/>
          <w:color w:val="000000"/>
        </w:rPr>
        <w:t>地点：文成县大峃镇环南公寓2号楼1单元202室</w:t>
      </w:r>
    </w:p>
    <w:p>
      <w:pPr>
        <w:ind w:firstLine="418" w:firstLineChars="190"/>
        <w:rPr>
          <w:color w:val="000000"/>
          <w:u w:val="single"/>
        </w:rPr>
      </w:pPr>
      <w:r>
        <w:rPr>
          <w:rFonts w:hint="eastAsia"/>
          <w:color w:val="000000"/>
          <w:u w:val="single"/>
        </w:rPr>
        <w:t>同级政府采购监督管理部门名称：文成县财政局政府采购监管科</w:t>
      </w:r>
    </w:p>
    <w:p>
      <w:pPr>
        <w:ind w:firstLine="418" w:firstLineChars="190"/>
        <w:rPr>
          <w:color w:val="000000"/>
        </w:rPr>
      </w:pPr>
      <w:r>
        <w:rPr>
          <w:rFonts w:hint="eastAsia"/>
          <w:color w:val="000000"/>
        </w:rPr>
        <w:t>联系人：王先生</w:t>
      </w:r>
    </w:p>
    <w:p>
      <w:pPr>
        <w:ind w:firstLine="418" w:firstLineChars="190"/>
        <w:rPr>
          <w:color w:val="000000"/>
        </w:rPr>
      </w:pPr>
      <w:r>
        <w:rPr>
          <w:rFonts w:hint="eastAsia"/>
          <w:color w:val="000000"/>
        </w:rPr>
        <w:t>监督投诉电话：0577-67860159</w:t>
      </w:r>
    </w:p>
    <w:p>
      <w:pPr>
        <w:ind w:firstLine="418" w:firstLineChars="190"/>
        <w:rPr>
          <w:color w:val="000000"/>
        </w:rPr>
      </w:pPr>
      <w:r>
        <w:rPr>
          <w:rFonts w:hint="eastAsia"/>
          <w:color w:val="000000"/>
        </w:rPr>
        <w:t>地址：温州市文成县伯温路11号</w:t>
      </w:r>
    </w:p>
    <w:p>
      <w:pPr>
        <w:spacing w:line="312" w:lineRule="auto"/>
        <w:jc w:val="center"/>
        <w:outlineLvl w:val="0"/>
        <w:rPr>
          <w:b/>
          <w:color w:val="000000"/>
          <w:sz w:val="32"/>
          <w:szCs w:val="32"/>
        </w:rPr>
      </w:pPr>
      <w:r>
        <w:rPr>
          <w:color w:val="333333"/>
          <w:kern w:val="0"/>
          <w:sz w:val="24"/>
        </w:rPr>
        <w:br w:type="page"/>
      </w:r>
      <w:r>
        <w:rPr>
          <w:rFonts w:hint="eastAsia"/>
          <w:b/>
          <w:color w:val="000000"/>
          <w:sz w:val="32"/>
          <w:szCs w:val="32"/>
        </w:rPr>
        <w:t>磋商通知(邀请)书</w:t>
      </w:r>
    </w:p>
    <w:p>
      <w:pPr>
        <w:widowControl/>
        <w:snapToGrid w:val="0"/>
        <w:ind w:left="60" w:right="60" w:firstLine="540"/>
        <w:jc w:val="left"/>
        <w:rPr>
          <w:color w:val="000000"/>
          <w:kern w:val="0"/>
        </w:rPr>
      </w:pPr>
      <w:r>
        <w:rPr>
          <w:rFonts w:hint="eastAsia"/>
          <w:color w:val="000000"/>
          <w:kern w:val="0"/>
        </w:rPr>
        <w:t>根据《中华人民共和国政府采购法》等有关规定，</w:t>
      </w:r>
      <w:r>
        <w:rPr>
          <w:rFonts w:hint="eastAsia" w:ascii="新宋体" w:hAnsi="新宋体" w:eastAsia="新宋体"/>
          <w:color w:val="000000"/>
        </w:rPr>
        <w:t>浙江欣源工程项目管理有限公司</w:t>
      </w:r>
      <w:r>
        <w:rPr>
          <w:rFonts w:hint="eastAsia"/>
          <w:color w:val="000000"/>
          <w:kern w:val="0"/>
        </w:rPr>
        <w:t>受</w:t>
      </w:r>
      <w:r>
        <w:rPr>
          <w:rFonts w:hint="eastAsia"/>
          <w:color w:val="000000"/>
          <w:u w:val="single"/>
        </w:rPr>
        <w:t>文成县政务服务中心委托</w:t>
      </w:r>
      <w:r>
        <w:rPr>
          <w:rFonts w:hint="eastAsia"/>
          <w:kern w:val="0"/>
        </w:rPr>
        <w:t>，就</w:t>
      </w:r>
      <w:r>
        <w:rPr>
          <w:rFonts w:hint="eastAsia"/>
          <w:kern w:val="0"/>
          <w:u w:val="single"/>
          <w:lang w:eastAsia="zh-CN"/>
        </w:rPr>
        <w:t>文成县政务服务中心政府购买第三方辅助团队服务</w:t>
      </w:r>
      <w:r>
        <w:rPr>
          <w:rFonts w:hint="eastAsia"/>
          <w:kern w:val="0"/>
        </w:rPr>
        <w:t>进行竞争性磋商，</w:t>
      </w:r>
      <w:r>
        <w:rPr>
          <w:rFonts w:hint="eastAsia"/>
          <w:color w:val="000000"/>
          <w:kern w:val="0"/>
        </w:rPr>
        <w:t>欢迎国内合格的供应商前来磋商。</w:t>
      </w:r>
    </w:p>
    <w:tbl>
      <w:tblPr>
        <w:tblStyle w:val="29"/>
        <w:tblW w:w="9819" w:type="dxa"/>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7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523" w:type="dxa"/>
            <w:vAlign w:val="center"/>
          </w:tcPr>
          <w:p>
            <w:pPr>
              <w:rPr>
                <w:b/>
                <w:bCs/>
                <w:color w:val="000000"/>
              </w:rPr>
            </w:pPr>
            <w:r>
              <w:rPr>
                <w:rFonts w:hint="eastAsia"/>
                <w:b/>
                <w:bCs/>
                <w:color w:val="000000"/>
              </w:rPr>
              <w:t>采购编号</w:t>
            </w:r>
          </w:p>
        </w:tc>
        <w:tc>
          <w:tcPr>
            <w:tcW w:w="7296" w:type="dxa"/>
            <w:vAlign w:val="center"/>
          </w:tcPr>
          <w:p>
            <w:pPr>
              <w:rPr>
                <w:color w:val="000000"/>
              </w:rPr>
            </w:pPr>
            <w:r>
              <w:rPr>
                <w:rFonts w:hint="eastAsia"/>
                <w:color w:val="000000"/>
                <w:lang w:eastAsia="zh-CN"/>
              </w:rPr>
              <w:t>XY-2024-001ZW</w:t>
            </w:r>
            <w:r>
              <w:rPr>
                <w:rFonts w:hint="eastAsia"/>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523" w:type="dxa"/>
            <w:vAlign w:val="center"/>
          </w:tcPr>
          <w:p>
            <w:pPr>
              <w:rPr>
                <w:b/>
                <w:bCs/>
                <w:color w:val="000000"/>
                <w:u w:color="800080"/>
              </w:rPr>
            </w:pPr>
            <w:r>
              <w:rPr>
                <w:rFonts w:hint="eastAsia"/>
                <w:b/>
                <w:bCs/>
                <w:color w:val="000000"/>
                <w:u w:color="800080"/>
              </w:rPr>
              <w:t xml:space="preserve">采购内容 </w:t>
            </w:r>
          </w:p>
        </w:tc>
        <w:tc>
          <w:tcPr>
            <w:tcW w:w="7296" w:type="dxa"/>
            <w:vAlign w:val="center"/>
          </w:tcPr>
          <w:p>
            <w:pPr>
              <w:rPr>
                <w:rFonts w:hint="eastAsia" w:eastAsia="宋体"/>
                <w:color w:val="000000"/>
                <w:u w:color="800080"/>
                <w:lang w:eastAsia="zh-CN"/>
              </w:rPr>
            </w:pPr>
            <w:r>
              <w:rPr>
                <w:rFonts w:hint="eastAsia"/>
                <w:color w:val="000000"/>
                <w:lang w:eastAsia="zh-CN"/>
              </w:rPr>
              <w:t>文成县政务服务中心政府购买第三方辅助团队服务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523" w:type="dxa"/>
            <w:vAlign w:val="center"/>
          </w:tcPr>
          <w:p>
            <w:pPr>
              <w:rPr>
                <w:b/>
                <w:bCs/>
                <w:color w:val="000000"/>
              </w:rPr>
            </w:pPr>
            <w:r>
              <w:rPr>
                <w:rFonts w:hint="eastAsia"/>
                <w:b/>
                <w:bCs/>
                <w:color w:val="000000"/>
              </w:rPr>
              <w:t>资金来源</w:t>
            </w:r>
          </w:p>
        </w:tc>
        <w:tc>
          <w:tcPr>
            <w:tcW w:w="7296" w:type="dxa"/>
            <w:vAlign w:val="center"/>
          </w:tcPr>
          <w:p>
            <w:pPr>
              <w:rPr>
                <w:color w:val="000000"/>
              </w:rPr>
            </w:pPr>
            <w:r>
              <w:rPr>
                <w:rFonts w:hint="eastAsia"/>
                <w:color w:val="000000"/>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523" w:type="dxa"/>
            <w:vAlign w:val="center"/>
          </w:tcPr>
          <w:p>
            <w:pPr>
              <w:rPr>
                <w:b/>
                <w:bCs/>
                <w:color w:val="000000"/>
              </w:rPr>
            </w:pPr>
            <w:r>
              <w:rPr>
                <w:rFonts w:hint="eastAsia"/>
                <w:b/>
                <w:bCs/>
                <w:color w:val="000000"/>
              </w:rPr>
              <w:t>预算金额</w:t>
            </w:r>
          </w:p>
        </w:tc>
        <w:tc>
          <w:tcPr>
            <w:tcW w:w="7296" w:type="dxa"/>
            <w:vAlign w:val="center"/>
          </w:tcPr>
          <w:p>
            <w:pPr>
              <w:rPr>
                <w:color w:val="000000"/>
              </w:rPr>
            </w:pPr>
            <w:r>
              <w:rPr>
                <w:rFonts w:hint="eastAsia"/>
                <w:color w:val="auto"/>
                <w:u w:val="wave"/>
                <w:lang w:val="en-US" w:eastAsia="zh-CN"/>
              </w:rPr>
              <w:t>45</w:t>
            </w:r>
            <w:r>
              <w:rPr>
                <w:rFonts w:hint="eastAsia"/>
                <w:color w:val="000000"/>
                <w:u w:val="wave"/>
              </w:rPr>
              <w:t>万元（供应商报价超出预算的，该供应商按无效响应文件处理。）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523" w:type="dxa"/>
            <w:vAlign w:val="center"/>
          </w:tcPr>
          <w:p>
            <w:pPr>
              <w:rPr>
                <w:b/>
                <w:bCs/>
                <w:color w:val="000000"/>
              </w:rPr>
            </w:pPr>
            <w:r>
              <w:rPr>
                <w:rFonts w:hint="eastAsia"/>
                <w:b/>
                <w:bCs/>
                <w:color w:val="000000"/>
              </w:rPr>
              <w:t>采购方式</w:t>
            </w:r>
          </w:p>
        </w:tc>
        <w:tc>
          <w:tcPr>
            <w:tcW w:w="7296" w:type="dxa"/>
            <w:vAlign w:val="center"/>
          </w:tcPr>
          <w:p>
            <w:pPr>
              <w:rPr>
                <w:color w:val="000000"/>
              </w:rPr>
            </w:pPr>
            <w:r>
              <w:rPr>
                <w:rFonts w:hint="eastAsia"/>
                <w:color w:val="000000"/>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523" w:type="dxa"/>
            <w:vAlign w:val="center"/>
          </w:tcPr>
          <w:p>
            <w:pPr>
              <w:rPr>
                <w:b/>
                <w:bCs/>
                <w:color w:val="000000"/>
              </w:rPr>
            </w:pPr>
            <w:r>
              <w:rPr>
                <w:rFonts w:hint="eastAsia"/>
                <w:b/>
                <w:bCs/>
                <w:color w:val="000000"/>
              </w:rPr>
              <w:t>确定成交供应商办法</w:t>
            </w:r>
          </w:p>
        </w:tc>
        <w:tc>
          <w:tcPr>
            <w:tcW w:w="7296" w:type="dxa"/>
            <w:vAlign w:val="center"/>
          </w:tcPr>
          <w:p>
            <w:pPr>
              <w:rPr>
                <w:color w:val="000000"/>
              </w:rPr>
            </w:pPr>
            <w:r>
              <w:rPr>
                <w:rFonts w:hint="eastAsia"/>
                <w:color w:val="000000"/>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523" w:type="dxa"/>
            <w:vAlign w:val="center"/>
          </w:tcPr>
          <w:p>
            <w:pPr>
              <w:rPr>
                <w:b/>
                <w:bCs/>
                <w:color w:val="000000"/>
              </w:rPr>
            </w:pPr>
            <w:r>
              <w:rPr>
                <w:rFonts w:hint="eastAsia"/>
                <w:b/>
                <w:bCs/>
                <w:color w:val="000000"/>
              </w:rPr>
              <w:t>磋商响应文件有效期</w:t>
            </w:r>
          </w:p>
        </w:tc>
        <w:tc>
          <w:tcPr>
            <w:tcW w:w="7296" w:type="dxa"/>
            <w:vAlign w:val="center"/>
          </w:tcPr>
          <w:p>
            <w:pPr>
              <w:adjustRightInd w:val="0"/>
              <w:snapToGrid w:val="0"/>
              <w:rPr>
                <w:color w:val="000000"/>
              </w:rPr>
            </w:pPr>
            <w:r>
              <w:rPr>
                <w:rFonts w:hint="eastAsia"/>
                <w:color w:val="000000"/>
              </w:rPr>
              <w:t>90日历天（自磋商文件递交截止日起计算）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2523" w:type="dxa"/>
            <w:vAlign w:val="center"/>
          </w:tcPr>
          <w:p>
            <w:pPr>
              <w:rPr>
                <w:b/>
                <w:bCs/>
                <w:color w:val="000000"/>
              </w:rPr>
            </w:pPr>
            <w:r>
              <w:rPr>
                <w:rFonts w:hint="eastAsia"/>
                <w:b/>
                <w:bCs/>
                <w:kern w:val="0"/>
              </w:rPr>
              <w:t>磋商响应</w:t>
            </w:r>
            <w:r>
              <w:rPr>
                <w:rFonts w:hint="eastAsia"/>
                <w:b/>
                <w:bCs/>
                <w:color w:val="000000"/>
              </w:rPr>
              <w:t>文件递交平台与磋商平台</w:t>
            </w:r>
          </w:p>
        </w:tc>
        <w:tc>
          <w:tcPr>
            <w:tcW w:w="7296" w:type="dxa"/>
            <w:vAlign w:val="center"/>
          </w:tcPr>
          <w:p>
            <w:pPr>
              <w:rPr>
                <w:color w:val="000000"/>
              </w:rPr>
            </w:pPr>
            <w:r>
              <w:rPr>
                <w:rFonts w:hint="eastAsia"/>
                <w:color w:val="000000"/>
                <w:kern w:val="0"/>
              </w:rPr>
              <w:t>政采云平台（www.zcygov.cn）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2523" w:type="dxa"/>
            <w:vAlign w:val="center"/>
          </w:tcPr>
          <w:p>
            <w:pPr>
              <w:rPr>
                <w:b/>
                <w:bCs/>
                <w:color w:val="000000"/>
              </w:rPr>
            </w:pPr>
            <w:r>
              <w:rPr>
                <w:rFonts w:hint="eastAsia"/>
                <w:b/>
                <w:bCs/>
                <w:kern w:val="0"/>
              </w:rPr>
              <w:t>磋商响应文件</w:t>
            </w:r>
            <w:r>
              <w:rPr>
                <w:rFonts w:hint="eastAsia"/>
                <w:b/>
                <w:bCs/>
                <w:color w:val="000000"/>
              </w:rPr>
              <w:t>递交截止时间与</w:t>
            </w:r>
            <w:r>
              <w:rPr>
                <w:rFonts w:hint="eastAsia"/>
                <w:b/>
                <w:bCs/>
                <w:kern w:val="0"/>
              </w:rPr>
              <w:t>磋商</w:t>
            </w:r>
            <w:r>
              <w:rPr>
                <w:rFonts w:hint="eastAsia"/>
                <w:b/>
                <w:bCs/>
                <w:color w:val="000000"/>
              </w:rPr>
              <w:t>开始时间</w:t>
            </w:r>
          </w:p>
        </w:tc>
        <w:tc>
          <w:tcPr>
            <w:tcW w:w="7296" w:type="dxa"/>
            <w:vAlign w:val="center"/>
          </w:tcPr>
          <w:p>
            <w:pPr>
              <w:widowControl/>
              <w:snapToGrid w:val="0"/>
              <w:ind w:left="62" w:right="62"/>
              <w:rPr>
                <w:color w:val="000000"/>
              </w:rPr>
            </w:pPr>
            <w:r>
              <w:rPr>
                <w:rFonts w:hint="eastAsia"/>
                <w:color w:val="000000"/>
                <w:kern w:val="0"/>
                <w:u w:val="single"/>
                <w:lang w:eastAsia="zh-CN"/>
              </w:rPr>
              <w:t>2024年02月29日09:30</w:t>
            </w:r>
            <w:r>
              <w:rPr>
                <w:rFonts w:hint="eastAsia"/>
                <w:color w:val="000000"/>
                <w:kern w:val="0"/>
                <w:u w:val="single"/>
              </w:rPr>
              <w:t>分整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523" w:type="dxa"/>
            <w:vAlign w:val="center"/>
          </w:tcPr>
          <w:p>
            <w:pPr>
              <w:snapToGrid w:val="0"/>
              <w:rPr>
                <w:b/>
                <w:bCs/>
                <w:color w:val="000000"/>
              </w:rPr>
            </w:pPr>
            <w:r>
              <w:rPr>
                <w:rFonts w:hint="eastAsia"/>
                <w:b/>
                <w:bCs/>
                <w:color w:val="000000"/>
              </w:rPr>
              <w:t>磋商</w:t>
            </w:r>
            <w:r>
              <w:rPr>
                <w:rFonts w:hint="eastAsia"/>
                <w:b/>
                <w:bCs/>
                <w:color w:val="000000"/>
                <w:lang w:bidi="ar"/>
              </w:rPr>
              <w:t>响应文件的组成</w:t>
            </w:r>
          </w:p>
        </w:tc>
        <w:tc>
          <w:tcPr>
            <w:tcW w:w="7296" w:type="dxa"/>
            <w:vAlign w:val="center"/>
          </w:tcPr>
          <w:p>
            <w:pPr>
              <w:rPr>
                <w:color w:val="000000"/>
                <w:lang w:bidi="ar"/>
              </w:rPr>
            </w:pPr>
            <w:r>
              <w:rPr>
                <w:rFonts w:hint="eastAsia"/>
                <w:color w:val="000000"/>
                <w:lang w:bidi="ar"/>
              </w:rPr>
              <w:t>由商务报价部分和技术资信部分二部分组成，可以合并编制。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2523" w:type="dxa"/>
            <w:vAlign w:val="center"/>
          </w:tcPr>
          <w:p>
            <w:pPr>
              <w:snapToGrid w:val="0"/>
              <w:rPr>
                <w:b/>
                <w:bCs/>
                <w:color w:val="000000"/>
              </w:rPr>
            </w:pPr>
            <w:r>
              <w:rPr>
                <w:rFonts w:hint="eastAsia"/>
                <w:b/>
                <w:bCs/>
                <w:color w:val="000000"/>
              </w:rPr>
              <w:t>磋商</w:t>
            </w:r>
            <w:r>
              <w:rPr>
                <w:rFonts w:hint="eastAsia"/>
                <w:b/>
                <w:bCs/>
                <w:color w:val="000000"/>
                <w:lang w:bidi="ar"/>
              </w:rPr>
              <w:t>响应文件的编制</w:t>
            </w:r>
          </w:p>
        </w:tc>
        <w:tc>
          <w:tcPr>
            <w:tcW w:w="7296" w:type="dxa"/>
            <w:vAlign w:val="bottom"/>
          </w:tcPr>
          <w:p>
            <w:pPr>
              <w:rPr>
                <w:color w:val="000000"/>
                <w:lang w:bidi="ar"/>
              </w:rPr>
            </w:pPr>
            <w:r>
              <w:rPr>
                <w:rFonts w:hint="eastAsia"/>
                <w:color w:val="000000"/>
                <w:lang w:bidi="ar"/>
              </w:rPr>
              <w:t>供应商应先安装“政采云电子交易客户端”和申领“CA数字证书”，并按照本采购文件和“政采云平台”的要求，通过“政采云电子交易客户端”编制并加密响应文件。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23" w:type="dxa"/>
            <w:vAlign w:val="center"/>
          </w:tcPr>
          <w:p>
            <w:pPr>
              <w:snapToGrid w:val="0"/>
              <w:rPr>
                <w:b/>
                <w:bCs/>
                <w:color w:val="000000"/>
              </w:rPr>
            </w:pPr>
            <w:r>
              <w:rPr>
                <w:rFonts w:hint="eastAsia"/>
                <w:b/>
                <w:bCs/>
                <w:color w:val="000000"/>
              </w:rPr>
              <w:t>磋商</w:t>
            </w:r>
            <w:r>
              <w:rPr>
                <w:rFonts w:hint="eastAsia"/>
                <w:b/>
                <w:bCs/>
                <w:color w:val="000000"/>
                <w:lang w:bidi="ar"/>
              </w:rPr>
              <w:t>响应文件的签章</w:t>
            </w:r>
          </w:p>
        </w:tc>
        <w:tc>
          <w:tcPr>
            <w:tcW w:w="7296" w:type="dxa"/>
            <w:vAlign w:val="center"/>
          </w:tcPr>
          <w:p>
            <w:pPr>
              <w:rPr>
                <w:color w:val="000000"/>
                <w:lang w:bidi="ar"/>
              </w:rPr>
            </w:pPr>
            <w:r>
              <w:rPr>
                <w:rFonts w:hint="eastAsia"/>
                <w:color w:val="000000"/>
                <w:lang w:bidi="ar"/>
              </w:rPr>
              <w:t>☑电子签章（磋商文件里要求盖公章和代表盖章的均使用电子签章，如无法使用电子签章时，供应商需将响应文件打印出再盖上公章、签字后再扫描至客户端按要求继续进行编制）。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23" w:type="dxa"/>
            <w:vAlign w:val="center"/>
          </w:tcPr>
          <w:p>
            <w:pPr>
              <w:snapToGrid w:val="0"/>
              <w:rPr>
                <w:b/>
                <w:bCs/>
                <w:color w:val="000000"/>
              </w:rPr>
            </w:pPr>
            <w:r>
              <w:rPr>
                <w:rFonts w:hint="eastAsia"/>
                <w:b/>
                <w:bCs/>
                <w:color w:val="000000"/>
              </w:rPr>
              <w:t>磋商</w:t>
            </w:r>
            <w:r>
              <w:rPr>
                <w:rFonts w:hint="eastAsia"/>
                <w:b/>
                <w:bCs/>
                <w:color w:val="000000"/>
                <w:lang w:bidi="ar"/>
              </w:rPr>
              <w:t>响应文件的形式</w:t>
            </w:r>
          </w:p>
        </w:tc>
        <w:tc>
          <w:tcPr>
            <w:tcW w:w="7296" w:type="dxa"/>
            <w:vAlign w:val="bottom"/>
          </w:tcPr>
          <w:p>
            <w:pPr>
              <w:rPr>
                <w:color w:val="000000"/>
                <w:lang w:bidi="ar"/>
              </w:rPr>
            </w:pPr>
            <w:r>
              <w:rPr>
                <w:rFonts w:hint="eastAsia"/>
                <w:color w:val="000000"/>
                <w:lang w:bidi="ar"/>
              </w:rPr>
              <w:t>☑电子响应文件（包括《电子加密响应文件》和《备份响应文件》，在响应文件编制完成后同时生成）；</w:t>
            </w:r>
          </w:p>
          <w:p>
            <w:pPr>
              <w:rPr>
                <w:color w:val="000000"/>
                <w:lang w:bidi="ar"/>
              </w:rPr>
            </w:pPr>
            <w:r>
              <w:rPr>
                <w:rFonts w:hint="eastAsia"/>
                <w:color w:val="000000"/>
                <w:lang w:bidi="ar"/>
              </w:rPr>
              <w:t>（1）《电子加密响应文件》是指通过“政采云电子交易客户端”完成响应文件编制后生成并加密的数据电文形式的响应文件。</w:t>
            </w:r>
          </w:p>
          <w:p>
            <w:pPr>
              <w:rPr>
                <w:color w:val="000000"/>
                <w:lang w:bidi="ar"/>
              </w:rPr>
            </w:pPr>
            <w:r>
              <w:rPr>
                <w:rFonts w:hint="eastAsia"/>
                <w:color w:val="000000"/>
                <w:lang w:bidi="ar"/>
              </w:rPr>
              <w:t>（2）《备份响应文件》是指与《电子加密响应文件》同时生成的数据电文形式的电子文件（备份响应文件），其他方式编制的备份响应文件视为无效备份响应文件。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3" w:hRule="atLeast"/>
        </w:trPr>
        <w:tc>
          <w:tcPr>
            <w:tcW w:w="2523" w:type="dxa"/>
            <w:vAlign w:val="center"/>
          </w:tcPr>
          <w:p>
            <w:pPr>
              <w:rPr>
                <w:b/>
                <w:bCs/>
                <w:color w:val="000000"/>
              </w:rPr>
            </w:pPr>
            <w:r>
              <w:rPr>
                <w:rFonts w:hint="eastAsia"/>
                <w:b/>
                <w:bCs/>
                <w:color w:val="000000"/>
              </w:rPr>
              <w:t>磋商</w:t>
            </w:r>
            <w:r>
              <w:rPr>
                <w:rFonts w:hint="eastAsia"/>
                <w:b/>
                <w:bCs/>
                <w:color w:val="000000"/>
                <w:lang w:bidi="ar"/>
              </w:rPr>
              <w:t>响应文件份数</w:t>
            </w:r>
          </w:p>
        </w:tc>
        <w:tc>
          <w:tcPr>
            <w:tcW w:w="7296" w:type="dxa"/>
            <w:vAlign w:val="bottom"/>
          </w:tcPr>
          <w:p>
            <w:pPr>
              <w:rPr>
                <w:color w:val="000000"/>
                <w:lang w:bidi="ar"/>
              </w:rPr>
            </w:pPr>
            <w:r>
              <w:rPr>
                <w:rFonts w:hint="eastAsia"/>
                <w:color w:val="000000"/>
                <w:lang w:bidi="ar"/>
              </w:rPr>
              <w:t>（1）《电子加密响应文件》：在线上传递交。</w:t>
            </w:r>
          </w:p>
          <w:p>
            <w:pPr>
              <w:rPr>
                <w:color w:val="000000"/>
                <w:lang w:bidi="ar"/>
              </w:rPr>
            </w:pPr>
            <w:r>
              <w:rPr>
                <w:rFonts w:hint="eastAsia"/>
                <w:color w:val="000000"/>
                <w:lang w:bidi="ar"/>
              </w:rPr>
              <w:t>（2）《备份响应文件》：密封包装后（EMS邮寄形式）投标截止时间前递交或邮寄、数量一份（受件地址：温州市文成县大峃镇环南公寓2号楼1单元202室，刘先生收，邮编325300，电话18072155570）。投标供应商需自行考虑/承担邮寄运输过程中运输耗费时间及其他不可预测风险，建议在投标截止时前一天送达至代理公司,避免逾期递交。</w:t>
            </w:r>
          </w:p>
          <w:p>
            <w:pPr>
              <w:rPr>
                <w:color w:val="000000"/>
                <w:lang w:bidi="ar"/>
              </w:rPr>
            </w:pPr>
            <w:r>
              <w:rPr>
                <w:rFonts w:hint="eastAsia"/>
                <w:color w:val="000000"/>
                <w:lang w:bidi="ar"/>
              </w:rPr>
              <w:t>（3）中标供应商需提交一正一副纸质资料（收件地址：温州市文成县大峃镇环南公寓2号楼1单元202室，刘先生收，电话18072155570）。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1" w:hRule="atLeast"/>
        </w:trPr>
        <w:tc>
          <w:tcPr>
            <w:tcW w:w="2523" w:type="dxa"/>
            <w:vAlign w:val="center"/>
          </w:tcPr>
          <w:p>
            <w:pPr>
              <w:rPr>
                <w:b/>
                <w:bCs/>
                <w:color w:val="000000"/>
              </w:rPr>
            </w:pPr>
            <w:r>
              <w:rPr>
                <w:rFonts w:hint="eastAsia"/>
                <w:b/>
                <w:bCs/>
                <w:color w:val="000000"/>
                <w:lang w:bidi="ar"/>
              </w:rPr>
              <w:t>响应文件的上传和递交</w:t>
            </w:r>
          </w:p>
        </w:tc>
        <w:tc>
          <w:tcPr>
            <w:tcW w:w="7296" w:type="dxa"/>
            <w:vAlign w:val="bottom"/>
          </w:tcPr>
          <w:p>
            <w:pPr>
              <w:rPr>
                <w:color w:val="000000"/>
                <w:lang w:bidi="ar"/>
              </w:rPr>
            </w:pPr>
            <w:r>
              <w:rPr>
                <w:rFonts w:hint="eastAsia"/>
                <w:color w:val="000000"/>
                <w:lang w:bidi="ar"/>
              </w:rPr>
              <w:t>（1）《电子加密响应文件》的上传、递交：</w:t>
            </w:r>
          </w:p>
          <w:p>
            <w:pPr>
              <w:rPr>
                <w:color w:val="000000"/>
                <w:lang w:bidi="ar"/>
              </w:rPr>
            </w:pPr>
            <w:r>
              <w:rPr>
                <w:rFonts w:hint="eastAsia"/>
                <w:color w:val="000000"/>
                <w:lang w:bidi="ar"/>
              </w:rPr>
              <w:t>a.投标供应商应在投标截止时间前将《电子加密响应文件》成功上传递交至“政采云平台”，否则投标无效。</w:t>
            </w:r>
          </w:p>
          <w:p>
            <w:pPr>
              <w:rPr>
                <w:color w:val="000000"/>
                <w:lang w:bidi="ar"/>
              </w:rPr>
            </w:pPr>
            <w:r>
              <w:rPr>
                <w:rFonts w:hint="eastAsia"/>
                <w:color w:val="000000"/>
                <w:lang w:bidi="ar"/>
              </w:rPr>
              <w:t>b.《电子加密响应文件》成功上传递交后，供应商可自行打印投标文件接收回执。</w:t>
            </w:r>
          </w:p>
          <w:p>
            <w:pPr>
              <w:rPr>
                <w:color w:val="000000"/>
                <w:lang w:bidi="ar"/>
              </w:rPr>
            </w:pPr>
            <w:r>
              <w:rPr>
                <w:rFonts w:hint="eastAsia"/>
                <w:color w:val="000000"/>
                <w:lang w:bidi="ar"/>
              </w:rPr>
              <w:t>（2）《备份响应文件》的密封包装、递交：</w:t>
            </w:r>
          </w:p>
          <w:p>
            <w:pPr>
              <w:rPr>
                <w:color w:val="000000"/>
                <w:lang w:bidi="ar"/>
              </w:rPr>
            </w:pPr>
            <w:r>
              <w:rPr>
                <w:rFonts w:hint="eastAsia"/>
                <w:color w:val="000000"/>
                <w:lang w:bidi="ar"/>
              </w:rPr>
              <w:t>a.投标供应商在“政采云平台”完成《电子加密响应文件》的上传递交后，还可以人工递交或（EMS邮寄形式）在投标截止时间前递交以U盘存储的 《备份响应文件》（一份）；</w:t>
            </w:r>
          </w:p>
          <w:p>
            <w:pPr>
              <w:rPr>
                <w:color w:val="000000"/>
                <w:lang w:bidi="ar"/>
              </w:rPr>
            </w:pPr>
            <w:r>
              <w:rPr>
                <w:rFonts w:hint="eastAsia"/>
                <w:color w:val="000000"/>
                <w:lang w:bidi="ar"/>
              </w:rPr>
              <w:t>b.《备份响应文件</w:t>
            </w:r>
          </w:p>
          <w:p>
            <w:pPr>
              <w:rPr>
                <w:color w:val="000000"/>
                <w:lang w:bidi="ar"/>
              </w:rPr>
            </w:pPr>
            <w:r>
              <w:rPr>
                <w:rFonts w:hint="eastAsia"/>
                <w:color w:val="000000"/>
                <w:lang w:bidi="ar"/>
              </w:rPr>
              <w:t>》应当密封包装，并在包装上标注投标项目名称、投标单位名称并加盖公章。没有密封包装或者逾期邮寄送达至指定地点的《备份响应文件》将不予接收；</w:t>
            </w:r>
          </w:p>
          <w:p>
            <w:pPr>
              <w:rPr>
                <w:color w:val="000000"/>
                <w:lang w:bidi="ar"/>
              </w:rPr>
            </w:pPr>
            <w:r>
              <w:rPr>
                <w:rFonts w:hint="eastAsia"/>
                <w:color w:val="000000"/>
                <w:lang w:bidi="ar"/>
              </w:rPr>
              <w:t>c.通过“政采云平台”成功上传递交的《电子加密响应文件》已按时解密的，《备份响应文件》自动失效。投标截止时间前，投标供应商仅递交了《备份响应文件》而未将《电子加密响应文件》成功上传至“政采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2" w:hRule="atLeast"/>
        </w:trPr>
        <w:tc>
          <w:tcPr>
            <w:tcW w:w="2523" w:type="dxa"/>
            <w:vAlign w:val="center"/>
          </w:tcPr>
          <w:p>
            <w:pPr>
              <w:rPr>
                <w:b/>
                <w:bCs/>
                <w:color w:val="000000"/>
                <w:lang w:bidi="ar"/>
              </w:rPr>
            </w:pPr>
            <w:r>
              <w:rPr>
                <w:rFonts w:hint="eastAsia"/>
                <w:b/>
                <w:bCs/>
                <w:color w:val="000000"/>
                <w:lang w:bidi="ar"/>
              </w:rPr>
              <w:t>电子加密磋商响应文件的解密和异常情况处理</w:t>
            </w:r>
          </w:p>
          <w:p>
            <w:pPr>
              <w:snapToGrid w:val="0"/>
              <w:rPr>
                <w:b/>
                <w:bCs/>
                <w:color w:val="000000"/>
              </w:rPr>
            </w:pPr>
          </w:p>
        </w:tc>
        <w:tc>
          <w:tcPr>
            <w:tcW w:w="7296" w:type="dxa"/>
            <w:vAlign w:val="center"/>
          </w:tcPr>
          <w:p>
            <w:pPr>
              <w:rPr>
                <w:color w:val="000000"/>
                <w:lang w:bidi="ar"/>
              </w:rPr>
            </w:pPr>
            <w:r>
              <w:rPr>
                <w:rFonts w:hint="eastAsia"/>
                <w:color w:val="000000"/>
                <w:lang w:bidi="ar"/>
              </w:rPr>
              <w:t>（1）开标后，采购组织机构将向各投标供应商发出《电子加密响应文件》的解密通知，各投标供应商代表应当在接到解密通知后按政采云规定时间内自行完成《电子加密响应文件》的在线解密。</w:t>
            </w:r>
          </w:p>
          <w:p>
            <w:pPr>
              <w:rPr>
                <w:color w:val="000000"/>
                <w:lang w:bidi="ar"/>
              </w:rPr>
            </w:pPr>
            <w:r>
              <w:rPr>
                <w:rFonts w:hint="eastAsia"/>
                <w:color w:val="000000"/>
                <w:lang w:bidi="ar"/>
              </w:rPr>
              <w:t>（2）通过“政采云平台”成功上传递交的《电子加密投标文件》无法按时解密，投标供应商如递交了《备份投标文件》的，以《备份投标文件》为依据（由采购组织机构按“政采云平台”操作规范将《备份投标文件》上传至《政采云平台》，上传成功后，《电子加密投标文件》自动失效），否则视为投标文件撤回，放弃投标。</w:t>
            </w:r>
          </w:p>
          <w:p>
            <w:pPr>
              <w:rPr>
                <w:color w:val="000000"/>
                <w:lang w:bidi="ar"/>
              </w:rPr>
            </w:pPr>
            <w:r>
              <w:rPr>
                <w:rFonts w:hint="eastAsia"/>
                <w:color w:val="000000"/>
                <w:lang w:bidi="ar"/>
              </w:rPr>
              <w:t>（3）投标截止时间前，投标供应商仅递交了“备份投标文件”而未将电子加密投标文件上传至“政采云平台”的，投标无效。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4" w:hRule="atLeast"/>
        </w:trPr>
        <w:tc>
          <w:tcPr>
            <w:tcW w:w="2523" w:type="dxa"/>
            <w:vAlign w:val="center"/>
          </w:tcPr>
          <w:p>
            <w:pPr>
              <w:rPr>
                <w:b/>
                <w:bCs/>
                <w:color w:val="000000"/>
              </w:rPr>
            </w:pPr>
            <w:r>
              <w:rPr>
                <w:rFonts w:hint="eastAsia"/>
                <w:b/>
                <w:bCs/>
                <w:color w:val="000000"/>
              </w:rPr>
              <w:t>质疑时间及事项</w:t>
            </w:r>
          </w:p>
        </w:tc>
        <w:tc>
          <w:tcPr>
            <w:tcW w:w="7296" w:type="dxa"/>
            <w:vAlign w:val="bottom"/>
          </w:tcPr>
          <w:p>
            <w:r>
              <w:rPr>
                <w:rFonts w:hint="eastAsia"/>
              </w:rPr>
              <w:t>在采购公告质疑时间前一次性提出所有询问和质疑事项并以书面形式壹式贰份原件送达至代理机构，非法定代表人办理，需授权代理人全权负责，提交《法定代表人授权委托书原件》附后，《质疑函》范本请到“浙江政府采购网-下载专区-疑投诉模板”下载编制。逾期不递交的，视为放弃上述权利。</w:t>
            </w:r>
          </w:p>
          <w:p>
            <w:r>
              <w:rPr>
                <w:rFonts w:hint="eastAsia"/>
              </w:rPr>
              <w:t>联系人：刘先生</w:t>
            </w:r>
          </w:p>
          <w:p>
            <w:r>
              <w:rPr>
                <w:rFonts w:hint="eastAsia"/>
              </w:rPr>
              <w:t>联系电话：18072155570</w:t>
            </w:r>
          </w:p>
          <w:p>
            <w:pPr>
              <w:rPr>
                <w:color w:val="000000"/>
              </w:rPr>
            </w:pPr>
            <w:r>
              <w:rPr>
                <w:rFonts w:hint="eastAsia"/>
              </w:rPr>
              <w:t>地点：文成县大峃镇环南公寓2号楼1单元202室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5" w:hRule="atLeast"/>
        </w:trPr>
        <w:tc>
          <w:tcPr>
            <w:tcW w:w="2523" w:type="dxa"/>
            <w:vAlign w:val="center"/>
          </w:tcPr>
          <w:p>
            <w:pPr>
              <w:pStyle w:val="9"/>
              <w:spacing w:before="0"/>
              <w:rPr>
                <w:rFonts w:ascii="宋体" w:hAnsi="宋体"/>
                <w:b/>
                <w:bCs/>
                <w:sz w:val="22"/>
              </w:rPr>
            </w:pPr>
            <w:r>
              <w:rPr>
                <w:rFonts w:hint="eastAsia" w:ascii="宋体" w:hAnsi="宋体"/>
                <w:b/>
                <w:bCs/>
                <w:color w:val="000000"/>
                <w:sz w:val="22"/>
              </w:rPr>
              <w:t>备注</w:t>
            </w:r>
          </w:p>
        </w:tc>
        <w:tc>
          <w:tcPr>
            <w:tcW w:w="7296" w:type="dxa"/>
            <w:vAlign w:val="center"/>
          </w:tcPr>
          <w:p>
            <w:pPr>
              <w:numPr>
                <w:ilvl w:val="0"/>
                <w:numId w:val="2"/>
              </w:numPr>
              <w:adjustRightInd w:val="0"/>
              <w:snapToGrid w:val="0"/>
              <w:rPr>
                <w:color w:val="000000"/>
              </w:rPr>
            </w:pPr>
            <w:r>
              <w:rPr>
                <w:rFonts w:hint="eastAsia"/>
                <w:color w:val="000000"/>
              </w:rPr>
              <w:t>如发现磋商文件及其评审办法中存在含糊不清、相互矛盾、多种含义以及歧视性不公正条款或违法违规等内容时，</w:t>
            </w:r>
            <w:r>
              <w:rPr>
                <w:rFonts w:hint="eastAsia"/>
                <w:color w:val="000000"/>
                <w:u w:val="single"/>
              </w:rPr>
              <w:t>请在规定的质疑截止时间前向采购机构或采购人书面提交《询问函》或《质疑函》反映，逾期不得再对磋商文件的条款提出质疑</w:t>
            </w:r>
            <w:r>
              <w:rPr>
                <w:rFonts w:hint="eastAsia"/>
                <w:color w:val="000000"/>
              </w:rPr>
              <w:t>。</w:t>
            </w:r>
          </w:p>
          <w:p>
            <w:pPr>
              <w:numPr>
                <w:ilvl w:val="0"/>
                <w:numId w:val="2"/>
              </w:numPr>
              <w:adjustRightInd w:val="0"/>
              <w:snapToGrid w:val="0"/>
              <w:rPr>
                <w:color w:val="000000"/>
              </w:rPr>
            </w:pPr>
            <w:r>
              <w:rPr>
                <w:rFonts w:hint="eastAsia"/>
                <w:color w:val="000000"/>
              </w:rPr>
              <w:t>在线投标时如遇平台操作/技术问题详询政采云客服400-881-7190。</w:t>
            </w:r>
          </w:p>
          <w:p>
            <w:pPr>
              <w:numPr>
                <w:ilvl w:val="0"/>
                <w:numId w:val="2"/>
              </w:numPr>
              <w:adjustRightInd w:val="0"/>
              <w:snapToGrid w:val="0"/>
            </w:pPr>
            <w:r>
              <w:rPr>
                <w:rFonts w:hint="eastAsia"/>
                <w:color w:val="000000"/>
              </w:rPr>
              <w:t>本磋商文件的解释权归采购代理机构与采购人所有。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523" w:type="dxa"/>
            <w:vAlign w:val="center"/>
          </w:tcPr>
          <w:p>
            <w:pPr>
              <w:pStyle w:val="9"/>
              <w:spacing w:before="0"/>
              <w:rPr>
                <w:rFonts w:ascii="宋体" w:hAnsi="宋体"/>
                <w:b/>
                <w:bCs/>
                <w:color w:val="000000"/>
                <w:sz w:val="22"/>
              </w:rPr>
            </w:pPr>
            <w:r>
              <w:rPr>
                <w:rFonts w:hint="eastAsia" w:ascii="宋体" w:hAnsi="宋体"/>
                <w:b/>
                <w:bCs/>
                <w:color w:val="000000"/>
                <w:sz w:val="22"/>
              </w:rPr>
              <w:t>特别说明</w:t>
            </w:r>
          </w:p>
        </w:tc>
        <w:tc>
          <w:tcPr>
            <w:tcW w:w="7296" w:type="dxa"/>
            <w:vAlign w:val="center"/>
          </w:tcPr>
          <w:p>
            <w:pPr>
              <w:pStyle w:val="9"/>
              <w:spacing w:before="0"/>
              <w:rPr>
                <w:rFonts w:ascii="宋体" w:hAnsi="宋体"/>
                <w:b/>
                <w:bCs/>
                <w:color w:val="000000"/>
                <w:sz w:val="22"/>
              </w:rPr>
            </w:pPr>
            <w:r>
              <w:rPr>
                <w:rFonts w:hint="eastAsia" w:ascii="宋体" w:hAnsi="宋体"/>
                <w:b/>
                <w:bCs/>
                <w:color w:val="000000"/>
                <w:sz w:val="22"/>
              </w:rPr>
              <w:t>如遇“政采云平台”电子化开标或评审程序调整的，按调整后程序执行。</w:t>
            </w:r>
          </w:p>
        </w:tc>
      </w:tr>
    </w:tbl>
    <w:p>
      <w:pPr>
        <w:autoSpaceDE w:val="0"/>
        <w:autoSpaceDN w:val="0"/>
        <w:snapToGrid w:val="0"/>
        <w:spacing w:line="440" w:lineRule="atLeast"/>
        <w:textAlignment w:val="bottom"/>
        <w:rPr>
          <w:b/>
          <w:color w:val="000000"/>
          <w:sz w:val="44"/>
        </w:rPr>
      </w:pPr>
    </w:p>
    <w:p>
      <w:pPr>
        <w:autoSpaceDE w:val="0"/>
        <w:autoSpaceDN w:val="0"/>
        <w:snapToGrid w:val="0"/>
        <w:spacing w:line="440" w:lineRule="atLeast"/>
        <w:jc w:val="center"/>
        <w:textAlignment w:val="bottom"/>
        <w:rPr>
          <w:b/>
          <w:color w:val="000000"/>
          <w:sz w:val="44"/>
        </w:rPr>
      </w:pPr>
      <w:r>
        <w:rPr>
          <w:rFonts w:hint="eastAsia"/>
          <w:b/>
          <w:color w:val="000000"/>
          <w:sz w:val="44"/>
        </w:rPr>
        <w:br w:type="page"/>
      </w:r>
      <w:r>
        <w:rPr>
          <w:rFonts w:hint="eastAsia"/>
          <w:b/>
          <w:color w:val="000000"/>
          <w:sz w:val="44"/>
        </w:rPr>
        <w:t>目 录</w:t>
      </w:r>
    </w:p>
    <w:p>
      <w:pPr>
        <w:autoSpaceDE w:val="0"/>
        <w:autoSpaceDN w:val="0"/>
        <w:adjustRightInd w:val="0"/>
        <w:spacing w:line="480" w:lineRule="auto"/>
        <w:ind w:left="1131" w:leftChars="514"/>
        <w:rPr>
          <w:rFonts w:cs="仿宋_GB2312"/>
          <w:bCs/>
          <w:color w:val="000000"/>
          <w:kern w:val="0"/>
          <w:lang w:val="zh-CN"/>
        </w:rPr>
      </w:pPr>
    </w:p>
    <w:p>
      <w:pPr>
        <w:numPr>
          <w:ilvl w:val="0"/>
          <w:numId w:val="3"/>
        </w:numPr>
        <w:autoSpaceDE w:val="0"/>
        <w:autoSpaceDN w:val="0"/>
        <w:adjustRightInd w:val="0"/>
        <w:spacing w:line="480" w:lineRule="auto"/>
        <w:ind w:left="1131" w:leftChars="514"/>
        <w:rPr>
          <w:rFonts w:cs="仿宋_GB2312"/>
          <w:bCs/>
          <w:color w:val="000000"/>
          <w:kern w:val="0"/>
          <w:lang w:val="zh-CN"/>
        </w:rPr>
      </w:pPr>
      <w:r>
        <w:rPr>
          <w:rFonts w:hint="eastAsia" w:cs="仿宋_GB2312"/>
          <w:bCs/>
          <w:color w:val="000000"/>
          <w:kern w:val="0"/>
          <w:lang w:val="zh-CN"/>
        </w:rPr>
        <w:t xml:space="preserve"> 采购内容及技术要求</w:t>
      </w:r>
    </w:p>
    <w:p>
      <w:pPr>
        <w:autoSpaceDE w:val="0"/>
        <w:autoSpaceDN w:val="0"/>
        <w:adjustRightInd w:val="0"/>
        <w:spacing w:line="480" w:lineRule="auto"/>
        <w:ind w:firstLine="2200" w:firstLineChars="1000"/>
        <w:rPr>
          <w:rFonts w:cs="仿宋_GB2312"/>
          <w:bCs/>
          <w:color w:val="000000"/>
          <w:kern w:val="0"/>
          <w:lang w:val="zh-CN"/>
        </w:rPr>
      </w:pPr>
      <w:r>
        <w:rPr>
          <w:rFonts w:hint="eastAsia" w:cs="仿宋_GB2312"/>
          <w:bCs/>
          <w:color w:val="000000"/>
          <w:kern w:val="0"/>
          <w:lang w:val="zh-CN"/>
        </w:rPr>
        <w:t>一、</w:t>
      </w:r>
      <w:r>
        <w:rPr>
          <w:rFonts w:hint="eastAsia" w:cs="仿宋_GB2312"/>
          <w:bCs/>
          <w:color w:val="000000"/>
          <w:kern w:val="0"/>
        </w:rPr>
        <w:t>采购总说明</w:t>
      </w:r>
    </w:p>
    <w:p>
      <w:pPr>
        <w:autoSpaceDE w:val="0"/>
        <w:autoSpaceDN w:val="0"/>
        <w:adjustRightInd w:val="0"/>
        <w:spacing w:line="480" w:lineRule="auto"/>
        <w:ind w:left="1131" w:leftChars="514" w:firstLine="1100" w:firstLineChars="500"/>
        <w:rPr>
          <w:rFonts w:cs="仿宋_GB2312"/>
          <w:bCs/>
          <w:color w:val="000000"/>
          <w:kern w:val="0"/>
          <w:lang w:val="zh-CN"/>
        </w:rPr>
      </w:pPr>
      <w:r>
        <w:rPr>
          <w:rFonts w:hint="eastAsia" w:cs="仿宋_GB2312"/>
          <w:bCs/>
          <w:color w:val="000000"/>
          <w:kern w:val="0"/>
          <w:lang w:val="zh-CN"/>
        </w:rPr>
        <w:t>二、</w:t>
      </w:r>
      <w:r>
        <w:rPr>
          <w:rFonts w:hint="eastAsia"/>
          <w:bCs/>
        </w:rPr>
        <w:t>采购内容</w:t>
      </w:r>
      <w:r>
        <w:rPr>
          <w:rFonts w:hint="eastAsia"/>
          <w:bCs/>
          <w:lang w:val="en-US" w:eastAsia="zh-CN"/>
        </w:rPr>
        <w:t>要求</w:t>
      </w:r>
      <w:r>
        <w:rPr>
          <w:rFonts w:hint="eastAsia" w:cs="仿宋_GB2312"/>
          <w:bCs/>
          <w:color w:val="000000"/>
          <w:kern w:val="0"/>
          <w:lang w:val="zh-CN"/>
        </w:rPr>
        <w:t xml:space="preserve"> </w:t>
      </w:r>
    </w:p>
    <w:p>
      <w:pPr>
        <w:autoSpaceDE w:val="0"/>
        <w:autoSpaceDN w:val="0"/>
        <w:adjustRightInd w:val="0"/>
        <w:spacing w:line="480" w:lineRule="auto"/>
        <w:ind w:left="1131" w:leftChars="514" w:firstLine="1100" w:firstLineChars="500"/>
        <w:rPr>
          <w:lang w:val="zh-CN"/>
        </w:rPr>
      </w:pPr>
      <w:r>
        <w:rPr>
          <w:rFonts w:hint="eastAsia" w:cs="仿宋_GB2312"/>
          <w:bCs/>
          <w:color w:val="000000"/>
          <w:kern w:val="0"/>
          <w:lang w:val="zh-CN"/>
        </w:rPr>
        <w:t>三、</w:t>
      </w:r>
      <w:r>
        <w:rPr>
          <w:rFonts w:hint="eastAsia" w:cs="仿宋_GB2312"/>
          <w:bCs/>
          <w:color w:val="000000"/>
          <w:kern w:val="0"/>
        </w:rPr>
        <w:t>商务条款</w:t>
      </w:r>
    </w:p>
    <w:p>
      <w:pPr>
        <w:autoSpaceDE w:val="0"/>
        <w:autoSpaceDN w:val="0"/>
        <w:adjustRightInd w:val="0"/>
        <w:spacing w:line="480" w:lineRule="auto"/>
        <w:ind w:left="1131" w:leftChars="514"/>
        <w:rPr>
          <w:rFonts w:cs="仿宋_GB2312"/>
          <w:bCs/>
          <w:color w:val="000000"/>
          <w:kern w:val="0"/>
          <w:lang w:val="zh-CN"/>
        </w:rPr>
      </w:pPr>
      <w:r>
        <w:rPr>
          <w:rFonts w:hint="eastAsia" w:cs="仿宋_GB2312"/>
          <w:bCs/>
          <w:color w:val="000000"/>
          <w:kern w:val="0"/>
          <w:lang w:val="zh-CN"/>
        </w:rPr>
        <w:t>第二部分</w:t>
      </w:r>
      <w:r>
        <w:rPr>
          <w:rFonts w:hint="eastAsia" w:cs="仿宋_GB2312"/>
          <w:bCs/>
          <w:color w:val="000000"/>
          <w:kern w:val="0"/>
        </w:rPr>
        <w:t xml:space="preserve"> </w:t>
      </w:r>
      <w:r>
        <w:rPr>
          <w:rFonts w:hint="eastAsia" w:cs="仿宋_GB2312"/>
          <w:bCs/>
          <w:color w:val="000000"/>
          <w:kern w:val="0"/>
          <w:lang w:val="zh-CN"/>
        </w:rPr>
        <w:t xml:space="preserve"> 供应商须知</w:t>
      </w:r>
    </w:p>
    <w:p>
      <w:pPr>
        <w:autoSpaceDE w:val="0"/>
        <w:autoSpaceDN w:val="0"/>
        <w:adjustRightInd w:val="0"/>
        <w:spacing w:line="480" w:lineRule="auto"/>
        <w:ind w:left="1131" w:leftChars="514" w:firstLine="1100" w:firstLineChars="500"/>
        <w:rPr>
          <w:rFonts w:cs="仿宋_GB2312"/>
          <w:bCs/>
          <w:color w:val="000000"/>
          <w:kern w:val="0"/>
          <w:lang w:val="zh-CN"/>
        </w:rPr>
      </w:pPr>
      <w:r>
        <w:rPr>
          <w:rFonts w:hint="eastAsia" w:cs="仿宋_GB2312"/>
          <w:bCs/>
          <w:color w:val="000000"/>
          <w:kern w:val="0"/>
          <w:lang w:val="zh-CN"/>
        </w:rPr>
        <w:t>一、说    明</w:t>
      </w:r>
    </w:p>
    <w:p>
      <w:pPr>
        <w:autoSpaceDE w:val="0"/>
        <w:autoSpaceDN w:val="0"/>
        <w:adjustRightInd w:val="0"/>
        <w:spacing w:line="480" w:lineRule="auto"/>
        <w:ind w:left="1131" w:leftChars="514" w:firstLine="1100" w:firstLineChars="500"/>
        <w:rPr>
          <w:rFonts w:cs="仿宋_GB2312"/>
          <w:bCs/>
          <w:color w:val="000000"/>
          <w:kern w:val="0"/>
          <w:lang w:val="zh-CN"/>
        </w:rPr>
      </w:pPr>
      <w:r>
        <w:rPr>
          <w:rFonts w:hint="eastAsia" w:cs="仿宋_GB2312"/>
          <w:bCs/>
          <w:color w:val="000000"/>
          <w:kern w:val="0"/>
          <w:lang w:val="zh-CN"/>
        </w:rPr>
        <w:t>二、供应商资格条件</w:t>
      </w:r>
    </w:p>
    <w:p>
      <w:pPr>
        <w:autoSpaceDE w:val="0"/>
        <w:autoSpaceDN w:val="0"/>
        <w:adjustRightInd w:val="0"/>
        <w:spacing w:line="480" w:lineRule="auto"/>
        <w:ind w:left="1131" w:leftChars="514" w:firstLine="1100" w:firstLineChars="500"/>
        <w:rPr>
          <w:rFonts w:cs="仿宋_GB2312"/>
          <w:bCs/>
          <w:color w:val="000000"/>
          <w:kern w:val="0"/>
          <w:lang w:val="zh-CN"/>
        </w:rPr>
      </w:pPr>
      <w:r>
        <w:rPr>
          <w:rFonts w:hint="eastAsia" w:cs="仿宋_GB2312"/>
          <w:bCs/>
          <w:color w:val="000000"/>
          <w:kern w:val="0"/>
          <w:lang w:val="zh-CN"/>
        </w:rPr>
        <w:t>三、磋商文件</w:t>
      </w:r>
    </w:p>
    <w:p>
      <w:pPr>
        <w:autoSpaceDE w:val="0"/>
        <w:autoSpaceDN w:val="0"/>
        <w:adjustRightInd w:val="0"/>
        <w:spacing w:line="480" w:lineRule="auto"/>
        <w:ind w:left="1131" w:leftChars="514" w:firstLine="1100" w:firstLineChars="500"/>
        <w:rPr>
          <w:rFonts w:cs="仿宋_GB2312"/>
          <w:bCs/>
          <w:color w:val="000000"/>
          <w:kern w:val="0"/>
          <w:lang w:val="zh-CN"/>
        </w:rPr>
      </w:pPr>
      <w:r>
        <w:rPr>
          <w:rFonts w:hint="eastAsia" w:cs="仿宋_GB2312"/>
          <w:bCs/>
          <w:color w:val="000000"/>
          <w:kern w:val="0"/>
          <w:lang w:val="zh-CN"/>
        </w:rPr>
        <w:t>四、</w:t>
      </w:r>
      <w:r>
        <w:rPr>
          <w:rFonts w:hint="eastAsia"/>
          <w:kern w:val="0"/>
        </w:rPr>
        <w:t>磋商响应</w:t>
      </w:r>
      <w:r>
        <w:rPr>
          <w:rFonts w:hint="eastAsia" w:cs="仿宋_GB2312"/>
          <w:bCs/>
          <w:color w:val="000000"/>
          <w:kern w:val="0"/>
          <w:lang w:val="zh-CN"/>
        </w:rPr>
        <w:t>文件</w:t>
      </w:r>
    </w:p>
    <w:p>
      <w:pPr>
        <w:autoSpaceDE w:val="0"/>
        <w:autoSpaceDN w:val="0"/>
        <w:adjustRightInd w:val="0"/>
        <w:spacing w:line="480" w:lineRule="auto"/>
        <w:ind w:left="1131" w:leftChars="514" w:firstLine="1100" w:firstLineChars="500"/>
        <w:rPr>
          <w:rFonts w:cs="仿宋_GB2312"/>
          <w:bCs/>
          <w:color w:val="000000"/>
          <w:kern w:val="0"/>
          <w:lang w:val="zh-CN"/>
        </w:rPr>
      </w:pPr>
      <w:r>
        <w:rPr>
          <w:rFonts w:hint="eastAsia" w:cs="仿宋_GB2312"/>
          <w:bCs/>
          <w:color w:val="000000"/>
          <w:kern w:val="0"/>
          <w:lang w:val="zh-CN"/>
        </w:rPr>
        <w:t>五、</w:t>
      </w:r>
      <w:r>
        <w:rPr>
          <w:rFonts w:hint="eastAsia"/>
          <w:kern w:val="0"/>
        </w:rPr>
        <w:t>磋商响应</w:t>
      </w:r>
      <w:r>
        <w:rPr>
          <w:rFonts w:hint="eastAsia" w:cs="仿宋_GB2312"/>
          <w:bCs/>
          <w:color w:val="000000"/>
          <w:kern w:val="0"/>
          <w:lang w:val="zh-CN"/>
        </w:rPr>
        <w:t>文件的递交</w:t>
      </w:r>
    </w:p>
    <w:p>
      <w:pPr>
        <w:autoSpaceDE w:val="0"/>
        <w:autoSpaceDN w:val="0"/>
        <w:adjustRightInd w:val="0"/>
        <w:spacing w:line="480" w:lineRule="auto"/>
        <w:ind w:left="1131" w:leftChars="514" w:firstLine="1100" w:firstLineChars="500"/>
        <w:rPr>
          <w:color w:val="000000"/>
        </w:rPr>
      </w:pPr>
      <w:r>
        <w:rPr>
          <w:rFonts w:hint="eastAsia" w:cs="仿宋_GB2312"/>
          <w:bCs/>
          <w:color w:val="000000"/>
          <w:kern w:val="0"/>
          <w:lang w:val="zh-CN"/>
        </w:rPr>
        <w:t>六、</w:t>
      </w:r>
      <w:r>
        <w:rPr>
          <w:rFonts w:hint="eastAsia" w:cs="仿宋_GB2312"/>
          <w:bCs/>
          <w:color w:val="000000"/>
          <w:kern w:val="0"/>
        </w:rPr>
        <w:t>磋商开始</w:t>
      </w:r>
      <w:r>
        <w:rPr>
          <w:rFonts w:hint="eastAsia"/>
          <w:color w:val="000000"/>
        </w:rPr>
        <w:t>和评审</w:t>
      </w:r>
    </w:p>
    <w:p>
      <w:pPr>
        <w:autoSpaceDE w:val="0"/>
        <w:autoSpaceDN w:val="0"/>
        <w:adjustRightInd w:val="0"/>
        <w:spacing w:line="480" w:lineRule="auto"/>
        <w:ind w:left="1131" w:leftChars="514" w:firstLine="1100" w:firstLineChars="500"/>
        <w:rPr>
          <w:rFonts w:cs="仿宋_GB2312"/>
          <w:bCs/>
          <w:color w:val="000000"/>
          <w:kern w:val="0"/>
          <w:lang w:val="zh-CN"/>
        </w:rPr>
      </w:pPr>
      <w:r>
        <w:rPr>
          <w:rFonts w:hint="eastAsia" w:cs="仿宋_GB2312"/>
          <w:bCs/>
          <w:color w:val="000000"/>
          <w:kern w:val="0"/>
          <w:lang w:val="zh-CN"/>
        </w:rPr>
        <w:t>七、授予合同</w:t>
      </w:r>
    </w:p>
    <w:p>
      <w:pPr>
        <w:autoSpaceDE w:val="0"/>
        <w:autoSpaceDN w:val="0"/>
        <w:adjustRightInd w:val="0"/>
        <w:spacing w:line="480" w:lineRule="auto"/>
        <w:ind w:firstLine="880" w:firstLineChars="400"/>
        <w:rPr>
          <w:color w:val="000000"/>
        </w:rPr>
      </w:pPr>
      <w:r>
        <w:rPr>
          <w:rFonts w:hint="eastAsia"/>
          <w:color w:val="000000"/>
        </w:rPr>
        <w:t>第三部分    合同格式</w:t>
      </w:r>
    </w:p>
    <w:p>
      <w:pPr>
        <w:tabs>
          <w:tab w:val="left" w:pos="560"/>
        </w:tabs>
        <w:autoSpaceDE w:val="0"/>
        <w:autoSpaceDN w:val="0"/>
        <w:snapToGrid w:val="0"/>
        <w:spacing w:line="480" w:lineRule="auto"/>
        <w:textAlignment w:val="bottom"/>
        <w:rPr>
          <w:color w:val="000000"/>
        </w:rPr>
      </w:pPr>
      <w:r>
        <w:rPr>
          <w:rFonts w:hint="eastAsia"/>
          <w:color w:val="000000"/>
        </w:rPr>
        <w:t xml:space="preserve">        第四部分    </w:t>
      </w:r>
      <w:r>
        <w:rPr>
          <w:rFonts w:hint="eastAsia"/>
          <w:kern w:val="0"/>
        </w:rPr>
        <w:t>磋商响应</w:t>
      </w:r>
      <w:r>
        <w:rPr>
          <w:rFonts w:hint="eastAsia"/>
          <w:color w:val="000000"/>
        </w:rPr>
        <w:t>文件格式</w:t>
      </w:r>
    </w:p>
    <w:p>
      <w:pPr>
        <w:tabs>
          <w:tab w:val="left" w:pos="1980"/>
        </w:tabs>
        <w:autoSpaceDE w:val="0"/>
        <w:autoSpaceDN w:val="0"/>
        <w:snapToGrid w:val="0"/>
        <w:spacing w:line="480" w:lineRule="auto"/>
        <w:textAlignment w:val="bottom"/>
        <w:rPr>
          <w:rFonts w:cs="仿宋_GB2312"/>
          <w:bCs/>
          <w:color w:val="000000"/>
          <w:kern w:val="0"/>
          <w:lang w:val="zh-CN"/>
        </w:rPr>
      </w:pPr>
      <w:r>
        <w:rPr>
          <w:rFonts w:hint="eastAsia"/>
          <w:color w:val="000000"/>
        </w:rPr>
        <w:t xml:space="preserve">        第五部分    评标办法</w:t>
      </w:r>
    </w:p>
    <w:p>
      <w:pPr>
        <w:autoSpaceDE w:val="0"/>
        <w:autoSpaceDN w:val="0"/>
        <w:adjustRightInd w:val="0"/>
        <w:spacing w:before="120" w:line="440" w:lineRule="atLeast"/>
        <w:ind w:firstLine="431" w:firstLineChars="196"/>
        <w:rPr>
          <w:u w:val="thick"/>
        </w:rPr>
      </w:pPr>
      <w:r>
        <w:rPr>
          <w:rFonts w:hint="eastAsia"/>
          <w:u w:val="thick"/>
        </w:rPr>
        <w:t>注：磋商文件中有的条款及要求以加粗、加下划线或符号★、▲的形式强调，这些特别强调的条款及内容是重要条款，供应商对重要条款的响应程度将作为评审工作的主要依据之一。</w:t>
      </w:r>
    </w:p>
    <w:p>
      <w:pPr>
        <w:autoSpaceDE w:val="0"/>
        <w:autoSpaceDN w:val="0"/>
        <w:snapToGrid w:val="0"/>
        <w:textAlignment w:val="bottom"/>
        <w:rPr>
          <w:rFonts w:cs="Courier New"/>
        </w:rPr>
      </w:pPr>
    </w:p>
    <w:p>
      <w:pPr>
        <w:autoSpaceDE w:val="0"/>
        <w:autoSpaceDN w:val="0"/>
        <w:adjustRightInd w:val="0"/>
        <w:jc w:val="center"/>
        <w:textAlignment w:val="bottom"/>
        <w:outlineLvl w:val="0"/>
        <w:rPr>
          <w:b/>
          <w:color w:val="000000"/>
          <w:sz w:val="36"/>
        </w:rPr>
      </w:pPr>
      <w:r>
        <w:rPr>
          <w:rFonts w:hint="eastAsia"/>
          <w:b/>
          <w:color w:val="000000"/>
          <w:sz w:val="36"/>
        </w:rPr>
        <w:br w:type="page"/>
      </w:r>
      <w:r>
        <w:rPr>
          <w:rFonts w:hint="eastAsia"/>
          <w:b/>
          <w:color w:val="000000"/>
          <w:sz w:val="36"/>
        </w:rPr>
        <w:t>第一部分</w:t>
      </w:r>
      <w:r>
        <w:rPr>
          <w:b/>
          <w:color w:val="000000"/>
          <w:sz w:val="36"/>
        </w:rPr>
        <w:t xml:space="preserve">  </w:t>
      </w:r>
      <w:r>
        <w:rPr>
          <w:rFonts w:hint="eastAsia"/>
          <w:b/>
          <w:color w:val="000000"/>
          <w:sz w:val="36"/>
        </w:rPr>
        <w:t>采购内容及技术要求</w:t>
      </w:r>
      <w:bookmarkStart w:id="0" w:name="_Toc157410883"/>
    </w:p>
    <w:bookmarkEnd w:id="0"/>
    <w:p>
      <w:pPr>
        <w:autoSpaceDE w:val="0"/>
        <w:autoSpaceDN w:val="0"/>
        <w:adjustRightInd w:val="0"/>
        <w:snapToGrid w:val="0"/>
        <w:ind w:firstLine="550" w:firstLineChars="250"/>
        <w:textAlignment w:val="bottom"/>
      </w:pPr>
      <w:r>
        <w:rPr>
          <w:rFonts w:hint="eastAsia"/>
        </w:rPr>
        <w:t>根据《中华人民共和国政府采购法》等有关规定，浙江欣源工程项目管理有限公司对</w:t>
      </w:r>
      <w:r>
        <w:rPr>
          <w:rFonts w:hint="eastAsia"/>
          <w:lang w:eastAsia="zh-CN"/>
        </w:rPr>
        <w:t>文成县政务服务中心政府购买第三方辅助团队服务</w:t>
      </w:r>
      <w:r>
        <w:rPr>
          <w:rFonts w:hint="eastAsia"/>
        </w:rPr>
        <w:t>项目以竞争性磋商方式采购。本次采购的资金已经落实。</w:t>
      </w:r>
    </w:p>
    <w:p>
      <w:pPr>
        <w:autoSpaceDE w:val="0"/>
        <w:autoSpaceDN w:val="0"/>
        <w:adjustRightInd w:val="0"/>
        <w:snapToGrid w:val="0"/>
        <w:ind w:firstLine="550" w:firstLineChars="250"/>
        <w:textAlignment w:val="bottom"/>
      </w:pPr>
      <w:r>
        <w:rPr>
          <w:rFonts w:hint="eastAsia"/>
        </w:rPr>
        <w:t>我们热情欢迎有关公司（企业）前来磋商报价。</w:t>
      </w:r>
    </w:p>
    <w:p>
      <w:pPr>
        <w:autoSpaceDE w:val="0"/>
        <w:autoSpaceDN w:val="0"/>
        <w:adjustRightInd w:val="0"/>
        <w:spacing w:line="440" w:lineRule="exact"/>
        <w:textAlignment w:val="bottom"/>
        <w:rPr>
          <w:b/>
          <w:bCs/>
        </w:rPr>
      </w:pPr>
      <w:r>
        <w:rPr>
          <w:rFonts w:hint="eastAsia"/>
          <w:b/>
          <w:bCs/>
        </w:rPr>
        <w:t>一、采购总说明</w:t>
      </w:r>
    </w:p>
    <w:p>
      <w:pPr>
        <w:widowControl/>
        <w:autoSpaceDE w:val="0"/>
        <w:autoSpaceDN w:val="0"/>
        <w:adjustRightInd w:val="0"/>
        <w:spacing w:line="440" w:lineRule="exact"/>
        <w:ind w:firstLine="440" w:firstLineChars="200"/>
        <w:textAlignment w:val="bottom"/>
      </w:pPr>
      <w:r>
        <w:rPr>
          <w:rFonts w:hint="eastAsia"/>
        </w:rPr>
        <w:t>1.1、本技术规范要求提出的是最低限度的基本技术要求，并未对所有技术细节作出规定，供应商应提供符合本技术要求和国家标准、行业标准的优质产品。</w:t>
      </w:r>
    </w:p>
    <w:p>
      <w:pPr>
        <w:widowControl/>
        <w:autoSpaceDE w:val="0"/>
        <w:autoSpaceDN w:val="0"/>
        <w:adjustRightInd w:val="0"/>
        <w:spacing w:line="440" w:lineRule="exact"/>
        <w:ind w:firstLine="440" w:firstLineChars="200"/>
        <w:textAlignment w:val="bottom"/>
      </w:pPr>
      <w:r>
        <w:rPr>
          <w:rFonts w:hint="eastAsia"/>
        </w:rPr>
        <w:t>1.2、供应商产品与本技术要求不一致时，供应商应在磋商响应文件中予以说明，并由磋商采购小组鉴定供应商产品能否达到要求。如供应商没有在磋商响应文件中提出异议，则视为供应商提供的产品完全按照本采购文件要求。</w:t>
      </w:r>
    </w:p>
    <w:p>
      <w:pPr>
        <w:widowControl/>
        <w:autoSpaceDE w:val="0"/>
        <w:autoSpaceDN w:val="0"/>
        <w:adjustRightInd w:val="0"/>
        <w:spacing w:line="440" w:lineRule="exact"/>
        <w:ind w:firstLine="440" w:firstLineChars="200"/>
        <w:textAlignment w:val="bottom"/>
      </w:pPr>
      <w:r>
        <w:rPr>
          <w:rFonts w:hint="eastAsia"/>
        </w:rPr>
        <w:t>2、技术要求及标准的执行</w:t>
      </w:r>
    </w:p>
    <w:p>
      <w:pPr>
        <w:widowControl/>
        <w:autoSpaceDE w:val="0"/>
        <w:autoSpaceDN w:val="0"/>
        <w:adjustRightInd w:val="0"/>
        <w:spacing w:line="440" w:lineRule="exact"/>
        <w:ind w:firstLine="440" w:firstLineChars="200"/>
        <w:textAlignment w:val="bottom"/>
      </w:pPr>
      <w:r>
        <w:rPr>
          <w:rFonts w:hint="eastAsia"/>
        </w:rPr>
        <w:t>供应商提供的产品应标明所执行的质量标准，若同一标准已颁发新标准，则按最新标准执行。若同一产品同时有几个标准（国际标准、国家标准、行业标准、企业标准等），则按最高层次的标准执行。</w:t>
      </w:r>
    </w:p>
    <w:p>
      <w:pPr>
        <w:numPr>
          <w:ilvl w:val="0"/>
          <w:numId w:val="4"/>
        </w:numPr>
        <w:spacing w:line="440" w:lineRule="exact"/>
        <w:ind w:firstLine="440" w:firstLineChars="200"/>
      </w:pPr>
      <w:r>
        <w:rPr>
          <w:rFonts w:hint="eastAsia"/>
        </w:rPr>
        <w:t>供应商须按国家有关规定及标准完成本次采购产品的供货、运输、装卸、就位、安装、调试、技术培训、检验、通过有关部门验收、维保期服务、产品终身维修等各项工作，并保证磋商产品使用的安全性能与检测结果的可靠性。如成交，成交供应商及制造商对成交产品使用的安全性能与可靠性负全部责任。成交供应商须随产品提供使用说明书与维保卡。供应商提供相关数据与说明，磋商响应文件须对下列要求作出实质性回应。</w:t>
      </w:r>
    </w:p>
    <w:p>
      <w:pPr>
        <w:numPr>
          <w:ilvl w:val="0"/>
          <w:numId w:val="5"/>
        </w:numPr>
        <w:autoSpaceDE w:val="0"/>
        <w:autoSpaceDN w:val="0"/>
        <w:adjustRightInd w:val="0"/>
        <w:spacing w:line="440" w:lineRule="exact"/>
        <w:textAlignment w:val="bottom"/>
        <w:rPr>
          <w:b/>
          <w:bCs/>
        </w:rPr>
      </w:pPr>
      <w:r>
        <w:rPr>
          <w:rFonts w:hint="eastAsia"/>
          <w:b/>
          <w:bCs/>
        </w:rPr>
        <w:t>采购内容要求</w:t>
      </w:r>
    </w:p>
    <w:p>
      <w:pPr>
        <w:ind w:firstLine="440" w:firstLineChars="200"/>
      </w:pPr>
      <w:r>
        <w:rPr>
          <w:rFonts w:hint="eastAsia"/>
          <w:lang w:eastAsia="zh-CN"/>
        </w:rPr>
        <w:t>文成县政务服务中心政府购买第三方辅助团队服务</w:t>
      </w:r>
      <w:r>
        <w:rPr>
          <w:rFonts w:hint="eastAsia"/>
        </w:rPr>
        <w:t>内容要求：</w:t>
      </w:r>
    </w:p>
    <w:p>
      <w:pPr>
        <w:ind w:firstLine="440" w:firstLineChars="200"/>
        <w:rPr>
          <w:lang w:val="zh-CN"/>
        </w:rPr>
      </w:pPr>
      <w:r>
        <w:rPr>
          <w:rFonts w:hint="eastAsia"/>
        </w:rPr>
        <w:t>1、</w:t>
      </w:r>
      <w:r>
        <w:rPr>
          <w:rFonts w:hint="eastAsia"/>
          <w:lang w:val="zh-CN"/>
        </w:rPr>
        <w:t>磋商项目一览表</w:t>
      </w:r>
    </w:p>
    <w:tbl>
      <w:tblPr>
        <w:tblStyle w:val="29"/>
        <w:tblW w:w="9740"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8"/>
        <w:gridCol w:w="1416"/>
        <w:gridCol w:w="1180"/>
        <w:gridCol w:w="1892"/>
        <w:gridCol w:w="1176"/>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2188" w:type="dxa"/>
            <w:vAlign w:val="center"/>
          </w:tcPr>
          <w:p>
            <w:pPr>
              <w:jc w:val="center"/>
            </w:pPr>
            <w:r>
              <w:rPr>
                <w:rFonts w:hint="eastAsia"/>
              </w:rPr>
              <w:t>顶目名称</w:t>
            </w:r>
          </w:p>
        </w:tc>
        <w:tc>
          <w:tcPr>
            <w:tcW w:w="1416" w:type="dxa"/>
            <w:vAlign w:val="center"/>
          </w:tcPr>
          <w:p>
            <w:pPr>
              <w:jc w:val="center"/>
            </w:pPr>
            <w:r>
              <w:rPr>
                <w:rFonts w:hint="eastAsia"/>
              </w:rPr>
              <w:t>服务</w:t>
            </w:r>
          </w:p>
          <w:p>
            <w:pPr>
              <w:jc w:val="center"/>
            </w:pPr>
            <w:r>
              <w:rPr>
                <w:rFonts w:hint="eastAsia"/>
              </w:rPr>
              <w:t>需求</w:t>
            </w:r>
          </w:p>
        </w:tc>
        <w:tc>
          <w:tcPr>
            <w:tcW w:w="1180" w:type="dxa"/>
            <w:vAlign w:val="center"/>
          </w:tcPr>
          <w:p>
            <w:pPr>
              <w:jc w:val="center"/>
            </w:pPr>
            <w:r>
              <w:rPr>
                <w:rFonts w:hint="eastAsia"/>
              </w:rPr>
              <w:t>预算</w:t>
            </w:r>
          </w:p>
          <w:p>
            <w:pPr>
              <w:jc w:val="center"/>
            </w:pPr>
            <w:r>
              <w:rPr>
                <w:rFonts w:hint="eastAsia"/>
              </w:rPr>
              <w:t>（万元）</w:t>
            </w:r>
          </w:p>
        </w:tc>
        <w:tc>
          <w:tcPr>
            <w:tcW w:w="1892" w:type="dxa"/>
            <w:vAlign w:val="center"/>
          </w:tcPr>
          <w:p>
            <w:pPr>
              <w:jc w:val="center"/>
            </w:pPr>
            <w:r>
              <w:rPr>
                <w:rFonts w:hint="eastAsia"/>
              </w:rPr>
              <w:t>服务人员入驻时间</w:t>
            </w:r>
          </w:p>
        </w:tc>
        <w:tc>
          <w:tcPr>
            <w:tcW w:w="1176" w:type="dxa"/>
            <w:vAlign w:val="center"/>
          </w:tcPr>
          <w:p>
            <w:pPr>
              <w:jc w:val="center"/>
            </w:pPr>
            <w:r>
              <w:rPr>
                <w:rFonts w:hint="eastAsia"/>
              </w:rPr>
              <w:t>服务人员使用期限</w:t>
            </w:r>
          </w:p>
        </w:tc>
        <w:tc>
          <w:tcPr>
            <w:tcW w:w="1888" w:type="dxa"/>
            <w:vAlign w:val="center"/>
          </w:tcPr>
          <w:p>
            <w:pPr>
              <w:jc w:val="center"/>
            </w:pPr>
            <w:r>
              <w:rPr>
                <w:rFonts w:hint="eastAsia"/>
              </w:rPr>
              <w:t>服务入驻</w:t>
            </w:r>
          </w:p>
          <w:p>
            <w:pPr>
              <w:jc w:val="center"/>
            </w:pPr>
            <w:r>
              <w:rPr>
                <w:rFonts w:hint="eastAsia"/>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2188" w:type="dxa"/>
            <w:vAlign w:val="center"/>
          </w:tcPr>
          <w:p>
            <w:pPr>
              <w:tabs>
                <w:tab w:val="left" w:pos="180"/>
                <w:tab w:val="left" w:pos="360"/>
                <w:tab w:val="left" w:pos="540"/>
                <w:tab w:val="left" w:pos="8280"/>
              </w:tabs>
              <w:autoSpaceDE w:val="0"/>
              <w:autoSpaceDN w:val="0"/>
              <w:ind w:right="23"/>
              <w:jc w:val="center"/>
              <w:rPr>
                <w:rFonts w:hint="eastAsia" w:eastAsia="宋体"/>
                <w:lang w:eastAsia="zh-CN"/>
              </w:rPr>
            </w:pPr>
            <w:r>
              <w:rPr>
                <w:rFonts w:hint="eastAsia"/>
                <w:lang w:eastAsia="zh-CN"/>
              </w:rPr>
              <w:t>文成县政务服务中心政府购买第三方辅助团队服务</w:t>
            </w:r>
          </w:p>
        </w:tc>
        <w:tc>
          <w:tcPr>
            <w:tcW w:w="1416" w:type="dxa"/>
            <w:vAlign w:val="center"/>
          </w:tcPr>
          <w:p>
            <w:pPr>
              <w:jc w:val="center"/>
            </w:pPr>
            <w:r>
              <w:rPr>
                <w:rFonts w:hint="eastAsia"/>
              </w:rPr>
              <w:t>详见具体服务需求</w:t>
            </w:r>
          </w:p>
        </w:tc>
        <w:tc>
          <w:tcPr>
            <w:tcW w:w="1180" w:type="dxa"/>
            <w:vAlign w:val="center"/>
          </w:tcPr>
          <w:p>
            <w:pPr>
              <w:jc w:val="center"/>
              <w:rPr>
                <w:rFonts w:hint="default" w:eastAsia="宋体"/>
                <w:lang w:val="en-US" w:eastAsia="zh-CN"/>
              </w:rPr>
            </w:pPr>
            <w:r>
              <w:rPr>
                <w:rFonts w:hint="eastAsia"/>
                <w:lang w:val="en-US" w:eastAsia="zh-CN"/>
              </w:rPr>
              <w:t>45</w:t>
            </w:r>
          </w:p>
        </w:tc>
        <w:tc>
          <w:tcPr>
            <w:tcW w:w="1892" w:type="dxa"/>
            <w:vAlign w:val="center"/>
          </w:tcPr>
          <w:p>
            <w:pPr>
              <w:jc w:val="center"/>
            </w:pPr>
            <w:r>
              <w:rPr>
                <w:rFonts w:hint="eastAsia"/>
              </w:rPr>
              <w:t>双方协商，并经采购人最终确定</w:t>
            </w:r>
          </w:p>
        </w:tc>
        <w:tc>
          <w:tcPr>
            <w:tcW w:w="1176" w:type="dxa"/>
            <w:vAlign w:val="center"/>
          </w:tcPr>
          <w:p>
            <w:pPr>
              <w:ind w:firstLine="110" w:firstLineChars="50"/>
              <w:jc w:val="center"/>
            </w:pPr>
            <w:r>
              <w:rPr>
                <w:rFonts w:hint="eastAsia"/>
              </w:rPr>
              <w:t>一年</w:t>
            </w:r>
          </w:p>
        </w:tc>
        <w:tc>
          <w:tcPr>
            <w:tcW w:w="1888" w:type="dxa"/>
            <w:vAlign w:val="center"/>
          </w:tcPr>
          <w:p>
            <w:pPr>
              <w:ind w:left="880" w:hanging="880" w:hangingChars="400"/>
              <w:jc w:val="center"/>
            </w:pPr>
            <w:r>
              <w:rPr>
                <w:rFonts w:hint="eastAsia"/>
              </w:rPr>
              <w:t>文成县政务</w:t>
            </w:r>
          </w:p>
          <w:p>
            <w:pPr>
              <w:ind w:left="880" w:hanging="880" w:hangingChars="400"/>
              <w:jc w:val="center"/>
            </w:pPr>
            <w:r>
              <w:rPr>
                <w:rFonts w:hint="eastAsia"/>
              </w:rPr>
              <w:t>服务中心</w:t>
            </w:r>
          </w:p>
        </w:tc>
      </w:tr>
    </w:tbl>
    <w:p>
      <w:pPr>
        <w:ind w:firstLine="440" w:firstLineChars="200"/>
        <w:rPr>
          <w:lang w:val="zh-CN"/>
        </w:rPr>
      </w:pPr>
    </w:p>
    <w:p>
      <w:pPr>
        <w:ind w:firstLine="440" w:firstLineChars="200"/>
        <w:rPr>
          <w:lang w:val="zh-CN"/>
        </w:rPr>
      </w:pPr>
      <w:r>
        <w:rPr>
          <w:rFonts w:hint="eastAsia"/>
          <w:lang w:val="zh-CN"/>
        </w:rPr>
        <w:t xml:space="preserve">2、具体服务需求 </w:t>
      </w:r>
    </w:p>
    <w:p>
      <w:pPr>
        <w:autoSpaceDE w:val="0"/>
        <w:autoSpaceDN w:val="0"/>
        <w:ind w:firstLine="420" w:firstLineChars="191"/>
        <w:textAlignment w:val="bottom"/>
      </w:pPr>
      <w:r>
        <w:rPr>
          <w:rFonts w:hint="eastAsia"/>
        </w:rPr>
        <w:t>为进一步优化发展环境，提高行政审批效率，文成县政务服务中心（即采购人）以更加高效便捷地为民办事为导向，通过政府购买服务，引进专业化的服务企业，为中心提供优质人才队伍，建立以政府实施行政审批服务流程中的办件受理、出件与大厅导引导办、咨询、填表、代办、电话回访、后勤保障、资料传递等服务为主要服务内容的辅助团队，更加有效地提升中心服务质量及办事效率。</w:t>
      </w:r>
    </w:p>
    <w:p>
      <w:pPr>
        <w:autoSpaceDE w:val="0"/>
        <w:autoSpaceDN w:val="0"/>
        <w:ind w:firstLine="420" w:firstLineChars="191"/>
        <w:textAlignment w:val="bottom"/>
      </w:pPr>
      <w:r>
        <w:rPr>
          <w:rFonts w:hint="eastAsia"/>
        </w:rPr>
        <w:t>（一）服务内容及相关说明</w:t>
      </w:r>
    </w:p>
    <w:p>
      <w:pPr>
        <w:autoSpaceDE w:val="0"/>
        <w:autoSpaceDN w:val="0"/>
        <w:ind w:firstLine="420" w:firstLineChars="191"/>
        <w:textAlignment w:val="bottom"/>
      </w:pPr>
      <w:r>
        <w:rPr>
          <w:rFonts w:hint="eastAsia"/>
        </w:rPr>
        <w:t>1、成交供应商负责辅助团队人员的招聘、面试、笔试体检录用、签订合同及进场服务；</w:t>
      </w:r>
    </w:p>
    <w:p>
      <w:pPr>
        <w:autoSpaceDE w:val="0"/>
        <w:autoSpaceDN w:val="0"/>
        <w:ind w:firstLine="420" w:firstLineChars="191"/>
        <w:textAlignment w:val="bottom"/>
      </w:pPr>
      <w:r>
        <w:rPr>
          <w:rFonts w:hint="eastAsia"/>
        </w:rPr>
        <w:t>2、相关辅助团队人员配备应与采购人需求相对应，具有开展引导、受理、代办、回访等相关工作的真实能力，且成交供应商应对所提供的辅助团队人员的相关信息资料真实性负责；</w:t>
      </w:r>
    </w:p>
    <w:p>
      <w:pPr>
        <w:autoSpaceDE w:val="0"/>
        <w:autoSpaceDN w:val="0"/>
        <w:ind w:firstLine="420" w:firstLineChars="191"/>
        <w:textAlignment w:val="bottom"/>
      </w:pPr>
      <w:r>
        <w:rPr>
          <w:rFonts w:hint="eastAsia"/>
        </w:rPr>
        <w:t>3、采购人可视情况监督成交供应商组织的面试、笔试等工作；</w:t>
      </w:r>
    </w:p>
    <w:p>
      <w:pPr>
        <w:autoSpaceDE w:val="0"/>
        <w:autoSpaceDN w:val="0"/>
        <w:ind w:firstLine="420" w:firstLineChars="191"/>
        <w:textAlignment w:val="bottom"/>
      </w:pPr>
      <w:r>
        <w:rPr>
          <w:rFonts w:hint="eastAsia"/>
        </w:rPr>
        <w:t>4、根据采购人的需求组建辅助团队，并做好引导、受理、代办咨询、回访等相关服务工作；</w:t>
      </w:r>
    </w:p>
    <w:p>
      <w:pPr>
        <w:autoSpaceDE w:val="0"/>
        <w:autoSpaceDN w:val="0"/>
        <w:ind w:firstLine="420" w:firstLineChars="191"/>
        <w:textAlignment w:val="bottom"/>
        <w:rPr>
          <w:u w:val="single"/>
        </w:rPr>
      </w:pPr>
      <w:r>
        <w:rPr>
          <w:rFonts w:hint="eastAsia"/>
          <w:u w:val="single"/>
        </w:rPr>
        <w:t>5、成交供应商应安排专人加强对辅助团队人员的管理与培训，包括内部人事管理与礼仪的培训、工作自我评估及完善，并积极参与对辅助团队的现场监督管理，与采购人积极对接；</w:t>
      </w:r>
    </w:p>
    <w:p>
      <w:pPr>
        <w:autoSpaceDE w:val="0"/>
        <w:autoSpaceDN w:val="0"/>
        <w:ind w:firstLine="420" w:firstLineChars="191"/>
        <w:textAlignment w:val="bottom"/>
      </w:pPr>
      <w:r>
        <w:rPr>
          <w:rFonts w:hint="eastAsia"/>
        </w:rPr>
        <w:t>6、辅助团队人员到位时间为合同签订后一个月以内，具体时间有采购人根据工作情况决定；</w:t>
      </w:r>
    </w:p>
    <w:p>
      <w:pPr>
        <w:autoSpaceDE w:val="0"/>
        <w:autoSpaceDN w:val="0"/>
        <w:ind w:firstLine="420" w:firstLineChars="191"/>
        <w:textAlignment w:val="bottom"/>
      </w:pPr>
      <w:r>
        <w:rPr>
          <w:rFonts w:hint="eastAsia"/>
        </w:rPr>
        <w:t>7、采购人有权制定相关的管理考核办法，对成交供应商及其提供的工作人员进行工作任务分配及工作质量的绩效考核，工作人员必须纳入大厅现场管理范围，遵守各项规章与制度。管理与考核依据七、考核办法《文成县政务服务中心对购买辅助团队服务的绩效考核办法》执行，每月考核结果作为购买服务费用的支付依据。但采购人不能干涉成交供应商的内部人事管理；</w:t>
      </w:r>
    </w:p>
    <w:p>
      <w:pPr>
        <w:autoSpaceDE w:val="0"/>
        <w:autoSpaceDN w:val="0"/>
        <w:ind w:firstLine="420" w:firstLineChars="191"/>
        <w:textAlignment w:val="bottom"/>
      </w:pPr>
      <w:r>
        <w:rPr>
          <w:rFonts w:hint="eastAsia"/>
        </w:rPr>
        <w:t>8、成交供应商应当为派遣的服务人员统一制作工作服，自行参照政务服务中心窗口工作人员的工作服装同样材质、款式配备；</w:t>
      </w:r>
    </w:p>
    <w:p>
      <w:pPr>
        <w:autoSpaceDE w:val="0"/>
        <w:autoSpaceDN w:val="0"/>
        <w:ind w:firstLine="420" w:firstLineChars="191"/>
        <w:textAlignment w:val="bottom"/>
      </w:pPr>
      <w:r>
        <w:rPr>
          <w:rFonts w:hint="eastAsia"/>
        </w:rPr>
        <w:t>9、成交供应商应当保持提供的服务人员队伍的稳定性，一年内更换人员不得超过4人次，且更换人员应当经采购人协商同意。</w:t>
      </w:r>
    </w:p>
    <w:p>
      <w:pPr>
        <w:autoSpaceDE w:val="0"/>
        <w:autoSpaceDN w:val="0"/>
        <w:ind w:firstLine="420" w:firstLineChars="191"/>
        <w:textAlignment w:val="bottom"/>
      </w:pPr>
      <w:r>
        <w:rPr>
          <w:rFonts w:hint="eastAsia"/>
        </w:rPr>
        <w:t>10、成交供应商应当预备好相应的较为固定的顶岗（Ｂ岗）人员１－２名，顶岗人员需与被顶岗人员同等学历且能胜任被顶岗人员的岗位工作。</w:t>
      </w:r>
    </w:p>
    <w:p>
      <w:pPr>
        <w:autoSpaceDE w:val="0"/>
        <w:autoSpaceDN w:val="0"/>
        <w:ind w:firstLine="420" w:firstLineChars="191"/>
        <w:textAlignment w:val="bottom"/>
      </w:pPr>
      <w:r>
        <w:rPr>
          <w:rFonts w:hint="eastAsia"/>
        </w:rPr>
        <w:t>（二）辅助团队人员要求</w:t>
      </w:r>
    </w:p>
    <w:p>
      <w:pPr>
        <w:autoSpaceDE w:val="0"/>
        <w:autoSpaceDN w:val="0"/>
        <w:ind w:firstLine="420" w:firstLineChars="191"/>
        <w:textAlignment w:val="bottom"/>
      </w:pPr>
      <w:r>
        <w:rPr>
          <w:rFonts w:hint="eastAsia"/>
        </w:rPr>
        <w:t>以引导、咨询、受理、代办、信息宣传、电话回访、后勤保障、资料传递等服务人员为主。其要求由采购人在成交后按需提供。通过的应聘的服务人员需在采购人处进行一个月的试用期，如试用期内表现不称职，不能实际开展与需求相应工作的，采购人将不予接受，成交供应商应继续在采购人规定的时间内开展招聘。</w:t>
      </w:r>
    </w:p>
    <w:p>
      <w:pPr>
        <w:autoSpaceDE w:val="0"/>
        <w:autoSpaceDN w:val="0"/>
        <w:ind w:firstLine="528" w:firstLineChars="240"/>
        <w:textAlignment w:val="bottom"/>
      </w:pPr>
      <w:r>
        <w:rPr>
          <w:rFonts w:hint="eastAsia"/>
        </w:rPr>
        <w:t>1、服务人员的基本条件</w:t>
      </w:r>
    </w:p>
    <w:p>
      <w:pPr>
        <w:autoSpaceDE w:val="0"/>
        <w:autoSpaceDN w:val="0"/>
        <w:ind w:firstLine="420" w:firstLineChars="191"/>
        <w:textAlignment w:val="bottom"/>
      </w:pPr>
      <w:r>
        <w:rPr>
          <w:rFonts w:hint="eastAsia"/>
        </w:rPr>
        <w:t>①熟悉和遵守国家有关法律法规政策规定、严格遵守各项规章制度和工作纪律，严格保密服务对象提交的材料和涉及的工作秘密等；</w:t>
      </w:r>
    </w:p>
    <w:p>
      <w:pPr>
        <w:autoSpaceDE w:val="0"/>
        <w:autoSpaceDN w:val="0"/>
        <w:ind w:firstLine="420" w:firstLineChars="191"/>
        <w:textAlignment w:val="bottom"/>
      </w:pPr>
      <w:r>
        <w:rPr>
          <w:rFonts w:hint="eastAsia"/>
        </w:rPr>
        <w:t>②熟悉办理事项（含“一件事”）的无差别受理、线上线下办理的审批流程、申报条件、申请材料、办理时限等工作内容，能独立完成政务服务中心承接交办的工作任务；</w:t>
      </w:r>
    </w:p>
    <w:p>
      <w:pPr>
        <w:autoSpaceDE w:val="0"/>
        <w:autoSpaceDN w:val="0"/>
        <w:ind w:firstLine="420" w:firstLineChars="191"/>
        <w:textAlignment w:val="bottom"/>
      </w:pPr>
      <w:r>
        <w:rPr>
          <w:rFonts w:hint="eastAsia"/>
        </w:rPr>
        <w:t>③身心健康，品行端正、勤奋踏实，服务意识和团队意识强，待人热情，有亲和力；</w:t>
      </w:r>
    </w:p>
    <w:p>
      <w:pPr>
        <w:autoSpaceDE w:val="0"/>
        <w:autoSpaceDN w:val="0"/>
        <w:ind w:firstLine="420" w:firstLineChars="191"/>
        <w:textAlignment w:val="bottom"/>
        <w:rPr>
          <w:color w:val="FF0000"/>
        </w:rPr>
      </w:pPr>
      <w:r>
        <w:rPr>
          <w:rFonts w:hint="eastAsia"/>
        </w:rPr>
        <w:t>④原则上具有全日制大专及以上学历，法律、城市规划、建筑设计、公共管理、行政管理等相关专业毕业优先。对于特别优秀或有相关工作经历的人员可放宽至高中学历，但人员占比不得超过采购数量的40%；</w:t>
      </w:r>
    </w:p>
    <w:p>
      <w:pPr>
        <w:autoSpaceDE w:val="0"/>
        <w:autoSpaceDN w:val="0"/>
        <w:ind w:firstLine="420" w:firstLineChars="191"/>
        <w:textAlignment w:val="bottom"/>
      </w:pPr>
      <w:r>
        <w:rPr>
          <w:rFonts w:hint="eastAsia"/>
        </w:rPr>
        <w:t>⑤年龄在38周岁及以下，具有一定的语言文字表达能力和计算机操作能力，个别人员具有相关岗位工作经验或专业对口的，年龄可以适当放宽。</w:t>
      </w:r>
    </w:p>
    <w:p>
      <w:pPr>
        <w:autoSpaceDE w:val="0"/>
        <w:autoSpaceDN w:val="0"/>
        <w:ind w:firstLine="420" w:firstLineChars="191"/>
        <w:textAlignment w:val="bottom"/>
      </w:pPr>
      <w:r>
        <w:rPr>
          <w:rFonts w:hint="eastAsia"/>
        </w:rPr>
        <w:t>⑥▲要求服务人员普通话标准，会文成本地方言的人员要求达到百分之五十以上。</w:t>
      </w:r>
    </w:p>
    <w:p>
      <w:pPr>
        <w:autoSpaceDE w:val="0"/>
        <w:autoSpaceDN w:val="0"/>
        <w:ind w:firstLine="420" w:firstLineChars="191"/>
        <w:textAlignment w:val="bottom"/>
      </w:pPr>
      <w:r>
        <w:rPr>
          <w:rFonts w:hint="eastAsia"/>
        </w:rPr>
        <w:t>2、导办人员工作职责及范围</w:t>
      </w:r>
    </w:p>
    <w:p>
      <w:pPr>
        <w:autoSpaceDE w:val="0"/>
        <w:autoSpaceDN w:val="0"/>
        <w:ind w:firstLine="420" w:firstLineChars="191"/>
        <w:textAlignment w:val="bottom"/>
      </w:pPr>
      <w:r>
        <w:rPr>
          <w:rFonts w:hint="eastAsia"/>
        </w:rPr>
        <w:t>①值守大厅“咨询导办台”，能胜任智能导办相关工作岗位，为服务对象提供各类咨询和导引服务。</w:t>
      </w:r>
    </w:p>
    <w:p>
      <w:pPr>
        <w:autoSpaceDE w:val="0"/>
        <w:autoSpaceDN w:val="0"/>
        <w:ind w:firstLine="420" w:firstLineChars="191"/>
        <w:textAlignment w:val="bottom"/>
      </w:pPr>
      <w:r>
        <w:rPr>
          <w:rFonts w:hint="eastAsia"/>
        </w:rPr>
        <w:t>②热情接待服务对象的现场咨询，准确回答涉及审批服务中心部门窗口位置、办理事项、窗口电话等内容的询问；必要时应提供导引服务。</w:t>
      </w:r>
    </w:p>
    <w:p>
      <w:pPr>
        <w:autoSpaceDE w:val="0"/>
        <w:autoSpaceDN w:val="0"/>
        <w:ind w:firstLine="420" w:firstLineChars="191"/>
        <w:textAlignment w:val="bottom"/>
      </w:pPr>
      <w:r>
        <w:rPr>
          <w:rFonts w:hint="eastAsia"/>
        </w:rPr>
        <w:t>③为老、弱、病、残、孕等行动困难的服务对象提供全程陪同导引服务，兼任志愿者服务人员。</w:t>
      </w:r>
    </w:p>
    <w:p>
      <w:pPr>
        <w:autoSpaceDE w:val="0"/>
        <w:autoSpaceDN w:val="0"/>
        <w:ind w:firstLine="420" w:firstLineChars="191"/>
        <w:textAlignment w:val="bottom"/>
      </w:pPr>
      <w:r>
        <w:rPr>
          <w:rFonts w:hint="eastAsia"/>
        </w:rPr>
        <w:t>④值守“咨询服务”电话，及时接听并准确回答涉及部门窗口位置、办理事项、窗口电话等内容的电话咨询；必要时应做好电话记录。</w:t>
      </w:r>
    </w:p>
    <w:p>
      <w:pPr>
        <w:autoSpaceDE w:val="0"/>
        <w:autoSpaceDN w:val="0"/>
        <w:ind w:firstLine="420" w:firstLineChars="191"/>
        <w:textAlignment w:val="bottom"/>
      </w:pPr>
      <w:r>
        <w:rPr>
          <w:rFonts w:hint="eastAsia"/>
        </w:rPr>
        <w:t>⑤受理服务对象对工作效率、服务态度和服务质量等方面的批评和建议，并做好记录。涉及服务投诉的，应陪同当事人前往督查科。</w:t>
      </w:r>
    </w:p>
    <w:p>
      <w:pPr>
        <w:autoSpaceDE w:val="0"/>
        <w:autoSpaceDN w:val="0"/>
        <w:ind w:firstLine="420" w:firstLineChars="191"/>
        <w:textAlignment w:val="bottom"/>
      </w:pPr>
      <w:r>
        <w:rPr>
          <w:rFonts w:hint="eastAsia"/>
        </w:rPr>
        <w:t>⑥指导办事群众自助服务操作，维护好自助服务设备；</w:t>
      </w:r>
    </w:p>
    <w:p>
      <w:pPr>
        <w:autoSpaceDE w:val="0"/>
        <w:autoSpaceDN w:val="0"/>
        <w:ind w:firstLine="420" w:firstLineChars="191"/>
        <w:textAlignment w:val="bottom"/>
      </w:pPr>
      <w:r>
        <w:rPr>
          <w:rFonts w:hint="eastAsia"/>
        </w:rPr>
        <w:t>⑦为前来中心视察的上级领导和参观考察的人员提供导引、介绍、解说等服务。</w:t>
      </w:r>
    </w:p>
    <w:p>
      <w:pPr>
        <w:autoSpaceDE w:val="0"/>
        <w:autoSpaceDN w:val="0"/>
        <w:ind w:firstLine="420" w:firstLineChars="191"/>
        <w:textAlignment w:val="bottom"/>
      </w:pPr>
      <w:r>
        <w:rPr>
          <w:rFonts w:hint="eastAsia"/>
        </w:rPr>
        <w:t>⑧协助维护大厅正常工作秩序，同时协助维持现场办事群众的办事秩序，规范窗口物品的整齐摆放。</w:t>
      </w:r>
    </w:p>
    <w:p>
      <w:pPr>
        <w:autoSpaceDE w:val="0"/>
        <w:autoSpaceDN w:val="0"/>
        <w:ind w:firstLine="420" w:firstLineChars="191"/>
        <w:textAlignment w:val="bottom"/>
      </w:pPr>
      <w:r>
        <w:rPr>
          <w:rFonts w:hint="eastAsia"/>
        </w:rPr>
        <w:t>⑨完成采购人根据实际工作要求所作的服务内容调整以及交办的其它事项。</w:t>
      </w:r>
    </w:p>
    <w:p>
      <w:pPr>
        <w:autoSpaceDE w:val="0"/>
        <w:autoSpaceDN w:val="0"/>
        <w:ind w:firstLine="420" w:firstLineChars="191"/>
        <w:textAlignment w:val="bottom"/>
      </w:pPr>
      <w:r>
        <w:rPr>
          <w:rFonts w:hint="eastAsia"/>
        </w:rPr>
        <w:t>3、审批受理人员工作职责及范围</w:t>
      </w:r>
    </w:p>
    <w:p>
      <w:pPr>
        <w:autoSpaceDE w:val="0"/>
        <w:autoSpaceDN w:val="0"/>
        <w:ind w:firstLine="420" w:firstLineChars="191"/>
        <w:textAlignment w:val="bottom"/>
      </w:pPr>
      <w:r>
        <w:rPr>
          <w:rFonts w:hint="eastAsia"/>
        </w:rPr>
        <w:t>①对进驻政务服务中心办事大厅的政务服务事项进行受理、内部材料流转、信息推送等工作，重点为投资项目各阶段、商事登记各环节“一件事”及其他综合窗口办件的受理与材料信息的同步推送，包括证照联办等经营许可类联办件以及其他联办件的受理与材料信息的同步推送，以及一窗受理的本级办理事项和同城办理的事项。</w:t>
      </w:r>
    </w:p>
    <w:p>
      <w:pPr>
        <w:autoSpaceDE w:val="0"/>
        <w:autoSpaceDN w:val="0"/>
        <w:ind w:firstLine="420" w:firstLineChars="191"/>
        <w:textAlignment w:val="bottom"/>
      </w:pPr>
      <w:r>
        <w:rPr>
          <w:rFonts w:hint="eastAsia"/>
        </w:rPr>
        <w:t>②投资主体确立阶段的商事登记事项受理、出件及相关服务工作；</w:t>
      </w:r>
    </w:p>
    <w:p>
      <w:pPr>
        <w:autoSpaceDE w:val="0"/>
        <w:autoSpaceDN w:val="0"/>
        <w:ind w:firstLine="420" w:firstLineChars="191"/>
        <w:textAlignment w:val="bottom"/>
      </w:pPr>
      <w:r>
        <w:rPr>
          <w:rFonts w:hint="eastAsia"/>
        </w:rPr>
        <w:t>③项目从摘牌到开工所涉及到的所有行政审批事项受理、出件及相关服务工作；</w:t>
      </w:r>
    </w:p>
    <w:p>
      <w:pPr>
        <w:autoSpaceDE w:val="0"/>
        <w:autoSpaceDN w:val="0"/>
        <w:ind w:firstLine="420" w:firstLineChars="191"/>
        <w:textAlignment w:val="bottom"/>
      </w:pPr>
      <w:r>
        <w:rPr>
          <w:rFonts w:hint="eastAsia"/>
        </w:rPr>
        <w:t>④社会事务综合办事事项审批受理、出件及相关服务工作；</w:t>
      </w:r>
    </w:p>
    <w:p>
      <w:pPr>
        <w:autoSpaceDE w:val="0"/>
        <w:autoSpaceDN w:val="0"/>
        <w:ind w:firstLine="420" w:firstLineChars="191"/>
        <w:textAlignment w:val="bottom"/>
      </w:pPr>
      <w:r>
        <w:rPr>
          <w:rFonts w:hint="eastAsia"/>
        </w:rPr>
        <w:fldChar w:fldCharType="begin"/>
      </w:r>
      <w:r>
        <w:rPr>
          <w:rFonts w:hint="eastAsia"/>
        </w:rPr>
        <w:instrText xml:space="preserve"> = 5 \* GB3 </w:instrText>
      </w:r>
      <w:r>
        <w:rPr>
          <w:rFonts w:hint="eastAsia"/>
        </w:rPr>
        <w:fldChar w:fldCharType="separate"/>
      </w:r>
      <w:r>
        <w:rPr>
          <w:rFonts w:hint="eastAsia"/>
        </w:rPr>
        <w:t>⑤</w:t>
      </w:r>
      <w:r>
        <w:rPr>
          <w:rFonts w:hint="eastAsia"/>
        </w:rPr>
        <w:fldChar w:fldCharType="end"/>
      </w:r>
      <w:r>
        <w:rPr>
          <w:rFonts w:hint="eastAsia"/>
        </w:rPr>
        <w:t>根据需要设置的“无差别受理”窗口办件的收件、材料整理、材料形式审查、资料传递、出件等工作</w:t>
      </w:r>
    </w:p>
    <w:p>
      <w:pPr>
        <w:autoSpaceDE w:val="0"/>
        <w:autoSpaceDN w:val="0"/>
        <w:ind w:firstLine="420" w:firstLineChars="191"/>
        <w:textAlignment w:val="bottom"/>
      </w:pPr>
      <w:r>
        <w:rPr>
          <w:rFonts w:hint="eastAsia"/>
        </w:rPr>
        <w:t>⑥完成采购人根据实际工作要求所作的服务内容调整以及交办的其它事项。</w:t>
      </w:r>
    </w:p>
    <w:p>
      <w:pPr>
        <w:autoSpaceDE w:val="0"/>
        <w:autoSpaceDN w:val="0"/>
        <w:ind w:firstLine="420" w:firstLineChars="191"/>
        <w:textAlignment w:val="bottom"/>
      </w:pPr>
      <w:r>
        <w:rPr>
          <w:rFonts w:hint="eastAsia"/>
        </w:rPr>
        <w:t>4、代办人员工作职责及范围</w:t>
      </w:r>
    </w:p>
    <w:p>
      <w:pPr>
        <w:pStyle w:val="38"/>
        <w:autoSpaceDE w:val="0"/>
        <w:autoSpaceDN w:val="0"/>
        <w:snapToGrid w:val="0"/>
        <w:spacing w:line="360" w:lineRule="auto"/>
        <w:ind w:firstLine="420" w:firstLineChars="191"/>
        <w:textAlignment w:val="bottom"/>
        <w:rPr>
          <w:rFonts w:hAnsi="宋体"/>
          <w:szCs w:val="22"/>
        </w:rPr>
      </w:pPr>
      <w:r>
        <w:rPr>
          <w:rFonts w:hint="eastAsia" w:hAnsi="宋体"/>
          <w:szCs w:val="22"/>
        </w:rPr>
        <w:t>①熟悉投资项目审批流程，能为企业项目审批全程代办，能发现项目审批过程中的非正常情况。</w:t>
      </w:r>
    </w:p>
    <w:p>
      <w:pPr>
        <w:pStyle w:val="11"/>
        <w:rPr>
          <w:rFonts w:ascii="Verdana" w:hAnsi="Verdana"/>
          <w:bCs/>
          <w:sz w:val="20"/>
          <w:szCs w:val="20"/>
        </w:rPr>
      </w:pPr>
      <w:r>
        <w:rPr>
          <w:rFonts w:hint="eastAsia" w:ascii="Verdana" w:hAnsi="Verdana"/>
          <w:b/>
          <w:bCs/>
          <w:sz w:val="20"/>
          <w:szCs w:val="20"/>
        </w:rPr>
        <w:t xml:space="preserve">    </w:t>
      </w:r>
      <w:r>
        <w:rPr>
          <w:rFonts w:hint="eastAsia"/>
          <w:b/>
        </w:rPr>
        <w:t>②能胜任代为网上申请、网上申报，熟悉政务服务网、政务服务2.0及“浙里办”APP的操作。</w:t>
      </w:r>
    </w:p>
    <w:p>
      <w:pPr>
        <w:autoSpaceDE w:val="0"/>
        <w:autoSpaceDN w:val="0"/>
        <w:ind w:firstLine="420" w:firstLineChars="191"/>
        <w:textAlignment w:val="bottom"/>
      </w:pPr>
      <w:r>
        <w:rPr>
          <w:rFonts w:hint="eastAsia"/>
        </w:rPr>
        <w:t>③指导项目单位熟悉办事流程及办事指南, 根据项目实际情况，协助编制项目审批进度计划；</w:t>
      </w:r>
    </w:p>
    <w:p>
      <w:pPr>
        <w:autoSpaceDE w:val="0"/>
        <w:autoSpaceDN w:val="0"/>
        <w:ind w:firstLine="420" w:firstLineChars="191"/>
        <w:textAlignment w:val="bottom"/>
      </w:pPr>
      <w:r>
        <w:rPr>
          <w:rFonts w:hint="eastAsia"/>
        </w:rPr>
        <w:t>④协助项目单位分阶段准备审批材料，提供审批材料清单、相关表单及示范文本,指导填写各类表单，帮助项目单位递交审批材料；</w:t>
      </w:r>
    </w:p>
    <w:p>
      <w:pPr>
        <w:autoSpaceDE w:val="0"/>
        <w:autoSpaceDN w:val="0"/>
        <w:ind w:firstLine="420" w:firstLineChars="191"/>
        <w:textAlignment w:val="bottom"/>
      </w:pPr>
      <w:r>
        <w:rPr>
          <w:rFonts w:hint="eastAsia"/>
        </w:rPr>
        <w:t>⑤对审批过程进行跟踪，全面掌握并及时反馈项目审批进展情况，撰写项目代理代办工作日志；</w:t>
      </w:r>
    </w:p>
    <w:p>
      <w:pPr>
        <w:autoSpaceDE w:val="0"/>
        <w:autoSpaceDN w:val="0"/>
        <w:ind w:firstLine="420" w:firstLineChars="191"/>
        <w:textAlignment w:val="bottom"/>
      </w:pPr>
      <w:r>
        <w:rPr>
          <w:rFonts w:hint="eastAsia"/>
        </w:rPr>
        <w:t>⑥及时发现审批中出现的问题并做好沟通协调工作；</w:t>
      </w:r>
    </w:p>
    <w:p>
      <w:pPr>
        <w:autoSpaceDE w:val="0"/>
        <w:autoSpaceDN w:val="0"/>
        <w:ind w:firstLine="420" w:firstLineChars="191"/>
        <w:textAlignment w:val="bottom"/>
      </w:pPr>
      <w:r>
        <w:rPr>
          <w:rFonts w:hint="eastAsia"/>
        </w:rPr>
        <w:t>⑦做好对行政审批工作和代理代办服务的动态回访及满意度测评；</w:t>
      </w:r>
    </w:p>
    <w:p>
      <w:pPr>
        <w:autoSpaceDE w:val="0"/>
        <w:autoSpaceDN w:val="0"/>
        <w:ind w:firstLine="420" w:firstLineChars="191"/>
        <w:textAlignment w:val="bottom"/>
      </w:pPr>
      <w:r>
        <w:rPr>
          <w:rFonts w:hint="eastAsia"/>
        </w:rPr>
        <w:t>⑧对涉及各层级和多部门审批联办的事项，积极联系上级或乡、村行政审批部门（便民服务中心）或相关行政审批服务窗口的代办员，实现多级多部门联动代办，完成项目报批工作；</w:t>
      </w:r>
    </w:p>
    <w:p>
      <w:pPr>
        <w:autoSpaceDE w:val="0"/>
        <w:autoSpaceDN w:val="0"/>
        <w:ind w:firstLine="420" w:firstLineChars="191"/>
        <w:textAlignment w:val="bottom"/>
      </w:pPr>
      <w:r>
        <w:rPr>
          <w:rFonts w:hint="eastAsia"/>
        </w:rPr>
        <w:t>⑨做好项目受理、登记、统计分析及资料整理、保管和移交等工作。</w:t>
      </w:r>
    </w:p>
    <w:p>
      <w:pPr>
        <w:autoSpaceDE w:val="0"/>
        <w:autoSpaceDN w:val="0"/>
        <w:ind w:firstLine="420" w:firstLineChars="191"/>
        <w:textAlignment w:val="bottom"/>
      </w:pPr>
      <w:r>
        <w:rPr>
          <w:rFonts w:hint="eastAsia"/>
        </w:rPr>
        <w:t>所代办事项按法律、法规明确规定必须由项目单位向政府缴纳的费用除外，辅助团队及其人员一律实行免费代办服务。</w:t>
      </w:r>
    </w:p>
    <w:p>
      <w:pPr>
        <w:autoSpaceDE w:val="0"/>
        <w:autoSpaceDN w:val="0"/>
        <w:ind w:firstLine="420" w:firstLineChars="191"/>
        <w:textAlignment w:val="bottom"/>
      </w:pPr>
      <w:r>
        <w:rPr>
          <w:rFonts w:hint="eastAsia"/>
        </w:rPr>
        <w:t>（三）承包期限</w:t>
      </w:r>
    </w:p>
    <w:p>
      <w:pPr>
        <w:autoSpaceDE w:val="0"/>
        <w:autoSpaceDN w:val="0"/>
        <w:ind w:firstLine="420" w:firstLineChars="191"/>
        <w:textAlignment w:val="bottom"/>
      </w:pPr>
      <w:r>
        <w:rPr>
          <w:rFonts w:hint="eastAsia"/>
        </w:rPr>
        <w:t>▲服务期限：服务期限为一年，合同签订后立即执行。</w:t>
      </w:r>
    </w:p>
    <w:p>
      <w:pPr>
        <w:autoSpaceDE w:val="0"/>
        <w:autoSpaceDN w:val="0"/>
        <w:ind w:firstLine="420" w:firstLineChars="191"/>
        <w:textAlignment w:val="bottom"/>
      </w:pPr>
      <w:r>
        <w:rPr>
          <w:rFonts w:hint="eastAsia"/>
        </w:rPr>
        <w:t>除因政策性因素引起改变的，在承包期内，其合同金额不予调整。在合同期内，因上级有关政策性因素导致购买辅助团队服务的方式必须终止时，成交供应商应当无条件服从</w:t>
      </w:r>
      <w:r>
        <w:rPr>
          <w:rFonts w:hint="eastAsia" w:cs="Times New Roman"/>
        </w:rPr>
        <w:t>▲</w:t>
      </w:r>
    </w:p>
    <w:p>
      <w:pPr>
        <w:autoSpaceDE w:val="0"/>
        <w:autoSpaceDN w:val="0"/>
        <w:ind w:firstLine="422" w:firstLineChars="191"/>
        <w:textAlignment w:val="bottom"/>
        <w:rPr>
          <w:b/>
          <w:bCs/>
        </w:rPr>
      </w:pPr>
      <w:r>
        <w:rPr>
          <w:rFonts w:hint="eastAsia"/>
          <w:b/>
          <w:bCs/>
        </w:rPr>
        <w:t>三、商务需求</w:t>
      </w:r>
    </w:p>
    <w:p>
      <w:pPr>
        <w:autoSpaceDE w:val="0"/>
        <w:autoSpaceDN w:val="0"/>
        <w:ind w:firstLine="420" w:firstLineChars="191"/>
        <w:textAlignment w:val="bottom"/>
      </w:pPr>
      <w:r>
        <w:rPr>
          <w:rFonts w:hint="eastAsia"/>
        </w:rPr>
        <w:t>1、本项目报价包括企业服务费（含税收、员工风险金、管理服务费、员工服装配置费、员工学习培训费等所有涉及的费用）和企业人员聘用费（含人员工资、五险、奖金等费用），其中企业人员聘用费应确保用到服务人员上（单人年费用，不可调剂为企业服务费使用，本项目总报价不超过预算金额。</w:t>
      </w:r>
    </w:p>
    <w:p>
      <w:pPr>
        <w:autoSpaceDE w:val="0"/>
        <w:autoSpaceDN w:val="0"/>
        <w:ind w:firstLine="420" w:firstLineChars="191"/>
        <w:textAlignment w:val="bottom"/>
      </w:pPr>
      <w:r>
        <w:rPr>
          <w:rFonts w:hint="eastAsia"/>
        </w:rPr>
        <w:t>2、本项目服务人员数量为</w:t>
      </w:r>
      <w:r>
        <w:rPr>
          <w:rFonts w:hint="eastAsia"/>
          <w:lang w:val="en-US" w:eastAsia="zh-CN"/>
        </w:rPr>
        <w:t>8</w:t>
      </w:r>
      <w:r>
        <w:rPr>
          <w:rFonts w:hint="eastAsia"/>
        </w:rPr>
        <w:t>人，工作时间1年。人员上岗前需经采购人面试审核，上岗时间由采购人根据具体工作情况可作适当调整。</w:t>
      </w:r>
    </w:p>
    <w:p>
      <w:pPr>
        <w:pStyle w:val="38"/>
        <w:ind w:firstLine="440" w:firstLineChars="200"/>
        <w:rPr>
          <w:rFonts w:asciiTheme="minorEastAsia" w:hAnsiTheme="minorEastAsia" w:eastAsiaTheme="minorEastAsia" w:cstheme="minorEastAsia"/>
          <w:szCs w:val="22"/>
        </w:rPr>
      </w:pPr>
      <w:r>
        <w:rPr>
          <w:rFonts w:hint="eastAsia"/>
          <w:szCs w:val="22"/>
        </w:rPr>
        <w:t>3、付款方式：按合同签订的实际服务人求，最终成果须经采购人认可，由采购人或相关部门进行验收，投标报价包含审查验收费用。</w:t>
      </w:r>
    </w:p>
    <w:p>
      <w:pPr>
        <w:autoSpaceDE w:val="0"/>
        <w:autoSpaceDN w:val="0"/>
        <w:snapToGrid w:val="0"/>
        <w:textAlignment w:val="bottom"/>
        <w:outlineLvl w:val="0"/>
        <w:rPr>
          <w:b/>
          <w:color w:val="000000"/>
          <w:sz w:val="36"/>
        </w:rPr>
      </w:pPr>
    </w:p>
    <w:p>
      <w:pPr>
        <w:autoSpaceDE w:val="0"/>
        <w:autoSpaceDN w:val="0"/>
        <w:snapToGrid w:val="0"/>
        <w:ind w:firstLine="1084" w:firstLineChars="300"/>
        <w:jc w:val="center"/>
        <w:textAlignment w:val="bottom"/>
        <w:outlineLvl w:val="0"/>
        <w:rPr>
          <w:b/>
          <w:color w:val="000000"/>
          <w:sz w:val="36"/>
        </w:rPr>
        <w:sectPr>
          <w:headerReference r:id="rId5" w:type="default"/>
          <w:footerReference r:id="rId6" w:type="default"/>
          <w:pgSz w:w="11907" w:h="16840"/>
          <w:pgMar w:top="1247" w:right="1134" w:bottom="1247" w:left="1134" w:header="851" w:footer="992" w:gutter="0"/>
          <w:cols w:space="720" w:num="1"/>
          <w:docGrid w:linePitch="312" w:charSpace="0"/>
        </w:sectPr>
      </w:pPr>
    </w:p>
    <w:p>
      <w:pPr>
        <w:autoSpaceDE w:val="0"/>
        <w:autoSpaceDN w:val="0"/>
        <w:snapToGrid w:val="0"/>
        <w:jc w:val="center"/>
        <w:textAlignment w:val="bottom"/>
        <w:outlineLvl w:val="0"/>
        <w:rPr>
          <w:b/>
          <w:color w:val="000000"/>
          <w:sz w:val="32"/>
          <w:szCs w:val="32"/>
        </w:rPr>
      </w:pPr>
      <w:r>
        <w:rPr>
          <w:rFonts w:hint="eastAsia"/>
          <w:b/>
          <w:color w:val="000000"/>
          <w:sz w:val="36"/>
        </w:rPr>
        <w:t xml:space="preserve">第二部分 </w:t>
      </w:r>
      <w:bookmarkStart w:id="1" w:name="OLE_LINK2"/>
      <w:r>
        <w:rPr>
          <w:rFonts w:hint="eastAsia"/>
          <w:b/>
          <w:color w:val="000000"/>
          <w:sz w:val="36"/>
        </w:rPr>
        <w:t>供应商须知</w:t>
      </w:r>
      <w:bookmarkEnd w:id="1"/>
    </w:p>
    <w:p>
      <w:pPr>
        <w:autoSpaceDE w:val="0"/>
        <w:autoSpaceDN w:val="0"/>
        <w:adjustRightInd w:val="0"/>
        <w:snapToGrid w:val="0"/>
        <w:spacing w:line="336" w:lineRule="auto"/>
        <w:textAlignment w:val="bottom"/>
        <w:outlineLvl w:val="1"/>
      </w:pPr>
      <w:bookmarkStart w:id="2" w:name="_Toc157410882"/>
      <w:r>
        <w:rPr>
          <w:rFonts w:hint="eastAsia"/>
        </w:rPr>
        <w:t>一、说明</w:t>
      </w:r>
    </w:p>
    <w:p>
      <w:pPr>
        <w:spacing w:line="336" w:lineRule="auto"/>
        <w:ind w:firstLine="434"/>
        <w:rPr>
          <w:color w:val="000000"/>
        </w:rPr>
      </w:pPr>
      <w:r>
        <w:rPr>
          <w:rFonts w:hint="eastAsia"/>
          <w:color w:val="000000"/>
        </w:rPr>
        <w:t>1、</w:t>
      </w:r>
      <w:r>
        <w:rPr>
          <w:rFonts w:hint="eastAsia"/>
        </w:rPr>
        <w:t>本次采购工作是按照</w:t>
      </w:r>
      <w:r>
        <w:rPr>
          <w:rFonts w:cs="Arial"/>
        </w:rPr>
        <w:t>《中华人民共和国政府采购法》</w:t>
      </w:r>
      <w:r>
        <w:rPr>
          <w:rFonts w:hint="eastAsia" w:cs="Arial"/>
        </w:rPr>
        <w:t>、《政府采购竞争性磋商采购方式管理暂行办法》</w:t>
      </w:r>
      <w:r>
        <w:rPr>
          <w:rFonts w:hint="eastAsia"/>
        </w:rPr>
        <w:t>及相关法律规章和《浙江省政府采购项目电子交易管理暂行办法》组织和实施。</w:t>
      </w:r>
    </w:p>
    <w:p>
      <w:pPr>
        <w:spacing w:line="336" w:lineRule="auto"/>
        <w:ind w:firstLine="434"/>
        <w:rPr>
          <w:color w:val="000000"/>
        </w:rPr>
      </w:pPr>
      <w:r>
        <w:rPr>
          <w:rFonts w:hint="eastAsia"/>
          <w:color w:val="000000"/>
        </w:rPr>
        <w:t>2、供应商必须对全部内容进行报价，否则按无效报价处理。</w:t>
      </w:r>
    </w:p>
    <w:p>
      <w:pPr>
        <w:spacing w:line="336" w:lineRule="auto"/>
        <w:ind w:firstLine="434"/>
        <w:rPr>
          <w:color w:val="000000"/>
          <w:kern w:val="0"/>
        </w:rPr>
      </w:pPr>
      <w:r>
        <w:rPr>
          <w:rFonts w:hint="eastAsia"/>
          <w:color w:val="000000"/>
        </w:rPr>
        <w:t>3、无论报价过程中的作法和结果如何，供应商自行承担报价活动中所发生的全部费</w:t>
      </w:r>
      <w:r>
        <w:rPr>
          <w:rFonts w:hint="eastAsia"/>
          <w:color w:val="000000"/>
          <w:kern w:val="0"/>
        </w:rPr>
        <w:t>用，采购人有权选择成交供应商的供货及服务范围。</w:t>
      </w:r>
    </w:p>
    <w:p>
      <w:pPr>
        <w:spacing w:line="336" w:lineRule="auto"/>
        <w:ind w:firstLine="434"/>
        <w:rPr>
          <w:color w:val="000000"/>
          <w:kern w:val="0"/>
        </w:rPr>
      </w:pPr>
      <w:r>
        <w:rPr>
          <w:rFonts w:hint="eastAsia"/>
          <w:color w:val="000000"/>
          <w:kern w:val="0"/>
        </w:rPr>
        <w:t>4、本次采购，磋商文件及谈判响应文件都以中文为准。报价统一采用人民币报价。</w:t>
      </w:r>
    </w:p>
    <w:p>
      <w:pPr>
        <w:spacing w:line="336" w:lineRule="auto"/>
        <w:ind w:firstLine="434"/>
        <w:rPr>
          <w:color w:val="000000"/>
          <w:kern w:val="0"/>
        </w:rPr>
      </w:pPr>
      <w:r>
        <w:rPr>
          <w:rFonts w:hint="eastAsia"/>
          <w:color w:val="000000"/>
          <w:kern w:val="0"/>
        </w:rPr>
        <w:t>5、本次报价为直至验收合格的最终价格，完成本项目服务所需软硬件设施设备均由供应商自备。</w:t>
      </w:r>
    </w:p>
    <w:p>
      <w:pPr>
        <w:spacing w:line="336" w:lineRule="auto"/>
        <w:ind w:firstLine="434"/>
        <w:rPr>
          <w:color w:val="000000"/>
          <w:kern w:val="0"/>
        </w:rPr>
      </w:pPr>
      <w:r>
        <w:rPr>
          <w:rFonts w:hint="eastAsia"/>
          <w:color w:val="000000"/>
        </w:rPr>
        <w:t>6、如本次采购物品涉及国家强制性要求的，供应商应该能确保满足其要求。</w:t>
      </w:r>
    </w:p>
    <w:p>
      <w:pPr>
        <w:spacing w:line="336" w:lineRule="auto"/>
        <w:ind w:firstLine="434"/>
        <w:rPr>
          <w:color w:val="000000"/>
          <w:kern w:val="0"/>
        </w:rPr>
      </w:pPr>
      <w:r>
        <w:rPr>
          <w:rFonts w:hint="eastAsia"/>
          <w:color w:val="000000"/>
          <w:kern w:val="0"/>
        </w:rPr>
        <w:t>7、供应商有必要应自费现场勘察，以了解采购人详细需求与现场情况。</w:t>
      </w:r>
    </w:p>
    <w:p>
      <w:pPr>
        <w:spacing w:line="336" w:lineRule="auto"/>
        <w:ind w:firstLine="434"/>
        <w:rPr>
          <w:color w:val="000000"/>
          <w:kern w:val="0"/>
        </w:rPr>
      </w:pPr>
      <w:r>
        <w:rPr>
          <w:rFonts w:hint="eastAsia"/>
        </w:rPr>
        <w:t>8、</w:t>
      </w:r>
      <w:r>
        <w:rPr>
          <w:rFonts w:hint="eastAsia"/>
          <w:color w:val="000000"/>
          <w:u w:val="single"/>
        </w:rPr>
        <w:t>磋商文件中所列的品牌型号仅为参考，是为了对拟磋商的设备、材料的技术指标和功能要求更好的说明，欢迎其他能满足本项目技术需求且性能与所明确品牌相当的产品参加。</w:t>
      </w:r>
    </w:p>
    <w:p>
      <w:pPr>
        <w:spacing w:line="336" w:lineRule="auto"/>
        <w:ind w:firstLine="434"/>
        <w:rPr>
          <w:color w:val="000000"/>
        </w:rPr>
      </w:pPr>
      <w:r>
        <w:rPr>
          <w:rFonts w:hint="eastAsia"/>
        </w:rPr>
        <w:t>9、根据《关于政府采购竞争性磋商采购方式管理暂行办法有关问题的补充通知》财库〔2015〕124号）以及</w:t>
      </w:r>
      <w:r>
        <w:t>《财政部关于印发&lt;政府采购竞争性磋商采购方式管理暂行办法&gt;的通知》（财库〔2014〕214号）</w:t>
      </w:r>
      <w:r>
        <w:rPr>
          <w:rFonts w:hint="eastAsia"/>
        </w:rPr>
        <w:t>规定：</w:t>
      </w:r>
      <w:r>
        <w:t>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w:t>
      </w:r>
      <w:r>
        <w:rPr>
          <w:rFonts w:hint="eastAsia"/>
          <w:color w:val="000000"/>
        </w:rPr>
        <w:t>终止竞争性磋商采购活动，发布项目终止公告并说明原因，重新开展采购活动。</w:t>
      </w:r>
    </w:p>
    <w:p>
      <w:pPr>
        <w:spacing w:line="336" w:lineRule="auto"/>
        <w:ind w:firstLine="434"/>
        <w:rPr>
          <w:u w:val="dotted"/>
        </w:rPr>
      </w:pPr>
      <w:r>
        <w:rPr>
          <w:rFonts w:hint="eastAsia"/>
          <w:u w:val="dotted"/>
        </w:rPr>
        <w:t>10.1 供应商法定代表人或负责人或实际控制人是同一人，法定代表人或负责人或实际控制人是夫妻关系，法定代表人或负责人或实际控制人是直系血亲关系，法定代表人或负责人或实际控制人存在三代以内旁系血亲关系，法定代表人或负责人或实际控制人存在近姻亲关系，单位负责人为同一人或者存在直接控股、管理关系的不同供应商不得同时参加本次政府采购活动，否则所有关联供应商/供应商均按无效供应商处理。</w:t>
      </w:r>
    </w:p>
    <w:p>
      <w:pPr>
        <w:spacing w:line="336" w:lineRule="auto"/>
        <w:ind w:firstLine="434"/>
        <w:rPr>
          <w:u w:val="dotted"/>
        </w:rPr>
      </w:pPr>
      <w:r>
        <w:rPr>
          <w:rFonts w:hint="eastAsia"/>
          <w:u w:val="dotted"/>
        </w:rPr>
        <w:t>10.2 电子交易平台运营机构（指政采云平台），以及与该机构有直接控股或者管理关系可能影响采购公正性的任何单位和个人，不得在该平台进行的政府采购项目电子交易中投标、响应和代理政府采购项目</w:t>
      </w:r>
    </w:p>
    <w:p>
      <w:pPr>
        <w:spacing w:line="336" w:lineRule="auto"/>
        <w:ind w:firstLine="434"/>
      </w:pPr>
      <w:r>
        <w:rPr>
          <w:rFonts w:hint="eastAsia"/>
        </w:rPr>
        <w:t>11、磋商文件如允许联合体参与，以联合体形式参加政府采购活动的，联合体各方不得再单独参加或者与其他供应商另外组成联合体参加本次政府采购活动，否则所有关联供应商/供应商均按无效供应商处理。</w:t>
      </w:r>
    </w:p>
    <w:p>
      <w:pPr>
        <w:spacing w:line="336" w:lineRule="auto"/>
        <w:ind w:firstLine="434"/>
      </w:pPr>
      <w:r>
        <w:rPr>
          <w:rFonts w:hint="eastAsia"/>
        </w:rPr>
        <w:t>12、本次项目按《财政部关于在政府采购活动中查询及使用信用记录的通知》（财库〔2016〕125号）相关规定，评审时通过“信用中国”网站（www.creditchina.gov.cn）、中国政府采购网（www.ccgp.gov.cn）查询相关主体信用记录对供应商进行信用甄别，对列入失信被执行人、重大税收违法案件当事人名单、政府采购严重违法失信行为记录名单及其他不符合《中华人民共和国政府采购法》第二十二条规定条件的供应商，拒绝其参与本次政府采购活动，其磋商响应文件按无效响应文件处理。</w:t>
      </w:r>
    </w:p>
    <w:p>
      <w:pPr>
        <w:spacing w:line="440" w:lineRule="atLeast"/>
        <w:ind w:firstLine="434"/>
      </w:pPr>
      <w:r>
        <w:rPr>
          <w:rFonts w:hint="eastAsia"/>
        </w:rPr>
        <w:t>13、磋商小组对磋商响应文件的判定，只依据磋商响应文件内容本身，不依靠磋商截止时间以后的任何外来证明。</w:t>
      </w:r>
    </w:p>
    <w:p>
      <w:pPr>
        <w:spacing w:line="440" w:lineRule="atLeast"/>
        <w:ind w:firstLine="434"/>
      </w:pPr>
      <w:r>
        <w:rPr>
          <w:rFonts w:hint="eastAsia"/>
        </w:rPr>
        <w:t>14、</w:t>
      </w:r>
      <w:r>
        <w:rPr>
          <w:rFonts w:hint="eastAsia"/>
          <w:lang w:val="zh-CN"/>
        </w:rPr>
        <w:t>对于本次采购，如多家供应商提供相同品牌相同型号的产品参加同一政府采购项目竞争的，应当按一家供应商认定。评审时，应取其中通过资格审查后的报价最低一家为有效供应商；报价相同时，取技术分最高者；均相同时，由评审小组集体决定。非单一产品采购项目中，作为关键核心部分的单一产品品牌、型号均相同且报价占项目总报价50%以上（含本数，下同）的，视为提供的是同品牌同型号的产品；多家供应商中，有一家供应商的报价达到50%以上，提供同品牌同型号产品的供应商均按一家供应商认定。</w:t>
      </w:r>
    </w:p>
    <w:p>
      <w:pPr>
        <w:spacing w:line="440" w:lineRule="atLeast"/>
        <w:ind w:firstLine="434"/>
      </w:pPr>
      <w:r>
        <w:rPr>
          <w:rFonts w:hint="eastAsia"/>
        </w:rPr>
        <w:t>15、本次招标的货物如涉及国家规定强制认证的，均视为供应商投标产品符合了工业品生产许可证，</w:t>
      </w:r>
      <w:r>
        <w:t>3C认证，环保产品</w:t>
      </w:r>
      <w:r>
        <w:rPr>
          <w:rFonts w:hint="eastAsia"/>
        </w:rPr>
        <w:t>、节能产品</w:t>
      </w:r>
      <w:r>
        <w:t>认证等强制认证规定的，中标供应商须在采购人对上述货物验收时提供相关证书证明资料，否则做验收不能通过处理，并对中标供应商处以合同总金额10%的违约金罚款。</w:t>
      </w:r>
    </w:p>
    <w:p>
      <w:pPr>
        <w:autoSpaceDE w:val="0"/>
        <w:autoSpaceDN w:val="0"/>
        <w:adjustRightInd w:val="0"/>
        <w:snapToGrid w:val="0"/>
        <w:spacing w:line="440" w:lineRule="exact"/>
        <w:textAlignment w:val="bottom"/>
        <w:outlineLvl w:val="1"/>
      </w:pPr>
      <w:r>
        <w:rPr>
          <w:rFonts w:hint="eastAsia"/>
        </w:rPr>
        <w:t>二、供应商资格要求</w:t>
      </w:r>
    </w:p>
    <w:p>
      <w:pPr>
        <w:autoSpaceDE w:val="0"/>
        <w:autoSpaceDN w:val="0"/>
        <w:adjustRightInd w:val="0"/>
        <w:snapToGrid w:val="0"/>
        <w:spacing w:line="440" w:lineRule="exact"/>
        <w:ind w:firstLine="431" w:firstLineChars="196"/>
        <w:textAlignment w:val="bottom"/>
      </w:pPr>
      <w:r>
        <w:rPr>
          <w:rFonts w:hint="eastAsia"/>
        </w:rPr>
        <w:t>按磋商公告要求</w:t>
      </w:r>
    </w:p>
    <w:p>
      <w:pPr>
        <w:autoSpaceDE w:val="0"/>
        <w:autoSpaceDN w:val="0"/>
        <w:adjustRightInd w:val="0"/>
        <w:snapToGrid w:val="0"/>
        <w:spacing w:line="440" w:lineRule="exact"/>
        <w:textAlignment w:val="bottom"/>
        <w:outlineLvl w:val="1"/>
      </w:pPr>
      <w:r>
        <w:rPr>
          <w:rFonts w:hint="eastAsia"/>
        </w:rPr>
        <w:t>三、磋商文件</w:t>
      </w:r>
    </w:p>
    <w:p>
      <w:pPr>
        <w:autoSpaceDE w:val="0"/>
        <w:autoSpaceDN w:val="0"/>
        <w:adjustRightInd w:val="0"/>
        <w:snapToGrid w:val="0"/>
        <w:spacing w:line="440" w:lineRule="exact"/>
        <w:ind w:firstLine="431" w:firstLineChars="196"/>
        <w:textAlignment w:val="bottom"/>
      </w:pPr>
      <w:r>
        <w:rPr>
          <w:rFonts w:hint="eastAsia"/>
        </w:rPr>
        <w:t>1、磋商文件</w:t>
      </w:r>
    </w:p>
    <w:p>
      <w:pPr>
        <w:autoSpaceDE w:val="0"/>
        <w:autoSpaceDN w:val="0"/>
        <w:adjustRightInd w:val="0"/>
        <w:snapToGrid w:val="0"/>
        <w:spacing w:line="440" w:lineRule="exact"/>
        <w:ind w:firstLine="431" w:firstLineChars="196"/>
        <w:textAlignment w:val="bottom"/>
      </w:pPr>
      <w:r>
        <w:rPr>
          <w:rFonts w:hint="eastAsia"/>
        </w:rPr>
        <w:t>1.1 磋商文件发放</w:t>
      </w:r>
    </w:p>
    <w:p>
      <w:pPr>
        <w:autoSpaceDE w:val="0"/>
        <w:autoSpaceDN w:val="0"/>
        <w:adjustRightInd w:val="0"/>
        <w:snapToGrid w:val="0"/>
        <w:spacing w:line="440" w:lineRule="exact"/>
        <w:ind w:firstLine="431" w:firstLineChars="196"/>
        <w:textAlignment w:val="bottom"/>
      </w:pPr>
      <w:r>
        <w:rPr>
          <w:rFonts w:hint="eastAsia"/>
        </w:rPr>
        <w:t>1.2 磋商文件约束力</w:t>
      </w:r>
    </w:p>
    <w:p>
      <w:pPr>
        <w:autoSpaceDE w:val="0"/>
        <w:autoSpaceDN w:val="0"/>
        <w:adjustRightInd w:val="0"/>
        <w:snapToGrid w:val="0"/>
        <w:spacing w:line="440" w:lineRule="exact"/>
        <w:ind w:firstLine="431" w:firstLineChars="196"/>
        <w:textAlignment w:val="bottom"/>
        <w:rPr>
          <w:color w:val="000000"/>
          <w:u w:val="single"/>
        </w:rPr>
      </w:pPr>
      <w:r>
        <w:rPr>
          <w:rFonts w:hint="eastAsia"/>
          <w:color w:val="000000"/>
          <w:u w:val="single"/>
        </w:rPr>
        <w:t>▲供应商获取了本磋商文件并参加采购活动，即被认为接受了本磋商文件中所有条款和规定。</w:t>
      </w:r>
    </w:p>
    <w:p>
      <w:pPr>
        <w:autoSpaceDE w:val="0"/>
        <w:autoSpaceDN w:val="0"/>
        <w:adjustRightInd w:val="0"/>
        <w:snapToGrid w:val="0"/>
        <w:spacing w:line="440" w:lineRule="exact"/>
        <w:ind w:firstLine="431" w:firstLineChars="196"/>
        <w:textAlignment w:val="bottom"/>
      </w:pPr>
      <w:r>
        <w:rPr>
          <w:rFonts w:hint="eastAsia"/>
        </w:rPr>
        <w:t>1.3 磋商文件的组成</w:t>
      </w:r>
    </w:p>
    <w:p>
      <w:pPr>
        <w:autoSpaceDE w:val="0"/>
        <w:autoSpaceDN w:val="0"/>
        <w:adjustRightInd w:val="0"/>
        <w:snapToGrid w:val="0"/>
        <w:spacing w:line="440" w:lineRule="exact"/>
        <w:ind w:firstLine="431" w:firstLineChars="196"/>
        <w:textAlignment w:val="bottom"/>
      </w:pPr>
      <w:r>
        <w:rPr>
          <w:rFonts w:hint="eastAsia"/>
        </w:rPr>
        <w:t>磋商文件由磋商文件内容及补充资料等组成，供应商需自行关注“浙江省政府采购网”和“政采云”查看投标截止时间前的补充资料等电子材料。</w:t>
      </w:r>
    </w:p>
    <w:p>
      <w:pPr>
        <w:autoSpaceDE w:val="0"/>
        <w:autoSpaceDN w:val="0"/>
        <w:adjustRightInd w:val="0"/>
        <w:snapToGrid w:val="0"/>
        <w:spacing w:line="440" w:lineRule="exact"/>
        <w:ind w:firstLine="431" w:firstLineChars="196"/>
        <w:textAlignment w:val="bottom"/>
      </w:pPr>
      <w:r>
        <w:rPr>
          <w:rFonts w:hint="eastAsia"/>
        </w:rPr>
        <w:t>2、磋商文件的澄清</w:t>
      </w:r>
    </w:p>
    <w:p>
      <w:pPr>
        <w:autoSpaceDE w:val="0"/>
        <w:autoSpaceDN w:val="0"/>
        <w:adjustRightInd w:val="0"/>
        <w:snapToGrid w:val="0"/>
        <w:spacing w:line="440" w:lineRule="exact"/>
        <w:ind w:firstLine="431" w:firstLineChars="196"/>
        <w:textAlignment w:val="bottom"/>
      </w:pPr>
      <w:r>
        <w:rPr>
          <w:rFonts w:hint="eastAsia"/>
        </w:rPr>
        <w:t>供应商对磋商文件如有疑点要求澄清，可用书面形式送达采购代理机构，但通知不得迟于规定的质疑时间前使采购代理机构收到，采购代理机构将用书面形式予以答复。如有必要，可将不说明来源的答复发给各有关供应商。</w:t>
      </w:r>
    </w:p>
    <w:p>
      <w:pPr>
        <w:autoSpaceDE w:val="0"/>
        <w:autoSpaceDN w:val="0"/>
        <w:adjustRightInd w:val="0"/>
        <w:snapToGrid w:val="0"/>
        <w:spacing w:line="440" w:lineRule="exact"/>
        <w:ind w:firstLine="431" w:firstLineChars="196"/>
        <w:textAlignment w:val="bottom"/>
      </w:pPr>
      <w:r>
        <w:rPr>
          <w:rFonts w:hint="eastAsia"/>
        </w:rPr>
        <w:t>3、磋商文件的修改</w:t>
      </w:r>
    </w:p>
    <w:p>
      <w:pPr>
        <w:autoSpaceDE w:val="0"/>
        <w:autoSpaceDN w:val="0"/>
        <w:adjustRightInd w:val="0"/>
        <w:snapToGrid w:val="0"/>
        <w:spacing w:line="440" w:lineRule="exact"/>
        <w:ind w:firstLine="431" w:firstLineChars="196"/>
        <w:textAlignment w:val="bottom"/>
      </w:pPr>
      <w:r>
        <w:rPr>
          <w:rFonts w:hint="eastAsia"/>
        </w:rPr>
        <w:t>3.1 在磋商截止时间前，采购人有权修改磋商文件，并以书面形式通知供应商。补充文件作为磋商文件的补充和组成部分，对所有供应商均有约束力。</w:t>
      </w:r>
    </w:p>
    <w:p>
      <w:pPr>
        <w:autoSpaceDE w:val="0"/>
        <w:autoSpaceDN w:val="0"/>
        <w:adjustRightInd w:val="0"/>
        <w:snapToGrid w:val="0"/>
        <w:spacing w:line="440" w:lineRule="exact"/>
        <w:ind w:firstLine="431" w:firstLineChars="196"/>
        <w:textAlignment w:val="bottom"/>
      </w:pPr>
      <w:r>
        <w:rPr>
          <w:rFonts w:hint="eastAsia"/>
        </w:rPr>
        <w:t>3.2 为使供应商有足够的时间按磋商文件要求修正磋商响应文件，采购人可酌情推迟磋商截止时间和磋商时间，并将此变更通知供应商。</w:t>
      </w:r>
    </w:p>
    <w:p>
      <w:pPr>
        <w:autoSpaceDE w:val="0"/>
        <w:autoSpaceDN w:val="0"/>
        <w:adjustRightInd w:val="0"/>
        <w:snapToGrid w:val="0"/>
        <w:spacing w:line="440" w:lineRule="exact"/>
        <w:textAlignment w:val="bottom"/>
        <w:outlineLvl w:val="1"/>
      </w:pPr>
      <w:r>
        <w:rPr>
          <w:rFonts w:hint="eastAsia"/>
        </w:rPr>
        <w:t>四、磋商响应文件</w:t>
      </w:r>
    </w:p>
    <w:p>
      <w:pPr>
        <w:autoSpaceDE w:val="0"/>
        <w:autoSpaceDN w:val="0"/>
        <w:adjustRightInd w:val="0"/>
        <w:snapToGrid w:val="0"/>
        <w:spacing w:line="440" w:lineRule="exact"/>
        <w:ind w:firstLine="431" w:firstLineChars="196"/>
        <w:textAlignment w:val="bottom"/>
      </w:pPr>
      <w:r>
        <w:rPr>
          <w:rFonts w:hint="eastAsia"/>
        </w:rPr>
        <w:t>1、磋商响应文件</w:t>
      </w:r>
    </w:p>
    <w:p>
      <w:pPr>
        <w:autoSpaceDE w:val="0"/>
        <w:autoSpaceDN w:val="0"/>
        <w:adjustRightInd w:val="0"/>
        <w:snapToGrid w:val="0"/>
        <w:spacing w:line="440" w:lineRule="exact"/>
        <w:ind w:firstLine="440" w:firstLineChars="200"/>
        <w:textAlignment w:val="bottom"/>
        <w:rPr>
          <w:rFonts w:cs="Arial"/>
        </w:rPr>
      </w:pPr>
      <w:r>
        <w:rPr>
          <w:rFonts w:hint="eastAsia" w:cs="仿宋_GB2312"/>
          <w:lang w:val="zh-CN"/>
        </w:rPr>
        <w:t>1.1</w:t>
      </w:r>
      <w:r>
        <w:rPr>
          <w:rFonts w:hint="eastAsia" w:cs="仿宋_GB2312"/>
        </w:rPr>
        <w:t xml:space="preserve"> </w:t>
      </w:r>
      <w:r>
        <w:rPr>
          <w:rFonts w:hint="eastAsia" w:cs="Arial"/>
        </w:rPr>
        <w:t>供应商应仔细阅读磋商文件中的所有内容，按照磋商文件及采购货物（或服务）技术规格要求，详细编制磋商响应文件。并对磋商文件的要求做出实质上响应。实质上响应的文件应该是与磋商文件要求的条款没有重大偏离的磋商响应。未实质上响应的磋商响应文件将被拒绝，但允许采购货物（服务）在基本满足采购货物服务技术要求的前提下出现的微小差异。</w:t>
      </w:r>
    </w:p>
    <w:p>
      <w:pPr>
        <w:autoSpaceDE w:val="0"/>
        <w:autoSpaceDN w:val="0"/>
        <w:adjustRightInd w:val="0"/>
        <w:snapToGrid w:val="0"/>
        <w:spacing w:line="440" w:lineRule="exact"/>
        <w:ind w:firstLine="440" w:firstLineChars="200"/>
        <w:textAlignment w:val="bottom"/>
        <w:rPr>
          <w:rFonts w:cs="Arial"/>
        </w:rPr>
      </w:pPr>
      <w:r>
        <w:rPr>
          <w:rFonts w:hint="eastAsia" w:cs="仿宋_GB2312"/>
          <w:lang w:val="zh-CN"/>
        </w:rPr>
        <w:t>1.2</w:t>
      </w:r>
      <w:r>
        <w:rPr>
          <w:rFonts w:hint="eastAsia" w:cs="仿宋_GB2312"/>
        </w:rPr>
        <w:t xml:space="preserve"> </w:t>
      </w:r>
      <w:r>
        <w:rPr>
          <w:rFonts w:hint="eastAsia" w:cs="Arial"/>
        </w:rPr>
        <w:t>供应商必须按磋商文件的要求提供相关技术参数、资料，包括采用的计量单位，并保证磋商响应文件的正确性和真实性。磋商响应文件全部内容应保持一致，否则可能导致不利于其磋商响应的评定甚至被拒绝。技术和商务如有偏离均应填写偏离表。</w:t>
      </w:r>
    </w:p>
    <w:p>
      <w:pPr>
        <w:autoSpaceDE w:val="0"/>
        <w:autoSpaceDN w:val="0"/>
        <w:adjustRightInd w:val="0"/>
        <w:snapToGrid w:val="0"/>
        <w:spacing w:line="440" w:lineRule="exact"/>
        <w:ind w:firstLine="431" w:firstLineChars="196"/>
        <w:textAlignment w:val="bottom"/>
      </w:pPr>
      <w:r>
        <w:rPr>
          <w:rFonts w:hint="eastAsia" w:cs="仿宋_GB2312"/>
          <w:lang w:val="zh-CN"/>
        </w:rPr>
        <w:t>1.3供应商应仔细阅读磋商文件中的所有内容，按照磋商文件要求，详细编制磋商响应文件，所有文件资料必须是针对本次</w:t>
      </w:r>
      <w:r>
        <w:rPr>
          <w:rFonts w:hint="eastAsia" w:cs="仿宋_GB2312"/>
        </w:rPr>
        <w:t>磋商</w:t>
      </w:r>
      <w:r>
        <w:rPr>
          <w:rFonts w:hint="eastAsia" w:cs="仿宋_GB2312"/>
          <w:lang w:val="zh-CN"/>
        </w:rPr>
        <w:t>。不按磋商文件的要求提供的磋商响应文件可能导致被拒绝。</w:t>
      </w:r>
    </w:p>
    <w:bookmarkEnd w:id="2"/>
    <w:p>
      <w:pPr>
        <w:autoSpaceDE w:val="0"/>
        <w:autoSpaceDN w:val="0"/>
        <w:adjustRightInd w:val="0"/>
        <w:snapToGrid w:val="0"/>
        <w:spacing w:line="454" w:lineRule="atLeast"/>
        <w:ind w:firstLine="442" w:firstLineChars="200"/>
        <w:rPr>
          <w:rFonts w:cs="仿宋_GB2312"/>
          <w:b/>
          <w:bCs/>
        </w:rPr>
      </w:pPr>
      <w:bookmarkStart w:id="3" w:name="OLE_LINK12"/>
      <w:r>
        <w:rPr>
          <w:rFonts w:hint="eastAsia" w:cs="仿宋_GB2312"/>
          <w:b/>
          <w:bCs/>
        </w:rPr>
        <w:t>2、磋商响应文件由资格文件、商务报价文件、技术资信文件组成：</w:t>
      </w:r>
    </w:p>
    <w:p>
      <w:pPr>
        <w:autoSpaceDE w:val="0"/>
        <w:autoSpaceDN w:val="0"/>
        <w:adjustRightInd w:val="0"/>
        <w:snapToGrid w:val="0"/>
        <w:spacing w:before="120" w:beforeLines="50"/>
        <w:ind w:firstLine="442" w:firstLineChars="200"/>
        <w:rPr>
          <w:b/>
          <w:bCs/>
          <w:lang w:val="zh-CN"/>
        </w:rPr>
      </w:pPr>
      <w:r>
        <w:rPr>
          <w:rFonts w:hint="eastAsia"/>
          <w:b/>
          <w:bCs/>
          <w:lang w:val="zh-CN"/>
        </w:rPr>
        <w:t>2.1、</w:t>
      </w:r>
      <w:r>
        <w:rPr>
          <w:rFonts w:hint="eastAsia"/>
          <w:b/>
          <w:bCs/>
          <w:u w:val="single"/>
        </w:rPr>
        <w:t>资格文件组成</w:t>
      </w:r>
    </w:p>
    <w:tbl>
      <w:tblPr>
        <w:tblStyle w:val="29"/>
        <w:tblW w:w="10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9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80" w:type="dxa"/>
            <w:vAlign w:val="center"/>
          </w:tcPr>
          <w:p>
            <w:pPr>
              <w:autoSpaceDE w:val="0"/>
              <w:autoSpaceDN w:val="0"/>
              <w:adjustRightInd w:val="0"/>
              <w:snapToGrid w:val="0"/>
              <w:spacing w:line="430" w:lineRule="atLeast"/>
              <w:jc w:val="center"/>
              <w:rPr>
                <w:rFonts w:cs="Courier New"/>
                <w:lang w:val="zh-CN"/>
              </w:rPr>
            </w:pPr>
            <w:r>
              <w:rPr>
                <w:rFonts w:hint="eastAsia" w:cs="Courier New"/>
                <w:lang w:val="zh-CN"/>
              </w:rPr>
              <w:t>序号</w:t>
            </w:r>
          </w:p>
        </w:tc>
        <w:tc>
          <w:tcPr>
            <w:tcW w:w="9539" w:type="dxa"/>
          </w:tcPr>
          <w:p>
            <w:pPr>
              <w:autoSpaceDE w:val="0"/>
              <w:autoSpaceDN w:val="0"/>
              <w:adjustRightInd w:val="0"/>
              <w:snapToGrid w:val="0"/>
              <w:spacing w:line="430" w:lineRule="atLeast"/>
              <w:rPr>
                <w:rFonts w:cs="Courier New"/>
                <w:lang w:val="zh-CN"/>
              </w:rPr>
            </w:pPr>
            <w:r>
              <w:rPr>
                <w:rFonts w:hint="eastAsia" w:cs="Courier New"/>
                <w:lang w:val="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80" w:type="dxa"/>
            <w:vAlign w:val="center"/>
          </w:tcPr>
          <w:p>
            <w:pPr>
              <w:autoSpaceDE w:val="0"/>
              <w:autoSpaceDN w:val="0"/>
              <w:adjustRightInd w:val="0"/>
              <w:snapToGrid w:val="0"/>
              <w:spacing w:line="430" w:lineRule="atLeast"/>
              <w:jc w:val="center"/>
              <w:rPr>
                <w:rFonts w:cs="Courier New"/>
                <w:lang w:val="zh-CN"/>
              </w:rPr>
            </w:pPr>
            <w:r>
              <w:rPr>
                <w:rFonts w:hint="eastAsia" w:cs="Courier New"/>
                <w:lang w:val="zh-CN"/>
              </w:rPr>
              <w:t>1</w:t>
            </w:r>
          </w:p>
        </w:tc>
        <w:tc>
          <w:tcPr>
            <w:tcW w:w="9539" w:type="dxa"/>
          </w:tcPr>
          <w:p>
            <w:pPr>
              <w:autoSpaceDE w:val="0"/>
              <w:autoSpaceDN w:val="0"/>
              <w:adjustRightInd w:val="0"/>
              <w:snapToGrid w:val="0"/>
              <w:spacing w:line="430" w:lineRule="atLeast"/>
              <w:rPr>
                <w:rFonts w:cs="Courier New"/>
              </w:rPr>
            </w:pPr>
            <w:r>
              <w:rPr>
                <w:rFonts w:hint="eastAsia" w:cs="Courier New"/>
              </w:rPr>
              <w:t>投标供应商的营业执照、税务登记证（如为多证合一仅需提供营业执照，扫描件加盖公章）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80" w:type="dxa"/>
            <w:vAlign w:val="center"/>
          </w:tcPr>
          <w:p>
            <w:pPr>
              <w:autoSpaceDE w:val="0"/>
              <w:autoSpaceDN w:val="0"/>
              <w:adjustRightInd w:val="0"/>
              <w:snapToGrid w:val="0"/>
              <w:spacing w:line="430" w:lineRule="atLeast"/>
              <w:jc w:val="center"/>
              <w:rPr>
                <w:rFonts w:cs="Courier New"/>
                <w:lang w:val="zh-CN"/>
              </w:rPr>
            </w:pPr>
            <w:r>
              <w:rPr>
                <w:rFonts w:hint="eastAsia" w:cs="Courier New"/>
                <w:lang w:val="zh-CN"/>
              </w:rPr>
              <w:t>2</w:t>
            </w:r>
          </w:p>
        </w:tc>
        <w:tc>
          <w:tcPr>
            <w:tcW w:w="9539" w:type="dxa"/>
          </w:tcPr>
          <w:p>
            <w:pPr>
              <w:autoSpaceDE w:val="0"/>
              <w:autoSpaceDN w:val="0"/>
              <w:adjustRightInd w:val="0"/>
              <w:snapToGrid w:val="0"/>
              <w:spacing w:line="430" w:lineRule="atLeast"/>
              <w:rPr>
                <w:rFonts w:cs="Courier New"/>
              </w:rPr>
            </w:pPr>
            <w:r>
              <w:rPr>
                <w:rFonts w:hint="eastAsia" w:cs="Courier New"/>
              </w:rPr>
              <w:t>投标供应商近3个月财务报表（扫描件加盖公章、如有则提供）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80" w:type="dxa"/>
            <w:vAlign w:val="center"/>
          </w:tcPr>
          <w:p>
            <w:pPr>
              <w:autoSpaceDE w:val="0"/>
              <w:autoSpaceDN w:val="0"/>
              <w:adjustRightInd w:val="0"/>
              <w:snapToGrid w:val="0"/>
              <w:spacing w:line="430" w:lineRule="atLeast"/>
              <w:jc w:val="center"/>
              <w:rPr>
                <w:rFonts w:cs="Courier New"/>
              </w:rPr>
            </w:pPr>
            <w:r>
              <w:rPr>
                <w:rFonts w:hint="eastAsia" w:cs="Courier New"/>
              </w:rPr>
              <w:t>3</w:t>
            </w:r>
          </w:p>
        </w:tc>
        <w:tc>
          <w:tcPr>
            <w:tcW w:w="9539" w:type="dxa"/>
          </w:tcPr>
          <w:p>
            <w:pPr>
              <w:autoSpaceDE w:val="0"/>
              <w:autoSpaceDN w:val="0"/>
              <w:adjustRightInd w:val="0"/>
              <w:snapToGrid w:val="0"/>
              <w:spacing w:line="430" w:lineRule="atLeast"/>
              <w:rPr>
                <w:rFonts w:cs="Courier New"/>
              </w:rPr>
            </w:pPr>
            <w:r>
              <w:rPr>
                <w:rFonts w:cs="Courier New"/>
              </w:rPr>
              <w:t>最近一次缴纳税收和社会保障资金的相关资料（复印件加盖公章）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80" w:type="dxa"/>
            <w:vAlign w:val="center"/>
          </w:tcPr>
          <w:p>
            <w:pPr>
              <w:autoSpaceDE w:val="0"/>
              <w:autoSpaceDN w:val="0"/>
              <w:adjustRightInd w:val="0"/>
              <w:snapToGrid w:val="0"/>
              <w:spacing w:line="430" w:lineRule="atLeast"/>
              <w:jc w:val="center"/>
              <w:rPr>
                <w:rFonts w:cs="Courier New"/>
              </w:rPr>
            </w:pPr>
            <w:r>
              <w:rPr>
                <w:rFonts w:hint="eastAsia" w:cs="Courier New"/>
              </w:rPr>
              <w:t>4</w:t>
            </w:r>
          </w:p>
        </w:tc>
        <w:tc>
          <w:tcPr>
            <w:tcW w:w="9539" w:type="dxa"/>
          </w:tcPr>
          <w:p>
            <w:pPr>
              <w:autoSpaceDE w:val="0"/>
              <w:autoSpaceDN w:val="0"/>
              <w:adjustRightInd w:val="0"/>
              <w:snapToGrid w:val="0"/>
              <w:spacing w:line="430" w:lineRule="atLeast"/>
              <w:rPr>
                <w:rFonts w:cs="Courier New"/>
              </w:rPr>
            </w:pPr>
            <w:r>
              <w:rPr>
                <w:rFonts w:hint="eastAsia" w:cs="Courier New"/>
              </w:rPr>
              <w:t>投标供应商特定资格条件证明（如有要求则提供）。</w:t>
            </w:r>
            <w:r>
              <w:rPr>
                <w:rFonts w:hint="eastAsia"/>
              </w:rPr>
              <w:t>注：提供相关证书扫描件</w:t>
            </w:r>
            <w:r>
              <w:rPr>
                <w:rFonts w:hint="eastAsia" w:cs="Courier New"/>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780" w:type="dxa"/>
            <w:vAlign w:val="center"/>
          </w:tcPr>
          <w:p>
            <w:pPr>
              <w:autoSpaceDE w:val="0"/>
              <w:autoSpaceDN w:val="0"/>
              <w:adjustRightInd w:val="0"/>
              <w:snapToGrid w:val="0"/>
              <w:spacing w:line="430" w:lineRule="atLeast"/>
              <w:jc w:val="center"/>
              <w:rPr>
                <w:rFonts w:cs="Courier New"/>
                <w:lang w:val="zh-CN"/>
              </w:rPr>
            </w:pPr>
            <w:r>
              <w:rPr>
                <w:rFonts w:hint="eastAsia" w:cs="Courier New"/>
                <w:lang w:val="zh-CN"/>
              </w:rPr>
              <w:t>5</w:t>
            </w:r>
          </w:p>
        </w:tc>
        <w:tc>
          <w:tcPr>
            <w:tcW w:w="9539" w:type="dxa"/>
          </w:tcPr>
          <w:p>
            <w:pPr>
              <w:autoSpaceDE w:val="0"/>
              <w:autoSpaceDN w:val="0"/>
              <w:adjustRightInd w:val="0"/>
              <w:snapToGrid w:val="0"/>
              <w:spacing w:line="430" w:lineRule="atLeast"/>
              <w:rPr>
                <w:rFonts w:cs="Courier New"/>
              </w:rPr>
            </w:pPr>
            <w:r>
              <w:rPr>
                <w:rFonts w:hint="eastAsia" w:cs="Courier New"/>
              </w:rPr>
              <w:t>投标供应商“信用中国”(www.creditchina.gov.cn)；“中国政府采购网”（www.ccgp.gov.cn/）信用记录查询网页截图（招标公告发布之日至投标截止时间前）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780" w:type="dxa"/>
            <w:vAlign w:val="center"/>
          </w:tcPr>
          <w:p>
            <w:pPr>
              <w:autoSpaceDE w:val="0"/>
              <w:autoSpaceDN w:val="0"/>
              <w:adjustRightInd w:val="0"/>
              <w:snapToGrid w:val="0"/>
              <w:spacing w:line="430" w:lineRule="atLeast"/>
              <w:jc w:val="center"/>
              <w:rPr>
                <w:rFonts w:cs="Courier New"/>
              </w:rPr>
            </w:pPr>
            <w:r>
              <w:rPr>
                <w:rFonts w:hint="eastAsia" w:cs="Courier New"/>
              </w:rPr>
              <w:t>6</w:t>
            </w:r>
          </w:p>
        </w:tc>
        <w:tc>
          <w:tcPr>
            <w:tcW w:w="9539" w:type="dxa"/>
          </w:tcPr>
          <w:p>
            <w:pPr>
              <w:autoSpaceDE w:val="0"/>
              <w:autoSpaceDN w:val="0"/>
              <w:adjustRightInd w:val="0"/>
              <w:snapToGrid w:val="0"/>
              <w:spacing w:line="430" w:lineRule="atLeast"/>
              <w:rPr>
                <w:rFonts w:cs="Courier New"/>
              </w:rPr>
            </w:pPr>
            <w:r>
              <w:rPr>
                <w:rFonts w:hint="eastAsia"/>
              </w:rPr>
              <w:t>供应商参与政府采购活动投标资格声明函（附件八（一））；诚信投标承诺书（附件八（二））；无重大违法记录声明书（附件八（三））；与参加本次项目同一合同项下政府采购活动的其他供应商不存在单位负责人为同一人或者直接控股、管理关系的承诺函（附件八（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80" w:type="dxa"/>
            <w:vAlign w:val="center"/>
          </w:tcPr>
          <w:p>
            <w:pPr>
              <w:autoSpaceDE w:val="0"/>
              <w:autoSpaceDN w:val="0"/>
              <w:adjustRightInd w:val="0"/>
              <w:snapToGrid w:val="0"/>
              <w:spacing w:line="430" w:lineRule="atLeast"/>
              <w:jc w:val="center"/>
              <w:rPr>
                <w:rFonts w:cs="Courier New"/>
              </w:rPr>
            </w:pPr>
            <w:r>
              <w:rPr>
                <w:rFonts w:hint="eastAsia" w:cs="Courier New"/>
              </w:rPr>
              <w:t>8</w:t>
            </w:r>
          </w:p>
        </w:tc>
        <w:tc>
          <w:tcPr>
            <w:tcW w:w="9539" w:type="dxa"/>
          </w:tcPr>
          <w:p>
            <w:pPr>
              <w:autoSpaceDE w:val="0"/>
              <w:autoSpaceDN w:val="0"/>
              <w:adjustRightInd w:val="0"/>
              <w:snapToGrid w:val="0"/>
              <w:spacing w:line="430" w:lineRule="atLeast"/>
              <w:rPr>
                <w:rFonts w:cs="Arial"/>
                <w:color w:val="000000"/>
              </w:rPr>
            </w:pPr>
            <w:r>
              <w:rPr>
                <w:rFonts w:hint="eastAsia" w:cs="Arial"/>
                <w:color w:val="000000"/>
              </w:rPr>
              <w:t>联合体协议书(如磋商文件允许则提供）（附件（九））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80" w:type="dxa"/>
            <w:vAlign w:val="center"/>
          </w:tcPr>
          <w:p>
            <w:pPr>
              <w:autoSpaceDE w:val="0"/>
              <w:autoSpaceDN w:val="0"/>
              <w:adjustRightInd w:val="0"/>
              <w:snapToGrid w:val="0"/>
              <w:spacing w:line="430" w:lineRule="atLeast"/>
              <w:jc w:val="center"/>
              <w:rPr>
                <w:rFonts w:hint="eastAsia" w:eastAsia="宋体" w:cs="Courier New"/>
                <w:lang w:val="en-US" w:eastAsia="zh-CN"/>
              </w:rPr>
            </w:pPr>
            <w:r>
              <w:rPr>
                <w:rFonts w:hint="eastAsia" w:cs="Courier New"/>
                <w:lang w:val="en-US" w:eastAsia="zh-CN"/>
              </w:rPr>
              <w:t>9</w:t>
            </w:r>
          </w:p>
        </w:tc>
        <w:tc>
          <w:tcPr>
            <w:tcW w:w="9539" w:type="dxa"/>
          </w:tcPr>
          <w:p>
            <w:pPr>
              <w:autoSpaceDE w:val="0"/>
              <w:autoSpaceDN w:val="0"/>
              <w:adjustRightInd w:val="0"/>
              <w:snapToGrid w:val="0"/>
              <w:spacing w:line="430" w:lineRule="atLeast"/>
              <w:rPr>
                <w:rFonts w:hint="eastAsia" w:cs="Arial"/>
                <w:color w:val="000000"/>
              </w:rPr>
            </w:pPr>
            <w:r>
              <w:rPr>
                <w:rFonts w:hint="eastAsia" w:ascii="宋体" w:hAnsi="宋体" w:cs="Arial"/>
                <w:color w:val="000000"/>
                <w:sz w:val="22"/>
              </w:rPr>
              <w:t>中小企业声明函（如是）,监狱企业证明文件（如是）（由相关部门出具）,残疾人福利性单位声明函（如是）</w:t>
            </w:r>
            <w:r>
              <w:rPr>
                <w:rFonts w:hint="eastAsia" w:cs="Arial"/>
                <w:color w:val="000000"/>
                <w:sz w:val="22"/>
                <w:lang w:eastAsia="zh-CN"/>
              </w:rPr>
              <w:t>（附件（七））</w:t>
            </w:r>
            <w:r>
              <w:rPr>
                <w:rFonts w:hint="eastAsia" w:ascii="宋体" w:hAnsi="宋体"/>
                <w:b/>
                <w:bCs w:val="0"/>
                <w:color w:val="000000"/>
                <w:sz w:val="22"/>
                <w:u w:val="none"/>
              </w:rPr>
              <w:t>▲</w:t>
            </w:r>
            <w:r>
              <w:rPr>
                <w:rFonts w:hint="eastAsia"/>
                <w:b/>
                <w:bCs w:val="0"/>
                <w:lang w:val="en-US" w:eastAsia="zh-CN"/>
              </w:rPr>
              <w:t>本项目为面向中小企业采购的项目，供应商须为中小企业。</w:t>
            </w:r>
          </w:p>
        </w:tc>
      </w:tr>
    </w:tbl>
    <w:p>
      <w:pPr>
        <w:autoSpaceDE w:val="0"/>
        <w:autoSpaceDN w:val="0"/>
        <w:adjustRightInd w:val="0"/>
        <w:snapToGrid w:val="0"/>
        <w:rPr>
          <w:b/>
          <w:lang w:val="zh-CN"/>
        </w:rPr>
      </w:pPr>
    </w:p>
    <w:p>
      <w:pPr>
        <w:autoSpaceDE w:val="0"/>
        <w:autoSpaceDN w:val="0"/>
        <w:adjustRightInd w:val="0"/>
        <w:snapToGrid w:val="0"/>
        <w:ind w:firstLine="442" w:firstLineChars="200"/>
        <w:rPr>
          <w:b/>
          <w:lang w:val="zh-CN"/>
        </w:rPr>
      </w:pPr>
      <w:r>
        <w:rPr>
          <w:rFonts w:hint="eastAsia"/>
          <w:b/>
          <w:lang w:val="zh-CN"/>
        </w:rPr>
        <w:t>2.</w:t>
      </w:r>
      <w:r>
        <w:rPr>
          <w:rFonts w:hint="eastAsia"/>
          <w:b/>
        </w:rPr>
        <w:t>2</w:t>
      </w:r>
      <w:r>
        <w:rPr>
          <w:rFonts w:hint="eastAsia"/>
          <w:b/>
          <w:lang w:val="zh-CN"/>
        </w:rPr>
        <w:t>、</w:t>
      </w:r>
      <w:r>
        <w:rPr>
          <w:rFonts w:hint="eastAsia"/>
          <w:b/>
          <w:u w:val="single"/>
          <w:lang w:val="zh-CN"/>
        </w:rPr>
        <w:t>商务</w:t>
      </w:r>
      <w:r>
        <w:rPr>
          <w:rFonts w:hint="eastAsia"/>
          <w:b/>
          <w:u w:val="single"/>
        </w:rPr>
        <w:t>报价文件</w:t>
      </w:r>
      <w:r>
        <w:rPr>
          <w:rFonts w:hint="eastAsia"/>
          <w:b/>
          <w:u w:val="single"/>
          <w:lang w:val="zh-CN"/>
        </w:rPr>
        <w:t>组成</w:t>
      </w:r>
    </w:p>
    <w:tbl>
      <w:tblPr>
        <w:tblStyle w:val="29"/>
        <w:tblW w:w="10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9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5" w:type="dxa"/>
            <w:vAlign w:val="center"/>
          </w:tcPr>
          <w:p>
            <w:pPr>
              <w:autoSpaceDE w:val="0"/>
              <w:autoSpaceDN w:val="0"/>
              <w:adjustRightInd w:val="0"/>
              <w:snapToGrid w:val="0"/>
              <w:spacing w:line="430" w:lineRule="atLeast"/>
              <w:jc w:val="center"/>
              <w:rPr>
                <w:lang w:val="zh-CN"/>
              </w:rPr>
            </w:pPr>
            <w:r>
              <w:rPr>
                <w:rFonts w:hint="eastAsia"/>
                <w:lang w:val="zh-CN"/>
              </w:rPr>
              <w:t>序号</w:t>
            </w:r>
          </w:p>
        </w:tc>
        <w:tc>
          <w:tcPr>
            <w:tcW w:w="9404" w:type="dxa"/>
          </w:tcPr>
          <w:p>
            <w:pPr>
              <w:autoSpaceDE w:val="0"/>
              <w:autoSpaceDN w:val="0"/>
              <w:adjustRightInd w:val="0"/>
              <w:snapToGrid w:val="0"/>
              <w:spacing w:line="430" w:lineRule="atLeast"/>
              <w:rPr>
                <w:bCs/>
                <w:szCs w:val="21"/>
                <w:lang w:val="zh-CN"/>
              </w:rPr>
            </w:pPr>
            <w:r>
              <w:rPr>
                <w:rFonts w:hint="eastAsia"/>
                <w:lang w:val="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5" w:type="dxa"/>
            <w:vAlign w:val="center"/>
          </w:tcPr>
          <w:p>
            <w:pPr>
              <w:autoSpaceDE w:val="0"/>
              <w:autoSpaceDN w:val="0"/>
              <w:adjustRightInd w:val="0"/>
              <w:snapToGrid w:val="0"/>
              <w:spacing w:line="430" w:lineRule="atLeast"/>
              <w:jc w:val="center"/>
              <w:rPr>
                <w:lang w:val="zh-CN"/>
              </w:rPr>
            </w:pPr>
            <w:r>
              <w:t>1</w:t>
            </w:r>
          </w:p>
        </w:tc>
        <w:tc>
          <w:tcPr>
            <w:tcW w:w="9404" w:type="dxa"/>
          </w:tcPr>
          <w:p>
            <w:pPr>
              <w:autoSpaceDE w:val="0"/>
              <w:autoSpaceDN w:val="0"/>
              <w:adjustRightInd w:val="0"/>
              <w:spacing w:line="430" w:lineRule="atLeast"/>
              <w:textAlignment w:val="bottom"/>
            </w:pPr>
            <w:r>
              <w:rPr>
                <w:rFonts w:hint="eastAsia"/>
              </w:rPr>
              <w:t>开标一览表（附件一）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35" w:type="dxa"/>
            <w:vAlign w:val="center"/>
          </w:tcPr>
          <w:p>
            <w:pPr>
              <w:autoSpaceDE w:val="0"/>
              <w:autoSpaceDN w:val="0"/>
              <w:adjustRightInd w:val="0"/>
              <w:snapToGrid w:val="0"/>
              <w:spacing w:line="430" w:lineRule="atLeast"/>
              <w:jc w:val="center"/>
            </w:pPr>
            <w:r>
              <w:rPr>
                <w:rFonts w:hint="eastAsia"/>
              </w:rPr>
              <w:t>2</w:t>
            </w:r>
          </w:p>
        </w:tc>
        <w:tc>
          <w:tcPr>
            <w:tcW w:w="9404" w:type="dxa"/>
          </w:tcPr>
          <w:p>
            <w:pPr>
              <w:autoSpaceDE w:val="0"/>
              <w:autoSpaceDN w:val="0"/>
              <w:adjustRightInd w:val="0"/>
              <w:spacing w:line="430" w:lineRule="atLeast"/>
              <w:textAlignment w:val="bottom"/>
            </w:pPr>
            <w:r>
              <w:rPr>
                <w:rFonts w:hint="eastAsia"/>
              </w:rPr>
              <w:t>报价组成与分析表（附件一（二））</w:t>
            </w:r>
          </w:p>
        </w:tc>
      </w:tr>
    </w:tbl>
    <w:p>
      <w:pPr>
        <w:autoSpaceDE w:val="0"/>
        <w:autoSpaceDN w:val="0"/>
        <w:adjustRightInd w:val="0"/>
        <w:snapToGrid w:val="0"/>
        <w:ind w:firstLine="440" w:firstLineChars="200"/>
        <w:textAlignment w:val="bottom"/>
      </w:pPr>
    </w:p>
    <w:p>
      <w:pPr>
        <w:autoSpaceDE w:val="0"/>
        <w:autoSpaceDN w:val="0"/>
        <w:adjustRightInd w:val="0"/>
        <w:snapToGrid w:val="0"/>
        <w:ind w:firstLine="442" w:firstLineChars="200"/>
        <w:textAlignment w:val="bottom"/>
        <w:rPr>
          <w:b/>
          <w:u w:val="single"/>
        </w:rPr>
      </w:pPr>
      <w:r>
        <w:rPr>
          <w:rFonts w:hint="eastAsia"/>
          <w:b/>
          <w:u w:val="single"/>
        </w:rPr>
        <w:t>2.3、技术资信文件组成</w:t>
      </w:r>
    </w:p>
    <w:tbl>
      <w:tblPr>
        <w:tblStyle w:val="29"/>
        <w:tblW w:w="101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9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6" w:type="dxa"/>
          </w:tcPr>
          <w:p>
            <w:pPr>
              <w:autoSpaceDE w:val="0"/>
              <w:autoSpaceDN w:val="0"/>
              <w:adjustRightInd w:val="0"/>
              <w:snapToGrid w:val="0"/>
              <w:spacing w:line="430" w:lineRule="atLeast"/>
              <w:rPr>
                <w:lang w:val="zh-CN"/>
              </w:rPr>
            </w:pPr>
            <w:r>
              <w:rPr>
                <w:rFonts w:hint="eastAsia"/>
                <w:lang w:val="zh-CN"/>
              </w:rPr>
              <w:t>序号</w:t>
            </w:r>
          </w:p>
        </w:tc>
        <w:tc>
          <w:tcPr>
            <w:tcW w:w="9243" w:type="dxa"/>
          </w:tcPr>
          <w:p>
            <w:pPr>
              <w:autoSpaceDE w:val="0"/>
              <w:autoSpaceDN w:val="0"/>
              <w:adjustRightInd w:val="0"/>
              <w:snapToGrid w:val="0"/>
              <w:spacing w:line="430" w:lineRule="atLeast"/>
              <w:rPr>
                <w:lang w:val="zh-CN"/>
              </w:rPr>
            </w:pPr>
            <w:r>
              <w:rPr>
                <w:rFonts w:hint="eastAsia"/>
                <w:lang w:val="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6" w:type="dxa"/>
            <w:vAlign w:val="center"/>
          </w:tcPr>
          <w:p>
            <w:pPr>
              <w:autoSpaceDE w:val="0"/>
              <w:autoSpaceDN w:val="0"/>
              <w:adjustRightInd w:val="0"/>
              <w:snapToGrid w:val="0"/>
              <w:spacing w:line="430" w:lineRule="atLeast"/>
              <w:jc w:val="center"/>
              <w:rPr>
                <w:lang w:val="zh-CN"/>
              </w:rPr>
            </w:pPr>
            <w:r>
              <w:t>1</w:t>
            </w:r>
          </w:p>
        </w:tc>
        <w:tc>
          <w:tcPr>
            <w:tcW w:w="9243" w:type="dxa"/>
          </w:tcPr>
          <w:p>
            <w:pPr>
              <w:autoSpaceDE w:val="0"/>
              <w:autoSpaceDN w:val="0"/>
              <w:adjustRightInd w:val="0"/>
              <w:spacing w:line="430" w:lineRule="atLeast"/>
              <w:textAlignment w:val="bottom"/>
              <w:rPr>
                <w:rFonts w:cs="Arial"/>
                <w:color w:val="000000"/>
                <w:lang w:val="zh-CN"/>
              </w:rPr>
            </w:pPr>
            <w:r>
              <w:rPr>
                <w:rFonts w:hint="eastAsia" w:cs="Arial"/>
                <w:color w:val="000000"/>
              </w:rPr>
              <w:t>评审索引（附件A)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6" w:type="dxa"/>
            <w:vAlign w:val="center"/>
          </w:tcPr>
          <w:p>
            <w:pPr>
              <w:autoSpaceDE w:val="0"/>
              <w:autoSpaceDN w:val="0"/>
              <w:adjustRightInd w:val="0"/>
              <w:snapToGrid w:val="0"/>
              <w:spacing w:line="430" w:lineRule="atLeast"/>
              <w:jc w:val="center"/>
            </w:pPr>
            <w:r>
              <w:rPr>
                <w:rFonts w:hint="eastAsia"/>
              </w:rPr>
              <w:t>2</w:t>
            </w:r>
          </w:p>
        </w:tc>
        <w:tc>
          <w:tcPr>
            <w:tcW w:w="9243" w:type="dxa"/>
          </w:tcPr>
          <w:p>
            <w:pPr>
              <w:autoSpaceDE w:val="0"/>
              <w:autoSpaceDN w:val="0"/>
              <w:adjustRightInd w:val="0"/>
              <w:spacing w:line="430" w:lineRule="atLeast"/>
              <w:textAlignment w:val="bottom"/>
              <w:rPr>
                <w:rFonts w:cs="Arial"/>
                <w:color w:val="000000"/>
              </w:rPr>
            </w:pPr>
            <w:r>
              <w:rPr>
                <w:rFonts w:hint="eastAsia" w:cs="Arial"/>
                <w:color w:val="000000"/>
              </w:rPr>
              <w:t>磋商响应函（附件二）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896" w:type="dxa"/>
            <w:vAlign w:val="center"/>
          </w:tcPr>
          <w:p>
            <w:pPr>
              <w:autoSpaceDE w:val="0"/>
              <w:autoSpaceDN w:val="0"/>
              <w:adjustRightInd w:val="0"/>
              <w:snapToGrid w:val="0"/>
              <w:spacing w:line="430" w:lineRule="atLeast"/>
              <w:jc w:val="center"/>
              <w:rPr>
                <w:lang w:val="zh-CN"/>
              </w:rPr>
            </w:pPr>
            <w:r>
              <w:rPr>
                <w:rFonts w:hint="eastAsia"/>
              </w:rPr>
              <w:t>3</w:t>
            </w:r>
          </w:p>
        </w:tc>
        <w:tc>
          <w:tcPr>
            <w:tcW w:w="9243" w:type="dxa"/>
          </w:tcPr>
          <w:p>
            <w:pPr>
              <w:autoSpaceDE w:val="0"/>
              <w:autoSpaceDN w:val="0"/>
              <w:adjustRightInd w:val="0"/>
              <w:spacing w:line="430" w:lineRule="atLeast"/>
              <w:textAlignment w:val="bottom"/>
              <w:rPr>
                <w:rFonts w:cs="Arial"/>
                <w:color w:val="000000"/>
              </w:rPr>
            </w:pPr>
            <w:r>
              <w:rPr>
                <w:rFonts w:hint="eastAsia" w:cs="Arial"/>
                <w:color w:val="000000"/>
              </w:rPr>
              <w:t>供应商法定代表人（负责人）、法定代表人授权书、供应商情况声明（附件三（一）（二）（三））；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896" w:type="dxa"/>
            <w:vAlign w:val="center"/>
          </w:tcPr>
          <w:p>
            <w:pPr>
              <w:autoSpaceDE w:val="0"/>
              <w:autoSpaceDN w:val="0"/>
              <w:adjustRightInd w:val="0"/>
              <w:snapToGrid w:val="0"/>
              <w:spacing w:line="430" w:lineRule="atLeast"/>
              <w:jc w:val="center"/>
              <w:rPr>
                <w:rFonts w:cs="Courier New"/>
              </w:rPr>
            </w:pPr>
            <w:r>
              <w:rPr>
                <w:rFonts w:hint="eastAsia" w:cs="Courier New"/>
              </w:rPr>
              <w:t>4</w:t>
            </w:r>
          </w:p>
        </w:tc>
        <w:tc>
          <w:tcPr>
            <w:tcW w:w="9243" w:type="dxa"/>
          </w:tcPr>
          <w:p>
            <w:pPr>
              <w:autoSpaceDE w:val="0"/>
              <w:autoSpaceDN w:val="0"/>
              <w:adjustRightInd w:val="0"/>
              <w:spacing w:line="430" w:lineRule="atLeast"/>
              <w:textAlignment w:val="bottom"/>
              <w:rPr>
                <w:rFonts w:cs="Arial"/>
                <w:color w:val="000000"/>
              </w:rPr>
            </w:pPr>
            <w:r>
              <w:rPr>
                <w:rFonts w:hint="eastAsia" w:cs="Arial"/>
                <w:color w:val="000000"/>
              </w:rPr>
              <w:t>供应商的营业执照、税务登记证（如为多证合一仅需提供营业执照）（复印件加盖有效公章）；投标供应商相关投标产品的质量体系认证证书、荣誉证书、其他相关资质证书等（如有则提供，复印件加盖有效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6" w:type="dxa"/>
            <w:vAlign w:val="center"/>
          </w:tcPr>
          <w:p>
            <w:pPr>
              <w:autoSpaceDE w:val="0"/>
              <w:autoSpaceDN w:val="0"/>
              <w:adjustRightInd w:val="0"/>
              <w:snapToGrid w:val="0"/>
              <w:spacing w:line="430" w:lineRule="atLeast"/>
              <w:jc w:val="center"/>
              <w:rPr>
                <w:rFonts w:cs="Courier New"/>
              </w:rPr>
            </w:pPr>
            <w:r>
              <w:rPr>
                <w:rFonts w:hint="eastAsia" w:cs="Courier New"/>
              </w:rPr>
              <w:t>5</w:t>
            </w:r>
          </w:p>
        </w:tc>
        <w:tc>
          <w:tcPr>
            <w:tcW w:w="9243" w:type="dxa"/>
          </w:tcPr>
          <w:p>
            <w:pPr>
              <w:autoSpaceDE w:val="0"/>
              <w:autoSpaceDN w:val="0"/>
              <w:adjustRightInd w:val="0"/>
              <w:spacing w:line="430" w:lineRule="atLeast"/>
              <w:textAlignment w:val="bottom"/>
              <w:rPr>
                <w:rFonts w:cs="Arial"/>
                <w:color w:val="000000"/>
              </w:rPr>
            </w:pPr>
            <w:r>
              <w:rPr>
                <w:rFonts w:hint="eastAsia" w:cs="Arial"/>
                <w:color w:val="000000"/>
              </w:rPr>
              <w:t>商务、技术偏离表（附件四）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6" w:type="dxa"/>
            <w:vAlign w:val="center"/>
          </w:tcPr>
          <w:p>
            <w:pPr>
              <w:autoSpaceDE w:val="0"/>
              <w:autoSpaceDN w:val="0"/>
              <w:adjustRightInd w:val="0"/>
              <w:snapToGrid w:val="0"/>
              <w:spacing w:line="430" w:lineRule="atLeast"/>
              <w:jc w:val="center"/>
              <w:rPr>
                <w:rFonts w:cs="Courier New"/>
              </w:rPr>
            </w:pPr>
            <w:r>
              <w:rPr>
                <w:rFonts w:hint="eastAsia" w:cs="Courier New"/>
              </w:rPr>
              <w:t>6</w:t>
            </w:r>
          </w:p>
        </w:tc>
        <w:tc>
          <w:tcPr>
            <w:tcW w:w="9243" w:type="dxa"/>
          </w:tcPr>
          <w:p>
            <w:pPr>
              <w:autoSpaceDE w:val="0"/>
              <w:autoSpaceDN w:val="0"/>
              <w:adjustRightInd w:val="0"/>
              <w:spacing w:line="430" w:lineRule="atLeast"/>
              <w:textAlignment w:val="bottom"/>
              <w:rPr>
                <w:rFonts w:cs="Arial"/>
                <w:color w:val="000000"/>
              </w:rPr>
            </w:pPr>
            <w:r>
              <w:rPr>
                <w:rFonts w:hint="eastAsia" w:cs="Arial"/>
                <w:color w:val="000000"/>
              </w:rPr>
              <w:t>拟派项目负责人情况表、项目小组人员情况表（附件五）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6" w:type="dxa"/>
            <w:vAlign w:val="center"/>
          </w:tcPr>
          <w:p>
            <w:pPr>
              <w:autoSpaceDE w:val="0"/>
              <w:autoSpaceDN w:val="0"/>
              <w:adjustRightInd w:val="0"/>
              <w:snapToGrid w:val="0"/>
              <w:spacing w:line="430" w:lineRule="atLeast"/>
              <w:jc w:val="center"/>
            </w:pPr>
            <w:r>
              <w:rPr>
                <w:rFonts w:hint="eastAsia" w:cs="Courier New"/>
              </w:rPr>
              <w:t>7</w:t>
            </w:r>
          </w:p>
        </w:tc>
        <w:tc>
          <w:tcPr>
            <w:tcW w:w="9243" w:type="dxa"/>
          </w:tcPr>
          <w:p>
            <w:pPr>
              <w:autoSpaceDE w:val="0"/>
              <w:autoSpaceDN w:val="0"/>
              <w:adjustRightInd w:val="0"/>
              <w:spacing w:line="430" w:lineRule="atLeast"/>
              <w:textAlignment w:val="bottom"/>
              <w:rPr>
                <w:rFonts w:cs="Arial"/>
                <w:color w:val="000000"/>
              </w:rPr>
            </w:pPr>
            <w:r>
              <w:rPr>
                <w:rFonts w:hint="eastAsia" w:cs="Arial"/>
                <w:color w:val="000000"/>
              </w:rPr>
              <w:t>投标供应商业绩（附件六，如有则提供）（表后附相关证明材料复印件加盖有效公章）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96" w:type="dxa"/>
            <w:vAlign w:val="center"/>
          </w:tcPr>
          <w:p>
            <w:pPr>
              <w:autoSpaceDE w:val="0"/>
              <w:autoSpaceDN w:val="0"/>
              <w:adjustRightInd w:val="0"/>
              <w:snapToGrid w:val="0"/>
              <w:spacing w:line="430" w:lineRule="atLeast"/>
              <w:jc w:val="center"/>
            </w:pPr>
            <w:r>
              <w:rPr>
                <w:rFonts w:hint="eastAsia"/>
              </w:rPr>
              <w:t>8</w:t>
            </w:r>
          </w:p>
        </w:tc>
        <w:tc>
          <w:tcPr>
            <w:tcW w:w="9243" w:type="dxa"/>
          </w:tcPr>
          <w:p>
            <w:pPr>
              <w:autoSpaceDE w:val="0"/>
              <w:autoSpaceDN w:val="0"/>
              <w:adjustRightInd w:val="0"/>
              <w:spacing w:line="430" w:lineRule="atLeast"/>
              <w:textAlignment w:val="bottom"/>
              <w:rPr>
                <w:rFonts w:cs="Arial"/>
                <w:color w:val="000000"/>
              </w:rPr>
            </w:pPr>
            <w:r>
              <w:rPr>
                <w:rFonts w:hint="eastAsia" w:cs="Arial"/>
                <w:color w:val="000000"/>
              </w:rPr>
              <w:t>根据招标文件中的采购内容与技术要求、评标细则，需要提供的其它文件和资料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0139" w:type="dxa"/>
            <w:gridSpan w:val="2"/>
          </w:tcPr>
          <w:p>
            <w:pPr>
              <w:autoSpaceDE w:val="0"/>
              <w:autoSpaceDN w:val="0"/>
              <w:adjustRightInd w:val="0"/>
              <w:snapToGrid w:val="0"/>
              <w:spacing w:line="430" w:lineRule="atLeast"/>
            </w:pPr>
            <w:r>
              <w:rPr>
                <w:rFonts w:hint="eastAsia"/>
              </w:rPr>
              <w:t>建议投标供应商针对评分细则，编制目录索引，注明评标细则项目所在投标文件页码。</w:t>
            </w:r>
          </w:p>
        </w:tc>
      </w:tr>
    </w:tbl>
    <w:p>
      <w:pPr>
        <w:autoSpaceDE w:val="0"/>
        <w:autoSpaceDN w:val="0"/>
        <w:adjustRightInd w:val="0"/>
        <w:snapToGrid w:val="0"/>
        <w:spacing w:line="454" w:lineRule="atLeast"/>
        <w:textAlignment w:val="bottom"/>
        <w:rPr>
          <w:rFonts w:cs="Arial"/>
          <w:color w:val="000000"/>
        </w:rPr>
      </w:pPr>
    </w:p>
    <w:bookmarkEnd w:id="3"/>
    <w:p>
      <w:pPr>
        <w:autoSpaceDE w:val="0"/>
        <w:autoSpaceDN w:val="0"/>
        <w:adjustRightInd w:val="0"/>
        <w:snapToGrid w:val="0"/>
        <w:spacing w:line="430" w:lineRule="exact"/>
        <w:ind w:firstLine="440" w:firstLineChars="200"/>
        <w:textAlignment w:val="bottom"/>
        <w:rPr>
          <w:rFonts w:cs="Arial"/>
        </w:rPr>
      </w:pPr>
      <w:r>
        <w:rPr>
          <w:rFonts w:hint="eastAsia" w:cs="Arial"/>
        </w:rPr>
        <w:t>3、磋商响应内容填写说明</w:t>
      </w:r>
    </w:p>
    <w:p>
      <w:pPr>
        <w:autoSpaceDE w:val="0"/>
        <w:autoSpaceDN w:val="0"/>
        <w:adjustRightInd w:val="0"/>
        <w:snapToGrid w:val="0"/>
        <w:spacing w:line="430" w:lineRule="exact"/>
        <w:ind w:firstLine="440" w:firstLineChars="200"/>
        <w:textAlignment w:val="bottom"/>
        <w:rPr>
          <w:rFonts w:cs="Arial"/>
        </w:rPr>
      </w:pPr>
      <w:r>
        <w:rPr>
          <w:rFonts w:hint="eastAsia" w:cs="Arial"/>
        </w:rPr>
        <w:t>3.1 磋商响应文件格式</w:t>
      </w:r>
    </w:p>
    <w:p>
      <w:pPr>
        <w:pStyle w:val="22"/>
        <w:adjustRightInd w:val="0"/>
        <w:spacing w:line="430" w:lineRule="exact"/>
        <w:ind w:firstLine="440"/>
        <w:rPr>
          <w:rFonts w:eastAsia="宋体"/>
          <w:sz w:val="22"/>
        </w:rPr>
      </w:pPr>
      <w:r>
        <w:rPr>
          <w:rFonts w:hint="eastAsia" w:eastAsia="宋体"/>
          <w:sz w:val="22"/>
        </w:rPr>
        <w:t>供应商应按照第2条所列出的内容及格式逐一组成电子磋商响应文件。</w:t>
      </w:r>
    </w:p>
    <w:p>
      <w:pPr>
        <w:autoSpaceDE w:val="0"/>
        <w:autoSpaceDN w:val="0"/>
        <w:adjustRightInd w:val="0"/>
        <w:snapToGrid w:val="0"/>
        <w:spacing w:line="430" w:lineRule="exact"/>
        <w:textAlignment w:val="bottom"/>
        <w:rPr>
          <w:rFonts w:cs="Arial"/>
        </w:rPr>
      </w:pPr>
      <w:r>
        <w:rPr>
          <w:rFonts w:hint="eastAsia" w:cs="Arial"/>
        </w:rPr>
        <w:t xml:space="preserve">    </w:t>
      </w:r>
      <w:bookmarkStart w:id="4" w:name="_Toc132122115"/>
      <w:bookmarkStart w:id="5" w:name="_Toc132122412"/>
      <w:r>
        <w:rPr>
          <w:rFonts w:hint="eastAsia" w:cs="Arial"/>
        </w:rPr>
        <w:t>4、磋商响应报价</w:t>
      </w:r>
      <w:bookmarkEnd w:id="4"/>
      <w:bookmarkEnd w:id="5"/>
    </w:p>
    <w:p>
      <w:pPr>
        <w:autoSpaceDE w:val="0"/>
        <w:autoSpaceDN w:val="0"/>
        <w:adjustRightInd w:val="0"/>
        <w:snapToGrid w:val="0"/>
        <w:spacing w:line="430" w:lineRule="exact"/>
        <w:textAlignment w:val="bottom"/>
        <w:rPr>
          <w:rFonts w:cs="Arial"/>
        </w:rPr>
      </w:pPr>
      <w:r>
        <w:rPr>
          <w:rFonts w:hint="eastAsia" w:cs="Arial"/>
        </w:rPr>
        <w:t xml:space="preserve">    </w:t>
      </w:r>
      <w:r>
        <w:rPr>
          <w:rFonts w:hint="eastAsia" w:cs="Arial"/>
          <w:color w:val="000000"/>
        </w:rPr>
        <w:t xml:space="preserve">4.1 </w:t>
      </w:r>
      <w:r>
        <w:rPr>
          <w:rFonts w:hint="eastAsia" w:cs="Arial"/>
        </w:rPr>
        <w:t>供应商应按磋商文件中</w:t>
      </w:r>
      <w:r>
        <w:rPr>
          <w:rFonts w:hint="eastAsia" w:cs="Arial"/>
          <w:color w:val="000000"/>
        </w:rPr>
        <w:t>分项报价表</w:t>
      </w:r>
      <w:r>
        <w:rPr>
          <w:rFonts w:hint="eastAsia"/>
        </w:rPr>
        <w:t>（附件一（二））（如有）</w:t>
      </w:r>
      <w:r>
        <w:rPr>
          <w:rFonts w:hint="eastAsia" w:cs="Arial"/>
          <w:color w:val="000000"/>
        </w:rPr>
        <w:t>填写磋商响应货物（或服务）数量、价格。</w:t>
      </w:r>
    </w:p>
    <w:p>
      <w:pPr>
        <w:autoSpaceDE w:val="0"/>
        <w:autoSpaceDN w:val="0"/>
        <w:adjustRightInd w:val="0"/>
        <w:snapToGrid w:val="0"/>
        <w:spacing w:line="430" w:lineRule="exact"/>
        <w:ind w:firstLine="440" w:firstLineChars="200"/>
        <w:textAlignment w:val="bottom"/>
      </w:pPr>
      <w:r>
        <w:rPr>
          <w:rFonts w:hint="eastAsia" w:cs="Arial"/>
          <w:bCs/>
        </w:rPr>
        <w:t xml:space="preserve">4.2 </w:t>
      </w:r>
      <w:r>
        <w:rPr>
          <w:rFonts w:hint="eastAsia"/>
        </w:rPr>
        <w:t>本次采购报价为到货并送到最终用户调试验收合格后的全部费用。供应商应在各自技术和商务占优势的基础上并充分考虑本项目的重要性，提供对采购人最优惠的报价。</w:t>
      </w:r>
    </w:p>
    <w:p>
      <w:pPr>
        <w:tabs>
          <w:tab w:val="left" w:pos="1025"/>
        </w:tabs>
        <w:adjustRightInd w:val="0"/>
        <w:snapToGrid w:val="0"/>
        <w:spacing w:line="434" w:lineRule="atLeast"/>
        <w:ind w:firstLine="440" w:firstLineChars="200"/>
        <w:rPr>
          <w:rFonts w:cs="Arial"/>
        </w:rPr>
      </w:pPr>
      <w:r>
        <w:rPr>
          <w:rFonts w:hint="eastAsia" w:cs="Arial"/>
        </w:rPr>
        <w:t>4.3 磋商响应报价应包含以下费用：</w:t>
      </w:r>
    </w:p>
    <w:p>
      <w:pPr>
        <w:tabs>
          <w:tab w:val="left" w:pos="1025"/>
        </w:tabs>
        <w:adjustRightInd w:val="0"/>
        <w:snapToGrid w:val="0"/>
        <w:spacing w:line="434" w:lineRule="atLeast"/>
        <w:ind w:firstLine="440" w:firstLineChars="200"/>
      </w:pPr>
      <w:r>
        <w:rPr>
          <w:rFonts w:hint="eastAsia"/>
        </w:rPr>
        <w:t>4.3.1 项目服务价格</w:t>
      </w:r>
    </w:p>
    <w:p>
      <w:pPr>
        <w:tabs>
          <w:tab w:val="left" w:pos="1025"/>
        </w:tabs>
        <w:adjustRightInd w:val="0"/>
        <w:snapToGrid w:val="0"/>
        <w:spacing w:line="434" w:lineRule="atLeast"/>
        <w:ind w:firstLine="440" w:firstLineChars="200"/>
      </w:pPr>
      <w:r>
        <w:rPr>
          <w:rFonts w:hint="eastAsia"/>
        </w:rPr>
        <w:t>4.3.2 关税、增值税等其它税（包括产品报关、商检等），须将税费及税率单列</w:t>
      </w:r>
    </w:p>
    <w:p>
      <w:pPr>
        <w:tabs>
          <w:tab w:val="left" w:pos="1025"/>
        </w:tabs>
        <w:adjustRightInd w:val="0"/>
        <w:snapToGrid w:val="0"/>
        <w:spacing w:line="434" w:lineRule="atLeast"/>
        <w:ind w:firstLine="440" w:firstLineChars="200"/>
      </w:pPr>
      <w:r>
        <w:rPr>
          <w:rFonts w:hint="eastAsia"/>
        </w:rPr>
        <w:t>4.3.3 仪器设备费、人员工资、差旅费、利润、税金、审查费、评审费等（包括调试人员的食宿、保险、交通等）</w:t>
      </w:r>
    </w:p>
    <w:p>
      <w:pPr>
        <w:tabs>
          <w:tab w:val="left" w:pos="1025"/>
        </w:tabs>
        <w:adjustRightInd w:val="0"/>
        <w:snapToGrid w:val="0"/>
        <w:spacing w:line="434" w:lineRule="atLeast"/>
        <w:ind w:firstLine="440" w:firstLineChars="200"/>
      </w:pPr>
      <w:r>
        <w:rPr>
          <w:rFonts w:hint="eastAsia"/>
        </w:rPr>
        <w:t>4.3.4 服务及培训费</w:t>
      </w:r>
    </w:p>
    <w:p>
      <w:pPr>
        <w:tabs>
          <w:tab w:val="left" w:pos="1025"/>
        </w:tabs>
        <w:adjustRightInd w:val="0"/>
        <w:snapToGrid w:val="0"/>
        <w:spacing w:line="434" w:lineRule="atLeast"/>
        <w:ind w:firstLine="440" w:firstLineChars="200"/>
      </w:pPr>
      <w:r>
        <w:rPr>
          <w:rFonts w:hint="eastAsia"/>
        </w:rPr>
        <w:t>4.3.5 采购代理服务费</w:t>
      </w:r>
    </w:p>
    <w:p>
      <w:pPr>
        <w:autoSpaceDE w:val="0"/>
        <w:autoSpaceDN w:val="0"/>
        <w:adjustRightInd w:val="0"/>
        <w:snapToGrid w:val="0"/>
        <w:spacing w:line="430" w:lineRule="exact"/>
        <w:ind w:firstLine="440" w:firstLineChars="200"/>
        <w:textAlignment w:val="bottom"/>
        <w:rPr>
          <w:rFonts w:cs="Arial"/>
        </w:rPr>
      </w:pPr>
      <w:r>
        <w:rPr>
          <w:rFonts w:hint="eastAsia"/>
        </w:rPr>
        <w:t>4.3.6 其他费用</w:t>
      </w:r>
    </w:p>
    <w:p>
      <w:pPr>
        <w:autoSpaceDE w:val="0"/>
        <w:autoSpaceDN w:val="0"/>
        <w:adjustRightInd w:val="0"/>
        <w:snapToGrid w:val="0"/>
        <w:spacing w:line="440" w:lineRule="exact"/>
        <w:ind w:firstLine="433" w:firstLineChars="196"/>
        <w:textAlignment w:val="bottom"/>
        <w:rPr>
          <w:rFonts w:cs="Arial"/>
          <w:b/>
          <w:u w:val="single"/>
        </w:rPr>
      </w:pPr>
      <w:r>
        <w:rPr>
          <w:rFonts w:hint="eastAsia"/>
          <w:b/>
          <w:color w:val="000000"/>
          <w:u w:val="single"/>
        </w:rPr>
        <w:t>▲</w:t>
      </w:r>
      <w:r>
        <w:rPr>
          <w:rFonts w:hint="eastAsia" w:cs="Arial"/>
          <w:b/>
          <w:u w:val="single"/>
        </w:rPr>
        <w:t>供应商在磋商响应报价中应充分考虑所有可能发生的费用，否则采购人将视总价中已包括所有费用。</w:t>
      </w:r>
    </w:p>
    <w:p>
      <w:pPr>
        <w:autoSpaceDE w:val="0"/>
        <w:autoSpaceDN w:val="0"/>
        <w:adjustRightInd w:val="0"/>
        <w:snapToGrid w:val="0"/>
        <w:spacing w:line="440" w:lineRule="exact"/>
        <w:ind w:firstLine="440" w:firstLineChars="200"/>
        <w:textAlignment w:val="bottom"/>
        <w:rPr>
          <w:rFonts w:cs="Arial"/>
          <w:u w:val="single"/>
        </w:rPr>
      </w:pPr>
      <w:r>
        <w:rPr>
          <w:rFonts w:hint="eastAsia" w:cs="Arial"/>
          <w:u w:val="single"/>
        </w:rPr>
        <w:t>供应商对在合同执行中，除上述费用及磋商文件规定的由供应商负责的工作范围以外需要采购人协调或提供便利的工作应当在磋商响应文件中说明。</w:t>
      </w:r>
    </w:p>
    <w:p>
      <w:pPr>
        <w:autoSpaceDE w:val="0"/>
        <w:autoSpaceDN w:val="0"/>
        <w:adjustRightInd w:val="0"/>
        <w:snapToGrid w:val="0"/>
        <w:spacing w:line="440" w:lineRule="exact"/>
        <w:ind w:firstLine="431" w:firstLineChars="196"/>
        <w:textAlignment w:val="bottom"/>
        <w:rPr>
          <w:rFonts w:cs="仿宋_GB2312"/>
          <w:lang w:val="zh-CN"/>
        </w:rPr>
      </w:pPr>
      <w:r>
        <w:rPr>
          <w:rFonts w:hint="eastAsia" w:cs="Arial"/>
          <w:bCs/>
        </w:rPr>
        <w:t>填写报价表格时，各项费用应如实填写。</w:t>
      </w:r>
      <w:r>
        <w:rPr>
          <w:rFonts w:hint="eastAsia" w:cs="Arial"/>
        </w:rPr>
        <w:t>采购人要求分类报价是为了方便评审，但在任何情况下不限制采购人以其认为最合适的条款签订合同的权利。</w:t>
      </w:r>
    </w:p>
    <w:p>
      <w:pPr>
        <w:autoSpaceDE w:val="0"/>
        <w:autoSpaceDN w:val="0"/>
        <w:adjustRightInd w:val="0"/>
        <w:snapToGrid w:val="0"/>
        <w:spacing w:line="440" w:lineRule="exact"/>
        <w:textAlignment w:val="bottom"/>
      </w:pPr>
      <w:r>
        <w:rPr>
          <w:rFonts w:hint="eastAsia" w:cs="仿宋_GB2312"/>
          <w:lang w:val="zh-CN"/>
        </w:rPr>
        <w:t xml:space="preserve">   </w:t>
      </w:r>
      <w:r>
        <w:rPr>
          <w:rFonts w:hint="eastAsia"/>
        </w:rPr>
        <w:t xml:space="preserve"> 5、磋商保证金</w:t>
      </w:r>
      <w:bookmarkStart w:id="6" w:name="_Toc132122117"/>
      <w:bookmarkStart w:id="7" w:name="_Toc132122414"/>
      <w:r>
        <w:rPr>
          <w:rFonts w:hint="eastAsia"/>
        </w:rPr>
        <w:t>：无</w:t>
      </w:r>
    </w:p>
    <w:p>
      <w:pPr>
        <w:pStyle w:val="14"/>
        <w:adjustRightInd w:val="0"/>
        <w:snapToGrid w:val="0"/>
        <w:spacing w:line="440" w:lineRule="exact"/>
        <w:ind w:firstLine="440" w:firstLineChars="200"/>
        <w:rPr>
          <w:rFonts w:hAnsi="宋体" w:cs="Arial"/>
        </w:rPr>
      </w:pPr>
      <w:r>
        <w:rPr>
          <w:rFonts w:hint="eastAsia" w:hAnsi="宋体" w:cs="Arial"/>
        </w:rPr>
        <w:t>6、磋商响应文件的有效期</w:t>
      </w:r>
      <w:bookmarkEnd w:id="6"/>
      <w:bookmarkEnd w:id="7"/>
    </w:p>
    <w:p>
      <w:pPr>
        <w:pStyle w:val="14"/>
        <w:adjustRightInd w:val="0"/>
        <w:snapToGrid w:val="0"/>
        <w:spacing w:line="440" w:lineRule="exact"/>
        <w:ind w:firstLine="440" w:firstLineChars="200"/>
        <w:rPr>
          <w:rFonts w:hAnsi="宋体" w:cs="Arial"/>
        </w:rPr>
      </w:pPr>
      <w:r>
        <w:rPr>
          <w:rFonts w:hint="eastAsia" w:hAnsi="宋体" w:cs="Arial"/>
        </w:rPr>
        <w:t>6.1 自磋商日起90天内，磋商响应文件应保持有效。有效期短于这个规定期限的磋商响应文件将被拒绝。</w:t>
      </w:r>
    </w:p>
    <w:p>
      <w:pPr>
        <w:pStyle w:val="14"/>
        <w:adjustRightInd w:val="0"/>
        <w:snapToGrid w:val="0"/>
        <w:spacing w:line="440" w:lineRule="exact"/>
        <w:ind w:firstLine="440" w:firstLineChars="200"/>
        <w:rPr>
          <w:rFonts w:hAnsi="宋体" w:cs="Arial"/>
        </w:rPr>
      </w:pPr>
      <w:r>
        <w:rPr>
          <w:rFonts w:hint="eastAsia" w:hAnsi="宋体" w:cs="Arial"/>
        </w:rPr>
        <w:t>6.2 在特殊情况下，采购人可与供应商协商延长磋商响应文件的有效期，这种要求和答复均应以书面形式进行。</w:t>
      </w:r>
    </w:p>
    <w:p>
      <w:pPr>
        <w:pStyle w:val="14"/>
        <w:adjustRightInd w:val="0"/>
        <w:snapToGrid w:val="0"/>
        <w:spacing w:line="440" w:lineRule="exact"/>
        <w:ind w:firstLine="440" w:firstLineChars="200"/>
        <w:rPr>
          <w:rFonts w:hAnsi="宋体" w:cs="Arial"/>
        </w:rPr>
      </w:pPr>
      <w:r>
        <w:rPr>
          <w:rFonts w:hint="eastAsia" w:hAnsi="宋体" w:cs="Arial"/>
        </w:rPr>
        <w:t>6.3 供应商可拒绝接受延期要求。同意延长有效期的供应商不能修改磋商响应文件。</w:t>
      </w:r>
    </w:p>
    <w:p>
      <w:pPr>
        <w:pStyle w:val="14"/>
        <w:adjustRightInd w:val="0"/>
        <w:snapToGrid w:val="0"/>
        <w:spacing w:line="440" w:lineRule="exact"/>
        <w:rPr>
          <w:rFonts w:hAnsi="宋体" w:cs="Arial"/>
        </w:rPr>
      </w:pPr>
      <w:r>
        <w:rPr>
          <w:rFonts w:hint="eastAsia" w:hAnsi="宋体" w:cs="Arial"/>
        </w:rPr>
        <w:t xml:space="preserve">    </w:t>
      </w:r>
      <w:bookmarkStart w:id="8" w:name="_Toc132122118"/>
      <w:bookmarkStart w:id="9" w:name="_Toc132122415"/>
      <w:r>
        <w:rPr>
          <w:rFonts w:hint="eastAsia" w:hAnsi="宋体" w:cs="Arial"/>
        </w:rPr>
        <w:t>7、磋商响应文件的签署和份数</w:t>
      </w:r>
      <w:bookmarkEnd w:id="8"/>
      <w:bookmarkEnd w:id="9"/>
      <w:r>
        <w:rPr>
          <w:rFonts w:hint="eastAsia" w:hAnsi="宋体" w:cs="Arial"/>
        </w:rPr>
        <w:t>：详见磋商通知(邀请)书</w:t>
      </w:r>
    </w:p>
    <w:p>
      <w:pPr>
        <w:pStyle w:val="14"/>
        <w:adjustRightInd w:val="0"/>
        <w:snapToGrid w:val="0"/>
        <w:spacing w:line="440" w:lineRule="exact"/>
        <w:outlineLvl w:val="1"/>
        <w:rPr>
          <w:rFonts w:hAnsi="宋体" w:cs="Arial"/>
        </w:rPr>
      </w:pPr>
      <w:bookmarkStart w:id="10" w:name="_Toc132122119"/>
      <w:bookmarkStart w:id="11" w:name="_Toc132125574"/>
      <w:bookmarkStart w:id="12" w:name="_Toc132123547"/>
      <w:bookmarkStart w:id="13" w:name="_Toc132123634"/>
      <w:bookmarkStart w:id="14" w:name="_Toc132125037"/>
      <w:bookmarkStart w:id="15" w:name="_Toc132124594"/>
      <w:bookmarkStart w:id="16" w:name="_Toc132123838"/>
      <w:bookmarkStart w:id="17" w:name="_Toc132655776"/>
      <w:bookmarkStart w:id="18" w:name="_Toc132125095"/>
      <w:bookmarkStart w:id="19" w:name="_Toc132125983"/>
      <w:bookmarkStart w:id="20" w:name="_Toc132123439"/>
      <w:bookmarkStart w:id="21" w:name="_Toc132125151"/>
      <w:bookmarkStart w:id="22" w:name="_Toc132123881"/>
      <w:bookmarkStart w:id="23" w:name="_Toc132126154"/>
      <w:bookmarkStart w:id="24" w:name="_Toc132122416"/>
      <w:r>
        <w:rPr>
          <w:rFonts w:hint="eastAsia" w:hAnsi="宋体" w:cs="Arial"/>
        </w:rPr>
        <w:t>五、磋商响应文件的上传与递交</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14"/>
        <w:adjustRightInd w:val="0"/>
        <w:snapToGrid w:val="0"/>
        <w:spacing w:line="440" w:lineRule="exact"/>
        <w:ind w:firstLine="440" w:firstLineChars="200"/>
        <w:rPr>
          <w:rFonts w:hAnsi="宋体" w:cs="Arial"/>
        </w:rPr>
      </w:pPr>
      <w:r>
        <w:rPr>
          <w:rFonts w:hint="eastAsia" w:hAnsi="宋体" w:cs="Arial"/>
        </w:rPr>
        <w:t>1、磋商响应文件的上传及递交：详见磋商通知(邀请)书</w:t>
      </w:r>
    </w:p>
    <w:p>
      <w:pPr>
        <w:pStyle w:val="14"/>
        <w:adjustRightInd w:val="0"/>
        <w:snapToGrid w:val="0"/>
        <w:spacing w:line="440" w:lineRule="exact"/>
        <w:ind w:firstLine="440" w:firstLineChars="200"/>
        <w:rPr>
          <w:rFonts w:hAnsi="宋体" w:cs="Arial"/>
        </w:rPr>
      </w:pPr>
      <w:r>
        <w:rPr>
          <w:rFonts w:hint="eastAsia" w:hAnsi="宋体" w:cs="Arial"/>
        </w:rPr>
        <w:t>2、磋商截止时间</w:t>
      </w:r>
    </w:p>
    <w:p>
      <w:pPr>
        <w:pStyle w:val="14"/>
        <w:adjustRightInd w:val="0"/>
        <w:snapToGrid w:val="0"/>
        <w:spacing w:line="440" w:lineRule="exact"/>
        <w:rPr>
          <w:rFonts w:hAnsi="宋体" w:cs="Arial"/>
        </w:rPr>
      </w:pPr>
      <w:r>
        <w:rPr>
          <w:rFonts w:hint="eastAsia" w:hAnsi="宋体" w:cs="Arial"/>
        </w:rPr>
        <w:t xml:space="preserve">    2.1 磋商响应文件必须在磋商响应文件递交截止时间前上传政采云系统。</w:t>
      </w:r>
    </w:p>
    <w:p>
      <w:pPr>
        <w:pStyle w:val="14"/>
        <w:adjustRightInd w:val="0"/>
        <w:snapToGrid w:val="0"/>
        <w:spacing w:line="440" w:lineRule="exact"/>
        <w:rPr>
          <w:rFonts w:hAnsi="宋体" w:cs="Arial"/>
        </w:rPr>
      </w:pPr>
      <w:r>
        <w:rPr>
          <w:rFonts w:hint="eastAsia" w:hAnsi="宋体" w:cs="Arial"/>
        </w:rPr>
        <w:t xml:space="preserve">    2.2 采购机构如因故推迟磋商截止时间，应以电子邮件形式通知所有供应商。在这种情况下，供应商的权利和义务将受到新的截止时间的约束。</w:t>
      </w:r>
    </w:p>
    <w:p>
      <w:pPr>
        <w:pStyle w:val="14"/>
        <w:adjustRightInd w:val="0"/>
        <w:snapToGrid w:val="0"/>
        <w:spacing w:line="440" w:lineRule="exact"/>
        <w:ind w:firstLine="440" w:firstLineChars="200"/>
        <w:rPr>
          <w:rFonts w:hAnsi="宋体" w:cs="Arial"/>
        </w:rPr>
      </w:pPr>
      <w:r>
        <w:rPr>
          <w:rFonts w:hint="eastAsia" w:hAnsi="宋体" w:cs="Arial"/>
        </w:rPr>
        <w:t>3、磋商响应文件的修改和撤回</w:t>
      </w:r>
    </w:p>
    <w:p>
      <w:pPr>
        <w:pStyle w:val="14"/>
        <w:adjustRightInd w:val="0"/>
        <w:snapToGrid w:val="0"/>
        <w:spacing w:line="440" w:lineRule="exact"/>
        <w:rPr>
          <w:rFonts w:hAnsi="宋体" w:cs="Arial"/>
        </w:rPr>
      </w:pPr>
      <w:r>
        <w:rPr>
          <w:rFonts w:hint="eastAsia" w:hAnsi="宋体" w:cs="Arial"/>
        </w:rPr>
        <w:t xml:space="preserve">    3.1 供应商在</w:t>
      </w:r>
      <w:r>
        <w:rPr>
          <w:rFonts w:hint="eastAsia" w:hAnsi="宋体"/>
        </w:rPr>
        <w:t>磋商响应文件递交截止时间</w:t>
      </w:r>
      <w:r>
        <w:rPr>
          <w:rFonts w:hint="eastAsia" w:hAnsi="宋体" w:cs="Arial"/>
        </w:rPr>
        <w:t>前修改响应文件，按政采云系统要求操作。</w:t>
      </w:r>
    </w:p>
    <w:p>
      <w:pPr>
        <w:pStyle w:val="14"/>
        <w:adjustRightInd w:val="0"/>
        <w:snapToGrid w:val="0"/>
        <w:spacing w:line="440" w:lineRule="exact"/>
        <w:ind w:firstLine="450"/>
        <w:rPr>
          <w:rFonts w:hAnsi="宋体"/>
        </w:rPr>
      </w:pPr>
      <w:r>
        <w:rPr>
          <w:rFonts w:hint="eastAsia" w:hAnsi="宋体"/>
        </w:rPr>
        <w:t>3.2 供应商在磋商响应文件递交截止时间以后不得要求磋商响应文件修改和撤回。</w:t>
      </w:r>
    </w:p>
    <w:p>
      <w:pPr>
        <w:pStyle w:val="14"/>
        <w:adjustRightInd w:val="0"/>
        <w:snapToGrid w:val="0"/>
        <w:spacing w:line="440" w:lineRule="exact"/>
        <w:ind w:firstLine="480"/>
        <w:rPr>
          <w:rFonts w:hAnsi="宋体"/>
          <w:b/>
          <w:bCs/>
        </w:rPr>
      </w:pPr>
      <w:r>
        <w:rPr>
          <w:rFonts w:hint="eastAsia" w:hAnsi="宋体"/>
          <w:b/>
          <w:bCs/>
        </w:rPr>
        <w:t>4、磋商响应文件的递交</w:t>
      </w:r>
    </w:p>
    <w:p>
      <w:pPr>
        <w:pStyle w:val="11"/>
        <w:adjustRightInd w:val="0"/>
        <w:snapToGrid w:val="0"/>
        <w:spacing w:after="50" w:line="440" w:lineRule="exact"/>
        <w:ind w:firstLine="440" w:firstLineChars="200"/>
        <w:rPr>
          <w:b/>
          <w:u w:val="single"/>
        </w:rPr>
      </w:pPr>
      <w:r>
        <w:rPr>
          <w:rFonts w:hint="eastAsia"/>
        </w:rPr>
        <w:t xml:space="preserve">4.1 </w:t>
      </w:r>
      <w:r>
        <w:rPr>
          <w:rFonts w:hint="eastAsia"/>
          <w:b/>
          <w:u w:val="single"/>
        </w:rPr>
        <w:t>递交磋商响应文件时，需满足以下要求，否则该磋商响应文件予以拒绝：</w:t>
      </w:r>
    </w:p>
    <w:p>
      <w:pPr>
        <w:pStyle w:val="14"/>
        <w:adjustRightInd w:val="0"/>
        <w:spacing w:line="440" w:lineRule="exact"/>
        <w:ind w:firstLine="440" w:firstLineChars="200"/>
        <w:rPr>
          <w:rFonts w:hAnsi="宋体"/>
        </w:rPr>
      </w:pPr>
      <w:r>
        <w:rPr>
          <w:rFonts w:hint="eastAsia" w:hAnsi="宋体"/>
        </w:rPr>
        <w:t>4.1.1 在磋商响应文件递交截止时间之前上传。</w:t>
      </w:r>
    </w:p>
    <w:p>
      <w:pPr>
        <w:pStyle w:val="14"/>
        <w:adjustRightInd w:val="0"/>
        <w:spacing w:line="440" w:lineRule="exact"/>
        <w:ind w:firstLine="440" w:firstLineChars="200"/>
        <w:rPr>
          <w:rFonts w:hAnsi="宋体"/>
        </w:rPr>
      </w:pPr>
      <w:r>
        <w:rPr>
          <w:rFonts w:hint="eastAsia" w:hAnsi="宋体"/>
        </w:rPr>
        <w:t>4</w:t>
      </w:r>
      <w:r>
        <w:rPr>
          <w:rFonts w:hAnsi="宋体"/>
        </w:rPr>
        <w:t>.</w:t>
      </w:r>
      <w:r>
        <w:rPr>
          <w:rFonts w:hint="eastAsia" w:hAnsi="宋体"/>
        </w:rPr>
        <w:t xml:space="preserve">1.2 </w:t>
      </w:r>
      <w:r>
        <w:t>已</w:t>
      </w:r>
      <w:r>
        <w:rPr>
          <w:rFonts w:hint="eastAsia"/>
        </w:rPr>
        <w:t>按要求在“政采云”提交报名资料申请获取采购文件</w:t>
      </w:r>
      <w:r>
        <w:t>的供应商。</w:t>
      </w:r>
    </w:p>
    <w:p>
      <w:pPr>
        <w:pStyle w:val="14"/>
        <w:adjustRightInd w:val="0"/>
        <w:snapToGrid w:val="0"/>
        <w:spacing w:line="440" w:lineRule="atLeast"/>
        <w:ind w:firstLine="440" w:firstLineChars="200"/>
        <w:rPr>
          <w:rFonts w:hAnsi="宋体" w:cs="Arial"/>
          <w:bCs/>
          <w:color w:val="000000"/>
        </w:rPr>
      </w:pPr>
      <w:r>
        <w:rPr>
          <w:rFonts w:hint="eastAsia" w:hAnsi="宋体" w:cs="Arial"/>
          <w:bCs/>
          <w:color w:val="000000"/>
        </w:rPr>
        <w:t>磋商时，磋商响应文件中《报价一览表》(报价表)内容与磋商响应文件中明细表内容不一致的，以报价一览表(报价表)为准。</w:t>
      </w:r>
    </w:p>
    <w:p>
      <w:pPr>
        <w:pStyle w:val="14"/>
        <w:adjustRightInd w:val="0"/>
        <w:snapToGrid w:val="0"/>
        <w:spacing w:line="440" w:lineRule="atLeast"/>
        <w:ind w:firstLine="440" w:firstLineChars="200"/>
        <w:rPr>
          <w:rFonts w:hAnsi="宋体" w:cs="Arial"/>
          <w:bCs/>
          <w:color w:val="000000"/>
        </w:rPr>
      </w:pPr>
      <w:r>
        <w:rPr>
          <w:rFonts w:hint="eastAsia" w:hAnsi="宋体" w:cs="Arial"/>
          <w:bCs/>
          <w:color w:val="000000"/>
        </w:rPr>
        <w:t>磋商响应文件的大写金额和小写金额不一致的，以大写金额为准；总价金额与按单价汇总金额不一致的，以单价金额计算结果为准；单价金额小数点有明显错位的，应以总价为准，并修改单价；以文字表示的数据与数字表示的有差别，以文字为准修正数字；对不同文字文本磋商响应文件的解释发生异议的，以中文文本为准。</w:t>
      </w:r>
    </w:p>
    <w:p>
      <w:pPr>
        <w:pStyle w:val="14"/>
        <w:adjustRightInd w:val="0"/>
        <w:snapToGrid w:val="0"/>
        <w:spacing w:line="440" w:lineRule="exact"/>
        <w:ind w:firstLine="433" w:firstLineChars="196"/>
        <w:outlineLvl w:val="1"/>
        <w:rPr>
          <w:rFonts w:hAnsi="宋体"/>
          <w:b/>
          <w:bCs/>
        </w:rPr>
      </w:pPr>
      <w:r>
        <w:rPr>
          <w:rFonts w:hint="eastAsia" w:hAnsi="宋体"/>
          <w:b/>
          <w:bCs/>
        </w:rPr>
        <w:t>六、磋商开标和评标</w:t>
      </w:r>
    </w:p>
    <w:p>
      <w:pPr>
        <w:pStyle w:val="14"/>
        <w:adjustRightInd w:val="0"/>
        <w:snapToGrid w:val="0"/>
        <w:spacing w:line="440" w:lineRule="exact"/>
        <w:ind w:firstLine="440" w:firstLineChars="200"/>
        <w:rPr>
          <w:rFonts w:hAnsi="宋体"/>
        </w:rPr>
      </w:pPr>
      <w:r>
        <w:rPr>
          <w:rFonts w:hint="eastAsia" w:hAnsi="宋体"/>
        </w:rPr>
        <w:t>1、开标</w:t>
      </w:r>
    </w:p>
    <w:p>
      <w:pPr>
        <w:pStyle w:val="14"/>
        <w:adjustRightInd w:val="0"/>
        <w:snapToGrid w:val="0"/>
        <w:spacing w:line="440" w:lineRule="exact"/>
        <w:ind w:firstLine="440" w:firstLineChars="200"/>
        <w:rPr>
          <w:rFonts w:hAnsi="宋体"/>
        </w:rPr>
      </w:pPr>
      <w:r>
        <w:rPr>
          <w:rFonts w:hint="eastAsia" w:hAnsi="宋体"/>
        </w:rPr>
        <w:t>1.1 采购机构按磋商文件规定的时间、平台向各投标供应商发出电子加密响应文件【开始解密】通知，由供应商按采购文件规定的时间内自行进行响应文件解密，解密成功后代理机构开启磋商响应文件，开始磋商会议。</w:t>
      </w:r>
    </w:p>
    <w:p>
      <w:pPr>
        <w:pStyle w:val="14"/>
        <w:adjustRightInd w:val="0"/>
        <w:snapToGrid w:val="0"/>
        <w:spacing w:line="440" w:lineRule="exact"/>
        <w:ind w:firstLine="450"/>
        <w:rPr>
          <w:rFonts w:hAnsi="宋体"/>
          <w:u w:val="single"/>
        </w:rPr>
      </w:pPr>
      <w:r>
        <w:rPr>
          <w:rFonts w:hint="eastAsia" w:hAnsi="宋体"/>
          <w:u w:val="single"/>
        </w:rPr>
        <w:t>1.2 供应商磋商代表必须准时在线参加会议，投标供应商如不参加开标大会的，视同认可开标结果，事后不得对采购相关人员、开标过程和开标结果提出异议，同时投标供应商因未在线参加开标而导致投标文件无法按时解密的，造成的后果由供应商自行承担。</w:t>
      </w:r>
    </w:p>
    <w:p>
      <w:pPr>
        <w:pStyle w:val="14"/>
        <w:adjustRightInd w:val="0"/>
        <w:snapToGrid w:val="0"/>
        <w:spacing w:line="440" w:lineRule="exact"/>
        <w:ind w:firstLine="450"/>
        <w:rPr>
          <w:rFonts w:hAnsi="宋体"/>
          <w:u w:val="single"/>
        </w:rPr>
      </w:pPr>
      <w:r>
        <w:rPr>
          <w:rFonts w:hint="eastAsia" w:hAnsi="宋体"/>
          <w:u w:val="single"/>
        </w:rPr>
        <w:t>在线开评标进行时，供应商投标代表需自行关注平台提示信息，期间有发出“询标/澄清函”、“二次报价函”等相关线上函件时，因供应商自身原因逾期/错过回复时间，由此造成的后果由供应商自行承担。</w:t>
      </w:r>
    </w:p>
    <w:p>
      <w:pPr>
        <w:pStyle w:val="14"/>
        <w:adjustRightInd w:val="0"/>
        <w:snapToGrid w:val="0"/>
        <w:spacing w:line="440" w:lineRule="exact"/>
        <w:ind w:firstLine="450"/>
        <w:rPr>
          <w:rFonts w:hAnsi="宋体"/>
        </w:rPr>
      </w:pPr>
      <w:r>
        <w:rPr>
          <w:rFonts w:hint="eastAsia" w:hAnsi="宋体"/>
        </w:rPr>
        <w:t>1.3 磋商</w:t>
      </w:r>
      <w:r>
        <w:rPr>
          <w:rFonts w:hAnsi="宋体"/>
        </w:rPr>
        <w:t>程序</w:t>
      </w:r>
    </w:p>
    <w:p>
      <w:pPr>
        <w:pStyle w:val="14"/>
        <w:adjustRightInd w:val="0"/>
        <w:snapToGrid w:val="0"/>
        <w:spacing w:line="440" w:lineRule="exact"/>
        <w:ind w:firstLine="450"/>
        <w:rPr>
          <w:rFonts w:hAnsi="宋体"/>
        </w:rPr>
      </w:pPr>
      <w:r>
        <w:rPr>
          <w:rFonts w:hint="eastAsia" w:hAnsi="宋体"/>
        </w:rPr>
        <w:t>1.3.1 磋商大会由采购代理机构主持，磋商响应文件递交截止时间到即为磋商开始；</w:t>
      </w:r>
    </w:p>
    <w:p>
      <w:pPr>
        <w:pStyle w:val="14"/>
        <w:adjustRightInd w:val="0"/>
        <w:snapToGrid w:val="0"/>
        <w:spacing w:line="440" w:lineRule="exact"/>
        <w:ind w:firstLine="450"/>
        <w:rPr>
          <w:rFonts w:hAnsi="宋体"/>
        </w:rPr>
      </w:pPr>
      <w:r>
        <w:rPr>
          <w:rFonts w:hint="eastAsia" w:hAnsi="宋体"/>
        </w:rPr>
        <w:t>1.3.2 告知各参会代表本次采购活动的主持唱读人、记录人和监督人等，要求磋商响应供应商代表提出其中是否有应当回避的人员；</w:t>
      </w:r>
    </w:p>
    <w:p>
      <w:pPr>
        <w:pStyle w:val="14"/>
        <w:adjustRightInd w:val="0"/>
        <w:snapToGrid w:val="0"/>
        <w:spacing w:line="440" w:lineRule="exact"/>
        <w:ind w:firstLine="450"/>
        <w:rPr>
          <w:rFonts w:hAnsi="宋体"/>
        </w:rPr>
      </w:pPr>
      <w:r>
        <w:rPr>
          <w:rFonts w:hint="eastAsia" w:hAnsi="宋体"/>
        </w:rPr>
        <w:t>1.3.3 宣布评审期间的有关事项；</w:t>
      </w:r>
    </w:p>
    <w:p>
      <w:pPr>
        <w:pStyle w:val="14"/>
        <w:adjustRightInd w:val="0"/>
        <w:snapToGrid w:val="0"/>
        <w:spacing w:line="440" w:lineRule="exact"/>
        <w:ind w:firstLine="450"/>
        <w:rPr>
          <w:rFonts w:hAnsi="宋体"/>
        </w:rPr>
      </w:pPr>
      <w:r>
        <w:rPr>
          <w:rFonts w:hint="eastAsia" w:hAnsi="宋体"/>
        </w:rPr>
        <w:t>1.3.4 线上开启各磋商供应商的“磋商响应文件”，对各投标供应商的资格进行审查，审查各投标供应商的资格是否满足采购文件的要求。</w:t>
      </w:r>
    </w:p>
    <w:p>
      <w:pPr>
        <w:pStyle w:val="14"/>
        <w:adjustRightInd w:val="0"/>
        <w:snapToGrid w:val="0"/>
        <w:spacing w:line="440" w:lineRule="exact"/>
        <w:ind w:firstLine="450"/>
        <w:rPr>
          <w:rFonts w:hAnsi="宋体"/>
        </w:rPr>
      </w:pPr>
      <w:r>
        <w:rPr>
          <w:rFonts w:hint="eastAsia" w:hAnsi="宋体"/>
        </w:rPr>
        <w:t>1.3.5 磋商小组根据评审原则和评审办法，对各供应商的资信、技术部分和商务报价部分进行综合评审。</w:t>
      </w:r>
    </w:p>
    <w:p>
      <w:pPr>
        <w:pStyle w:val="14"/>
        <w:adjustRightInd w:val="0"/>
        <w:snapToGrid w:val="0"/>
        <w:spacing w:line="440" w:lineRule="exact"/>
        <w:ind w:firstLine="450"/>
        <w:rPr>
          <w:rFonts w:hAnsi="宋体"/>
        </w:rPr>
      </w:pPr>
      <w:r>
        <w:rPr>
          <w:rFonts w:hint="eastAsia" w:hAnsi="宋体"/>
        </w:rPr>
        <w:t>1.3.6 进入磋商阶段，磋商小组与供应商分别进行磋商，并给与所有参加磋商供应商平等的磋商机会（如磋商小组认为磋商文件能够详细列明采购标的的技术、服务要求的，评审结束后，磋商小组可以直接要求所有实质性响应的供应商在规定时间内提交二次最后报价）。</w:t>
      </w:r>
    </w:p>
    <w:p>
      <w:pPr>
        <w:pStyle w:val="14"/>
        <w:adjustRightInd w:val="0"/>
        <w:snapToGrid w:val="0"/>
        <w:spacing w:line="440" w:lineRule="exact"/>
        <w:ind w:firstLine="450"/>
        <w:rPr>
          <w:rFonts w:hAnsi="宋体"/>
        </w:rPr>
      </w:pPr>
      <w:r>
        <w:rPr>
          <w:rFonts w:hint="eastAsia" w:hAnsi="宋体"/>
        </w:rPr>
        <w:t>1.3.7  磋商结束后，所有实质性响应的供应商在规定时间内提交二次最后报价。</w:t>
      </w:r>
    </w:p>
    <w:p>
      <w:pPr>
        <w:pStyle w:val="14"/>
        <w:adjustRightInd w:val="0"/>
        <w:snapToGrid w:val="0"/>
        <w:spacing w:line="440" w:lineRule="exact"/>
        <w:ind w:firstLine="450"/>
        <w:rPr>
          <w:rFonts w:hAnsi="宋体"/>
        </w:rPr>
      </w:pPr>
      <w:r>
        <w:rPr>
          <w:rFonts w:hint="eastAsia" w:hAnsi="宋体"/>
        </w:rPr>
        <w:t>1.3.8  公布响应文件技术资信得分，公布磋商供应商最终报价。</w:t>
      </w:r>
    </w:p>
    <w:p>
      <w:pPr>
        <w:pStyle w:val="14"/>
        <w:adjustRightInd w:val="0"/>
        <w:snapToGrid w:val="0"/>
        <w:spacing w:line="440" w:lineRule="exact"/>
        <w:ind w:firstLine="450"/>
        <w:rPr>
          <w:rFonts w:hAnsi="宋体"/>
        </w:rPr>
      </w:pPr>
      <w:r>
        <w:rPr>
          <w:rFonts w:hint="eastAsia" w:hAnsi="宋体"/>
        </w:rPr>
        <w:t>1.3.9  会议结束。</w:t>
      </w:r>
    </w:p>
    <w:p>
      <w:pPr>
        <w:pStyle w:val="14"/>
        <w:adjustRightInd w:val="0"/>
        <w:snapToGrid w:val="0"/>
        <w:spacing w:line="440" w:lineRule="exact"/>
        <w:ind w:firstLine="450"/>
        <w:rPr>
          <w:rFonts w:hAnsi="宋体"/>
          <w:b/>
          <w:bCs/>
        </w:rPr>
      </w:pPr>
      <w:r>
        <w:rPr>
          <w:rFonts w:hint="eastAsia" w:hAnsi="宋体"/>
          <w:b/>
          <w:bCs/>
        </w:rPr>
        <w:t>特别说明：如遇“政采云平台”电子化开标或评审程序调整的，按调整后程序执行。</w:t>
      </w:r>
    </w:p>
    <w:p>
      <w:pPr>
        <w:pStyle w:val="14"/>
        <w:adjustRightInd w:val="0"/>
        <w:snapToGrid w:val="0"/>
        <w:spacing w:line="440" w:lineRule="exact"/>
        <w:ind w:firstLine="450"/>
        <w:rPr>
          <w:rFonts w:hAnsi="宋体"/>
        </w:rPr>
      </w:pPr>
      <w:r>
        <w:rPr>
          <w:rFonts w:hint="eastAsia" w:hAnsi="宋体"/>
        </w:rPr>
        <w:t>采购过程中出现以下情形，导致电子交易平台无法正常运行，或者无法保证电子交易的公平、公正和安全时，采购组织机构可中止电子交易活动：</w:t>
      </w:r>
    </w:p>
    <w:p>
      <w:pPr>
        <w:pStyle w:val="14"/>
        <w:adjustRightInd w:val="0"/>
        <w:snapToGrid w:val="0"/>
        <w:spacing w:line="440" w:lineRule="exact"/>
        <w:ind w:firstLine="450"/>
        <w:rPr>
          <w:rFonts w:hAnsi="宋体"/>
        </w:rPr>
      </w:pPr>
      <w:r>
        <w:rPr>
          <w:rFonts w:hint="eastAsia" w:hAnsi="宋体"/>
        </w:rPr>
        <w:t>（一）电子交易平台发生故障而无法登录访问的； </w:t>
      </w:r>
    </w:p>
    <w:p>
      <w:pPr>
        <w:pStyle w:val="14"/>
        <w:adjustRightInd w:val="0"/>
        <w:snapToGrid w:val="0"/>
        <w:spacing w:line="440" w:lineRule="exact"/>
        <w:ind w:firstLine="450"/>
        <w:rPr>
          <w:rFonts w:hAnsi="宋体"/>
        </w:rPr>
      </w:pPr>
      <w:r>
        <w:rPr>
          <w:rFonts w:hint="eastAsia" w:hAnsi="宋体"/>
        </w:rPr>
        <w:t>（二）电子交易平台应用或数据库出现错误，不能进行正常操作的；</w:t>
      </w:r>
    </w:p>
    <w:p>
      <w:pPr>
        <w:pStyle w:val="14"/>
        <w:adjustRightInd w:val="0"/>
        <w:snapToGrid w:val="0"/>
        <w:spacing w:line="440" w:lineRule="exact"/>
        <w:ind w:firstLine="450"/>
        <w:rPr>
          <w:rFonts w:hAnsi="宋体"/>
        </w:rPr>
      </w:pPr>
      <w:r>
        <w:rPr>
          <w:rFonts w:hint="eastAsia" w:hAnsi="宋体"/>
        </w:rPr>
        <w:t>（三）电子交易平台发现严重安全漏洞，有潜在泄密危险的；</w:t>
      </w:r>
    </w:p>
    <w:p>
      <w:pPr>
        <w:pStyle w:val="14"/>
        <w:adjustRightInd w:val="0"/>
        <w:snapToGrid w:val="0"/>
        <w:spacing w:line="440" w:lineRule="exact"/>
        <w:ind w:firstLine="450"/>
        <w:rPr>
          <w:rFonts w:hAnsi="宋体"/>
        </w:rPr>
      </w:pPr>
      <w:r>
        <w:rPr>
          <w:rFonts w:hint="eastAsia" w:hAnsi="宋体"/>
        </w:rPr>
        <w:t>（四）病毒发作导致不能进行正常操作的； </w:t>
      </w:r>
    </w:p>
    <w:p>
      <w:pPr>
        <w:pStyle w:val="14"/>
        <w:adjustRightInd w:val="0"/>
        <w:snapToGrid w:val="0"/>
        <w:spacing w:line="440" w:lineRule="exact"/>
        <w:ind w:firstLine="450"/>
        <w:rPr>
          <w:rFonts w:hAnsi="宋体"/>
        </w:rPr>
      </w:pPr>
      <w:r>
        <w:rPr>
          <w:rFonts w:hint="eastAsia" w:hAnsi="宋体"/>
        </w:rPr>
        <w:t>（五）其他无法保证电子交易的公平、公正和安全的情况。</w:t>
      </w:r>
    </w:p>
    <w:p>
      <w:pPr>
        <w:pStyle w:val="14"/>
        <w:adjustRightInd w:val="0"/>
        <w:snapToGrid w:val="0"/>
        <w:spacing w:line="440" w:lineRule="exact"/>
        <w:ind w:firstLine="450"/>
        <w:rPr>
          <w:rFonts w:hAnsi="宋体"/>
        </w:rPr>
      </w:pPr>
      <w:r>
        <w:rPr>
          <w:rFonts w:hint="eastAsia" w:hAnsi="宋体"/>
        </w:rPr>
        <w:t> 出现前款规定情形，不影响采购公平、公正性的，采购组织机构可以待上述情形消除后继续组织电子交易活动，也可以决定某些环节以纸质形式进行；影响或可能影响采购公平、公正性的，应当重新采购。</w:t>
      </w:r>
    </w:p>
    <w:p>
      <w:pPr>
        <w:pStyle w:val="14"/>
        <w:adjustRightInd w:val="0"/>
        <w:spacing w:line="440" w:lineRule="exact"/>
        <w:ind w:firstLine="477" w:firstLineChars="216"/>
        <w:rPr>
          <w:rFonts w:hAnsi="宋体"/>
          <w:b/>
          <w:bCs/>
          <w:color w:val="000000"/>
        </w:rPr>
      </w:pPr>
      <w:r>
        <w:rPr>
          <w:rFonts w:hint="eastAsia" w:hAnsi="宋体"/>
          <w:b/>
          <w:bCs/>
        </w:rPr>
        <w:t xml:space="preserve">1.4 </w:t>
      </w:r>
      <w:r>
        <w:rPr>
          <w:rFonts w:hint="eastAsia" w:hAnsi="宋体"/>
          <w:b/>
          <w:bCs/>
          <w:color w:val="000000"/>
        </w:rPr>
        <w:t>磋商方式及程序</w:t>
      </w:r>
    </w:p>
    <w:p>
      <w:pPr>
        <w:pStyle w:val="14"/>
        <w:adjustRightInd w:val="0"/>
        <w:spacing w:line="440" w:lineRule="exact"/>
        <w:ind w:firstLine="477" w:firstLineChars="216"/>
        <w:rPr>
          <w:rFonts w:hAnsi="宋体"/>
          <w:b/>
          <w:bCs/>
          <w:color w:val="000000"/>
        </w:rPr>
      </w:pPr>
      <w:r>
        <w:rPr>
          <w:rFonts w:hint="eastAsia" w:hAnsi="宋体"/>
          <w:b/>
          <w:bCs/>
          <w:color w:val="000000"/>
        </w:rPr>
        <w:t>2初审内容为：</w:t>
      </w:r>
    </w:p>
    <w:p>
      <w:pPr>
        <w:pStyle w:val="14"/>
        <w:adjustRightInd w:val="0"/>
        <w:spacing w:line="440" w:lineRule="exact"/>
        <w:ind w:firstLine="475" w:firstLineChars="216"/>
        <w:rPr>
          <w:rFonts w:hAnsi="宋体"/>
          <w:color w:val="000000"/>
        </w:rPr>
      </w:pPr>
      <w:r>
        <w:rPr>
          <w:rFonts w:hint="eastAsia" w:hAnsi="宋体"/>
          <w:color w:val="000000"/>
        </w:rPr>
        <w:t>1）首先进行磋商资格审查</w:t>
      </w:r>
    </w:p>
    <w:p>
      <w:pPr>
        <w:pStyle w:val="14"/>
        <w:numPr>
          <w:ilvl w:val="0"/>
          <w:numId w:val="6"/>
        </w:numPr>
        <w:adjustRightInd w:val="0"/>
        <w:spacing w:line="440" w:lineRule="exact"/>
        <w:ind w:firstLine="838" w:firstLineChars="381"/>
      </w:pPr>
      <w:r>
        <w:rPr>
          <w:rFonts w:hint="eastAsia" w:hAnsi="宋体"/>
          <w:color w:val="000000"/>
        </w:rPr>
        <w:t xml:space="preserve"> 按磋商文件规定的磋商时间，对磋商人进行磋商资格审查；</w:t>
      </w:r>
    </w:p>
    <w:p>
      <w:pPr>
        <w:pStyle w:val="14"/>
        <w:numPr>
          <w:ilvl w:val="0"/>
          <w:numId w:val="6"/>
        </w:numPr>
        <w:adjustRightInd w:val="0"/>
        <w:spacing w:line="440" w:lineRule="exact"/>
        <w:ind w:firstLine="838" w:firstLineChars="381"/>
      </w:pPr>
      <w:r>
        <w:rPr>
          <w:rFonts w:hint="eastAsia"/>
        </w:rPr>
        <w:t xml:space="preserve"> 通过审查的供应商，进入其磋商响应文件的评审，不通过的，做无效投标处理。</w:t>
      </w:r>
    </w:p>
    <w:p>
      <w:pPr>
        <w:pStyle w:val="14"/>
        <w:adjustRightInd w:val="0"/>
        <w:spacing w:line="440" w:lineRule="exact"/>
        <w:ind w:firstLine="475" w:firstLineChars="216"/>
        <w:rPr>
          <w:rFonts w:hAnsi="宋体"/>
          <w:color w:val="000000"/>
        </w:rPr>
      </w:pPr>
      <w:r>
        <w:rPr>
          <w:rFonts w:hint="eastAsia" w:hAnsi="宋体"/>
          <w:color w:val="000000"/>
        </w:rPr>
        <w:t>2) 磋商响应文件是否符合磋商文件的要求，内容是否完整，文件签署是否齐全。</w:t>
      </w:r>
    </w:p>
    <w:p>
      <w:pPr>
        <w:pStyle w:val="14"/>
        <w:adjustRightInd w:val="0"/>
        <w:spacing w:line="440" w:lineRule="exact"/>
        <w:ind w:firstLine="475" w:firstLineChars="216"/>
        <w:rPr>
          <w:rFonts w:hAnsi="宋体"/>
          <w:color w:val="000000"/>
        </w:rPr>
      </w:pPr>
      <w:r>
        <w:rPr>
          <w:rFonts w:hint="eastAsia" w:hAnsi="宋体"/>
          <w:color w:val="000000"/>
        </w:rPr>
        <w:t>3) 磋商报价构成有无计算错误；</w:t>
      </w:r>
    </w:p>
    <w:p>
      <w:pPr>
        <w:pStyle w:val="14"/>
        <w:adjustRightInd w:val="0"/>
        <w:snapToGrid w:val="0"/>
        <w:spacing w:line="440" w:lineRule="exact"/>
        <w:ind w:firstLine="450"/>
        <w:rPr>
          <w:rFonts w:hAnsi="宋体"/>
        </w:rPr>
      </w:pPr>
      <w:r>
        <w:rPr>
          <w:rFonts w:hint="eastAsia" w:hAnsi="宋体"/>
        </w:rPr>
        <w:t>3、磋商响应文件的澄清</w:t>
      </w:r>
    </w:p>
    <w:p>
      <w:pPr>
        <w:pStyle w:val="14"/>
        <w:adjustRightInd w:val="0"/>
        <w:snapToGrid w:val="0"/>
        <w:spacing w:line="440" w:lineRule="exact"/>
        <w:ind w:firstLine="450"/>
        <w:rPr>
          <w:rFonts w:hAnsi="宋体"/>
        </w:rPr>
      </w:pPr>
      <w:r>
        <w:rPr>
          <w:rFonts w:hint="eastAsia" w:hAnsi="宋体"/>
        </w:rPr>
        <w:t>3.1 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14"/>
        <w:adjustRightInd w:val="0"/>
        <w:snapToGrid w:val="0"/>
        <w:spacing w:line="440" w:lineRule="exact"/>
        <w:ind w:firstLine="450"/>
        <w:rPr>
          <w:rFonts w:hAnsi="宋体"/>
        </w:rPr>
      </w:pPr>
      <w:r>
        <w:rPr>
          <w:rFonts w:hint="eastAsia" w:hAnsi="宋体"/>
        </w:rPr>
        <w:t>3.2 磋商小组要求供应商澄清、说明或者更正响应文件以线上在线询标形式发出。供应商的澄清、说明或者更正在线上回复并作为磋商响应文件内容的一部分。</w:t>
      </w:r>
    </w:p>
    <w:p>
      <w:pPr>
        <w:pStyle w:val="14"/>
        <w:adjustRightInd w:val="0"/>
        <w:spacing w:line="420" w:lineRule="atLeast"/>
        <w:ind w:firstLine="442" w:firstLineChars="200"/>
        <w:rPr>
          <w:rFonts w:hAnsi="宋体" w:cs="Arial"/>
          <w:b/>
          <w:u w:val="single"/>
        </w:rPr>
      </w:pPr>
      <w:r>
        <w:rPr>
          <w:rFonts w:hint="eastAsia" w:hAnsi="宋体"/>
          <w:b/>
        </w:rPr>
        <w:t>4、</w:t>
      </w:r>
      <w:r>
        <w:rPr>
          <w:rFonts w:hint="eastAsia" w:hAnsi="宋体"/>
          <w:b/>
          <w:u w:val="single"/>
        </w:rPr>
        <w:t>▲</w:t>
      </w:r>
      <w:r>
        <w:rPr>
          <w:rFonts w:hint="eastAsia" w:hAnsi="宋体" w:cs="Arial"/>
          <w:b/>
          <w:u w:val="single"/>
        </w:rPr>
        <w:t>磋商小组发现磋商响应文件有下列情形之一的属于重大偏差(磋商小组按少数服从多数原则认定),按照无效报价处理：</w:t>
      </w:r>
    </w:p>
    <w:p>
      <w:pPr>
        <w:pStyle w:val="14"/>
        <w:numPr>
          <w:ilvl w:val="0"/>
          <w:numId w:val="7"/>
        </w:numPr>
        <w:adjustRightInd w:val="0"/>
        <w:spacing w:line="420" w:lineRule="atLeast"/>
        <w:ind w:left="0" w:firstLine="420"/>
        <w:rPr>
          <w:rFonts w:hAnsi="宋体" w:cs="Arial"/>
          <w:bCs/>
        </w:rPr>
      </w:pPr>
      <w:r>
        <w:rPr>
          <w:rFonts w:hint="eastAsia" w:hAnsi="宋体" w:cs="Arial"/>
          <w:bCs/>
        </w:rPr>
        <w:t>不符合供应商资格要求；</w:t>
      </w:r>
    </w:p>
    <w:p>
      <w:pPr>
        <w:pStyle w:val="14"/>
        <w:numPr>
          <w:ilvl w:val="0"/>
          <w:numId w:val="7"/>
        </w:numPr>
        <w:adjustRightInd w:val="0"/>
        <w:spacing w:line="420" w:lineRule="atLeast"/>
        <w:ind w:left="0" w:firstLine="420"/>
        <w:rPr>
          <w:rFonts w:hAnsi="宋体" w:cs="Arial"/>
          <w:bCs/>
        </w:rPr>
      </w:pPr>
      <w:r>
        <w:rPr>
          <w:rFonts w:hint="eastAsia" w:hAnsi="宋体" w:cs="Arial"/>
          <w:bCs/>
        </w:rPr>
        <w:t>未按磋商文件要求编制或字迹模糊、辨认不清的</w:t>
      </w:r>
      <w:r>
        <w:rPr>
          <w:rFonts w:hint="eastAsia" w:hAnsi="宋体"/>
          <w:bCs/>
        </w:rPr>
        <w:t>磋商响应文件</w:t>
      </w:r>
      <w:r>
        <w:rPr>
          <w:rFonts w:hint="eastAsia" w:hAnsi="宋体" w:cs="Arial"/>
          <w:bCs/>
        </w:rPr>
        <w:t>；</w:t>
      </w:r>
    </w:p>
    <w:p>
      <w:pPr>
        <w:pStyle w:val="14"/>
        <w:numPr>
          <w:ilvl w:val="0"/>
          <w:numId w:val="7"/>
        </w:numPr>
        <w:adjustRightInd w:val="0"/>
        <w:spacing w:line="420" w:lineRule="atLeast"/>
        <w:ind w:left="0" w:firstLine="420"/>
        <w:rPr>
          <w:rFonts w:hAnsi="宋体" w:cs="Arial"/>
          <w:bCs/>
        </w:rPr>
      </w:pPr>
      <w:r>
        <w:rPr>
          <w:rFonts w:hint="eastAsia" w:hAnsi="宋体" w:cs="Arial"/>
          <w:bCs/>
        </w:rPr>
        <w:t>明显不符合技术磋商文件技术要求的</w:t>
      </w:r>
      <w:r>
        <w:rPr>
          <w:rFonts w:hint="eastAsia" w:hAnsi="宋体"/>
          <w:bCs/>
        </w:rPr>
        <w:t>磋商响应文件</w:t>
      </w:r>
      <w:r>
        <w:rPr>
          <w:rFonts w:hint="eastAsia" w:hAnsi="宋体" w:cs="Arial"/>
          <w:bCs/>
        </w:rPr>
        <w:t>；</w:t>
      </w:r>
    </w:p>
    <w:p>
      <w:pPr>
        <w:pStyle w:val="14"/>
        <w:numPr>
          <w:ilvl w:val="0"/>
          <w:numId w:val="7"/>
        </w:numPr>
        <w:adjustRightInd w:val="0"/>
        <w:spacing w:line="420" w:lineRule="atLeast"/>
        <w:ind w:left="0" w:firstLine="420"/>
        <w:rPr>
          <w:rFonts w:hAnsi="宋体" w:cs="Arial"/>
          <w:bCs/>
        </w:rPr>
      </w:pPr>
      <w:r>
        <w:rPr>
          <w:rFonts w:hint="eastAsia" w:hAnsi="宋体"/>
          <w:bCs/>
        </w:rPr>
        <w:t>磋商响应文件</w:t>
      </w:r>
      <w:r>
        <w:rPr>
          <w:rFonts w:hint="eastAsia" w:hAnsi="宋体" w:cs="Arial"/>
          <w:bCs/>
        </w:rPr>
        <w:t>附有采购人不能接受的条款；</w:t>
      </w:r>
    </w:p>
    <w:p>
      <w:pPr>
        <w:pStyle w:val="14"/>
        <w:numPr>
          <w:ilvl w:val="0"/>
          <w:numId w:val="7"/>
        </w:numPr>
        <w:adjustRightInd w:val="0"/>
        <w:spacing w:line="420" w:lineRule="atLeast"/>
        <w:ind w:left="0" w:firstLine="420"/>
        <w:rPr>
          <w:rFonts w:hAnsi="宋体" w:cs="Arial"/>
          <w:bCs/>
        </w:rPr>
      </w:pPr>
      <w:r>
        <w:rPr>
          <w:rFonts w:hint="eastAsia" w:hAnsi="宋体" w:cs="Arial"/>
          <w:bCs/>
        </w:rPr>
        <w:t>不符合磋商文件中规定的实质性要求的磋商响应文件；（是否为偏离实质性要求由磋商小组认定。）</w:t>
      </w:r>
    </w:p>
    <w:p>
      <w:pPr>
        <w:pStyle w:val="14"/>
        <w:numPr>
          <w:ilvl w:val="0"/>
          <w:numId w:val="7"/>
        </w:numPr>
        <w:adjustRightInd w:val="0"/>
        <w:spacing w:line="420" w:lineRule="atLeast"/>
        <w:ind w:left="0" w:firstLine="420"/>
        <w:rPr>
          <w:rFonts w:hAnsi="宋体" w:cs="Arial"/>
          <w:bCs/>
        </w:rPr>
      </w:pPr>
      <w:r>
        <w:rPr>
          <w:rFonts w:hint="eastAsia" w:hAnsi="宋体" w:cs="Arial"/>
          <w:bCs/>
        </w:rPr>
        <w:t>存在串标、抬标或弄虚作假情况的；</w:t>
      </w:r>
    </w:p>
    <w:p>
      <w:pPr>
        <w:pStyle w:val="14"/>
        <w:numPr>
          <w:ilvl w:val="0"/>
          <w:numId w:val="7"/>
        </w:numPr>
        <w:adjustRightInd w:val="0"/>
        <w:spacing w:line="420" w:lineRule="atLeast"/>
        <w:ind w:left="0" w:firstLine="420"/>
        <w:rPr>
          <w:rFonts w:hAnsi="宋体" w:cs="Arial"/>
          <w:bCs/>
        </w:rPr>
      </w:pPr>
      <w:r>
        <w:rPr>
          <w:rFonts w:hint="eastAsia" w:hAnsi="宋体" w:cs="Arial"/>
          <w:bCs/>
        </w:rPr>
        <w:t>其他经磋商小组认定的未能在实质上响应的或违反国家有关规定的</w:t>
      </w:r>
      <w:r>
        <w:rPr>
          <w:rFonts w:hint="eastAsia" w:hAnsi="宋体"/>
          <w:bCs/>
        </w:rPr>
        <w:t>磋商响应文件</w:t>
      </w:r>
      <w:r>
        <w:rPr>
          <w:rFonts w:hint="eastAsia" w:hAnsi="宋体" w:cs="Arial"/>
          <w:bCs/>
        </w:rPr>
        <w:t>。</w:t>
      </w:r>
    </w:p>
    <w:p>
      <w:pPr>
        <w:pStyle w:val="14"/>
        <w:numPr>
          <w:ilvl w:val="0"/>
          <w:numId w:val="7"/>
        </w:numPr>
        <w:adjustRightInd w:val="0"/>
        <w:spacing w:line="420" w:lineRule="atLeast"/>
        <w:ind w:left="0" w:firstLine="420"/>
        <w:rPr>
          <w:rFonts w:hAnsi="宋体" w:cs="Arial"/>
          <w:u w:val="single"/>
        </w:rPr>
      </w:pPr>
      <w:r>
        <w:rPr>
          <w:rFonts w:hint="eastAsia" w:hAnsi="宋体" w:cs="Arial"/>
          <w:u w:val="single"/>
        </w:rPr>
        <w:t>本次采购，供应商最终报价均超出采购预算金额（或最高限价），采购人确认不能支付的，本次采购做流（废）标处理。</w:t>
      </w:r>
    </w:p>
    <w:p>
      <w:pPr>
        <w:pStyle w:val="14"/>
        <w:adjustRightInd w:val="0"/>
        <w:spacing w:line="420" w:lineRule="atLeast"/>
        <w:ind w:firstLine="440" w:firstLineChars="200"/>
        <w:rPr>
          <w:rFonts w:hAnsi="宋体" w:cs="Arial"/>
        </w:rPr>
      </w:pPr>
      <w:r>
        <w:rPr>
          <w:rFonts w:hint="eastAsia" w:hAnsi="宋体" w:cs="Arial"/>
        </w:rPr>
        <w:t>5、评审</w:t>
      </w:r>
      <w:r>
        <w:rPr>
          <w:rFonts w:hAnsi="宋体" w:cs="Arial"/>
        </w:rPr>
        <w:t>过程中遇到特殊情况，由</w:t>
      </w:r>
      <w:r>
        <w:rPr>
          <w:rFonts w:hint="eastAsia" w:hAnsi="宋体" w:cs="Arial"/>
        </w:rPr>
        <w:t>磋商采购小组</w:t>
      </w:r>
      <w:r>
        <w:rPr>
          <w:rFonts w:hAnsi="宋体" w:cs="Arial"/>
        </w:rPr>
        <w:t>遵循公开、公正原则，采取投票方式按照少数服从多数原则决定。</w:t>
      </w:r>
    </w:p>
    <w:p>
      <w:pPr>
        <w:pStyle w:val="14"/>
        <w:adjustRightInd w:val="0"/>
        <w:spacing w:line="440" w:lineRule="exact"/>
        <w:ind w:firstLine="440" w:firstLineChars="200"/>
        <w:rPr>
          <w:rFonts w:hAnsi="宋体"/>
          <w:color w:val="000000"/>
        </w:rPr>
      </w:pPr>
      <w:r>
        <w:rPr>
          <w:rFonts w:hint="eastAsia" w:hAnsi="宋体"/>
          <w:color w:val="000000"/>
        </w:rPr>
        <w:t>6、评审</w:t>
      </w:r>
    </w:p>
    <w:p>
      <w:pPr>
        <w:pStyle w:val="14"/>
        <w:adjustRightInd w:val="0"/>
        <w:spacing w:line="440" w:lineRule="exact"/>
        <w:ind w:firstLine="440" w:firstLineChars="200"/>
        <w:rPr>
          <w:rFonts w:hAnsi="宋体"/>
          <w:color w:val="000000"/>
        </w:rPr>
      </w:pPr>
      <w:r>
        <w:rPr>
          <w:rFonts w:hint="eastAsia" w:hAnsi="宋体"/>
          <w:color w:val="000000"/>
        </w:rPr>
        <w:t>6.1 评审原则：磋商小组必须公平、公正、客观，不带任何倾向性和启发性；不得向外界透露任何与评审有关的内容；任何单位和个人不得干扰、影响评审的正常进行；磋商小组及有关工作人员不得私下与磋商供应商接触。</w:t>
      </w:r>
    </w:p>
    <w:p>
      <w:pPr>
        <w:pStyle w:val="14"/>
        <w:adjustRightInd w:val="0"/>
        <w:spacing w:line="440" w:lineRule="exact"/>
        <w:ind w:firstLine="440" w:firstLineChars="200"/>
        <w:rPr>
          <w:rFonts w:hAnsi="宋体"/>
          <w:color w:val="000000"/>
        </w:rPr>
      </w:pPr>
      <w:r>
        <w:rPr>
          <w:rFonts w:hint="eastAsia" w:hAnsi="宋体"/>
          <w:color w:val="000000"/>
        </w:rPr>
        <w:t>6.2 开启供应商商务报价文件后发现价格、数量有误，其投标价将按下述原则处理：</w:t>
      </w:r>
    </w:p>
    <w:p>
      <w:pPr>
        <w:pStyle w:val="14"/>
        <w:adjustRightInd w:val="0"/>
        <w:spacing w:line="440" w:lineRule="exact"/>
        <w:ind w:firstLine="440" w:firstLineChars="200"/>
        <w:rPr>
          <w:rFonts w:hAnsi="宋体"/>
          <w:color w:val="000000"/>
        </w:rPr>
      </w:pPr>
      <w:r>
        <w:rPr>
          <w:rFonts w:hint="eastAsia" w:hAnsi="宋体"/>
          <w:color w:val="000000"/>
        </w:rPr>
        <w:t>1) 任何有漏去一些小项货物或服务的投标将被视为其费用已包含在投标总价中，投标价格不予调整。如果供应商不接受上述处理方式，将做为无效投标。</w:t>
      </w:r>
    </w:p>
    <w:p>
      <w:pPr>
        <w:pStyle w:val="14"/>
        <w:adjustRightInd w:val="0"/>
        <w:spacing w:line="440" w:lineRule="exact"/>
        <w:ind w:firstLine="440" w:firstLineChars="200"/>
        <w:rPr>
          <w:rFonts w:hAnsi="宋体"/>
          <w:color w:val="000000"/>
        </w:rPr>
      </w:pPr>
      <w:r>
        <w:rPr>
          <w:rFonts w:hint="eastAsia" w:hAnsi="宋体"/>
          <w:color w:val="000000"/>
        </w:rPr>
        <w:t>2) 任何有多报一些小项工程或货物的投标其投标价不予调整，如果该供应商中标，则合同价格必须为核减掉多报的一些小项工程或货物后的价格。如果供应商不接受上述处理方式，将做为无效投标。</w:t>
      </w:r>
    </w:p>
    <w:p>
      <w:pPr>
        <w:pStyle w:val="14"/>
        <w:adjustRightInd w:val="0"/>
        <w:spacing w:line="440" w:lineRule="exact"/>
        <w:ind w:firstLine="440" w:firstLineChars="200"/>
        <w:rPr>
          <w:rFonts w:hAnsi="宋体"/>
          <w:color w:val="000000"/>
        </w:rPr>
      </w:pPr>
      <w:r>
        <w:rPr>
          <w:rFonts w:hint="eastAsia" w:hAnsi="宋体"/>
          <w:color w:val="000000"/>
        </w:rPr>
        <w:t>3）对于计算错误的其投标价不予调整，如果该供应商中标，如其投标价格计算错误导致多报者合同价格予以据实核减，少报者合同价格不予调整。如果供应商不接受上述处理方式，将做为无效投标。</w:t>
      </w:r>
    </w:p>
    <w:p>
      <w:pPr>
        <w:pStyle w:val="14"/>
        <w:adjustRightInd w:val="0"/>
        <w:spacing w:line="440" w:lineRule="exact"/>
        <w:ind w:firstLine="440" w:firstLineChars="200"/>
        <w:rPr>
          <w:rFonts w:hAnsi="宋体"/>
          <w:color w:val="000000"/>
        </w:rPr>
      </w:pPr>
      <w:r>
        <w:rPr>
          <w:rFonts w:hint="eastAsia" w:hAnsi="宋体"/>
          <w:color w:val="000000"/>
        </w:rPr>
        <w:t>4）对于计算错误，多报或漏报的一些小项工程或货物、服务的仅仅为非实质性重大偏差范围内的偏离，并经过评标委员会按少数服从多数原则认定为细微偏差，评审时其投标价不予调整。</w:t>
      </w:r>
    </w:p>
    <w:p>
      <w:pPr>
        <w:pStyle w:val="14"/>
        <w:adjustRightInd w:val="0"/>
        <w:spacing w:line="440" w:lineRule="exact"/>
        <w:ind w:firstLine="440" w:firstLineChars="200"/>
        <w:rPr>
          <w:rFonts w:hAnsi="宋体"/>
          <w:color w:val="000000"/>
        </w:rPr>
      </w:pPr>
      <w:r>
        <w:rPr>
          <w:rFonts w:hint="eastAsia" w:hAnsi="宋体"/>
          <w:color w:val="000000"/>
        </w:rPr>
        <w:t>6.3 评审办法：本项目评审办法是综合评分法，具体评审内容及评分标准等。</w:t>
      </w:r>
    </w:p>
    <w:p>
      <w:pPr>
        <w:pStyle w:val="14"/>
        <w:adjustRightInd w:val="0"/>
        <w:snapToGrid w:val="0"/>
        <w:spacing w:line="440" w:lineRule="exact"/>
        <w:ind w:firstLine="440" w:firstLineChars="200"/>
        <w:outlineLvl w:val="1"/>
        <w:rPr>
          <w:rFonts w:hAnsi="宋体"/>
        </w:rPr>
      </w:pPr>
      <w:r>
        <w:rPr>
          <w:rFonts w:hint="eastAsia" w:hAnsi="宋体"/>
        </w:rPr>
        <w:t>七、授予合同</w:t>
      </w:r>
    </w:p>
    <w:p>
      <w:pPr>
        <w:pStyle w:val="14"/>
        <w:adjustRightInd w:val="0"/>
        <w:snapToGrid w:val="0"/>
        <w:spacing w:line="440" w:lineRule="exact"/>
        <w:ind w:firstLine="440" w:firstLineChars="200"/>
        <w:rPr>
          <w:rFonts w:hAnsi="宋体"/>
        </w:rPr>
      </w:pPr>
      <w:r>
        <w:rPr>
          <w:rFonts w:hint="eastAsia" w:hAnsi="宋体"/>
        </w:rPr>
        <w:t>1、确定成交供应商</w:t>
      </w:r>
    </w:p>
    <w:p>
      <w:pPr>
        <w:pStyle w:val="14"/>
        <w:adjustRightInd w:val="0"/>
        <w:spacing w:line="440" w:lineRule="exact"/>
        <w:ind w:firstLine="440" w:firstLineChars="200"/>
        <w:rPr>
          <w:rFonts w:hAnsi="宋体"/>
          <w:color w:val="000000"/>
        </w:rPr>
      </w:pPr>
      <w:r>
        <w:rPr>
          <w:rFonts w:hint="eastAsia" w:hAnsi="宋体"/>
          <w:color w:val="000000"/>
        </w:rPr>
        <w:t>评审结束后，根据磋商采购小组推荐，采购人依法确定成交供应商。</w:t>
      </w:r>
    </w:p>
    <w:p>
      <w:pPr>
        <w:pStyle w:val="14"/>
        <w:adjustRightInd w:val="0"/>
        <w:snapToGrid w:val="0"/>
        <w:spacing w:line="440" w:lineRule="exact"/>
        <w:ind w:firstLine="440" w:firstLineChars="200"/>
        <w:rPr>
          <w:rFonts w:hAnsi="宋体"/>
        </w:rPr>
      </w:pPr>
      <w:r>
        <w:rPr>
          <w:rFonts w:hint="eastAsia" w:hAnsi="宋体"/>
        </w:rPr>
        <w:t>2、成交通知书</w:t>
      </w:r>
    </w:p>
    <w:p>
      <w:pPr>
        <w:pStyle w:val="14"/>
        <w:adjustRightInd w:val="0"/>
        <w:snapToGrid w:val="0"/>
        <w:spacing w:line="440" w:lineRule="exact"/>
        <w:ind w:firstLine="435" w:firstLineChars="198"/>
        <w:rPr>
          <w:rFonts w:hAnsi="宋体"/>
          <w:spacing w:val="10"/>
        </w:rPr>
      </w:pPr>
      <w:r>
        <w:rPr>
          <w:rFonts w:hint="eastAsia" w:hAnsi="宋体"/>
        </w:rPr>
        <w:t>2.</w:t>
      </w:r>
      <w:r>
        <w:rPr>
          <w:rFonts w:hint="eastAsia" w:hAnsi="宋体"/>
          <w:spacing w:val="10"/>
        </w:rPr>
        <w:t>1 采购机构在浙江省政府采购网上公示成交结果，公示期为二个工作日。如发现成交供应商资格无效，则重新组织招标；新的成交供应商确定后，代理机构向新的成交供应商发出成交通知书。</w:t>
      </w:r>
    </w:p>
    <w:p>
      <w:pPr>
        <w:adjustRightInd w:val="0"/>
        <w:snapToGrid w:val="0"/>
        <w:spacing w:line="440" w:lineRule="exact"/>
        <w:ind w:firstLine="440" w:firstLineChars="200"/>
      </w:pPr>
      <w:r>
        <w:rPr>
          <w:rFonts w:hint="eastAsia"/>
        </w:rPr>
        <w:t>2.2 成交通知书对采购人和成交供应商具有法律约束力。成交通知书发出后，采购人改变成交结果或者成交供应商放弃成交的，应当承担法律责任。</w:t>
      </w:r>
    </w:p>
    <w:p>
      <w:pPr>
        <w:adjustRightInd w:val="0"/>
        <w:snapToGrid w:val="0"/>
        <w:spacing w:line="440" w:lineRule="exact"/>
      </w:pPr>
      <w:r>
        <w:rPr>
          <w:rFonts w:hint="eastAsia"/>
        </w:rPr>
        <w:t xml:space="preserve">    3、磋商小组对未成交的供应商不作落标原因解释。</w:t>
      </w:r>
    </w:p>
    <w:p>
      <w:pPr>
        <w:pStyle w:val="14"/>
        <w:adjustRightInd w:val="0"/>
        <w:snapToGrid w:val="0"/>
        <w:spacing w:line="440" w:lineRule="exact"/>
        <w:rPr>
          <w:rFonts w:hAnsi="宋体"/>
        </w:rPr>
      </w:pPr>
      <w:r>
        <w:rPr>
          <w:rFonts w:hint="eastAsia" w:hAnsi="宋体"/>
        </w:rPr>
        <w:t xml:space="preserve">    4、签订合同</w:t>
      </w:r>
    </w:p>
    <w:p>
      <w:pPr>
        <w:adjustRightInd w:val="0"/>
        <w:spacing w:line="440" w:lineRule="exact"/>
        <w:ind w:firstLine="440" w:firstLineChars="200"/>
        <w:rPr>
          <w:color w:val="000000"/>
        </w:rPr>
      </w:pPr>
      <w:r>
        <w:rPr>
          <w:rFonts w:hint="eastAsia"/>
          <w:color w:val="000000"/>
        </w:rPr>
        <w:t>4.1 在评审结束后经采购人确认后，向采购人或代理单位领取成交通知书。</w:t>
      </w:r>
      <w:r>
        <w:rPr>
          <w:rFonts w:hint="eastAsia" w:cs="Arial"/>
        </w:rPr>
        <w:t>在公示期结束后15工作日内与采购人签订合同。如成交供应商未经采购人许可，在规定的时间内未到采购人处签订合同的，视为拒签合同。</w:t>
      </w:r>
    </w:p>
    <w:p>
      <w:pPr>
        <w:pStyle w:val="14"/>
        <w:adjustRightInd w:val="0"/>
        <w:spacing w:line="440" w:lineRule="exact"/>
        <w:ind w:firstLine="424" w:firstLineChars="193"/>
        <w:rPr>
          <w:rFonts w:hAnsi="宋体"/>
          <w:color w:val="000000"/>
        </w:rPr>
      </w:pPr>
      <w:r>
        <w:rPr>
          <w:rFonts w:hint="eastAsia" w:hAnsi="宋体"/>
          <w:color w:val="000000"/>
        </w:rPr>
        <w:t>4.2 磋商文件及补充文件、成交方的磋商响应文件、评审过程中有关澄清文件及经双方承诺和成交通知书均作为合同附件。</w:t>
      </w:r>
    </w:p>
    <w:p>
      <w:pPr>
        <w:pStyle w:val="14"/>
        <w:adjustRightInd w:val="0"/>
        <w:spacing w:line="440" w:lineRule="exact"/>
        <w:ind w:firstLine="424" w:firstLineChars="193"/>
        <w:rPr>
          <w:rFonts w:hAnsi="宋体"/>
          <w:color w:val="000000"/>
        </w:rPr>
      </w:pPr>
      <w:r>
        <w:rPr>
          <w:rFonts w:hint="eastAsia" w:hAnsi="宋体"/>
          <w:color w:val="000000"/>
        </w:rPr>
        <w:t>4.3 拒签合同的责任</w:t>
      </w:r>
    </w:p>
    <w:p>
      <w:pPr>
        <w:pStyle w:val="14"/>
        <w:adjustRightInd w:val="0"/>
        <w:spacing w:line="440" w:lineRule="exact"/>
        <w:ind w:firstLine="440" w:firstLineChars="200"/>
        <w:rPr>
          <w:rFonts w:hAnsi="宋体"/>
          <w:color w:val="000000"/>
        </w:rPr>
      </w:pPr>
      <w:r>
        <w:rPr>
          <w:rFonts w:hint="eastAsia" w:hAnsi="宋体"/>
          <w:color w:val="000000"/>
        </w:rPr>
        <w:t>成交供应商接到成交通知书后，在规定时间内借故否认已经承诺的条件或拒签合同，以违约处理，处以中标金额5%得赔偿。</w:t>
      </w:r>
    </w:p>
    <w:p>
      <w:pPr>
        <w:numPr>
          <w:ilvl w:val="0"/>
          <w:numId w:val="8"/>
        </w:numPr>
        <w:autoSpaceDE w:val="0"/>
        <w:autoSpaceDN w:val="0"/>
        <w:adjustRightInd w:val="0"/>
        <w:snapToGrid w:val="0"/>
        <w:spacing w:line="454" w:lineRule="atLeast"/>
        <w:ind w:firstLine="450"/>
        <w:textAlignment w:val="bottom"/>
        <w:rPr>
          <w:color w:val="000000"/>
        </w:rPr>
      </w:pPr>
      <w:r>
        <w:rPr>
          <w:rFonts w:hint="eastAsia"/>
          <w:color w:val="000000"/>
        </w:rPr>
        <w:t>采购代理服务费</w:t>
      </w:r>
    </w:p>
    <w:p>
      <w:pPr>
        <w:autoSpaceDE w:val="0"/>
        <w:autoSpaceDN w:val="0"/>
        <w:adjustRightInd w:val="0"/>
        <w:snapToGrid w:val="0"/>
        <w:spacing w:line="454" w:lineRule="atLeast"/>
        <w:ind w:firstLine="440" w:firstLineChars="200"/>
        <w:textAlignment w:val="bottom"/>
      </w:pPr>
      <w:r>
        <w:rPr>
          <w:rFonts w:hint="eastAsia"/>
        </w:rPr>
        <w:t>5.1 成交供应商在领取成交通知书同时向采购代理机构支付的招标代理服务费</w:t>
      </w:r>
      <w:r>
        <w:rPr>
          <w:rFonts w:hint="eastAsia"/>
          <w:b/>
          <w:bCs/>
          <w:lang w:val="en-US" w:eastAsia="zh-CN"/>
        </w:rPr>
        <w:t>9500</w:t>
      </w:r>
      <w:r>
        <w:rPr>
          <w:rFonts w:hint="eastAsia"/>
          <w:b/>
          <w:bCs/>
        </w:rPr>
        <w:t>元</w:t>
      </w:r>
      <w:r>
        <w:rPr>
          <w:rFonts w:hint="eastAsia"/>
        </w:rPr>
        <w:t>（含专家论证费等），采购代理服务费包含在投标总价中。</w:t>
      </w:r>
    </w:p>
    <w:p>
      <w:pPr>
        <w:autoSpaceDE w:val="0"/>
        <w:autoSpaceDN w:val="0"/>
        <w:adjustRightInd w:val="0"/>
        <w:snapToGrid w:val="0"/>
        <w:spacing w:line="454" w:lineRule="atLeast"/>
        <w:ind w:firstLine="440" w:firstLineChars="200"/>
        <w:textAlignment w:val="bottom"/>
      </w:pPr>
      <w:r>
        <w:rPr>
          <w:rFonts w:hint="eastAsia"/>
        </w:rPr>
        <w:t>采购代理服务费可按以下帐户、帐号汇入：</w:t>
      </w:r>
    </w:p>
    <w:p>
      <w:pPr>
        <w:autoSpaceDE w:val="0"/>
        <w:autoSpaceDN w:val="0"/>
        <w:adjustRightInd w:val="0"/>
        <w:snapToGrid w:val="0"/>
        <w:spacing w:line="454" w:lineRule="atLeast"/>
        <w:ind w:firstLine="420" w:firstLineChars="200"/>
        <w:textAlignment w:val="bottom"/>
        <w:rPr>
          <w:rFonts w:cs="Times New Roman"/>
          <w:sz w:val="21"/>
          <w:szCs w:val="21"/>
        </w:rPr>
      </w:pPr>
      <w:r>
        <w:rPr>
          <w:rFonts w:hint="eastAsia" w:cs="Times New Roman"/>
          <w:sz w:val="21"/>
          <w:szCs w:val="21"/>
        </w:rPr>
        <w:t>户名：浙江欣源工程项目管理有限公司</w:t>
      </w:r>
    </w:p>
    <w:p>
      <w:pPr>
        <w:autoSpaceDE w:val="0"/>
        <w:autoSpaceDN w:val="0"/>
        <w:adjustRightInd w:val="0"/>
        <w:snapToGrid w:val="0"/>
        <w:spacing w:line="454" w:lineRule="atLeast"/>
        <w:ind w:firstLine="420" w:firstLineChars="200"/>
        <w:textAlignment w:val="bottom"/>
        <w:rPr>
          <w:rFonts w:cs="Times New Roman"/>
          <w:sz w:val="21"/>
          <w:szCs w:val="21"/>
        </w:rPr>
      </w:pPr>
      <w:r>
        <w:rPr>
          <w:rFonts w:hint="eastAsia" w:cs="Times New Roman"/>
          <w:sz w:val="21"/>
          <w:szCs w:val="21"/>
        </w:rPr>
        <w:t>账号：201000286519028</w:t>
      </w:r>
    </w:p>
    <w:p>
      <w:pPr>
        <w:autoSpaceDE w:val="0"/>
        <w:autoSpaceDN w:val="0"/>
        <w:adjustRightInd w:val="0"/>
        <w:snapToGrid w:val="0"/>
        <w:spacing w:line="454" w:lineRule="atLeast"/>
        <w:ind w:firstLine="420" w:firstLineChars="200"/>
        <w:textAlignment w:val="bottom"/>
        <w:rPr>
          <w:rFonts w:cs="Times New Roman"/>
          <w:sz w:val="21"/>
          <w:szCs w:val="21"/>
        </w:rPr>
      </w:pPr>
      <w:r>
        <w:rPr>
          <w:rFonts w:hint="eastAsia" w:cs="Times New Roman"/>
          <w:sz w:val="21"/>
          <w:szCs w:val="21"/>
        </w:rPr>
        <w:t>开户机构：浙江文成农村商业银行股份有限公司城南支行</w:t>
      </w:r>
    </w:p>
    <w:p>
      <w:pPr>
        <w:autoSpaceDE w:val="0"/>
        <w:autoSpaceDN w:val="0"/>
        <w:adjustRightInd w:val="0"/>
        <w:snapToGrid w:val="0"/>
        <w:spacing w:line="454" w:lineRule="atLeast"/>
        <w:ind w:firstLine="420" w:firstLineChars="200"/>
        <w:textAlignment w:val="bottom"/>
        <w:rPr>
          <w:rFonts w:cs="Times New Roman"/>
          <w:sz w:val="21"/>
          <w:szCs w:val="21"/>
        </w:rPr>
      </w:pPr>
      <w:r>
        <w:rPr>
          <w:rFonts w:hint="eastAsia" w:cs="Times New Roman"/>
          <w:sz w:val="21"/>
          <w:szCs w:val="21"/>
        </w:rPr>
        <w:t>农信银行号：402333700017</w:t>
      </w:r>
    </w:p>
    <w:p>
      <w:pPr>
        <w:autoSpaceDE w:val="0"/>
        <w:autoSpaceDN w:val="0"/>
        <w:adjustRightInd w:val="0"/>
        <w:snapToGrid w:val="0"/>
        <w:spacing w:line="454" w:lineRule="atLeast"/>
        <w:ind w:firstLine="420" w:firstLineChars="200"/>
        <w:textAlignment w:val="bottom"/>
        <w:rPr>
          <w:highlight w:val="yellow"/>
        </w:rPr>
      </w:pPr>
      <w:r>
        <w:rPr>
          <w:rFonts w:hint="eastAsia" w:cs="Times New Roman"/>
          <w:sz w:val="21"/>
          <w:szCs w:val="21"/>
        </w:rPr>
        <w:t>文成农商行城南支行</w:t>
      </w:r>
    </w:p>
    <w:p>
      <w:pPr>
        <w:autoSpaceDE w:val="0"/>
        <w:autoSpaceDN w:val="0"/>
        <w:adjustRightInd w:val="0"/>
        <w:snapToGrid w:val="0"/>
        <w:spacing w:line="454" w:lineRule="atLeast"/>
        <w:ind w:firstLine="440" w:firstLineChars="200"/>
        <w:textAlignment w:val="bottom"/>
      </w:pPr>
      <w:r>
        <w:rPr>
          <w:rFonts w:hint="eastAsia"/>
        </w:rPr>
        <w:t>5.2 成交供应商未按规定交纳采购代理服务费，因此造成不良后果，由成交供应商自行承担。</w:t>
      </w:r>
    </w:p>
    <w:p>
      <w:pPr>
        <w:autoSpaceDE w:val="0"/>
        <w:autoSpaceDN w:val="0"/>
        <w:adjustRightInd w:val="0"/>
        <w:spacing w:line="440" w:lineRule="atLeast"/>
        <w:jc w:val="center"/>
        <w:outlineLvl w:val="0"/>
        <w:rPr>
          <w:b/>
          <w:bCs/>
        </w:rPr>
      </w:pPr>
      <w:r>
        <w:rPr>
          <w:rFonts w:hint="eastAsia"/>
          <w:color w:val="000000"/>
          <w:sz w:val="36"/>
          <w:szCs w:val="36"/>
        </w:rPr>
        <w:br w:type="page"/>
      </w:r>
      <w:bookmarkStart w:id="25" w:name="_Toc30642"/>
      <w:bookmarkStart w:id="26" w:name="_Toc413227846"/>
      <w:r>
        <w:rPr>
          <w:rFonts w:hint="eastAsia"/>
          <w:b/>
          <w:bCs/>
          <w:sz w:val="36"/>
          <w:szCs w:val="36"/>
          <w:lang w:val="zh-CN"/>
        </w:rPr>
        <w:t>第三部分 合同格式（仅供参考）</w:t>
      </w:r>
      <w:bookmarkEnd w:id="25"/>
    </w:p>
    <w:p>
      <w:pPr>
        <w:spacing w:line="420" w:lineRule="atLeast"/>
        <w:rPr>
          <w:sz w:val="36"/>
        </w:rPr>
      </w:pPr>
    </w:p>
    <w:p>
      <w:pPr>
        <w:pStyle w:val="23"/>
        <w:ind w:left="502" w:leftChars="228"/>
        <w:rPr>
          <w:szCs w:val="22"/>
        </w:rPr>
      </w:pPr>
      <w:r>
        <w:rPr>
          <w:rFonts w:hint="eastAsia"/>
          <w:szCs w:val="22"/>
        </w:rPr>
        <w:t>甲方：</w:t>
      </w:r>
      <w:r>
        <w:rPr>
          <w:rFonts w:hint="eastAsia"/>
          <w:szCs w:val="22"/>
          <w:u w:val="single"/>
        </w:rPr>
        <w:t xml:space="preserve">                         （</w:t>
      </w:r>
      <w:r>
        <w:rPr>
          <w:rFonts w:hint="eastAsia"/>
          <w:szCs w:val="22"/>
        </w:rPr>
        <w:t xml:space="preserve">以下简称甲方）                                                  </w:t>
      </w:r>
    </w:p>
    <w:p>
      <w:pPr>
        <w:pStyle w:val="23"/>
        <w:ind w:left="502" w:leftChars="228"/>
        <w:rPr>
          <w:szCs w:val="22"/>
        </w:rPr>
      </w:pPr>
      <w:r>
        <w:rPr>
          <w:rFonts w:hint="eastAsia"/>
          <w:szCs w:val="22"/>
        </w:rPr>
        <w:t>乙方：</w:t>
      </w:r>
      <w:r>
        <w:rPr>
          <w:rFonts w:hint="eastAsia"/>
          <w:szCs w:val="22"/>
          <w:u w:val="single"/>
        </w:rPr>
        <w:t xml:space="preserve">                           </w:t>
      </w:r>
      <w:r>
        <w:rPr>
          <w:rFonts w:hint="eastAsia"/>
          <w:szCs w:val="22"/>
        </w:rPr>
        <w:t>（以下简称乙方）                                              项目名称：</w:t>
      </w:r>
      <w:r>
        <w:rPr>
          <w:rFonts w:hint="eastAsia"/>
          <w:szCs w:val="22"/>
          <w:u w:val="single"/>
        </w:rPr>
        <w:t xml:space="preserve">                    </w:t>
      </w:r>
    </w:p>
    <w:p>
      <w:pPr>
        <w:spacing w:line="460" w:lineRule="atLeast"/>
        <w:ind w:firstLine="440" w:firstLineChars="200"/>
      </w:pPr>
      <w:r>
        <w:rPr>
          <w:rFonts w:hint="eastAsia"/>
        </w:rPr>
        <w:t>采购人委托中标单位承担</w:t>
      </w:r>
      <w:r>
        <w:rPr>
          <w:rFonts w:hint="eastAsia"/>
          <w:u w:val="single"/>
          <w:lang w:eastAsia="zh-CN"/>
        </w:rPr>
        <w:t>文成县政务服务中心政府购买第三方辅助团队服务</w:t>
      </w:r>
      <w:r>
        <w:rPr>
          <w:rFonts w:hint="eastAsia"/>
          <w:u w:val="single"/>
        </w:rPr>
        <w:t>。</w:t>
      </w:r>
      <w:r>
        <w:rPr>
          <w:rFonts w:hint="eastAsia"/>
        </w:rPr>
        <w:t>经双方协商一致，签订本合同，共同执行。</w:t>
      </w:r>
    </w:p>
    <w:p>
      <w:pPr>
        <w:spacing w:line="460" w:lineRule="atLeast"/>
        <w:ind w:firstLine="440" w:firstLineChars="200"/>
        <w:outlineLvl w:val="1"/>
      </w:pPr>
      <w:r>
        <w:rPr>
          <w:rFonts w:hint="eastAsia"/>
        </w:rPr>
        <w:t>第一条  本合同签订依据</w:t>
      </w:r>
    </w:p>
    <w:p>
      <w:pPr>
        <w:spacing w:line="460" w:lineRule="atLeast"/>
        <w:ind w:firstLine="440" w:firstLineChars="200"/>
      </w:pPr>
      <w:r>
        <w:rPr>
          <w:rFonts w:hint="eastAsia"/>
        </w:rPr>
        <w:t>1、《中华人民共和国民法典》及相关法律法规。</w:t>
      </w:r>
    </w:p>
    <w:p>
      <w:pPr>
        <w:spacing w:line="460" w:lineRule="atLeast"/>
        <w:ind w:firstLine="440" w:firstLineChars="200"/>
        <w:outlineLvl w:val="1"/>
      </w:pPr>
      <w:r>
        <w:rPr>
          <w:rFonts w:hint="eastAsia"/>
        </w:rPr>
        <w:t>第二条  项目依据</w:t>
      </w:r>
    </w:p>
    <w:p>
      <w:pPr>
        <w:spacing w:line="460" w:lineRule="atLeast"/>
        <w:ind w:firstLine="440" w:firstLineChars="200"/>
      </w:pPr>
      <w:r>
        <w:rPr>
          <w:rFonts w:hint="eastAsia"/>
        </w:rPr>
        <w:t>1、采购人给中标单位的委托书或招标文件；</w:t>
      </w:r>
    </w:p>
    <w:p>
      <w:pPr>
        <w:spacing w:line="460" w:lineRule="atLeast"/>
        <w:ind w:firstLine="440" w:firstLineChars="200"/>
      </w:pPr>
      <w:r>
        <w:rPr>
          <w:rFonts w:hint="eastAsia"/>
        </w:rPr>
        <w:t>2、采购人提交的基础资料。</w:t>
      </w:r>
    </w:p>
    <w:p>
      <w:pPr>
        <w:spacing w:line="460" w:lineRule="atLeast"/>
        <w:ind w:firstLine="440" w:firstLineChars="200"/>
        <w:outlineLvl w:val="1"/>
      </w:pPr>
      <w:r>
        <w:rPr>
          <w:rFonts w:hint="eastAsia"/>
        </w:rPr>
        <w:t>第三条  合同文件的优先次序</w:t>
      </w:r>
    </w:p>
    <w:p>
      <w:pPr>
        <w:spacing w:line="460" w:lineRule="atLeast"/>
        <w:ind w:firstLine="440" w:firstLineChars="200"/>
      </w:pPr>
      <w:r>
        <w:rPr>
          <w:rFonts w:hint="eastAsia"/>
        </w:rPr>
        <w:t>构成本合同的文件可视为是能互相说明的，如果合同文件存在歧义或不一致则根据如下优先次序来判断；</w:t>
      </w:r>
    </w:p>
    <w:p>
      <w:pPr>
        <w:spacing w:line="460" w:lineRule="atLeast"/>
        <w:ind w:firstLine="440" w:firstLineChars="200"/>
      </w:pPr>
      <w:r>
        <w:rPr>
          <w:rFonts w:hint="eastAsia"/>
        </w:rPr>
        <w:t>1、合同书及合同谈判纪要</w:t>
      </w:r>
    </w:p>
    <w:p>
      <w:pPr>
        <w:spacing w:line="460" w:lineRule="atLeast"/>
        <w:ind w:firstLine="440" w:firstLineChars="200"/>
      </w:pPr>
      <w:r>
        <w:rPr>
          <w:rFonts w:hint="eastAsia"/>
        </w:rPr>
        <w:t>2、中标通知书（文件）</w:t>
      </w:r>
    </w:p>
    <w:p>
      <w:pPr>
        <w:spacing w:line="460" w:lineRule="atLeast"/>
        <w:ind w:firstLine="440" w:firstLineChars="200"/>
      </w:pPr>
      <w:r>
        <w:rPr>
          <w:rFonts w:hint="eastAsia"/>
        </w:rPr>
        <w:t>3、采购人要求及委托书</w:t>
      </w:r>
    </w:p>
    <w:p>
      <w:pPr>
        <w:spacing w:line="460" w:lineRule="atLeast"/>
        <w:ind w:firstLine="440" w:firstLineChars="200"/>
      </w:pPr>
      <w:r>
        <w:rPr>
          <w:rFonts w:hint="eastAsia"/>
        </w:rPr>
        <w:t>4、招标文件</w:t>
      </w:r>
    </w:p>
    <w:p>
      <w:pPr>
        <w:spacing w:line="460" w:lineRule="atLeast"/>
        <w:ind w:firstLine="440" w:firstLineChars="200"/>
      </w:pPr>
      <w:r>
        <w:rPr>
          <w:rFonts w:hint="eastAsia"/>
        </w:rPr>
        <w:t>5、投标文件</w:t>
      </w:r>
    </w:p>
    <w:p>
      <w:pPr>
        <w:spacing w:line="600" w:lineRule="exact"/>
        <w:ind w:firstLine="440" w:firstLineChars="200"/>
        <w:outlineLvl w:val="1"/>
      </w:pPr>
      <w:r>
        <w:rPr>
          <w:rFonts w:hint="eastAsia"/>
        </w:rPr>
        <w:t>第四条  采购项目内容及合同价格</w:t>
      </w:r>
    </w:p>
    <w:p>
      <w:pPr>
        <w:tabs>
          <w:tab w:val="left" w:pos="425"/>
        </w:tabs>
        <w:snapToGrid w:val="0"/>
        <w:spacing w:line="340" w:lineRule="exact"/>
        <w:ind w:firstLine="550" w:firstLineChars="250"/>
      </w:pPr>
      <w:r>
        <w:rPr>
          <w:rFonts w:hint="eastAsia"/>
        </w:rPr>
        <w:t>中标供应商保证提供如下内容的合格服务：                     金额单位： 元</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4"/>
        <w:gridCol w:w="3784"/>
        <w:gridCol w:w="913"/>
        <w:gridCol w:w="2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924" w:type="dxa"/>
            <w:vAlign w:val="center"/>
          </w:tcPr>
          <w:p>
            <w:pPr>
              <w:spacing w:line="480" w:lineRule="exact"/>
              <w:jc w:val="center"/>
            </w:pPr>
            <w:r>
              <w:rPr>
                <w:rFonts w:hint="eastAsia"/>
              </w:rPr>
              <w:t>项目名称</w:t>
            </w:r>
          </w:p>
        </w:tc>
        <w:tc>
          <w:tcPr>
            <w:tcW w:w="3784" w:type="dxa"/>
            <w:vAlign w:val="center"/>
          </w:tcPr>
          <w:p>
            <w:pPr>
              <w:spacing w:line="480" w:lineRule="exact"/>
              <w:jc w:val="center"/>
            </w:pPr>
            <w:r>
              <w:rPr>
                <w:rFonts w:hint="eastAsia"/>
              </w:rPr>
              <w:t>内容</w:t>
            </w:r>
          </w:p>
        </w:tc>
        <w:tc>
          <w:tcPr>
            <w:tcW w:w="913" w:type="dxa"/>
            <w:vAlign w:val="center"/>
          </w:tcPr>
          <w:p>
            <w:pPr>
              <w:spacing w:line="480" w:lineRule="exact"/>
              <w:jc w:val="center"/>
            </w:pPr>
            <w:r>
              <w:rPr>
                <w:rFonts w:hint="eastAsia"/>
              </w:rPr>
              <w:t>报价</w:t>
            </w:r>
          </w:p>
        </w:tc>
        <w:tc>
          <w:tcPr>
            <w:tcW w:w="2056" w:type="dxa"/>
            <w:vAlign w:val="center"/>
          </w:tcPr>
          <w:p>
            <w:pPr>
              <w:spacing w:line="480" w:lineRule="exact"/>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jc w:val="center"/>
        </w:trPr>
        <w:tc>
          <w:tcPr>
            <w:tcW w:w="1924" w:type="dxa"/>
            <w:vMerge w:val="restart"/>
            <w:vAlign w:val="center"/>
          </w:tcPr>
          <w:p>
            <w:pPr>
              <w:spacing w:line="480" w:lineRule="exact"/>
            </w:pPr>
          </w:p>
        </w:tc>
        <w:tc>
          <w:tcPr>
            <w:tcW w:w="3784" w:type="dxa"/>
            <w:vAlign w:val="center"/>
          </w:tcPr>
          <w:p>
            <w:pPr>
              <w:snapToGrid w:val="0"/>
              <w:spacing w:line="400" w:lineRule="exact"/>
              <w:jc w:val="center"/>
            </w:pPr>
          </w:p>
        </w:tc>
        <w:tc>
          <w:tcPr>
            <w:tcW w:w="913" w:type="dxa"/>
            <w:vAlign w:val="center"/>
          </w:tcPr>
          <w:p>
            <w:pPr>
              <w:spacing w:line="480" w:lineRule="exact"/>
              <w:jc w:val="center"/>
            </w:pPr>
          </w:p>
        </w:tc>
        <w:tc>
          <w:tcPr>
            <w:tcW w:w="2056" w:type="dxa"/>
            <w:vMerge w:val="restart"/>
            <w:vAlign w:val="center"/>
          </w:tcPr>
          <w:p>
            <w:pPr>
              <w:spacing w:line="480" w:lineRule="exact"/>
              <w:jc w:val="center"/>
            </w:pPr>
            <w:r>
              <w:rPr>
                <w:rFonts w:hint="eastAsia"/>
              </w:rPr>
              <w:t>中标总价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jc w:val="center"/>
        </w:trPr>
        <w:tc>
          <w:tcPr>
            <w:tcW w:w="1924" w:type="dxa"/>
            <w:vMerge w:val="continue"/>
            <w:vAlign w:val="center"/>
          </w:tcPr>
          <w:p>
            <w:pPr>
              <w:spacing w:line="480" w:lineRule="exact"/>
              <w:ind w:firstLine="480"/>
            </w:pPr>
          </w:p>
        </w:tc>
        <w:tc>
          <w:tcPr>
            <w:tcW w:w="3784" w:type="dxa"/>
            <w:vAlign w:val="center"/>
          </w:tcPr>
          <w:p>
            <w:pPr>
              <w:snapToGrid w:val="0"/>
              <w:spacing w:line="400" w:lineRule="exact"/>
              <w:jc w:val="center"/>
            </w:pPr>
          </w:p>
        </w:tc>
        <w:tc>
          <w:tcPr>
            <w:tcW w:w="913" w:type="dxa"/>
            <w:vAlign w:val="center"/>
          </w:tcPr>
          <w:p>
            <w:pPr>
              <w:spacing w:line="480" w:lineRule="exact"/>
              <w:jc w:val="center"/>
            </w:pPr>
          </w:p>
        </w:tc>
        <w:tc>
          <w:tcPr>
            <w:tcW w:w="2056" w:type="dxa"/>
            <w:vMerge w:val="continue"/>
            <w:vAlign w:val="center"/>
          </w:tcPr>
          <w:p>
            <w:pPr>
              <w:spacing w:line="480" w:lineRule="exact"/>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1924" w:type="dxa"/>
            <w:vMerge w:val="continue"/>
            <w:vAlign w:val="center"/>
          </w:tcPr>
          <w:p>
            <w:pPr>
              <w:spacing w:line="480" w:lineRule="exact"/>
              <w:ind w:firstLine="480"/>
            </w:pPr>
          </w:p>
        </w:tc>
        <w:tc>
          <w:tcPr>
            <w:tcW w:w="3784" w:type="dxa"/>
            <w:vAlign w:val="center"/>
          </w:tcPr>
          <w:p>
            <w:pPr>
              <w:pStyle w:val="17"/>
              <w:spacing w:line="240" w:lineRule="auto"/>
              <w:rPr>
                <w:sz w:val="22"/>
                <w:szCs w:val="22"/>
              </w:rPr>
            </w:pPr>
          </w:p>
        </w:tc>
        <w:tc>
          <w:tcPr>
            <w:tcW w:w="913" w:type="dxa"/>
            <w:vAlign w:val="center"/>
          </w:tcPr>
          <w:p>
            <w:pPr>
              <w:spacing w:line="480" w:lineRule="exact"/>
              <w:jc w:val="center"/>
            </w:pPr>
          </w:p>
        </w:tc>
        <w:tc>
          <w:tcPr>
            <w:tcW w:w="2056" w:type="dxa"/>
            <w:vMerge w:val="continue"/>
            <w:vAlign w:val="center"/>
          </w:tcPr>
          <w:p>
            <w:pPr>
              <w:spacing w:line="480" w:lineRule="exact"/>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6621" w:type="dxa"/>
            <w:gridSpan w:val="3"/>
            <w:vAlign w:val="center"/>
          </w:tcPr>
          <w:p>
            <w:pPr>
              <w:spacing w:line="480" w:lineRule="exact"/>
            </w:pPr>
            <w:r>
              <w:rPr>
                <w:rFonts w:hint="eastAsia"/>
              </w:rPr>
              <w:t>合同人民币总金额：元整</w:t>
            </w:r>
          </w:p>
        </w:tc>
        <w:tc>
          <w:tcPr>
            <w:tcW w:w="2056" w:type="dxa"/>
            <w:vMerge w:val="continue"/>
            <w:vAlign w:val="center"/>
          </w:tcPr>
          <w:p>
            <w:pPr>
              <w:spacing w:line="480" w:lineRule="exact"/>
              <w:ind w:firstLine="480"/>
            </w:pPr>
          </w:p>
        </w:tc>
      </w:tr>
    </w:tbl>
    <w:p>
      <w:pPr>
        <w:autoSpaceDE w:val="0"/>
        <w:autoSpaceDN w:val="0"/>
        <w:adjustRightInd w:val="0"/>
        <w:snapToGrid w:val="0"/>
        <w:spacing w:line="460" w:lineRule="atLeast"/>
        <w:ind w:firstLine="420" w:firstLineChars="191"/>
        <w:textAlignment w:val="bottom"/>
        <w:outlineLvl w:val="1"/>
      </w:pPr>
      <w:r>
        <w:rPr>
          <w:rFonts w:hint="eastAsia"/>
        </w:rPr>
        <w:t>第五条  甲方权利及义务：</w:t>
      </w:r>
    </w:p>
    <w:p>
      <w:pPr>
        <w:adjustRightInd w:val="0"/>
        <w:snapToGrid w:val="0"/>
        <w:spacing w:line="420" w:lineRule="atLeast"/>
        <w:ind w:left="438" w:leftChars="199" w:firstLine="22" w:firstLineChars="10"/>
        <w:rPr>
          <w:bCs/>
        </w:rPr>
      </w:pPr>
      <w:r>
        <w:rPr>
          <w:rFonts w:hint="eastAsia"/>
          <w:bCs/>
        </w:rPr>
        <w:t>1、甲方有权对乙方的服务质量进行考核；</w:t>
      </w:r>
    </w:p>
    <w:p>
      <w:pPr>
        <w:adjustRightInd w:val="0"/>
        <w:snapToGrid w:val="0"/>
        <w:spacing w:line="420" w:lineRule="atLeast"/>
        <w:ind w:firstLine="440" w:firstLineChars="200"/>
        <w:rPr>
          <w:bCs/>
        </w:rPr>
      </w:pPr>
      <w:r>
        <w:rPr>
          <w:rFonts w:hint="eastAsia"/>
          <w:bCs/>
        </w:rPr>
        <w:t>2、乙方须承担本项目实施、管理及相关的一切责任，不得将本项目转包或分包。否则，一经发现，甲方有权对其作出处罚，直至终止合同。</w:t>
      </w:r>
    </w:p>
    <w:p>
      <w:pPr>
        <w:adjustRightInd w:val="0"/>
        <w:snapToGrid w:val="0"/>
        <w:spacing w:line="420" w:lineRule="atLeast"/>
        <w:ind w:firstLine="440" w:firstLineChars="200"/>
        <w:rPr>
          <w:bCs/>
        </w:rPr>
      </w:pPr>
      <w:r>
        <w:rPr>
          <w:rFonts w:hint="eastAsia"/>
          <w:bCs/>
        </w:rPr>
        <w:t>3、如乙方不履行服务承诺或违背服务承诺中的任何一项，甲方有权要求乙方改正，如乙方不予理会的，甲方除了可以停止支付服务费外，终止合同。</w:t>
      </w:r>
    </w:p>
    <w:p>
      <w:pPr>
        <w:adjustRightInd w:val="0"/>
        <w:snapToGrid w:val="0"/>
        <w:spacing w:line="420" w:lineRule="atLeast"/>
        <w:ind w:firstLine="440" w:firstLineChars="200"/>
        <w:rPr>
          <w:bCs/>
        </w:rPr>
      </w:pPr>
      <w:r>
        <w:rPr>
          <w:rFonts w:hint="eastAsia"/>
          <w:bCs/>
        </w:rPr>
        <w:t>4、乙方工作人员必须遵守甲方有关规章制度和管理规定，如有违反或损害甲方利益的，甲方有拒绝违规工作人员在本项目中的工作权利。</w:t>
      </w:r>
    </w:p>
    <w:p>
      <w:pPr>
        <w:adjustRightInd w:val="0"/>
        <w:snapToGrid w:val="0"/>
        <w:spacing w:line="420" w:lineRule="atLeast"/>
        <w:ind w:firstLine="440" w:firstLineChars="200"/>
        <w:rPr>
          <w:bCs/>
        </w:rPr>
      </w:pPr>
      <w:r>
        <w:rPr>
          <w:rFonts w:hint="eastAsia"/>
          <w:bCs/>
        </w:rPr>
        <w:t>5、如因乙方引起的劳资纠纷问题，影响正常工作的，甲方有权另行聘请员工确保正常工作，所产生的费用在承包经费中相应扣减。</w:t>
      </w:r>
    </w:p>
    <w:p>
      <w:pPr>
        <w:autoSpaceDE w:val="0"/>
        <w:autoSpaceDN w:val="0"/>
        <w:adjustRightInd w:val="0"/>
        <w:snapToGrid w:val="0"/>
        <w:spacing w:line="460" w:lineRule="atLeast"/>
        <w:ind w:firstLine="420" w:firstLineChars="191"/>
        <w:textAlignment w:val="bottom"/>
        <w:outlineLvl w:val="1"/>
        <w:rPr>
          <w:bCs/>
        </w:rPr>
      </w:pPr>
      <w:r>
        <w:rPr>
          <w:rFonts w:hint="eastAsia"/>
        </w:rPr>
        <w:t>第六条  乙方权利及义务：</w:t>
      </w:r>
    </w:p>
    <w:p>
      <w:pPr>
        <w:spacing w:line="440" w:lineRule="atLeast"/>
        <w:ind w:firstLine="440" w:firstLineChars="200"/>
      </w:pPr>
      <w:r>
        <w:rPr>
          <w:rFonts w:hint="eastAsia"/>
        </w:rPr>
        <w:t>1、乙方有权根据承包合同领取承包结算经费。</w:t>
      </w:r>
    </w:p>
    <w:p>
      <w:pPr>
        <w:spacing w:line="440" w:lineRule="atLeast"/>
        <w:ind w:firstLine="440" w:firstLineChars="200"/>
      </w:pPr>
      <w:r>
        <w:rPr>
          <w:rFonts w:hint="eastAsia"/>
        </w:rPr>
        <w:t>2、乙方有权对管理工作提出建议。</w:t>
      </w:r>
    </w:p>
    <w:p>
      <w:pPr>
        <w:spacing w:line="440" w:lineRule="atLeast"/>
        <w:ind w:firstLine="440" w:firstLineChars="200"/>
      </w:pPr>
      <w:r>
        <w:rPr>
          <w:rFonts w:hint="eastAsia"/>
        </w:rPr>
        <w:t>3、乙方履行承诺的义务，并参加由甲方组织的检查和综合考评。</w:t>
      </w:r>
    </w:p>
    <w:p>
      <w:pPr>
        <w:spacing w:line="440" w:lineRule="atLeast"/>
        <w:ind w:firstLine="440" w:firstLineChars="200"/>
      </w:pPr>
      <w:r>
        <w:rPr>
          <w:rFonts w:hint="eastAsia"/>
        </w:rPr>
        <w:t>4、乙方应接受甲方的检查监督及指导。</w:t>
      </w:r>
    </w:p>
    <w:p>
      <w:pPr>
        <w:spacing w:line="440" w:lineRule="atLeast"/>
        <w:ind w:firstLine="440" w:firstLineChars="200"/>
      </w:pPr>
      <w:r>
        <w:rPr>
          <w:rFonts w:hint="eastAsia"/>
        </w:rPr>
        <w:t>5、按甲方的要求开展工作，如有改变，乙方应提出书面申请，并征得甲方的书面同意。</w:t>
      </w:r>
    </w:p>
    <w:p>
      <w:pPr>
        <w:spacing w:line="440" w:lineRule="atLeast"/>
        <w:ind w:firstLine="440" w:firstLineChars="200"/>
      </w:pPr>
      <w:r>
        <w:rPr>
          <w:rFonts w:hint="eastAsia"/>
        </w:rPr>
        <w:t>6、乙方根据本合同所承担的服务内容，按实际上岗人数自行到有关部门申办相关手续。员工最低工资不得低于温州市市区本年度最低工资标准，并按相关规定办理社保。安排好属下人员的住宿和教育管理工作，如发生违纪事件，由乙方承担一切经济责任和法律责任。</w:t>
      </w:r>
    </w:p>
    <w:p>
      <w:pPr>
        <w:spacing w:line="440" w:lineRule="atLeast"/>
        <w:ind w:firstLine="440" w:firstLineChars="200"/>
      </w:pPr>
      <w:r>
        <w:rPr>
          <w:rFonts w:hint="eastAsia"/>
        </w:rPr>
        <w:t>7、负责提供本项目所需的全部工具、设备和材料。</w:t>
      </w:r>
    </w:p>
    <w:p>
      <w:pPr>
        <w:spacing w:line="440" w:lineRule="atLeast"/>
        <w:ind w:firstLine="440" w:firstLineChars="200"/>
      </w:pPr>
      <w:r>
        <w:rPr>
          <w:rFonts w:hint="eastAsia"/>
        </w:rPr>
        <w:t>8、乙方负责作业过程中的事故处理和一切费用，并承担事故的所有责任。</w:t>
      </w:r>
    </w:p>
    <w:p>
      <w:pPr>
        <w:spacing w:line="440" w:lineRule="atLeast"/>
        <w:ind w:firstLine="440" w:firstLineChars="200"/>
      </w:pPr>
      <w:r>
        <w:rPr>
          <w:rFonts w:hint="eastAsia"/>
        </w:rPr>
        <w:t>9、乙方应严格遵守国家法律、法规的规定，做好社会治安综合治理等工作，不得违反国家法律、法规和温州市的有关规定。</w:t>
      </w:r>
    </w:p>
    <w:p>
      <w:pPr>
        <w:spacing w:line="440" w:lineRule="atLeast"/>
        <w:ind w:firstLine="440" w:firstLineChars="200"/>
      </w:pPr>
      <w:r>
        <w:rPr>
          <w:rFonts w:hint="eastAsia"/>
        </w:rPr>
        <w:t>10、乙方应遵守法律、法规和政策的规定，因以上原因使合同性质发生改变，甲方不负赔偿责任。</w:t>
      </w:r>
    </w:p>
    <w:p>
      <w:pPr>
        <w:spacing w:line="440" w:lineRule="atLeast"/>
        <w:ind w:firstLine="440" w:firstLineChars="200"/>
        <w:outlineLvl w:val="1"/>
      </w:pPr>
      <w:r>
        <w:rPr>
          <w:rFonts w:hint="eastAsia"/>
        </w:rPr>
        <w:t>第七条  结算方式</w:t>
      </w:r>
    </w:p>
    <w:p>
      <w:pPr>
        <w:spacing w:line="440" w:lineRule="atLeast"/>
        <w:ind w:firstLine="440" w:firstLineChars="200"/>
        <w:rPr>
          <w:bCs/>
        </w:rPr>
      </w:pPr>
      <w:r>
        <w:rPr>
          <w:rFonts w:hint="eastAsia"/>
        </w:rPr>
        <w:t>详见采购文件要求。</w:t>
      </w:r>
    </w:p>
    <w:p>
      <w:pPr>
        <w:autoSpaceDE w:val="0"/>
        <w:autoSpaceDN w:val="0"/>
        <w:adjustRightInd w:val="0"/>
        <w:snapToGrid w:val="0"/>
        <w:spacing w:line="460" w:lineRule="atLeast"/>
        <w:ind w:firstLine="420" w:firstLineChars="191"/>
        <w:textAlignment w:val="bottom"/>
        <w:outlineLvl w:val="1"/>
      </w:pPr>
      <w:r>
        <w:rPr>
          <w:rFonts w:hint="eastAsia"/>
        </w:rPr>
        <w:t>第八条  不可抗力</w:t>
      </w:r>
    </w:p>
    <w:p>
      <w:pPr>
        <w:autoSpaceDE w:val="0"/>
        <w:autoSpaceDN w:val="0"/>
        <w:adjustRightInd w:val="0"/>
        <w:snapToGrid w:val="0"/>
        <w:spacing w:line="460" w:lineRule="atLeast"/>
        <w:ind w:firstLine="420" w:firstLineChars="191"/>
        <w:textAlignment w:val="bottom"/>
      </w:pPr>
      <w:r>
        <w:rPr>
          <w:rFonts w:hint="eastAsia"/>
        </w:rPr>
        <w:t>1.不可抗力系指双方不能预见、不能避免并不能克服的情况，如地震、洪水、暴雨、台风、雷电等自然灾害。</w:t>
      </w:r>
    </w:p>
    <w:p>
      <w:pPr>
        <w:autoSpaceDE w:val="0"/>
        <w:autoSpaceDN w:val="0"/>
        <w:adjustRightInd w:val="0"/>
        <w:snapToGrid w:val="0"/>
        <w:spacing w:line="460" w:lineRule="atLeast"/>
        <w:ind w:firstLine="420" w:firstLineChars="191"/>
        <w:textAlignment w:val="bottom"/>
      </w:pPr>
      <w:r>
        <w:rPr>
          <w:rFonts w:hint="eastAsia"/>
        </w:rPr>
        <w:t>2.因不可抗力造成系统硬件损坏的，由项目拥有者承担相应的损失。因不可抗力影响合同履行的，受影响的一方应在不可抗力发生之日起15日内书面通知对方，否则作为违约行为处理。</w:t>
      </w:r>
    </w:p>
    <w:p>
      <w:pPr>
        <w:autoSpaceDE w:val="0"/>
        <w:autoSpaceDN w:val="0"/>
        <w:adjustRightInd w:val="0"/>
        <w:snapToGrid w:val="0"/>
        <w:spacing w:line="460" w:lineRule="atLeast"/>
        <w:ind w:firstLine="420" w:firstLineChars="191"/>
        <w:textAlignment w:val="bottom"/>
        <w:outlineLvl w:val="1"/>
      </w:pPr>
      <w:r>
        <w:rPr>
          <w:rFonts w:hint="eastAsia"/>
        </w:rPr>
        <w:t>第九条  违约责任：</w:t>
      </w:r>
    </w:p>
    <w:p>
      <w:pPr>
        <w:autoSpaceDE w:val="0"/>
        <w:autoSpaceDN w:val="0"/>
        <w:adjustRightInd w:val="0"/>
        <w:snapToGrid w:val="0"/>
        <w:spacing w:line="460" w:lineRule="atLeast"/>
        <w:ind w:firstLine="420" w:firstLineChars="191"/>
        <w:textAlignment w:val="bottom"/>
      </w:pPr>
      <w:r>
        <w:rPr>
          <w:rFonts w:hint="eastAsia"/>
        </w:rPr>
        <w:t>1、甲方无正当理由拒收接受服务的，甲方向乙方支付合同款项百分之五作为违约金。</w:t>
      </w:r>
    </w:p>
    <w:p>
      <w:pPr>
        <w:autoSpaceDE w:val="0"/>
        <w:autoSpaceDN w:val="0"/>
        <w:adjustRightInd w:val="0"/>
        <w:snapToGrid w:val="0"/>
        <w:spacing w:line="460" w:lineRule="atLeast"/>
        <w:ind w:firstLine="420" w:firstLineChars="191"/>
        <w:textAlignment w:val="bottom"/>
      </w:pPr>
      <w:r>
        <w:rPr>
          <w:rFonts w:hint="eastAsia"/>
        </w:rPr>
        <w:t>2、甲方无故逾期办理款项支付手续的，甲方应按逾期付款总额每日万分之五向乙方支付违约金。</w:t>
      </w:r>
    </w:p>
    <w:p>
      <w:pPr>
        <w:autoSpaceDE w:val="0"/>
        <w:autoSpaceDN w:val="0"/>
        <w:adjustRightInd w:val="0"/>
        <w:snapToGrid w:val="0"/>
        <w:spacing w:line="460" w:lineRule="atLeast"/>
        <w:ind w:firstLine="420" w:firstLineChars="191"/>
        <w:textAlignment w:val="bottom"/>
      </w:pPr>
      <w:r>
        <w:rPr>
          <w:rFonts w:hint="eastAsia"/>
        </w:rPr>
        <w:t>3、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款项百分之五的违约金，如造成甲方损失超过违约金的，超出部分由乙方继续承担赔偿责任。</w:t>
      </w:r>
    </w:p>
    <w:p>
      <w:pPr>
        <w:autoSpaceDE w:val="0"/>
        <w:autoSpaceDN w:val="0"/>
        <w:adjustRightInd w:val="0"/>
        <w:snapToGrid w:val="0"/>
        <w:spacing w:line="460" w:lineRule="atLeast"/>
        <w:ind w:firstLine="420" w:firstLineChars="191"/>
        <w:textAlignment w:val="bottom"/>
        <w:outlineLvl w:val="1"/>
      </w:pPr>
      <w:r>
        <w:rPr>
          <w:rFonts w:hint="eastAsia"/>
        </w:rPr>
        <w:t>第十条  争议解决办法</w:t>
      </w:r>
    </w:p>
    <w:p>
      <w:pPr>
        <w:autoSpaceDE w:val="0"/>
        <w:autoSpaceDN w:val="0"/>
        <w:adjustRightInd w:val="0"/>
        <w:snapToGrid w:val="0"/>
        <w:spacing w:line="460" w:lineRule="atLeast"/>
        <w:ind w:firstLine="420" w:firstLineChars="191"/>
        <w:textAlignment w:val="bottom"/>
      </w:pPr>
      <w:r>
        <w:rPr>
          <w:rFonts w:hint="eastAsia"/>
        </w:rPr>
        <w:t>本项目合同发生争议，采购人与中标单位应及时协商解决。也可由当地建设行政主管部门调解，调解不成时，可提交有关仲裁委员会仲裁，或依法向人民法院起诉解决，司法管辖权属文成县司法部门。</w:t>
      </w:r>
    </w:p>
    <w:p>
      <w:pPr>
        <w:autoSpaceDE w:val="0"/>
        <w:autoSpaceDN w:val="0"/>
        <w:adjustRightInd w:val="0"/>
        <w:snapToGrid w:val="0"/>
        <w:spacing w:line="460" w:lineRule="atLeast"/>
        <w:ind w:firstLine="420" w:firstLineChars="191"/>
        <w:textAlignment w:val="bottom"/>
        <w:outlineLvl w:val="1"/>
      </w:pPr>
      <w:r>
        <w:rPr>
          <w:rFonts w:hint="eastAsia"/>
        </w:rPr>
        <w:t>第十一条  合同生效及其它</w:t>
      </w:r>
    </w:p>
    <w:p>
      <w:pPr>
        <w:autoSpaceDE w:val="0"/>
        <w:autoSpaceDN w:val="0"/>
        <w:adjustRightInd w:val="0"/>
        <w:snapToGrid w:val="0"/>
        <w:spacing w:line="460" w:lineRule="atLeast"/>
        <w:ind w:firstLine="420" w:firstLineChars="191"/>
        <w:textAlignment w:val="bottom"/>
      </w:pPr>
      <w:r>
        <w:rPr>
          <w:rFonts w:hint="eastAsia"/>
        </w:rPr>
        <w:t>1、甲方委托乙方承担本合同内容以外的工作服务，另行签订协议并支付费用。</w:t>
      </w:r>
    </w:p>
    <w:p>
      <w:pPr>
        <w:autoSpaceDE w:val="0"/>
        <w:autoSpaceDN w:val="0"/>
        <w:adjustRightInd w:val="0"/>
        <w:snapToGrid w:val="0"/>
        <w:spacing w:line="460" w:lineRule="atLeast"/>
        <w:ind w:firstLine="420" w:firstLineChars="191"/>
        <w:textAlignment w:val="bottom"/>
      </w:pPr>
      <w:r>
        <w:rPr>
          <w:rFonts w:hint="eastAsia"/>
        </w:rPr>
        <w:t>2、由于不可抗拒因素致使合同无法履行时，双方应及时协商解决。</w:t>
      </w:r>
    </w:p>
    <w:p>
      <w:pPr>
        <w:autoSpaceDE w:val="0"/>
        <w:autoSpaceDN w:val="0"/>
        <w:adjustRightInd w:val="0"/>
        <w:snapToGrid w:val="0"/>
        <w:spacing w:line="460" w:lineRule="atLeast"/>
        <w:ind w:firstLine="420" w:firstLineChars="191"/>
        <w:textAlignment w:val="bottom"/>
        <w:rPr>
          <w:u w:val="single"/>
        </w:rPr>
      </w:pPr>
      <w:r>
        <w:rPr>
          <w:rFonts w:hint="eastAsia"/>
        </w:rPr>
        <w:t>3、本合同双方签字盖章即生效，</w:t>
      </w:r>
      <w:r>
        <w:rPr>
          <w:rFonts w:hint="eastAsia"/>
          <w:u w:val="single"/>
        </w:rPr>
        <w:t>本合同一式捌份，采购人贰份、供应商贰份、文成县财政局贰份、代理机构贰份（电子扫描件一份，发至邮箱942069708@qq.com）。</w:t>
      </w:r>
    </w:p>
    <w:p>
      <w:pPr>
        <w:autoSpaceDE w:val="0"/>
        <w:autoSpaceDN w:val="0"/>
        <w:adjustRightInd w:val="0"/>
        <w:snapToGrid w:val="0"/>
        <w:spacing w:line="460" w:lineRule="atLeast"/>
        <w:ind w:firstLine="420" w:firstLineChars="191"/>
        <w:textAlignment w:val="bottom"/>
      </w:pPr>
      <w:r>
        <w:rPr>
          <w:rFonts w:hint="eastAsia"/>
        </w:rPr>
        <w:t>4、 本合同生效后，在双方履行完合同规定的义务后，本合同即行终止。</w:t>
      </w:r>
    </w:p>
    <w:p>
      <w:pPr>
        <w:autoSpaceDE w:val="0"/>
        <w:autoSpaceDN w:val="0"/>
        <w:adjustRightInd w:val="0"/>
        <w:snapToGrid w:val="0"/>
        <w:spacing w:line="460" w:lineRule="atLeast"/>
        <w:ind w:firstLine="420" w:firstLineChars="191"/>
        <w:textAlignment w:val="bottom"/>
      </w:pPr>
      <w:r>
        <w:rPr>
          <w:rFonts w:hint="eastAsia"/>
        </w:rPr>
        <w:t>5、 双方来往传真、电报、会议纪要等，经双方认可后均为合同的组成部分，与本合同具有同等法律效力。</w:t>
      </w:r>
    </w:p>
    <w:p>
      <w:pPr>
        <w:autoSpaceDE w:val="0"/>
        <w:autoSpaceDN w:val="0"/>
        <w:adjustRightInd w:val="0"/>
        <w:snapToGrid w:val="0"/>
        <w:spacing w:line="460" w:lineRule="atLeast"/>
        <w:ind w:firstLine="420" w:firstLineChars="191"/>
        <w:textAlignment w:val="bottom"/>
      </w:pPr>
      <w:r>
        <w:rPr>
          <w:rFonts w:hint="eastAsia"/>
        </w:rPr>
        <w:t>6、未尽事宜，经双方协商一致，签订补充协议，补充协议与本合同具有同等效力。</w:t>
      </w:r>
    </w:p>
    <w:p>
      <w:pPr>
        <w:autoSpaceDE w:val="0"/>
        <w:autoSpaceDN w:val="0"/>
        <w:adjustRightInd w:val="0"/>
        <w:snapToGrid w:val="0"/>
        <w:spacing w:line="460" w:lineRule="atLeast"/>
        <w:ind w:firstLine="420" w:firstLineChars="191"/>
        <w:textAlignment w:val="bottom"/>
      </w:pPr>
      <w:r>
        <w:rPr>
          <w:rFonts w:hint="eastAsia"/>
        </w:rPr>
        <w:t>7、 项目负责人：                 联系电话：</w:t>
      </w:r>
    </w:p>
    <w:p>
      <w:pPr>
        <w:autoSpaceDE w:val="0"/>
        <w:autoSpaceDN w:val="0"/>
        <w:adjustRightInd w:val="0"/>
        <w:snapToGrid w:val="0"/>
        <w:spacing w:line="460" w:lineRule="atLeast"/>
        <w:ind w:firstLine="420" w:firstLineChars="191"/>
        <w:textAlignment w:val="bottom"/>
      </w:pPr>
      <w:r>
        <w:rPr>
          <w:rFonts w:hint="eastAsia"/>
        </w:rPr>
        <w:t xml:space="preserve">    项目组成员名单：</w:t>
      </w:r>
    </w:p>
    <w:p>
      <w:pPr>
        <w:spacing w:line="360" w:lineRule="exact"/>
        <w:ind w:firstLine="630"/>
      </w:pPr>
    </w:p>
    <w:p>
      <w:pPr>
        <w:pStyle w:val="14"/>
        <w:snapToGrid w:val="0"/>
        <w:spacing w:line="400" w:lineRule="atLeast"/>
        <w:ind w:firstLine="1199" w:firstLineChars="545"/>
        <w:rPr>
          <w:rFonts w:hAnsi="宋体"/>
        </w:rPr>
      </w:pPr>
      <w:r>
        <w:rPr>
          <w:rFonts w:hint="eastAsia" w:hAnsi="宋体"/>
        </w:rPr>
        <w:t>甲方(盖章)：                                乙方（盖章）：</w:t>
      </w:r>
    </w:p>
    <w:p>
      <w:pPr>
        <w:pStyle w:val="14"/>
        <w:snapToGrid w:val="0"/>
        <w:spacing w:line="400" w:lineRule="atLeast"/>
        <w:ind w:firstLine="1199" w:firstLineChars="545"/>
        <w:rPr>
          <w:rFonts w:hAnsi="宋体"/>
        </w:rPr>
      </w:pPr>
      <w:r>
        <w:rPr>
          <w:rFonts w:hint="eastAsia" w:hAnsi="宋体"/>
        </w:rPr>
        <w:t>法定代表人：                                法定代表人（负责人）：</w:t>
      </w:r>
    </w:p>
    <w:p>
      <w:pPr>
        <w:pStyle w:val="14"/>
        <w:snapToGrid w:val="0"/>
        <w:spacing w:line="400" w:lineRule="atLeast"/>
        <w:ind w:firstLine="1199" w:firstLineChars="545"/>
        <w:rPr>
          <w:rFonts w:hAnsi="宋体"/>
        </w:rPr>
      </w:pPr>
      <w:r>
        <w:rPr>
          <w:rFonts w:hint="eastAsia" w:hAnsi="宋体"/>
        </w:rPr>
        <w:t>授权代表：                                  授权代表：</w:t>
      </w:r>
    </w:p>
    <w:p>
      <w:pPr>
        <w:pStyle w:val="14"/>
        <w:snapToGrid w:val="0"/>
        <w:spacing w:line="400" w:lineRule="atLeast"/>
        <w:ind w:firstLine="1199" w:firstLineChars="545"/>
        <w:rPr>
          <w:rFonts w:hAnsi="宋体"/>
        </w:rPr>
      </w:pPr>
      <w:r>
        <w:rPr>
          <w:rFonts w:hint="eastAsia" w:hAnsi="宋体"/>
        </w:rPr>
        <w:t>开户银行：                                  开户银行：</w:t>
      </w:r>
    </w:p>
    <w:p>
      <w:pPr>
        <w:pStyle w:val="14"/>
        <w:snapToGrid w:val="0"/>
        <w:spacing w:line="400" w:lineRule="atLeast"/>
        <w:ind w:firstLine="1199" w:firstLineChars="545"/>
        <w:rPr>
          <w:rFonts w:hAnsi="宋体"/>
        </w:rPr>
      </w:pPr>
      <w:r>
        <w:rPr>
          <w:rFonts w:hint="eastAsia" w:hAnsi="宋体"/>
        </w:rPr>
        <w:t>开户名称：                                  开户名称：</w:t>
      </w:r>
    </w:p>
    <w:p>
      <w:pPr>
        <w:pStyle w:val="14"/>
        <w:snapToGrid w:val="0"/>
        <w:spacing w:line="400" w:lineRule="atLeast"/>
        <w:ind w:firstLine="1199" w:firstLineChars="545"/>
        <w:rPr>
          <w:rFonts w:hAnsi="宋体"/>
        </w:rPr>
      </w:pPr>
      <w:r>
        <w:rPr>
          <w:rFonts w:hint="eastAsia" w:hAnsi="宋体"/>
        </w:rPr>
        <w:t>账号：                                      账号：</w:t>
      </w:r>
    </w:p>
    <w:p>
      <w:pPr>
        <w:pStyle w:val="14"/>
        <w:snapToGrid w:val="0"/>
        <w:spacing w:line="400" w:lineRule="atLeast"/>
        <w:ind w:firstLine="1199" w:firstLineChars="545"/>
        <w:rPr>
          <w:rFonts w:hAnsi="宋体"/>
          <w:sz w:val="36"/>
        </w:rPr>
      </w:pPr>
      <w:r>
        <w:rPr>
          <w:rFonts w:hint="eastAsia" w:hAnsi="宋体"/>
        </w:rPr>
        <w:t>签约日期：                                  签约地点：</w:t>
      </w:r>
    </w:p>
    <w:p>
      <w:pPr>
        <w:spacing w:line="420" w:lineRule="atLeast"/>
      </w:pPr>
    </w:p>
    <w:p>
      <w:pPr>
        <w:spacing w:line="420" w:lineRule="atLeast"/>
        <w:rPr>
          <w:b/>
          <w:bCs/>
          <w:sz w:val="32"/>
          <w:szCs w:val="32"/>
          <w:lang w:val="zh-CN"/>
        </w:rPr>
      </w:pPr>
      <w:r>
        <w:rPr>
          <w:rFonts w:hint="eastAsia"/>
          <w:b/>
          <w:bCs/>
          <w:u w:val="single"/>
        </w:rPr>
        <w:t>注：以上合同条款供采购人及成交供应商作为商务参考，具体签订时，采购人可根据自身项目情况与中标供应商协商另行修改拟定相关合同具体条款。</w:t>
      </w:r>
    </w:p>
    <w:p>
      <w:pPr>
        <w:adjustRightInd w:val="0"/>
        <w:snapToGrid w:val="0"/>
        <w:spacing w:line="460" w:lineRule="atLeast"/>
        <w:jc w:val="center"/>
        <w:outlineLvl w:val="0"/>
        <w:rPr>
          <w:b/>
          <w:bCs/>
          <w:color w:val="000000"/>
          <w:sz w:val="36"/>
          <w:szCs w:val="36"/>
        </w:rPr>
      </w:pPr>
      <w:bookmarkStart w:id="27" w:name="OLE_LINK5"/>
      <w:r>
        <w:rPr>
          <w:rFonts w:hint="eastAsia"/>
          <w:b/>
          <w:bCs/>
          <w:color w:val="000000"/>
          <w:sz w:val="36"/>
          <w:szCs w:val="36"/>
        </w:rPr>
        <w:br w:type="page"/>
      </w:r>
      <w:r>
        <w:rPr>
          <w:rFonts w:hint="eastAsia"/>
          <w:b/>
          <w:bCs/>
          <w:color w:val="000000"/>
          <w:sz w:val="36"/>
          <w:szCs w:val="36"/>
        </w:rPr>
        <w:t>第四部分 磋商响应文件格式</w:t>
      </w:r>
    </w:p>
    <w:p>
      <w:pPr>
        <w:adjustRightInd w:val="0"/>
        <w:snapToGrid w:val="0"/>
        <w:spacing w:line="460" w:lineRule="atLeast"/>
        <w:rPr>
          <w:spacing w:val="20"/>
          <w:sz w:val="32"/>
          <w:szCs w:val="32"/>
        </w:rPr>
      </w:pPr>
    </w:p>
    <w:p>
      <w:pPr>
        <w:adjustRightInd w:val="0"/>
        <w:snapToGrid w:val="0"/>
        <w:spacing w:line="460" w:lineRule="atLeast"/>
        <w:rPr>
          <w:spacing w:val="20"/>
          <w:sz w:val="32"/>
          <w:szCs w:val="32"/>
        </w:rPr>
      </w:pPr>
    </w:p>
    <w:p>
      <w:pPr>
        <w:adjustRightInd w:val="0"/>
        <w:snapToGrid w:val="0"/>
        <w:spacing w:line="460" w:lineRule="atLeast"/>
        <w:jc w:val="center"/>
        <w:rPr>
          <w:spacing w:val="20"/>
          <w:sz w:val="32"/>
          <w:szCs w:val="32"/>
        </w:rPr>
      </w:pPr>
      <w:r>
        <w:rPr>
          <w:rFonts w:hint="eastAsia"/>
          <w:spacing w:val="20"/>
          <w:sz w:val="32"/>
          <w:szCs w:val="32"/>
        </w:rPr>
        <w:t>（封面格式）</w:t>
      </w:r>
    </w:p>
    <w:p>
      <w:pPr>
        <w:adjustRightInd w:val="0"/>
        <w:snapToGrid w:val="0"/>
        <w:spacing w:line="460" w:lineRule="atLeast"/>
        <w:ind w:left="360" w:hanging="360" w:hangingChars="100"/>
        <w:rPr>
          <w:spacing w:val="20"/>
          <w:sz w:val="32"/>
          <w:szCs w:val="32"/>
        </w:rPr>
      </w:pPr>
    </w:p>
    <w:p>
      <w:pPr>
        <w:adjustRightInd w:val="0"/>
        <w:snapToGrid w:val="0"/>
        <w:spacing w:line="460" w:lineRule="atLeast"/>
        <w:ind w:left="360" w:hanging="360" w:hangingChars="100"/>
        <w:rPr>
          <w:spacing w:val="20"/>
          <w:sz w:val="32"/>
          <w:szCs w:val="32"/>
        </w:rPr>
      </w:pPr>
    </w:p>
    <w:p>
      <w:pPr>
        <w:adjustRightInd w:val="0"/>
        <w:snapToGrid w:val="0"/>
        <w:spacing w:line="460" w:lineRule="atLeast"/>
        <w:ind w:left="400" w:hanging="400" w:hangingChars="100"/>
        <w:rPr>
          <w:spacing w:val="20"/>
          <w:sz w:val="36"/>
          <w:szCs w:val="36"/>
        </w:rPr>
      </w:pPr>
    </w:p>
    <w:p>
      <w:pPr>
        <w:jc w:val="center"/>
        <w:rPr>
          <w:sz w:val="96"/>
        </w:rPr>
      </w:pPr>
      <w:r>
        <w:rPr>
          <w:rFonts w:hint="eastAsia"/>
          <w:sz w:val="96"/>
        </w:rPr>
        <w:t>磋商响应文件</w:t>
      </w:r>
    </w:p>
    <w:p>
      <w:pPr>
        <w:jc w:val="center"/>
        <w:rPr>
          <w:rFonts w:ascii="华文中宋" w:hAnsi="华文中宋" w:eastAsia="华文中宋" w:cs="Arial"/>
          <w:sz w:val="44"/>
          <w:szCs w:val="44"/>
        </w:rPr>
      </w:pPr>
      <w:r>
        <w:rPr>
          <w:rFonts w:hint="eastAsia" w:ascii="华文中宋" w:hAnsi="华文中宋" w:eastAsia="华文中宋" w:cs="Arial"/>
          <w:sz w:val="44"/>
          <w:szCs w:val="44"/>
        </w:rPr>
        <w:t>开标时启封</w:t>
      </w:r>
    </w:p>
    <w:p>
      <w:pPr>
        <w:rPr>
          <w:rFonts w:ascii="华文中宋" w:hAnsi="华文中宋" w:eastAsia="华文中宋" w:cs="Arial"/>
        </w:rPr>
      </w:pPr>
    </w:p>
    <w:p>
      <w:pPr>
        <w:ind w:firstLine="1271" w:firstLineChars="454"/>
        <w:rPr>
          <w:rFonts w:ascii="华文中宋" w:hAnsi="华文中宋" w:eastAsia="华文中宋" w:cs="Arial"/>
          <w:sz w:val="36"/>
          <w:u w:val="single"/>
        </w:rPr>
      </w:pPr>
      <w:r>
        <w:rPr>
          <w:rFonts w:hint="eastAsia" w:ascii="华文中宋" w:hAnsi="华文中宋" w:eastAsia="华文中宋" w:cs="Arial"/>
          <w:sz w:val="28"/>
        </w:rPr>
        <w:t>项目名称：</w:t>
      </w:r>
      <w:r>
        <w:rPr>
          <w:rFonts w:hint="eastAsia" w:ascii="华文中宋" w:hAnsi="华文中宋" w:eastAsia="华文中宋" w:cs="Arial"/>
          <w:sz w:val="28"/>
          <w:u w:val="single"/>
        </w:rPr>
        <w:t xml:space="preserve">                                  </w:t>
      </w:r>
    </w:p>
    <w:p>
      <w:pPr>
        <w:ind w:left="1118" w:leftChars="508" w:firstLine="140" w:firstLineChars="50"/>
        <w:rPr>
          <w:rFonts w:ascii="华文中宋" w:hAnsi="华文中宋" w:eastAsia="华文中宋" w:cs="Arial"/>
          <w:sz w:val="28"/>
          <w:u w:val="single"/>
        </w:rPr>
      </w:pPr>
      <w:r>
        <w:rPr>
          <w:rFonts w:hint="eastAsia" w:ascii="华文中宋" w:hAnsi="华文中宋" w:eastAsia="华文中宋" w:cs="Arial"/>
          <w:sz w:val="28"/>
        </w:rPr>
        <w:t>项目编号：</w:t>
      </w:r>
      <w:r>
        <w:rPr>
          <w:rFonts w:hint="eastAsia" w:ascii="华文中宋" w:hAnsi="华文中宋" w:eastAsia="华文中宋" w:cs="Arial"/>
          <w:sz w:val="28"/>
          <w:u w:val="single"/>
        </w:rPr>
        <w:t xml:space="preserve">                                  </w:t>
      </w:r>
    </w:p>
    <w:p>
      <w:pPr>
        <w:ind w:firstLine="1271" w:firstLineChars="454"/>
        <w:rPr>
          <w:rFonts w:ascii="华文中宋" w:hAnsi="华文中宋" w:eastAsia="华文中宋" w:cs="Arial"/>
          <w:sz w:val="28"/>
        </w:rPr>
      </w:pPr>
      <w:r>
        <w:rPr>
          <w:rFonts w:hint="eastAsia" w:ascii="华文中宋" w:hAnsi="华文中宋" w:eastAsia="华文中宋" w:cs="Arial"/>
          <w:sz w:val="28"/>
        </w:rPr>
        <w:t>采 购 人：</w:t>
      </w:r>
      <w:r>
        <w:rPr>
          <w:rFonts w:hint="eastAsia" w:ascii="华文中宋" w:hAnsi="华文中宋" w:eastAsia="华文中宋" w:cs="Arial"/>
          <w:sz w:val="28"/>
          <w:u w:val="single"/>
        </w:rPr>
        <w:t xml:space="preserve">                                  </w:t>
      </w:r>
    </w:p>
    <w:p>
      <w:pPr>
        <w:ind w:firstLine="1271" w:firstLineChars="454"/>
        <w:rPr>
          <w:rFonts w:ascii="华文中宋" w:hAnsi="华文中宋" w:eastAsia="华文中宋" w:cs="Arial"/>
          <w:sz w:val="28"/>
          <w:u w:val="single"/>
        </w:rPr>
      </w:pPr>
      <w:r>
        <w:rPr>
          <w:rFonts w:hint="eastAsia" w:ascii="华文中宋" w:hAnsi="华文中宋" w:eastAsia="华文中宋" w:cs="Arial"/>
          <w:sz w:val="28"/>
        </w:rPr>
        <w:t>投标单位（盖公章）：</w:t>
      </w:r>
      <w:r>
        <w:rPr>
          <w:rFonts w:hint="eastAsia" w:ascii="华文中宋" w:hAnsi="华文中宋" w:eastAsia="华文中宋" w:cs="Arial"/>
          <w:sz w:val="28"/>
          <w:u w:val="single"/>
        </w:rPr>
        <w:t xml:space="preserve">                          </w:t>
      </w:r>
    </w:p>
    <w:p>
      <w:pPr>
        <w:ind w:firstLine="1271" w:firstLineChars="454"/>
        <w:rPr>
          <w:rFonts w:ascii="华文中宋" w:hAnsi="华文中宋" w:eastAsia="华文中宋" w:cs="Arial"/>
          <w:sz w:val="28"/>
          <w:u w:val="single"/>
        </w:rPr>
      </w:pPr>
      <w:r>
        <w:rPr>
          <w:rFonts w:hint="eastAsia" w:ascii="华文中宋" w:hAnsi="华文中宋" w:eastAsia="华文中宋" w:cs="Arial"/>
          <w:sz w:val="28"/>
        </w:rPr>
        <w:t>投标人地址：</w:t>
      </w:r>
      <w:r>
        <w:rPr>
          <w:rFonts w:hint="eastAsia" w:ascii="华文中宋" w:hAnsi="华文中宋" w:eastAsia="华文中宋" w:cs="Arial"/>
          <w:sz w:val="28"/>
          <w:u w:val="single"/>
        </w:rPr>
        <w:t xml:space="preserve">                                </w:t>
      </w:r>
    </w:p>
    <w:p>
      <w:pPr>
        <w:ind w:firstLine="1271" w:firstLineChars="454"/>
        <w:rPr>
          <w:rFonts w:ascii="华文中宋" w:hAnsi="华文中宋" w:eastAsia="华文中宋" w:cs="Arial"/>
          <w:sz w:val="28"/>
          <w:u w:val="single"/>
        </w:rPr>
      </w:pPr>
      <w:r>
        <w:rPr>
          <w:rFonts w:hint="eastAsia" w:ascii="华文中宋" w:hAnsi="华文中宋" w:eastAsia="华文中宋" w:cs="Arial"/>
          <w:sz w:val="28"/>
        </w:rPr>
        <w:t>法定代表人或授权代表（签字或盖章）：</w:t>
      </w:r>
      <w:r>
        <w:rPr>
          <w:rFonts w:hint="eastAsia" w:ascii="华文中宋" w:hAnsi="华文中宋" w:eastAsia="华文中宋" w:cs="Arial"/>
          <w:sz w:val="28"/>
          <w:u w:val="single"/>
        </w:rPr>
        <w:t xml:space="preserve">        </w:t>
      </w:r>
    </w:p>
    <w:p>
      <w:pPr>
        <w:ind w:firstLine="1271" w:firstLineChars="454"/>
        <w:rPr>
          <w:rFonts w:ascii="华文中宋" w:hAnsi="华文中宋" w:eastAsia="华文中宋" w:cs="Arial"/>
          <w:sz w:val="28"/>
          <w:u w:val="single"/>
        </w:rPr>
      </w:pPr>
      <w:r>
        <w:rPr>
          <w:rFonts w:hint="eastAsia" w:ascii="华文中宋" w:hAnsi="华文中宋" w:eastAsia="华文中宋" w:cs="Arial"/>
          <w:sz w:val="28"/>
        </w:rPr>
        <w:t>日期：</w:t>
      </w:r>
      <w:r>
        <w:rPr>
          <w:rFonts w:hint="eastAsia" w:ascii="华文中宋" w:hAnsi="华文中宋" w:eastAsia="华文中宋" w:cs="Arial"/>
          <w:sz w:val="28"/>
          <w:u w:val="single"/>
        </w:rPr>
        <w:t xml:space="preserve">                                      </w:t>
      </w:r>
    </w:p>
    <w:p>
      <w:pPr>
        <w:pStyle w:val="14"/>
        <w:adjustRightInd w:val="0"/>
        <w:snapToGrid w:val="0"/>
        <w:spacing w:line="400" w:lineRule="exact"/>
        <w:jc w:val="center"/>
        <w:rPr>
          <w:rFonts w:hAnsi="宋体"/>
          <w:b/>
          <w:bCs/>
          <w:color w:val="000000"/>
          <w:sz w:val="24"/>
          <w:szCs w:val="24"/>
        </w:rPr>
        <w:sectPr>
          <w:pgSz w:w="11907" w:h="16840"/>
          <w:pgMar w:top="1247" w:right="1134" w:bottom="1247" w:left="1134" w:header="851" w:footer="992" w:gutter="0"/>
          <w:cols w:space="720" w:num="1"/>
          <w:docGrid w:linePitch="312" w:charSpace="0"/>
        </w:sectPr>
      </w:pPr>
    </w:p>
    <w:p>
      <w:pPr>
        <w:pStyle w:val="14"/>
        <w:adjustRightInd w:val="0"/>
        <w:snapToGrid w:val="0"/>
        <w:spacing w:line="400" w:lineRule="exact"/>
        <w:rPr>
          <w:rFonts w:hAnsi="宋体"/>
          <w:b/>
          <w:bCs/>
          <w:color w:val="000000"/>
          <w:sz w:val="24"/>
          <w:szCs w:val="24"/>
        </w:rPr>
      </w:pPr>
    </w:p>
    <w:p>
      <w:pPr>
        <w:spacing w:line="440" w:lineRule="exact"/>
        <w:jc w:val="left"/>
        <w:outlineLvl w:val="1"/>
        <w:rPr>
          <w:rFonts w:cs="仿宋_GB2312"/>
          <w:b/>
          <w:bCs/>
          <w:color w:val="000000"/>
          <w:sz w:val="32"/>
          <w:szCs w:val="32"/>
          <w:lang w:val="zh-CN"/>
        </w:rPr>
      </w:pPr>
      <w:r>
        <w:rPr>
          <w:rFonts w:hint="eastAsia"/>
          <w:b/>
          <w:bCs/>
          <w:sz w:val="32"/>
          <w:szCs w:val="16"/>
        </w:rPr>
        <w:t>附件A</w:t>
      </w:r>
    </w:p>
    <w:p>
      <w:pPr>
        <w:spacing w:line="440" w:lineRule="exact"/>
        <w:jc w:val="center"/>
        <w:rPr>
          <w:b/>
          <w:sz w:val="32"/>
          <w:szCs w:val="32"/>
        </w:rPr>
      </w:pPr>
      <w:r>
        <w:rPr>
          <w:rFonts w:hint="eastAsia"/>
          <w:b/>
          <w:bCs/>
          <w:sz w:val="36"/>
        </w:rPr>
        <w:t>评审索引</w:t>
      </w:r>
      <w:r>
        <w:rPr>
          <w:rFonts w:hint="eastAsia"/>
          <w:b/>
          <w:sz w:val="32"/>
          <w:szCs w:val="32"/>
        </w:rPr>
        <w:t>（参考）</w:t>
      </w:r>
    </w:p>
    <w:p>
      <w:pPr>
        <w:spacing w:line="440" w:lineRule="exact"/>
        <w:jc w:val="center"/>
        <w:rPr>
          <w:b/>
          <w:szCs w:val="21"/>
        </w:rPr>
      </w:pPr>
    </w:p>
    <w:tbl>
      <w:tblPr>
        <w:tblStyle w:val="29"/>
        <w:tblW w:w="0" w:type="auto"/>
        <w:jc w:val="center"/>
        <w:tblLayout w:type="fixed"/>
        <w:tblCellMar>
          <w:top w:w="0" w:type="dxa"/>
          <w:left w:w="108" w:type="dxa"/>
          <w:bottom w:w="0" w:type="dxa"/>
          <w:right w:w="108" w:type="dxa"/>
        </w:tblCellMar>
      </w:tblPr>
      <w:tblGrid>
        <w:gridCol w:w="1770"/>
        <w:gridCol w:w="2671"/>
        <w:gridCol w:w="2171"/>
        <w:gridCol w:w="2708"/>
      </w:tblGrid>
      <w:tr>
        <w:tblPrEx>
          <w:tblCellMar>
            <w:top w:w="0" w:type="dxa"/>
            <w:left w:w="108" w:type="dxa"/>
            <w:bottom w:w="0" w:type="dxa"/>
            <w:right w:w="108" w:type="dxa"/>
          </w:tblCellMar>
        </w:tblPrEx>
        <w:trPr>
          <w:trHeight w:val="886" w:hRule="atLeast"/>
          <w:jc w:val="center"/>
        </w:trPr>
        <w:tc>
          <w:tcPr>
            <w:tcW w:w="1770" w:type="dxa"/>
            <w:tcBorders>
              <w:top w:val="single" w:color="000000" w:sz="4" w:space="0"/>
              <w:left w:val="single" w:color="000000" w:sz="4" w:space="0"/>
              <w:bottom w:val="single" w:color="000000" w:sz="4" w:space="0"/>
              <w:right w:val="single" w:color="000000" w:sz="4" w:space="0"/>
            </w:tcBorders>
            <w:vAlign w:val="center"/>
          </w:tcPr>
          <w:p>
            <w:pPr>
              <w:pStyle w:val="22"/>
              <w:ind w:firstLine="482"/>
              <w:rPr>
                <w:rFonts w:eastAsia="宋体"/>
                <w:b/>
                <w:szCs w:val="24"/>
              </w:rPr>
            </w:pPr>
            <w:r>
              <w:rPr>
                <w:rFonts w:hint="eastAsia" w:eastAsia="宋体"/>
                <w:b/>
                <w:szCs w:val="24"/>
              </w:rPr>
              <w:t>序号</w:t>
            </w:r>
          </w:p>
        </w:tc>
        <w:tc>
          <w:tcPr>
            <w:tcW w:w="2671" w:type="dxa"/>
            <w:tcBorders>
              <w:top w:val="single" w:color="000000" w:sz="4" w:space="0"/>
              <w:left w:val="single" w:color="000000" w:sz="4" w:space="0"/>
              <w:bottom w:val="single" w:color="000000" w:sz="4" w:space="0"/>
              <w:right w:val="single" w:color="000000" w:sz="4" w:space="0"/>
            </w:tcBorders>
            <w:vAlign w:val="center"/>
          </w:tcPr>
          <w:p>
            <w:pPr>
              <w:pStyle w:val="22"/>
              <w:ind w:firstLine="241" w:firstLineChars="100"/>
              <w:rPr>
                <w:rFonts w:eastAsia="宋体"/>
                <w:b/>
                <w:szCs w:val="24"/>
              </w:rPr>
            </w:pPr>
            <w:r>
              <w:rPr>
                <w:rFonts w:hint="eastAsia" w:eastAsia="宋体"/>
                <w:b/>
                <w:szCs w:val="24"/>
              </w:rPr>
              <w:t>评审内容</w:t>
            </w:r>
          </w:p>
        </w:tc>
        <w:tc>
          <w:tcPr>
            <w:tcW w:w="2171" w:type="dxa"/>
            <w:tcBorders>
              <w:top w:val="single" w:color="000000" w:sz="4" w:space="0"/>
              <w:left w:val="single" w:color="000000" w:sz="4" w:space="0"/>
              <w:bottom w:val="single" w:color="000000" w:sz="4" w:space="0"/>
              <w:right w:val="single" w:color="000000" w:sz="4" w:space="0"/>
            </w:tcBorders>
            <w:vAlign w:val="center"/>
          </w:tcPr>
          <w:p>
            <w:pPr>
              <w:pStyle w:val="22"/>
              <w:ind w:firstLine="482"/>
              <w:rPr>
                <w:rFonts w:eastAsia="宋体"/>
                <w:b/>
                <w:szCs w:val="24"/>
              </w:rPr>
            </w:pPr>
            <w:r>
              <w:rPr>
                <w:rFonts w:hint="eastAsia" w:eastAsia="宋体"/>
                <w:b/>
                <w:szCs w:val="24"/>
              </w:rPr>
              <w:t>评分标准</w:t>
            </w:r>
          </w:p>
        </w:tc>
        <w:tc>
          <w:tcPr>
            <w:tcW w:w="2708" w:type="dxa"/>
            <w:tcBorders>
              <w:top w:val="single" w:color="000000" w:sz="4" w:space="0"/>
              <w:left w:val="single" w:color="000000" w:sz="4" w:space="0"/>
              <w:bottom w:val="single" w:color="000000" w:sz="4" w:space="0"/>
              <w:right w:val="single" w:color="000000" w:sz="4" w:space="0"/>
            </w:tcBorders>
            <w:vAlign w:val="center"/>
          </w:tcPr>
          <w:p>
            <w:pPr>
              <w:pStyle w:val="22"/>
              <w:ind w:firstLine="964" w:firstLineChars="400"/>
              <w:rPr>
                <w:rFonts w:eastAsia="宋体"/>
                <w:b/>
                <w:szCs w:val="24"/>
              </w:rPr>
            </w:pPr>
            <w:r>
              <w:rPr>
                <w:rFonts w:hint="eastAsia" w:eastAsia="宋体"/>
                <w:b/>
                <w:szCs w:val="24"/>
              </w:rPr>
              <w:t>页码</w:t>
            </w:r>
          </w:p>
        </w:tc>
      </w:tr>
      <w:tr>
        <w:tblPrEx>
          <w:tblCellMar>
            <w:top w:w="0" w:type="dxa"/>
            <w:left w:w="108" w:type="dxa"/>
            <w:bottom w:w="0" w:type="dxa"/>
            <w:right w:w="108" w:type="dxa"/>
          </w:tblCellMar>
        </w:tblPrEx>
        <w:trPr>
          <w:trHeight w:val="886" w:hRule="atLeast"/>
          <w:jc w:val="center"/>
        </w:trPr>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center"/>
              <w:rPr>
                <w:b/>
                <w:szCs w:val="21"/>
              </w:rPr>
            </w:pPr>
            <w:r>
              <w:rPr>
                <w:rFonts w:hint="eastAsia"/>
                <w:b/>
                <w:szCs w:val="21"/>
              </w:rPr>
              <w:t>1</w:t>
            </w:r>
          </w:p>
        </w:tc>
        <w:tc>
          <w:tcPr>
            <w:tcW w:w="2671" w:type="dxa"/>
            <w:tcBorders>
              <w:top w:val="single" w:color="000000" w:sz="4" w:space="0"/>
              <w:left w:val="single" w:color="000000" w:sz="4" w:space="0"/>
              <w:bottom w:val="single" w:color="000000" w:sz="4" w:space="0"/>
              <w:right w:val="single" w:color="000000" w:sz="4" w:space="0"/>
            </w:tcBorders>
            <w:vAlign w:val="center"/>
          </w:tcPr>
          <w:p>
            <w:pPr>
              <w:jc w:val="center"/>
              <w:rPr>
                <w:b/>
                <w:szCs w:val="21"/>
              </w:rPr>
            </w:pPr>
          </w:p>
        </w:tc>
        <w:tc>
          <w:tcPr>
            <w:tcW w:w="2171" w:type="dxa"/>
            <w:tcBorders>
              <w:top w:val="single" w:color="000000" w:sz="4" w:space="0"/>
              <w:left w:val="single" w:color="000000" w:sz="4" w:space="0"/>
              <w:bottom w:val="nil"/>
              <w:right w:val="single" w:color="000000" w:sz="4" w:space="0"/>
            </w:tcBorders>
            <w:vAlign w:val="center"/>
          </w:tcPr>
          <w:p>
            <w:pPr>
              <w:jc w:val="center"/>
              <w:rPr>
                <w:b/>
                <w:szCs w:val="21"/>
              </w:rPr>
            </w:pPr>
          </w:p>
        </w:tc>
        <w:tc>
          <w:tcPr>
            <w:tcW w:w="2708" w:type="dxa"/>
            <w:tcBorders>
              <w:top w:val="single" w:color="000000" w:sz="4" w:space="0"/>
              <w:left w:val="single" w:color="000000" w:sz="4" w:space="0"/>
              <w:bottom w:val="nil"/>
              <w:right w:val="single" w:color="000000" w:sz="4" w:space="0"/>
            </w:tcBorders>
            <w:vAlign w:val="center"/>
          </w:tcPr>
          <w:p>
            <w:pPr>
              <w:jc w:val="center"/>
              <w:rPr>
                <w:b/>
                <w:szCs w:val="21"/>
              </w:rPr>
            </w:pPr>
            <w:r>
              <w:rPr>
                <w:rFonts w:hint="eastAsia"/>
                <w:b/>
                <w:szCs w:val="21"/>
              </w:rPr>
              <w:t>磋商响应文件第几页</w:t>
            </w:r>
          </w:p>
        </w:tc>
      </w:tr>
      <w:tr>
        <w:tblPrEx>
          <w:tblCellMar>
            <w:top w:w="0" w:type="dxa"/>
            <w:left w:w="108" w:type="dxa"/>
            <w:bottom w:w="0" w:type="dxa"/>
            <w:right w:w="108" w:type="dxa"/>
          </w:tblCellMar>
        </w:tblPrEx>
        <w:trPr>
          <w:trHeight w:val="886" w:hRule="atLeast"/>
          <w:jc w:val="center"/>
        </w:trPr>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center"/>
              <w:rPr>
                <w:b/>
                <w:szCs w:val="21"/>
              </w:rPr>
            </w:pPr>
            <w:r>
              <w:rPr>
                <w:rFonts w:hint="eastAsia"/>
                <w:b/>
                <w:szCs w:val="21"/>
              </w:rPr>
              <w:t>2</w:t>
            </w:r>
          </w:p>
        </w:tc>
        <w:tc>
          <w:tcPr>
            <w:tcW w:w="267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szCs w:val="21"/>
              </w:rPr>
            </w:pPr>
          </w:p>
        </w:tc>
        <w:tc>
          <w:tcPr>
            <w:tcW w:w="2171" w:type="dxa"/>
            <w:tcBorders>
              <w:top w:val="single" w:color="000000" w:sz="4" w:space="0"/>
              <w:left w:val="single" w:color="000000" w:sz="4" w:space="0"/>
              <w:bottom w:val="nil"/>
              <w:right w:val="single" w:color="000000" w:sz="4" w:space="0"/>
            </w:tcBorders>
            <w:vAlign w:val="center"/>
          </w:tcPr>
          <w:p>
            <w:pPr>
              <w:widowControl/>
              <w:jc w:val="center"/>
              <w:rPr>
                <w:b/>
                <w:szCs w:val="21"/>
              </w:rPr>
            </w:pPr>
          </w:p>
        </w:tc>
        <w:tc>
          <w:tcPr>
            <w:tcW w:w="2708" w:type="dxa"/>
            <w:tcBorders>
              <w:top w:val="single" w:color="000000" w:sz="4" w:space="0"/>
              <w:left w:val="single" w:color="000000" w:sz="4" w:space="0"/>
              <w:bottom w:val="nil"/>
              <w:right w:val="single" w:color="000000" w:sz="4" w:space="0"/>
            </w:tcBorders>
            <w:vAlign w:val="center"/>
          </w:tcPr>
          <w:p>
            <w:pPr>
              <w:jc w:val="center"/>
              <w:rPr>
                <w:b/>
                <w:szCs w:val="21"/>
              </w:rPr>
            </w:pPr>
            <w:r>
              <w:rPr>
                <w:rFonts w:hint="eastAsia"/>
                <w:b/>
                <w:szCs w:val="21"/>
              </w:rPr>
              <w:t>……</w:t>
            </w:r>
          </w:p>
        </w:tc>
      </w:tr>
      <w:tr>
        <w:tblPrEx>
          <w:tblCellMar>
            <w:top w:w="0" w:type="dxa"/>
            <w:left w:w="108" w:type="dxa"/>
            <w:bottom w:w="0" w:type="dxa"/>
            <w:right w:w="108" w:type="dxa"/>
          </w:tblCellMar>
        </w:tblPrEx>
        <w:trPr>
          <w:trHeight w:val="886" w:hRule="atLeast"/>
          <w:jc w:val="center"/>
        </w:trPr>
        <w:tc>
          <w:tcPr>
            <w:tcW w:w="1770" w:type="dxa"/>
            <w:tcBorders>
              <w:top w:val="nil"/>
              <w:left w:val="single" w:color="000000" w:sz="4" w:space="0"/>
              <w:bottom w:val="single" w:color="000000" w:sz="4" w:space="0"/>
              <w:right w:val="single" w:color="000000" w:sz="4" w:space="0"/>
            </w:tcBorders>
            <w:vAlign w:val="center"/>
          </w:tcPr>
          <w:p>
            <w:pPr>
              <w:widowControl/>
              <w:jc w:val="center"/>
              <w:rPr>
                <w:b/>
                <w:szCs w:val="21"/>
              </w:rPr>
            </w:pPr>
            <w:r>
              <w:rPr>
                <w:rFonts w:hint="eastAsia"/>
                <w:b/>
                <w:szCs w:val="21"/>
              </w:rPr>
              <w:t>……</w:t>
            </w:r>
          </w:p>
        </w:tc>
        <w:tc>
          <w:tcPr>
            <w:tcW w:w="2671" w:type="dxa"/>
            <w:tcBorders>
              <w:top w:val="nil"/>
              <w:left w:val="single" w:color="000000" w:sz="4" w:space="0"/>
              <w:bottom w:val="single" w:color="000000" w:sz="4" w:space="0"/>
              <w:right w:val="single" w:color="000000" w:sz="4" w:space="0"/>
            </w:tcBorders>
            <w:vAlign w:val="center"/>
          </w:tcPr>
          <w:p>
            <w:pPr>
              <w:widowControl/>
              <w:jc w:val="center"/>
              <w:rPr>
                <w:b/>
                <w:szCs w:val="21"/>
              </w:rPr>
            </w:pPr>
          </w:p>
        </w:tc>
        <w:tc>
          <w:tcPr>
            <w:tcW w:w="2171" w:type="dxa"/>
            <w:tcBorders>
              <w:top w:val="single" w:color="000000" w:sz="4" w:space="0"/>
              <w:left w:val="single" w:color="000000" w:sz="4" w:space="0"/>
              <w:bottom w:val="single" w:color="000000" w:sz="4" w:space="0"/>
              <w:right w:val="single" w:color="000000" w:sz="4" w:space="0"/>
            </w:tcBorders>
            <w:vAlign w:val="center"/>
          </w:tcPr>
          <w:p>
            <w:pPr>
              <w:ind w:left="55"/>
              <w:jc w:val="center"/>
              <w:rPr>
                <w:b/>
                <w:szCs w:val="21"/>
              </w:rPr>
            </w:pPr>
          </w:p>
        </w:tc>
        <w:tc>
          <w:tcPr>
            <w:tcW w:w="2708" w:type="dxa"/>
            <w:tcBorders>
              <w:top w:val="single" w:color="000000" w:sz="4" w:space="0"/>
              <w:left w:val="single" w:color="000000" w:sz="4" w:space="0"/>
              <w:bottom w:val="single" w:color="000000" w:sz="4" w:space="0"/>
              <w:right w:val="single" w:color="000000" w:sz="4" w:space="0"/>
            </w:tcBorders>
            <w:vAlign w:val="center"/>
          </w:tcPr>
          <w:p>
            <w:pPr>
              <w:jc w:val="center"/>
              <w:rPr>
                <w:b/>
                <w:szCs w:val="21"/>
              </w:rPr>
            </w:pPr>
          </w:p>
        </w:tc>
      </w:tr>
      <w:tr>
        <w:tblPrEx>
          <w:tblCellMar>
            <w:top w:w="0" w:type="dxa"/>
            <w:left w:w="108" w:type="dxa"/>
            <w:bottom w:w="0" w:type="dxa"/>
            <w:right w:w="108" w:type="dxa"/>
          </w:tblCellMar>
        </w:tblPrEx>
        <w:trPr>
          <w:trHeight w:val="886" w:hRule="atLeast"/>
          <w:jc w:val="center"/>
        </w:trPr>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center"/>
              <w:rPr>
                <w:b/>
                <w:sz w:val="28"/>
                <w:szCs w:val="28"/>
              </w:rPr>
            </w:pPr>
          </w:p>
        </w:tc>
        <w:tc>
          <w:tcPr>
            <w:tcW w:w="2671" w:type="dxa"/>
            <w:tcBorders>
              <w:top w:val="single" w:color="000000" w:sz="4" w:space="0"/>
              <w:left w:val="single" w:color="000000" w:sz="4" w:space="0"/>
              <w:bottom w:val="single" w:color="000000" w:sz="4" w:space="0"/>
              <w:right w:val="single" w:color="000000" w:sz="4" w:space="0"/>
            </w:tcBorders>
            <w:vAlign w:val="center"/>
          </w:tcPr>
          <w:p>
            <w:pPr>
              <w:widowControl/>
              <w:jc w:val="center"/>
              <w:rPr>
                <w:b/>
                <w:sz w:val="28"/>
                <w:szCs w:val="28"/>
              </w:rPr>
            </w:pPr>
          </w:p>
        </w:tc>
        <w:tc>
          <w:tcPr>
            <w:tcW w:w="2171" w:type="dxa"/>
            <w:tcBorders>
              <w:top w:val="single" w:color="000000" w:sz="4" w:space="0"/>
              <w:left w:val="single" w:color="000000" w:sz="4" w:space="0"/>
              <w:bottom w:val="single" w:color="000000" w:sz="4" w:space="0"/>
              <w:right w:val="single" w:color="000000" w:sz="4" w:space="0"/>
            </w:tcBorders>
            <w:vAlign w:val="center"/>
          </w:tcPr>
          <w:p>
            <w:pPr>
              <w:pStyle w:val="22"/>
              <w:ind w:left="422" w:firstLine="562"/>
              <w:jc w:val="center"/>
              <w:rPr>
                <w:rFonts w:eastAsia="宋体"/>
                <w:b/>
                <w:sz w:val="28"/>
                <w:szCs w:val="28"/>
              </w:rPr>
            </w:pPr>
          </w:p>
        </w:tc>
        <w:tc>
          <w:tcPr>
            <w:tcW w:w="2708" w:type="dxa"/>
            <w:tcBorders>
              <w:top w:val="single" w:color="000000" w:sz="4" w:space="0"/>
              <w:left w:val="single" w:color="000000" w:sz="4" w:space="0"/>
              <w:bottom w:val="single" w:color="000000" w:sz="4" w:space="0"/>
              <w:right w:val="single" w:color="000000" w:sz="4" w:space="0"/>
            </w:tcBorders>
            <w:vAlign w:val="center"/>
          </w:tcPr>
          <w:p>
            <w:pPr>
              <w:pStyle w:val="22"/>
              <w:ind w:left="422" w:firstLine="562"/>
              <w:jc w:val="center"/>
              <w:rPr>
                <w:rFonts w:eastAsia="宋体"/>
                <w:b/>
                <w:sz w:val="28"/>
                <w:szCs w:val="28"/>
              </w:rPr>
            </w:pPr>
          </w:p>
        </w:tc>
      </w:tr>
      <w:tr>
        <w:tblPrEx>
          <w:tblCellMar>
            <w:top w:w="0" w:type="dxa"/>
            <w:left w:w="108" w:type="dxa"/>
            <w:bottom w:w="0" w:type="dxa"/>
            <w:right w:w="108" w:type="dxa"/>
          </w:tblCellMar>
        </w:tblPrEx>
        <w:trPr>
          <w:trHeight w:val="886" w:hRule="atLeast"/>
          <w:jc w:val="center"/>
        </w:trPr>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center"/>
              <w:rPr>
                <w:b/>
                <w:sz w:val="28"/>
                <w:szCs w:val="28"/>
              </w:rPr>
            </w:pPr>
          </w:p>
        </w:tc>
        <w:tc>
          <w:tcPr>
            <w:tcW w:w="267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sz w:val="28"/>
                <w:szCs w:val="28"/>
              </w:rPr>
            </w:pPr>
          </w:p>
        </w:tc>
        <w:tc>
          <w:tcPr>
            <w:tcW w:w="217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sz w:val="28"/>
                <w:szCs w:val="28"/>
              </w:rPr>
            </w:pPr>
          </w:p>
        </w:tc>
        <w:tc>
          <w:tcPr>
            <w:tcW w:w="2708" w:type="dxa"/>
            <w:tcBorders>
              <w:top w:val="single" w:color="000000" w:sz="4" w:space="0"/>
              <w:left w:val="single" w:color="000000" w:sz="4" w:space="0"/>
              <w:bottom w:val="single" w:color="000000" w:sz="4" w:space="0"/>
              <w:right w:val="single" w:color="000000" w:sz="4" w:space="0"/>
            </w:tcBorders>
            <w:vAlign w:val="center"/>
          </w:tcPr>
          <w:p>
            <w:pPr>
              <w:rPr>
                <w:b/>
                <w:sz w:val="28"/>
                <w:szCs w:val="28"/>
              </w:rPr>
            </w:pPr>
          </w:p>
        </w:tc>
      </w:tr>
      <w:tr>
        <w:tblPrEx>
          <w:tblCellMar>
            <w:top w:w="0" w:type="dxa"/>
            <w:left w:w="108" w:type="dxa"/>
            <w:bottom w:w="0" w:type="dxa"/>
            <w:right w:w="108" w:type="dxa"/>
          </w:tblCellMar>
        </w:tblPrEx>
        <w:trPr>
          <w:trHeight w:val="886" w:hRule="atLeast"/>
          <w:jc w:val="center"/>
        </w:trPr>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center"/>
              <w:rPr>
                <w:b/>
                <w:sz w:val="28"/>
                <w:szCs w:val="28"/>
              </w:rPr>
            </w:pPr>
          </w:p>
        </w:tc>
        <w:tc>
          <w:tcPr>
            <w:tcW w:w="2671" w:type="dxa"/>
            <w:tcBorders>
              <w:top w:val="single" w:color="000000" w:sz="4" w:space="0"/>
              <w:left w:val="single" w:color="000000" w:sz="4" w:space="0"/>
              <w:bottom w:val="single" w:color="000000" w:sz="4" w:space="0"/>
              <w:right w:val="single" w:color="000000" w:sz="4" w:space="0"/>
            </w:tcBorders>
            <w:vAlign w:val="center"/>
          </w:tcPr>
          <w:p>
            <w:pPr>
              <w:jc w:val="center"/>
              <w:rPr>
                <w:b/>
                <w:sz w:val="28"/>
                <w:szCs w:val="28"/>
              </w:rPr>
            </w:pPr>
          </w:p>
        </w:tc>
        <w:tc>
          <w:tcPr>
            <w:tcW w:w="2171" w:type="dxa"/>
            <w:tcBorders>
              <w:top w:val="single" w:color="000000" w:sz="4" w:space="0"/>
              <w:left w:val="single" w:color="000000" w:sz="4" w:space="0"/>
              <w:bottom w:val="single" w:color="000000" w:sz="4" w:space="0"/>
              <w:right w:val="single" w:color="000000" w:sz="4" w:space="0"/>
            </w:tcBorders>
            <w:vAlign w:val="center"/>
          </w:tcPr>
          <w:p>
            <w:pPr>
              <w:jc w:val="center"/>
              <w:rPr>
                <w:b/>
                <w:sz w:val="28"/>
                <w:szCs w:val="28"/>
              </w:rPr>
            </w:pPr>
          </w:p>
        </w:tc>
        <w:tc>
          <w:tcPr>
            <w:tcW w:w="2708" w:type="dxa"/>
            <w:tcBorders>
              <w:top w:val="single" w:color="000000" w:sz="4" w:space="0"/>
              <w:left w:val="single" w:color="000000" w:sz="4" w:space="0"/>
              <w:bottom w:val="single" w:color="000000" w:sz="4" w:space="0"/>
              <w:right w:val="single" w:color="000000" w:sz="4" w:space="0"/>
            </w:tcBorders>
            <w:vAlign w:val="center"/>
          </w:tcPr>
          <w:p>
            <w:pPr>
              <w:pStyle w:val="22"/>
              <w:ind w:left="422" w:firstLine="562"/>
              <w:jc w:val="center"/>
              <w:rPr>
                <w:rFonts w:eastAsia="宋体"/>
                <w:b/>
                <w:sz w:val="28"/>
                <w:szCs w:val="28"/>
              </w:rPr>
            </w:pPr>
          </w:p>
        </w:tc>
      </w:tr>
      <w:tr>
        <w:tblPrEx>
          <w:tblCellMar>
            <w:top w:w="0" w:type="dxa"/>
            <w:left w:w="108" w:type="dxa"/>
            <w:bottom w:w="0" w:type="dxa"/>
            <w:right w:w="108" w:type="dxa"/>
          </w:tblCellMar>
        </w:tblPrEx>
        <w:trPr>
          <w:trHeight w:val="886" w:hRule="atLeast"/>
          <w:jc w:val="center"/>
        </w:trPr>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center"/>
              <w:rPr>
                <w:b/>
                <w:sz w:val="28"/>
                <w:szCs w:val="28"/>
              </w:rPr>
            </w:pPr>
          </w:p>
        </w:tc>
        <w:tc>
          <w:tcPr>
            <w:tcW w:w="2671" w:type="dxa"/>
            <w:tcBorders>
              <w:top w:val="single" w:color="000000" w:sz="4" w:space="0"/>
              <w:left w:val="single" w:color="000000" w:sz="4" w:space="0"/>
              <w:bottom w:val="single" w:color="000000" w:sz="4" w:space="0"/>
              <w:right w:val="single" w:color="000000" w:sz="4" w:space="0"/>
            </w:tcBorders>
            <w:vAlign w:val="center"/>
          </w:tcPr>
          <w:p>
            <w:pPr>
              <w:jc w:val="center"/>
              <w:rPr>
                <w:b/>
                <w:sz w:val="28"/>
                <w:szCs w:val="28"/>
              </w:rPr>
            </w:pPr>
          </w:p>
        </w:tc>
        <w:tc>
          <w:tcPr>
            <w:tcW w:w="2171" w:type="dxa"/>
            <w:tcBorders>
              <w:top w:val="single" w:color="000000" w:sz="4" w:space="0"/>
              <w:left w:val="single" w:color="000000" w:sz="4" w:space="0"/>
              <w:bottom w:val="single" w:color="000000" w:sz="4" w:space="0"/>
              <w:right w:val="single" w:color="000000" w:sz="4" w:space="0"/>
            </w:tcBorders>
            <w:vAlign w:val="center"/>
          </w:tcPr>
          <w:p>
            <w:pPr>
              <w:jc w:val="center"/>
              <w:rPr>
                <w:b/>
                <w:sz w:val="28"/>
                <w:szCs w:val="28"/>
              </w:rPr>
            </w:pPr>
          </w:p>
        </w:tc>
        <w:tc>
          <w:tcPr>
            <w:tcW w:w="2708" w:type="dxa"/>
            <w:tcBorders>
              <w:top w:val="single" w:color="000000" w:sz="4" w:space="0"/>
              <w:left w:val="single" w:color="000000" w:sz="4" w:space="0"/>
              <w:bottom w:val="single" w:color="000000" w:sz="4" w:space="0"/>
              <w:right w:val="single" w:color="000000" w:sz="4" w:space="0"/>
            </w:tcBorders>
            <w:vAlign w:val="center"/>
          </w:tcPr>
          <w:p>
            <w:pPr>
              <w:pStyle w:val="22"/>
              <w:ind w:left="422" w:firstLine="562"/>
              <w:jc w:val="center"/>
              <w:rPr>
                <w:rFonts w:eastAsia="宋体"/>
                <w:b/>
                <w:sz w:val="28"/>
                <w:szCs w:val="28"/>
              </w:rPr>
            </w:pPr>
          </w:p>
        </w:tc>
      </w:tr>
      <w:tr>
        <w:tblPrEx>
          <w:tblCellMar>
            <w:top w:w="0" w:type="dxa"/>
            <w:left w:w="108" w:type="dxa"/>
            <w:bottom w:w="0" w:type="dxa"/>
            <w:right w:w="108" w:type="dxa"/>
          </w:tblCellMar>
        </w:tblPrEx>
        <w:trPr>
          <w:trHeight w:val="886" w:hRule="atLeast"/>
          <w:jc w:val="center"/>
        </w:trPr>
        <w:tc>
          <w:tcPr>
            <w:tcW w:w="1770" w:type="dxa"/>
            <w:tcBorders>
              <w:top w:val="nil"/>
              <w:left w:val="single" w:color="000000" w:sz="4" w:space="0"/>
              <w:bottom w:val="single" w:color="000000" w:sz="4" w:space="0"/>
              <w:right w:val="single" w:color="000000" w:sz="4" w:space="0"/>
            </w:tcBorders>
            <w:vAlign w:val="center"/>
          </w:tcPr>
          <w:p>
            <w:pPr>
              <w:widowControl/>
              <w:jc w:val="center"/>
              <w:rPr>
                <w:b/>
                <w:sz w:val="28"/>
                <w:szCs w:val="28"/>
              </w:rPr>
            </w:pPr>
          </w:p>
        </w:tc>
        <w:tc>
          <w:tcPr>
            <w:tcW w:w="2671" w:type="dxa"/>
            <w:tcBorders>
              <w:top w:val="nil"/>
              <w:left w:val="single" w:color="000000" w:sz="4" w:space="0"/>
              <w:bottom w:val="single" w:color="000000" w:sz="4" w:space="0"/>
              <w:right w:val="single" w:color="000000" w:sz="4" w:space="0"/>
            </w:tcBorders>
            <w:vAlign w:val="center"/>
          </w:tcPr>
          <w:p>
            <w:pPr>
              <w:widowControl/>
              <w:jc w:val="center"/>
              <w:rPr>
                <w:b/>
                <w:sz w:val="28"/>
                <w:szCs w:val="28"/>
              </w:rPr>
            </w:pPr>
          </w:p>
        </w:tc>
        <w:tc>
          <w:tcPr>
            <w:tcW w:w="2171" w:type="dxa"/>
            <w:tcBorders>
              <w:top w:val="single" w:color="000000" w:sz="4" w:space="0"/>
              <w:left w:val="single" w:color="000000" w:sz="4" w:space="0"/>
              <w:bottom w:val="single" w:color="000000" w:sz="4" w:space="0"/>
              <w:right w:val="single" w:color="000000" w:sz="4" w:space="0"/>
            </w:tcBorders>
            <w:vAlign w:val="center"/>
          </w:tcPr>
          <w:p>
            <w:pPr>
              <w:pStyle w:val="22"/>
              <w:ind w:left="422" w:firstLine="562"/>
              <w:jc w:val="center"/>
              <w:rPr>
                <w:rFonts w:eastAsia="宋体"/>
                <w:b/>
                <w:sz w:val="28"/>
                <w:szCs w:val="28"/>
              </w:rPr>
            </w:pPr>
          </w:p>
        </w:tc>
        <w:tc>
          <w:tcPr>
            <w:tcW w:w="2708" w:type="dxa"/>
            <w:tcBorders>
              <w:top w:val="single" w:color="000000" w:sz="4" w:space="0"/>
              <w:left w:val="single" w:color="000000" w:sz="4" w:space="0"/>
              <w:bottom w:val="single" w:color="000000" w:sz="4" w:space="0"/>
              <w:right w:val="single" w:color="000000" w:sz="4" w:space="0"/>
            </w:tcBorders>
            <w:vAlign w:val="center"/>
          </w:tcPr>
          <w:p>
            <w:pPr>
              <w:widowControl/>
              <w:jc w:val="center"/>
              <w:rPr>
                <w:b/>
                <w:sz w:val="28"/>
                <w:szCs w:val="28"/>
              </w:rPr>
            </w:pPr>
          </w:p>
        </w:tc>
      </w:tr>
      <w:tr>
        <w:tblPrEx>
          <w:tblCellMar>
            <w:top w:w="0" w:type="dxa"/>
            <w:left w:w="108" w:type="dxa"/>
            <w:bottom w:w="0" w:type="dxa"/>
            <w:right w:w="108" w:type="dxa"/>
          </w:tblCellMar>
        </w:tblPrEx>
        <w:trPr>
          <w:trHeight w:val="886" w:hRule="atLeast"/>
          <w:jc w:val="center"/>
        </w:trPr>
        <w:tc>
          <w:tcPr>
            <w:tcW w:w="1770" w:type="dxa"/>
            <w:tcBorders>
              <w:top w:val="nil"/>
              <w:left w:val="single" w:color="000000" w:sz="4" w:space="0"/>
              <w:bottom w:val="single" w:color="000000" w:sz="4" w:space="0"/>
              <w:right w:val="single" w:color="000000" w:sz="4" w:space="0"/>
            </w:tcBorders>
            <w:vAlign w:val="center"/>
          </w:tcPr>
          <w:p>
            <w:pPr>
              <w:widowControl/>
              <w:jc w:val="center"/>
              <w:rPr>
                <w:b/>
                <w:sz w:val="28"/>
                <w:szCs w:val="28"/>
              </w:rPr>
            </w:pPr>
          </w:p>
        </w:tc>
        <w:tc>
          <w:tcPr>
            <w:tcW w:w="2671" w:type="dxa"/>
            <w:tcBorders>
              <w:top w:val="nil"/>
              <w:left w:val="single" w:color="000000" w:sz="4" w:space="0"/>
              <w:bottom w:val="single" w:color="000000" w:sz="4" w:space="0"/>
              <w:right w:val="single" w:color="000000" w:sz="4" w:space="0"/>
            </w:tcBorders>
            <w:vAlign w:val="center"/>
          </w:tcPr>
          <w:p>
            <w:pPr>
              <w:spacing w:line="320" w:lineRule="exact"/>
              <w:jc w:val="center"/>
              <w:rPr>
                <w:b/>
                <w:sz w:val="28"/>
                <w:szCs w:val="28"/>
              </w:rPr>
            </w:pPr>
          </w:p>
        </w:tc>
        <w:tc>
          <w:tcPr>
            <w:tcW w:w="2171" w:type="dxa"/>
            <w:tcBorders>
              <w:top w:val="single" w:color="000000" w:sz="4" w:space="0"/>
              <w:left w:val="single" w:color="000000" w:sz="4" w:space="0"/>
              <w:bottom w:val="single" w:color="000000" w:sz="4" w:space="0"/>
              <w:right w:val="single" w:color="000000" w:sz="4" w:space="0"/>
            </w:tcBorders>
            <w:vAlign w:val="center"/>
          </w:tcPr>
          <w:p>
            <w:pPr>
              <w:jc w:val="center"/>
              <w:rPr>
                <w:b/>
                <w:sz w:val="28"/>
                <w:szCs w:val="28"/>
              </w:rPr>
            </w:pPr>
          </w:p>
        </w:tc>
        <w:tc>
          <w:tcPr>
            <w:tcW w:w="2708" w:type="dxa"/>
            <w:tcBorders>
              <w:top w:val="single" w:color="000000" w:sz="4" w:space="0"/>
              <w:left w:val="single" w:color="000000" w:sz="4" w:space="0"/>
              <w:bottom w:val="single" w:color="000000" w:sz="4" w:space="0"/>
              <w:right w:val="single" w:color="000000" w:sz="4" w:space="0"/>
            </w:tcBorders>
            <w:vAlign w:val="center"/>
          </w:tcPr>
          <w:p>
            <w:pPr>
              <w:jc w:val="center"/>
              <w:rPr>
                <w:b/>
                <w:sz w:val="28"/>
                <w:szCs w:val="28"/>
              </w:rPr>
            </w:pPr>
          </w:p>
        </w:tc>
      </w:tr>
      <w:tr>
        <w:tblPrEx>
          <w:tblCellMar>
            <w:top w:w="0" w:type="dxa"/>
            <w:left w:w="108" w:type="dxa"/>
            <w:bottom w:w="0" w:type="dxa"/>
            <w:right w:w="108" w:type="dxa"/>
          </w:tblCellMar>
        </w:tblPrEx>
        <w:trPr>
          <w:trHeight w:val="886" w:hRule="atLeast"/>
          <w:jc w:val="center"/>
        </w:trPr>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center"/>
              <w:rPr>
                <w:b/>
                <w:sz w:val="28"/>
                <w:szCs w:val="28"/>
              </w:rPr>
            </w:pPr>
          </w:p>
        </w:tc>
        <w:tc>
          <w:tcPr>
            <w:tcW w:w="267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sz w:val="28"/>
                <w:szCs w:val="28"/>
              </w:rPr>
            </w:pPr>
          </w:p>
        </w:tc>
        <w:tc>
          <w:tcPr>
            <w:tcW w:w="2171" w:type="dxa"/>
            <w:tcBorders>
              <w:top w:val="single" w:color="000000" w:sz="4" w:space="0"/>
              <w:left w:val="single" w:color="000000" w:sz="4" w:space="0"/>
              <w:bottom w:val="single" w:color="000000" w:sz="4" w:space="0"/>
              <w:right w:val="single" w:color="000000" w:sz="4" w:space="0"/>
            </w:tcBorders>
            <w:vAlign w:val="center"/>
          </w:tcPr>
          <w:p>
            <w:pPr>
              <w:jc w:val="center"/>
              <w:rPr>
                <w:b/>
                <w:sz w:val="28"/>
                <w:szCs w:val="28"/>
              </w:rPr>
            </w:pPr>
          </w:p>
        </w:tc>
        <w:tc>
          <w:tcPr>
            <w:tcW w:w="2708" w:type="dxa"/>
            <w:tcBorders>
              <w:top w:val="single" w:color="000000" w:sz="4" w:space="0"/>
              <w:left w:val="single" w:color="000000" w:sz="4" w:space="0"/>
              <w:bottom w:val="single" w:color="000000" w:sz="4" w:space="0"/>
              <w:right w:val="single" w:color="000000" w:sz="4" w:space="0"/>
            </w:tcBorders>
            <w:vAlign w:val="center"/>
          </w:tcPr>
          <w:p>
            <w:pPr>
              <w:jc w:val="center"/>
              <w:rPr>
                <w:b/>
                <w:sz w:val="28"/>
                <w:szCs w:val="28"/>
              </w:rPr>
            </w:pPr>
          </w:p>
        </w:tc>
      </w:tr>
      <w:tr>
        <w:tblPrEx>
          <w:tblCellMar>
            <w:top w:w="0" w:type="dxa"/>
            <w:left w:w="108" w:type="dxa"/>
            <w:bottom w:w="0" w:type="dxa"/>
            <w:right w:w="108" w:type="dxa"/>
          </w:tblCellMar>
        </w:tblPrEx>
        <w:trPr>
          <w:trHeight w:val="919" w:hRule="atLeast"/>
          <w:jc w:val="center"/>
        </w:trPr>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center"/>
              <w:rPr>
                <w:b/>
                <w:sz w:val="28"/>
                <w:szCs w:val="28"/>
              </w:rPr>
            </w:pPr>
          </w:p>
        </w:tc>
        <w:tc>
          <w:tcPr>
            <w:tcW w:w="267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b/>
                <w:sz w:val="28"/>
                <w:szCs w:val="28"/>
              </w:rPr>
            </w:pPr>
          </w:p>
        </w:tc>
        <w:tc>
          <w:tcPr>
            <w:tcW w:w="2171" w:type="dxa"/>
            <w:tcBorders>
              <w:top w:val="single" w:color="000000" w:sz="4" w:space="0"/>
              <w:left w:val="single" w:color="000000" w:sz="4" w:space="0"/>
              <w:bottom w:val="single" w:color="000000" w:sz="4" w:space="0"/>
              <w:right w:val="single" w:color="000000" w:sz="4" w:space="0"/>
            </w:tcBorders>
            <w:vAlign w:val="center"/>
          </w:tcPr>
          <w:p>
            <w:pPr>
              <w:jc w:val="center"/>
              <w:rPr>
                <w:b/>
                <w:sz w:val="28"/>
                <w:szCs w:val="28"/>
              </w:rPr>
            </w:pPr>
          </w:p>
        </w:tc>
        <w:tc>
          <w:tcPr>
            <w:tcW w:w="2708" w:type="dxa"/>
            <w:tcBorders>
              <w:top w:val="single" w:color="000000" w:sz="4" w:space="0"/>
              <w:left w:val="single" w:color="000000" w:sz="4" w:space="0"/>
              <w:bottom w:val="single" w:color="000000" w:sz="4" w:space="0"/>
              <w:right w:val="single" w:color="000000" w:sz="4" w:space="0"/>
            </w:tcBorders>
            <w:vAlign w:val="center"/>
          </w:tcPr>
          <w:p>
            <w:pPr>
              <w:jc w:val="center"/>
              <w:rPr>
                <w:b/>
                <w:sz w:val="28"/>
                <w:szCs w:val="28"/>
              </w:rPr>
            </w:pPr>
          </w:p>
        </w:tc>
      </w:tr>
    </w:tbl>
    <w:p>
      <w:pPr>
        <w:spacing w:before="50" w:after="50"/>
        <w:ind w:firstLine="221" w:firstLineChars="100"/>
        <w:rPr>
          <w:b/>
          <w:szCs w:val="21"/>
        </w:rPr>
      </w:pPr>
      <w:r>
        <w:rPr>
          <w:rFonts w:hint="eastAsia"/>
          <w:b/>
          <w:szCs w:val="21"/>
        </w:rPr>
        <w:t>注：评审索引供应商根据评审办法内容进行编制。</w:t>
      </w:r>
    </w:p>
    <w:p>
      <w:pPr>
        <w:pStyle w:val="14"/>
        <w:adjustRightInd w:val="0"/>
        <w:snapToGrid w:val="0"/>
        <w:spacing w:line="400" w:lineRule="exact"/>
        <w:outlineLvl w:val="1"/>
        <w:rPr>
          <w:rFonts w:hAnsi="宋体"/>
          <w:b/>
          <w:bCs/>
          <w:color w:val="000000"/>
          <w:sz w:val="24"/>
          <w:szCs w:val="24"/>
        </w:rPr>
      </w:pPr>
    </w:p>
    <w:p>
      <w:pPr>
        <w:pStyle w:val="14"/>
        <w:adjustRightInd w:val="0"/>
        <w:snapToGrid w:val="0"/>
        <w:spacing w:line="400" w:lineRule="exact"/>
        <w:outlineLvl w:val="1"/>
        <w:rPr>
          <w:rFonts w:hAnsi="宋体"/>
          <w:b/>
          <w:bCs/>
          <w:color w:val="000000"/>
          <w:sz w:val="24"/>
          <w:szCs w:val="24"/>
        </w:rPr>
      </w:pPr>
    </w:p>
    <w:p>
      <w:pPr>
        <w:pStyle w:val="14"/>
        <w:adjustRightInd w:val="0"/>
        <w:snapToGrid w:val="0"/>
        <w:spacing w:line="400" w:lineRule="exact"/>
        <w:outlineLvl w:val="1"/>
        <w:rPr>
          <w:rFonts w:hAnsi="宋体"/>
          <w:color w:val="000000"/>
          <w:sz w:val="36"/>
          <w:szCs w:val="36"/>
        </w:rPr>
      </w:pPr>
      <w:r>
        <w:rPr>
          <w:rFonts w:hint="eastAsia" w:hAnsi="宋体"/>
          <w:b/>
          <w:bCs/>
          <w:color w:val="000000"/>
          <w:sz w:val="24"/>
          <w:szCs w:val="24"/>
        </w:rPr>
        <w:t>附件一（一）</w:t>
      </w:r>
      <w:r>
        <w:rPr>
          <w:rFonts w:hAnsi="宋体"/>
          <w:color w:val="000000"/>
          <w:sz w:val="36"/>
          <w:szCs w:val="36"/>
        </w:rPr>
        <w:t xml:space="preserve">  </w:t>
      </w:r>
      <w:bookmarkEnd w:id="27"/>
      <w:r>
        <w:rPr>
          <w:rFonts w:hint="eastAsia" w:hAnsi="宋体"/>
          <w:color w:val="000000"/>
          <w:sz w:val="36"/>
          <w:szCs w:val="36"/>
        </w:rPr>
        <w:t xml:space="preserve">   </w:t>
      </w:r>
    </w:p>
    <w:p>
      <w:pPr>
        <w:pStyle w:val="14"/>
        <w:adjustRightInd w:val="0"/>
        <w:snapToGrid w:val="0"/>
        <w:spacing w:line="400" w:lineRule="exact"/>
        <w:jc w:val="center"/>
        <w:rPr>
          <w:rFonts w:hAnsi="宋体"/>
          <w:b/>
          <w:bCs/>
          <w:color w:val="000000"/>
          <w:sz w:val="36"/>
          <w:szCs w:val="36"/>
        </w:rPr>
      </w:pPr>
      <w:r>
        <w:rPr>
          <w:rFonts w:hint="eastAsia" w:hAnsi="宋体"/>
          <w:b/>
          <w:bCs/>
          <w:color w:val="000000"/>
          <w:sz w:val="36"/>
          <w:szCs w:val="36"/>
        </w:rPr>
        <w:t>开标一览表</w:t>
      </w:r>
    </w:p>
    <w:p>
      <w:pPr>
        <w:pStyle w:val="14"/>
        <w:adjustRightInd w:val="0"/>
        <w:snapToGrid w:val="0"/>
        <w:spacing w:line="400" w:lineRule="exact"/>
        <w:jc w:val="center"/>
        <w:rPr>
          <w:rFonts w:hAnsi="宋体"/>
          <w:b/>
          <w:bCs/>
          <w:color w:val="000000"/>
          <w:sz w:val="36"/>
          <w:szCs w:val="36"/>
        </w:rPr>
      </w:pPr>
    </w:p>
    <w:p>
      <w:pPr>
        <w:pStyle w:val="14"/>
        <w:spacing w:line="460" w:lineRule="atLeast"/>
        <w:rPr>
          <w:rFonts w:hAnsi="宋体"/>
        </w:rPr>
      </w:pPr>
      <w:r>
        <w:rPr>
          <w:rFonts w:hint="eastAsia" w:hAnsi="宋体"/>
        </w:rPr>
        <w:t>采购项目名称：                 采购编号：             （价格单位：元）</w:t>
      </w:r>
    </w:p>
    <w:p>
      <w:pPr>
        <w:autoSpaceDE w:val="0"/>
        <w:autoSpaceDN w:val="0"/>
        <w:adjustRightInd w:val="0"/>
        <w:rPr>
          <w:b/>
          <w:color w:val="000000"/>
          <w:u w:val="single"/>
          <w:lang w:val="zh-CN"/>
        </w:rPr>
      </w:pPr>
    </w:p>
    <w:tbl>
      <w:tblPr>
        <w:tblStyle w:val="29"/>
        <w:tblW w:w="0" w:type="auto"/>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599"/>
        <w:gridCol w:w="474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89" w:hRule="atLeast"/>
        </w:trPr>
        <w:tc>
          <w:tcPr>
            <w:tcW w:w="4599" w:type="dxa"/>
            <w:tcBorders>
              <w:right w:val="single" w:color="auto" w:sz="4" w:space="0"/>
            </w:tcBorders>
            <w:vAlign w:val="center"/>
          </w:tcPr>
          <w:p>
            <w:pPr>
              <w:pStyle w:val="14"/>
              <w:jc w:val="center"/>
              <w:rPr>
                <w:rFonts w:hAnsi="宋体"/>
              </w:rPr>
            </w:pPr>
            <w:r>
              <w:rPr>
                <w:rFonts w:hint="eastAsia" w:hAnsi="宋体"/>
              </w:rPr>
              <w:t>标项名称</w:t>
            </w:r>
          </w:p>
        </w:tc>
        <w:tc>
          <w:tcPr>
            <w:tcW w:w="4741" w:type="dxa"/>
            <w:tcBorders>
              <w:left w:val="single" w:color="auto" w:sz="4" w:space="0"/>
              <w:right w:val="single" w:color="auto" w:sz="4" w:space="0"/>
            </w:tcBorders>
            <w:vAlign w:val="center"/>
          </w:tcPr>
          <w:p>
            <w:pPr>
              <w:pStyle w:val="14"/>
              <w:jc w:val="center"/>
              <w:rPr>
                <w:rFonts w:hAnsi="宋体"/>
              </w:rPr>
            </w:pPr>
            <w:r>
              <w:rPr>
                <w:rFonts w:hint="eastAsia" w:hAnsi="宋体"/>
              </w:rPr>
              <w:t>报价（元人民币）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104" w:hRule="atLeast"/>
        </w:trPr>
        <w:tc>
          <w:tcPr>
            <w:tcW w:w="4599" w:type="dxa"/>
            <w:tcBorders>
              <w:right w:val="single" w:color="auto" w:sz="4" w:space="0"/>
            </w:tcBorders>
            <w:vAlign w:val="center"/>
          </w:tcPr>
          <w:p>
            <w:pPr>
              <w:pStyle w:val="14"/>
              <w:jc w:val="center"/>
              <w:rPr>
                <w:rFonts w:hAnsi="宋体"/>
              </w:rPr>
            </w:pPr>
          </w:p>
        </w:tc>
        <w:tc>
          <w:tcPr>
            <w:tcW w:w="4741" w:type="dxa"/>
            <w:tcBorders>
              <w:left w:val="single" w:color="auto" w:sz="4" w:space="0"/>
              <w:right w:val="single" w:color="auto" w:sz="4" w:space="0"/>
            </w:tcBorders>
            <w:vAlign w:val="center"/>
          </w:tcPr>
          <w:p>
            <w:pPr>
              <w:pStyle w:val="14"/>
              <w:snapToGrid w:val="0"/>
              <w:spacing w:line="460" w:lineRule="atLeast"/>
              <w:rPr>
                <w:rFonts w:hAnsi="宋体"/>
              </w:rPr>
            </w:pPr>
            <w:r>
              <w:rPr>
                <w:rFonts w:hint="eastAsia" w:hAnsi="宋体"/>
              </w:rPr>
              <w:t>大写：</w:t>
            </w:r>
          </w:p>
          <w:p>
            <w:pPr>
              <w:pStyle w:val="14"/>
              <w:snapToGrid w:val="0"/>
              <w:spacing w:line="460" w:lineRule="atLeast"/>
              <w:rPr>
                <w:rFonts w:hAnsi="宋体"/>
              </w:rPr>
            </w:pPr>
            <w:r>
              <w:rPr>
                <w:rFonts w:hint="eastAsia" w:hAnsi="宋体"/>
              </w:rPr>
              <w:t>小写：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49" w:hRule="atLeast"/>
        </w:trPr>
        <w:tc>
          <w:tcPr>
            <w:tcW w:w="4599" w:type="dxa"/>
            <w:tcBorders>
              <w:right w:val="single" w:color="auto" w:sz="4" w:space="0"/>
            </w:tcBorders>
            <w:vAlign w:val="center"/>
          </w:tcPr>
          <w:p>
            <w:pPr>
              <w:pStyle w:val="14"/>
              <w:jc w:val="center"/>
              <w:rPr>
                <w:rFonts w:hAnsi="宋体"/>
              </w:rPr>
            </w:pPr>
            <w:r>
              <w:rPr>
                <w:rFonts w:hint="eastAsia" w:hAnsi="宋体"/>
              </w:rPr>
              <w:t>工期</w:t>
            </w:r>
          </w:p>
        </w:tc>
        <w:tc>
          <w:tcPr>
            <w:tcW w:w="4741" w:type="dxa"/>
            <w:tcBorders>
              <w:left w:val="single" w:color="auto" w:sz="4" w:space="0"/>
              <w:right w:val="single" w:color="auto" w:sz="4" w:space="0"/>
            </w:tcBorders>
            <w:vAlign w:val="center"/>
          </w:tcPr>
          <w:p>
            <w:pPr>
              <w:pStyle w:val="14"/>
              <w:snapToGrid w:val="0"/>
              <w:spacing w:line="460" w:lineRule="atLeast"/>
              <w:rPr>
                <w:rFonts w:hAnsi="宋体"/>
              </w:rPr>
            </w:pPr>
          </w:p>
        </w:tc>
      </w:tr>
    </w:tbl>
    <w:p>
      <w:pPr>
        <w:autoSpaceDE w:val="0"/>
        <w:autoSpaceDN w:val="0"/>
        <w:adjustRightInd w:val="0"/>
        <w:spacing w:line="440" w:lineRule="atLeast"/>
        <w:rPr>
          <w:rFonts w:ascii="Arial" w:cs="Arial"/>
          <w:b/>
        </w:rPr>
      </w:pPr>
      <w:r>
        <w:rPr>
          <w:rFonts w:hint="eastAsia" w:ascii="Arial" w:cs="Arial"/>
          <w:b/>
        </w:rPr>
        <w:t>▲</w:t>
      </w:r>
      <w:r>
        <w:rPr>
          <w:rFonts w:ascii="Arial" w:cs="Arial"/>
          <w:b/>
        </w:rPr>
        <w:t>说明：</w:t>
      </w:r>
    </w:p>
    <w:p>
      <w:pPr>
        <w:ind w:firstLine="440" w:firstLineChars="200"/>
        <w:rPr>
          <w:rFonts w:ascii="新宋体" w:hAnsi="新宋体" w:eastAsia="新宋体"/>
          <w:bCs/>
          <w:szCs w:val="21"/>
        </w:rPr>
      </w:pPr>
      <w:r>
        <w:rPr>
          <w:rFonts w:hint="eastAsia" w:ascii="新宋体" w:hAnsi="新宋体" w:eastAsia="新宋体"/>
          <w:bCs/>
          <w:szCs w:val="21"/>
        </w:rPr>
        <w:t>1．报价一经涂改，应在涂改处加盖公章，否则其响应文件作无效文件处理。</w:t>
      </w:r>
    </w:p>
    <w:p>
      <w:pPr>
        <w:ind w:firstLine="440" w:firstLineChars="200"/>
        <w:rPr>
          <w:rFonts w:ascii="新宋体" w:hAnsi="新宋体" w:eastAsia="新宋体"/>
          <w:bCs/>
          <w:szCs w:val="21"/>
        </w:rPr>
      </w:pPr>
      <w:r>
        <w:rPr>
          <w:rFonts w:hint="eastAsia" w:ascii="新宋体" w:hAnsi="新宋体" w:eastAsia="新宋体"/>
          <w:bCs/>
          <w:szCs w:val="21"/>
        </w:rPr>
        <w:t>2．报价一览表中报价为符合磋商文件要求的项目总价</w:t>
      </w:r>
    </w:p>
    <w:p>
      <w:pPr>
        <w:ind w:firstLine="442" w:firstLineChars="200"/>
        <w:rPr>
          <w:rFonts w:ascii="新宋体" w:hAnsi="新宋体" w:eastAsia="新宋体"/>
          <w:b/>
          <w:szCs w:val="21"/>
        </w:rPr>
      </w:pPr>
      <w:r>
        <w:rPr>
          <w:rFonts w:hint="eastAsia" w:ascii="新宋体" w:hAnsi="新宋体" w:eastAsia="新宋体"/>
          <w:b/>
          <w:szCs w:val="21"/>
        </w:rPr>
        <w:t>3．不按要求提供此页的将视为没有实质性响应磋商文件，做无效投标处理。</w:t>
      </w:r>
    </w:p>
    <w:p>
      <w:pPr>
        <w:autoSpaceDE w:val="0"/>
        <w:autoSpaceDN w:val="0"/>
        <w:adjustRightInd w:val="0"/>
        <w:spacing w:line="440" w:lineRule="atLeast"/>
        <w:rPr>
          <w:rFonts w:ascii="Arial" w:cs="Arial"/>
          <w:bCs/>
          <w:szCs w:val="21"/>
        </w:rPr>
      </w:pPr>
    </w:p>
    <w:p>
      <w:pPr>
        <w:autoSpaceDE w:val="0"/>
        <w:autoSpaceDN w:val="0"/>
        <w:adjustRightInd w:val="0"/>
        <w:spacing w:line="440" w:lineRule="atLeast"/>
        <w:rPr>
          <w:rFonts w:ascii="Arial" w:cs="Arial"/>
          <w:bCs/>
          <w:szCs w:val="21"/>
        </w:rPr>
      </w:pPr>
    </w:p>
    <w:p>
      <w:pPr>
        <w:autoSpaceDE w:val="0"/>
        <w:autoSpaceDN w:val="0"/>
        <w:adjustRightInd w:val="0"/>
        <w:spacing w:line="440" w:lineRule="atLeast"/>
        <w:rPr>
          <w:rFonts w:ascii="Arial" w:cs="Arial"/>
          <w:bCs/>
          <w:szCs w:val="21"/>
        </w:rPr>
      </w:pPr>
    </w:p>
    <w:p>
      <w:pPr>
        <w:autoSpaceDE w:val="0"/>
        <w:autoSpaceDN w:val="0"/>
        <w:adjustRightInd w:val="0"/>
        <w:spacing w:line="440" w:lineRule="atLeast"/>
        <w:rPr>
          <w:rFonts w:ascii="Arial" w:cs="Arial"/>
          <w:bCs/>
          <w:szCs w:val="21"/>
        </w:rPr>
      </w:pPr>
    </w:p>
    <w:p>
      <w:pPr>
        <w:autoSpaceDE w:val="0"/>
        <w:autoSpaceDN w:val="0"/>
        <w:adjustRightInd w:val="0"/>
        <w:spacing w:line="440" w:lineRule="atLeast"/>
        <w:rPr>
          <w:rFonts w:ascii="Arial" w:cs="Arial"/>
          <w:bCs/>
          <w:szCs w:val="21"/>
        </w:rPr>
      </w:pPr>
    </w:p>
    <w:p>
      <w:pPr>
        <w:autoSpaceDE w:val="0"/>
        <w:autoSpaceDN w:val="0"/>
        <w:adjustRightInd w:val="0"/>
        <w:spacing w:line="440" w:lineRule="atLeast"/>
        <w:rPr>
          <w:rFonts w:ascii="Arial" w:cs="Arial"/>
          <w:bCs/>
          <w:szCs w:val="21"/>
          <w:lang w:val="zh-CN"/>
        </w:rPr>
      </w:pPr>
    </w:p>
    <w:p>
      <w:pPr>
        <w:spacing w:line="380" w:lineRule="exact"/>
        <w:rPr>
          <w:rFonts w:ascii="Arial" w:hAnsi="Arial" w:cs="Arial"/>
          <w:color w:val="000000"/>
        </w:rPr>
      </w:pPr>
      <w:r>
        <w:rPr>
          <w:rFonts w:hint="eastAsia" w:ascii="Arial" w:cs="Arial"/>
          <w:color w:val="000000"/>
        </w:rPr>
        <w:t>供应商</w:t>
      </w:r>
      <w:r>
        <w:rPr>
          <w:rFonts w:ascii="Arial" w:cs="Arial"/>
          <w:color w:val="000000"/>
        </w:rPr>
        <w:t>全称（</w:t>
      </w:r>
      <w:r>
        <w:rPr>
          <w:rFonts w:hint="eastAsia" w:ascii="Arial" w:cs="Arial"/>
          <w:color w:val="000000"/>
        </w:rPr>
        <w:t>盖公</w:t>
      </w:r>
      <w:r>
        <w:rPr>
          <w:rFonts w:ascii="Arial" w:cs="Arial"/>
          <w:color w:val="000000"/>
        </w:rPr>
        <w:t>章）：</w:t>
      </w:r>
    </w:p>
    <w:p>
      <w:pPr>
        <w:spacing w:line="380" w:lineRule="exact"/>
        <w:rPr>
          <w:rFonts w:ascii="Arial" w:hAnsi="Arial" w:cs="Arial"/>
          <w:color w:val="000000"/>
        </w:rPr>
      </w:pPr>
      <w:r>
        <w:rPr>
          <w:rFonts w:hint="eastAsia" w:ascii="Arial" w:cs="Arial"/>
          <w:color w:val="000000"/>
        </w:rPr>
        <w:t>法定代表人或</w:t>
      </w:r>
      <w:r>
        <w:rPr>
          <w:rFonts w:ascii="Arial" w:cs="Arial"/>
          <w:color w:val="000000"/>
        </w:rPr>
        <w:t>授权代表（签字</w:t>
      </w:r>
      <w:r>
        <w:rPr>
          <w:rFonts w:hint="eastAsia" w:ascii="Arial" w:cs="Arial"/>
          <w:color w:val="000000"/>
        </w:rPr>
        <w:t>或盖章</w:t>
      </w:r>
      <w:r>
        <w:rPr>
          <w:rFonts w:ascii="Arial" w:cs="Arial"/>
          <w:color w:val="000000"/>
        </w:rPr>
        <w:t>）：</w:t>
      </w:r>
    </w:p>
    <w:p>
      <w:pPr>
        <w:spacing w:line="380" w:lineRule="exact"/>
        <w:rPr>
          <w:rFonts w:ascii="Arial" w:cs="Arial"/>
          <w:color w:val="000000"/>
        </w:rPr>
      </w:pPr>
      <w:r>
        <w:rPr>
          <w:rFonts w:ascii="Arial" w:cs="Arial"/>
          <w:color w:val="000000"/>
        </w:rPr>
        <w:t>日期：</w:t>
      </w:r>
    </w:p>
    <w:p>
      <w:pPr>
        <w:autoSpaceDE w:val="0"/>
        <w:autoSpaceDN w:val="0"/>
        <w:adjustRightInd w:val="0"/>
        <w:spacing w:line="500" w:lineRule="atLeast"/>
        <w:outlineLvl w:val="1"/>
        <w:rPr>
          <w:rFonts w:cs="仿宋_GB2312"/>
          <w:sz w:val="30"/>
          <w:szCs w:val="30"/>
          <w:lang w:val="zh-CN"/>
        </w:rPr>
      </w:pPr>
      <w:r>
        <w:rPr>
          <w:color w:val="000000"/>
          <w:lang w:val="zh-CN"/>
        </w:rPr>
        <w:br w:type="page"/>
      </w:r>
      <w:r>
        <w:rPr>
          <w:rFonts w:hint="eastAsia" w:cs="仿宋_GB2312"/>
          <w:sz w:val="30"/>
          <w:szCs w:val="30"/>
          <w:lang w:val="zh-CN"/>
        </w:rPr>
        <w:t>附件一（二）</w:t>
      </w:r>
    </w:p>
    <w:p>
      <w:pPr>
        <w:spacing w:line="560" w:lineRule="exact"/>
        <w:jc w:val="center"/>
        <w:rPr>
          <w:rFonts w:ascii="新宋体" w:hAnsi="新宋体" w:eastAsia="新宋体"/>
          <w:sz w:val="36"/>
          <w:szCs w:val="36"/>
        </w:rPr>
      </w:pPr>
      <w:r>
        <w:rPr>
          <w:rFonts w:hint="eastAsia" w:ascii="新宋体" w:hAnsi="新宋体" w:eastAsia="新宋体"/>
          <w:sz w:val="36"/>
          <w:szCs w:val="36"/>
        </w:rPr>
        <w:t>报价组成与分析表</w:t>
      </w:r>
    </w:p>
    <w:p>
      <w:pPr>
        <w:spacing w:line="560" w:lineRule="exact"/>
        <w:jc w:val="center"/>
        <w:rPr>
          <w:rFonts w:cs="Times New Roman"/>
          <w:sz w:val="21"/>
          <w:szCs w:val="21"/>
        </w:rPr>
      </w:pPr>
      <w:r>
        <w:rPr>
          <w:rFonts w:hint="eastAsia" w:cs="Times New Roman"/>
          <w:sz w:val="21"/>
          <w:szCs w:val="21"/>
        </w:rPr>
        <w:t>（格式仅供</w:t>
      </w:r>
      <w:r>
        <w:rPr>
          <w:rFonts w:cs="Times New Roman"/>
          <w:sz w:val="21"/>
          <w:szCs w:val="21"/>
        </w:rPr>
        <w:t>参考，</w:t>
      </w:r>
      <w:r>
        <w:rPr>
          <w:rFonts w:hint="eastAsia" w:cs="Times New Roman"/>
          <w:sz w:val="21"/>
          <w:szCs w:val="21"/>
        </w:rPr>
        <w:t>可以</w:t>
      </w:r>
      <w:r>
        <w:rPr>
          <w:rFonts w:cs="Times New Roman"/>
          <w:sz w:val="21"/>
          <w:szCs w:val="21"/>
        </w:rPr>
        <w:t>根据</w:t>
      </w:r>
      <w:r>
        <w:rPr>
          <w:rFonts w:hint="eastAsia" w:cs="Times New Roman"/>
          <w:sz w:val="21"/>
          <w:szCs w:val="21"/>
        </w:rPr>
        <w:t>实际</w:t>
      </w:r>
      <w:r>
        <w:rPr>
          <w:rFonts w:cs="Times New Roman"/>
          <w:sz w:val="21"/>
          <w:szCs w:val="21"/>
        </w:rPr>
        <w:t>情况</w:t>
      </w:r>
      <w:r>
        <w:rPr>
          <w:rFonts w:hint="eastAsia" w:cs="Times New Roman"/>
          <w:sz w:val="21"/>
          <w:szCs w:val="21"/>
        </w:rPr>
        <w:t>自行设计）</w:t>
      </w:r>
    </w:p>
    <w:p>
      <w:pPr>
        <w:pStyle w:val="27"/>
        <w:ind w:left="440" w:firstLine="440"/>
      </w:pPr>
    </w:p>
    <w:p>
      <w:pPr>
        <w:autoSpaceDE w:val="0"/>
        <w:autoSpaceDN w:val="0"/>
        <w:adjustRightInd w:val="0"/>
        <w:rPr>
          <w:lang w:val="zh-CN"/>
        </w:rPr>
      </w:pPr>
      <w:r>
        <w:rPr>
          <w:rFonts w:hint="eastAsia"/>
          <w:lang w:val="zh-CN"/>
        </w:rPr>
        <w:t>供应商名称：                采购编号：               标项：</w:t>
      </w:r>
      <w:r>
        <w:rPr>
          <w:rFonts w:hint="eastAsia"/>
        </w:rPr>
        <w:t xml:space="preserve">      </w:t>
      </w:r>
      <w:r>
        <w:rPr>
          <w:rFonts w:hint="eastAsia"/>
          <w:lang w:val="zh-CN"/>
        </w:rPr>
        <w:t xml:space="preserve">    </w:t>
      </w:r>
      <w:r>
        <w:rPr>
          <w:rFonts w:hint="eastAsia" w:cs="仿宋_GB2312"/>
          <w:lang w:val="zh-CN"/>
        </w:rPr>
        <w:t>（价格单位：元）</w:t>
      </w:r>
    </w:p>
    <w:tbl>
      <w:tblPr>
        <w:tblStyle w:val="2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4072"/>
        <w:gridCol w:w="2532"/>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exact"/>
        </w:trPr>
        <w:tc>
          <w:tcPr>
            <w:tcW w:w="776" w:type="dxa"/>
            <w:vAlign w:val="center"/>
          </w:tcPr>
          <w:p>
            <w:pPr>
              <w:spacing w:line="400" w:lineRule="exact"/>
              <w:jc w:val="center"/>
              <w:rPr>
                <w:rFonts w:ascii="新宋体" w:hAnsi="新宋体" w:eastAsia="新宋体"/>
                <w:b/>
                <w:color w:val="000000"/>
              </w:rPr>
            </w:pPr>
            <w:r>
              <w:rPr>
                <w:rFonts w:hint="eastAsia" w:ascii="新宋体" w:hAnsi="新宋体" w:eastAsia="新宋体"/>
                <w:b/>
                <w:color w:val="000000"/>
              </w:rPr>
              <w:t>序号</w:t>
            </w:r>
          </w:p>
        </w:tc>
        <w:tc>
          <w:tcPr>
            <w:tcW w:w="4072" w:type="dxa"/>
            <w:vAlign w:val="center"/>
          </w:tcPr>
          <w:p>
            <w:pPr>
              <w:spacing w:line="400" w:lineRule="exact"/>
              <w:jc w:val="center"/>
              <w:rPr>
                <w:rFonts w:ascii="新宋体" w:hAnsi="新宋体" w:eastAsia="新宋体"/>
                <w:b/>
                <w:color w:val="000000"/>
              </w:rPr>
            </w:pPr>
            <w:r>
              <w:rPr>
                <w:rFonts w:hint="eastAsia" w:ascii="新宋体" w:hAnsi="新宋体" w:eastAsia="新宋体"/>
                <w:b/>
                <w:color w:val="000000"/>
              </w:rPr>
              <w:t>项 目 内 容</w:t>
            </w:r>
          </w:p>
        </w:tc>
        <w:tc>
          <w:tcPr>
            <w:tcW w:w="2532" w:type="dxa"/>
            <w:vAlign w:val="center"/>
          </w:tcPr>
          <w:p>
            <w:pPr>
              <w:spacing w:line="400" w:lineRule="exact"/>
              <w:jc w:val="center"/>
              <w:rPr>
                <w:rFonts w:ascii="新宋体" w:hAnsi="新宋体" w:eastAsia="新宋体"/>
                <w:b/>
                <w:color w:val="000000"/>
              </w:rPr>
            </w:pPr>
            <w:r>
              <w:rPr>
                <w:rFonts w:hint="eastAsia" w:ascii="新宋体" w:hAnsi="新宋体" w:eastAsia="新宋体"/>
                <w:b/>
                <w:color w:val="000000"/>
              </w:rPr>
              <w:t xml:space="preserve"> 报  价（ 元）</w:t>
            </w:r>
          </w:p>
        </w:tc>
        <w:tc>
          <w:tcPr>
            <w:tcW w:w="2340" w:type="dxa"/>
            <w:vAlign w:val="center"/>
          </w:tcPr>
          <w:p>
            <w:pPr>
              <w:spacing w:line="400" w:lineRule="exact"/>
              <w:jc w:val="center"/>
              <w:rPr>
                <w:rFonts w:ascii="新宋体" w:hAnsi="新宋体" w:eastAsia="新宋体"/>
                <w:b/>
                <w:color w:val="000000"/>
              </w:rPr>
            </w:pPr>
            <w:r>
              <w:rPr>
                <w:rFonts w:hint="eastAsia" w:ascii="新宋体" w:hAnsi="新宋体" w:eastAsia="新宋体"/>
                <w:b/>
                <w:color w:val="00000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trPr>
        <w:tc>
          <w:tcPr>
            <w:tcW w:w="776" w:type="dxa"/>
            <w:vAlign w:val="center"/>
          </w:tcPr>
          <w:p>
            <w:pPr>
              <w:spacing w:line="400" w:lineRule="exact"/>
              <w:jc w:val="center"/>
              <w:rPr>
                <w:rFonts w:ascii="新宋体" w:hAnsi="新宋体" w:eastAsia="新宋体"/>
                <w:color w:val="000000"/>
              </w:rPr>
            </w:pPr>
            <w:r>
              <w:rPr>
                <w:rFonts w:hint="eastAsia" w:ascii="新宋体" w:hAnsi="新宋体" w:eastAsia="新宋体"/>
                <w:color w:val="000000"/>
              </w:rPr>
              <w:t>1</w:t>
            </w:r>
          </w:p>
        </w:tc>
        <w:tc>
          <w:tcPr>
            <w:tcW w:w="4072" w:type="dxa"/>
            <w:vAlign w:val="center"/>
          </w:tcPr>
          <w:p>
            <w:pPr>
              <w:spacing w:line="400" w:lineRule="exact"/>
              <w:jc w:val="center"/>
              <w:rPr>
                <w:rFonts w:ascii="新宋体" w:hAnsi="新宋体" w:eastAsia="新宋体"/>
                <w:color w:val="000000"/>
              </w:rPr>
            </w:pPr>
          </w:p>
        </w:tc>
        <w:tc>
          <w:tcPr>
            <w:tcW w:w="2532" w:type="dxa"/>
            <w:vAlign w:val="center"/>
          </w:tcPr>
          <w:p>
            <w:pPr>
              <w:spacing w:line="400" w:lineRule="exact"/>
              <w:jc w:val="center"/>
              <w:rPr>
                <w:rFonts w:ascii="新宋体" w:hAnsi="新宋体" w:eastAsia="新宋体"/>
                <w:color w:val="000000"/>
              </w:rPr>
            </w:pPr>
          </w:p>
        </w:tc>
        <w:tc>
          <w:tcPr>
            <w:tcW w:w="2340" w:type="dxa"/>
            <w:vAlign w:val="center"/>
          </w:tcPr>
          <w:p>
            <w:pPr>
              <w:spacing w:line="400" w:lineRule="exact"/>
              <w:jc w:val="center"/>
              <w:rPr>
                <w:rFonts w:ascii="新宋体" w:hAnsi="新宋体" w:eastAsia="新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76" w:type="dxa"/>
            <w:vAlign w:val="center"/>
          </w:tcPr>
          <w:p>
            <w:pPr>
              <w:spacing w:line="400" w:lineRule="exact"/>
              <w:jc w:val="center"/>
              <w:rPr>
                <w:rFonts w:ascii="新宋体" w:hAnsi="新宋体" w:eastAsia="新宋体"/>
                <w:color w:val="000000"/>
              </w:rPr>
            </w:pPr>
            <w:r>
              <w:rPr>
                <w:rFonts w:hint="eastAsia" w:ascii="新宋体" w:hAnsi="新宋体" w:eastAsia="新宋体"/>
                <w:color w:val="000000"/>
              </w:rPr>
              <w:t>2</w:t>
            </w:r>
          </w:p>
        </w:tc>
        <w:tc>
          <w:tcPr>
            <w:tcW w:w="4072" w:type="dxa"/>
            <w:vAlign w:val="center"/>
          </w:tcPr>
          <w:p>
            <w:pPr>
              <w:spacing w:line="400" w:lineRule="exact"/>
              <w:jc w:val="center"/>
              <w:rPr>
                <w:rFonts w:ascii="新宋体" w:hAnsi="新宋体" w:eastAsia="新宋体"/>
                <w:color w:val="000000"/>
              </w:rPr>
            </w:pPr>
          </w:p>
        </w:tc>
        <w:tc>
          <w:tcPr>
            <w:tcW w:w="2532" w:type="dxa"/>
            <w:vAlign w:val="center"/>
          </w:tcPr>
          <w:p>
            <w:pPr>
              <w:spacing w:line="400" w:lineRule="exact"/>
              <w:jc w:val="center"/>
              <w:rPr>
                <w:rFonts w:ascii="新宋体" w:hAnsi="新宋体" w:eastAsia="新宋体"/>
                <w:color w:val="000000"/>
              </w:rPr>
            </w:pPr>
          </w:p>
        </w:tc>
        <w:tc>
          <w:tcPr>
            <w:tcW w:w="2340" w:type="dxa"/>
            <w:vAlign w:val="center"/>
          </w:tcPr>
          <w:p>
            <w:pPr>
              <w:spacing w:line="400" w:lineRule="exact"/>
              <w:jc w:val="center"/>
              <w:rPr>
                <w:rFonts w:ascii="新宋体" w:hAnsi="新宋体" w:eastAsia="新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76" w:type="dxa"/>
            <w:vAlign w:val="center"/>
          </w:tcPr>
          <w:p>
            <w:pPr>
              <w:spacing w:line="400" w:lineRule="exact"/>
              <w:jc w:val="center"/>
              <w:rPr>
                <w:rFonts w:ascii="新宋体" w:hAnsi="新宋体" w:eastAsia="新宋体"/>
                <w:color w:val="000000"/>
              </w:rPr>
            </w:pPr>
            <w:r>
              <w:rPr>
                <w:rFonts w:hint="eastAsia" w:ascii="新宋体" w:hAnsi="新宋体" w:eastAsia="新宋体"/>
                <w:color w:val="000000"/>
              </w:rPr>
              <w:t>3</w:t>
            </w:r>
          </w:p>
        </w:tc>
        <w:tc>
          <w:tcPr>
            <w:tcW w:w="4072" w:type="dxa"/>
            <w:vAlign w:val="center"/>
          </w:tcPr>
          <w:p>
            <w:pPr>
              <w:spacing w:line="400" w:lineRule="exact"/>
              <w:jc w:val="center"/>
              <w:rPr>
                <w:rFonts w:ascii="新宋体" w:hAnsi="新宋体" w:eastAsia="新宋体"/>
                <w:color w:val="000000"/>
              </w:rPr>
            </w:pPr>
            <w:r>
              <w:rPr>
                <w:rFonts w:hint="eastAsia" w:ascii="新宋体" w:hAnsi="新宋体" w:eastAsia="新宋体"/>
                <w:color w:val="000000"/>
              </w:rPr>
              <w:t>人员费</w:t>
            </w:r>
          </w:p>
        </w:tc>
        <w:tc>
          <w:tcPr>
            <w:tcW w:w="2532" w:type="dxa"/>
            <w:vAlign w:val="center"/>
          </w:tcPr>
          <w:p>
            <w:pPr>
              <w:spacing w:line="400" w:lineRule="exact"/>
              <w:jc w:val="center"/>
              <w:rPr>
                <w:rFonts w:ascii="新宋体" w:hAnsi="新宋体" w:eastAsia="新宋体"/>
                <w:color w:val="000000"/>
              </w:rPr>
            </w:pPr>
          </w:p>
        </w:tc>
        <w:tc>
          <w:tcPr>
            <w:tcW w:w="2340" w:type="dxa"/>
            <w:vAlign w:val="center"/>
          </w:tcPr>
          <w:p>
            <w:pPr>
              <w:spacing w:line="400" w:lineRule="exact"/>
              <w:jc w:val="center"/>
              <w:rPr>
                <w:rFonts w:ascii="新宋体" w:hAnsi="新宋体" w:eastAsia="新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76" w:type="dxa"/>
            <w:vAlign w:val="center"/>
          </w:tcPr>
          <w:p>
            <w:pPr>
              <w:spacing w:line="400" w:lineRule="exact"/>
              <w:jc w:val="center"/>
              <w:rPr>
                <w:rFonts w:ascii="新宋体" w:hAnsi="新宋体" w:eastAsia="新宋体"/>
                <w:color w:val="000000"/>
              </w:rPr>
            </w:pPr>
            <w:r>
              <w:rPr>
                <w:rFonts w:hint="eastAsia" w:ascii="新宋体" w:hAnsi="新宋体" w:eastAsia="新宋体"/>
                <w:color w:val="000000"/>
              </w:rPr>
              <w:t>4</w:t>
            </w:r>
          </w:p>
        </w:tc>
        <w:tc>
          <w:tcPr>
            <w:tcW w:w="4072" w:type="dxa"/>
            <w:vAlign w:val="center"/>
          </w:tcPr>
          <w:p>
            <w:pPr>
              <w:spacing w:line="400" w:lineRule="exact"/>
              <w:jc w:val="center"/>
              <w:rPr>
                <w:rFonts w:ascii="新宋体" w:hAnsi="新宋体" w:eastAsia="新宋体"/>
                <w:color w:val="000000"/>
              </w:rPr>
            </w:pPr>
            <w:r>
              <w:rPr>
                <w:rFonts w:hint="eastAsia" w:ascii="新宋体" w:hAnsi="新宋体" w:eastAsia="新宋体"/>
                <w:color w:val="000000"/>
              </w:rPr>
              <w:t>利润</w:t>
            </w:r>
          </w:p>
        </w:tc>
        <w:tc>
          <w:tcPr>
            <w:tcW w:w="2532" w:type="dxa"/>
            <w:vAlign w:val="center"/>
          </w:tcPr>
          <w:p>
            <w:pPr>
              <w:spacing w:line="400" w:lineRule="exact"/>
              <w:jc w:val="center"/>
              <w:rPr>
                <w:rFonts w:ascii="新宋体" w:hAnsi="新宋体" w:eastAsia="新宋体"/>
                <w:color w:val="000000"/>
              </w:rPr>
            </w:pPr>
          </w:p>
        </w:tc>
        <w:tc>
          <w:tcPr>
            <w:tcW w:w="2340" w:type="dxa"/>
            <w:vAlign w:val="center"/>
          </w:tcPr>
          <w:p>
            <w:pPr>
              <w:spacing w:line="400" w:lineRule="exact"/>
              <w:jc w:val="center"/>
              <w:rPr>
                <w:rFonts w:ascii="新宋体" w:hAnsi="新宋体" w:eastAsia="新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76" w:type="dxa"/>
            <w:vAlign w:val="center"/>
          </w:tcPr>
          <w:p>
            <w:pPr>
              <w:spacing w:line="400" w:lineRule="exact"/>
              <w:jc w:val="center"/>
              <w:rPr>
                <w:rFonts w:ascii="新宋体" w:hAnsi="新宋体" w:eastAsia="新宋体"/>
                <w:color w:val="000000"/>
              </w:rPr>
            </w:pPr>
            <w:r>
              <w:rPr>
                <w:rFonts w:hint="eastAsia" w:ascii="新宋体" w:hAnsi="新宋体" w:eastAsia="新宋体"/>
                <w:color w:val="000000"/>
              </w:rPr>
              <w:t>5</w:t>
            </w:r>
          </w:p>
        </w:tc>
        <w:tc>
          <w:tcPr>
            <w:tcW w:w="4072" w:type="dxa"/>
            <w:vAlign w:val="center"/>
          </w:tcPr>
          <w:p>
            <w:pPr>
              <w:spacing w:line="400" w:lineRule="exact"/>
              <w:jc w:val="center"/>
              <w:rPr>
                <w:rFonts w:ascii="新宋体" w:hAnsi="新宋体" w:eastAsia="新宋体"/>
                <w:color w:val="000000"/>
              </w:rPr>
            </w:pPr>
            <w:r>
              <w:rPr>
                <w:rFonts w:hint="eastAsia" w:ascii="新宋体" w:hAnsi="新宋体" w:eastAsia="新宋体"/>
                <w:color w:val="000000"/>
              </w:rPr>
              <w:t>采购代理服务费</w:t>
            </w:r>
          </w:p>
        </w:tc>
        <w:tc>
          <w:tcPr>
            <w:tcW w:w="2532" w:type="dxa"/>
            <w:vAlign w:val="center"/>
          </w:tcPr>
          <w:p>
            <w:pPr>
              <w:spacing w:line="400" w:lineRule="exact"/>
              <w:jc w:val="center"/>
              <w:rPr>
                <w:rFonts w:ascii="新宋体" w:hAnsi="新宋体" w:eastAsia="新宋体"/>
                <w:color w:val="000000"/>
              </w:rPr>
            </w:pPr>
          </w:p>
        </w:tc>
        <w:tc>
          <w:tcPr>
            <w:tcW w:w="2340" w:type="dxa"/>
            <w:vAlign w:val="center"/>
          </w:tcPr>
          <w:p>
            <w:pPr>
              <w:spacing w:line="400" w:lineRule="exact"/>
              <w:jc w:val="center"/>
              <w:rPr>
                <w:rFonts w:ascii="新宋体" w:hAnsi="新宋体" w:eastAsia="新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exact"/>
        </w:trPr>
        <w:tc>
          <w:tcPr>
            <w:tcW w:w="776" w:type="dxa"/>
            <w:vAlign w:val="center"/>
          </w:tcPr>
          <w:p>
            <w:pPr>
              <w:spacing w:line="400" w:lineRule="exact"/>
              <w:jc w:val="center"/>
              <w:rPr>
                <w:rFonts w:ascii="新宋体" w:hAnsi="新宋体" w:eastAsia="新宋体"/>
                <w:color w:val="000000"/>
              </w:rPr>
            </w:pPr>
            <w:r>
              <w:rPr>
                <w:rFonts w:hint="eastAsia" w:ascii="新宋体" w:hAnsi="新宋体" w:eastAsia="新宋体"/>
                <w:color w:val="000000"/>
              </w:rPr>
              <w:t>6</w:t>
            </w:r>
          </w:p>
        </w:tc>
        <w:tc>
          <w:tcPr>
            <w:tcW w:w="4072" w:type="dxa"/>
            <w:vAlign w:val="center"/>
          </w:tcPr>
          <w:p>
            <w:pPr>
              <w:spacing w:line="400" w:lineRule="exact"/>
              <w:jc w:val="center"/>
              <w:rPr>
                <w:rFonts w:ascii="新宋体" w:hAnsi="新宋体" w:eastAsia="新宋体"/>
                <w:color w:val="000000"/>
              </w:rPr>
            </w:pPr>
            <w:r>
              <w:rPr>
                <w:rFonts w:hint="eastAsia" w:ascii="新宋体" w:hAnsi="新宋体" w:eastAsia="新宋体"/>
                <w:color w:val="000000"/>
              </w:rPr>
              <w:t>税费</w:t>
            </w:r>
          </w:p>
        </w:tc>
        <w:tc>
          <w:tcPr>
            <w:tcW w:w="2532" w:type="dxa"/>
            <w:vAlign w:val="center"/>
          </w:tcPr>
          <w:p>
            <w:pPr>
              <w:spacing w:line="400" w:lineRule="exact"/>
              <w:jc w:val="center"/>
              <w:rPr>
                <w:rFonts w:ascii="新宋体" w:hAnsi="新宋体" w:eastAsia="新宋体"/>
                <w:color w:val="000000"/>
              </w:rPr>
            </w:pPr>
          </w:p>
        </w:tc>
        <w:tc>
          <w:tcPr>
            <w:tcW w:w="2340" w:type="dxa"/>
            <w:vAlign w:val="center"/>
          </w:tcPr>
          <w:p>
            <w:pPr>
              <w:spacing w:line="400" w:lineRule="exact"/>
              <w:jc w:val="center"/>
              <w:rPr>
                <w:rFonts w:ascii="新宋体" w:hAnsi="新宋体" w:eastAsia="新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exact"/>
        </w:trPr>
        <w:tc>
          <w:tcPr>
            <w:tcW w:w="776" w:type="dxa"/>
            <w:vAlign w:val="center"/>
          </w:tcPr>
          <w:p>
            <w:pPr>
              <w:spacing w:line="400" w:lineRule="exact"/>
              <w:jc w:val="center"/>
              <w:rPr>
                <w:rFonts w:ascii="新宋体" w:hAnsi="新宋体" w:eastAsia="新宋体"/>
                <w:color w:val="000000"/>
              </w:rPr>
            </w:pPr>
            <w:r>
              <w:rPr>
                <w:rFonts w:hint="eastAsia" w:ascii="新宋体" w:hAnsi="新宋体" w:eastAsia="新宋体"/>
                <w:color w:val="000000"/>
              </w:rPr>
              <w:t>7</w:t>
            </w:r>
          </w:p>
        </w:tc>
        <w:tc>
          <w:tcPr>
            <w:tcW w:w="4072" w:type="dxa"/>
            <w:vAlign w:val="center"/>
          </w:tcPr>
          <w:p>
            <w:pPr>
              <w:spacing w:line="400" w:lineRule="exact"/>
              <w:jc w:val="center"/>
              <w:rPr>
                <w:rFonts w:ascii="新宋体" w:hAnsi="新宋体" w:eastAsia="新宋体"/>
                <w:color w:val="000000"/>
              </w:rPr>
            </w:pPr>
            <w:r>
              <w:rPr>
                <w:rFonts w:hint="eastAsia" w:ascii="新宋体" w:hAnsi="新宋体" w:eastAsia="新宋体"/>
                <w:color w:val="000000"/>
              </w:rPr>
              <w:t>其他需要费用</w:t>
            </w:r>
          </w:p>
        </w:tc>
        <w:tc>
          <w:tcPr>
            <w:tcW w:w="2532" w:type="dxa"/>
            <w:vAlign w:val="center"/>
          </w:tcPr>
          <w:p>
            <w:pPr>
              <w:spacing w:line="400" w:lineRule="exact"/>
              <w:jc w:val="center"/>
              <w:rPr>
                <w:rFonts w:ascii="新宋体" w:hAnsi="新宋体" w:eastAsia="新宋体"/>
                <w:color w:val="000000"/>
              </w:rPr>
            </w:pPr>
          </w:p>
        </w:tc>
        <w:tc>
          <w:tcPr>
            <w:tcW w:w="2340" w:type="dxa"/>
            <w:vAlign w:val="center"/>
          </w:tcPr>
          <w:p>
            <w:pPr>
              <w:spacing w:line="400" w:lineRule="exact"/>
              <w:jc w:val="center"/>
              <w:rPr>
                <w:rFonts w:ascii="新宋体" w:hAnsi="新宋体" w:eastAsia="新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exact"/>
        </w:trPr>
        <w:tc>
          <w:tcPr>
            <w:tcW w:w="4848" w:type="dxa"/>
            <w:gridSpan w:val="2"/>
            <w:vAlign w:val="center"/>
          </w:tcPr>
          <w:p>
            <w:pPr>
              <w:spacing w:line="400" w:lineRule="exact"/>
              <w:jc w:val="center"/>
              <w:rPr>
                <w:rFonts w:ascii="新宋体" w:hAnsi="新宋体" w:eastAsia="新宋体"/>
                <w:color w:val="000000"/>
              </w:rPr>
            </w:pPr>
            <w:r>
              <w:rPr>
                <w:rFonts w:hint="eastAsia" w:ascii="新宋体" w:hAnsi="新宋体" w:eastAsia="新宋体"/>
                <w:color w:val="000000"/>
              </w:rPr>
              <w:t>合   计   价</w:t>
            </w:r>
          </w:p>
        </w:tc>
        <w:tc>
          <w:tcPr>
            <w:tcW w:w="2532" w:type="dxa"/>
            <w:vAlign w:val="center"/>
          </w:tcPr>
          <w:p>
            <w:pPr>
              <w:spacing w:line="400" w:lineRule="exact"/>
              <w:jc w:val="center"/>
              <w:rPr>
                <w:rFonts w:ascii="新宋体" w:hAnsi="新宋体" w:eastAsia="新宋体"/>
                <w:color w:val="000000"/>
              </w:rPr>
            </w:pPr>
          </w:p>
        </w:tc>
        <w:tc>
          <w:tcPr>
            <w:tcW w:w="2340" w:type="dxa"/>
            <w:vAlign w:val="center"/>
          </w:tcPr>
          <w:p>
            <w:pPr>
              <w:spacing w:line="400" w:lineRule="exact"/>
              <w:jc w:val="center"/>
              <w:rPr>
                <w:rFonts w:ascii="新宋体" w:hAnsi="新宋体" w:eastAsia="新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exact"/>
        </w:trPr>
        <w:tc>
          <w:tcPr>
            <w:tcW w:w="9720" w:type="dxa"/>
            <w:gridSpan w:val="4"/>
            <w:vAlign w:val="center"/>
          </w:tcPr>
          <w:p>
            <w:pPr>
              <w:spacing w:line="400" w:lineRule="exact"/>
              <w:ind w:firstLine="770" w:firstLineChars="350"/>
              <w:rPr>
                <w:rFonts w:ascii="新宋体" w:hAnsi="新宋体" w:eastAsia="新宋体"/>
                <w:color w:val="000000"/>
              </w:rPr>
            </w:pPr>
            <w:r>
              <w:rPr>
                <w:rFonts w:hint="eastAsia" w:ascii="新宋体" w:hAnsi="新宋体" w:eastAsia="新宋体"/>
                <w:color w:val="000000"/>
              </w:rPr>
              <w:t>合   计   价（大写）：                               元人民币。</w:t>
            </w:r>
          </w:p>
        </w:tc>
      </w:tr>
    </w:tbl>
    <w:p>
      <w:pPr>
        <w:spacing w:line="360" w:lineRule="exact"/>
        <w:ind w:firstLine="330" w:firstLineChars="150"/>
      </w:pPr>
    </w:p>
    <w:p>
      <w:pPr>
        <w:spacing w:line="360" w:lineRule="exact"/>
      </w:pPr>
      <w:r>
        <w:rPr>
          <w:rFonts w:hint="eastAsia"/>
        </w:rPr>
        <w:t>注：1. 总价应与“开标一览表”中投标价相一致。</w:t>
      </w:r>
    </w:p>
    <w:p>
      <w:pPr>
        <w:spacing w:line="360" w:lineRule="exact"/>
        <w:ind w:left="768" w:leftChars="203" w:hanging="321" w:hangingChars="146"/>
      </w:pPr>
      <w:r>
        <w:rPr>
          <w:rFonts w:hint="eastAsia"/>
        </w:rPr>
        <w:t xml:space="preserve">2. 本表所列费用为本项目的全部费用，除此外，不允许增加任何费用。                    </w:t>
      </w:r>
    </w:p>
    <w:p>
      <w:pPr>
        <w:spacing w:line="360" w:lineRule="exact"/>
        <w:ind w:firstLine="442" w:firstLineChars="200"/>
        <w:rPr>
          <w:b/>
          <w:bCs/>
        </w:rPr>
      </w:pPr>
      <w:r>
        <w:rPr>
          <w:rFonts w:hint="eastAsia"/>
          <w:b/>
          <w:bCs/>
        </w:rPr>
        <w:t xml:space="preserve">3．根据实际情况需要可自行增减或另行编制。 </w:t>
      </w:r>
    </w:p>
    <w:p>
      <w:pPr>
        <w:autoSpaceDE w:val="0"/>
        <w:autoSpaceDN w:val="0"/>
        <w:adjustRightInd w:val="0"/>
        <w:spacing w:line="460" w:lineRule="atLeast"/>
        <w:rPr>
          <w:lang w:val="zh-CN"/>
        </w:rPr>
      </w:pPr>
      <w:r>
        <w:rPr>
          <w:rFonts w:hint="eastAsia"/>
          <w:lang w:val="zh-CN"/>
        </w:rPr>
        <w:t>投标供应商全称（盖章）：</w:t>
      </w:r>
    </w:p>
    <w:p>
      <w:pPr>
        <w:autoSpaceDE w:val="0"/>
        <w:autoSpaceDN w:val="0"/>
        <w:adjustRightInd w:val="0"/>
        <w:spacing w:line="460" w:lineRule="atLeast"/>
        <w:rPr>
          <w:lang w:val="zh-CN"/>
        </w:rPr>
      </w:pPr>
      <w:r>
        <w:rPr>
          <w:rFonts w:hint="eastAsia"/>
          <w:lang w:val="zh-CN"/>
        </w:rPr>
        <w:t>法定代表人或授权代表（</w:t>
      </w:r>
      <w:r>
        <w:rPr>
          <w:rFonts w:ascii="Arial" w:cs="Arial"/>
          <w:color w:val="000000"/>
        </w:rPr>
        <w:t>签字</w:t>
      </w:r>
      <w:r>
        <w:rPr>
          <w:rFonts w:hint="eastAsia" w:ascii="Arial" w:cs="Arial"/>
          <w:color w:val="000000"/>
        </w:rPr>
        <w:t>或盖章</w:t>
      </w:r>
      <w:r>
        <w:rPr>
          <w:rFonts w:hint="eastAsia"/>
          <w:lang w:val="zh-CN"/>
        </w:rPr>
        <w:t>）：</w:t>
      </w:r>
    </w:p>
    <w:p>
      <w:pPr>
        <w:pStyle w:val="14"/>
        <w:spacing w:line="460" w:lineRule="atLeast"/>
        <w:rPr>
          <w:rFonts w:hAnsi="宋体"/>
        </w:rPr>
      </w:pPr>
      <w:r>
        <w:rPr>
          <w:rFonts w:hint="eastAsia" w:hAnsi="宋体"/>
        </w:rPr>
        <w:t>日期：</w:t>
      </w:r>
    </w:p>
    <w:p>
      <w:pPr>
        <w:pStyle w:val="27"/>
        <w:ind w:left="440" w:firstLine="643"/>
        <w:jc w:val="center"/>
        <w:rPr>
          <w:rFonts w:cs="Arial"/>
          <w:b/>
          <w:sz w:val="32"/>
          <w:szCs w:val="32"/>
        </w:rPr>
      </w:pPr>
    </w:p>
    <w:p>
      <w:pPr>
        <w:spacing w:line="380" w:lineRule="exact"/>
        <w:rPr>
          <w:rFonts w:ascii="Arial" w:cs="Arial"/>
          <w:color w:val="000000"/>
        </w:rPr>
      </w:pPr>
    </w:p>
    <w:p>
      <w:pPr>
        <w:spacing w:line="360" w:lineRule="exact"/>
        <w:ind w:left="777" w:leftChars="307" w:hanging="102" w:hangingChars="46"/>
        <w:rPr>
          <w:b/>
          <w:bCs/>
        </w:rPr>
      </w:pPr>
      <w:r>
        <w:rPr>
          <w:rFonts w:hint="eastAsia"/>
          <w:b/>
          <w:bCs/>
        </w:rPr>
        <w:t>▲不按要求提供此页的将视为没有实质性响应磋商文件，做无效投标处理。</w:t>
      </w:r>
    </w:p>
    <w:p>
      <w:pPr>
        <w:autoSpaceDE w:val="0"/>
        <w:autoSpaceDN w:val="0"/>
        <w:adjustRightInd w:val="0"/>
        <w:spacing w:line="440" w:lineRule="atLeast"/>
        <w:outlineLvl w:val="1"/>
        <w:rPr>
          <w:b/>
          <w:bCs/>
          <w:color w:val="000000"/>
          <w:sz w:val="24"/>
          <w:szCs w:val="24"/>
        </w:rPr>
      </w:pPr>
      <w:r>
        <w:rPr>
          <w:rFonts w:hint="eastAsia"/>
          <w:b/>
          <w:bCs/>
          <w:color w:val="000000"/>
          <w:sz w:val="24"/>
          <w:szCs w:val="24"/>
        </w:rPr>
        <w:br w:type="page"/>
      </w:r>
      <w:r>
        <w:rPr>
          <w:rFonts w:hint="eastAsia"/>
          <w:b/>
          <w:bCs/>
          <w:color w:val="000000"/>
          <w:sz w:val="24"/>
          <w:szCs w:val="24"/>
        </w:rPr>
        <w:t>附件二</w:t>
      </w:r>
    </w:p>
    <w:p>
      <w:pPr>
        <w:autoSpaceDE w:val="0"/>
        <w:autoSpaceDN w:val="0"/>
        <w:adjustRightInd w:val="0"/>
        <w:spacing w:line="440" w:lineRule="atLeast"/>
        <w:jc w:val="center"/>
        <w:rPr>
          <w:b/>
          <w:bCs/>
          <w:color w:val="000000"/>
          <w:sz w:val="36"/>
          <w:szCs w:val="36"/>
        </w:rPr>
      </w:pPr>
      <w:r>
        <w:rPr>
          <w:rFonts w:hint="eastAsia"/>
          <w:b/>
          <w:bCs/>
          <w:color w:val="000000"/>
          <w:sz w:val="36"/>
          <w:szCs w:val="36"/>
        </w:rPr>
        <w:t>磋  商  响  应  函</w:t>
      </w:r>
    </w:p>
    <w:p>
      <w:pPr>
        <w:pStyle w:val="14"/>
        <w:adjustRightInd w:val="0"/>
        <w:snapToGrid w:val="0"/>
        <w:rPr>
          <w:rFonts w:hAnsi="宋体"/>
          <w:color w:val="000000"/>
          <w:u w:val="single"/>
        </w:rPr>
      </w:pPr>
      <w:r>
        <w:rPr>
          <w:rFonts w:hint="eastAsia" w:hAnsi="宋体"/>
          <w:color w:val="000000"/>
          <w:u w:val="single"/>
        </w:rPr>
        <w:t>采购单位名称：</w:t>
      </w:r>
    </w:p>
    <w:p>
      <w:pPr>
        <w:autoSpaceDE w:val="0"/>
        <w:autoSpaceDN w:val="0"/>
        <w:adjustRightInd w:val="0"/>
        <w:rPr>
          <w:rFonts w:cs="仿宋_GB2312"/>
          <w:color w:val="000000"/>
          <w:lang w:val="zh-CN"/>
        </w:rPr>
      </w:pPr>
      <w:r>
        <w:rPr>
          <w:rFonts w:hint="eastAsia"/>
          <w:color w:val="000000"/>
        </w:rPr>
        <w:t xml:space="preserve">     </w:t>
      </w:r>
      <w:r>
        <w:rPr>
          <w:rFonts w:cs="仿宋_GB2312"/>
          <w:color w:val="000000"/>
          <w:u w:val="single"/>
          <w:lang w:val="zh-CN"/>
        </w:rPr>
        <w:t xml:space="preserve"> </w:t>
      </w:r>
      <w:r>
        <w:rPr>
          <w:rFonts w:hint="eastAsia" w:cs="仿宋_GB2312"/>
          <w:color w:val="000000"/>
          <w:u w:val="single"/>
          <w:lang w:val="zh-CN"/>
        </w:rPr>
        <w:t>（供应商全称）</w:t>
      </w:r>
      <w:r>
        <w:rPr>
          <w:rFonts w:hint="eastAsia" w:cs="仿宋_GB2312"/>
          <w:color w:val="000000"/>
          <w:u w:val="single"/>
        </w:rPr>
        <w:t xml:space="preserve">  </w:t>
      </w:r>
      <w:r>
        <w:rPr>
          <w:rFonts w:hint="eastAsia" w:cs="仿宋_GB2312"/>
          <w:color w:val="000000"/>
          <w:lang w:val="zh-CN"/>
        </w:rPr>
        <w:t>授权</w:t>
      </w:r>
      <w:r>
        <w:rPr>
          <w:rFonts w:hint="eastAsia" w:cs="仿宋_GB2312"/>
          <w:color w:val="000000"/>
          <w:u w:val="single"/>
          <w:lang w:val="zh-CN"/>
        </w:rPr>
        <w:t>（</w:t>
      </w:r>
      <w:r>
        <w:rPr>
          <w:rFonts w:hint="eastAsia" w:cs="仿宋_GB2312"/>
          <w:color w:val="000000"/>
          <w:u w:val="single"/>
        </w:rPr>
        <w:t>磋商</w:t>
      </w:r>
      <w:r>
        <w:rPr>
          <w:rFonts w:hint="eastAsia" w:cs="仿宋_GB2312"/>
          <w:color w:val="000000"/>
          <w:u w:val="single"/>
          <w:lang w:val="zh-CN"/>
        </w:rPr>
        <w:t>代表名字）（职务、职称）</w:t>
      </w:r>
      <w:r>
        <w:rPr>
          <w:rFonts w:hint="eastAsia" w:cs="仿宋_GB2312"/>
          <w:color w:val="000000"/>
          <w:lang w:val="zh-CN"/>
        </w:rPr>
        <w:t>为</w:t>
      </w:r>
      <w:r>
        <w:rPr>
          <w:rFonts w:hint="eastAsia" w:cs="仿宋_GB2312"/>
          <w:color w:val="000000"/>
        </w:rPr>
        <w:t>本项目</w:t>
      </w:r>
      <w:r>
        <w:rPr>
          <w:rFonts w:hint="eastAsia" w:cs="仿宋_GB2312"/>
          <w:color w:val="000000"/>
          <w:lang w:val="zh-CN"/>
        </w:rPr>
        <w:t>磋商代表，参加贵方组织的</w:t>
      </w:r>
      <w:r>
        <w:rPr>
          <w:rFonts w:cs="仿宋_GB2312"/>
          <w:color w:val="000000"/>
          <w:u w:val="single"/>
          <w:lang w:val="zh-CN"/>
        </w:rPr>
        <w:t xml:space="preserve">   </w:t>
      </w:r>
      <w:r>
        <w:rPr>
          <w:rFonts w:hint="eastAsia" w:cs="仿宋_GB2312"/>
          <w:color w:val="000000"/>
          <w:u w:val="single"/>
          <w:lang w:val="zh-CN"/>
        </w:rPr>
        <w:t>（</w:t>
      </w:r>
      <w:r>
        <w:rPr>
          <w:rFonts w:hint="eastAsia" w:cs="仿宋_GB2312"/>
          <w:color w:val="000000"/>
          <w:u w:val="single"/>
        </w:rPr>
        <w:t>磋商</w:t>
      </w:r>
      <w:r>
        <w:rPr>
          <w:rFonts w:hint="eastAsia" w:cs="仿宋_GB2312"/>
          <w:color w:val="000000"/>
          <w:u w:val="single"/>
          <w:lang w:val="zh-CN"/>
        </w:rPr>
        <w:t>项目名称，</w:t>
      </w:r>
      <w:r>
        <w:rPr>
          <w:rFonts w:hint="eastAsia" w:cs="仿宋_GB2312"/>
          <w:color w:val="000000"/>
          <w:u w:val="single"/>
        </w:rPr>
        <w:t>采购项目</w:t>
      </w:r>
      <w:r>
        <w:rPr>
          <w:rFonts w:hint="eastAsia" w:cs="仿宋_GB2312"/>
          <w:color w:val="000000"/>
          <w:u w:val="single"/>
          <w:lang w:val="zh-CN"/>
        </w:rPr>
        <w:t>编号，</w:t>
      </w:r>
      <w:r>
        <w:rPr>
          <w:rFonts w:hint="eastAsia" w:cs="仿宋_GB2312"/>
          <w:color w:val="000000"/>
          <w:u w:val="single"/>
        </w:rPr>
        <w:t>标项号，标项名称</w:t>
      </w:r>
      <w:r>
        <w:rPr>
          <w:rFonts w:hint="eastAsia" w:cs="仿宋_GB2312"/>
          <w:color w:val="000000"/>
          <w:u w:val="single"/>
          <w:lang w:val="zh-CN"/>
        </w:rPr>
        <w:t>）</w:t>
      </w:r>
      <w:r>
        <w:rPr>
          <w:rFonts w:hint="eastAsia" w:cs="仿宋_GB2312"/>
          <w:color w:val="000000"/>
        </w:rPr>
        <w:t>磋商</w:t>
      </w:r>
      <w:r>
        <w:rPr>
          <w:rFonts w:hint="eastAsia" w:cs="仿宋_GB2312"/>
          <w:color w:val="000000"/>
          <w:lang w:val="zh-CN"/>
        </w:rPr>
        <w:t>的有关活动，并对此项目进行</w:t>
      </w:r>
      <w:r>
        <w:rPr>
          <w:rFonts w:hint="eastAsia" w:cs="仿宋_GB2312"/>
          <w:color w:val="000000"/>
        </w:rPr>
        <w:t>磋商响应</w:t>
      </w:r>
      <w:r>
        <w:rPr>
          <w:rFonts w:hint="eastAsia" w:cs="仿宋_GB2312"/>
          <w:color w:val="000000"/>
          <w:lang w:val="zh-CN"/>
        </w:rPr>
        <w:t>：</w:t>
      </w:r>
      <w:r>
        <w:rPr>
          <w:rFonts w:cs="仿宋_GB2312"/>
          <w:color w:val="000000"/>
          <w:lang w:val="zh-CN"/>
        </w:rPr>
        <w:t xml:space="preserve">  </w:t>
      </w:r>
    </w:p>
    <w:p>
      <w:pPr>
        <w:autoSpaceDE w:val="0"/>
        <w:autoSpaceDN w:val="0"/>
        <w:adjustRightInd w:val="0"/>
        <w:ind w:left="1" w:firstLine="585" w:firstLineChars="266"/>
        <w:rPr>
          <w:rFonts w:cs="仿宋_GB2312"/>
          <w:color w:val="000000"/>
          <w:lang w:val="zh-CN"/>
        </w:rPr>
      </w:pPr>
      <w:r>
        <w:rPr>
          <w:rFonts w:hint="eastAsia" w:cs="仿宋_GB2312"/>
          <w:color w:val="000000"/>
          <w:lang w:val="zh-CN"/>
        </w:rPr>
        <w:t>1、提供</w:t>
      </w:r>
      <w:r>
        <w:rPr>
          <w:rFonts w:hint="eastAsia" w:cs="仿宋_GB2312"/>
          <w:color w:val="000000"/>
        </w:rPr>
        <w:t>竞争性磋商文件</w:t>
      </w:r>
      <w:r>
        <w:rPr>
          <w:rFonts w:hint="eastAsia" w:cs="仿宋_GB2312"/>
          <w:color w:val="000000"/>
          <w:lang w:val="zh-CN"/>
        </w:rPr>
        <w:t>规定的全部磋商响应文件，</w:t>
      </w:r>
      <w:r>
        <w:rPr>
          <w:rFonts w:hint="eastAsia" w:cs="仿宋_GB2312"/>
          <w:color w:val="000000"/>
        </w:rPr>
        <w:t>承诺全部真实有效，无虚假响应和虚假材料</w:t>
      </w:r>
      <w:r>
        <w:rPr>
          <w:rFonts w:hint="eastAsia" w:cs="仿宋_GB2312"/>
          <w:color w:val="000000"/>
          <w:lang w:val="zh-CN"/>
        </w:rPr>
        <w:t>；</w:t>
      </w:r>
    </w:p>
    <w:p>
      <w:pPr>
        <w:autoSpaceDE w:val="0"/>
        <w:autoSpaceDN w:val="0"/>
        <w:adjustRightInd w:val="0"/>
        <w:ind w:left="1" w:firstLine="585" w:firstLineChars="266"/>
        <w:rPr>
          <w:rFonts w:cs="仿宋_GB2312"/>
          <w:color w:val="000000"/>
          <w:lang w:val="zh-CN"/>
        </w:rPr>
      </w:pPr>
      <w:r>
        <w:rPr>
          <w:rFonts w:cs="仿宋_GB2312"/>
          <w:color w:val="000000"/>
          <w:lang w:val="zh-CN"/>
        </w:rPr>
        <w:t>2</w:t>
      </w:r>
      <w:r>
        <w:rPr>
          <w:rFonts w:hint="eastAsia" w:cs="仿宋_GB2312"/>
          <w:color w:val="000000"/>
          <w:lang w:val="zh-CN"/>
        </w:rPr>
        <w:t>、</w:t>
      </w:r>
      <w:r>
        <w:rPr>
          <w:rFonts w:hint="eastAsia" w:cs="仿宋_GB2312"/>
          <w:color w:val="000000"/>
        </w:rPr>
        <w:t>完全同意/响应全部磋商文件的要求并</w:t>
      </w:r>
      <w:r>
        <w:rPr>
          <w:rFonts w:hint="eastAsia" w:cs="仿宋_GB2312"/>
          <w:color w:val="000000"/>
          <w:lang w:val="zh-CN"/>
        </w:rPr>
        <w:t>保证遵守磋商文件中的有关规定和收费</w:t>
      </w:r>
      <w:r>
        <w:rPr>
          <w:rFonts w:hint="eastAsia" w:cs="仿宋_GB2312"/>
          <w:color w:val="000000"/>
        </w:rPr>
        <w:t>约定</w:t>
      </w:r>
      <w:r>
        <w:rPr>
          <w:rFonts w:hint="eastAsia" w:cs="仿宋_GB2312"/>
          <w:color w:val="000000"/>
          <w:lang w:val="zh-CN"/>
        </w:rPr>
        <w:t>。</w:t>
      </w:r>
    </w:p>
    <w:p>
      <w:pPr>
        <w:autoSpaceDE w:val="0"/>
        <w:autoSpaceDN w:val="0"/>
        <w:adjustRightInd w:val="0"/>
        <w:ind w:left="1" w:firstLine="585" w:firstLineChars="266"/>
        <w:rPr>
          <w:rFonts w:cs="仿宋_GB2312"/>
          <w:color w:val="000000"/>
          <w:lang w:val="zh-CN"/>
        </w:rPr>
      </w:pPr>
      <w:r>
        <w:rPr>
          <w:rFonts w:hint="eastAsia" w:cs="仿宋_GB2312"/>
          <w:color w:val="000000"/>
          <w:lang w:val="zh-CN"/>
        </w:rPr>
        <w:t>3、保证忠实地执行采购人、成交供应商双方所签的合同，并承担合同规定的责任义务。</w:t>
      </w:r>
    </w:p>
    <w:p>
      <w:pPr>
        <w:autoSpaceDE w:val="0"/>
        <w:autoSpaceDN w:val="0"/>
        <w:adjustRightInd w:val="0"/>
        <w:ind w:left="1" w:firstLine="585" w:firstLineChars="266"/>
        <w:rPr>
          <w:rFonts w:cs="仿宋_GB2312"/>
          <w:color w:val="000000"/>
          <w:lang w:val="zh-CN"/>
        </w:rPr>
      </w:pPr>
      <w:r>
        <w:rPr>
          <w:rFonts w:hint="eastAsia" w:cs="仿宋_GB2312"/>
          <w:color w:val="000000"/>
          <w:lang w:val="zh-CN"/>
        </w:rPr>
        <w:t>4、我方承诺如成交，本磋商响应文件至本项目合同履行完毕止均保持有效，本供应商将按“磋商文件”及政府采购法律、法规的规定履行合同责任和义务。</w:t>
      </w:r>
    </w:p>
    <w:p>
      <w:pPr>
        <w:autoSpaceDE w:val="0"/>
        <w:autoSpaceDN w:val="0"/>
        <w:adjustRightInd w:val="0"/>
        <w:ind w:left="1" w:firstLine="585" w:firstLineChars="266"/>
        <w:rPr>
          <w:rFonts w:cs="仿宋_GB2312"/>
          <w:color w:val="000000"/>
          <w:lang w:val="zh-CN"/>
        </w:rPr>
      </w:pPr>
      <w:r>
        <w:rPr>
          <w:rFonts w:hint="eastAsia" w:cs="仿宋_GB2312"/>
          <w:color w:val="000000"/>
          <w:lang w:val="zh-CN"/>
        </w:rPr>
        <w:t>5、我方已</w:t>
      </w:r>
      <w:r>
        <w:rPr>
          <w:rFonts w:hint="eastAsia" w:cs="仿宋_GB2312"/>
          <w:color w:val="000000"/>
        </w:rPr>
        <w:t>自行通过“浙江政府采购网”</w:t>
      </w:r>
      <w:r>
        <w:rPr>
          <w:rFonts w:hint="eastAsia" w:cs="仿宋_GB2312"/>
          <w:color w:val="000000"/>
          <w:lang w:val="zh-CN"/>
        </w:rPr>
        <w:t>详细审查全部磋商文件（包括</w:t>
      </w:r>
      <w:r>
        <w:rPr>
          <w:rFonts w:hint="eastAsia" w:cs="仿宋_GB2312"/>
          <w:color w:val="000000"/>
        </w:rPr>
        <w:t>竞争性</w:t>
      </w:r>
      <w:r>
        <w:rPr>
          <w:rFonts w:hint="eastAsia" w:cs="仿宋_GB2312"/>
          <w:color w:val="000000"/>
          <w:lang w:val="zh-CN"/>
        </w:rPr>
        <w:t>磋商文件，补充、</w:t>
      </w:r>
      <w:r>
        <w:rPr>
          <w:rFonts w:hint="eastAsia" w:cs="仿宋_GB2312"/>
          <w:color w:val="000000"/>
        </w:rPr>
        <w:t>更正</w:t>
      </w:r>
      <w:r>
        <w:rPr>
          <w:rFonts w:hint="eastAsia" w:cs="仿宋_GB2312"/>
          <w:color w:val="000000"/>
          <w:lang w:val="zh-CN"/>
        </w:rPr>
        <w:t>、</w:t>
      </w:r>
      <w:r>
        <w:rPr>
          <w:rFonts w:hint="eastAsia" w:cs="仿宋_GB2312"/>
          <w:color w:val="000000"/>
        </w:rPr>
        <w:t>澄清</w:t>
      </w:r>
      <w:r>
        <w:rPr>
          <w:rFonts w:hint="eastAsia" w:cs="仿宋_GB2312"/>
          <w:color w:val="000000"/>
          <w:lang w:val="zh-CN"/>
        </w:rPr>
        <w:t>文件</w:t>
      </w:r>
      <w:r>
        <w:rPr>
          <w:rFonts w:hint="eastAsia" w:cs="仿宋_GB2312"/>
          <w:color w:val="000000"/>
        </w:rPr>
        <w:t>/公告等与本项目有关的一切电子资料）</w:t>
      </w:r>
      <w:r>
        <w:rPr>
          <w:rFonts w:hint="eastAsia" w:cs="仿宋_GB2312"/>
          <w:color w:val="000000"/>
          <w:lang w:val="zh-CN"/>
        </w:rPr>
        <w:t>。我方完全理解并同意放弃对这方面有不明及误解的权力。如果磋商文件有相互矛盾之处，我方同意按采购人的理解处理。</w:t>
      </w:r>
    </w:p>
    <w:p>
      <w:pPr>
        <w:ind w:left="1" w:firstLine="585" w:firstLineChars="266"/>
        <w:rPr>
          <w:color w:val="000000"/>
        </w:rPr>
      </w:pPr>
      <w:r>
        <w:rPr>
          <w:rFonts w:hint="eastAsia" w:cs="仿宋_GB2312"/>
          <w:color w:val="000000"/>
        </w:rPr>
        <w:t>6、</w:t>
      </w:r>
      <w:r>
        <w:rPr>
          <w:rFonts w:hint="eastAsia"/>
          <w:color w:val="000000"/>
        </w:rPr>
        <w:t>利益冲突：近三年内直至目前，我公司与本项目的采购人、采购代理机构没有任何的隶属关系。</w:t>
      </w:r>
    </w:p>
    <w:p>
      <w:pPr>
        <w:autoSpaceDE w:val="0"/>
        <w:autoSpaceDN w:val="0"/>
        <w:adjustRightInd w:val="0"/>
        <w:ind w:left="1" w:firstLine="585" w:firstLineChars="266"/>
        <w:rPr>
          <w:rFonts w:cs="仿宋_GB2312"/>
          <w:color w:val="000000"/>
          <w:lang w:val="zh-CN"/>
        </w:rPr>
      </w:pPr>
      <w:r>
        <w:rPr>
          <w:rFonts w:hint="eastAsia"/>
          <w:color w:val="000000"/>
        </w:rPr>
        <w:t>7、</w:t>
      </w:r>
      <w:r>
        <w:rPr>
          <w:rFonts w:hint="eastAsia"/>
          <w:bCs/>
          <w:color w:val="000000"/>
        </w:rPr>
        <w:t>我公司没有被浙江省财政厅、温州市财政局及本项目所在地的政府采购管理部门限制参加政府采购活动。</w:t>
      </w:r>
    </w:p>
    <w:p>
      <w:pPr>
        <w:autoSpaceDE w:val="0"/>
        <w:autoSpaceDN w:val="0"/>
        <w:adjustRightInd w:val="0"/>
        <w:ind w:left="1" w:firstLine="585" w:firstLineChars="266"/>
        <w:rPr>
          <w:rFonts w:cs="仿宋_GB2312"/>
          <w:color w:val="000000"/>
          <w:lang w:val="zh-CN"/>
        </w:rPr>
      </w:pPr>
      <w:r>
        <w:rPr>
          <w:rFonts w:hint="eastAsia" w:cs="仿宋_GB2312"/>
          <w:color w:val="000000"/>
          <w:lang w:val="zh-CN"/>
        </w:rPr>
        <w:t>8、愿意向贵方提供任何与该项</w:t>
      </w:r>
      <w:r>
        <w:rPr>
          <w:rFonts w:hint="eastAsia" w:cs="仿宋_GB2312"/>
          <w:color w:val="000000"/>
        </w:rPr>
        <w:t>磋商</w:t>
      </w:r>
      <w:r>
        <w:rPr>
          <w:rFonts w:hint="eastAsia" w:cs="仿宋_GB2312"/>
          <w:color w:val="000000"/>
          <w:lang w:val="zh-CN"/>
        </w:rPr>
        <w:t>有关的数据、情况和技术资料，完全理解贵方不一定接受最低价的</w:t>
      </w:r>
      <w:r>
        <w:rPr>
          <w:rFonts w:hint="eastAsia" w:cs="仿宋_GB2312"/>
          <w:color w:val="000000"/>
        </w:rPr>
        <w:t>磋商响应</w:t>
      </w:r>
      <w:r>
        <w:rPr>
          <w:rFonts w:hint="eastAsia" w:cs="仿宋_GB2312"/>
          <w:color w:val="000000"/>
          <w:lang w:val="zh-CN"/>
        </w:rPr>
        <w:t>。</w:t>
      </w:r>
    </w:p>
    <w:p>
      <w:pPr>
        <w:autoSpaceDE w:val="0"/>
        <w:autoSpaceDN w:val="0"/>
        <w:adjustRightInd w:val="0"/>
        <w:ind w:left="1" w:firstLine="585" w:firstLineChars="266"/>
        <w:rPr>
          <w:rFonts w:cs="仿宋_GB2312"/>
          <w:color w:val="000000"/>
          <w:lang w:val="zh-CN"/>
        </w:rPr>
      </w:pPr>
      <w:r>
        <w:rPr>
          <w:rFonts w:hint="eastAsia" w:cs="仿宋_GB2312"/>
          <w:color w:val="000000"/>
          <w:lang w:val="zh-CN"/>
        </w:rPr>
        <w:t>9、本</w:t>
      </w:r>
      <w:r>
        <w:rPr>
          <w:rFonts w:hint="eastAsia" w:cs="仿宋_GB2312"/>
          <w:color w:val="000000"/>
        </w:rPr>
        <w:t>磋商响应</w:t>
      </w:r>
      <w:r>
        <w:rPr>
          <w:rFonts w:hint="eastAsia" w:cs="仿宋_GB2312"/>
          <w:color w:val="000000"/>
          <w:lang w:val="zh-CN"/>
        </w:rPr>
        <w:t>自</w:t>
      </w:r>
      <w:r>
        <w:rPr>
          <w:rFonts w:hint="eastAsia" w:cs="仿宋_GB2312"/>
          <w:color w:val="000000"/>
        </w:rPr>
        <w:t>磋商</w:t>
      </w:r>
      <w:r>
        <w:rPr>
          <w:rFonts w:hint="eastAsia" w:cs="仿宋_GB2312"/>
          <w:color w:val="000000"/>
          <w:lang w:val="zh-CN"/>
        </w:rPr>
        <w:t>之日起</w:t>
      </w:r>
      <w:r>
        <w:rPr>
          <w:rFonts w:hint="eastAsia"/>
          <w:color w:val="000000"/>
        </w:rPr>
        <w:t>90</w:t>
      </w:r>
      <w:r>
        <w:rPr>
          <w:rFonts w:hint="eastAsia" w:cs="仿宋_GB2312"/>
          <w:color w:val="000000"/>
          <w:lang w:val="zh-CN"/>
        </w:rPr>
        <w:t>天内有效。</w:t>
      </w:r>
    </w:p>
    <w:p>
      <w:pPr>
        <w:autoSpaceDE w:val="0"/>
        <w:autoSpaceDN w:val="0"/>
        <w:adjustRightInd w:val="0"/>
        <w:ind w:left="1" w:firstLine="585" w:firstLineChars="266"/>
        <w:rPr>
          <w:rFonts w:cs="仿宋_GB2312"/>
          <w:color w:val="000000"/>
          <w:lang w:val="zh-CN"/>
        </w:rPr>
      </w:pPr>
      <w:r>
        <w:rPr>
          <w:rFonts w:hint="eastAsia" w:cs="仿宋_GB2312"/>
          <w:color w:val="000000"/>
          <w:lang w:val="zh-CN"/>
        </w:rPr>
        <w:t>10、与本</w:t>
      </w:r>
      <w:r>
        <w:rPr>
          <w:rFonts w:hint="eastAsia" w:cs="仿宋_GB2312"/>
          <w:color w:val="000000"/>
        </w:rPr>
        <w:t>磋商</w:t>
      </w:r>
      <w:r>
        <w:rPr>
          <w:rFonts w:hint="eastAsia" w:cs="仿宋_GB2312"/>
          <w:color w:val="000000"/>
          <w:lang w:val="zh-CN"/>
        </w:rPr>
        <w:t>有关的一切往来通讯请寄：</w:t>
      </w:r>
    </w:p>
    <w:p>
      <w:pPr>
        <w:autoSpaceDE w:val="0"/>
        <w:autoSpaceDN w:val="0"/>
        <w:adjustRightInd w:val="0"/>
        <w:ind w:firstLine="585" w:firstLineChars="266"/>
        <w:rPr>
          <w:rFonts w:cs="仿宋_GB2312"/>
          <w:color w:val="000000"/>
          <w:lang w:val="zh-CN"/>
        </w:rPr>
      </w:pPr>
      <w:r>
        <w:rPr>
          <w:rFonts w:hint="eastAsia" w:cs="仿宋_GB2312"/>
          <w:color w:val="000000"/>
          <w:lang w:val="zh-CN"/>
        </w:rPr>
        <w:t>地址：</w:t>
      </w:r>
      <w:r>
        <w:rPr>
          <w:rFonts w:cs="仿宋_GB2312"/>
          <w:color w:val="000000"/>
          <w:u w:val="single"/>
          <w:lang w:val="zh-CN"/>
        </w:rPr>
        <w:t xml:space="preserve">                                 </w:t>
      </w:r>
      <w:r>
        <w:rPr>
          <w:kern w:val="0"/>
          <w:sz w:val="24"/>
        </w:rPr>
        <w:t>E-mail</w:t>
      </w:r>
      <w:r>
        <w:rPr>
          <w:rFonts w:hint="eastAsia" w:cs="仿宋_GB2312"/>
          <w:color w:val="000000"/>
          <w:lang w:val="zh-CN"/>
        </w:rPr>
        <w:t>：</w:t>
      </w:r>
      <w:r>
        <w:rPr>
          <w:rFonts w:cs="仿宋_GB2312"/>
          <w:color w:val="000000"/>
          <w:u w:val="single"/>
          <w:lang w:val="zh-CN"/>
        </w:rPr>
        <w:t xml:space="preserve">       </w:t>
      </w:r>
      <w:r>
        <w:rPr>
          <w:rFonts w:hint="eastAsia" w:cs="仿宋_GB2312"/>
          <w:color w:val="000000"/>
          <w:u w:val="single"/>
        </w:rPr>
        <w:t xml:space="preserve">  </w:t>
      </w:r>
      <w:r>
        <w:rPr>
          <w:rFonts w:cs="仿宋_GB2312"/>
          <w:color w:val="000000"/>
          <w:u w:val="single"/>
          <w:lang w:val="zh-CN"/>
        </w:rPr>
        <w:t xml:space="preserve">          </w:t>
      </w:r>
    </w:p>
    <w:p>
      <w:pPr>
        <w:autoSpaceDE w:val="0"/>
        <w:autoSpaceDN w:val="0"/>
        <w:adjustRightInd w:val="0"/>
        <w:ind w:firstLine="585" w:firstLineChars="266"/>
        <w:rPr>
          <w:rFonts w:cs="仿宋_GB2312"/>
          <w:color w:val="000000"/>
          <w:lang w:val="zh-CN"/>
        </w:rPr>
      </w:pPr>
      <w:r>
        <w:rPr>
          <w:rFonts w:hint="eastAsia" w:cs="仿宋_GB2312"/>
          <w:color w:val="000000"/>
          <w:lang w:val="zh-CN"/>
        </w:rPr>
        <w:t>邮编：</w:t>
      </w:r>
      <w:r>
        <w:rPr>
          <w:rFonts w:cs="仿宋_GB2312"/>
          <w:color w:val="000000"/>
          <w:u w:val="single"/>
          <w:lang w:val="zh-CN"/>
        </w:rPr>
        <w:t xml:space="preserve">               </w:t>
      </w:r>
      <w:r>
        <w:rPr>
          <w:rFonts w:hint="eastAsia" w:cs="仿宋_GB2312"/>
          <w:color w:val="000000"/>
          <w:lang w:val="zh-CN"/>
        </w:rPr>
        <w:t>电话：</w:t>
      </w:r>
      <w:r>
        <w:rPr>
          <w:rFonts w:cs="仿宋_GB2312"/>
          <w:color w:val="000000"/>
          <w:u w:val="single"/>
          <w:lang w:val="zh-CN"/>
        </w:rPr>
        <w:t xml:space="preserve">                 </w:t>
      </w:r>
      <w:r>
        <w:rPr>
          <w:rFonts w:hint="eastAsia" w:cs="仿宋_GB2312"/>
          <w:color w:val="000000"/>
          <w:lang w:val="zh-CN"/>
        </w:rPr>
        <w:t>传真：</w:t>
      </w:r>
      <w:r>
        <w:rPr>
          <w:rFonts w:cs="仿宋_GB2312"/>
          <w:color w:val="000000"/>
          <w:u w:val="single"/>
          <w:lang w:val="zh-CN"/>
        </w:rPr>
        <w:t xml:space="preserve">                 </w:t>
      </w:r>
    </w:p>
    <w:p>
      <w:pPr>
        <w:autoSpaceDE w:val="0"/>
        <w:autoSpaceDN w:val="0"/>
        <w:adjustRightInd w:val="0"/>
        <w:ind w:firstLine="1980" w:firstLineChars="900"/>
        <w:rPr>
          <w:rFonts w:cs="仿宋_GB2312"/>
          <w:color w:val="000000"/>
          <w:lang w:val="zh-CN"/>
        </w:rPr>
      </w:pPr>
    </w:p>
    <w:p>
      <w:pPr>
        <w:autoSpaceDE w:val="0"/>
        <w:autoSpaceDN w:val="0"/>
        <w:adjustRightInd w:val="0"/>
        <w:ind w:firstLine="1980" w:firstLineChars="900"/>
        <w:rPr>
          <w:rFonts w:cs="仿宋_GB2312"/>
          <w:color w:val="000000"/>
          <w:lang w:val="zh-CN"/>
        </w:rPr>
      </w:pPr>
    </w:p>
    <w:p>
      <w:pPr>
        <w:spacing w:line="360" w:lineRule="exact"/>
        <w:ind w:left="776" w:leftChars="307" w:hanging="101" w:hangingChars="46"/>
        <w:rPr>
          <w:color w:val="000000"/>
        </w:rPr>
      </w:pPr>
      <w:r>
        <w:rPr>
          <w:rFonts w:hint="eastAsia"/>
          <w:color w:val="000000"/>
        </w:rPr>
        <w:t>供应商全称（盖公章）：</w:t>
      </w:r>
    </w:p>
    <w:p>
      <w:pPr>
        <w:spacing w:line="360" w:lineRule="exact"/>
        <w:ind w:left="776" w:leftChars="307" w:hanging="101" w:hangingChars="46"/>
        <w:rPr>
          <w:color w:val="000000"/>
        </w:rPr>
      </w:pPr>
      <w:r>
        <w:rPr>
          <w:rFonts w:hint="eastAsia"/>
          <w:color w:val="000000"/>
        </w:rPr>
        <w:t>法定代表人或授权代表（签字或盖章）：</w:t>
      </w:r>
    </w:p>
    <w:p>
      <w:pPr>
        <w:spacing w:line="360" w:lineRule="exact"/>
        <w:ind w:left="776" w:leftChars="307" w:hanging="101" w:hangingChars="46"/>
        <w:rPr>
          <w:color w:val="000000"/>
        </w:rPr>
      </w:pPr>
      <w:r>
        <w:rPr>
          <w:rFonts w:hint="eastAsia"/>
          <w:color w:val="000000"/>
        </w:rPr>
        <w:t>日期：</w:t>
      </w:r>
    </w:p>
    <w:p>
      <w:pPr>
        <w:spacing w:line="360" w:lineRule="exact"/>
        <w:ind w:left="777" w:leftChars="307" w:hanging="102" w:hangingChars="46"/>
        <w:rPr>
          <w:b/>
          <w:bCs/>
        </w:rPr>
      </w:pPr>
      <w:r>
        <w:rPr>
          <w:rFonts w:hint="eastAsia"/>
          <w:b/>
          <w:bCs/>
        </w:rPr>
        <w:t>▲不按要求提供此页的将视为没有实质性响应磋商文件，做无效投标处理。</w:t>
      </w:r>
    </w:p>
    <w:p>
      <w:pPr>
        <w:autoSpaceDE w:val="0"/>
        <w:autoSpaceDN w:val="0"/>
        <w:adjustRightInd w:val="0"/>
        <w:outlineLvl w:val="1"/>
        <w:rPr>
          <w:b/>
          <w:bCs/>
          <w:color w:val="000000"/>
          <w:sz w:val="24"/>
          <w:szCs w:val="24"/>
        </w:rPr>
      </w:pPr>
      <w:r>
        <w:rPr>
          <w:b/>
          <w:color w:val="000000"/>
          <w:sz w:val="24"/>
          <w:u w:val="single"/>
        </w:rPr>
        <w:br w:type="page"/>
      </w:r>
      <w:r>
        <w:rPr>
          <w:rFonts w:hint="eastAsia"/>
          <w:b/>
          <w:bCs/>
          <w:color w:val="000000"/>
          <w:sz w:val="24"/>
          <w:szCs w:val="24"/>
        </w:rPr>
        <w:t>附件三（一）</w:t>
      </w:r>
    </w:p>
    <w:p>
      <w:pPr>
        <w:pStyle w:val="14"/>
        <w:adjustRightInd w:val="0"/>
        <w:snapToGrid w:val="0"/>
        <w:spacing w:line="400" w:lineRule="exact"/>
        <w:ind w:firstLine="2891" w:firstLineChars="800"/>
        <w:rPr>
          <w:rFonts w:hAnsi="宋体"/>
          <w:b/>
          <w:bCs/>
          <w:color w:val="000000"/>
          <w:sz w:val="36"/>
          <w:szCs w:val="36"/>
        </w:rPr>
      </w:pPr>
      <w:r>
        <w:rPr>
          <w:rFonts w:hint="eastAsia" w:hAnsi="宋体"/>
          <w:b/>
          <w:bCs/>
          <w:color w:val="000000"/>
          <w:sz w:val="36"/>
          <w:szCs w:val="36"/>
        </w:rPr>
        <w:t xml:space="preserve">  资格、资质证明文件</w:t>
      </w:r>
    </w:p>
    <w:p>
      <w:pPr>
        <w:pStyle w:val="14"/>
        <w:adjustRightInd w:val="0"/>
        <w:snapToGrid w:val="0"/>
        <w:spacing w:line="400" w:lineRule="exact"/>
        <w:rPr>
          <w:rFonts w:hAnsi="宋体"/>
          <w:b/>
          <w:bCs/>
          <w:color w:val="000000"/>
          <w:sz w:val="36"/>
          <w:szCs w:val="36"/>
        </w:rPr>
      </w:pPr>
    </w:p>
    <w:p>
      <w:pPr>
        <w:jc w:val="center"/>
        <w:rPr>
          <w:b/>
          <w:color w:val="000000" w:themeColor="text1"/>
          <w:kern w:val="0"/>
          <w:sz w:val="28"/>
          <w:szCs w:val="28"/>
          <w14:textFill>
            <w14:solidFill>
              <w14:schemeClr w14:val="tx1"/>
            </w14:solidFill>
          </w14:textFill>
        </w:rPr>
      </w:pPr>
      <w:r>
        <w:rPr>
          <w:rFonts w:hint="eastAsia"/>
          <w:b/>
          <w:sz w:val="28"/>
          <w:szCs w:val="28"/>
        </w:rPr>
        <w:t>（1）</w:t>
      </w:r>
      <w:r>
        <w:rPr>
          <w:rFonts w:hint="eastAsia"/>
          <w:b/>
          <w:color w:val="000000" w:themeColor="text1"/>
          <w:kern w:val="0"/>
          <w:sz w:val="28"/>
          <w:szCs w:val="28"/>
          <w14:textFill>
            <w14:solidFill>
              <w14:schemeClr w14:val="tx1"/>
            </w14:solidFill>
          </w14:textFill>
        </w:rPr>
        <w:t>法定代表人（负责人）证明书</w:t>
      </w:r>
    </w:p>
    <w:p>
      <w:pPr>
        <w:rPr>
          <w:color w:val="000000" w:themeColor="text1"/>
          <w14:textFill>
            <w14:solidFill>
              <w14:schemeClr w14:val="tx1"/>
            </w14:solidFill>
          </w14:textFill>
        </w:rPr>
      </w:pPr>
    </w:p>
    <w:p>
      <w:pPr>
        <w:ind w:firstLine="440" w:firstLineChars="200"/>
        <w:rPr>
          <w:color w:val="000000" w:themeColor="text1"/>
          <w14:textFill>
            <w14:solidFill>
              <w14:schemeClr w14:val="tx1"/>
            </w14:solidFill>
          </w14:textFill>
        </w:rPr>
      </w:pPr>
      <w:r>
        <w:rPr>
          <w:rFonts w:hint="eastAsia"/>
          <w:color w:val="000000" w:themeColor="text1"/>
          <w:u w:val="single"/>
          <w14:textFill>
            <w14:solidFill>
              <w14:schemeClr w14:val="tx1"/>
            </w14:solidFill>
          </w14:textFill>
        </w:rPr>
        <w:t xml:space="preserve">      单位法定代表人（负责人）姓名     </w:t>
      </w:r>
      <w:r>
        <w:rPr>
          <w:rFonts w:hint="eastAsia"/>
          <w:color w:val="000000" w:themeColor="text1"/>
          <w14:textFill>
            <w14:solidFill>
              <w14:schemeClr w14:val="tx1"/>
            </w14:solidFill>
          </w14:textFill>
        </w:rPr>
        <w:t>同志，现任</w:t>
      </w:r>
      <w:r>
        <w:rPr>
          <w:rFonts w:hint="eastAsia"/>
          <w:color w:val="000000" w:themeColor="text1"/>
          <w:u w:val="single"/>
          <w14:textFill>
            <w14:solidFill>
              <w14:schemeClr w14:val="tx1"/>
            </w14:solidFill>
          </w14:textFill>
        </w:rPr>
        <w:t xml:space="preserve">       供应商名称                  </w:t>
      </w:r>
      <w:r>
        <w:rPr>
          <w:rFonts w:hint="eastAsia"/>
          <w:color w:val="000000" w:themeColor="text1"/>
          <w14:textFill>
            <w14:solidFill>
              <w14:schemeClr w14:val="tx1"/>
            </w14:solidFill>
          </w14:textFill>
        </w:rPr>
        <w:t xml:space="preserve">的   </w:t>
      </w:r>
      <w:r>
        <w:rPr>
          <w:rFonts w:hint="eastAsia"/>
          <w:color w:val="000000" w:themeColor="text1"/>
          <w:u w:val="single"/>
          <w14:textFill>
            <w14:solidFill>
              <w14:schemeClr w14:val="tx1"/>
            </w14:solidFill>
          </w14:textFill>
        </w:rPr>
        <w:t xml:space="preserve">职务    </w:t>
      </w:r>
      <w:r>
        <w:rPr>
          <w:rFonts w:hint="eastAsia"/>
          <w:color w:val="000000" w:themeColor="text1"/>
          <w14:textFill>
            <w14:solidFill>
              <w14:schemeClr w14:val="tx1"/>
            </w14:solidFill>
          </w14:textFill>
        </w:rPr>
        <w:t>，为法定代表人（负责人），特此证明。</w:t>
      </w:r>
    </w:p>
    <w:p>
      <w:pPr>
        <w:ind w:firstLine="44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ind w:firstLine="44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签发单位：</w:t>
      </w:r>
      <w:r>
        <w:rPr>
          <w:rFonts w:hint="eastAsia"/>
          <w:color w:val="000000" w:themeColor="text1"/>
          <w:u w:val="single"/>
          <w14:textFill>
            <w14:solidFill>
              <w14:schemeClr w14:val="tx1"/>
            </w14:solidFill>
          </w14:textFill>
        </w:rPr>
        <w:t xml:space="preserve">（名称并加盖公章）                  </w:t>
      </w:r>
      <w:r>
        <w:rPr>
          <w:rFonts w:hint="eastAsia"/>
          <w:color w:val="000000" w:themeColor="text1"/>
          <w14:textFill>
            <w14:solidFill>
              <w14:schemeClr w14:val="tx1"/>
            </w14:solidFill>
          </w14:textFill>
        </w:rPr>
        <w:t xml:space="preserve">                          </w:t>
      </w:r>
    </w:p>
    <w:p>
      <w:pPr>
        <w:ind w:firstLine="44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签发日期：</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有效日期至</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年</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月</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日</w:t>
      </w:r>
    </w:p>
    <w:p>
      <w:pPr>
        <w:ind w:firstLine="440" w:firstLineChars="200"/>
        <w:rPr>
          <w:color w:val="000000" w:themeColor="text1"/>
          <w14:textFill>
            <w14:solidFill>
              <w14:schemeClr w14:val="tx1"/>
            </w14:solidFill>
          </w14:textFill>
        </w:rPr>
      </w:pPr>
    </w:p>
    <w:p>
      <w:pPr>
        <w:ind w:firstLine="44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附：代表人性别：</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 xml:space="preserve"> 年龄：</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 xml:space="preserve">岁    </w:t>
      </w:r>
    </w:p>
    <w:p>
      <w:pPr>
        <w:ind w:firstLine="440" w:firstLineChars="200"/>
        <w:rPr>
          <w:color w:val="000000" w:themeColor="text1"/>
          <w14:textFill>
            <w14:solidFill>
              <w14:schemeClr w14:val="tx1"/>
            </w14:solidFill>
          </w14:textFill>
        </w:rPr>
      </w:pPr>
    </w:p>
    <w:p>
      <w:pPr>
        <w:ind w:firstLine="44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说明： 内容必须填写真实、清楚，涂改无效，不得转让、买卖。</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178435</wp:posOffset>
                </wp:positionH>
                <wp:positionV relativeFrom="paragraph">
                  <wp:posOffset>88265</wp:posOffset>
                </wp:positionV>
                <wp:extent cx="6025515" cy="2198370"/>
                <wp:effectExtent l="4445" t="4445" r="8890" b="6985"/>
                <wp:wrapNone/>
                <wp:docPr id="4" name="自选图形 193"/>
                <wp:cNvGraphicFramePr/>
                <a:graphic xmlns:a="http://schemas.openxmlformats.org/drawingml/2006/main">
                  <a:graphicData uri="http://schemas.microsoft.com/office/word/2010/wordprocessingShape">
                    <wps:wsp>
                      <wps:cNvSpPr>
                        <a:spLocks noChangeArrowheads="1"/>
                      </wps:cNvSpPr>
                      <wps:spPr bwMode="auto">
                        <a:xfrm>
                          <a:off x="0" y="0"/>
                          <a:ext cx="3502660" cy="1781810"/>
                        </a:xfrm>
                        <a:prstGeom prst="flowChartAlternateProcess">
                          <a:avLst/>
                        </a:prstGeom>
                        <a:solidFill>
                          <a:srgbClr val="FFFFFF"/>
                        </a:solidFill>
                        <a:ln w="9525">
                          <a:solidFill>
                            <a:srgbClr val="000000"/>
                          </a:solidFill>
                          <a:miter lim="800000"/>
                        </a:ln>
                        <a:effectLst/>
                      </wps:spPr>
                      <wps:txbx>
                        <w:txbxContent>
                          <w:p>
                            <w:pPr>
                              <w:rPr>
                                <w:szCs w:val="21"/>
                              </w:rPr>
                            </w:pPr>
                          </w:p>
                          <w:p>
                            <w:pPr>
                              <w:rPr>
                                <w:szCs w:val="21"/>
                              </w:rPr>
                            </w:pPr>
                          </w:p>
                          <w:p>
                            <w:pPr>
                              <w:rPr>
                                <w:szCs w:val="21"/>
                              </w:rPr>
                            </w:pPr>
                          </w:p>
                          <w:p>
                            <w:pPr>
                              <w:jc w:val="center"/>
                              <w:rPr>
                                <w:szCs w:val="21"/>
                              </w:rPr>
                            </w:pPr>
                            <w:r>
                              <w:rPr>
                                <w:rFonts w:hint="eastAsia"/>
                                <w:szCs w:val="21"/>
                              </w:rPr>
                              <w:t>身份证正反面复印件</w:t>
                            </w:r>
                          </w:p>
                        </w:txbxContent>
                      </wps:txbx>
                      <wps:bodyPr rot="0" vert="horz" wrap="square" lIns="91440" tIns="45720" rIns="91440" bIns="45720" anchor="t" anchorCtr="0" upright="1">
                        <a:noAutofit/>
                      </wps:bodyPr>
                    </wps:wsp>
                  </a:graphicData>
                </a:graphic>
              </wp:anchor>
            </w:drawing>
          </mc:Choice>
          <mc:Fallback>
            <w:pict>
              <v:shape id="自选图形 193" o:spid="_x0000_s1026" o:spt="176" type="#_x0000_t176" style="position:absolute;left:0pt;margin-left:14.05pt;margin-top:6.95pt;height:173.1pt;width:474.45pt;z-index:251660288;mso-width-relative:page;mso-height-relative:page;" fillcolor="#FFFFFF" filled="t" stroked="t" coordsize="21600,21600" o:gfxdata="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MDwdHTX&#10;AAAACQEAAA8AAAAAAAAAAQAgAAAAIgAAAGRycy9kb3ducmV2LnhtbFBLAQIUABQAAAAIAIdO4kAZ&#10;9Mt2WgIAAKYEAAAOAAAAAAAAAAEAIAAAACYBAABkcnMvZTJvRG9jLnhtbFBLBQYAAAAABgAGAFkB&#10;AADyBQAAAAA=&#10;">
                <v:fill on="t" focussize="0,0"/>
                <v:stroke color="#000000" miterlimit="8" joinstyle="miter"/>
                <v:imagedata o:title=""/>
                <o:lock v:ext="edit" aspectratio="f"/>
                <v:textbox>
                  <w:txbxContent>
                    <w:p>
                      <w:pPr>
                        <w:rPr>
                          <w:szCs w:val="21"/>
                        </w:rPr>
                      </w:pPr>
                    </w:p>
                    <w:p>
                      <w:pPr>
                        <w:rPr>
                          <w:szCs w:val="21"/>
                        </w:rPr>
                      </w:pPr>
                    </w:p>
                    <w:p>
                      <w:pPr>
                        <w:rPr>
                          <w:szCs w:val="21"/>
                        </w:rPr>
                      </w:pPr>
                    </w:p>
                    <w:p>
                      <w:pPr>
                        <w:jc w:val="center"/>
                        <w:rPr>
                          <w:szCs w:val="21"/>
                        </w:rPr>
                      </w:pPr>
                      <w:r>
                        <w:rPr>
                          <w:rFonts w:hint="eastAsia"/>
                          <w:szCs w:val="21"/>
                        </w:rPr>
                        <w:t>身份证正反面复印件</w:t>
                      </w:r>
                    </w:p>
                  </w:txbxContent>
                </v:textbox>
              </v:shape>
            </w:pict>
          </mc:Fallback>
        </mc:AlternateContent>
      </w:r>
      <w:r>
        <w:rPr>
          <w:rFonts w:hint="eastAsia"/>
          <w:color w:val="000000" w:themeColor="text1"/>
          <w14:textFill>
            <w14:solidFill>
              <w14:schemeClr w14:val="tx1"/>
            </w14:solidFill>
          </w14:textFill>
        </w:rPr>
        <w:t xml:space="preserve">    </w:t>
      </w:r>
    </w:p>
    <w:p>
      <w:pPr>
        <w:rPr>
          <w:color w:val="000000" w:themeColor="text1"/>
          <w14:textFill>
            <w14:solidFill>
              <w14:schemeClr w14:val="tx1"/>
            </w14:solidFill>
          </w14:textFill>
        </w:rPr>
      </w:pP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14"/>
        <w:adjustRightInd w:val="0"/>
        <w:snapToGrid w:val="0"/>
        <w:spacing w:line="400" w:lineRule="exact"/>
        <w:jc w:val="center"/>
        <w:rPr>
          <w:rFonts w:ascii="新宋体" w:hAnsi="新宋体" w:eastAsia="新宋体"/>
          <w:b/>
          <w:sz w:val="28"/>
          <w:szCs w:val="28"/>
        </w:rPr>
      </w:pPr>
    </w:p>
    <w:p>
      <w:pPr>
        <w:pStyle w:val="14"/>
        <w:adjustRightInd w:val="0"/>
        <w:snapToGrid w:val="0"/>
        <w:spacing w:line="400" w:lineRule="exact"/>
        <w:jc w:val="center"/>
        <w:rPr>
          <w:rFonts w:ascii="新宋体" w:hAnsi="新宋体" w:eastAsia="新宋体"/>
          <w:b/>
          <w:sz w:val="28"/>
          <w:szCs w:val="28"/>
        </w:rPr>
      </w:pPr>
    </w:p>
    <w:p>
      <w:pPr>
        <w:pStyle w:val="14"/>
        <w:adjustRightInd w:val="0"/>
        <w:snapToGrid w:val="0"/>
        <w:spacing w:line="400" w:lineRule="exact"/>
        <w:rPr>
          <w:rFonts w:ascii="新宋体" w:hAnsi="新宋体" w:eastAsia="新宋体"/>
          <w:b/>
          <w:sz w:val="28"/>
          <w:szCs w:val="28"/>
        </w:rPr>
      </w:pPr>
    </w:p>
    <w:p>
      <w:pPr>
        <w:pStyle w:val="14"/>
        <w:adjustRightInd w:val="0"/>
        <w:snapToGrid w:val="0"/>
        <w:spacing w:line="400" w:lineRule="exact"/>
        <w:jc w:val="center"/>
        <w:rPr>
          <w:rFonts w:ascii="新宋体" w:hAnsi="新宋体" w:eastAsia="新宋体"/>
          <w:b/>
          <w:sz w:val="28"/>
          <w:szCs w:val="28"/>
        </w:rPr>
      </w:pPr>
    </w:p>
    <w:p>
      <w:pPr>
        <w:pStyle w:val="14"/>
        <w:adjustRightInd w:val="0"/>
        <w:snapToGrid w:val="0"/>
        <w:spacing w:line="400" w:lineRule="exact"/>
        <w:jc w:val="center"/>
        <w:rPr>
          <w:rFonts w:ascii="新宋体" w:hAnsi="新宋体" w:eastAsia="新宋体"/>
          <w:b/>
          <w:sz w:val="28"/>
          <w:szCs w:val="28"/>
        </w:rPr>
      </w:pPr>
    </w:p>
    <w:p>
      <w:pPr>
        <w:pStyle w:val="14"/>
        <w:adjustRightInd w:val="0"/>
        <w:snapToGrid w:val="0"/>
        <w:spacing w:line="400" w:lineRule="exact"/>
        <w:rPr>
          <w:rFonts w:hAnsi="宋体"/>
          <w:b/>
          <w:bCs/>
          <w:color w:val="000000"/>
          <w:sz w:val="24"/>
          <w:szCs w:val="24"/>
        </w:rPr>
      </w:pPr>
      <w:r>
        <w:rPr>
          <w:rFonts w:hint="eastAsia" w:ascii="新宋体" w:hAnsi="新宋体" w:eastAsia="新宋体"/>
          <w:b/>
          <w:sz w:val="28"/>
          <w:szCs w:val="28"/>
        </w:rPr>
        <w:br w:type="page"/>
      </w:r>
      <w:r>
        <w:rPr>
          <w:rFonts w:hint="eastAsia" w:hAnsi="宋体"/>
          <w:b/>
          <w:bCs/>
          <w:color w:val="000000"/>
          <w:sz w:val="24"/>
          <w:szCs w:val="24"/>
        </w:rPr>
        <w:t>附件三（二）</w:t>
      </w:r>
    </w:p>
    <w:p>
      <w:pPr>
        <w:pStyle w:val="14"/>
        <w:adjustRightInd w:val="0"/>
        <w:snapToGrid w:val="0"/>
        <w:spacing w:line="400" w:lineRule="exact"/>
        <w:jc w:val="center"/>
        <w:rPr>
          <w:rFonts w:hAnsi="宋体"/>
          <w:b/>
          <w:bCs/>
          <w:color w:val="000000"/>
          <w:sz w:val="24"/>
          <w:szCs w:val="24"/>
        </w:rPr>
      </w:pPr>
    </w:p>
    <w:p>
      <w:pPr>
        <w:pStyle w:val="14"/>
        <w:adjustRightInd w:val="0"/>
        <w:snapToGrid w:val="0"/>
        <w:spacing w:line="400" w:lineRule="exact"/>
        <w:jc w:val="center"/>
        <w:rPr>
          <w:rFonts w:ascii="新宋体" w:hAnsi="新宋体" w:eastAsia="新宋体"/>
          <w:b/>
          <w:sz w:val="28"/>
          <w:szCs w:val="28"/>
        </w:rPr>
      </w:pPr>
      <w:r>
        <w:rPr>
          <w:rFonts w:hint="eastAsia" w:ascii="新宋体" w:hAnsi="新宋体" w:eastAsia="新宋体"/>
          <w:b/>
          <w:sz w:val="28"/>
          <w:szCs w:val="28"/>
        </w:rPr>
        <w:t>（2）法定代表人授权委托书</w:t>
      </w:r>
    </w:p>
    <w:p>
      <w:pPr>
        <w:rPr>
          <w:color w:val="000000"/>
          <w:u w:val="single"/>
        </w:rPr>
      </w:pPr>
    </w:p>
    <w:p>
      <w:pPr>
        <w:pStyle w:val="14"/>
        <w:adjustRightInd w:val="0"/>
        <w:snapToGrid w:val="0"/>
        <w:spacing w:line="480" w:lineRule="auto"/>
        <w:rPr>
          <w:rFonts w:hAnsi="宋体"/>
          <w:color w:val="000000"/>
          <w:u w:val="single"/>
        </w:rPr>
      </w:pPr>
      <w:r>
        <w:rPr>
          <w:rFonts w:hint="eastAsia" w:hAnsi="宋体"/>
          <w:color w:val="000000"/>
          <w:u w:val="single"/>
        </w:rPr>
        <w:t>采购单位名称：</w:t>
      </w:r>
    </w:p>
    <w:p>
      <w:pPr>
        <w:spacing w:line="480" w:lineRule="auto"/>
        <w:ind w:firstLine="440" w:firstLineChars="200"/>
        <w:rPr>
          <w:color w:val="000000"/>
        </w:rPr>
      </w:pPr>
      <w:r>
        <w:rPr>
          <w:rFonts w:hint="eastAsia"/>
          <w:color w:val="000000"/>
        </w:rPr>
        <w:t>本授权委托书声明：我</w:t>
      </w:r>
      <w:r>
        <w:rPr>
          <w:rFonts w:hint="eastAsia"/>
          <w:color w:val="000000"/>
          <w:u w:val="single"/>
        </w:rPr>
        <w:t xml:space="preserve">   （法定代表人姓名，身份证号）   </w:t>
      </w:r>
      <w:r>
        <w:rPr>
          <w:rFonts w:hint="eastAsia"/>
          <w:color w:val="000000"/>
        </w:rPr>
        <w:t>系</w:t>
      </w:r>
      <w:r>
        <w:rPr>
          <w:rFonts w:hint="eastAsia"/>
          <w:color w:val="000000"/>
          <w:u w:val="single"/>
        </w:rPr>
        <w:t xml:space="preserve"> （供 应 商 名 称）  </w:t>
      </w:r>
      <w:r>
        <w:rPr>
          <w:rFonts w:hint="eastAsia"/>
          <w:color w:val="000000"/>
        </w:rPr>
        <w:t>的法定代表人，现授权委托本单位 的</w:t>
      </w:r>
      <w:r>
        <w:rPr>
          <w:rFonts w:hint="eastAsia"/>
          <w:color w:val="000000"/>
          <w:u w:val="single"/>
        </w:rPr>
        <w:t xml:space="preserve">  （磋商代表姓名，身份证号） </w:t>
      </w:r>
      <w:r>
        <w:rPr>
          <w:rFonts w:hint="eastAsia"/>
          <w:color w:val="000000"/>
        </w:rPr>
        <w:t>为我公司法定代表人授权代表，参加贵处组织的</w:t>
      </w:r>
      <w:r>
        <w:rPr>
          <w:rFonts w:hint="eastAsia"/>
          <w:color w:val="000000"/>
          <w:u w:val="single"/>
        </w:rPr>
        <w:t xml:space="preserve">  （采购项目名称，项目编号，</w:t>
      </w:r>
      <w:r>
        <w:rPr>
          <w:rFonts w:hint="eastAsia" w:cs="仿宋_GB2312"/>
          <w:color w:val="000000"/>
          <w:u w:val="single"/>
        </w:rPr>
        <w:t>标项号，标项名称</w:t>
      </w:r>
      <w:r>
        <w:rPr>
          <w:rFonts w:hint="eastAsia"/>
          <w:color w:val="000000"/>
          <w:u w:val="single"/>
        </w:rPr>
        <w:t xml:space="preserve">）  </w:t>
      </w:r>
      <w:r>
        <w:rPr>
          <w:rFonts w:hint="eastAsia"/>
          <w:color w:val="000000"/>
        </w:rPr>
        <w:t>项目磋商活动，全权处理本次磋商活动中的一切事宜，我承认授权代表全权代表我所签署的本项目的磋商响应文件的内容。</w:t>
      </w:r>
    </w:p>
    <w:p>
      <w:pPr>
        <w:spacing w:line="480" w:lineRule="auto"/>
        <w:ind w:firstLine="440" w:firstLineChars="200"/>
        <w:rPr>
          <w:color w:val="000000"/>
        </w:rPr>
      </w:pPr>
      <w:r>
        <w:rPr>
          <w:rFonts w:hint="eastAsia"/>
          <w:color w:val="000000"/>
        </w:rPr>
        <w:t>授权代表无转授权，特此授权。</w:t>
      </w:r>
    </w:p>
    <w:p>
      <w:pPr>
        <w:spacing w:line="480" w:lineRule="auto"/>
        <w:ind w:left="2198" w:leftChars="999" w:firstLine="959" w:firstLineChars="436"/>
        <w:rPr>
          <w:color w:val="000000"/>
        </w:rPr>
      </w:pPr>
      <w:r>
        <w:rPr>
          <w:rFonts w:hint="eastAsia"/>
          <w:color w:val="000000"/>
        </w:rPr>
        <w:t xml:space="preserve">                  </w:t>
      </w:r>
    </w:p>
    <w:p>
      <w:pPr>
        <w:spacing w:line="480" w:lineRule="auto"/>
        <w:ind w:right="440"/>
        <w:rPr>
          <w:color w:val="000000"/>
        </w:rPr>
      </w:pPr>
      <w:r>
        <w:rPr>
          <w:rFonts w:hint="eastAsia"/>
          <w:color w:val="000000"/>
        </w:rPr>
        <w:t>供应商：</w:t>
      </w:r>
      <w:r>
        <w:rPr>
          <w:rFonts w:hint="eastAsia"/>
          <w:color w:val="000000"/>
          <w:u w:val="single"/>
        </w:rPr>
        <w:t xml:space="preserve">                                     （盖公章）</w:t>
      </w:r>
    </w:p>
    <w:p>
      <w:pPr>
        <w:spacing w:line="480" w:lineRule="auto"/>
        <w:ind w:right="440"/>
        <w:rPr>
          <w:color w:val="000000"/>
        </w:rPr>
      </w:pPr>
      <w:r>
        <w:rPr>
          <w:rFonts w:hint="eastAsia"/>
          <w:color w:val="000000"/>
        </w:rPr>
        <w:t>法定代表人：</w:t>
      </w:r>
      <w:r>
        <w:rPr>
          <w:rFonts w:hint="eastAsia"/>
          <w:color w:val="000000"/>
          <w:u w:val="single"/>
        </w:rPr>
        <w:t xml:space="preserve">                             （签字或盖章）</w:t>
      </w:r>
    </w:p>
    <w:p>
      <w:pPr>
        <w:spacing w:line="480" w:lineRule="auto"/>
        <w:ind w:right="440"/>
        <w:rPr>
          <w:color w:val="000000"/>
          <w:u w:val="single"/>
        </w:rPr>
      </w:pPr>
      <w:r>
        <w:rPr>
          <w:rFonts w:hint="eastAsia"/>
          <w:color w:val="000000"/>
        </w:rPr>
        <w:t>授权委托日期：</w:t>
      </w:r>
      <w:r>
        <w:rPr>
          <w:rFonts w:hint="eastAsia"/>
          <w:color w:val="000000"/>
          <w:u w:val="single"/>
        </w:rPr>
        <w:t xml:space="preserve">            年             月          日</w:t>
      </w:r>
    </w:p>
    <w:p>
      <w:pPr>
        <w:spacing w:line="360" w:lineRule="exact"/>
        <w:rPr>
          <w:b/>
          <w:bCs/>
        </w:rPr>
      </w:pPr>
      <w:r>
        <w:rPr>
          <w:rFonts w:hint="eastAsia"/>
          <w:b/>
          <w:bCs/>
        </w:rPr>
        <w:t>▲不按要求提供此页的将视为没有实质性响应磋商文件，做无效投标处理。</w:t>
      </w:r>
    </w:p>
    <w:p>
      <w:pPr>
        <w:wordWrap w:val="0"/>
        <w:rPr>
          <w:color w:val="000000"/>
          <w:sz w:val="24"/>
        </w:rPr>
      </w:pPr>
      <w:r>
        <w:rPr>
          <w:rFonts w:hint="eastAsia"/>
          <w:color w:val="000000"/>
        </w:rPr>
        <w:t xml:space="preserve"> </w:t>
      </w:r>
    </w:p>
    <w:tbl>
      <w:tblPr>
        <w:tblStyle w:val="29"/>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5" w:hRule="atLeast"/>
        </w:trPr>
        <w:tc>
          <w:tcPr>
            <w:tcW w:w="9706" w:type="dxa"/>
          </w:tcPr>
          <w:p>
            <w:pPr>
              <w:pStyle w:val="14"/>
              <w:adjustRightInd w:val="0"/>
              <w:snapToGrid w:val="0"/>
              <w:spacing w:line="400" w:lineRule="exact"/>
              <w:jc w:val="center"/>
              <w:rPr>
                <w:rFonts w:hAnsi="宋体"/>
                <w:color w:val="000000"/>
                <w:sz w:val="24"/>
              </w:rPr>
            </w:pPr>
          </w:p>
          <w:p>
            <w:pPr>
              <w:pStyle w:val="14"/>
              <w:adjustRightInd w:val="0"/>
              <w:snapToGrid w:val="0"/>
              <w:spacing w:line="400" w:lineRule="exact"/>
              <w:jc w:val="center"/>
              <w:rPr>
                <w:rFonts w:hAnsi="宋体"/>
                <w:color w:val="000000"/>
                <w:sz w:val="24"/>
              </w:rPr>
            </w:pPr>
          </w:p>
          <w:p>
            <w:pPr>
              <w:pStyle w:val="14"/>
              <w:adjustRightInd w:val="0"/>
              <w:snapToGrid w:val="0"/>
              <w:spacing w:line="400" w:lineRule="exact"/>
              <w:jc w:val="center"/>
              <w:rPr>
                <w:rFonts w:hAnsi="宋体"/>
                <w:color w:val="000000"/>
                <w:sz w:val="24"/>
              </w:rPr>
            </w:pPr>
          </w:p>
          <w:p>
            <w:pPr>
              <w:pStyle w:val="14"/>
              <w:adjustRightInd w:val="0"/>
              <w:snapToGrid w:val="0"/>
              <w:spacing w:line="400" w:lineRule="exact"/>
              <w:jc w:val="center"/>
              <w:rPr>
                <w:rFonts w:hAnsi="宋体"/>
                <w:color w:val="000000"/>
                <w:sz w:val="24"/>
              </w:rPr>
            </w:pPr>
          </w:p>
          <w:p>
            <w:pPr>
              <w:pStyle w:val="14"/>
              <w:adjustRightInd w:val="0"/>
              <w:snapToGrid w:val="0"/>
              <w:spacing w:line="320" w:lineRule="atLeast"/>
              <w:jc w:val="center"/>
              <w:rPr>
                <w:rFonts w:hAnsi="宋体"/>
                <w:color w:val="000000"/>
              </w:rPr>
            </w:pPr>
            <w:r>
              <w:rPr>
                <w:rFonts w:hint="eastAsia" w:hAnsi="宋体"/>
                <w:color w:val="000000"/>
              </w:rPr>
              <w:t>授权代表身份证复印件或影印件粘贴处</w:t>
            </w:r>
          </w:p>
          <w:p>
            <w:pPr>
              <w:pStyle w:val="14"/>
              <w:adjustRightInd w:val="0"/>
              <w:snapToGrid w:val="0"/>
              <w:spacing w:line="400" w:lineRule="exact"/>
              <w:jc w:val="center"/>
              <w:rPr>
                <w:rFonts w:hAnsi="宋体"/>
                <w:color w:val="000000"/>
                <w:sz w:val="24"/>
              </w:rPr>
            </w:pPr>
          </w:p>
          <w:p>
            <w:pPr>
              <w:pStyle w:val="14"/>
              <w:adjustRightInd w:val="0"/>
              <w:snapToGrid w:val="0"/>
              <w:spacing w:line="400" w:lineRule="exact"/>
              <w:jc w:val="center"/>
              <w:rPr>
                <w:rFonts w:hAnsi="宋体"/>
                <w:color w:val="000000"/>
                <w:sz w:val="24"/>
              </w:rPr>
            </w:pPr>
          </w:p>
          <w:p>
            <w:pPr>
              <w:pStyle w:val="14"/>
              <w:adjustRightInd w:val="0"/>
              <w:snapToGrid w:val="0"/>
              <w:spacing w:line="400" w:lineRule="exact"/>
              <w:jc w:val="center"/>
              <w:rPr>
                <w:rFonts w:hAnsi="宋体"/>
                <w:color w:val="000000"/>
                <w:sz w:val="36"/>
              </w:rPr>
            </w:pPr>
          </w:p>
        </w:tc>
      </w:tr>
    </w:tbl>
    <w:p>
      <w:pPr>
        <w:pStyle w:val="14"/>
        <w:adjustRightInd w:val="0"/>
        <w:snapToGrid w:val="0"/>
        <w:spacing w:line="400" w:lineRule="exact"/>
        <w:jc w:val="left"/>
        <w:rPr>
          <w:rFonts w:hAnsi="宋体"/>
          <w:b/>
          <w:bCs/>
          <w:color w:val="000000"/>
          <w:sz w:val="24"/>
          <w:szCs w:val="24"/>
        </w:rPr>
      </w:pPr>
    </w:p>
    <w:p>
      <w:pPr>
        <w:pStyle w:val="14"/>
        <w:adjustRightInd w:val="0"/>
        <w:snapToGrid w:val="0"/>
        <w:spacing w:line="400" w:lineRule="exact"/>
        <w:jc w:val="left"/>
        <w:outlineLvl w:val="1"/>
        <w:rPr>
          <w:rFonts w:hAnsi="宋体"/>
          <w:b/>
          <w:bCs/>
          <w:color w:val="000000"/>
          <w:sz w:val="24"/>
          <w:szCs w:val="24"/>
        </w:rPr>
      </w:pPr>
      <w:r>
        <w:rPr>
          <w:rFonts w:hint="eastAsia" w:hAnsi="宋体"/>
          <w:b/>
          <w:bCs/>
          <w:color w:val="000000"/>
          <w:sz w:val="24"/>
          <w:szCs w:val="24"/>
        </w:rPr>
        <w:br w:type="page"/>
      </w:r>
      <w:r>
        <w:rPr>
          <w:rFonts w:hint="eastAsia" w:hAnsi="宋体"/>
          <w:b/>
          <w:bCs/>
          <w:color w:val="000000"/>
          <w:sz w:val="24"/>
          <w:szCs w:val="24"/>
        </w:rPr>
        <w:t>附件三（三）</w:t>
      </w:r>
    </w:p>
    <w:p>
      <w:pPr>
        <w:pStyle w:val="14"/>
        <w:adjustRightInd w:val="0"/>
        <w:snapToGrid w:val="0"/>
        <w:spacing w:line="400" w:lineRule="exact"/>
        <w:jc w:val="center"/>
        <w:rPr>
          <w:rFonts w:hAnsi="宋体"/>
          <w:b/>
          <w:bCs/>
          <w:color w:val="000000"/>
          <w:sz w:val="32"/>
          <w:szCs w:val="32"/>
        </w:rPr>
      </w:pPr>
      <w:r>
        <w:rPr>
          <w:rFonts w:hint="eastAsia" w:hAnsi="宋体"/>
          <w:b/>
          <w:bCs/>
          <w:color w:val="000000"/>
          <w:sz w:val="32"/>
          <w:szCs w:val="32"/>
        </w:rPr>
        <w:t xml:space="preserve"> （3）供应商情况声明</w:t>
      </w:r>
    </w:p>
    <w:p>
      <w:pPr>
        <w:pStyle w:val="14"/>
        <w:adjustRightInd w:val="0"/>
        <w:snapToGrid w:val="0"/>
        <w:spacing w:line="400" w:lineRule="exact"/>
        <w:jc w:val="center"/>
        <w:rPr>
          <w:rFonts w:hAnsi="宋体"/>
          <w:b/>
          <w:bCs/>
          <w:color w:val="000000"/>
          <w:sz w:val="36"/>
          <w:szCs w:val="36"/>
        </w:rPr>
      </w:pPr>
    </w:p>
    <w:p>
      <w:r>
        <w:rPr>
          <w:rFonts w:hint="eastAsia"/>
        </w:rPr>
        <w:t>1、名称及概况：</w:t>
      </w:r>
    </w:p>
    <w:p>
      <w:r>
        <w:rPr>
          <w:rFonts w:hint="eastAsia"/>
        </w:rPr>
        <w:t>（1）供应商名称：</w:t>
      </w:r>
      <w:r>
        <w:rPr>
          <w:rFonts w:hint="eastAsia"/>
          <w:u w:val="single"/>
        </w:rPr>
        <w:t xml:space="preserve">                                                 </w:t>
      </w:r>
    </w:p>
    <w:p>
      <w:r>
        <w:rPr>
          <w:rFonts w:hint="eastAsia"/>
        </w:rPr>
        <w:t>（2）供应商注册地址：</w:t>
      </w:r>
      <w:r>
        <w:rPr>
          <w:rFonts w:hint="eastAsia"/>
          <w:u w:val="single"/>
        </w:rPr>
        <w:t xml:space="preserve">                                              </w:t>
      </w:r>
    </w:p>
    <w:p>
      <w:pPr>
        <w:rPr>
          <w:u w:val="single"/>
        </w:rPr>
      </w:pPr>
      <w:r>
        <w:rPr>
          <w:rFonts w:hint="eastAsia"/>
        </w:rPr>
        <w:t xml:space="preserve">     传真/电话号码：</w:t>
      </w:r>
      <w:r>
        <w:rPr>
          <w:rFonts w:hint="eastAsia"/>
          <w:u w:val="single"/>
        </w:rPr>
        <w:t xml:space="preserve">                                               </w:t>
      </w:r>
    </w:p>
    <w:p>
      <w:pPr>
        <w:rPr>
          <w:u w:val="single"/>
        </w:rPr>
      </w:pPr>
      <w:r>
        <w:rPr>
          <w:rFonts w:hint="eastAsia"/>
        </w:rPr>
        <w:t>（3）成立或注册日期：</w:t>
      </w:r>
      <w:r>
        <w:rPr>
          <w:rFonts w:hint="eastAsia"/>
          <w:u w:val="single"/>
        </w:rPr>
        <w:t xml:space="preserve">                                              </w:t>
      </w:r>
    </w:p>
    <w:p>
      <w:pPr>
        <w:rPr>
          <w:u w:val="single"/>
        </w:rPr>
      </w:pPr>
      <w:r>
        <w:rPr>
          <w:rFonts w:hint="eastAsia"/>
        </w:rPr>
        <w:t>（4）营业执照经营范围：</w:t>
      </w:r>
      <w:r>
        <w:rPr>
          <w:rFonts w:hint="eastAsia"/>
          <w:u w:val="single"/>
        </w:rPr>
        <w:t xml:space="preserve">                                            </w:t>
      </w:r>
    </w:p>
    <w:p>
      <w:pPr>
        <w:rPr>
          <w:u w:val="single"/>
        </w:rPr>
      </w:pPr>
      <w:r>
        <w:rPr>
          <w:rFonts w:hint="eastAsia"/>
        </w:rPr>
        <w:t>（5）实收资本：</w:t>
      </w:r>
      <w:r>
        <w:rPr>
          <w:rFonts w:hint="eastAsia"/>
          <w:u w:val="single"/>
        </w:rPr>
        <w:t xml:space="preserve">                              </w:t>
      </w:r>
    </w:p>
    <w:p>
      <w:r>
        <w:rPr>
          <w:rFonts w:hint="eastAsia"/>
        </w:rPr>
        <w:t>（6）近期资产负债表（</w:t>
      </w:r>
      <w:r>
        <w:rPr>
          <w:rFonts w:hint="eastAsia"/>
          <w:u w:val="single"/>
        </w:rPr>
        <w:t>到        年    月    日止</w:t>
      </w:r>
      <w:r>
        <w:rPr>
          <w:rFonts w:hint="eastAsia"/>
        </w:rPr>
        <w:t>）</w:t>
      </w:r>
    </w:p>
    <w:p>
      <w:pPr>
        <w:rPr>
          <w:u w:val="single"/>
        </w:rPr>
      </w:pPr>
      <w:r>
        <w:rPr>
          <w:rFonts w:hint="eastAsia"/>
        </w:rPr>
        <w:t xml:space="preserve">    1）固定资产：</w:t>
      </w:r>
      <w:r>
        <w:rPr>
          <w:rFonts w:hint="eastAsia"/>
          <w:u w:val="single"/>
        </w:rPr>
        <w:t xml:space="preserve">               </w:t>
      </w:r>
      <w:r>
        <w:rPr>
          <w:rFonts w:hint="eastAsia"/>
        </w:rPr>
        <w:t xml:space="preserve">     2）流动资产：</w:t>
      </w:r>
      <w:r>
        <w:rPr>
          <w:rFonts w:hint="eastAsia"/>
          <w:u w:val="single"/>
        </w:rPr>
        <w:t xml:space="preserve">               </w:t>
      </w:r>
    </w:p>
    <w:p>
      <w:r>
        <w:rPr>
          <w:rFonts w:hint="eastAsia"/>
        </w:rPr>
        <w:t xml:space="preserve">    3）长期负债：</w:t>
      </w:r>
      <w:r>
        <w:rPr>
          <w:rFonts w:hint="eastAsia"/>
          <w:u w:val="single"/>
        </w:rPr>
        <w:t xml:space="preserve">               </w:t>
      </w:r>
      <w:r>
        <w:rPr>
          <w:rFonts w:hint="eastAsia"/>
        </w:rPr>
        <w:t xml:space="preserve">     4）流动负债：</w:t>
      </w:r>
      <w:r>
        <w:rPr>
          <w:rFonts w:hint="eastAsia"/>
          <w:u w:val="single"/>
        </w:rPr>
        <w:t xml:space="preserve">               </w:t>
      </w:r>
    </w:p>
    <w:p>
      <w:r>
        <w:rPr>
          <w:rFonts w:hint="eastAsia"/>
        </w:rPr>
        <w:t xml:space="preserve">    5）净值：</w:t>
      </w:r>
      <w:r>
        <w:rPr>
          <w:rFonts w:hint="eastAsia"/>
          <w:u w:val="single"/>
        </w:rPr>
        <w:t xml:space="preserve">                   </w:t>
      </w:r>
      <w:r>
        <w:rPr>
          <w:rFonts w:hint="eastAsia"/>
        </w:rPr>
        <w:t xml:space="preserve">     6）主要负责人姓名：</w:t>
      </w:r>
      <w:r>
        <w:rPr>
          <w:rFonts w:hint="eastAsia"/>
          <w:u w:val="single"/>
        </w:rPr>
        <w:t xml:space="preserve">                      </w:t>
      </w:r>
    </w:p>
    <w:p>
      <w:pPr>
        <w:rPr>
          <w:u w:val="single"/>
        </w:rPr>
      </w:pPr>
      <w:r>
        <w:rPr>
          <w:rFonts w:hint="eastAsia"/>
        </w:rPr>
        <w:t>2、企业生产设备及规模：</w:t>
      </w:r>
      <w:r>
        <w:rPr>
          <w:rFonts w:hint="eastAsia"/>
          <w:u w:val="single"/>
        </w:rPr>
        <w:t xml:space="preserve">        （可另附说明）     </w:t>
      </w:r>
    </w:p>
    <w:p>
      <w:r>
        <w:rPr>
          <w:rFonts w:hint="eastAsia"/>
        </w:rPr>
        <w:t>3、企业人员情况：职工（在职）人数</w:t>
      </w:r>
      <w:r>
        <w:rPr>
          <w:rFonts w:hint="eastAsia"/>
          <w:u w:val="single"/>
        </w:rPr>
        <w:t xml:space="preserve">       </w:t>
      </w:r>
      <w:r>
        <w:rPr>
          <w:rFonts w:hint="eastAsia"/>
        </w:rPr>
        <w:t>人</w:t>
      </w:r>
    </w:p>
    <w:p>
      <w:pPr>
        <w:rPr>
          <w:u w:val="single"/>
        </w:rPr>
      </w:pPr>
      <w:r>
        <w:rPr>
          <w:rFonts w:hint="eastAsia"/>
        </w:rPr>
        <w:t>4、企业分支机构情况：</w:t>
      </w:r>
      <w:r>
        <w:rPr>
          <w:rFonts w:hint="eastAsia"/>
          <w:u w:val="single"/>
        </w:rPr>
        <w:t xml:space="preserve">                                               </w:t>
      </w:r>
    </w:p>
    <w:p>
      <w:r>
        <w:rPr>
          <w:rFonts w:hint="eastAsia"/>
        </w:rPr>
        <w:t>5、近三年的年营业总额</w:t>
      </w:r>
    </w:p>
    <w:p>
      <w:r>
        <w:rPr>
          <w:rFonts w:hint="eastAsia"/>
        </w:rPr>
        <w:t xml:space="preserve">   兹证明上述声明是真实、正确的、并提供了全部能提供的资料和数据，我们同意遵照贵方要求出示有关证明文件。</w:t>
      </w:r>
    </w:p>
    <w:p/>
    <w:p>
      <w:pPr>
        <w:rPr>
          <w:u w:val="single"/>
        </w:rPr>
      </w:pPr>
      <w:r>
        <w:rPr>
          <w:rFonts w:hint="eastAsia"/>
        </w:rPr>
        <w:t>供应商名称（盖章）：</w:t>
      </w:r>
      <w:r>
        <w:rPr>
          <w:rFonts w:hint="eastAsia"/>
          <w:u w:val="single"/>
        </w:rPr>
        <w:t xml:space="preserve">                               </w:t>
      </w:r>
    </w:p>
    <w:p>
      <w:r>
        <w:rPr>
          <w:rFonts w:hint="eastAsia"/>
        </w:rPr>
        <w:t>法定代表人或授权代表（签字或盖章）：</w:t>
      </w:r>
      <w:r>
        <w:rPr>
          <w:rFonts w:hint="eastAsia"/>
          <w:u w:val="single"/>
        </w:rPr>
        <w:t xml:space="preserve">                           </w:t>
      </w:r>
    </w:p>
    <w:p>
      <w:pPr>
        <w:rPr>
          <w:u w:val="single"/>
        </w:rPr>
      </w:pPr>
      <w:r>
        <w:rPr>
          <w:rFonts w:hint="eastAsia"/>
        </w:rPr>
        <w:t>日期：</w:t>
      </w:r>
      <w:r>
        <w:rPr>
          <w:rFonts w:hint="eastAsia"/>
          <w:u w:val="single"/>
        </w:rPr>
        <w:t xml:space="preserve">                                 </w:t>
      </w:r>
    </w:p>
    <w:p/>
    <w:p>
      <w:pPr>
        <w:rPr>
          <w:b/>
          <w:kern w:val="0"/>
        </w:rPr>
      </w:pPr>
      <w:r>
        <w:rPr>
          <w:rFonts w:hint="eastAsia"/>
          <w:b/>
        </w:rPr>
        <w:t>备注：</w:t>
      </w:r>
      <w:r>
        <w:rPr>
          <w:rFonts w:hint="eastAsia"/>
          <w:b/>
          <w:kern w:val="0"/>
        </w:rPr>
        <w:t>后附内容包含但不仅限于：企业法人有效营业执照、税务登记证、质量管理和质量保证体系等方面的认证证书（如有）以及其他供应商资格、评审细则要求的相关资格证书、许可证书及其他材料。</w:t>
      </w:r>
      <w:r>
        <w:rPr>
          <w:rFonts w:hint="eastAsia"/>
          <w:b/>
          <w:kern w:val="0"/>
          <w:u w:val="single"/>
        </w:rPr>
        <w:t>上述材料提供复印件加盖公章。</w:t>
      </w:r>
    </w:p>
    <w:p>
      <w:pPr>
        <w:pStyle w:val="14"/>
        <w:adjustRightInd w:val="0"/>
        <w:snapToGrid w:val="0"/>
        <w:spacing w:line="400" w:lineRule="exact"/>
        <w:rPr>
          <w:rFonts w:hAnsi="宋体"/>
          <w:color w:val="000000"/>
          <w:sz w:val="36"/>
          <w:szCs w:val="36"/>
        </w:rPr>
      </w:pPr>
    </w:p>
    <w:p>
      <w:pPr>
        <w:pStyle w:val="14"/>
        <w:adjustRightInd w:val="0"/>
        <w:snapToGrid w:val="0"/>
        <w:spacing w:line="400" w:lineRule="exact"/>
        <w:rPr>
          <w:rFonts w:hAnsi="宋体"/>
          <w:color w:val="000000"/>
          <w:sz w:val="36"/>
          <w:szCs w:val="36"/>
        </w:rPr>
      </w:pPr>
    </w:p>
    <w:p>
      <w:pPr>
        <w:pStyle w:val="14"/>
        <w:adjustRightInd w:val="0"/>
        <w:snapToGrid w:val="0"/>
        <w:spacing w:line="400" w:lineRule="exact"/>
        <w:outlineLvl w:val="1"/>
        <w:rPr>
          <w:rFonts w:hAnsi="宋体"/>
          <w:b/>
          <w:bCs/>
          <w:color w:val="000000"/>
          <w:sz w:val="24"/>
          <w:szCs w:val="24"/>
        </w:rPr>
      </w:pPr>
      <w:r>
        <w:rPr>
          <w:rFonts w:hAnsi="宋体"/>
          <w:b/>
          <w:bCs/>
          <w:color w:val="000000"/>
          <w:sz w:val="24"/>
          <w:szCs w:val="24"/>
        </w:rPr>
        <w:br w:type="page"/>
      </w:r>
      <w:bookmarkStart w:id="28" w:name="OLE_LINK27"/>
      <w:r>
        <w:rPr>
          <w:rFonts w:hint="eastAsia" w:hAnsi="宋体"/>
          <w:b/>
          <w:bCs/>
          <w:color w:val="000000"/>
          <w:sz w:val="24"/>
          <w:szCs w:val="24"/>
        </w:rPr>
        <w:t>附件四</w:t>
      </w:r>
      <w:bookmarkEnd w:id="28"/>
    </w:p>
    <w:p>
      <w:pPr>
        <w:spacing w:before="240" w:beforeLines="100" w:after="120" w:afterLines="50"/>
        <w:ind w:right="482" w:firstLine="723" w:firstLineChars="200"/>
        <w:jc w:val="center"/>
        <w:rPr>
          <w:b/>
          <w:bCs/>
          <w:color w:val="000000"/>
          <w:sz w:val="36"/>
          <w:szCs w:val="36"/>
        </w:rPr>
      </w:pPr>
      <w:r>
        <w:rPr>
          <w:rFonts w:hint="eastAsia"/>
          <w:b/>
          <w:bCs/>
          <w:color w:val="000000"/>
          <w:sz w:val="36"/>
          <w:szCs w:val="36"/>
        </w:rPr>
        <w:t>商务、技术偏离表</w:t>
      </w:r>
    </w:p>
    <w:p>
      <w:pPr>
        <w:spacing w:line="380" w:lineRule="exact"/>
        <w:rPr>
          <w:rFonts w:ascii="Arial" w:hAnsi="Arial" w:cs="Arial"/>
          <w:b/>
          <w:bCs/>
          <w:color w:val="000000"/>
        </w:rPr>
      </w:pPr>
      <w:r>
        <w:rPr>
          <w:rFonts w:hint="eastAsia" w:ascii="Arial" w:hAnsi="Arial" w:cs="Arial"/>
          <w:b/>
          <w:bCs/>
          <w:color w:val="000000"/>
        </w:rPr>
        <w:t>磋商项目：                       采购项目编号：                         标项：</w:t>
      </w:r>
    </w:p>
    <w:tbl>
      <w:tblPr>
        <w:tblStyle w:val="2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365"/>
        <w:gridCol w:w="2100"/>
        <w:gridCol w:w="1995"/>
        <w:gridCol w:w="1869"/>
        <w:gridCol w:w="15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57" w:type="dxa"/>
            <w:tcBorders>
              <w:top w:val="single" w:color="auto" w:sz="12" w:space="0"/>
              <w:bottom w:val="single" w:color="auto" w:sz="12" w:space="0"/>
              <w:right w:val="single" w:color="auto" w:sz="12" w:space="0"/>
            </w:tcBorders>
          </w:tcPr>
          <w:p>
            <w:pPr>
              <w:spacing w:line="380" w:lineRule="exact"/>
              <w:jc w:val="center"/>
              <w:rPr>
                <w:rFonts w:ascii="Arial" w:hAnsi="Arial" w:cs="Arial"/>
                <w:color w:val="000000"/>
              </w:rPr>
            </w:pPr>
          </w:p>
        </w:tc>
        <w:tc>
          <w:tcPr>
            <w:tcW w:w="1365" w:type="dxa"/>
            <w:tcBorders>
              <w:top w:val="single" w:color="auto" w:sz="12" w:space="0"/>
              <w:left w:val="single" w:color="auto" w:sz="12" w:space="0"/>
              <w:bottom w:val="single" w:color="auto" w:sz="12" w:space="0"/>
            </w:tcBorders>
            <w:vAlign w:val="center"/>
          </w:tcPr>
          <w:p>
            <w:pPr>
              <w:spacing w:line="380" w:lineRule="exact"/>
              <w:jc w:val="center"/>
              <w:rPr>
                <w:rFonts w:ascii="Arial" w:hAnsi="Arial" w:cs="Arial"/>
                <w:b/>
                <w:bCs/>
                <w:color w:val="000000"/>
              </w:rPr>
            </w:pPr>
            <w:r>
              <w:rPr>
                <w:rFonts w:ascii="Arial" w:cs="Arial"/>
                <w:b/>
                <w:bCs/>
                <w:color w:val="000000"/>
              </w:rPr>
              <w:t>序号</w:t>
            </w:r>
          </w:p>
        </w:tc>
        <w:tc>
          <w:tcPr>
            <w:tcW w:w="2100" w:type="dxa"/>
            <w:tcBorders>
              <w:top w:val="single" w:color="auto" w:sz="12" w:space="0"/>
              <w:bottom w:val="single" w:color="auto" w:sz="12" w:space="0"/>
            </w:tcBorders>
            <w:vAlign w:val="center"/>
          </w:tcPr>
          <w:p>
            <w:pPr>
              <w:spacing w:line="380" w:lineRule="exact"/>
              <w:jc w:val="center"/>
              <w:rPr>
                <w:rFonts w:ascii="Arial" w:hAnsi="Arial" w:cs="Arial"/>
                <w:b/>
                <w:bCs/>
                <w:color w:val="000000"/>
              </w:rPr>
            </w:pPr>
            <w:r>
              <w:rPr>
                <w:rFonts w:hint="eastAsia" w:ascii="Arial" w:cs="Arial"/>
                <w:b/>
                <w:bCs/>
                <w:color w:val="000000"/>
              </w:rPr>
              <w:t>磋商文件</w:t>
            </w:r>
          </w:p>
          <w:p>
            <w:pPr>
              <w:spacing w:line="380" w:lineRule="exact"/>
              <w:jc w:val="center"/>
              <w:rPr>
                <w:rFonts w:ascii="Arial" w:hAnsi="Arial" w:cs="Arial"/>
                <w:b/>
                <w:bCs/>
                <w:color w:val="000000"/>
              </w:rPr>
            </w:pPr>
            <w:r>
              <w:rPr>
                <w:rFonts w:ascii="Arial" w:cs="Arial"/>
                <w:b/>
                <w:bCs/>
                <w:color w:val="000000"/>
              </w:rPr>
              <w:t>条目号</w:t>
            </w:r>
          </w:p>
        </w:tc>
        <w:tc>
          <w:tcPr>
            <w:tcW w:w="1995" w:type="dxa"/>
            <w:tcBorders>
              <w:top w:val="single" w:color="auto" w:sz="12" w:space="0"/>
              <w:bottom w:val="single" w:color="auto" w:sz="12" w:space="0"/>
            </w:tcBorders>
            <w:vAlign w:val="center"/>
          </w:tcPr>
          <w:p>
            <w:pPr>
              <w:spacing w:line="380" w:lineRule="exact"/>
              <w:jc w:val="center"/>
              <w:rPr>
                <w:rFonts w:ascii="Arial" w:hAnsi="Arial" w:cs="Arial"/>
                <w:b/>
                <w:bCs/>
                <w:color w:val="000000"/>
              </w:rPr>
            </w:pPr>
            <w:r>
              <w:rPr>
                <w:rFonts w:hint="eastAsia" w:ascii="Arial" w:cs="Arial"/>
                <w:b/>
                <w:bCs/>
                <w:color w:val="000000"/>
              </w:rPr>
              <w:t>磋商文件</w:t>
            </w:r>
          </w:p>
          <w:p>
            <w:pPr>
              <w:spacing w:line="380" w:lineRule="exact"/>
              <w:jc w:val="center"/>
              <w:rPr>
                <w:rFonts w:ascii="Arial" w:hAnsi="Arial" w:cs="Arial"/>
                <w:b/>
                <w:bCs/>
                <w:color w:val="000000"/>
              </w:rPr>
            </w:pPr>
            <w:r>
              <w:rPr>
                <w:rFonts w:ascii="Arial" w:cs="Arial"/>
                <w:b/>
                <w:bCs/>
                <w:color w:val="000000"/>
              </w:rPr>
              <w:t>规范要求</w:t>
            </w:r>
          </w:p>
        </w:tc>
        <w:tc>
          <w:tcPr>
            <w:tcW w:w="1869" w:type="dxa"/>
            <w:tcBorders>
              <w:top w:val="single" w:color="auto" w:sz="12" w:space="0"/>
              <w:bottom w:val="single" w:color="auto" w:sz="12" w:space="0"/>
            </w:tcBorders>
            <w:vAlign w:val="center"/>
          </w:tcPr>
          <w:p>
            <w:pPr>
              <w:spacing w:line="380" w:lineRule="exact"/>
              <w:jc w:val="center"/>
              <w:rPr>
                <w:rFonts w:ascii="Arial" w:hAnsi="Arial" w:cs="Arial"/>
                <w:b/>
                <w:bCs/>
                <w:color w:val="000000"/>
              </w:rPr>
            </w:pPr>
            <w:r>
              <w:rPr>
                <w:rFonts w:hint="eastAsia" w:ascii="Arial" w:cs="Arial"/>
                <w:b/>
                <w:bCs/>
                <w:color w:val="000000"/>
              </w:rPr>
              <w:t>磋商响应文件</w:t>
            </w:r>
          </w:p>
          <w:p>
            <w:pPr>
              <w:spacing w:line="380" w:lineRule="exact"/>
              <w:jc w:val="center"/>
              <w:rPr>
                <w:rFonts w:ascii="Arial" w:hAnsi="Arial" w:cs="Arial"/>
                <w:b/>
                <w:bCs/>
                <w:color w:val="000000"/>
              </w:rPr>
            </w:pPr>
            <w:r>
              <w:rPr>
                <w:rFonts w:ascii="Arial" w:cs="Arial"/>
                <w:b/>
                <w:bCs/>
                <w:color w:val="000000"/>
              </w:rPr>
              <w:t>对应规范</w:t>
            </w:r>
          </w:p>
        </w:tc>
        <w:tc>
          <w:tcPr>
            <w:tcW w:w="1596" w:type="dxa"/>
            <w:tcBorders>
              <w:top w:val="single" w:color="auto" w:sz="12" w:space="0"/>
              <w:bottom w:val="single" w:color="auto" w:sz="12" w:space="0"/>
            </w:tcBorders>
            <w:vAlign w:val="center"/>
          </w:tcPr>
          <w:p>
            <w:pPr>
              <w:spacing w:line="380" w:lineRule="exact"/>
              <w:jc w:val="center"/>
              <w:rPr>
                <w:rFonts w:ascii="Arial" w:hAnsi="Arial" w:cs="Arial"/>
                <w:b/>
                <w:bCs/>
                <w:color w:val="000000"/>
              </w:rPr>
            </w:pPr>
            <w:r>
              <w:rPr>
                <w:rFonts w:ascii="Arial" w:cs="Arial"/>
                <w:b/>
                <w:bCs/>
                <w:color w:val="000000"/>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7" w:type="dxa"/>
            <w:vMerge w:val="restart"/>
            <w:tcBorders>
              <w:top w:val="single" w:color="auto" w:sz="12" w:space="0"/>
              <w:bottom w:val="single" w:color="auto" w:sz="12" w:space="0"/>
              <w:right w:val="single" w:color="auto" w:sz="12" w:space="0"/>
            </w:tcBorders>
            <w:vAlign w:val="center"/>
          </w:tcPr>
          <w:p>
            <w:pPr>
              <w:spacing w:line="380" w:lineRule="exact"/>
              <w:jc w:val="center"/>
              <w:rPr>
                <w:rFonts w:ascii="Arial" w:hAnsi="Arial" w:cs="Arial"/>
                <w:b/>
                <w:bCs/>
                <w:color w:val="000000"/>
              </w:rPr>
            </w:pPr>
            <w:r>
              <w:rPr>
                <w:rFonts w:ascii="Arial" w:cs="Arial"/>
                <w:b/>
                <w:bCs/>
                <w:color w:val="000000"/>
              </w:rPr>
              <w:t>商</w:t>
            </w:r>
          </w:p>
          <w:p>
            <w:pPr>
              <w:spacing w:line="380" w:lineRule="exact"/>
              <w:jc w:val="center"/>
              <w:rPr>
                <w:rFonts w:ascii="Arial" w:hAnsi="Arial" w:cs="Arial"/>
                <w:b/>
                <w:bCs/>
                <w:color w:val="000000"/>
              </w:rPr>
            </w:pPr>
            <w:r>
              <w:rPr>
                <w:rFonts w:ascii="Arial" w:cs="Arial"/>
                <w:b/>
                <w:bCs/>
                <w:color w:val="000000"/>
              </w:rPr>
              <w:t>务</w:t>
            </w:r>
          </w:p>
          <w:p>
            <w:pPr>
              <w:spacing w:line="380" w:lineRule="exact"/>
              <w:jc w:val="center"/>
              <w:rPr>
                <w:rFonts w:ascii="Arial" w:hAnsi="Arial" w:cs="Arial"/>
                <w:b/>
                <w:bCs/>
                <w:color w:val="000000"/>
              </w:rPr>
            </w:pPr>
            <w:r>
              <w:rPr>
                <w:rFonts w:ascii="Arial" w:cs="Arial"/>
                <w:b/>
                <w:bCs/>
                <w:color w:val="000000"/>
              </w:rPr>
              <w:t>条</w:t>
            </w:r>
          </w:p>
          <w:p>
            <w:pPr>
              <w:spacing w:line="380" w:lineRule="exact"/>
              <w:jc w:val="center"/>
              <w:rPr>
                <w:rFonts w:ascii="Arial" w:hAnsi="Arial" w:cs="Arial"/>
                <w:b/>
                <w:bCs/>
                <w:color w:val="000000"/>
              </w:rPr>
            </w:pPr>
            <w:r>
              <w:rPr>
                <w:rFonts w:ascii="Arial" w:cs="Arial"/>
                <w:b/>
                <w:bCs/>
                <w:color w:val="000000"/>
              </w:rPr>
              <w:t>款</w:t>
            </w:r>
          </w:p>
        </w:tc>
        <w:tc>
          <w:tcPr>
            <w:tcW w:w="1365" w:type="dxa"/>
            <w:tcBorders>
              <w:top w:val="single" w:color="auto" w:sz="12" w:space="0"/>
              <w:left w:val="single" w:color="auto" w:sz="12" w:space="0"/>
              <w:bottom w:val="single" w:color="auto" w:sz="4" w:space="0"/>
            </w:tcBorders>
            <w:vAlign w:val="center"/>
          </w:tcPr>
          <w:p>
            <w:pPr>
              <w:spacing w:line="380" w:lineRule="exact"/>
              <w:ind w:firstLine="440" w:firstLineChars="200"/>
              <w:jc w:val="center"/>
              <w:rPr>
                <w:rFonts w:ascii="Arial" w:hAnsi="Arial" w:cs="Arial"/>
                <w:color w:val="000000"/>
              </w:rPr>
            </w:pPr>
          </w:p>
          <w:p>
            <w:pPr>
              <w:spacing w:line="380" w:lineRule="exact"/>
              <w:ind w:firstLine="220" w:firstLineChars="100"/>
              <w:rPr>
                <w:rFonts w:ascii="Arial" w:hAnsi="Arial" w:cs="Arial"/>
                <w:color w:val="000000"/>
              </w:rPr>
            </w:pPr>
          </w:p>
        </w:tc>
        <w:tc>
          <w:tcPr>
            <w:tcW w:w="2100" w:type="dxa"/>
            <w:tcBorders>
              <w:top w:val="single" w:color="auto" w:sz="12" w:space="0"/>
              <w:bottom w:val="single" w:color="auto" w:sz="4" w:space="0"/>
            </w:tcBorders>
            <w:vAlign w:val="center"/>
          </w:tcPr>
          <w:p>
            <w:pPr>
              <w:spacing w:line="380" w:lineRule="exact"/>
              <w:jc w:val="center"/>
              <w:rPr>
                <w:rFonts w:ascii="Arial" w:hAnsi="Arial" w:cs="Arial"/>
                <w:color w:val="000000"/>
              </w:rPr>
            </w:pPr>
          </w:p>
        </w:tc>
        <w:tc>
          <w:tcPr>
            <w:tcW w:w="1995" w:type="dxa"/>
            <w:tcBorders>
              <w:top w:val="single" w:color="auto" w:sz="12" w:space="0"/>
              <w:bottom w:val="single" w:color="auto" w:sz="4" w:space="0"/>
            </w:tcBorders>
            <w:vAlign w:val="center"/>
          </w:tcPr>
          <w:p>
            <w:pPr>
              <w:spacing w:line="380" w:lineRule="exact"/>
              <w:jc w:val="center"/>
              <w:rPr>
                <w:rFonts w:ascii="Arial" w:hAnsi="Arial" w:cs="Arial"/>
                <w:color w:val="000000"/>
              </w:rPr>
            </w:pPr>
          </w:p>
        </w:tc>
        <w:tc>
          <w:tcPr>
            <w:tcW w:w="1869" w:type="dxa"/>
            <w:tcBorders>
              <w:top w:val="single" w:color="auto" w:sz="12" w:space="0"/>
              <w:bottom w:val="single" w:color="auto" w:sz="4" w:space="0"/>
            </w:tcBorders>
            <w:vAlign w:val="center"/>
          </w:tcPr>
          <w:p>
            <w:pPr>
              <w:spacing w:line="380" w:lineRule="exact"/>
              <w:jc w:val="center"/>
              <w:rPr>
                <w:rFonts w:ascii="Arial" w:hAnsi="Arial" w:cs="Arial"/>
                <w:color w:val="000000"/>
              </w:rPr>
            </w:pPr>
          </w:p>
        </w:tc>
        <w:tc>
          <w:tcPr>
            <w:tcW w:w="1596" w:type="dxa"/>
            <w:tcBorders>
              <w:top w:val="single" w:color="auto" w:sz="12" w:space="0"/>
              <w:bottom w:val="single" w:color="auto" w:sz="4" w:space="0"/>
            </w:tcBorders>
            <w:vAlign w:val="center"/>
          </w:tcPr>
          <w:p>
            <w:pPr>
              <w:spacing w:line="380" w:lineRule="exact"/>
              <w:jc w:val="center"/>
              <w:rPr>
                <w:rFonts w:ascii="Arial" w:hAnsi="Arial" w:cs="Arial"/>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7" w:type="dxa"/>
            <w:vMerge w:val="continue"/>
            <w:tcBorders>
              <w:top w:val="single" w:color="auto" w:sz="4" w:space="0"/>
              <w:bottom w:val="single" w:color="auto" w:sz="12" w:space="0"/>
              <w:right w:val="single" w:color="auto" w:sz="12" w:space="0"/>
            </w:tcBorders>
          </w:tcPr>
          <w:p>
            <w:pPr>
              <w:spacing w:line="380" w:lineRule="exact"/>
              <w:ind w:firstLine="221" w:firstLineChars="100"/>
              <w:rPr>
                <w:rFonts w:ascii="Arial" w:hAnsi="Arial" w:cs="Arial"/>
                <w:b/>
                <w:bCs/>
                <w:color w:val="000000"/>
              </w:rPr>
            </w:pPr>
          </w:p>
        </w:tc>
        <w:tc>
          <w:tcPr>
            <w:tcW w:w="1365" w:type="dxa"/>
            <w:tcBorders>
              <w:top w:val="single" w:color="auto" w:sz="4" w:space="0"/>
              <w:left w:val="single" w:color="auto" w:sz="12" w:space="0"/>
              <w:bottom w:val="single" w:color="auto" w:sz="4" w:space="0"/>
            </w:tcBorders>
            <w:vAlign w:val="center"/>
          </w:tcPr>
          <w:p>
            <w:pPr>
              <w:spacing w:line="380" w:lineRule="exact"/>
              <w:ind w:firstLine="220" w:firstLineChars="100"/>
              <w:rPr>
                <w:rFonts w:ascii="Arial" w:hAnsi="Arial" w:cs="Arial"/>
                <w:color w:val="000000"/>
              </w:rPr>
            </w:pPr>
          </w:p>
        </w:tc>
        <w:tc>
          <w:tcPr>
            <w:tcW w:w="2100" w:type="dxa"/>
            <w:tcBorders>
              <w:top w:val="single" w:color="auto" w:sz="4" w:space="0"/>
              <w:bottom w:val="single" w:color="auto" w:sz="4" w:space="0"/>
            </w:tcBorders>
            <w:vAlign w:val="center"/>
          </w:tcPr>
          <w:p>
            <w:pPr>
              <w:spacing w:line="380" w:lineRule="exact"/>
              <w:jc w:val="center"/>
              <w:rPr>
                <w:rFonts w:ascii="Arial" w:hAnsi="Arial" w:cs="Arial"/>
                <w:color w:val="000000"/>
              </w:rPr>
            </w:pPr>
          </w:p>
        </w:tc>
        <w:tc>
          <w:tcPr>
            <w:tcW w:w="1995" w:type="dxa"/>
            <w:tcBorders>
              <w:top w:val="single" w:color="auto" w:sz="4" w:space="0"/>
              <w:bottom w:val="single" w:color="auto" w:sz="4" w:space="0"/>
            </w:tcBorders>
            <w:vAlign w:val="center"/>
          </w:tcPr>
          <w:p>
            <w:pPr>
              <w:spacing w:line="380" w:lineRule="exact"/>
              <w:jc w:val="center"/>
              <w:rPr>
                <w:rFonts w:ascii="Arial" w:hAnsi="Arial" w:cs="Arial"/>
                <w:color w:val="000000"/>
              </w:rPr>
            </w:pPr>
          </w:p>
        </w:tc>
        <w:tc>
          <w:tcPr>
            <w:tcW w:w="1869" w:type="dxa"/>
            <w:tcBorders>
              <w:top w:val="single" w:color="auto" w:sz="4" w:space="0"/>
              <w:bottom w:val="single" w:color="auto" w:sz="4" w:space="0"/>
            </w:tcBorders>
            <w:vAlign w:val="center"/>
          </w:tcPr>
          <w:p>
            <w:pPr>
              <w:spacing w:line="380" w:lineRule="exact"/>
              <w:jc w:val="center"/>
              <w:rPr>
                <w:rFonts w:ascii="Arial" w:hAnsi="Arial" w:cs="Arial"/>
                <w:color w:val="000000"/>
              </w:rPr>
            </w:pPr>
          </w:p>
        </w:tc>
        <w:tc>
          <w:tcPr>
            <w:tcW w:w="1596" w:type="dxa"/>
            <w:tcBorders>
              <w:top w:val="single" w:color="auto" w:sz="4" w:space="0"/>
              <w:bottom w:val="single" w:color="auto" w:sz="4" w:space="0"/>
            </w:tcBorders>
            <w:vAlign w:val="center"/>
          </w:tcPr>
          <w:p>
            <w:pPr>
              <w:spacing w:line="380" w:lineRule="exact"/>
              <w:jc w:val="center"/>
              <w:rPr>
                <w:rFonts w:ascii="Arial" w:hAnsi="Arial" w:cs="Arial"/>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7" w:type="dxa"/>
            <w:vMerge w:val="continue"/>
            <w:tcBorders>
              <w:top w:val="single" w:color="auto" w:sz="4" w:space="0"/>
              <w:bottom w:val="single" w:color="auto" w:sz="12" w:space="0"/>
              <w:right w:val="single" w:color="auto" w:sz="12" w:space="0"/>
            </w:tcBorders>
          </w:tcPr>
          <w:p>
            <w:pPr>
              <w:spacing w:line="380" w:lineRule="exact"/>
              <w:jc w:val="center"/>
              <w:rPr>
                <w:rFonts w:ascii="Arial" w:hAnsi="Arial" w:cs="Arial"/>
                <w:b/>
                <w:bCs/>
                <w:color w:val="000000"/>
              </w:rPr>
            </w:pPr>
          </w:p>
        </w:tc>
        <w:tc>
          <w:tcPr>
            <w:tcW w:w="1365" w:type="dxa"/>
            <w:tcBorders>
              <w:top w:val="single" w:color="auto" w:sz="4" w:space="0"/>
              <w:left w:val="single" w:color="auto" w:sz="12" w:space="0"/>
              <w:bottom w:val="single" w:color="auto" w:sz="4" w:space="0"/>
            </w:tcBorders>
            <w:vAlign w:val="center"/>
          </w:tcPr>
          <w:p>
            <w:pPr>
              <w:spacing w:line="380" w:lineRule="exact"/>
              <w:jc w:val="center"/>
              <w:rPr>
                <w:rFonts w:ascii="Arial" w:hAnsi="Arial" w:cs="Arial"/>
                <w:color w:val="000000"/>
              </w:rPr>
            </w:pPr>
          </w:p>
        </w:tc>
        <w:tc>
          <w:tcPr>
            <w:tcW w:w="2100" w:type="dxa"/>
            <w:tcBorders>
              <w:top w:val="single" w:color="auto" w:sz="4" w:space="0"/>
              <w:bottom w:val="single" w:color="auto" w:sz="4" w:space="0"/>
            </w:tcBorders>
            <w:vAlign w:val="center"/>
          </w:tcPr>
          <w:p>
            <w:pPr>
              <w:spacing w:line="380" w:lineRule="exact"/>
              <w:jc w:val="center"/>
              <w:rPr>
                <w:rFonts w:ascii="Arial" w:hAnsi="Arial" w:cs="Arial"/>
                <w:color w:val="000000"/>
              </w:rPr>
            </w:pPr>
          </w:p>
        </w:tc>
        <w:tc>
          <w:tcPr>
            <w:tcW w:w="1995" w:type="dxa"/>
            <w:tcBorders>
              <w:top w:val="single" w:color="auto" w:sz="4" w:space="0"/>
              <w:bottom w:val="single" w:color="auto" w:sz="4" w:space="0"/>
            </w:tcBorders>
            <w:vAlign w:val="center"/>
          </w:tcPr>
          <w:p>
            <w:pPr>
              <w:spacing w:line="380" w:lineRule="exact"/>
              <w:jc w:val="center"/>
              <w:rPr>
                <w:rFonts w:ascii="Arial" w:hAnsi="Arial" w:cs="Arial"/>
                <w:color w:val="000000"/>
              </w:rPr>
            </w:pPr>
          </w:p>
        </w:tc>
        <w:tc>
          <w:tcPr>
            <w:tcW w:w="1869" w:type="dxa"/>
            <w:tcBorders>
              <w:top w:val="single" w:color="auto" w:sz="4" w:space="0"/>
              <w:bottom w:val="single" w:color="auto" w:sz="4" w:space="0"/>
            </w:tcBorders>
            <w:vAlign w:val="center"/>
          </w:tcPr>
          <w:p>
            <w:pPr>
              <w:spacing w:line="380" w:lineRule="exact"/>
              <w:jc w:val="center"/>
              <w:rPr>
                <w:rFonts w:ascii="Arial" w:hAnsi="Arial" w:cs="Arial"/>
                <w:color w:val="000000"/>
              </w:rPr>
            </w:pPr>
          </w:p>
        </w:tc>
        <w:tc>
          <w:tcPr>
            <w:tcW w:w="1596" w:type="dxa"/>
            <w:tcBorders>
              <w:top w:val="single" w:color="auto" w:sz="4" w:space="0"/>
              <w:bottom w:val="single" w:color="auto" w:sz="4" w:space="0"/>
            </w:tcBorders>
            <w:vAlign w:val="center"/>
          </w:tcPr>
          <w:p>
            <w:pPr>
              <w:spacing w:line="380" w:lineRule="exact"/>
              <w:jc w:val="center"/>
              <w:rPr>
                <w:rFonts w:ascii="Arial" w:hAnsi="Arial" w:cs="Arial"/>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7" w:type="dxa"/>
            <w:vMerge w:val="continue"/>
            <w:tcBorders>
              <w:top w:val="single" w:color="auto" w:sz="4" w:space="0"/>
              <w:bottom w:val="single" w:color="auto" w:sz="12" w:space="0"/>
              <w:right w:val="single" w:color="auto" w:sz="12" w:space="0"/>
            </w:tcBorders>
          </w:tcPr>
          <w:p>
            <w:pPr>
              <w:spacing w:line="380" w:lineRule="exact"/>
              <w:jc w:val="center"/>
              <w:rPr>
                <w:rFonts w:ascii="Arial" w:hAnsi="Arial" w:cs="Arial"/>
                <w:b/>
                <w:bCs/>
                <w:color w:val="000000"/>
              </w:rPr>
            </w:pPr>
          </w:p>
        </w:tc>
        <w:tc>
          <w:tcPr>
            <w:tcW w:w="1365" w:type="dxa"/>
            <w:tcBorders>
              <w:top w:val="single" w:color="auto" w:sz="4" w:space="0"/>
              <w:left w:val="single" w:color="auto" w:sz="12" w:space="0"/>
              <w:bottom w:val="single" w:color="auto" w:sz="4" w:space="0"/>
            </w:tcBorders>
            <w:vAlign w:val="center"/>
          </w:tcPr>
          <w:p>
            <w:pPr>
              <w:spacing w:line="380" w:lineRule="exact"/>
              <w:jc w:val="center"/>
              <w:rPr>
                <w:rFonts w:ascii="Arial" w:hAnsi="Arial" w:cs="Arial"/>
                <w:color w:val="000000"/>
              </w:rPr>
            </w:pPr>
          </w:p>
        </w:tc>
        <w:tc>
          <w:tcPr>
            <w:tcW w:w="2100" w:type="dxa"/>
            <w:tcBorders>
              <w:top w:val="single" w:color="auto" w:sz="4" w:space="0"/>
              <w:bottom w:val="single" w:color="auto" w:sz="4" w:space="0"/>
            </w:tcBorders>
            <w:vAlign w:val="center"/>
          </w:tcPr>
          <w:p>
            <w:pPr>
              <w:spacing w:line="380" w:lineRule="exact"/>
              <w:jc w:val="center"/>
              <w:rPr>
                <w:rFonts w:ascii="Arial" w:hAnsi="Arial" w:cs="Arial"/>
                <w:color w:val="000000"/>
              </w:rPr>
            </w:pPr>
          </w:p>
        </w:tc>
        <w:tc>
          <w:tcPr>
            <w:tcW w:w="1995" w:type="dxa"/>
            <w:tcBorders>
              <w:top w:val="single" w:color="auto" w:sz="4" w:space="0"/>
              <w:bottom w:val="single" w:color="auto" w:sz="4" w:space="0"/>
            </w:tcBorders>
            <w:vAlign w:val="center"/>
          </w:tcPr>
          <w:p>
            <w:pPr>
              <w:spacing w:line="380" w:lineRule="exact"/>
              <w:jc w:val="center"/>
              <w:rPr>
                <w:rFonts w:ascii="Arial" w:hAnsi="Arial" w:cs="Arial"/>
                <w:color w:val="000000"/>
              </w:rPr>
            </w:pPr>
          </w:p>
        </w:tc>
        <w:tc>
          <w:tcPr>
            <w:tcW w:w="1869" w:type="dxa"/>
            <w:tcBorders>
              <w:top w:val="single" w:color="auto" w:sz="4" w:space="0"/>
              <w:bottom w:val="single" w:color="auto" w:sz="4" w:space="0"/>
            </w:tcBorders>
            <w:vAlign w:val="center"/>
          </w:tcPr>
          <w:p>
            <w:pPr>
              <w:spacing w:line="380" w:lineRule="exact"/>
              <w:jc w:val="center"/>
              <w:rPr>
                <w:rFonts w:ascii="Arial" w:hAnsi="Arial" w:cs="Arial"/>
                <w:color w:val="000000"/>
              </w:rPr>
            </w:pPr>
          </w:p>
        </w:tc>
        <w:tc>
          <w:tcPr>
            <w:tcW w:w="1596" w:type="dxa"/>
            <w:tcBorders>
              <w:top w:val="single" w:color="auto" w:sz="4" w:space="0"/>
              <w:bottom w:val="single" w:color="auto" w:sz="4" w:space="0"/>
            </w:tcBorders>
            <w:vAlign w:val="center"/>
          </w:tcPr>
          <w:p>
            <w:pPr>
              <w:spacing w:line="380" w:lineRule="exact"/>
              <w:jc w:val="center"/>
              <w:rPr>
                <w:rFonts w:ascii="Arial" w:hAnsi="Arial" w:cs="Arial"/>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7" w:type="dxa"/>
            <w:vMerge w:val="continue"/>
            <w:tcBorders>
              <w:top w:val="single" w:color="auto" w:sz="4" w:space="0"/>
              <w:bottom w:val="single" w:color="auto" w:sz="12" w:space="0"/>
              <w:right w:val="single" w:color="auto" w:sz="12" w:space="0"/>
            </w:tcBorders>
          </w:tcPr>
          <w:p>
            <w:pPr>
              <w:spacing w:line="380" w:lineRule="exact"/>
              <w:jc w:val="center"/>
              <w:rPr>
                <w:rFonts w:ascii="Arial" w:hAnsi="Arial" w:cs="Arial"/>
                <w:b/>
                <w:bCs/>
                <w:color w:val="000000"/>
              </w:rPr>
            </w:pPr>
          </w:p>
        </w:tc>
        <w:tc>
          <w:tcPr>
            <w:tcW w:w="1365" w:type="dxa"/>
            <w:tcBorders>
              <w:top w:val="single" w:color="auto" w:sz="4" w:space="0"/>
              <w:left w:val="single" w:color="auto" w:sz="12" w:space="0"/>
              <w:bottom w:val="single" w:color="auto" w:sz="12" w:space="0"/>
            </w:tcBorders>
            <w:vAlign w:val="center"/>
          </w:tcPr>
          <w:p>
            <w:pPr>
              <w:spacing w:line="380" w:lineRule="exact"/>
              <w:jc w:val="center"/>
              <w:rPr>
                <w:rFonts w:ascii="Arial" w:hAnsi="Arial" w:cs="Arial"/>
                <w:color w:val="000000"/>
              </w:rPr>
            </w:pPr>
          </w:p>
        </w:tc>
        <w:tc>
          <w:tcPr>
            <w:tcW w:w="2100" w:type="dxa"/>
            <w:tcBorders>
              <w:top w:val="single" w:color="auto" w:sz="4" w:space="0"/>
              <w:bottom w:val="single" w:color="auto" w:sz="12" w:space="0"/>
            </w:tcBorders>
            <w:vAlign w:val="center"/>
          </w:tcPr>
          <w:p>
            <w:pPr>
              <w:spacing w:line="380" w:lineRule="exact"/>
              <w:jc w:val="center"/>
              <w:rPr>
                <w:rFonts w:ascii="Arial" w:hAnsi="Arial" w:cs="Arial"/>
                <w:color w:val="000000"/>
              </w:rPr>
            </w:pPr>
          </w:p>
        </w:tc>
        <w:tc>
          <w:tcPr>
            <w:tcW w:w="1995" w:type="dxa"/>
            <w:tcBorders>
              <w:top w:val="single" w:color="auto" w:sz="4" w:space="0"/>
              <w:bottom w:val="single" w:color="auto" w:sz="12" w:space="0"/>
            </w:tcBorders>
            <w:vAlign w:val="center"/>
          </w:tcPr>
          <w:p>
            <w:pPr>
              <w:spacing w:line="380" w:lineRule="exact"/>
              <w:jc w:val="center"/>
              <w:rPr>
                <w:rFonts w:ascii="Arial" w:hAnsi="Arial" w:cs="Arial"/>
                <w:color w:val="000000"/>
              </w:rPr>
            </w:pPr>
          </w:p>
        </w:tc>
        <w:tc>
          <w:tcPr>
            <w:tcW w:w="1869" w:type="dxa"/>
            <w:tcBorders>
              <w:top w:val="single" w:color="auto" w:sz="4" w:space="0"/>
              <w:bottom w:val="single" w:color="auto" w:sz="12" w:space="0"/>
            </w:tcBorders>
            <w:vAlign w:val="center"/>
          </w:tcPr>
          <w:p>
            <w:pPr>
              <w:spacing w:line="380" w:lineRule="exact"/>
              <w:jc w:val="center"/>
              <w:rPr>
                <w:rFonts w:ascii="Arial" w:hAnsi="Arial" w:cs="Arial"/>
                <w:color w:val="000000"/>
              </w:rPr>
            </w:pPr>
          </w:p>
        </w:tc>
        <w:tc>
          <w:tcPr>
            <w:tcW w:w="1596" w:type="dxa"/>
            <w:tcBorders>
              <w:top w:val="single" w:color="auto" w:sz="4" w:space="0"/>
              <w:bottom w:val="single" w:color="auto" w:sz="12" w:space="0"/>
            </w:tcBorders>
            <w:vAlign w:val="center"/>
          </w:tcPr>
          <w:p>
            <w:pPr>
              <w:spacing w:line="380" w:lineRule="exact"/>
              <w:jc w:val="center"/>
              <w:rPr>
                <w:rFonts w:ascii="Arial" w:hAnsi="Arial" w:cs="Arial"/>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7" w:type="dxa"/>
            <w:vMerge w:val="restart"/>
            <w:tcBorders>
              <w:top w:val="single" w:color="auto" w:sz="4" w:space="0"/>
              <w:bottom w:val="single" w:color="auto" w:sz="12" w:space="0"/>
              <w:right w:val="single" w:color="auto" w:sz="12" w:space="0"/>
            </w:tcBorders>
            <w:vAlign w:val="center"/>
          </w:tcPr>
          <w:p>
            <w:pPr>
              <w:spacing w:line="380" w:lineRule="exact"/>
              <w:jc w:val="center"/>
              <w:rPr>
                <w:rFonts w:ascii="Arial" w:hAnsi="Arial" w:cs="Arial"/>
                <w:b/>
                <w:bCs/>
                <w:color w:val="000000"/>
              </w:rPr>
            </w:pPr>
            <w:r>
              <w:rPr>
                <w:rFonts w:ascii="Arial" w:cs="Arial"/>
                <w:b/>
                <w:bCs/>
                <w:color w:val="000000"/>
              </w:rPr>
              <w:t>技</w:t>
            </w:r>
          </w:p>
          <w:p>
            <w:pPr>
              <w:spacing w:line="380" w:lineRule="exact"/>
              <w:jc w:val="center"/>
              <w:rPr>
                <w:rFonts w:ascii="Arial" w:hAnsi="Arial" w:cs="Arial"/>
                <w:b/>
                <w:bCs/>
                <w:color w:val="000000"/>
              </w:rPr>
            </w:pPr>
            <w:r>
              <w:rPr>
                <w:rFonts w:ascii="Arial" w:cs="Arial"/>
                <w:b/>
                <w:bCs/>
                <w:color w:val="000000"/>
              </w:rPr>
              <w:t>术</w:t>
            </w:r>
          </w:p>
          <w:p>
            <w:pPr>
              <w:spacing w:line="380" w:lineRule="exact"/>
              <w:jc w:val="center"/>
              <w:rPr>
                <w:rFonts w:ascii="Arial" w:cs="Arial"/>
                <w:b/>
                <w:bCs/>
                <w:color w:val="000000"/>
              </w:rPr>
            </w:pPr>
            <w:r>
              <w:rPr>
                <w:rFonts w:hint="eastAsia" w:ascii="Arial" w:cs="Arial"/>
                <w:b/>
                <w:bCs/>
                <w:color w:val="000000"/>
              </w:rPr>
              <w:t>参</w:t>
            </w:r>
          </w:p>
          <w:p>
            <w:pPr>
              <w:spacing w:line="380" w:lineRule="exact"/>
              <w:jc w:val="center"/>
              <w:rPr>
                <w:rFonts w:ascii="Arial" w:hAnsi="Arial" w:cs="Arial"/>
                <w:b/>
                <w:bCs/>
                <w:color w:val="000000"/>
              </w:rPr>
            </w:pPr>
            <w:r>
              <w:rPr>
                <w:rFonts w:hint="eastAsia" w:ascii="Arial" w:cs="Arial"/>
                <w:b/>
                <w:bCs/>
                <w:color w:val="000000"/>
              </w:rPr>
              <w:t>数</w:t>
            </w:r>
          </w:p>
        </w:tc>
        <w:tc>
          <w:tcPr>
            <w:tcW w:w="1365" w:type="dxa"/>
            <w:tcBorders>
              <w:top w:val="single" w:color="auto" w:sz="12" w:space="0"/>
              <w:left w:val="single" w:color="auto" w:sz="12" w:space="0"/>
            </w:tcBorders>
            <w:vAlign w:val="center"/>
          </w:tcPr>
          <w:p>
            <w:pPr>
              <w:spacing w:line="380" w:lineRule="exact"/>
              <w:jc w:val="center"/>
              <w:rPr>
                <w:rFonts w:ascii="Arial" w:hAnsi="Arial" w:cs="Arial"/>
                <w:color w:val="000000"/>
              </w:rPr>
            </w:pPr>
          </w:p>
          <w:p>
            <w:pPr>
              <w:spacing w:line="380" w:lineRule="exact"/>
              <w:jc w:val="center"/>
              <w:rPr>
                <w:rFonts w:ascii="Arial" w:hAnsi="Arial" w:cs="Arial"/>
                <w:color w:val="000000"/>
              </w:rPr>
            </w:pPr>
          </w:p>
        </w:tc>
        <w:tc>
          <w:tcPr>
            <w:tcW w:w="2100" w:type="dxa"/>
            <w:tcBorders>
              <w:top w:val="single" w:color="auto" w:sz="12" w:space="0"/>
            </w:tcBorders>
            <w:vAlign w:val="center"/>
          </w:tcPr>
          <w:p>
            <w:pPr>
              <w:spacing w:line="380" w:lineRule="exact"/>
              <w:jc w:val="center"/>
              <w:rPr>
                <w:rFonts w:ascii="Arial" w:hAnsi="Arial" w:cs="Arial"/>
                <w:color w:val="000000"/>
              </w:rPr>
            </w:pPr>
          </w:p>
        </w:tc>
        <w:tc>
          <w:tcPr>
            <w:tcW w:w="1995" w:type="dxa"/>
            <w:tcBorders>
              <w:top w:val="single" w:color="auto" w:sz="12" w:space="0"/>
            </w:tcBorders>
            <w:vAlign w:val="center"/>
          </w:tcPr>
          <w:p>
            <w:pPr>
              <w:spacing w:line="380" w:lineRule="exact"/>
              <w:jc w:val="center"/>
              <w:rPr>
                <w:rFonts w:ascii="Arial" w:hAnsi="Arial" w:cs="Arial"/>
                <w:color w:val="000000"/>
              </w:rPr>
            </w:pPr>
          </w:p>
        </w:tc>
        <w:tc>
          <w:tcPr>
            <w:tcW w:w="1869" w:type="dxa"/>
            <w:tcBorders>
              <w:top w:val="single" w:color="auto" w:sz="12" w:space="0"/>
            </w:tcBorders>
            <w:vAlign w:val="center"/>
          </w:tcPr>
          <w:p>
            <w:pPr>
              <w:spacing w:line="380" w:lineRule="exact"/>
              <w:jc w:val="center"/>
              <w:rPr>
                <w:rFonts w:ascii="Arial" w:hAnsi="Arial" w:cs="Arial"/>
                <w:color w:val="000000"/>
              </w:rPr>
            </w:pPr>
          </w:p>
        </w:tc>
        <w:tc>
          <w:tcPr>
            <w:tcW w:w="1596" w:type="dxa"/>
            <w:tcBorders>
              <w:top w:val="single" w:color="auto" w:sz="12" w:space="0"/>
            </w:tcBorders>
            <w:vAlign w:val="center"/>
          </w:tcPr>
          <w:p>
            <w:pPr>
              <w:spacing w:line="380" w:lineRule="exact"/>
              <w:jc w:val="center"/>
              <w:rPr>
                <w:rFonts w:ascii="Arial" w:hAnsi="Arial" w:cs="Arial"/>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7" w:type="dxa"/>
            <w:vMerge w:val="continue"/>
            <w:tcBorders>
              <w:top w:val="single" w:color="auto" w:sz="4" w:space="0"/>
              <w:bottom w:val="single" w:color="auto" w:sz="12" w:space="0"/>
              <w:right w:val="single" w:color="auto" w:sz="12" w:space="0"/>
            </w:tcBorders>
          </w:tcPr>
          <w:p>
            <w:pPr>
              <w:spacing w:line="380" w:lineRule="exact"/>
              <w:jc w:val="center"/>
              <w:rPr>
                <w:rFonts w:ascii="Arial" w:hAnsi="Arial" w:cs="Arial"/>
                <w:color w:val="000000"/>
              </w:rPr>
            </w:pPr>
          </w:p>
        </w:tc>
        <w:tc>
          <w:tcPr>
            <w:tcW w:w="1365" w:type="dxa"/>
            <w:tcBorders>
              <w:left w:val="single" w:color="auto" w:sz="12" w:space="0"/>
            </w:tcBorders>
            <w:vAlign w:val="center"/>
          </w:tcPr>
          <w:p>
            <w:pPr>
              <w:spacing w:line="380" w:lineRule="exact"/>
              <w:jc w:val="center"/>
              <w:rPr>
                <w:rFonts w:ascii="Arial" w:hAnsi="Arial" w:cs="Arial"/>
                <w:color w:val="000000"/>
              </w:rPr>
            </w:pPr>
          </w:p>
        </w:tc>
        <w:tc>
          <w:tcPr>
            <w:tcW w:w="2100" w:type="dxa"/>
            <w:vAlign w:val="center"/>
          </w:tcPr>
          <w:p>
            <w:pPr>
              <w:spacing w:line="380" w:lineRule="exact"/>
              <w:jc w:val="center"/>
              <w:rPr>
                <w:rFonts w:ascii="Arial" w:hAnsi="Arial" w:cs="Arial"/>
                <w:color w:val="000000"/>
              </w:rPr>
            </w:pPr>
          </w:p>
        </w:tc>
        <w:tc>
          <w:tcPr>
            <w:tcW w:w="1995" w:type="dxa"/>
            <w:vAlign w:val="center"/>
          </w:tcPr>
          <w:p>
            <w:pPr>
              <w:spacing w:line="380" w:lineRule="exact"/>
              <w:jc w:val="center"/>
              <w:rPr>
                <w:rFonts w:ascii="Arial" w:hAnsi="Arial" w:cs="Arial"/>
                <w:color w:val="000000"/>
              </w:rPr>
            </w:pPr>
          </w:p>
        </w:tc>
        <w:tc>
          <w:tcPr>
            <w:tcW w:w="1869" w:type="dxa"/>
            <w:vAlign w:val="center"/>
          </w:tcPr>
          <w:p>
            <w:pPr>
              <w:spacing w:line="380" w:lineRule="exact"/>
              <w:jc w:val="center"/>
              <w:rPr>
                <w:rFonts w:ascii="Arial" w:hAnsi="Arial" w:cs="Arial"/>
                <w:color w:val="000000"/>
              </w:rPr>
            </w:pPr>
          </w:p>
        </w:tc>
        <w:tc>
          <w:tcPr>
            <w:tcW w:w="1596" w:type="dxa"/>
            <w:vAlign w:val="center"/>
          </w:tcPr>
          <w:p>
            <w:pPr>
              <w:spacing w:line="380" w:lineRule="exact"/>
              <w:jc w:val="center"/>
              <w:rPr>
                <w:rFonts w:ascii="Arial" w:hAnsi="Arial" w:cs="Arial"/>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7" w:type="dxa"/>
            <w:vMerge w:val="continue"/>
            <w:tcBorders>
              <w:top w:val="single" w:color="auto" w:sz="4" w:space="0"/>
              <w:bottom w:val="single" w:color="auto" w:sz="12" w:space="0"/>
              <w:right w:val="single" w:color="auto" w:sz="12" w:space="0"/>
            </w:tcBorders>
          </w:tcPr>
          <w:p>
            <w:pPr>
              <w:spacing w:line="380" w:lineRule="exact"/>
              <w:jc w:val="center"/>
              <w:rPr>
                <w:rFonts w:ascii="Arial" w:hAnsi="Arial" w:cs="Arial"/>
                <w:color w:val="000000"/>
              </w:rPr>
            </w:pPr>
          </w:p>
        </w:tc>
        <w:tc>
          <w:tcPr>
            <w:tcW w:w="1365" w:type="dxa"/>
            <w:tcBorders>
              <w:left w:val="single" w:color="auto" w:sz="12" w:space="0"/>
            </w:tcBorders>
            <w:vAlign w:val="center"/>
          </w:tcPr>
          <w:p>
            <w:pPr>
              <w:spacing w:line="380" w:lineRule="exact"/>
              <w:jc w:val="center"/>
              <w:rPr>
                <w:rFonts w:ascii="Arial" w:hAnsi="Arial" w:cs="Arial"/>
                <w:color w:val="000000"/>
              </w:rPr>
            </w:pPr>
          </w:p>
        </w:tc>
        <w:tc>
          <w:tcPr>
            <w:tcW w:w="2100" w:type="dxa"/>
            <w:vAlign w:val="center"/>
          </w:tcPr>
          <w:p>
            <w:pPr>
              <w:spacing w:line="380" w:lineRule="exact"/>
              <w:jc w:val="center"/>
              <w:rPr>
                <w:rFonts w:ascii="Arial" w:hAnsi="Arial" w:cs="Arial"/>
                <w:color w:val="000000"/>
              </w:rPr>
            </w:pPr>
          </w:p>
        </w:tc>
        <w:tc>
          <w:tcPr>
            <w:tcW w:w="1995" w:type="dxa"/>
            <w:vAlign w:val="center"/>
          </w:tcPr>
          <w:p>
            <w:pPr>
              <w:spacing w:line="380" w:lineRule="exact"/>
              <w:jc w:val="center"/>
              <w:rPr>
                <w:rFonts w:ascii="Arial" w:hAnsi="Arial" w:cs="Arial"/>
                <w:color w:val="000000"/>
              </w:rPr>
            </w:pPr>
          </w:p>
        </w:tc>
        <w:tc>
          <w:tcPr>
            <w:tcW w:w="1869" w:type="dxa"/>
            <w:vAlign w:val="center"/>
          </w:tcPr>
          <w:p>
            <w:pPr>
              <w:spacing w:line="380" w:lineRule="exact"/>
              <w:jc w:val="center"/>
              <w:rPr>
                <w:rFonts w:ascii="Arial" w:hAnsi="Arial" w:cs="Arial"/>
                <w:color w:val="000000"/>
              </w:rPr>
            </w:pPr>
          </w:p>
        </w:tc>
        <w:tc>
          <w:tcPr>
            <w:tcW w:w="1596" w:type="dxa"/>
            <w:vAlign w:val="center"/>
          </w:tcPr>
          <w:p>
            <w:pPr>
              <w:spacing w:line="380" w:lineRule="exact"/>
              <w:jc w:val="center"/>
              <w:rPr>
                <w:rFonts w:ascii="Arial" w:hAnsi="Arial" w:cs="Arial"/>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7" w:type="dxa"/>
            <w:vMerge w:val="continue"/>
            <w:tcBorders>
              <w:top w:val="single" w:color="auto" w:sz="4" w:space="0"/>
              <w:bottom w:val="single" w:color="auto" w:sz="12" w:space="0"/>
              <w:right w:val="single" w:color="auto" w:sz="12" w:space="0"/>
            </w:tcBorders>
          </w:tcPr>
          <w:p>
            <w:pPr>
              <w:spacing w:line="380" w:lineRule="exact"/>
              <w:jc w:val="center"/>
              <w:rPr>
                <w:rFonts w:ascii="Arial" w:hAnsi="Arial" w:cs="Arial"/>
                <w:color w:val="000000"/>
              </w:rPr>
            </w:pPr>
          </w:p>
        </w:tc>
        <w:tc>
          <w:tcPr>
            <w:tcW w:w="1365" w:type="dxa"/>
            <w:tcBorders>
              <w:left w:val="single" w:color="auto" w:sz="12" w:space="0"/>
            </w:tcBorders>
            <w:vAlign w:val="center"/>
          </w:tcPr>
          <w:p>
            <w:pPr>
              <w:spacing w:line="380" w:lineRule="exact"/>
              <w:jc w:val="center"/>
              <w:rPr>
                <w:rFonts w:ascii="Arial" w:hAnsi="Arial" w:cs="Arial"/>
                <w:color w:val="000000"/>
              </w:rPr>
            </w:pPr>
          </w:p>
        </w:tc>
        <w:tc>
          <w:tcPr>
            <w:tcW w:w="2100" w:type="dxa"/>
            <w:vAlign w:val="center"/>
          </w:tcPr>
          <w:p>
            <w:pPr>
              <w:spacing w:line="380" w:lineRule="exact"/>
              <w:jc w:val="center"/>
              <w:rPr>
                <w:rFonts w:ascii="Arial" w:hAnsi="Arial" w:cs="Arial"/>
                <w:color w:val="000000"/>
              </w:rPr>
            </w:pPr>
          </w:p>
        </w:tc>
        <w:tc>
          <w:tcPr>
            <w:tcW w:w="1995" w:type="dxa"/>
            <w:vAlign w:val="center"/>
          </w:tcPr>
          <w:p>
            <w:pPr>
              <w:spacing w:line="380" w:lineRule="exact"/>
              <w:jc w:val="center"/>
              <w:rPr>
                <w:rFonts w:ascii="Arial" w:hAnsi="Arial" w:cs="Arial"/>
                <w:color w:val="000000"/>
              </w:rPr>
            </w:pPr>
          </w:p>
        </w:tc>
        <w:tc>
          <w:tcPr>
            <w:tcW w:w="1869" w:type="dxa"/>
            <w:vAlign w:val="center"/>
          </w:tcPr>
          <w:p>
            <w:pPr>
              <w:spacing w:line="380" w:lineRule="exact"/>
              <w:jc w:val="center"/>
              <w:rPr>
                <w:rFonts w:ascii="Arial" w:hAnsi="Arial" w:cs="Arial"/>
                <w:color w:val="000000"/>
              </w:rPr>
            </w:pPr>
          </w:p>
        </w:tc>
        <w:tc>
          <w:tcPr>
            <w:tcW w:w="1596" w:type="dxa"/>
            <w:vAlign w:val="center"/>
          </w:tcPr>
          <w:p>
            <w:pPr>
              <w:spacing w:line="380" w:lineRule="exact"/>
              <w:jc w:val="center"/>
              <w:rPr>
                <w:rFonts w:ascii="Arial" w:hAnsi="Arial" w:cs="Arial"/>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7" w:type="dxa"/>
            <w:vMerge w:val="continue"/>
            <w:tcBorders>
              <w:top w:val="single" w:color="auto" w:sz="4" w:space="0"/>
              <w:bottom w:val="single" w:color="auto" w:sz="12" w:space="0"/>
              <w:right w:val="single" w:color="auto" w:sz="12" w:space="0"/>
            </w:tcBorders>
          </w:tcPr>
          <w:p>
            <w:pPr>
              <w:spacing w:line="380" w:lineRule="exact"/>
              <w:jc w:val="center"/>
              <w:rPr>
                <w:rFonts w:ascii="Arial" w:hAnsi="Arial" w:cs="Arial"/>
                <w:color w:val="000000"/>
              </w:rPr>
            </w:pPr>
          </w:p>
        </w:tc>
        <w:tc>
          <w:tcPr>
            <w:tcW w:w="1365" w:type="dxa"/>
            <w:tcBorders>
              <w:left w:val="single" w:color="auto" w:sz="12" w:space="0"/>
            </w:tcBorders>
            <w:vAlign w:val="center"/>
          </w:tcPr>
          <w:p>
            <w:pPr>
              <w:spacing w:line="380" w:lineRule="exact"/>
              <w:jc w:val="center"/>
              <w:rPr>
                <w:rFonts w:ascii="Arial" w:hAnsi="Arial" w:cs="Arial"/>
                <w:color w:val="000000"/>
              </w:rPr>
            </w:pPr>
          </w:p>
        </w:tc>
        <w:tc>
          <w:tcPr>
            <w:tcW w:w="2100" w:type="dxa"/>
            <w:vAlign w:val="center"/>
          </w:tcPr>
          <w:p>
            <w:pPr>
              <w:spacing w:line="380" w:lineRule="exact"/>
              <w:jc w:val="center"/>
              <w:rPr>
                <w:rFonts w:ascii="Arial" w:hAnsi="Arial" w:cs="Arial"/>
                <w:color w:val="000000"/>
              </w:rPr>
            </w:pPr>
          </w:p>
        </w:tc>
        <w:tc>
          <w:tcPr>
            <w:tcW w:w="1995" w:type="dxa"/>
            <w:vAlign w:val="center"/>
          </w:tcPr>
          <w:p>
            <w:pPr>
              <w:spacing w:line="380" w:lineRule="exact"/>
              <w:jc w:val="center"/>
              <w:rPr>
                <w:rFonts w:ascii="Arial" w:hAnsi="Arial" w:cs="Arial"/>
                <w:color w:val="000000"/>
              </w:rPr>
            </w:pPr>
          </w:p>
        </w:tc>
        <w:tc>
          <w:tcPr>
            <w:tcW w:w="1869" w:type="dxa"/>
            <w:vAlign w:val="center"/>
          </w:tcPr>
          <w:p>
            <w:pPr>
              <w:spacing w:line="380" w:lineRule="exact"/>
              <w:jc w:val="center"/>
              <w:rPr>
                <w:rFonts w:ascii="Arial" w:hAnsi="Arial" w:cs="Arial"/>
                <w:color w:val="000000"/>
              </w:rPr>
            </w:pPr>
          </w:p>
        </w:tc>
        <w:tc>
          <w:tcPr>
            <w:tcW w:w="1596" w:type="dxa"/>
            <w:vAlign w:val="center"/>
          </w:tcPr>
          <w:p>
            <w:pPr>
              <w:spacing w:line="380" w:lineRule="exact"/>
              <w:jc w:val="center"/>
              <w:rPr>
                <w:rFonts w:ascii="Arial" w:hAnsi="Arial" w:cs="Arial"/>
                <w:color w:val="000000"/>
              </w:rPr>
            </w:pPr>
          </w:p>
        </w:tc>
      </w:tr>
    </w:tbl>
    <w:p>
      <w:pPr>
        <w:spacing w:line="400" w:lineRule="exact"/>
      </w:pPr>
      <w:r>
        <w:rPr>
          <w:rFonts w:ascii="Arial" w:cs="Arial"/>
          <w:b/>
        </w:rPr>
        <w:t>注：没有填写此表视为完全响应</w:t>
      </w:r>
      <w:r>
        <w:rPr>
          <w:rFonts w:hint="eastAsia" w:ascii="Arial" w:cs="Arial"/>
          <w:b/>
        </w:rPr>
        <w:t>磋商文件</w:t>
      </w:r>
      <w:r>
        <w:rPr>
          <w:rFonts w:ascii="Arial" w:cs="Arial"/>
          <w:b/>
        </w:rPr>
        <w:t>要求。</w:t>
      </w:r>
    </w:p>
    <w:p>
      <w:pPr>
        <w:pStyle w:val="14"/>
        <w:adjustRightInd w:val="0"/>
        <w:snapToGrid w:val="0"/>
        <w:spacing w:line="400" w:lineRule="exact"/>
        <w:rPr>
          <w:rFonts w:hAnsi="宋体"/>
          <w:color w:val="000000"/>
          <w:sz w:val="36"/>
          <w:szCs w:val="36"/>
        </w:rPr>
      </w:pPr>
    </w:p>
    <w:p>
      <w:pPr>
        <w:pStyle w:val="14"/>
        <w:adjustRightInd w:val="0"/>
        <w:snapToGrid w:val="0"/>
        <w:spacing w:line="400" w:lineRule="exact"/>
        <w:rPr>
          <w:rFonts w:hAnsi="宋体"/>
          <w:color w:val="000000"/>
          <w:sz w:val="36"/>
          <w:szCs w:val="36"/>
        </w:rPr>
      </w:pPr>
    </w:p>
    <w:p>
      <w:pPr>
        <w:pStyle w:val="14"/>
        <w:adjustRightInd w:val="0"/>
        <w:snapToGrid w:val="0"/>
        <w:spacing w:line="400" w:lineRule="exact"/>
        <w:rPr>
          <w:rFonts w:hAnsi="宋体"/>
          <w:color w:val="000000"/>
          <w:sz w:val="36"/>
          <w:szCs w:val="36"/>
        </w:rPr>
      </w:pPr>
    </w:p>
    <w:p>
      <w:pPr>
        <w:pStyle w:val="14"/>
        <w:adjustRightInd w:val="0"/>
        <w:snapToGrid w:val="0"/>
        <w:spacing w:line="400" w:lineRule="exact"/>
        <w:rPr>
          <w:rFonts w:hAnsi="宋体"/>
          <w:color w:val="000000"/>
          <w:sz w:val="36"/>
          <w:szCs w:val="36"/>
        </w:rPr>
      </w:pPr>
    </w:p>
    <w:p>
      <w:pPr>
        <w:spacing w:line="380" w:lineRule="exact"/>
        <w:rPr>
          <w:rFonts w:ascii="Arial" w:hAnsi="Arial" w:cs="Arial"/>
          <w:color w:val="000000"/>
        </w:rPr>
      </w:pPr>
      <w:r>
        <w:rPr>
          <w:rFonts w:hint="eastAsia" w:ascii="Arial" w:cs="Arial"/>
          <w:color w:val="000000"/>
        </w:rPr>
        <w:t>供应商</w:t>
      </w:r>
      <w:r>
        <w:rPr>
          <w:rFonts w:ascii="Arial" w:cs="Arial"/>
          <w:color w:val="000000"/>
        </w:rPr>
        <w:t>全称（</w:t>
      </w:r>
      <w:r>
        <w:rPr>
          <w:rFonts w:hint="eastAsia" w:ascii="Arial" w:cs="Arial"/>
          <w:color w:val="000000"/>
        </w:rPr>
        <w:t>盖公</w:t>
      </w:r>
      <w:r>
        <w:rPr>
          <w:rFonts w:ascii="Arial" w:cs="Arial"/>
          <w:color w:val="000000"/>
        </w:rPr>
        <w:t>章）：</w:t>
      </w:r>
    </w:p>
    <w:p>
      <w:pPr>
        <w:spacing w:line="380" w:lineRule="exact"/>
        <w:rPr>
          <w:rFonts w:ascii="Arial" w:hAnsi="Arial" w:cs="Arial"/>
          <w:color w:val="000000"/>
        </w:rPr>
      </w:pPr>
      <w:r>
        <w:rPr>
          <w:rFonts w:hint="eastAsia" w:ascii="Arial" w:cs="Arial"/>
          <w:color w:val="000000"/>
        </w:rPr>
        <w:t>法定代表人或</w:t>
      </w:r>
      <w:r>
        <w:rPr>
          <w:rFonts w:ascii="Arial" w:cs="Arial"/>
          <w:color w:val="000000"/>
        </w:rPr>
        <w:t>授权代表（签字</w:t>
      </w:r>
      <w:r>
        <w:rPr>
          <w:rFonts w:hint="eastAsia" w:ascii="Arial" w:cs="Arial"/>
          <w:color w:val="000000"/>
        </w:rPr>
        <w:t>或盖章</w:t>
      </w:r>
      <w:r>
        <w:rPr>
          <w:rFonts w:ascii="Arial" w:cs="Arial"/>
          <w:color w:val="000000"/>
        </w:rPr>
        <w:t>）：</w:t>
      </w:r>
    </w:p>
    <w:p>
      <w:pPr>
        <w:spacing w:line="380" w:lineRule="exact"/>
        <w:rPr>
          <w:rFonts w:ascii="Arial" w:cs="Arial"/>
          <w:color w:val="000000"/>
        </w:rPr>
      </w:pPr>
      <w:r>
        <w:rPr>
          <w:rFonts w:ascii="Arial" w:cs="Arial"/>
          <w:color w:val="000000"/>
        </w:rPr>
        <w:t>日期：</w:t>
      </w:r>
    </w:p>
    <w:p>
      <w:pPr>
        <w:pStyle w:val="14"/>
        <w:adjustRightInd w:val="0"/>
        <w:snapToGrid w:val="0"/>
        <w:spacing w:line="400" w:lineRule="exact"/>
        <w:rPr>
          <w:rFonts w:hAnsi="宋体"/>
          <w:b/>
          <w:bCs/>
          <w:color w:val="000000"/>
          <w:sz w:val="24"/>
          <w:szCs w:val="24"/>
        </w:rPr>
      </w:pPr>
    </w:p>
    <w:p>
      <w:pPr>
        <w:outlineLvl w:val="1"/>
        <w:rPr>
          <w:b/>
          <w:color w:val="000000"/>
          <w:sz w:val="30"/>
          <w:szCs w:val="30"/>
        </w:rPr>
      </w:pPr>
      <w:r>
        <w:rPr>
          <w:rFonts w:hint="eastAsia"/>
          <w:b/>
          <w:color w:val="000000"/>
          <w:sz w:val="30"/>
          <w:szCs w:val="30"/>
        </w:rPr>
        <w:br w:type="page"/>
      </w:r>
      <w:r>
        <w:rPr>
          <w:rFonts w:hint="eastAsia"/>
          <w:b/>
          <w:color w:val="000000"/>
          <w:sz w:val="30"/>
          <w:szCs w:val="30"/>
        </w:rPr>
        <w:t xml:space="preserve">附件五             </w:t>
      </w:r>
    </w:p>
    <w:p>
      <w:pPr>
        <w:jc w:val="center"/>
        <w:outlineLvl w:val="2"/>
        <w:rPr>
          <w:b/>
          <w:color w:val="000000"/>
          <w:sz w:val="30"/>
          <w:szCs w:val="30"/>
        </w:rPr>
      </w:pPr>
      <w:r>
        <w:rPr>
          <w:rFonts w:hint="eastAsia"/>
          <w:b/>
          <w:color w:val="000000"/>
          <w:sz w:val="30"/>
          <w:szCs w:val="30"/>
        </w:rPr>
        <w:t>（一）拟派项目负责人情况表</w:t>
      </w:r>
    </w:p>
    <w:tbl>
      <w:tblPr>
        <w:tblStyle w:val="29"/>
        <w:tblpPr w:leftFromText="180" w:rightFromText="180" w:vertAnchor="text" w:horzAnchor="margin" w:tblpY="108"/>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297"/>
        <w:gridCol w:w="2034"/>
        <w:gridCol w:w="49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98" w:hRule="atLeast"/>
        </w:trPr>
        <w:tc>
          <w:tcPr>
            <w:tcW w:w="2297" w:type="dxa"/>
            <w:vAlign w:val="center"/>
          </w:tcPr>
          <w:p>
            <w:pPr>
              <w:autoSpaceDE w:val="0"/>
              <w:autoSpaceDN w:val="0"/>
              <w:adjustRightInd w:val="0"/>
              <w:jc w:val="center"/>
              <w:rPr>
                <w:color w:val="000000"/>
              </w:rPr>
            </w:pPr>
            <w:r>
              <w:rPr>
                <w:color w:val="000000"/>
              </w:rPr>
              <w:t>姓名</w:t>
            </w:r>
          </w:p>
        </w:tc>
        <w:tc>
          <w:tcPr>
            <w:tcW w:w="2034" w:type="dxa"/>
            <w:vAlign w:val="center"/>
          </w:tcPr>
          <w:p>
            <w:pPr>
              <w:autoSpaceDE w:val="0"/>
              <w:autoSpaceDN w:val="0"/>
              <w:adjustRightInd w:val="0"/>
              <w:jc w:val="center"/>
              <w:rPr>
                <w:color w:val="000000"/>
              </w:rPr>
            </w:pPr>
          </w:p>
        </w:tc>
        <w:tc>
          <w:tcPr>
            <w:tcW w:w="4978" w:type="dxa"/>
            <w:vAlign w:val="center"/>
          </w:tcPr>
          <w:p>
            <w:pPr>
              <w:autoSpaceDE w:val="0"/>
              <w:autoSpaceDN w:val="0"/>
              <w:adjustRightInd w:val="0"/>
              <w:jc w:val="center"/>
              <w:rPr>
                <w:color w:val="000000"/>
              </w:rPr>
            </w:pPr>
            <w:r>
              <w:rPr>
                <w:color w:val="000000"/>
              </w:rPr>
              <w:t>业绩及承担的主要工作情况</w:t>
            </w:r>
          </w:p>
          <w:p>
            <w:pPr>
              <w:autoSpaceDE w:val="0"/>
              <w:autoSpaceDN w:val="0"/>
              <w:adjustRightInd w:val="0"/>
              <w:jc w:val="center"/>
              <w:rPr>
                <w:rFonts w:cs="Arial"/>
                <w:b/>
                <w:color w:val="000000"/>
              </w:rPr>
            </w:pPr>
            <w:r>
              <w:rPr>
                <w:rFonts w:hint="eastAsia"/>
                <w:color w:val="000000"/>
              </w:rPr>
              <w:t>（</w:t>
            </w:r>
            <w:r>
              <w:rPr>
                <w:color w:val="000000"/>
              </w:rPr>
              <w:t>曾担任项目负责人的项目应列明细</w:t>
            </w:r>
            <w:r>
              <w:rPr>
                <w:rFonts w:hint="eastAsia"/>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trPr>
        <w:tc>
          <w:tcPr>
            <w:tcW w:w="2297" w:type="dxa"/>
            <w:vAlign w:val="center"/>
          </w:tcPr>
          <w:p>
            <w:pPr>
              <w:autoSpaceDE w:val="0"/>
              <w:autoSpaceDN w:val="0"/>
              <w:adjustRightInd w:val="0"/>
              <w:jc w:val="center"/>
              <w:rPr>
                <w:color w:val="000000"/>
              </w:rPr>
            </w:pPr>
            <w:r>
              <w:rPr>
                <w:color w:val="000000"/>
              </w:rPr>
              <w:t>性别</w:t>
            </w:r>
          </w:p>
        </w:tc>
        <w:tc>
          <w:tcPr>
            <w:tcW w:w="2034" w:type="dxa"/>
            <w:vAlign w:val="center"/>
          </w:tcPr>
          <w:p>
            <w:pPr>
              <w:autoSpaceDE w:val="0"/>
              <w:autoSpaceDN w:val="0"/>
              <w:adjustRightInd w:val="0"/>
              <w:jc w:val="center"/>
              <w:rPr>
                <w:color w:val="000000"/>
              </w:rPr>
            </w:pPr>
          </w:p>
        </w:tc>
        <w:tc>
          <w:tcPr>
            <w:tcW w:w="4978" w:type="dxa"/>
            <w:vMerge w:val="restart"/>
            <w:vAlign w:val="center"/>
          </w:tcPr>
          <w:p>
            <w:pPr>
              <w:adjustRightInd w:val="0"/>
              <w:jc w:val="center"/>
              <w:rPr>
                <w:rFonts w:cs="Arial"/>
                <w:b/>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trPr>
        <w:tc>
          <w:tcPr>
            <w:tcW w:w="2297" w:type="dxa"/>
            <w:vAlign w:val="center"/>
          </w:tcPr>
          <w:p>
            <w:pPr>
              <w:autoSpaceDE w:val="0"/>
              <w:autoSpaceDN w:val="0"/>
              <w:adjustRightInd w:val="0"/>
              <w:jc w:val="center"/>
              <w:rPr>
                <w:color w:val="000000"/>
              </w:rPr>
            </w:pPr>
            <w:r>
              <w:rPr>
                <w:color w:val="000000"/>
              </w:rPr>
              <w:t>年龄</w:t>
            </w:r>
          </w:p>
        </w:tc>
        <w:tc>
          <w:tcPr>
            <w:tcW w:w="2034" w:type="dxa"/>
            <w:vAlign w:val="center"/>
          </w:tcPr>
          <w:p>
            <w:pPr>
              <w:autoSpaceDE w:val="0"/>
              <w:autoSpaceDN w:val="0"/>
              <w:adjustRightInd w:val="0"/>
              <w:jc w:val="center"/>
              <w:rPr>
                <w:color w:val="000000"/>
              </w:rPr>
            </w:pPr>
          </w:p>
        </w:tc>
        <w:tc>
          <w:tcPr>
            <w:tcW w:w="4978" w:type="dxa"/>
            <w:vMerge w:val="continue"/>
            <w:vAlign w:val="center"/>
          </w:tcPr>
          <w:p>
            <w:pPr>
              <w:adjustRightInd w:val="0"/>
              <w:jc w:val="center"/>
              <w:rPr>
                <w:rFonts w:cs="Arial"/>
                <w:b/>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trPr>
        <w:tc>
          <w:tcPr>
            <w:tcW w:w="2297" w:type="dxa"/>
            <w:vAlign w:val="center"/>
          </w:tcPr>
          <w:p>
            <w:pPr>
              <w:autoSpaceDE w:val="0"/>
              <w:autoSpaceDN w:val="0"/>
              <w:adjustRightInd w:val="0"/>
              <w:jc w:val="center"/>
              <w:rPr>
                <w:color w:val="000000"/>
              </w:rPr>
            </w:pPr>
            <w:r>
              <w:rPr>
                <w:color w:val="000000"/>
              </w:rPr>
              <w:t>职称</w:t>
            </w:r>
          </w:p>
        </w:tc>
        <w:tc>
          <w:tcPr>
            <w:tcW w:w="2034" w:type="dxa"/>
            <w:vAlign w:val="center"/>
          </w:tcPr>
          <w:p>
            <w:pPr>
              <w:autoSpaceDE w:val="0"/>
              <w:autoSpaceDN w:val="0"/>
              <w:adjustRightInd w:val="0"/>
              <w:jc w:val="center"/>
              <w:rPr>
                <w:color w:val="000000"/>
              </w:rPr>
            </w:pPr>
          </w:p>
        </w:tc>
        <w:tc>
          <w:tcPr>
            <w:tcW w:w="4978" w:type="dxa"/>
            <w:vMerge w:val="continue"/>
            <w:vAlign w:val="center"/>
          </w:tcPr>
          <w:p>
            <w:pPr>
              <w:adjustRightInd w:val="0"/>
              <w:jc w:val="center"/>
              <w:rPr>
                <w:rFonts w:cs="Arial"/>
                <w:b/>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trPr>
        <w:tc>
          <w:tcPr>
            <w:tcW w:w="2297" w:type="dxa"/>
            <w:vAlign w:val="center"/>
          </w:tcPr>
          <w:p>
            <w:pPr>
              <w:autoSpaceDE w:val="0"/>
              <w:autoSpaceDN w:val="0"/>
              <w:adjustRightInd w:val="0"/>
              <w:jc w:val="center"/>
              <w:rPr>
                <w:color w:val="000000"/>
              </w:rPr>
            </w:pPr>
            <w:r>
              <w:rPr>
                <w:color w:val="000000"/>
              </w:rPr>
              <w:t>毕业时间</w:t>
            </w:r>
          </w:p>
        </w:tc>
        <w:tc>
          <w:tcPr>
            <w:tcW w:w="2034" w:type="dxa"/>
            <w:vAlign w:val="center"/>
          </w:tcPr>
          <w:p>
            <w:pPr>
              <w:autoSpaceDE w:val="0"/>
              <w:autoSpaceDN w:val="0"/>
              <w:adjustRightInd w:val="0"/>
              <w:jc w:val="center"/>
              <w:rPr>
                <w:color w:val="000000"/>
              </w:rPr>
            </w:pPr>
          </w:p>
        </w:tc>
        <w:tc>
          <w:tcPr>
            <w:tcW w:w="4978" w:type="dxa"/>
            <w:vMerge w:val="continue"/>
            <w:vAlign w:val="center"/>
          </w:tcPr>
          <w:p>
            <w:pPr>
              <w:adjustRightInd w:val="0"/>
              <w:jc w:val="center"/>
              <w:rPr>
                <w:rFonts w:cs="Arial"/>
                <w:b/>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trPr>
        <w:tc>
          <w:tcPr>
            <w:tcW w:w="2297" w:type="dxa"/>
            <w:vAlign w:val="center"/>
          </w:tcPr>
          <w:p>
            <w:pPr>
              <w:autoSpaceDE w:val="0"/>
              <w:autoSpaceDN w:val="0"/>
              <w:adjustRightInd w:val="0"/>
              <w:jc w:val="center"/>
              <w:rPr>
                <w:color w:val="000000"/>
              </w:rPr>
            </w:pPr>
            <w:r>
              <w:rPr>
                <w:color w:val="000000"/>
              </w:rPr>
              <w:t>所学专业</w:t>
            </w:r>
          </w:p>
        </w:tc>
        <w:tc>
          <w:tcPr>
            <w:tcW w:w="2034" w:type="dxa"/>
            <w:vAlign w:val="center"/>
          </w:tcPr>
          <w:p>
            <w:pPr>
              <w:autoSpaceDE w:val="0"/>
              <w:autoSpaceDN w:val="0"/>
              <w:adjustRightInd w:val="0"/>
              <w:jc w:val="center"/>
              <w:rPr>
                <w:color w:val="000000"/>
              </w:rPr>
            </w:pPr>
          </w:p>
        </w:tc>
        <w:tc>
          <w:tcPr>
            <w:tcW w:w="4978" w:type="dxa"/>
            <w:vMerge w:val="continue"/>
            <w:vAlign w:val="center"/>
          </w:tcPr>
          <w:p>
            <w:pPr>
              <w:adjustRightInd w:val="0"/>
              <w:jc w:val="center"/>
              <w:rPr>
                <w:rFonts w:cs="Arial"/>
                <w:b/>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trPr>
        <w:tc>
          <w:tcPr>
            <w:tcW w:w="2297" w:type="dxa"/>
            <w:vAlign w:val="center"/>
          </w:tcPr>
          <w:p>
            <w:pPr>
              <w:autoSpaceDE w:val="0"/>
              <w:autoSpaceDN w:val="0"/>
              <w:adjustRightInd w:val="0"/>
              <w:jc w:val="center"/>
              <w:rPr>
                <w:color w:val="000000"/>
              </w:rPr>
            </w:pPr>
            <w:r>
              <w:rPr>
                <w:color w:val="000000"/>
              </w:rPr>
              <w:t>学历</w:t>
            </w:r>
          </w:p>
        </w:tc>
        <w:tc>
          <w:tcPr>
            <w:tcW w:w="2034" w:type="dxa"/>
            <w:vAlign w:val="center"/>
          </w:tcPr>
          <w:p>
            <w:pPr>
              <w:autoSpaceDE w:val="0"/>
              <w:autoSpaceDN w:val="0"/>
              <w:adjustRightInd w:val="0"/>
              <w:jc w:val="center"/>
              <w:rPr>
                <w:color w:val="000000"/>
              </w:rPr>
            </w:pPr>
          </w:p>
        </w:tc>
        <w:tc>
          <w:tcPr>
            <w:tcW w:w="4978" w:type="dxa"/>
            <w:vMerge w:val="continue"/>
            <w:vAlign w:val="center"/>
          </w:tcPr>
          <w:p>
            <w:pPr>
              <w:adjustRightInd w:val="0"/>
              <w:jc w:val="center"/>
              <w:rPr>
                <w:rFonts w:cs="Arial"/>
                <w:b/>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trPr>
        <w:tc>
          <w:tcPr>
            <w:tcW w:w="2297" w:type="dxa"/>
            <w:vAlign w:val="center"/>
          </w:tcPr>
          <w:p>
            <w:pPr>
              <w:autoSpaceDE w:val="0"/>
              <w:autoSpaceDN w:val="0"/>
              <w:adjustRightInd w:val="0"/>
              <w:jc w:val="center"/>
              <w:rPr>
                <w:color w:val="000000"/>
              </w:rPr>
            </w:pPr>
            <w:r>
              <w:rPr>
                <w:rFonts w:hint="eastAsia"/>
                <w:color w:val="000000"/>
              </w:rPr>
              <w:t>从业年限</w:t>
            </w:r>
          </w:p>
        </w:tc>
        <w:tc>
          <w:tcPr>
            <w:tcW w:w="2034" w:type="dxa"/>
            <w:vAlign w:val="center"/>
          </w:tcPr>
          <w:p>
            <w:pPr>
              <w:autoSpaceDE w:val="0"/>
              <w:autoSpaceDN w:val="0"/>
              <w:adjustRightInd w:val="0"/>
              <w:jc w:val="center"/>
              <w:rPr>
                <w:color w:val="000000"/>
              </w:rPr>
            </w:pPr>
          </w:p>
        </w:tc>
        <w:tc>
          <w:tcPr>
            <w:tcW w:w="4978" w:type="dxa"/>
            <w:vMerge w:val="continue"/>
            <w:vAlign w:val="center"/>
          </w:tcPr>
          <w:p>
            <w:pPr>
              <w:adjustRightInd w:val="0"/>
              <w:jc w:val="center"/>
              <w:rPr>
                <w:rFonts w:cs="Arial"/>
                <w:b/>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trPr>
        <w:tc>
          <w:tcPr>
            <w:tcW w:w="2297" w:type="dxa"/>
            <w:vAlign w:val="center"/>
          </w:tcPr>
          <w:p>
            <w:pPr>
              <w:autoSpaceDE w:val="0"/>
              <w:autoSpaceDN w:val="0"/>
              <w:adjustRightInd w:val="0"/>
              <w:jc w:val="center"/>
              <w:rPr>
                <w:color w:val="000000"/>
              </w:rPr>
            </w:pPr>
            <w:r>
              <w:rPr>
                <w:color w:val="000000"/>
              </w:rPr>
              <w:t>证书编号</w:t>
            </w:r>
          </w:p>
        </w:tc>
        <w:tc>
          <w:tcPr>
            <w:tcW w:w="2034" w:type="dxa"/>
            <w:vAlign w:val="center"/>
          </w:tcPr>
          <w:p>
            <w:pPr>
              <w:autoSpaceDE w:val="0"/>
              <w:autoSpaceDN w:val="0"/>
              <w:adjustRightInd w:val="0"/>
              <w:jc w:val="center"/>
              <w:rPr>
                <w:color w:val="000000"/>
              </w:rPr>
            </w:pPr>
          </w:p>
        </w:tc>
        <w:tc>
          <w:tcPr>
            <w:tcW w:w="4978" w:type="dxa"/>
            <w:vMerge w:val="continue"/>
            <w:vAlign w:val="center"/>
          </w:tcPr>
          <w:p>
            <w:pPr>
              <w:adjustRightInd w:val="0"/>
              <w:jc w:val="center"/>
              <w:rPr>
                <w:rFonts w:cs="Arial"/>
                <w:b/>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trPr>
        <w:tc>
          <w:tcPr>
            <w:tcW w:w="2297" w:type="dxa"/>
            <w:vAlign w:val="center"/>
          </w:tcPr>
          <w:p>
            <w:pPr>
              <w:autoSpaceDE w:val="0"/>
              <w:autoSpaceDN w:val="0"/>
              <w:adjustRightInd w:val="0"/>
              <w:jc w:val="center"/>
              <w:rPr>
                <w:color w:val="000000"/>
              </w:rPr>
            </w:pPr>
            <w:r>
              <w:rPr>
                <w:color w:val="000000"/>
              </w:rPr>
              <w:t>其他资质情况</w:t>
            </w:r>
          </w:p>
        </w:tc>
        <w:tc>
          <w:tcPr>
            <w:tcW w:w="2034" w:type="dxa"/>
            <w:vAlign w:val="center"/>
          </w:tcPr>
          <w:p>
            <w:pPr>
              <w:autoSpaceDE w:val="0"/>
              <w:autoSpaceDN w:val="0"/>
              <w:adjustRightInd w:val="0"/>
              <w:jc w:val="center"/>
              <w:rPr>
                <w:color w:val="000000"/>
              </w:rPr>
            </w:pPr>
          </w:p>
        </w:tc>
        <w:tc>
          <w:tcPr>
            <w:tcW w:w="4978" w:type="dxa"/>
            <w:vMerge w:val="continue"/>
            <w:vAlign w:val="center"/>
          </w:tcPr>
          <w:p>
            <w:pPr>
              <w:adjustRightInd w:val="0"/>
              <w:jc w:val="center"/>
              <w:rPr>
                <w:rFonts w:cs="Arial"/>
                <w:b/>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trPr>
        <w:tc>
          <w:tcPr>
            <w:tcW w:w="2297" w:type="dxa"/>
            <w:vAlign w:val="center"/>
          </w:tcPr>
          <w:p>
            <w:pPr>
              <w:autoSpaceDE w:val="0"/>
              <w:autoSpaceDN w:val="0"/>
              <w:adjustRightInd w:val="0"/>
              <w:jc w:val="center"/>
              <w:rPr>
                <w:color w:val="000000"/>
              </w:rPr>
            </w:pPr>
            <w:r>
              <w:rPr>
                <w:color w:val="000000"/>
              </w:rPr>
              <w:t>联系电话</w:t>
            </w:r>
          </w:p>
        </w:tc>
        <w:tc>
          <w:tcPr>
            <w:tcW w:w="2034" w:type="dxa"/>
            <w:vAlign w:val="center"/>
          </w:tcPr>
          <w:p>
            <w:pPr>
              <w:autoSpaceDE w:val="0"/>
              <w:autoSpaceDN w:val="0"/>
              <w:adjustRightInd w:val="0"/>
              <w:jc w:val="center"/>
              <w:rPr>
                <w:color w:val="000000"/>
              </w:rPr>
            </w:pPr>
          </w:p>
        </w:tc>
        <w:tc>
          <w:tcPr>
            <w:tcW w:w="4978" w:type="dxa"/>
            <w:vMerge w:val="continue"/>
            <w:vAlign w:val="center"/>
          </w:tcPr>
          <w:p>
            <w:pPr>
              <w:adjustRightInd w:val="0"/>
              <w:jc w:val="center"/>
              <w:rPr>
                <w:rFonts w:cs="Arial"/>
                <w:b/>
                <w:color w:val="000000"/>
              </w:rPr>
            </w:pPr>
          </w:p>
        </w:tc>
      </w:tr>
    </w:tbl>
    <w:p>
      <w:pPr>
        <w:tabs>
          <w:tab w:val="left" w:pos="4532"/>
        </w:tabs>
        <w:rPr>
          <w:color w:val="000000"/>
          <w:sz w:val="6"/>
          <w:szCs w:val="6"/>
        </w:rPr>
      </w:pPr>
    </w:p>
    <w:p>
      <w:pPr>
        <w:tabs>
          <w:tab w:val="left" w:pos="4532"/>
        </w:tabs>
        <w:rPr>
          <w:color w:val="000000"/>
        </w:rPr>
      </w:pPr>
      <w:r>
        <w:rPr>
          <w:rFonts w:hint="eastAsia"/>
          <w:color w:val="000000"/>
        </w:rPr>
        <w:t>1、一旦我单位成交，将实行项目负责人负责制，并配备上述项目机构人员。我方保证上述填报内容真实，若不真实，愿按有关规定接受处理。</w:t>
      </w:r>
    </w:p>
    <w:p>
      <w:pPr>
        <w:tabs>
          <w:tab w:val="left" w:pos="4532"/>
        </w:tabs>
        <w:rPr>
          <w:color w:val="000000"/>
        </w:rPr>
      </w:pPr>
      <w:r>
        <w:rPr>
          <w:rFonts w:hint="eastAsia"/>
          <w:color w:val="000000"/>
        </w:rPr>
        <w:t>2、以上的人员须随表提交相应的证书复印件及在职证明等资料。</w:t>
      </w:r>
    </w:p>
    <w:p>
      <w:pPr>
        <w:rPr>
          <w:color w:val="000000"/>
        </w:rPr>
      </w:pPr>
    </w:p>
    <w:p>
      <w:pPr>
        <w:spacing w:line="380" w:lineRule="exact"/>
        <w:rPr>
          <w:rFonts w:ascii="Arial" w:hAnsi="Arial" w:cs="Arial"/>
          <w:color w:val="000000"/>
        </w:rPr>
      </w:pPr>
      <w:r>
        <w:rPr>
          <w:rFonts w:hint="eastAsia" w:ascii="Arial" w:cs="Arial"/>
          <w:color w:val="000000"/>
        </w:rPr>
        <w:t>供应商</w:t>
      </w:r>
      <w:r>
        <w:rPr>
          <w:rFonts w:ascii="Arial" w:cs="Arial"/>
          <w:color w:val="000000"/>
        </w:rPr>
        <w:t>全称（</w:t>
      </w:r>
      <w:r>
        <w:rPr>
          <w:rFonts w:hint="eastAsia" w:ascii="Arial" w:cs="Arial"/>
          <w:color w:val="000000"/>
        </w:rPr>
        <w:t>盖公</w:t>
      </w:r>
      <w:r>
        <w:rPr>
          <w:rFonts w:ascii="Arial" w:cs="Arial"/>
          <w:color w:val="000000"/>
        </w:rPr>
        <w:t>章）：</w:t>
      </w:r>
    </w:p>
    <w:p>
      <w:pPr>
        <w:spacing w:line="380" w:lineRule="exact"/>
        <w:rPr>
          <w:rFonts w:ascii="Arial" w:hAnsi="Arial" w:cs="Arial"/>
          <w:color w:val="000000"/>
        </w:rPr>
      </w:pPr>
      <w:r>
        <w:rPr>
          <w:rFonts w:hint="eastAsia" w:ascii="Arial" w:cs="Arial"/>
          <w:color w:val="000000"/>
        </w:rPr>
        <w:t>法定代表人或</w:t>
      </w:r>
      <w:r>
        <w:rPr>
          <w:rFonts w:ascii="Arial" w:cs="Arial"/>
          <w:color w:val="000000"/>
        </w:rPr>
        <w:t>授权代表（签字</w:t>
      </w:r>
      <w:r>
        <w:rPr>
          <w:rFonts w:hint="eastAsia" w:ascii="Arial" w:cs="Arial"/>
          <w:color w:val="000000"/>
        </w:rPr>
        <w:t>或盖章</w:t>
      </w:r>
      <w:r>
        <w:rPr>
          <w:rFonts w:ascii="Arial" w:cs="Arial"/>
          <w:color w:val="000000"/>
        </w:rPr>
        <w:t>）：</w:t>
      </w:r>
    </w:p>
    <w:p>
      <w:pPr>
        <w:spacing w:line="380" w:lineRule="exact"/>
        <w:rPr>
          <w:rFonts w:ascii="Arial" w:cs="Arial"/>
          <w:color w:val="000000"/>
        </w:rPr>
      </w:pPr>
      <w:r>
        <w:rPr>
          <w:rFonts w:ascii="Arial" w:cs="Arial"/>
          <w:color w:val="000000"/>
        </w:rPr>
        <w:t>日期：</w:t>
      </w:r>
    </w:p>
    <w:p>
      <w:pPr>
        <w:autoSpaceDE w:val="0"/>
        <w:autoSpaceDN w:val="0"/>
        <w:adjustRightInd w:val="0"/>
        <w:spacing w:line="440" w:lineRule="atLeast"/>
        <w:jc w:val="center"/>
        <w:outlineLvl w:val="2"/>
        <w:rPr>
          <w:rFonts w:cs="仿宋_GB2312"/>
          <w:color w:val="000000"/>
          <w:sz w:val="32"/>
          <w:szCs w:val="32"/>
          <w:lang w:val="zh-CN"/>
        </w:rPr>
      </w:pPr>
      <w:r>
        <w:rPr>
          <w:rFonts w:hint="eastAsia" w:cs="仿宋_GB2312"/>
          <w:b/>
          <w:bCs/>
          <w:color w:val="000000"/>
          <w:sz w:val="32"/>
          <w:szCs w:val="32"/>
          <w:lang w:val="zh-CN"/>
        </w:rPr>
        <w:br w:type="page"/>
      </w:r>
      <w:r>
        <w:rPr>
          <w:rFonts w:hint="eastAsia" w:cs="仿宋_GB2312"/>
          <w:b/>
          <w:bCs/>
          <w:color w:val="000000"/>
          <w:sz w:val="32"/>
          <w:szCs w:val="32"/>
          <w:lang w:val="zh-CN"/>
        </w:rPr>
        <w:t>（二）项目小组人员情况表</w:t>
      </w:r>
    </w:p>
    <w:tbl>
      <w:tblPr>
        <w:tblStyle w:val="2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73"/>
        <w:gridCol w:w="1791"/>
        <w:gridCol w:w="1070"/>
        <w:gridCol w:w="870"/>
        <w:gridCol w:w="945"/>
        <w:gridCol w:w="1059"/>
        <w:gridCol w:w="1185"/>
        <w:gridCol w:w="1185"/>
        <w:gridCol w:w="9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52" w:hRule="atLeast"/>
          <w:jc w:val="center"/>
        </w:trPr>
        <w:tc>
          <w:tcPr>
            <w:tcW w:w="673" w:type="dxa"/>
            <w:vAlign w:val="center"/>
          </w:tcPr>
          <w:p>
            <w:pPr>
              <w:adjustRightInd w:val="0"/>
              <w:snapToGrid w:val="0"/>
              <w:jc w:val="center"/>
              <w:rPr>
                <w:color w:val="000000"/>
              </w:rPr>
            </w:pPr>
            <w:r>
              <w:rPr>
                <w:rFonts w:hint="eastAsia"/>
                <w:color w:val="000000"/>
              </w:rPr>
              <w:t>序号</w:t>
            </w:r>
          </w:p>
        </w:tc>
        <w:tc>
          <w:tcPr>
            <w:tcW w:w="1791" w:type="dxa"/>
            <w:vAlign w:val="center"/>
          </w:tcPr>
          <w:p>
            <w:pPr>
              <w:adjustRightInd w:val="0"/>
              <w:snapToGrid w:val="0"/>
              <w:jc w:val="center"/>
              <w:rPr>
                <w:color w:val="000000"/>
              </w:rPr>
            </w:pPr>
            <w:r>
              <w:rPr>
                <w:rFonts w:hint="eastAsia"/>
                <w:color w:val="000000"/>
              </w:rPr>
              <w:t>姓名</w:t>
            </w:r>
          </w:p>
        </w:tc>
        <w:tc>
          <w:tcPr>
            <w:tcW w:w="1070" w:type="dxa"/>
            <w:vAlign w:val="center"/>
          </w:tcPr>
          <w:p>
            <w:pPr>
              <w:adjustRightInd w:val="0"/>
              <w:snapToGrid w:val="0"/>
              <w:jc w:val="center"/>
              <w:rPr>
                <w:color w:val="000000"/>
              </w:rPr>
            </w:pPr>
            <w:r>
              <w:rPr>
                <w:rFonts w:hint="eastAsia"/>
                <w:color w:val="000000"/>
              </w:rPr>
              <w:t>性别</w:t>
            </w:r>
          </w:p>
        </w:tc>
        <w:tc>
          <w:tcPr>
            <w:tcW w:w="870" w:type="dxa"/>
            <w:vAlign w:val="center"/>
          </w:tcPr>
          <w:p>
            <w:pPr>
              <w:adjustRightInd w:val="0"/>
              <w:snapToGrid w:val="0"/>
              <w:jc w:val="center"/>
              <w:rPr>
                <w:color w:val="000000"/>
              </w:rPr>
            </w:pPr>
            <w:r>
              <w:rPr>
                <w:rFonts w:hint="eastAsia"/>
                <w:color w:val="000000"/>
              </w:rPr>
              <w:t>年龄</w:t>
            </w:r>
          </w:p>
        </w:tc>
        <w:tc>
          <w:tcPr>
            <w:tcW w:w="945" w:type="dxa"/>
            <w:vAlign w:val="center"/>
          </w:tcPr>
          <w:p>
            <w:pPr>
              <w:adjustRightInd w:val="0"/>
              <w:snapToGrid w:val="0"/>
              <w:jc w:val="center"/>
              <w:rPr>
                <w:color w:val="000000"/>
              </w:rPr>
            </w:pPr>
            <w:r>
              <w:rPr>
                <w:rFonts w:hint="eastAsia"/>
                <w:color w:val="000000"/>
              </w:rPr>
              <w:t>学历</w:t>
            </w:r>
          </w:p>
        </w:tc>
        <w:tc>
          <w:tcPr>
            <w:tcW w:w="1059" w:type="dxa"/>
            <w:vAlign w:val="center"/>
          </w:tcPr>
          <w:p>
            <w:pPr>
              <w:adjustRightInd w:val="0"/>
              <w:snapToGrid w:val="0"/>
              <w:jc w:val="center"/>
              <w:rPr>
                <w:color w:val="000000"/>
              </w:rPr>
            </w:pPr>
            <w:r>
              <w:rPr>
                <w:rFonts w:hint="eastAsia"/>
                <w:color w:val="000000"/>
              </w:rPr>
              <w:t>专业</w:t>
            </w:r>
          </w:p>
        </w:tc>
        <w:tc>
          <w:tcPr>
            <w:tcW w:w="1185" w:type="dxa"/>
            <w:vAlign w:val="center"/>
          </w:tcPr>
          <w:p>
            <w:pPr>
              <w:adjustRightInd w:val="0"/>
              <w:snapToGrid w:val="0"/>
              <w:jc w:val="center"/>
              <w:rPr>
                <w:color w:val="000000"/>
              </w:rPr>
            </w:pPr>
            <w:r>
              <w:rPr>
                <w:rFonts w:hint="eastAsia"/>
                <w:color w:val="000000"/>
              </w:rPr>
              <w:t>职称</w:t>
            </w:r>
          </w:p>
        </w:tc>
        <w:tc>
          <w:tcPr>
            <w:tcW w:w="1185" w:type="dxa"/>
            <w:vAlign w:val="center"/>
          </w:tcPr>
          <w:p>
            <w:pPr>
              <w:adjustRightInd w:val="0"/>
              <w:snapToGrid w:val="0"/>
              <w:jc w:val="center"/>
              <w:rPr>
                <w:color w:val="000000"/>
              </w:rPr>
            </w:pPr>
            <w:r>
              <w:rPr>
                <w:rFonts w:hint="eastAsia"/>
                <w:color w:val="000000"/>
              </w:rPr>
              <w:t>本项目中的职责</w:t>
            </w:r>
          </w:p>
        </w:tc>
        <w:tc>
          <w:tcPr>
            <w:tcW w:w="962" w:type="dxa"/>
            <w:vAlign w:val="center"/>
          </w:tcPr>
          <w:p>
            <w:pPr>
              <w:adjustRightInd w:val="0"/>
              <w:snapToGrid w:val="0"/>
              <w:jc w:val="center"/>
              <w:rPr>
                <w:color w:val="000000"/>
              </w:rPr>
            </w:pPr>
            <w:r>
              <w:rPr>
                <w:rFonts w:hint="eastAsia"/>
                <w:color w:val="000000"/>
              </w:rPr>
              <w:t>从事专业年限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vAlign w:val="center"/>
          </w:tcPr>
          <w:p>
            <w:pPr>
              <w:adjustRightInd w:val="0"/>
              <w:snapToGrid w:val="0"/>
              <w:jc w:val="center"/>
              <w:rPr>
                <w:color w:val="000000"/>
              </w:rPr>
            </w:pPr>
          </w:p>
        </w:tc>
        <w:tc>
          <w:tcPr>
            <w:tcW w:w="1791" w:type="dxa"/>
            <w:vAlign w:val="center"/>
          </w:tcPr>
          <w:p>
            <w:pPr>
              <w:adjustRightInd w:val="0"/>
              <w:snapToGrid w:val="0"/>
              <w:jc w:val="center"/>
              <w:rPr>
                <w:color w:val="000000"/>
              </w:rPr>
            </w:pPr>
          </w:p>
        </w:tc>
        <w:tc>
          <w:tcPr>
            <w:tcW w:w="1070" w:type="dxa"/>
            <w:vAlign w:val="center"/>
          </w:tcPr>
          <w:p>
            <w:pPr>
              <w:adjustRightInd w:val="0"/>
              <w:snapToGrid w:val="0"/>
              <w:jc w:val="center"/>
              <w:rPr>
                <w:color w:val="000000"/>
              </w:rPr>
            </w:pPr>
          </w:p>
        </w:tc>
        <w:tc>
          <w:tcPr>
            <w:tcW w:w="870" w:type="dxa"/>
            <w:vAlign w:val="center"/>
          </w:tcPr>
          <w:p>
            <w:pPr>
              <w:adjustRightInd w:val="0"/>
              <w:snapToGrid w:val="0"/>
              <w:jc w:val="center"/>
              <w:rPr>
                <w:color w:val="000000"/>
              </w:rPr>
            </w:pPr>
          </w:p>
        </w:tc>
        <w:tc>
          <w:tcPr>
            <w:tcW w:w="945" w:type="dxa"/>
            <w:vAlign w:val="center"/>
          </w:tcPr>
          <w:p>
            <w:pPr>
              <w:adjustRightInd w:val="0"/>
              <w:snapToGrid w:val="0"/>
              <w:jc w:val="center"/>
              <w:rPr>
                <w:color w:val="000000"/>
              </w:rPr>
            </w:pPr>
          </w:p>
        </w:tc>
        <w:tc>
          <w:tcPr>
            <w:tcW w:w="1059" w:type="dxa"/>
            <w:vAlign w:val="center"/>
          </w:tcPr>
          <w:p>
            <w:pPr>
              <w:adjustRightInd w:val="0"/>
              <w:snapToGrid w:val="0"/>
              <w:jc w:val="center"/>
              <w:rPr>
                <w:color w:val="000000"/>
              </w:rPr>
            </w:pPr>
          </w:p>
        </w:tc>
        <w:tc>
          <w:tcPr>
            <w:tcW w:w="1185" w:type="dxa"/>
            <w:vAlign w:val="center"/>
          </w:tcPr>
          <w:p>
            <w:pPr>
              <w:adjustRightInd w:val="0"/>
              <w:snapToGrid w:val="0"/>
              <w:jc w:val="center"/>
              <w:rPr>
                <w:color w:val="000000"/>
              </w:rPr>
            </w:pPr>
          </w:p>
        </w:tc>
        <w:tc>
          <w:tcPr>
            <w:tcW w:w="1185" w:type="dxa"/>
            <w:vAlign w:val="center"/>
          </w:tcPr>
          <w:p>
            <w:pPr>
              <w:adjustRightInd w:val="0"/>
              <w:snapToGrid w:val="0"/>
              <w:jc w:val="center"/>
              <w:rPr>
                <w:color w:val="000000"/>
              </w:rPr>
            </w:pPr>
          </w:p>
        </w:tc>
        <w:tc>
          <w:tcPr>
            <w:tcW w:w="962" w:type="dxa"/>
            <w:vAlign w:val="center"/>
          </w:tcPr>
          <w:p>
            <w:pPr>
              <w:adjustRightInd w:val="0"/>
              <w:snapToGrid w:val="0"/>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vAlign w:val="center"/>
          </w:tcPr>
          <w:p>
            <w:pPr>
              <w:adjustRightInd w:val="0"/>
              <w:snapToGrid w:val="0"/>
              <w:jc w:val="center"/>
              <w:rPr>
                <w:color w:val="000000"/>
              </w:rPr>
            </w:pPr>
          </w:p>
        </w:tc>
        <w:tc>
          <w:tcPr>
            <w:tcW w:w="1791" w:type="dxa"/>
            <w:vAlign w:val="center"/>
          </w:tcPr>
          <w:p>
            <w:pPr>
              <w:adjustRightInd w:val="0"/>
              <w:snapToGrid w:val="0"/>
              <w:jc w:val="center"/>
              <w:rPr>
                <w:color w:val="000000"/>
              </w:rPr>
            </w:pPr>
          </w:p>
        </w:tc>
        <w:tc>
          <w:tcPr>
            <w:tcW w:w="1070" w:type="dxa"/>
            <w:vAlign w:val="center"/>
          </w:tcPr>
          <w:p>
            <w:pPr>
              <w:adjustRightInd w:val="0"/>
              <w:snapToGrid w:val="0"/>
              <w:jc w:val="center"/>
              <w:rPr>
                <w:color w:val="000000"/>
              </w:rPr>
            </w:pPr>
          </w:p>
        </w:tc>
        <w:tc>
          <w:tcPr>
            <w:tcW w:w="870" w:type="dxa"/>
            <w:vAlign w:val="center"/>
          </w:tcPr>
          <w:p>
            <w:pPr>
              <w:adjustRightInd w:val="0"/>
              <w:snapToGrid w:val="0"/>
              <w:jc w:val="center"/>
              <w:rPr>
                <w:color w:val="000000"/>
              </w:rPr>
            </w:pPr>
          </w:p>
        </w:tc>
        <w:tc>
          <w:tcPr>
            <w:tcW w:w="945" w:type="dxa"/>
            <w:vAlign w:val="center"/>
          </w:tcPr>
          <w:p>
            <w:pPr>
              <w:adjustRightInd w:val="0"/>
              <w:snapToGrid w:val="0"/>
              <w:jc w:val="center"/>
              <w:rPr>
                <w:color w:val="000000"/>
              </w:rPr>
            </w:pPr>
          </w:p>
        </w:tc>
        <w:tc>
          <w:tcPr>
            <w:tcW w:w="1059" w:type="dxa"/>
            <w:vAlign w:val="center"/>
          </w:tcPr>
          <w:p>
            <w:pPr>
              <w:adjustRightInd w:val="0"/>
              <w:snapToGrid w:val="0"/>
              <w:jc w:val="center"/>
              <w:rPr>
                <w:color w:val="000000"/>
              </w:rPr>
            </w:pPr>
          </w:p>
        </w:tc>
        <w:tc>
          <w:tcPr>
            <w:tcW w:w="1185" w:type="dxa"/>
            <w:vAlign w:val="center"/>
          </w:tcPr>
          <w:p>
            <w:pPr>
              <w:adjustRightInd w:val="0"/>
              <w:snapToGrid w:val="0"/>
              <w:jc w:val="center"/>
              <w:rPr>
                <w:color w:val="000000"/>
              </w:rPr>
            </w:pPr>
          </w:p>
        </w:tc>
        <w:tc>
          <w:tcPr>
            <w:tcW w:w="1185" w:type="dxa"/>
            <w:vAlign w:val="center"/>
          </w:tcPr>
          <w:p>
            <w:pPr>
              <w:adjustRightInd w:val="0"/>
              <w:snapToGrid w:val="0"/>
              <w:jc w:val="center"/>
              <w:rPr>
                <w:color w:val="000000"/>
              </w:rPr>
            </w:pPr>
          </w:p>
        </w:tc>
        <w:tc>
          <w:tcPr>
            <w:tcW w:w="962" w:type="dxa"/>
            <w:vAlign w:val="center"/>
          </w:tcPr>
          <w:p>
            <w:pPr>
              <w:adjustRightInd w:val="0"/>
              <w:snapToGrid w:val="0"/>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vAlign w:val="center"/>
          </w:tcPr>
          <w:p>
            <w:pPr>
              <w:adjustRightInd w:val="0"/>
              <w:snapToGrid w:val="0"/>
              <w:jc w:val="center"/>
              <w:rPr>
                <w:color w:val="000000"/>
              </w:rPr>
            </w:pPr>
          </w:p>
        </w:tc>
        <w:tc>
          <w:tcPr>
            <w:tcW w:w="1791" w:type="dxa"/>
            <w:vAlign w:val="center"/>
          </w:tcPr>
          <w:p>
            <w:pPr>
              <w:adjustRightInd w:val="0"/>
              <w:snapToGrid w:val="0"/>
              <w:jc w:val="center"/>
              <w:rPr>
                <w:color w:val="000000"/>
              </w:rPr>
            </w:pPr>
          </w:p>
        </w:tc>
        <w:tc>
          <w:tcPr>
            <w:tcW w:w="1070" w:type="dxa"/>
            <w:vAlign w:val="center"/>
          </w:tcPr>
          <w:p>
            <w:pPr>
              <w:adjustRightInd w:val="0"/>
              <w:snapToGrid w:val="0"/>
              <w:jc w:val="center"/>
              <w:rPr>
                <w:color w:val="000000"/>
              </w:rPr>
            </w:pPr>
          </w:p>
        </w:tc>
        <w:tc>
          <w:tcPr>
            <w:tcW w:w="870" w:type="dxa"/>
            <w:vAlign w:val="center"/>
          </w:tcPr>
          <w:p>
            <w:pPr>
              <w:adjustRightInd w:val="0"/>
              <w:snapToGrid w:val="0"/>
              <w:jc w:val="center"/>
              <w:rPr>
                <w:color w:val="000000"/>
              </w:rPr>
            </w:pPr>
          </w:p>
        </w:tc>
        <w:tc>
          <w:tcPr>
            <w:tcW w:w="945" w:type="dxa"/>
            <w:vAlign w:val="center"/>
          </w:tcPr>
          <w:p>
            <w:pPr>
              <w:adjustRightInd w:val="0"/>
              <w:snapToGrid w:val="0"/>
              <w:jc w:val="center"/>
              <w:rPr>
                <w:color w:val="000000"/>
              </w:rPr>
            </w:pPr>
          </w:p>
        </w:tc>
        <w:tc>
          <w:tcPr>
            <w:tcW w:w="1059" w:type="dxa"/>
            <w:vAlign w:val="center"/>
          </w:tcPr>
          <w:p>
            <w:pPr>
              <w:adjustRightInd w:val="0"/>
              <w:snapToGrid w:val="0"/>
              <w:jc w:val="center"/>
              <w:rPr>
                <w:color w:val="000000"/>
              </w:rPr>
            </w:pPr>
          </w:p>
        </w:tc>
        <w:tc>
          <w:tcPr>
            <w:tcW w:w="1185" w:type="dxa"/>
            <w:vAlign w:val="center"/>
          </w:tcPr>
          <w:p>
            <w:pPr>
              <w:adjustRightInd w:val="0"/>
              <w:snapToGrid w:val="0"/>
              <w:jc w:val="center"/>
              <w:rPr>
                <w:color w:val="000000"/>
              </w:rPr>
            </w:pPr>
          </w:p>
        </w:tc>
        <w:tc>
          <w:tcPr>
            <w:tcW w:w="1185" w:type="dxa"/>
            <w:vAlign w:val="center"/>
          </w:tcPr>
          <w:p>
            <w:pPr>
              <w:adjustRightInd w:val="0"/>
              <w:snapToGrid w:val="0"/>
              <w:jc w:val="center"/>
              <w:rPr>
                <w:color w:val="000000"/>
              </w:rPr>
            </w:pPr>
          </w:p>
        </w:tc>
        <w:tc>
          <w:tcPr>
            <w:tcW w:w="962" w:type="dxa"/>
            <w:vAlign w:val="center"/>
          </w:tcPr>
          <w:p>
            <w:pPr>
              <w:adjustRightInd w:val="0"/>
              <w:snapToGrid w:val="0"/>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vAlign w:val="center"/>
          </w:tcPr>
          <w:p>
            <w:pPr>
              <w:adjustRightInd w:val="0"/>
              <w:snapToGrid w:val="0"/>
              <w:jc w:val="center"/>
              <w:rPr>
                <w:color w:val="000000"/>
              </w:rPr>
            </w:pPr>
          </w:p>
        </w:tc>
        <w:tc>
          <w:tcPr>
            <w:tcW w:w="1791" w:type="dxa"/>
            <w:vAlign w:val="center"/>
          </w:tcPr>
          <w:p>
            <w:pPr>
              <w:adjustRightInd w:val="0"/>
              <w:snapToGrid w:val="0"/>
              <w:jc w:val="center"/>
              <w:rPr>
                <w:color w:val="000000"/>
              </w:rPr>
            </w:pPr>
          </w:p>
        </w:tc>
        <w:tc>
          <w:tcPr>
            <w:tcW w:w="1070" w:type="dxa"/>
            <w:vAlign w:val="center"/>
          </w:tcPr>
          <w:p>
            <w:pPr>
              <w:adjustRightInd w:val="0"/>
              <w:snapToGrid w:val="0"/>
              <w:jc w:val="center"/>
              <w:rPr>
                <w:color w:val="000000"/>
              </w:rPr>
            </w:pPr>
          </w:p>
        </w:tc>
        <w:tc>
          <w:tcPr>
            <w:tcW w:w="870" w:type="dxa"/>
            <w:vAlign w:val="center"/>
          </w:tcPr>
          <w:p>
            <w:pPr>
              <w:adjustRightInd w:val="0"/>
              <w:snapToGrid w:val="0"/>
              <w:jc w:val="center"/>
              <w:rPr>
                <w:color w:val="000000"/>
              </w:rPr>
            </w:pPr>
          </w:p>
        </w:tc>
        <w:tc>
          <w:tcPr>
            <w:tcW w:w="945" w:type="dxa"/>
            <w:vAlign w:val="center"/>
          </w:tcPr>
          <w:p>
            <w:pPr>
              <w:adjustRightInd w:val="0"/>
              <w:snapToGrid w:val="0"/>
              <w:jc w:val="center"/>
              <w:rPr>
                <w:color w:val="000000"/>
              </w:rPr>
            </w:pPr>
          </w:p>
        </w:tc>
        <w:tc>
          <w:tcPr>
            <w:tcW w:w="1059" w:type="dxa"/>
            <w:vAlign w:val="center"/>
          </w:tcPr>
          <w:p>
            <w:pPr>
              <w:adjustRightInd w:val="0"/>
              <w:snapToGrid w:val="0"/>
              <w:jc w:val="center"/>
              <w:rPr>
                <w:color w:val="000000"/>
              </w:rPr>
            </w:pPr>
          </w:p>
        </w:tc>
        <w:tc>
          <w:tcPr>
            <w:tcW w:w="1185" w:type="dxa"/>
            <w:vAlign w:val="center"/>
          </w:tcPr>
          <w:p>
            <w:pPr>
              <w:adjustRightInd w:val="0"/>
              <w:snapToGrid w:val="0"/>
              <w:jc w:val="center"/>
              <w:rPr>
                <w:color w:val="000000"/>
              </w:rPr>
            </w:pPr>
          </w:p>
        </w:tc>
        <w:tc>
          <w:tcPr>
            <w:tcW w:w="1185" w:type="dxa"/>
            <w:vAlign w:val="center"/>
          </w:tcPr>
          <w:p>
            <w:pPr>
              <w:adjustRightInd w:val="0"/>
              <w:snapToGrid w:val="0"/>
              <w:jc w:val="center"/>
              <w:rPr>
                <w:color w:val="000000"/>
              </w:rPr>
            </w:pPr>
          </w:p>
        </w:tc>
        <w:tc>
          <w:tcPr>
            <w:tcW w:w="962" w:type="dxa"/>
            <w:vAlign w:val="center"/>
          </w:tcPr>
          <w:p>
            <w:pPr>
              <w:adjustRightInd w:val="0"/>
              <w:snapToGrid w:val="0"/>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vAlign w:val="center"/>
          </w:tcPr>
          <w:p>
            <w:pPr>
              <w:adjustRightInd w:val="0"/>
              <w:snapToGrid w:val="0"/>
              <w:jc w:val="center"/>
              <w:rPr>
                <w:color w:val="000000"/>
              </w:rPr>
            </w:pPr>
          </w:p>
        </w:tc>
        <w:tc>
          <w:tcPr>
            <w:tcW w:w="1791" w:type="dxa"/>
            <w:vAlign w:val="center"/>
          </w:tcPr>
          <w:p>
            <w:pPr>
              <w:adjustRightInd w:val="0"/>
              <w:snapToGrid w:val="0"/>
              <w:jc w:val="center"/>
              <w:rPr>
                <w:color w:val="000000"/>
              </w:rPr>
            </w:pPr>
          </w:p>
        </w:tc>
        <w:tc>
          <w:tcPr>
            <w:tcW w:w="1070" w:type="dxa"/>
            <w:vAlign w:val="center"/>
          </w:tcPr>
          <w:p>
            <w:pPr>
              <w:adjustRightInd w:val="0"/>
              <w:snapToGrid w:val="0"/>
              <w:jc w:val="center"/>
              <w:rPr>
                <w:color w:val="000000"/>
              </w:rPr>
            </w:pPr>
          </w:p>
        </w:tc>
        <w:tc>
          <w:tcPr>
            <w:tcW w:w="870" w:type="dxa"/>
            <w:vAlign w:val="center"/>
          </w:tcPr>
          <w:p>
            <w:pPr>
              <w:adjustRightInd w:val="0"/>
              <w:snapToGrid w:val="0"/>
              <w:jc w:val="center"/>
              <w:rPr>
                <w:color w:val="000000"/>
              </w:rPr>
            </w:pPr>
          </w:p>
        </w:tc>
        <w:tc>
          <w:tcPr>
            <w:tcW w:w="945" w:type="dxa"/>
            <w:vAlign w:val="center"/>
          </w:tcPr>
          <w:p>
            <w:pPr>
              <w:adjustRightInd w:val="0"/>
              <w:snapToGrid w:val="0"/>
              <w:jc w:val="center"/>
              <w:rPr>
                <w:color w:val="000000"/>
              </w:rPr>
            </w:pPr>
          </w:p>
        </w:tc>
        <w:tc>
          <w:tcPr>
            <w:tcW w:w="1059" w:type="dxa"/>
            <w:vAlign w:val="center"/>
          </w:tcPr>
          <w:p>
            <w:pPr>
              <w:adjustRightInd w:val="0"/>
              <w:snapToGrid w:val="0"/>
              <w:jc w:val="center"/>
              <w:rPr>
                <w:color w:val="000000"/>
              </w:rPr>
            </w:pPr>
          </w:p>
        </w:tc>
        <w:tc>
          <w:tcPr>
            <w:tcW w:w="1185" w:type="dxa"/>
            <w:vAlign w:val="center"/>
          </w:tcPr>
          <w:p>
            <w:pPr>
              <w:adjustRightInd w:val="0"/>
              <w:snapToGrid w:val="0"/>
              <w:jc w:val="center"/>
              <w:rPr>
                <w:color w:val="000000"/>
              </w:rPr>
            </w:pPr>
          </w:p>
        </w:tc>
        <w:tc>
          <w:tcPr>
            <w:tcW w:w="1185" w:type="dxa"/>
            <w:vAlign w:val="center"/>
          </w:tcPr>
          <w:p>
            <w:pPr>
              <w:adjustRightInd w:val="0"/>
              <w:snapToGrid w:val="0"/>
              <w:jc w:val="center"/>
              <w:rPr>
                <w:color w:val="000000"/>
              </w:rPr>
            </w:pPr>
          </w:p>
        </w:tc>
        <w:tc>
          <w:tcPr>
            <w:tcW w:w="962" w:type="dxa"/>
            <w:vAlign w:val="center"/>
          </w:tcPr>
          <w:p>
            <w:pPr>
              <w:adjustRightInd w:val="0"/>
              <w:snapToGrid w:val="0"/>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vAlign w:val="center"/>
          </w:tcPr>
          <w:p>
            <w:pPr>
              <w:adjustRightInd w:val="0"/>
              <w:snapToGrid w:val="0"/>
              <w:jc w:val="center"/>
              <w:rPr>
                <w:color w:val="000000"/>
              </w:rPr>
            </w:pPr>
          </w:p>
        </w:tc>
        <w:tc>
          <w:tcPr>
            <w:tcW w:w="1791" w:type="dxa"/>
            <w:vAlign w:val="center"/>
          </w:tcPr>
          <w:p>
            <w:pPr>
              <w:adjustRightInd w:val="0"/>
              <w:snapToGrid w:val="0"/>
              <w:jc w:val="center"/>
              <w:rPr>
                <w:color w:val="000000"/>
              </w:rPr>
            </w:pPr>
          </w:p>
        </w:tc>
        <w:tc>
          <w:tcPr>
            <w:tcW w:w="1070" w:type="dxa"/>
            <w:vAlign w:val="center"/>
          </w:tcPr>
          <w:p>
            <w:pPr>
              <w:adjustRightInd w:val="0"/>
              <w:snapToGrid w:val="0"/>
              <w:jc w:val="center"/>
              <w:rPr>
                <w:color w:val="000000"/>
              </w:rPr>
            </w:pPr>
          </w:p>
        </w:tc>
        <w:tc>
          <w:tcPr>
            <w:tcW w:w="870" w:type="dxa"/>
            <w:vAlign w:val="center"/>
          </w:tcPr>
          <w:p>
            <w:pPr>
              <w:adjustRightInd w:val="0"/>
              <w:snapToGrid w:val="0"/>
              <w:jc w:val="center"/>
              <w:rPr>
                <w:color w:val="000000"/>
              </w:rPr>
            </w:pPr>
          </w:p>
        </w:tc>
        <w:tc>
          <w:tcPr>
            <w:tcW w:w="945" w:type="dxa"/>
            <w:vAlign w:val="center"/>
          </w:tcPr>
          <w:p>
            <w:pPr>
              <w:adjustRightInd w:val="0"/>
              <w:snapToGrid w:val="0"/>
              <w:jc w:val="center"/>
              <w:rPr>
                <w:color w:val="000000"/>
              </w:rPr>
            </w:pPr>
          </w:p>
        </w:tc>
        <w:tc>
          <w:tcPr>
            <w:tcW w:w="1059" w:type="dxa"/>
            <w:vAlign w:val="center"/>
          </w:tcPr>
          <w:p>
            <w:pPr>
              <w:adjustRightInd w:val="0"/>
              <w:snapToGrid w:val="0"/>
              <w:jc w:val="center"/>
              <w:rPr>
                <w:color w:val="000000"/>
              </w:rPr>
            </w:pPr>
          </w:p>
        </w:tc>
        <w:tc>
          <w:tcPr>
            <w:tcW w:w="1185" w:type="dxa"/>
            <w:vAlign w:val="center"/>
          </w:tcPr>
          <w:p>
            <w:pPr>
              <w:adjustRightInd w:val="0"/>
              <w:snapToGrid w:val="0"/>
              <w:jc w:val="center"/>
              <w:rPr>
                <w:color w:val="000000"/>
              </w:rPr>
            </w:pPr>
          </w:p>
        </w:tc>
        <w:tc>
          <w:tcPr>
            <w:tcW w:w="1185" w:type="dxa"/>
            <w:vAlign w:val="center"/>
          </w:tcPr>
          <w:p>
            <w:pPr>
              <w:adjustRightInd w:val="0"/>
              <w:snapToGrid w:val="0"/>
              <w:jc w:val="center"/>
              <w:rPr>
                <w:color w:val="000000"/>
              </w:rPr>
            </w:pPr>
          </w:p>
        </w:tc>
        <w:tc>
          <w:tcPr>
            <w:tcW w:w="962" w:type="dxa"/>
            <w:vAlign w:val="center"/>
          </w:tcPr>
          <w:p>
            <w:pPr>
              <w:adjustRightInd w:val="0"/>
              <w:snapToGrid w:val="0"/>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vAlign w:val="center"/>
          </w:tcPr>
          <w:p>
            <w:pPr>
              <w:adjustRightInd w:val="0"/>
              <w:snapToGrid w:val="0"/>
              <w:jc w:val="center"/>
              <w:rPr>
                <w:color w:val="000000"/>
              </w:rPr>
            </w:pPr>
          </w:p>
        </w:tc>
        <w:tc>
          <w:tcPr>
            <w:tcW w:w="1791" w:type="dxa"/>
            <w:vAlign w:val="center"/>
          </w:tcPr>
          <w:p>
            <w:pPr>
              <w:adjustRightInd w:val="0"/>
              <w:snapToGrid w:val="0"/>
              <w:jc w:val="center"/>
              <w:rPr>
                <w:color w:val="000000"/>
              </w:rPr>
            </w:pPr>
          </w:p>
        </w:tc>
        <w:tc>
          <w:tcPr>
            <w:tcW w:w="1070" w:type="dxa"/>
            <w:vAlign w:val="center"/>
          </w:tcPr>
          <w:p>
            <w:pPr>
              <w:adjustRightInd w:val="0"/>
              <w:snapToGrid w:val="0"/>
              <w:jc w:val="center"/>
              <w:rPr>
                <w:color w:val="000000"/>
              </w:rPr>
            </w:pPr>
          </w:p>
        </w:tc>
        <w:tc>
          <w:tcPr>
            <w:tcW w:w="870" w:type="dxa"/>
            <w:vAlign w:val="center"/>
          </w:tcPr>
          <w:p>
            <w:pPr>
              <w:adjustRightInd w:val="0"/>
              <w:snapToGrid w:val="0"/>
              <w:jc w:val="center"/>
              <w:rPr>
                <w:color w:val="000000"/>
              </w:rPr>
            </w:pPr>
          </w:p>
        </w:tc>
        <w:tc>
          <w:tcPr>
            <w:tcW w:w="945" w:type="dxa"/>
            <w:vAlign w:val="center"/>
          </w:tcPr>
          <w:p>
            <w:pPr>
              <w:adjustRightInd w:val="0"/>
              <w:snapToGrid w:val="0"/>
              <w:jc w:val="center"/>
              <w:rPr>
                <w:color w:val="000000"/>
              </w:rPr>
            </w:pPr>
          </w:p>
        </w:tc>
        <w:tc>
          <w:tcPr>
            <w:tcW w:w="1059" w:type="dxa"/>
            <w:vAlign w:val="center"/>
          </w:tcPr>
          <w:p>
            <w:pPr>
              <w:adjustRightInd w:val="0"/>
              <w:snapToGrid w:val="0"/>
              <w:jc w:val="center"/>
              <w:rPr>
                <w:color w:val="000000"/>
              </w:rPr>
            </w:pPr>
          </w:p>
        </w:tc>
        <w:tc>
          <w:tcPr>
            <w:tcW w:w="1185" w:type="dxa"/>
            <w:vAlign w:val="center"/>
          </w:tcPr>
          <w:p>
            <w:pPr>
              <w:adjustRightInd w:val="0"/>
              <w:snapToGrid w:val="0"/>
              <w:jc w:val="center"/>
              <w:rPr>
                <w:color w:val="000000"/>
              </w:rPr>
            </w:pPr>
          </w:p>
        </w:tc>
        <w:tc>
          <w:tcPr>
            <w:tcW w:w="1185" w:type="dxa"/>
            <w:vAlign w:val="center"/>
          </w:tcPr>
          <w:p>
            <w:pPr>
              <w:adjustRightInd w:val="0"/>
              <w:snapToGrid w:val="0"/>
              <w:jc w:val="center"/>
              <w:rPr>
                <w:color w:val="000000"/>
              </w:rPr>
            </w:pPr>
          </w:p>
        </w:tc>
        <w:tc>
          <w:tcPr>
            <w:tcW w:w="962" w:type="dxa"/>
            <w:vAlign w:val="center"/>
          </w:tcPr>
          <w:p>
            <w:pPr>
              <w:adjustRightInd w:val="0"/>
              <w:snapToGrid w:val="0"/>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vAlign w:val="center"/>
          </w:tcPr>
          <w:p>
            <w:pPr>
              <w:adjustRightInd w:val="0"/>
              <w:snapToGrid w:val="0"/>
              <w:jc w:val="center"/>
              <w:rPr>
                <w:color w:val="000000"/>
              </w:rPr>
            </w:pPr>
          </w:p>
        </w:tc>
        <w:tc>
          <w:tcPr>
            <w:tcW w:w="1791" w:type="dxa"/>
            <w:vAlign w:val="center"/>
          </w:tcPr>
          <w:p>
            <w:pPr>
              <w:adjustRightInd w:val="0"/>
              <w:snapToGrid w:val="0"/>
              <w:jc w:val="center"/>
              <w:rPr>
                <w:color w:val="000000"/>
              </w:rPr>
            </w:pPr>
          </w:p>
        </w:tc>
        <w:tc>
          <w:tcPr>
            <w:tcW w:w="1070" w:type="dxa"/>
            <w:vAlign w:val="center"/>
          </w:tcPr>
          <w:p>
            <w:pPr>
              <w:adjustRightInd w:val="0"/>
              <w:snapToGrid w:val="0"/>
              <w:jc w:val="center"/>
              <w:rPr>
                <w:color w:val="000000"/>
              </w:rPr>
            </w:pPr>
          </w:p>
        </w:tc>
        <w:tc>
          <w:tcPr>
            <w:tcW w:w="870" w:type="dxa"/>
            <w:vAlign w:val="center"/>
          </w:tcPr>
          <w:p>
            <w:pPr>
              <w:adjustRightInd w:val="0"/>
              <w:snapToGrid w:val="0"/>
              <w:jc w:val="center"/>
              <w:rPr>
                <w:color w:val="000000"/>
              </w:rPr>
            </w:pPr>
          </w:p>
        </w:tc>
        <w:tc>
          <w:tcPr>
            <w:tcW w:w="945" w:type="dxa"/>
            <w:vAlign w:val="center"/>
          </w:tcPr>
          <w:p>
            <w:pPr>
              <w:adjustRightInd w:val="0"/>
              <w:snapToGrid w:val="0"/>
              <w:jc w:val="center"/>
              <w:rPr>
                <w:color w:val="000000"/>
              </w:rPr>
            </w:pPr>
          </w:p>
        </w:tc>
        <w:tc>
          <w:tcPr>
            <w:tcW w:w="1059" w:type="dxa"/>
            <w:vAlign w:val="center"/>
          </w:tcPr>
          <w:p>
            <w:pPr>
              <w:adjustRightInd w:val="0"/>
              <w:snapToGrid w:val="0"/>
              <w:jc w:val="center"/>
              <w:rPr>
                <w:color w:val="000000"/>
              </w:rPr>
            </w:pPr>
          </w:p>
        </w:tc>
        <w:tc>
          <w:tcPr>
            <w:tcW w:w="1185" w:type="dxa"/>
            <w:vAlign w:val="center"/>
          </w:tcPr>
          <w:p>
            <w:pPr>
              <w:adjustRightInd w:val="0"/>
              <w:snapToGrid w:val="0"/>
              <w:jc w:val="center"/>
              <w:rPr>
                <w:color w:val="000000"/>
              </w:rPr>
            </w:pPr>
          </w:p>
        </w:tc>
        <w:tc>
          <w:tcPr>
            <w:tcW w:w="1185" w:type="dxa"/>
            <w:vAlign w:val="center"/>
          </w:tcPr>
          <w:p>
            <w:pPr>
              <w:adjustRightInd w:val="0"/>
              <w:snapToGrid w:val="0"/>
              <w:jc w:val="center"/>
              <w:rPr>
                <w:color w:val="000000"/>
              </w:rPr>
            </w:pPr>
          </w:p>
        </w:tc>
        <w:tc>
          <w:tcPr>
            <w:tcW w:w="962" w:type="dxa"/>
            <w:vAlign w:val="center"/>
          </w:tcPr>
          <w:p>
            <w:pPr>
              <w:adjustRightInd w:val="0"/>
              <w:snapToGrid w:val="0"/>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vAlign w:val="center"/>
          </w:tcPr>
          <w:p>
            <w:pPr>
              <w:adjustRightInd w:val="0"/>
              <w:snapToGrid w:val="0"/>
              <w:jc w:val="center"/>
              <w:rPr>
                <w:color w:val="000000"/>
              </w:rPr>
            </w:pPr>
          </w:p>
        </w:tc>
        <w:tc>
          <w:tcPr>
            <w:tcW w:w="1791" w:type="dxa"/>
            <w:vAlign w:val="center"/>
          </w:tcPr>
          <w:p>
            <w:pPr>
              <w:adjustRightInd w:val="0"/>
              <w:snapToGrid w:val="0"/>
              <w:jc w:val="center"/>
              <w:rPr>
                <w:color w:val="000000"/>
              </w:rPr>
            </w:pPr>
          </w:p>
        </w:tc>
        <w:tc>
          <w:tcPr>
            <w:tcW w:w="1070" w:type="dxa"/>
            <w:vAlign w:val="center"/>
          </w:tcPr>
          <w:p>
            <w:pPr>
              <w:adjustRightInd w:val="0"/>
              <w:snapToGrid w:val="0"/>
              <w:jc w:val="center"/>
              <w:rPr>
                <w:color w:val="000000"/>
              </w:rPr>
            </w:pPr>
          </w:p>
        </w:tc>
        <w:tc>
          <w:tcPr>
            <w:tcW w:w="870" w:type="dxa"/>
            <w:vAlign w:val="center"/>
          </w:tcPr>
          <w:p>
            <w:pPr>
              <w:adjustRightInd w:val="0"/>
              <w:snapToGrid w:val="0"/>
              <w:jc w:val="center"/>
              <w:rPr>
                <w:color w:val="000000"/>
              </w:rPr>
            </w:pPr>
          </w:p>
        </w:tc>
        <w:tc>
          <w:tcPr>
            <w:tcW w:w="945" w:type="dxa"/>
            <w:vAlign w:val="center"/>
          </w:tcPr>
          <w:p>
            <w:pPr>
              <w:adjustRightInd w:val="0"/>
              <w:snapToGrid w:val="0"/>
              <w:jc w:val="center"/>
              <w:rPr>
                <w:color w:val="000000"/>
              </w:rPr>
            </w:pPr>
          </w:p>
        </w:tc>
        <w:tc>
          <w:tcPr>
            <w:tcW w:w="1059" w:type="dxa"/>
            <w:vAlign w:val="center"/>
          </w:tcPr>
          <w:p>
            <w:pPr>
              <w:adjustRightInd w:val="0"/>
              <w:snapToGrid w:val="0"/>
              <w:jc w:val="center"/>
              <w:rPr>
                <w:color w:val="000000"/>
              </w:rPr>
            </w:pPr>
          </w:p>
        </w:tc>
        <w:tc>
          <w:tcPr>
            <w:tcW w:w="1185" w:type="dxa"/>
            <w:vAlign w:val="center"/>
          </w:tcPr>
          <w:p>
            <w:pPr>
              <w:adjustRightInd w:val="0"/>
              <w:snapToGrid w:val="0"/>
              <w:jc w:val="center"/>
              <w:rPr>
                <w:color w:val="000000"/>
              </w:rPr>
            </w:pPr>
          </w:p>
        </w:tc>
        <w:tc>
          <w:tcPr>
            <w:tcW w:w="1185" w:type="dxa"/>
            <w:vAlign w:val="center"/>
          </w:tcPr>
          <w:p>
            <w:pPr>
              <w:adjustRightInd w:val="0"/>
              <w:snapToGrid w:val="0"/>
              <w:jc w:val="center"/>
              <w:rPr>
                <w:color w:val="000000"/>
              </w:rPr>
            </w:pPr>
          </w:p>
        </w:tc>
        <w:tc>
          <w:tcPr>
            <w:tcW w:w="962" w:type="dxa"/>
            <w:vAlign w:val="center"/>
          </w:tcPr>
          <w:p>
            <w:pPr>
              <w:adjustRightInd w:val="0"/>
              <w:snapToGrid w:val="0"/>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vAlign w:val="center"/>
          </w:tcPr>
          <w:p>
            <w:pPr>
              <w:adjustRightInd w:val="0"/>
              <w:snapToGrid w:val="0"/>
              <w:jc w:val="center"/>
              <w:rPr>
                <w:color w:val="000000"/>
              </w:rPr>
            </w:pPr>
          </w:p>
        </w:tc>
        <w:tc>
          <w:tcPr>
            <w:tcW w:w="1791" w:type="dxa"/>
            <w:vAlign w:val="center"/>
          </w:tcPr>
          <w:p>
            <w:pPr>
              <w:adjustRightInd w:val="0"/>
              <w:snapToGrid w:val="0"/>
              <w:jc w:val="center"/>
              <w:rPr>
                <w:color w:val="000000"/>
              </w:rPr>
            </w:pPr>
          </w:p>
        </w:tc>
        <w:tc>
          <w:tcPr>
            <w:tcW w:w="1070" w:type="dxa"/>
            <w:vAlign w:val="center"/>
          </w:tcPr>
          <w:p>
            <w:pPr>
              <w:adjustRightInd w:val="0"/>
              <w:snapToGrid w:val="0"/>
              <w:jc w:val="center"/>
              <w:rPr>
                <w:color w:val="000000"/>
              </w:rPr>
            </w:pPr>
          </w:p>
        </w:tc>
        <w:tc>
          <w:tcPr>
            <w:tcW w:w="870" w:type="dxa"/>
            <w:vAlign w:val="center"/>
          </w:tcPr>
          <w:p>
            <w:pPr>
              <w:adjustRightInd w:val="0"/>
              <w:snapToGrid w:val="0"/>
              <w:jc w:val="center"/>
              <w:rPr>
                <w:color w:val="000000"/>
              </w:rPr>
            </w:pPr>
          </w:p>
        </w:tc>
        <w:tc>
          <w:tcPr>
            <w:tcW w:w="945" w:type="dxa"/>
            <w:vAlign w:val="center"/>
          </w:tcPr>
          <w:p>
            <w:pPr>
              <w:adjustRightInd w:val="0"/>
              <w:snapToGrid w:val="0"/>
              <w:jc w:val="center"/>
              <w:rPr>
                <w:color w:val="000000"/>
              </w:rPr>
            </w:pPr>
          </w:p>
        </w:tc>
        <w:tc>
          <w:tcPr>
            <w:tcW w:w="1059" w:type="dxa"/>
            <w:vAlign w:val="center"/>
          </w:tcPr>
          <w:p>
            <w:pPr>
              <w:adjustRightInd w:val="0"/>
              <w:snapToGrid w:val="0"/>
              <w:jc w:val="center"/>
              <w:rPr>
                <w:color w:val="000000"/>
              </w:rPr>
            </w:pPr>
          </w:p>
        </w:tc>
        <w:tc>
          <w:tcPr>
            <w:tcW w:w="1185" w:type="dxa"/>
            <w:vAlign w:val="center"/>
          </w:tcPr>
          <w:p>
            <w:pPr>
              <w:adjustRightInd w:val="0"/>
              <w:snapToGrid w:val="0"/>
              <w:jc w:val="center"/>
              <w:rPr>
                <w:color w:val="000000"/>
              </w:rPr>
            </w:pPr>
          </w:p>
        </w:tc>
        <w:tc>
          <w:tcPr>
            <w:tcW w:w="1185" w:type="dxa"/>
            <w:vAlign w:val="center"/>
          </w:tcPr>
          <w:p>
            <w:pPr>
              <w:adjustRightInd w:val="0"/>
              <w:snapToGrid w:val="0"/>
              <w:jc w:val="center"/>
              <w:rPr>
                <w:color w:val="000000"/>
              </w:rPr>
            </w:pPr>
          </w:p>
        </w:tc>
        <w:tc>
          <w:tcPr>
            <w:tcW w:w="962" w:type="dxa"/>
            <w:vAlign w:val="center"/>
          </w:tcPr>
          <w:p>
            <w:pPr>
              <w:adjustRightInd w:val="0"/>
              <w:snapToGrid w:val="0"/>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vAlign w:val="center"/>
          </w:tcPr>
          <w:p>
            <w:pPr>
              <w:adjustRightInd w:val="0"/>
              <w:snapToGrid w:val="0"/>
              <w:jc w:val="center"/>
              <w:rPr>
                <w:color w:val="000000"/>
              </w:rPr>
            </w:pPr>
          </w:p>
        </w:tc>
        <w:tc>
          <w:tcPr>
            <w:tcW w:w="1791" w:type="dxa"/>
            <w:vAlign w:val="center"/>
          </w:tcPr>
          <w:p>
            <w:pPr>
              <w:adjustRightInd w:val="0"/>
              <w:snapToGrid w:val="0"/>
              <w:jc w:val="center"/>
              <w:rPr>
                <w:color w:val="000000"/>
              </w:rPr>
            </w:pPr>
          </w:p>
        </w:tc>
        <w:tc>
          <w:tcPr>
            <w:tcW w:w="1070" w:type="dxa"/>
            <w:vAlign w:val="center"/>
          </w:tcPr>
          <w:p>
            <w:pPr>
              <w:adjustRightInd w:val="0"/>
              <w:snapToGrid w:val="0"/>
              <w:jc w:val="center"/>
              <w:rPr>
                <w:color w:val="000000"/>
              </w:rPr>
            </w:pPr>
          </w:p>
        </w:tc>
        <w:tc>
          <w:tcPr>
            <w:tcW w:w="870" w:type="dxa"/>
            <w:vAlign w:val="center"/>
          </w:tcPr>
          <w:p>
            <w:pPr>
              <w:adjustRightInd w:val="0"/>
              <w:snapToGrid w:val="0"/>
              <w:jc w:val="center"/>
              <w:rPr>
                <w:color w:val="000000"/>
              </w:rPr>
            </w:pPr>
          </w:p>
        </w:tc>
        <w:tc>
          <w:tcPr>
            <w:tcW w:w="945" w:type="dxa"/>
            <w:vAlign w:val="center"/>
          </w:tcPr>
          <w:p>
            <w:pPr>
              <w:adjustRightInd w:val="0"/>
              <w:snapToGrid w:val="0"/>
              <w:jc w:val="center"/>
              <w:rPr>
                <w:color w:val="000000"/>
              </w:rPr>
            </w:pPr>
          </w:p>
        </w:tc>
        <w:tc>
          <w:tcPr>
            <w:tcW w:w="1059" w:type="dxa"/>
            <w:vAlign w:val="center"/>
          </w:tcPr>
          <w:p>
            <w:pPr>
              <w:adjustRightInd w:val="0"/>
              <w:snapToGrid w:val="0"/>
              <w:jc w:val="center"/>
              <w:rPr>
                <w:color w:val="000000"/>
              </w:rPr>
            </w:pPr>
          </w:p>
        </w:tc>
        <w:tc>
          <w:tcPr>
            <w:tcW w:w="1185" w:type="dxa"/>
            <w:vAlign w:val="center"/>
          </w:tcPr>
          <w:p>
            <w:pPr>
              <w:adjustRightInd w:val="0"/>
              <w:snapToGrid w:val="0"/>
              <w:jc w:val="center"/>
              <w:rPr>
                <w:color w:val="000000"/>
              </w:rPr>
            </w:pPr>
          </w:p>
        </w:tc>
        <w:tc>
          <w:tcPr>
            <w:tcW w:w="1185" w:type="dxa"/>
            <w:vAlign w:val="center"/>
          </w:tcPr>
          <w:p>
            <w:pPr>
              <w:adjustRightInd w:val="0"/>
              <w:snapToGrid w:val="0"/>
              <w:jc w:val="center"/>
              <w:rPr>
                <w:color w:val="000000"/>
              </w:rPr>
            </w:pPr>
          </w:p>
        </w:tc>
        <w:tc>
          <w:tcPr>
            <w:tcW w:w="962" w:type="dxa"/>
            <w:vAlign w:val="center"/>
          </w:tcPr>
          <w:p>
            <w:pPr>
              <w:adjustRightInd w:val="0"/>
              <w:snapToGrid w:val="0"/>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vAlign w:val="center"/>
          </w:tcPr>
          <w:p>
            <w:pPr>
              <w:adjustRightInd w:val="0"/>
              <w:snapToGrid w:val="0"/>
              <w:rPr>
                <w:color w:val="000000"/>
              </w:rPr>
            </w:pPr>
          </w:p>
        </w:tc>
        <w:tc>
          <w:tcPr>
            <w:tcW w:w="1791" w:type="dxa"/>
            <w:vAlign w:val="center"/>
          </w:tcPr>
          <w:p>
            <w:pPr>
              <w:adjustRightInd w:val="0"/>
              <w:snapToGrid w:val="0"/>
              <w:jc w:val="center"/>
              <w:rPr>
                <w:color w:val="000000"/>
              </w:rPr>
            </w:pPr>
          </w:p>
        </w:tc>
        <w:tc>
          <w:tcPr>
            <w:tcW w:w="1070" w:type="dxa"/>
            <w:vAlign w:val="center"/>
          </w:tcPr>
          <w:p>
            <w:pPr>
              <w:adjustRightInd w:val="0"/>
              <w:snapToGrid w:val="0"/>
              <w:jc w:val="center"/>
              <w:rPr>
                <w:color w:val="000000"/>
              </w:rPr>
            </w:pPr>
          </w:p>
        </w:tc>
        <w:tc>
          <w:tcPr>
            <w:tcW w:w="870" w:type="dxa"/>
            <w:vAlign w:val="center"/>
          </w:tcPr>
          <w:p>
            <w:pPr>
              <w:adjustRightInd w:val="0"/>
              <w:snapToGrid w:val="0"/>
              <w:jc w:val="center"/>
              <w:rPr>
                <w:color w:val="000000"/>
              </w:rPr>
            </w:pPr>
          </w:p>
        </w:tc>
        <w:tc>
          <w:tcPr>
            <w:tcW w:w="945" w:type="dxa"/>
            <w:vAlign w:val="center"/>
          </w:tcPr>
          <w:p>
            <w:pPr>
              <w:adjustRightInd w:val="0"/>
              <w:snapToGrid w:val="0"/>
              <w:jc w:val="center"/>
              <w:rPr>
                <w:color w:val="000000"/>
              </w:rPr>
            </w:pPr>
          </w:p>
        </w:tc>
        <w:tc>
          <w:tcPr>
            <w:tcW w:w="1059" w:type="dxa"/>
            <w:vAlign w:val="center"/>
          </w:tcPr>
          <w:p>
            <w:pPr>
              <w:adjustRightInd w:val="0"/>
              <w:snapToGrid w:val="0"/>
              <w:jc w:val="center"/>
              <w:rPr>
                <w:color w:val="000000"/>
              </w:rPr>
            </w:pPr>
          </w:p>
        </w:tc>
        <w:tc>
          <w:tcPr>
            <w:tcW w:w="1185" w:type="dxa"/>
            <w:vAlign w:val="center"/>
          </w:tcPr>
          <w:p>
            <w:pPr>
              <w:adjustRightInd w:val="0"/>
              <w:snapToGrid w:val="0"/>
              <w:jc w:val="center"/>
              <w:rPr>
                <w:color w:val="000000"/>
              </w:rPr>
            </w:pPr>
          </w:p>
        </w:tc>
        <w:tc>
          <w:tcPr>
            <w:tcW w:w="1185" w:type="dxa"/>
            <w:vAlign w:val="center"/>
          </w:tcPr>
          <w:p>
            <w:pPr>
              <w:adjustRightInd w:val="0"/>
              <w:snapToGrid w:val="0"/>
              <w:jc w:val="center"/>
              <w:rPr>
                <w:color w:val="000000"/>
              </w:rPr>
            </w:pPr>
          </w:p>
        </w:tc>
        <w:tc>
          <w:tcPr>
            <w:tcW w:w="962" w:type="dxa"/>
            <w:vAlign w:val="center"/>
          </w:tcPr>
          <w:p>
            <w:pPr>
              <w:adjustRightInd w:val="0"/>
              <w:snapToGrid w:val="0"/>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vAlign w:val="center"/>
          </w:tcPr>
          <w:p>
            <w:pPr>
              <w:adjustRightInd w:val="0"/>
              <w:snapToGrid w:val="0"/>
              <w:rPr>
                <w:color w:val="000000"/>
              </w:rPr>
            </w:pPr>
          </w:p>
        </w:tc>
        <w:tc>
          <w:tcPr>
            <w:tcW w:w="1791" w:type="dxa"/>
            <w:vAlign w:val="center"/>
          </w:tcPr>
          <w:p>
            <w:pPr>
              <w:adjustRightInd w:val="0"/>
              <w:snapToGrid w:val="0"/>
              <w:jc w:val="center"/>
              <w:rPr>
                <w:color w:val="000000"/>
              </w:rPr>
            </w:pPr>
          </w:p>
        </w:tc>
        <w:tc>
          <w:tcPr>
            <w:tcW w:w="1070" w:type="dxa"/>
            <w:vAlign w:val="center"/>
          </w:tcPr>
          <w:p>
            <w:pPr>
              <w:adjustRightInd w:val="0"/>
              <w:snapToGrid w:val="0"/>
              <w:jc w:val="center"/>
              <w:rPr>
                <w:color w:val="000000"/>
              </w:rPr>
            </w:pPr>
          </w:p>
        </w:tc>
        <w:tc>
          <w:tcPr>
            <w:tcW w:w="870" w:type="dxa"/>
            <w:vAlign w:val="center"/>
          </w:tcPr>
          <w:p>
            <w:pPr>
              <w:adjustRightInd w:val="0"/>
              <w:snapToGrid w:val="0"/>
              <w:jc w:val="center"/>
              <w:rPr>
                <w:color w:val="000000"/>
              </w:rPr>
            </w:pPr>
          </w:p>
        </w:tc>
        <w:tc>
          <w:tcPr>
            <w:tcW w:w="945" w:type="dxa"/>
            <w:vAlign w:val="center"/>
          </w:tcPr>
          <w:p>
            <w:pPr>
              <w:adjustRightInd w:val="0"/>
              <w:snapToGrid w:val="0"/>
              <w:jc w:val="center"/>
              <w:rPr>
                <w:color w:val="000000"/>
              </w:rPr>
            </w:pPr>
          </w:p>
        </w:tc>
        <w:tc>
          <w:tcPr>
            <w:tcW w:w="1059" w:type="dxa"/>
            <w:vAlign w:val="center"/>
          </w:tcPr>
          <w:p>
            <w:pPr>
              <w:adjustRightInd w:val="0"/>
              <w:snapToGrid w:val="0"/>
              <w:jc w:val="center"/>
              <w:rPr>
                <w:color w:val="000000"/>
              </w:rPr>
            </w:pPr>
          </w:p>
        </w:tc>
        <w:tc>
          <w:tcPr>
            <w:tcW w:w="1185" w:type="dxa"/>
            <w:vAlign w:val="center"/>
          </w:tcPr>
          <w:p>
            <w:pPr>
              <w:adjustRightInd w:val="0"/>
              <w:snapToGrid w:val="0"/>
              <w:jc w:val="center"/>
              <w:rPr>
                <w:color w:val="000000"/>
              </w:rPr>
            </w:pPr>
          </w:p>
        </w:tc>
        <w:tc>
          <w:tcPr>
            <w:tcW w:w="1185" w:type="dxa"/>
            <w:vAlign w:val="center"/>
          </w:tcPr>
          <w:p>
            <w:pPr>
              <w:adjustRightInd w:val="0"/>
              <w:snapToGrid w:val="0"/>
              <w:jc w:val="center"/>
              <w:rPr>
                <w:color w:val="000000"/>
              </w:rPr>
            </w:pPr>
          </w:p>
        </w:tc>
        <w:tc>
          <w:tcPr>
            <w:tcW w:w="962" w:type="dxa"/>
            <w:vAlign w:val="center"/>
          </w:tcPr>
          <w:p>
            <w:pPr>
              <w:adjustRightInd w:val="0"/>
              <w:snapToGrid w:val="0"/>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22" w:hRule="atLeast"/>
          <w:jc w:val="center"/>
        </w:trPr>
        <w:tc>
          <w:tcPr>
            <w:tcW w:w="673" w:type="dxa"/>
            <w:vAlign w:val="center"/>
          </w:tcPr>
          <w:p>
            <w:pPr>
              <w:adjustRightInd w:val="0"/>
              <w:snapToGrid w:val="0"/>
              <w:rPr>
                <w:color w:val="000000"/>
              </w:rPr>
            </w:pPr>
          </w:p>
        </w:tc>
        <w:tc>
          <w:tcPr>
            <w:tcW w:w="1791" w:type="dxa"/>
            <w:vAlign w:val="center"/>
          </w:tcPr>
          <w:p>
            <w:pPr>
              <w:adjustRightInd w:val="0"/>
              <w:snapToGrid w:val="0"/>
              <w:jc w:val="center"/>
              <w:rPr>
                <w:color w:val="000000"/>
              </w:rPr>
            </w:pPr>
          </w:p>
        </w:tc>
        <w:tc>
          <w:tcPr>
            <w:tcW w:w="1070" w:type="dxa"/>
            <w:vAlign w:val="center"/>
          </w:tcPr>
          <w:p>
            <w:pPr>
              <w:adjustRightInd w:val="0"/>
              <w:snapToGrid w:val="0"/>
              <w:jc w:val="center"/>
              <w:rPr>
                <w:color w:val="000000"/>
              </w:rPr>
            </w:pPr>
          </w:p>
        </w:tc>
        <w:tc>
          <w:tcPr>
            <w:tcW w:w="870" w:type="dxa"/>
            <w:vAlign w:val="center"/>
          </w:tcPr>
          <w:p>
            <w:pPr>
              <w:adjustRightInd w:val="0"/>
              <w:snapToGrid w:val="0"/>
              <w:jc w:val="center"/>
              <w:rPr>
                <w:color w:val="000000"/>
              </w:rPr>
            </w:pPr>
          </w:p>
        </w:tc>
        <w:tc>
          <w:tcPr>
            <w:tcW w:w="945" w:type="dxa"/>
            <w:vAlign w:val="center"/>
          </w:tcPr>
          <w:p>
            <w:pPr>
              <w:adjustRightInd w:val="0"/>
              <w:snapToGrid w:val="0"/>
              <w:jc w:val="center"/>
              <w:rPr>
                <w:color w:val="000000"/>
              </w:rPr>
            </w:pPr>
          </w:p>
        </w:tc>
        <w:tc>
          <w:tcPr>
            <w:tcW w:w="1059" w:type="dxa"/>
            <w:vAlign w:val="center"/>
          </w:tcPr>
          <w:p>
            <w:pPr>
              <w:adjustRightInd w:val="0"/>
              <w:snapToGrid w:val="0"/>
              <w:jc w:val="center"/>
              <w:rPr>
                <w:color w:val="000000"/>
              </w:rPr>
            </w:pPr>
          </w:p>
        </w:tc>
        <w:tc>
          <w:tcPr>
            <w:tcW w:w="1185" w:type="dxa"/>
            <w:vAlign w:val="center"/>
          </w:tcPr>
          <w:p>
            <w:pPr>
              <w:adjustRightInd w:val="0"/>
              <w:snapToGrid w:val="0"/>
              <w:jc w:val="center"/>
              <w:rPr>
                <w:color w:val="000000"/>
              </w:rPr>
            </w:pPr>
          </w:p>
        </w:tc>
        <w:tc>
          <w:tcPr>
            <w:tcW w:w="1185" w:type="dxa"/>
            <w:vAlign w:val="center"/>
          </w:tcPr>
          <w:p>
            <w:pPr>
              <w:adjustRightInd w:val="0"/>
              <w:snapToGrid w:val="0"/>
              <w:jc w:val="center"/>
              <w:rPr>
                <w:color w:val="000000"/>
              </w:rPr>
            </w:pPr>
          </w:p>
        </w:tc>
        <w:tc>
          <w:tcPr>
            <w:tcW w:w="962" w:type="dxa"/>
            <w:vAlign w:val="center"/>
          </w:tcPr>
          <w:p>
            <w:pPr>
              <w:adjustRightInd w:val="0"/>
              <w:snapToGrid w:val="0"/>
              <w:jc w:val="center"/>
              <w:rPr>
                <w:color w:val="000000"/>
              </w:rPr>
            </w:pPr>
          </w:p>
        </w:tc>
      </w:tr>
    </w:tbl>
    <w:p>
      <w:pPr>
        <w:tabs>
          <w:tab w:val="left" w:pos="4532"/>
        </w:tabs>
        <w:rPr>
          <w:color w:val="000000"/>
          <w:sz w:val="10"/>
          <w:szCs w:val="10"/>
        </w:rPr>
      </w:pPr>
    </w:p>
    <w:p>
      <w:pPr>
        <w:tabs>
          <w:tab w:val="left" w:pos="4532"/>
        </w:tabs>
        <w:rPr>
          <w:color w:val="000000"/>
        </w:rPr>
      </w:pPr>
      <w:r>
        <w:rPr>
          <w:rFonts w:hint="eastAsia"/>
          <w:color w:val="000000"/>
        </w:rPr>
        <w:t>1、一旦我单位成交，将实行项目负责人负责制，并配备上述项目机构人员。我方保证上述填报内容真实，若不真实，愿按有关规定接受处理。</w:t>
      </w:r>
    </w:p>
    <w:p>
      <w:pPr>
        <w:tabs>
          <w:tab w:val="left" w:pos="4532"/>
        </w:tabs>
        <w:rPr>
          <w:color w:val="000000"/>
        </w:rPr>
      </w:pPr>
      <w:r>
        <w:rPr>
          <w:rFonts w:hint="eastAsia"/>
          <w:color w:val="000000"/>
        </w:rPr>
        <w:t>2、以上的人员须随表提交相应的证书复印件及在职证明等资料。</w:t>
      </w:r>
    </w:p>
    <w:p>
      <w:pPr>
        <w:tabs>
          <w:tab w:val="left" w:pos="4532"/>
        </w:tabs>
        <w:rPr>
          <w:color w:val="000000"/>
        </w:rPr>
      </w:pPr>
    </w:p>
    <w:p>
      <w:pPr>
        <w:tabs>
          <w:tab w:val="left" w:pos="4532"/>
        </w:tabs>
        <w:rPr>
          <w:color w:val="000000"/>
        </w:rPr>
      </w:pPr>
    </w:p>
    <w:p>
      <w:pPr>
        <w:tabs>
          <w:tab w:val="left" w:pos="4532"/>
        </w:tabs>
        <w:rPr>
          <w:color w:val="000000"/>
        </w:rPr>
      </w:pPr>
    </w:p>
    <w:p>
      <w:pPr>
        <w:tabs>
          <w:tab w:val="left" w:pos="4532"/>
        </w:tabs>
        <w:rPr>
          <w:color w:val="000000"/>
        </w:rPr>
      </w:pPr>
    </w:p>
    <w:p>
      <w:pPr>
        <w:spacing w:line="380" w:lineRule="exact"/>
        <w:rPr>
          <w:rFonts w:ascii="Arial" w:hAnsi="Arial" w:cs="Arial"/>
          <w:color w:val="000000"/>
        </w:rPr>
      </w:pPr>
      <w:r>
        <w:rPr>
          <w:rFonts w:hint="eastAsia" w:ascii="Arial" w:cs="Arial"/>
          <w:color w:val="000000"/>
        </w:rPr>
        <w:t>供应商</w:t>
      </w:r>
      <w:r>
        <w:rPr>
          <w:rFonts w:ascii="Arial" w:cs="Arial"/>
          <w:color w:val="000000"/>
        </w:rPr>
        <w:t>全称（</w:t>
      </w:r>
      <w:r>
        <w:rPr>
          <w:rFonts w:hint="eastAsia" w:ascii="Arial" w:cs="Arial"/>
          <w:color w:val="000000"/>
        </w:rPr>
        <w:t>盖公</w:t>
      </w:r>
      <w:r>
        <w:rPr>
          <w:rFonts w:ascii="Arial" w:cs="Arial"/>
          <w:color w:val="000000"/>
        </w:rPr>
        <w:t>章）：</w:t>
      </w:r>
    </w:p>
    <w:p>
      <w:pPr>
        <w:spacing w:line="380" w:lineRule="exact"/>
        <w:rPr>
          <w:rFonts w:ascii="Arial" w:hAnsi="Arial" w:cs="Arial"/>
          <w:color w:val="000000"/>
        </w:rPr>
      </w:pPr>
      <w:r>
        <w:rPr>
          <w:rFonts w:hint="eastAsia" w:ascii="Arial" w:cs="Arial"/>
          <w:color w:val="000000"/>
        </w:rPr>
        <w:t>法定代表人或</w:t>
      </w:r>
      <w:r>
        <w:rPr>
          <w:rFonts w:ascii="Arial" w:cs="Arial"/>
          <w:color w:val="000000"/>
        </w:rPr>
        <w:t>授权代表（签字</w:t>
      </w:r>
      <w:r>
        <w:rPr>
          <w:rFonts w:hint="eastAsia" w:ascii="Arial" w:cs="Arial"/>
          <w:color w:val="000000"/>
        </w:rPr>
        <w:t>或盖章</w:t>
      </w:r>
      <w:r>
        <w:rPr>
          <w:rFonts w:ascii="Arial" w:cs="Arial"/>
          <w:color w:val="000000"/>
        </w:rPr>
        <w:t>）：</w:t>
      </w:r>
    </w:p>
    <w:p>
      <w:pPr>
        <w:spacing w:line="380" w:lineRule="exact"/>
        <w:rPr>
          <w:rFonts w:ascii="Arial" w:cs="Arial"/>
          <w:color w:val="000000"/>
        </w:rPr>
      </w:pPr>
      <w:r>
        <w:rPr>
          <w:rFonts w:ascii="Arial" w:cs="Arial"/>
          <w:color w:val="000000"/>
        </w:rPr>
        <w:t>日期：</w:t>
      </w:r>
    </w:p>
    <w:p>
      <w:pPr>
        <w:pStyle w:val="14"/>
        <w:adjustRightInd w:val="0"/>
        <w:snapToGrid w:val="0"/>
        <w:spacing w:line="400" w:lineRule="exact"/>
        <w:rPr>
          <w:rFonts w:hAnsi="宋体"/>
          <w:b/>
          <w:bCs/>
          <w:color w:val="000000"/>
          <w:sz w:val="24"/>
          <w:szCs w:val="24"/>
        </w:rPr>
        <w:sectPr>
          <w:headerReference r:id="rId7" w:type="default"/>
          <w:footerReference r:id="rId8" w:type="default"/>
          <w:pgSz w:w="11907" w:h="16840"/>
          <w:pgMar w:top="1247" w:right="1134" w:bottom="1247" w:left="1134" w:header="851" w:footer="992" w:gutter="0"/>
          <w:cols w:space="720" w:num="1"/>
          <w:docGrid w:linePitch="312" w:charSpace="0"/>
        </w:sectPr>
      </w:pPr>
    </w:p>
    <w:p>
      <w:pPr>
        <w:pStyle w:val="24"/>
        <w:adjustRightInd w:val="0"/>
        <w:snapToGrid w:val="0"/>
        <w:spacing w:before="0" w:beforeAutospacing="0" w:after="0" w:afterAutospacing="0" w:line="400" w:lineRule="exact"/>
        <w:jc w:val="both"/>
        <w:rPr>
          <w:rFonts w:hAnsi="Courier New" w:cs="宋体"/>
          <w:b/>
          <w:color w:val="000000"/>
          <w:sz w:val="32"/>
          <w:szCs w:val="20"/>
        </w:rPr>
      </w:pPr>
      <w:r>
        <w:rPr>
          <w:rFonts w:hint="eastAsia" w:hAnsi="Courier New" w:cs="宋体"/>
          <w:b/>
          <w:color w:val="000000"/>
          <w:sz w:val="32"/>
          <w:szCs w:val="20"/>
        </w:rPr>
        <w:t xml:space="preserve">附件六 </w:t>
      </w:r>
    </w:p>
    <w:p>
      <w:pPr>
        <w:spacing w:line="430" w:lineRule="atLeast"/>
        <w:jc w:val="center"/>
        <w:rPr>
          <w:bCs/>
          <w:sz w:val="28"/>
          <w:szCs w:val="28"/>
        </w:rPr>
      </w:pPr>
      <w:r>
        <w:rPr>
          <w:rFonts w:hint="eastAsia" w:cs="Arial"/>
          <w:bCs/>
          <w:color w:val="000000"/>
          <w:kern w:val="0"/>
          <w:sz w:val="28"/>
          <w:szCs w:val="28"/>
        </w:rPr>
        <w:t>投标供应商业绩</w:t>
      </w:r>
    </w:p>
    <w:tbl>
      <w:tblPr>
        <w:tblStyle w:val="29"/>
        <w:tblW w:w="0" w:type="auto"/>
        <w:tblInd w:w="-227"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7"/>
        <w:gridCol w:w="2110"/>
        <w:gridCol w:w="1097"/>
        <w:gridCol w:w="1408"/>
        <w:gridCol w:w="1047"/>
        <w:gridCol w:w="1228"/>
        <w:gridCol w:w="1561"/>
        <w:gridCol w:w="892"/>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25" w:hRule="atLeast"/>
        </w:trPr>
        <w:tc>
          <w:tcPr>
            <w:tcW w:w="757" w:type="dxa"/>
            <w:vAlign w:val="center"/>
          </w:tcPr>
          <w:p>
            <w:pPr>
              <w:jc w:val="center"/>
              <w:rPr>
                <w:caps/>
                <w:color w:val="000000"/>
                <w:spacing w:val="20"/>
              </w:rPr>
            </w:pPr>
            <w:r>
              <w:rPr>
                <w:rFonts w:hint="eastAsia"/>
                <w:caps/>
                <w:color w:val="000000"/>
                <w:spacing w:val="20"/>
              </w:rPr>
              <w:t>序号</w:t>
            </w:r>
          </w:p>
        </w:tc>
        <w:tc>
          <w:tcPr>
            <w:tcW w:w="2110" w:type="dxa"/>
            <w:vAlign w:val="center"/>
          </w:tcPr>
          <w:p>
            <w:pPr>
              <w:jc w:val="center"/>
              <w:rPr>
                <w:caps/>
                <w:color w:val="000000"/>
                <w:spacing w:val="20"/>
              </w:rPr>
            </w:pPr>
            <w:r>
              <w:rPr>
                <w:rFonts w:hint="eastAsia"/>
                <w:caps/>
                <w:color w:val="000000"/>
                <w:spacing w:val="20"/>
              </w:rPr>
              <w:t>项目名称</w:t>
            </w:r>
          </w:p>
        </w:tc>
        <w:tc>
          <w:tcPr>
            <w:tcW w:w="1097" w:type="dxa"/>
            <w:vAlign w:val="center"/>
          </w:tcPr>
          <w:p>
            <w:pPr>
              <w:jc w:val="center"/>
              <w:rPr>
                <w:rFonts w:eastAsia="仿宋_GB2312"/>
                <w:caps/>
                <w:color w:val="000000"/>
                <w:spacing w:val="20"/>
              </w:rPr>
            </w:pPr>
            <w:r>
              <w:rPr>
                <w:rFonts w:hint="eastAsia"/>
                <w:caps/>
                <w:color w:val="000000"/>
                <w:spacing w:val="20"/>
              </w:rPr>
              <w:t>业主单位名称</w:t>
            </w:r>
          </w:p>
        </w:tc>
        <w:tc>
          <w:tcPr>
            <w:tcW w:w="1408" w:type="dxa"/>
            <w:vAlign w:val="center"/>
          </w:tcPr>
          <w:p>
            <w:pPr>
              <w:jc w:val="center"/>
              <w:rPr>
                <w:caps/>
                <w:color w:val="000000"/>
                <w:spacing w:val="20"/>
              </w:rPr>
            </w:pPr>
            <w:r>
              <w:rPr>
                <w:rFonts w:hint="eastAsia"/>
                <w:caps/>
                <w:color w:val="000000"/>
                <w:spacing w:val="20"/>
              </w:rPr>
              <w:t>合同</w:t>
            </w:r>
          </w:p>
          <w:p>
            <w:pPr>
              <w:jc w:val="center"/>
              <w:rPr>
                <w:caps/>
                <w:color w:val="000000"/>
                <w:spacing w:val="20"/>
              </w:rPr>
            </w:pPr>
            <w:r>
              <w:rPr>
                <w:rFonts w:hint="eastAsia"/>
                <w:caps/>
                <w:color w:val="000000"/>
                <w:spacing w:val="20"/>
              </w:rPr>
              <w:t>金额</w:t>
            </w:r>
          </w:p>
        </w:tc>
        <w:tc>
          <w:tcPr>
            <w:tcW w:w="1047" w:type="dxa"/>
            <w:vAlign w:val="center"/>
          </w:tcPr>
          <w:p>
            <w:pPr>
              <w:jc w:val="center"/>
              <w:rPr>
                <w:color w:val="000000"/>
                <w:spacing w:val="20"/>
              </w:rPr>
            </w:pPr>
            <w:r>
              <w:rPr>
                <w:rFonts w:hint="eastAsia"/>
                <w:color w:val="000000"/>
                <w:spacing w:val="20"/>
              </w:rPr>
              <w:t>签约</w:t>
            </w:r>
          </w:p>
          <w:p>
            <w:pPr>
              <w:jc w:val="center"/>
              <w:rPr>
                <w:caps/>
                <w:color w:val="000000"/>
                <w:spacing w:val="20"/>
              </w:rPr>
            </w:pPr>
            <w:r>
              <w:rPr>
                <w:rFonts w:hint="eastAsia"/>
                <w:color w:val="000000"/>
                <w:spacing w:val="20"/>
              </w:rPr>
              <w:t>日期</w:t>
            </w:r>
          </w:p>
        </w:tc>
        <w:tc>
          <w:tcPr>
            <w:tcW w:w="1228" w:type="dxa"/>
            <w:vAlign w:val="center"/>
          </w:tcPr>
          <w:p>
            <w:pPr>
              <w:jc w:val="center"/>
              <w:rPr>
                <w:color w:val="000000"/>
                <w:spacing w:val="20"/>
              </w:rPr>
            </w:pPr>
            <w:r>
              <w:rPr>
                <w:rFonts w:hint="eastAsia"/>
                <w:color w:val="000000"/>
                <w:spacing w:val="20"/>
              </w:rPr>
              <w:t>业主</w:t>
            </w:r>
          </w:p>
          <w:p>
            <w:pPr>
              <w:jc w:val="center"/>
              <w:rPr>
                <w:color w:val="000000"/>
                <w:spacing w:val="20"/>
              </w:rPr>
            </w:pPr>
            <w:r>
              <w:rPr>
                <w:rFonts w:hint="eastAsia"/>
                <w:color w:val="000000"/>
                <w:spacing w:val="20"/>
              </w:rPr>
              <w:t>联系人</w:t>
            </w:r>
          </w:p>
        </w:tc>
        <w:tc>
          <w:tcPr>
            <w:tcW w:w="1561" w:type="dxa"/>
            <w:vAlign w:val="center"/>
          </w:tcPr>
          <w:p>
            <w:pPr>
              <w:jc w:val="center"/>
              <w:rPr>
                <w:color w:val="000000"/>
                <w:spacing w:val="20"/>
              </w:rPr>
            </w:pPr>
            <w:r>
              <w:rPr>
                <w:rFonts w:hint="eastAsia"/>
                <w:color w:val="000000"/>
                <w:spacing w:val="20"/>
              </w:rPr>
              <w:t>业主</w:t>
            </w:r>
          </w:p>
          <w:p>
            <w:pPr>
              <w:jc w:val="center"/>
              <w:rPr>
                <w:color w:val="000000"/>
                <w:spacing w:val="20"/>
              </w:rPr>
            </w:pPr>
            <w:r>
              <w:rPr>
                <w:rFonts w:hint="eastAsia"/>
                <w:color w:val="000000"/>
                <w:spacing w:val="20"/>
              </w:rPr>
              <w:t>联系电话</w:t>
            </w:r>
          </w:p>
        </w:tc>
        <w:tc>
          <w:tcPr>
            <w:tcW w:w="892" w:type="dxa"/>
            <w:vAlign w:val="center"/>
          </w:tcPr>
          <w:p>
            <w:pPr>
              <w:jc w:val="center"/>
              <w:rPr>
                <w:color w:val="000000"/>
                <w:spacing w:val="20"/>
              </w:rPr>
            </w:pPr>
            <w:r>
              <w:rPr>
                <w:rFonts w:hint="eastAsia"/>
                <w:color w:val="000000"/>
                <w:spacing w:val="20"/>
              </w:rPr>
              <w:t>备注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28" w:hRule="atLeast"/>
        </w:trPr>
        <w:tc>
          <w:tcPr>
            <w:tcW w:w="757" w:type="dxa"/>
          </w:tcPr>
          <w:p>
            <w:pPr>
              <w:rPr>
                <w:color w:val="000000"/>
                <w:spacing w:val="20"/>
              </w:rPr>
            </w:pPr>
          </w:p>
        </w:tc>
        <w:tc>
          <w:tcPr>
            <w:tcW w:w="2110" w:type="dxa"/>
          </w:tcPr>
          <w:p>
            <w:pPr>
              <w:rPr>
                <w:color w:val="000000"/>
                <w:spacing w:val="20"/>
              </w:rPr>
            </w:pPr>
          </w:p>
        </w:tc>
        <w:tc>
          <w:tcPr>
            <w:tcW w:w="1097" w:type="dxa"/>
          </w:tcPr>
          <w:p>
            <w:pPr>
              <w:rPr>
                <w:color w:val="000000"/>
                <w:spacing w:val="20"/>
              </w:rPr>
            </w:pPr>
          </w:p>
        </w:tc>
        <w:tc>
          <w:tcPr>
            <w:tcW w:w="1408" w:type="dxa"/>
          </w:tcPr>
          <w:p>
            <w:pPr>
              <w:rPr>
                <w:color w:val="000000"/>
                <w:spacing w:val="20"/>
              </w:rPr>
            </w:pPr>
          </w:p>
        </w:tc>
        <w:tc>
          <w:tcPr>
            <w:tcW w:w="1047" w:type="dxa"/>
          </w:tcPr>
          <w:p>
            <w:pPr>
              <w:rPr>
                <w:color w:val="000000"/>
                <w:spacing w:val="20"/>
              </w:rPr>
            </w:pPr>
          </w:p>
        </w:tc>
        <w:tc>
          <w:tcPr>
            <w:tcW w:w="1228" w:type="dxa"/>
          </w:tcPr>
          <w:p>
            <w:pPr>
              <w:rPr>
                <w:color w:val="000000"/>
                <w:spacing w:val="20"/>
              </w:rPr>
            </w:pPr>
          </w:p>
        </w:tc>
        <w:tc>
          <w:tcPr>
            <w:tcW w:w="1561" w:type="dxa"/>
          </w:tcPr>
          <w:p>
            <w:pPr>
              <w:rPr>
                <w:color w:val="000000"/>
                <w:spacing w:val="20"/>
              </w:rPr>
            </w:pPr>
          </w:p>
        </w:tc>
        <w:tc>
          <w:tcPr>
            <w:tcW w:w="892" w:type="dxa"/>
          </w:tcPr>
          <w:p>
            <w:pPr>
              <w:rPr>
                <w:color w:val="000000"/>
                <w:spacing w:val="2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08" w:hRule="atLeast"/>
        </w:trPr>
        <w:tc>
          <w:tcPr>
            <w:tcW w:w="757" w:type="dxa"/>
          </w:tcPr>
          <w:p>
            <w:pPr>
              <w:rPr>
                <w:color w:val="000000"/>
                <w:spacing w:val="20"/>
              </w:rPr>
            </w:pPr>
          </w:p>
        </w:tc>
        <w:tc>
          <w:tcPr>
            <w:tcW w:w="2110" w:type="dxa"/>
          </w:tcPr>
          <w:p>
            <w:pPr>
              <w:rPr>
                <w:color w:val="000000"/>
                <w:spacing w:val="20"/>
              </w:rPr>
            </w:pPr>
          </w:p>
        </w:tc>
        <w:tc>
          <w:tcPr>
            <w:tcW w:w="1097" w:type="dxa"/>
          </w:tcPr>
          <w:p>
            <w:pPr>
              <w:rPr>
                <w:color w:val="000000"/>
                <w:spacing w:val="20"/>
              </w:rPr>
            </w:pPr>
          </w:p>
        </w:tc>
        <w:tc>
          <w:tcPr>
            <w:tcW w:w="1408" w:type="dxa"/>
          </w:tcPr>
          <w:p>
            <w:pPr>
              <w:rPr>
                <w:color w:val="000000"/>
                <w:spacing w:val="20"/>
              </w:rPr>
            </w:pPr>
          </w:p>
        </w:tc>
        <w:tc>
          <w:tcPr>
            <w:tcW w:w="1047" w:type="dxa"/>
          </w:tcPr>
          <w:p>
            <w:pPr>
              <w:rPr>
                <w:color w:val="000000"/>
                <w:spacing w:val="20"/>
              </w:rPr>
            </w:pPr>
          </w:p>
        </w:tc>
        <w:tc>
          <w:tcPr>
            <w:tcW w:w="1228" w:type="dxa"/>
          </w:tcPr>
          <w:p>
            <w:pPr>
              <w:rPr>
                <w:color w:val="000000"/>
                <w:spacing w:val="20"/>
              </w:rPr>
            </w:pPr>
          </w:p>
        </w:tc>
        <w:tc>
          <w:tcPr>
            <w:tcW w:w="1561" w:type="dxa"/>
          </w:tcPr>
          <w:p>
            <w:pPr>
              <w:rPr>
                <w:color w:val="000000"/>
                <w:spacing w:val="20"/>
              </w:rPr>
            </w:pPr>
          </w:p>
        </w:tc>
        <w:tc>
          <w:tcPr>
            <w:tcW w:w="892" w:type="dxa"/>
          </w:tcPr>
          <w:p>
            <w:pPr>
              <w:rPr>
                <w:color w:val="000000"/>
                <w:spacing w:val="2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28" w:hRule="atLeast"/>
        </w:trPr>
        <w:tc>
          <w:tcPr>
            <w:tcW w:w="757" w:type="dxa"/>
          </w:tcPr>
          <w:p>
            <w:pPr>
              <w:rPr>
                <w:color w:val="000000"/>
                <w:spacing w:val="20"/>
              </w:rPr>
            </w:pPr>
          </w:p>
        </w:tc>
        <w:tc>
          <w:tcPr>
            <w:tcW w:w="2110" w:type="dxa"/>
          </w:tcPr>
          <w:p>
            <w:pPr>
              <w:rPr>
                <w:color w:val="000000"/>
                <w:spacing w:val="20"/>
              </w:rPr>
            </w:pPr>
          </w:p>
        </w:tc>
        <w:tc>
          <w:tcPr>
            <w:tcW w:w="1097" w:type="dxa"/>
          </w:tcPr>
          <w:p>
            <w:pPr>
              <w:rPr>
                <w:color w:val="000000"/>
                <w:spacing w:val="20"/>
              </w:rPr>
            </w:pPr>
          </w:p>
        </w:tc>
        <w:tc>
          <w:tcPr>
            <w:tcW w:w="1408" w:type="dxa"/>
          </w:tcPr>
          <w:p>
            <w:pPr>
              <w:rPr>
                <w:color w:val="000000"/>
                <w:spacing w:val="20"/>
              </w:rPr>
            </w:pPr>
          </w:p>
        </w:tc>
        <w:tc>
          <w:tcPr>
            <w:tcW w:w="1047" w:type="dxa"/>
          </w:tcPr>
          <w:p>
            <w:pPr>
              <w:rPr>
                <w:color w:val="000000"/>
                <w:spacing w:val="20"/>
              </w:rPr>
            </w:pPr>
          </w:p>
        </w:tc>
        <w:tc>
          <w:tcPr>
            <w:tcW w:w="1228" w:type="dxa"/>
          </w:tcPr>
          <w:p>
            <w:pPr>
              <w:rPr>
                <w:color w:val="000000"/>
                <w:spacing w:val="20"/>
              </w:rPr>
            </w:pPr>
          </w:p>
        </w:tc>
        <w:tc>
          <w:tcPr>
            <w:tcW w:w="1561" w:type="dxa"/>
          </w:tcPr>
          <w:p>
            <w:pPr>
              <w:rPr>
                <w:color w:val="000000"/>
                <w:spacing w:val="20"/>
              </w:rPr>
            </w:pPr>
          </w:p>
        </w:tc>
        <w:tc>
          <w:tcPr>
            <w:tcW w:w="892" w:type="dxa"/>
          </w:tcPr>
          <w:p>
            <w:pPr>
              <w:rPr>
                <w:color w:val="000000"/>
                <w:spacing w:val="2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08" w:hRule="atLeast"/>
        </w:trPr>
        <w:tc>
          <w:tcPr>
            <w:tcW w:w="757" w:type="dxa"/>
          </w:tcPr>
          <w:p>
            <w:pPr>
              <w:rPr>
                <w:color w:val="000000"/>
                <w:spacing w:val="20"/>
              </w:rPr>
            </w:pPr>
          </w:p>
        </w:tc>
        <w:tc>
          <w:tcPr>
            <w:tcW w:w="2110" w:type="dxa"/>
          </w:tcPr>
          <w:p>
            <w:pPr>
              <w:rPr>
                <w:color w:val="000000"/>
                <w:spacing w:val="20"/>
              </w:rPr>
            </w:pPr>
          </w:p>
        </w:tc>
        <w:tc>
          <w:tcPr>
            <w:tcW w:w="1097" w:type="dxa"/>
          </w:tcPr>
          <w:p>
            <w:pPr>
              <w:rPr>
                <w:color w:val="000000"/>
                <w:spacing w:val="20"/>
              </w:rPr>
            </w:pPr>
          </w:p>
        </w:tc>
        <w:tc>
          <w:tcPr>
            <w:tcW w:w="1408" w:type="dxa"/>
          </w:tcPr>
          <w:p>
            <w:pPr>
              <w:rPr>
                <w:color w:val="000000"/>
                <w:spacing w:val="20"/>
              </w:rPr>
            </w:pPr>
          </w:p>
        </w:tc>
        <w:tc>
          <w:tcPr>
            <w:tcW w:w="1047" w:type="dxa"/>
          </w:tcPr>
          <w:p>
            <w:pPr>
              <w:rPr>
                <w:color w:val="000000"/>
                <w:spacing w:val="20"/>
              </w:rPr>
            </w:pPr>
          </w:p>
        </w:tc>
        <w:tc>
          <w:tcPr>
            <w:tcW w:w="1228" w:type="dxa"/>
          </w:tcPr>
          <w:p>
            <w:pPr>
              <w:rPr>
                <w:color w:val="000000"/>
                <w:spacing w:val="20"/>
              </w:rPr>
            </w:pPr>
          </w:p>
        </w:tc>
        <w:tc>
          <w:tcPr>
            <w:tcW w:w="1561" w:type="dxa"/>
          </w:tcPr>
          <w:p>
            <w:pPr>
              <w:rPr>
                <w:color w:val="000000"/>
                <w:spacing w:val="20"/>
              </w:rPr>
            </w:pPr>
          </w:p>
        </w:tc>
        <w:tc>
          <w:tcPr>
            <w:tcW w:w="892" w:type="dxa"/>
          </w:tcPr>
          <w:p>
            <w:pPr>
              <w:rPr>
                <w:color w:val="000000"/>
                <w:spacing w:val="2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28" w:hRule="atLeast"/>
        </w:trPr>
        <w:tc>
          <w:tcPr>
            <w:tcW w:w="757" w:type="dxa"/>
          </w:tcPr>
          <w:p>
            <w:pPr>
              <w:rPr>
                <w:color w:val="000000"/>
                <w:spacing w:val="20"/>
              </w:rPr>
            </w:pPr>
          </w:p>
        </w:tc>
        <w:tc>
          <w:tcPr>
            <w:tcW w:w="2110" w:type="dxa"/>
          </w:tcPr>
          <w:p>
            <w:pPr>
              <w:rPr>
                <w:color w:val="000000"/>
                <w:spacing w:val="20"/>
              </w:rPr>
            </w:pPr>
          </w:p>
        </w:tc>
        <w:tc>
          <w:tcPr>
            <w:tcW w:w="1097" w:type="dxa"/>
          </w:tcPr>
          <w:p>
            <w:pPr>
              <w:rPr>
                <w:color w:val="000000"/>
                <w:spacing w:val="20"/>
              </w:rPr>
            </w:pPr>
          </w:p>
        </w:tc>
        <w:tc>
          <w:tcPr>
            <w:tcW w:w="1408" w:type="dxa"/>
          </w:tcPr>
          <w:p>
            <w:pPr>
              <w:rPr>
                <w:color w:val="000000"/>
                <w:spacing w:val="20"/>
              </w:rPr>
            </w:pPr>
          </w:p>
        </w:tc>
        <w:tc>
          <w:tcPr>
            <w:tcW w:w="1047" w:type="dxa"/>
          </w:tcPr>
          <w:p>
            <w:pPr>
              <w:rPr>
                <w:color w:val="000000"/>
                <w:spacing w:val="20"/>
              </w:rPr>
            </w:pPr>
          </w:p>
        </w:tc>
        <w:tc>
          <w:tcPr>
            <w:tcW w:w="1228" w:type="dxa"/>
          </w:tcPr>
          <w:p>
            <w:pPr>
              <w:rPr>
                <w:color w:val="000000"/>
                <w:spacing w:val="20"/>
              </w:rPr>
            </w:pPr>
          </w:p>
        </w:tc>
        <w:tc>
          <w:tcPr>
            <w:tcW w:w="1561" w:type="dxa"/>
          </w:tcPr>
          <w:p>
            <w:pPr>
              <w:rPr>
                <w:color w:val="000000"/>
                <w:spacing w:val="20"/>
              </w:rPr>
            </w:pPr>
          </w:p>
        </w:tc>
        <w:tc>
          <w:tcPr>
            <w:tcW w:w="892" w:type="dxa"/>
          </w:tcPr>
          <w:p>
            <w:pPr>
              <w:rPr>
                <w:color w:val="000000"/>
                <w:spacing w:val="2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08" w:hRule="atLeast"/>
        </w:trPr>
        <w:tc>
          <w:tcPr>
            <w:tcW w:w="757" w:type="dxa"/>
          </w:tcPr>
          <w:p>
            <w:pPr>
              <w:rPr>
                <w:color w:val="000000"/>
                <w:spacing w:val="20"/>
              </w:rPr>
            </w:pPr>
          </w:p>
        </w:tc>
        <w:tc>
          <w:tcPr>
            <w:tcW w:w="2110" w:type="dxa"/>
          </w:tcPr>
          <w:p>
            <w:pPr>
              <w:rPr>
                <w:color w:val="000000"/>
                <w:spacing w:val="20"/>
              </w:rPr>
            </w:pPr>
          </w:p>
        </w:tc>
        <w:tc>
          <w:tcPr>
            <w:tcW w:w="1097" w:type="dxa"/>
          </w:tcPr>
          <w:p>
            <w:pPr>
              <w:rPr>
                <w:color w:val="000000"/>
                <w:spacing w:val="20"/>
              </w:rPr>
            </w:pPr>
          </w:p>
        </w:tc>
        <w:tc>
          <w:tcPr>
            <w:tcW w:w="1408" w:type="dxa"/>
          </w:tcPr>
          <w:p>
            <w:pPr>
              <w:rPr>
                <w:color w:val="000000"/>
                <w:spacing w:val="20"/>
              </w:rPr>
            </w:pPr>
          </w:p>
        </w:tc>
        <w:tc>
          <w:tcPr>
            <w:tcW w:w="1047" w:type="dxa"/>
          </w:tcPr>
          <w:p>
            <w:pPr>
              <w:rPr>
                <w:color w:val="000000"/>
                <w:spacing w:val="20"/>
              </w:rPr>
            </w:pPr>
          </w:p>
        </w:tc>
        <w:tc>
          <w:tcPr>
            <w:tcW w:w="1228" w:type="dxa"/>
          </w:tcPr>
          <w:p>
            <w:pPr>
              <w:rPr>
                <w:color w:val="000000"/>
                <w:spacing w:val="20"/>
              </w:rPr>
            </w:pPr>
          </w:p>
        </w:tc>
        <w:tc>
          <w:tcPr>
            <w:tcW w:w="1561" w:type="dxa"/>
          </w:tcPr>
          <w:p>
            <w:pPr>
              <w:rPr>
                <w:color w:val="000000"/>
                <w:spacing w:val="20"/>
              </w:rPr>
            </w:pPr>
          </w:p>
        </w:tc>
        <w:tc>
          <w:tcPr>
            <w:tcW w:w="892" w:type="dxa"/>
          </w:tcPr>
          <w:p>
            <w:pPr>
              <w:rPr>
                <w:color w:val="000000"/>
                <w:spacing w:val="2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28" w:hRule="atLeast"/>
        </w:trPr>
        <w:tc>
          <w:tcPr>
            <w:tcW w:w="757" w:type="dxa"/>
          </w:tcPr>
          <w:p>
            <w:pPr>
              <w:rPr>
                <w:color w:val="000000"/>
                <w:spacing w:val="20"/>
              </w:rPr>
            </w:pPr>
          </w:p>
        </w:tc>
        <w:tc>
          <w:tcPr>
            <w:tcW w:w="2110" w:type="dxa"/>
          </w:tcPr>
          <w:p>
            <w:pPr>
              <w:rPr>
                <w:color w:val="000000"/>
                <w:spacing w:val="20"/>
              </w:rPr>
            </w:pPr>
          </w:p>
        </w:tc>
        <w:tc>
          <w:tcPr>
            <w:tcW w:w="1097" w:type="dxa"/>
          </w:tcPr>
          <w:p>
            <w:pPr>
              <w:rPr>
                <w:color w:val="000000"/>
                <w:spacing w:val="20"/>
              </w:rPr>
            </w:pPr>
          </w:p>
        </w:tc>
        <w:tc>
          <w:tcPr>
            <w:tcW w:w="1408" w:type="dxa"/>
          </w:tcPr>
          <w:p>
            <w:pPr>
              <w:rPr>
                <w:color w:val="000000"/>
                <w:spacing w:val="20"/>
              </w:rPr>
            </w:pPr>
          </w:p>
        </w:tc>
        <w:tc>
          <w:tcPr>
            <w:tcW w:w="1047" w:type="dxa"/>
          </w:tcPr>
          <w:p>
            <w:pPr>
              <w:rPr>
                <w:color w:val="000000"/>
                <w:spacing w:val="20"/>
              </w:rPr>
            </w:pPr>
          </w:p>
        </w:tc>
        <w:tc>
          <w:tcPr>
            <w:tcW w:w="1228" w:type="dxa"/>
          </w:tcPr>
          <w:p>
            <w:pPr>
              <w:rPr>
                <w:color w:val="000000"/>
                <w:spacing w:val="20"/>
              </w:rPr>
            </w:pPr>
          </w:p>
        </w:tc>
        <w:tc>
          <w:tcPr>
            <w:tcW w:w="1561" w:type="dxa"/>
          </w:tcPr>
          <w:p>
            <w:pPr>
              <w:rPr>
                <w:color w:val="000000"/>
                <w:spacing w:val="20"/>
              </w:rPr>
            </w:pPr>
          </w:p>
        </w:tc>
        <w:tc>
          <w:tcPr>
            <w:tcW w:w="892" w:type="dxa"/>
          </w:tcPr>
          <w:p>
            <w:pPr>
              <w:rPr>
                <w:color w:val="000000"/>
                <w:spacing w:val="2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08" w:hRule="atLeast"/>
        </w:trPr>
        <w:tc>
          <w:tcPr>
            <w:tcW w:w="757" w:type="dxa"/>
          </w:tcPr>
          <w:p>
            <w:pPr>
              <w:rPr>
                <w:color w:val="000000"/>
                <w:spacing w:val="20"/>
              </w:rPr>
            </w:pPr>
          </w:p>
        </w:tc>
        <w:tc>
          <w:tcPr>
            <w:tcW w:w="2110" w:type="dxa"/>
          </w:tcPr>
          <w:p>
            <w:pPr>
              <w:rPr>
                <w:color w:val="000000"/>
                <w:spacing w:val="20"/>
              </w:rPr>
            </w:pPr>
          </w:p>
        </w:tc>
        <w:tc>
          <w:tcPr>
            <w:tcW w:w="1097" w:type="dxa"/>
          </w:tcPr>
          <w:p>
            <w:pPr>
              <w:rPr>
                <w:color w:val="000000"/>
                <w:spacing w:val="20"/>
              </w:rPr>
            </w:pPr>
          </w:p>
        </w:tc>
        <w:tc>
          <w:tcPr>
            <w:tcW w:w="1408" w:type="dxa"/>
          </w:tcPr>
          <w:p>
            <w:pPr>
              <w:rPr>
                <w:color w:val="000000"/>
                <w:spacing w:val="20"/>
              </w:rPr>
            </w:pPr>
          </w:p>
        </w:tc>
        <w:tc>
          <w:tcPr>
            <w:tcW w:w="1047" w:type="dxa"/>
          </w:tcPr>
          <w:p>
            <w:pPr>
              <w:rPr>
                <w:color w:val="000000"/>
                <w:spacing w:val="20"/>
              </w:rPr>
            </w:pPr>
          </w:p>
        </w:tc>
        <w:tc>
          <w:tcPr>
            <w:tcW w:w="1228" w:type="dxa"/>
          </w:tcPr>
          <w:p>
            <w:pPr>
              <w:rPr>
                <w:color w:val="000000"/>
                <w:spacing w:val="20"/>
              </w:rPr>
            </w:pPr>
          </w:p>
        </w:tc>
        <w:tc>
          <w:tcPr>
            <w:tcW w:w="1561" w:type="dxa"/>
          </w:tcPr>
          <w:p>
            <w:pPr>
              <w:rPr>
                <w:color w:val="000000"/>
                <w:spacing w:val="20"/>
              </w:rPr>
            </w:pPr>
          </w:p>
        </w:tc>
        <w:tc>
          <w:tcPr>
            <w:tcW w:w="892" w:type="dxa"/>
          </w:tcPr>
          <w:p>
            <w:pPr>
              <w:rPr>
                <w:color w:val="000000"/>
                <w:spacing w:val="2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28" w:hRule="atLeast"/>
        </w:trPr>
        <w:tc>
          <w:tcPr>
            <w:tcW w:w="757" w:type="dxa"/>
          </w:tcPr>
          <w:p>
            <w:pPr>
              <w:rPr>
                <w:color w:val="000000"/>
                <w:spacing w:val="20"/>
              </w:rPr>
            </w:pPr>
          </w:p>
        </w:tc>
        <w:tc>
          <w:tcPr>
            <w:tcW w:w="2110" w:type="dxa"/>
          </w:tcPr>
          <w:p>
            <w:pPr>
              <w:rPr>
                <w:color w:val="000000"/>
                <w:spacing w:val="20"/>
              </w:rPr>
            </w:pPr>
          </w:p>
        </w:tc>
        <w:tc>
          <w:tcPr>
            <w:tcW w:w="1097" w:type="dxa"/>
          </w:tcPr>
          <w:p>
            <w:pPr>
              <w:rPr>
                <w:color w:val="000000"/>
                <w:spacing w:val="20"/>
              </w:rPr>
            </w:pPr>
          </w:p>
        </w:tc>
        <w:tc>
          <w:tcPr>
            <w:tcW w:w="1408" w:type="dxa"/>
          </w:tcPr>
          <w:p>
            <w:pPr>
              <w:rPr>
                <w:color w:val="000000"/>
                <w:spacing w:val="20"/>
              </w:rPr>
            </w:pPr>
          </w:p>
        </w:tc>
        <w:tc>
          <w:tcPr>
            <w:tcW w:w="1047" w:type="dxa"/>
          </w:tcPr>
          <w:p>
            <w:pPr>
              <w:rPr>
                <w:color w:val="000000"/>
                <w:spacing w:val="20"/>
              </w:rPr>
            </w:pPr>
          </w:p>
        </w:tc>
        <w:tc>
          <w:tcPr>
            <w:tcW w:w="1228" w:type="dxa"/>
          </w:tcPr>
          <w:p>
            <w:pPr>
              <w:rPr>
                <w:color w:val="000000"/>
                <w:spacing w:val="20"/>
              </w:rPr>
            </w:pPr>
          </w:p>
        </w:tc>
        <w:tc>
          <w:tcPr>
            <w:tcW w:w="1561" w:type="dxa"/>
          </w:tcPr>
          <w:p>
            <w:pPr>
              <w:rPr>
                <w:color w:val="000000"/>
                <w:spacing w:val="20"/>
              </w:rPr>
            </w:pPr>
          </w:p>
        </w:tc>
        <w:tc>
          <w:tcPr>
            <w:tcW w:w="892" w:type="dxa"/>
          </w:tcPr>
          <w:p>
            <w:pPr>
              <w:rPr>
                <w:color w:val="000000"/>
                <w:spacing w:val="2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08" w:hRule="atLeast"/>
        </w:trPr>
        <w:tc>
          <w:tcPr>
            <w:tcW w:w="757" w:type="dxa"/>
          </w:tcPr>
          <w:p>
            <w:pPr>
              <w:rPr>
                <w:color w:val="000000"/>
                <w:spacing w:val="20"/>
              </w:rPr>
            </w:pPr>
          </w:p>
        </w:tc>
        <w:tc>
          <w:tcPr>
            <w:tcW w:w="2110" w:type="dxa"/>
          </w:tcPr>
          <w:p>
            <w:pPr>
              <w:rPr>
                <w:color w:val="000000"/>
                <w:spacing w:val="20"/>
              </w:rPr>
            </w:pPr>
          </w:p>
        </w:tc>
        <w:tc>
          <w:tcPr>
            <w:tcW w:w="1097" w:type="dxa"/>
          </w:tcPr>
          <w:p>
            <w:pPr>
              <w:rPr>
                <w:color w:val="000000"/>
                <w:spacing w:val="20"/>
              </w:rPr>
            </w:pPr>
          </w:p>
        </w:tc>
        <w:tc>
          <w:tcPr>
            <w:tcW w:w="1408" w:type="dxa"/>
          </w:tcPr>
          <w:p>
            <w:pPr>
              <w:rPr>
                <w:color w:val="000000"/>
                <w:spacing w:val="20"/>
              </w:rPr>
            </w:pPr>
          </w:p>
        </w:tc>
        <w:tc>
          <w:tcPr>
            <w:tcW w:w="1047" w:type="dxa"/>
          </w:tcPr>
          <w:p>
            <w:pPr>
              <w:rPr>
                <w:color w:val="000000"/>
                <w:spacing w:val="20"/>
              </w:rPr>
            </w:pPr>
          </w:p>
        </w:tc>
        <w:tc>
          <w:tcPr>
            <w:tcW w:w="1228" w:type="dxa"/>
          </w:tcPr>
          <w:p>
            <w:pPr>
              <w:rPr>
                <w:color w:val="000000"/>
                <w:spacing w:val="20"/>
              </w:rPr>
            </w:pPr>
          </w:p>
        </w:tc>
        <w:tc>
          <w:tcPr>
            <w:tcW w:w="1561" w:type="dxa"/>
          </w:tcPr>
          <w:p>
            <w:pPr>
              <w:rPr>
                <w:color w:val="000000"/>
                <w:spacing w:val="20"/>
              </w:rPr>
            </w:pPr>
          </w:p>
        </w:tc>
        <w:tc>
          <w:tcPr>
            <w:tcW w:w="892" w:type="dxa"/>
          </w:tcPr>
          <w:p>
            <w:pPr>
              <w:rPr>
                <w:color w:val="000000"/>
                <w:spacing w:val="2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65" w:hRule="atLeast"/>
        </w:trPr>
        <w:tc>
          <w:tcPr>
            <w:tcW w:w="757" w:type="dxa"/>
          </w:tcPr>
          <w:p>
            <w:pPr>
              <w:rPr>
                <w:color w:val="000000"/>
                <w:spacing w:val="20"/>
              </w:rPr>
            </w:pPr>
          </w:p>
        </w:tc>
        <w:tc>
          <w:tcPr>
            <w:tcW w:w="2110" w:type="dxa"/>
          </w:tcPr>
          <w:p>
            <w:pPr>
              <w:rPr>
                <w:color w:val="000000"/>
                <w:spacing w:val="20"/>
              </w:rPr>
            </w:pPr>
          </w:p>
        </w:tc>
        <w:tc>
          <w:tcPr>
            <w:tcW w:w="1097" w:type="dxa"/>
          </w:tcPr>
          <w:p>
            <w:pPr>
              <w:rPr>
                <w:color w:val="000000"/>
                <w:spacing w:val="20"/>
              </w:rPr>
            </w:pPr>
          </w:p>
        </w:tc>
        <w:tc>
          <w:tcPr>
            <w:tcW w:w="1408" w:type="dxa"/>
          </w:tcPr>
          <w:p>
            <w:pPr>
              <w:rPr>
                <w:color w:val="000000"/>
                <w:spacing w:val="20"/>
              </w:rPr>
            </w:pPr>
          </w:p>
        </w:tc>
        <w:tc>
          <w:tcPr>
            <w:tcW w:w="1047" w:type="dxa"/>
          </w:tcPr>
          <w:p>
            <w:pPr>
              <w:rPr>
                <w:color w:val="000000"/>
                <w:spacing w:val="20"/>
              </w:rPr>
            </w:pPr>
          </w:p>
        </w:tc>
        <w:tc>
          <w:tcPr>
            <w:tcW w:w="1228" w:type="dxa"/>
          </w:tcPr>
          <w:p>
            <w:pPr>
              <w:rPr>
                <w:color w:val="000000"/>
                <w:spacing w:val="20"/>
              </w:rPr>
            </w:pPr>
          </w:p>
        </w:tc>
        <w:tc>
          <w:tcPr>
            <w:tcW w:w="1561" w:type="dxa"/>
          </w:tcPr>
          <w:p>
            <w:pPr>
              <w:rPr>
                <w:color w:val="000000"/>
                <w:spacing w:val="20"/>
              </w:rPr>
            </w:pPr>
          </w:p>
        </w:tc>
        <w:tc>
          <w:tcPr>
            <w:tcW w:w="892" w:type="dxa"/>
          </w:tcPr>
          <w:p>
            <w:pPr>
              <w:rPr>
                <w:color w:val="000000"/>
                <w:spacing w:val="20"/>
              </w:rPr>
            </w:pPr>
          </w:p>
        </w:tc>
      </w:tr>
    </w:tbl>
    <w:p>
      <w:pPr>
        <w:rPr>
          <w:bCs/>
          <w:spacing w:val="20"/>
          <w:sz w:val="24"/>
          <w:szCs w:val="21"/>
        </w:rPr>
      </w:pPr>
    </w:p>
    <w:p>
      <w:pPr>
        <w:autoSpaceDE w:val="0"/>
        <w:autoSpaceDN w:val="0"/>
        <w:adjustRightInd w:val="0"/>
        <w:spacing w:line="460" w:lineRule="atLeast"/>
        <w:rPr>
          <w:bCs/>
          <w:lang w:val="zh-CN"/>
        </w:rPr>
      </w:pPr>
      <w:r>
        <w:rPr>
          <w:rFonts w:hint="eastAsia"/>
          <w:bCs/>
          <w:kern w:val="0"/>
          <w:lang w:val="zh-CN"/>
        </w:rPr>
        <w:t>供应商全称（盖章）：</w:t>
      </w:r>
    </w:p>
    <w:p>
      <w:pPr>
        <w:autoSpaceDE w:val="0"/>
        <w:autoSpaceDN w:val="0"/>
        <w:adjustRightInd w:val="0"/>
        <w:spacing w:line="460" w:lineRule="atLeast"/>
        <w:rPr>
          <w:bCs/>
          <w:lang w:val="zh-CN"/>
        </w:rPr>
      </w:pPr>
      <w:r>
        <w:rPr>
          <w:rFonts w:hint="eastAsia"/>
          <w:lang w:val="zh-CN"/>
        </w:rPr>
        <w:t>法定代表人或授权代表（签字或盖章）</w:t>
      </w:r>
      <w:r>
        <w:rPr>
          <w:rFonts w:hint="eastAsia"/>
          <w:bCs/>
          <w:kern w:val="0"/>
          <w:lang w:val="zh-CN"/>
        </w:rPr>
        <w:t>：</w:t>
      </w:r>
    </w:p>
    <w:p>
      <w:pPr>
        <w:spacing w:after="156" w:afterLines="50" w:line="400" w:lineRule="atLeast"/>
        <w:ind w:right="420"/>
        <w:jc w:val="left"/>
        <w:rPr>
          <w:bCs/>
          <w:lang w:val="zh-CN"/>
        </w:rPr>
      </w:pPr>
      <w:r>
        <w:rPr>
          <w:rFonts w:hint="eastAsia"/>
          <w:bCs/>
          <w:kern w:val="0"/>
          <w:lang w:val="zh-CN"/>
        </w:rPr>
        <w:t>日期：</w:t>
      </w:r>
    </w:p>
    <w:p>
      <w:pPr>
        <w:pStyle w:val="3"/>
        <w:spacing w:line="400" w:lineRule="exact"/>
        <w:jc w:val="both"/>
        <w:rPr>
          <w:rFonts w:hAnsi="黑体" w:cs="黑体"/>
          <w:color w:val="000000" w:themeColor="text1"/>
          <w:szCs w:val="28"/>
          <w14:textFill>
            <w14:solidFill>
              <w14:schemeClr w14:val="tx1"/>
            </w14:solidFill>
          </w14:textFill>
        </w:rPr>
      </w:pPr>
    </w:p>
    <w:p>
      <w:pPr>
        <w:pStyle w:val="3"/>
        <w:spacing w:line="400" w:lineRule="exact"/>
        <w:jc w:val="both"/>
        <w:rPr>
          <w:rFonts w:hAnsi="黑体" w:cs="黑体"/>
          <w:color w:val="000000" w:themeColor="text1"/>
          <w:szCs w:val="28"/>
          <w14:textFill>
            <w14:solidFill>
              <w14:schemeClr w14:val="tx1"/>
            </w14:solidFill>
          </w14:textFill>
        </w:rPr>
      </w:pPr>
    </w:p>
    <w:p/>
    <w:p>
      <w:pPr>
        <w:pStyle w:val="3"/>
        <w:spacing w:line="400" w:lineRule="exact"/>
        <w:jc w:val="both"/>
        <w:rPr>
          <w:rFonts w:hAnsi="黑体" w:cs="黑体"/>
          <w:color w:val="000000" w:themeColor="text1"/>
          <w:szCs w:val="28"/>
          <w14:textFill>
            <w14:solidFill>
              <w14:schemeClr w14:val="tx1"/>
            </w14:solidFill>
          </w14:textFill>
        </w:rPr>
      </w:pPr>
      <w:r>
        <w:rPr>
          <w:rFonts w:hint="eastAsia" w:hAnsi="黑体" w:cs="黑体"/>
          <w:color w:val="000000" w:themeColor="text1"/>
          <w:szCs w:val="28"/>
          <w14:textFill>
            <w14:solidFill>
              <w14:schemeClr w14:val="tx1"/>
            </w14:solidFill>
          </w14:textFill>
        </w:rPr>
        <w:t>附件七</w:t>
      </w:r>
    </w:p>
    <w:p>
      <w:pPr>
        <w:pStyle w:val="4"/>
        <w:tabs>
          <w:tab w:val="left" w:pos="576"/>
          <w:tab w:val="clear" w:pos="3600"/>
        </w:tabs>
        <w:spacing w:line="400" w:lineRule="exact"/>
        <w:jc w:val="center"/>
        <w:rPr>
          <w:rFonts w:hAnsi="黑体" w:cs="黑体"/>
          <w:color w:val="000000" w:themeColor="text1"/>
          <w:szCs w:val="28"/>
          <w14:textFill>
            <w14:solidFill>
              <w14:schemeClr w14:val="tx1"/>
            </w14:solidFill>
          </w14:textFill>
        </w:rPr>
      </w:pPr>
      <w:r>
        <w:rPr>
          <w:rFonts w:hint="eastAsia" w:hAnsi="黑体" w:cs="黑体"/>
          <w:color w:val="000000" w:themeColor="text1"/>
          <w:szCs w:val="28"/>
          <w14:textFill>
            <w14:solidFill>
              <w14:schemeClr w14:val="tx1"/>
            </w14:solidFill>
          </w14:textFill>
        </w:rPr>
        <w:t>（一）中小企业声明函（服务）</w:t>
      </w:r>
    </w:p>
    <w:p>
      <w:pPr>
        <w:spacing w:line="480" w:lineRule="auto"/>
        <w:ind w:firstLine="440" w:firstLineChars="200"/>
        <w:rPr>
          <w:color w:val="000000"/>
        </w:rPr>
      </w:pPr>
      <w:r>
        <w:rPr>
          <w:rFonts w:hint="eastAsia"/>
          <w:color w:val="000000"/>
        </w:rPr>
        <w:t>本公司（联合体）郑重声明，根据《政府采购促进中小企业发展管理办法》（财库﹝2020﹞46 号）的规定，本公司（联合体）参加</w:t>
      </w:r>
      <w:r>
        <w:rPr>
          <w:rFonts w:hint="eastAsia"/>
          <w:color w:val="000000"/>
          <w:u w:val="single"/>
        </w:rPr>
        <w:t>（单位名称）</w:t>
      </w:r>
      <w:r>
        <w:rPr>
          <w:rFonts w:hint="eastAsia"/>
          <w:color w:val="000000"/>
        </w:rPr>
        <w:t>的</w:t>
      </w:r>
      <w:r>
        <w:rPr>
          <w:rFonts w:hint="eastAsia"/>
          <w:color w:val="000000"/>
          <w:u w:val="single"/>
        </w:rPr>
        <w:t>（项目名称）</w:t>
      </w:r>
      <w:r>
        <w:rPr>
          <w:rFonts w:hint="eastAsia"/>
          <w:color w:val="000000"/>
        </w:rPr>
        <w:t>采购活动，工程的施工单位全部为符合政策要求的中小企业（或者：服务全部由符合政策要求的中小企业承接）。相关企业（含联合 体中的中小企业、签订分包意向协议的中小企业）的具体情况如下：</w:t>
      </w:r>
    </w:p>
    <w:p>
      <w:pPr>
        <w:spacing w:line="480" w:lineRule="auto"/>
        <w:ind w:firstLine="440" w:firstLineChars="200"/>
        <w:rPr>
          <w:color w:val="000000"/>
        </w:rPr>
      </w:pPr>
      <w:r>
        <w:rPr>
          <w:rFonts w:hint="eastAsia"/>
          <w:color w:val="000000"/>
        </w:rPr>
        <w:t>1.</w:t>
      </w:r>
      <w:r>
        <w:rPr>
          <w:rFonts w:hint="eastAsia"/>
          <w:color w:val="000000"/>
          <w:u w:val="single"/>
        </w:rPr>
        <w:t>（标的名称）</w:t>
      </w:r>
      <w:r>
        <w:rPr>
          <w:rFonts w:hint="eastAsia"/>
          <w:color w:val="000000"/>
        </w:rPr>
        <w:t>，属于（</w:t>
      </w:r>
      <w:r>
        <w:rPr>
          <w:rFonts w:hint="eastAsia"/>
          <w:color w:val="000000"/>
          <w:u w:val="single"/>
        </w:rPr>
        <w:t>采购文件中明确的所属行业）</w:t>
      </w:r>
      <w:r>
        <w:rPr>
          <w:rFonts w:hint="eastAsia"/>
          <w:color w:val="000000"/>
        </w:rPr>
        <w:t>；承建（承接）企业为</w:t>
      </w:r>
      <w:r>
        <w:rPr>
          <w:rFonts w:hint="eastAsia"/>
          <w:color w:val="000000"/>
          <w:u w:val="single"/>
        </w:rPr>
        <w:t>（企业名称）</w:t>
      </w:r>
      <w:r>
        <w:rPr>
          <w:rFonts w:hint="eastAsia"/>
          <w:color w:val="000000"/>
        </w:rPr>
        <w:t>，从业人员</w:t>
      </w:r>
      <w:r>
        <w:rPr>
          <w:rFonts w:hint="eastAsia"/>
          <w:color w:val="000000"/>
          <w:u w:val="single"/>
        </w:rPr>
        <w:t xml:space="preserve"> </w:t>
      </w:r>
      <w:r>
        <w:rPr>
          <w:rFonts w:hint="eastAsia"/>
          <w:color w:val="000000"/>
          <w:u w:val="single"/>
        </w:rPr>
        <w:tab/>
      </w:r>
      <w:r>
        <w:rPr>
          <w:rFonts w:hint="eastAsia"/>
          <w:color w:val="000000"/>
        </w:rPr>
        <w:t>人，营业收入为</w:t>
      </w:r>
      <w:r>
        <w:rPr>
          <w:rFonts w:hint="eastAsia"/>
          <w:color w:val="000000"/>
          <w:u w:val="single"/>
        </w:rPr>
        <w:t xml:space="preserve"> </w:t>
      </w:r>
      <w:r>
        <w:rPr>
          <w:rFonts w:hint="eastAsia"/>
          <w:color w:val="000000"/>
          <w:u w:val="single"/>
        </w:rPr>
        <w:tab/>
      </w:r>
      <w:r>
        <w:rPr>
          <w:rFonts w:hint="eastAsia"/>
          <w:color w:val="000000"/>
          <w:u w:val="single"/>
        </w:rPr>
        <w:t xml:space="preserve"> </w:t>
      </w:r>
      <w:r>
        <w:rPr>
          <w:rFonts w:hint="eastAsia"/>
          <w:color w:val="000000"/>
        </w:rPr>
        <w:t>万元，资产总额为</w:t>
      </w:r>
      <w:r>
        <w:rPr>
          <w:rFonts w:hint="eastAsia"/>
          <w:color w:val="000000"/>
          <w:u w:val="single"/>
        </w:rPr>
        <w:t xml:space="preserve"> </w:t>
      </w:r>
      <w:r>
        <w:rPr>
          <w:rFonts w:hint="eastAsia"/>
          <w:color w:val="000000"/>
          <w:u w:val="single"/>
        </w:rPr>
        <w:tab/>
      </w:r>
      <w:r>
        <w:rPr>
          <w:rFonts w:hint="eastAsia"/>
          <w:color w:val="000000"/>
          <w:u w:val="single"/>
        </w:rPr>
        <w:t xml:space="preserve"> </w:t>
      </w:r>
      <w:r>
        <w:rPr>
          <w:rFonts w:hint="eastAsia"/>
          <w:color w:val="000000"/>
        </w:rPr>
        <w:t>万元，属于（中型企业、小型企业、微型企业）；</w:t>
      </w:r>
    </w:p>
    <w:p>
      <w:pPr>
        <w:spacing w:line="480" w:lineRule="auto"/>
        <w:ind w:firstLine="440" w:firstLineChars="200"/>
        <w:rPr>
          <w:color w:val="000000"/>
        </w:rPr>
      </w:pPr>
      <w:r>
        <w:rPr>
          <w:rFonts w:hint="eastAsia"/>
          <w:color w:val="000000"/>
        </w:rPr>
        <w:t>2.</w:t>
      </w:r>
      <w:r>
        <w:rPr>
          <w:rFonts w:hint="eastAsia"/>
          <w:color w:val="000000"/>
          <w:u w:val="single"/>
        </w:rPr>
        <w:t>（标的名称）</w:t>
      </w:r>
      <w:r>
        <w:rPr>
          <w:rFonts w:hint="eastAsia"/>
          <w:color w:val="000000"/>
        </w:rPr>
        <w:t>，属于（</w:t>
      </w:r>
      <w:r>
        <w:rPr>
          <w:rFonts w:hint="eastAsia"/>
          <w:color w:val="000000"/>
          <w:u w:val="single"/>
        </w:rPr>
        <w:t>采购文件中明确的所属行业）</w:t>
      </w:r>
      <w:r>
        <w:rPr>
          <w:rFonts w:hint="eastAsia"/>
          <w:color w:val="000000"/>
        </w:rPr>
        <w:t>；承建（承接）企业为</w:t>
      </w:r>
      <w:r>
        <w:rPr>
          <w:rFonts w:hint="eastAsia"/>
          <w:color w:val="000000"/>
          <w:u w:val="single"/>
        </w:rPr>
        <w:t>（企业名称）</w:t>
      </w:r>
      <w:r>
        <w:rPr>
          <w:rFonts w:hint="eastAsia"/>
          <w:color w:val="000000"/>
        </w:rPr>
        <w:t>，从业人员</w:t>
      </w:r>
      <w:r>
        <w:rPr>
          <w:rFonts w:hint="eastAsia"/>
          <w:color w:val="000000"/>
          <w:u w:val="single"/>
        </w:rPr>
        <w:t xml:space="preserve"> </w:t>
      </w:r>
      <w:r>
        <w:rPr>
          <w:rFonts w:hint="eastAsia"/>
          <w:color w:val="000000"/>
          <w:u w:val="single"/>
        </w:rPr>
        <w:tab/>
      </w:r>
      <w:r>
        <w:rPr>
          <w:rFonts w:hint="eastAsia"/>
          <w:color w:val="000000"/>
        </w:rPr>
        <w:t>人，营业收入为</w:t>
      </w:r>
      <w:r>
        <w:rPr>
          <w:rFonts w:hint="eastAsia"/>
          <w:color w:val="000000"/>
          <w:u w:val="single"/>
        </w:rPr>
        <w:t xml:space="preserve"> </w:t>
      </w:r>
      <w:r>
        <w:rPr>
          <w:rFonts w:hint="eastAsia"/>
          <w:color w:val="000000"/>
          <w:u w:val="single"/>
        </w:rPr>
        <w:tab/>
      </w:r>
      <w:r>
        <w:rPr>
          <w:rFonts w:hint="eastAsia"/>
          <w:color w:val="000000"/>
          <w:u w:val="single"/>
        </w:rPr>
        <w:t xml:space="preserve"> </w:t>
      </w:r>
      <w:r>
        <w:rPr>
          <w:rFonts w:hint="eastAsia"/>
          <w:color w:val="000000"/>
        </w:rPr>
        <w:t>万元，资产总额为</w:t>
      </w:r>
      <w:r>
        <w:rPr>
          <w:rFonts w:hint="eastAsia"/>
          <w:color w:val="000000"/>
          <w:u w:val="single"/>
        </w:rPr>
        <w:t xml:space="preserve"> </w:t>
      </w:r>
      <w:r>
        <w:rPr>
          <w:rFonts w:hint="eastAsia"/>
          <w:color w:val="000000"/>
          <w:u w:val="single"/>
        </w:rPr>
        <w:tab/>
      </w:r>
      <w:r>
        <w:rPr>
          <w:rFonts w:hint="eastAsia"/>
          <w:color w:val="000000"/>
          <w:u w:val="single"/>
        </w:rPr>
        <w:t xml:space="preserve"> </w:t>
      </w:r>
      <w:r>
        <w:rPr>
          <w:rFonts w:hint="eastAsia"/>
          <w:color w:val="000000"/>
        </w:rPr>
        <w:t>万元，属于（中型企业、小型企业、微型企业）；</w:t>
      </w:r>
    </w:p>
    <w:p>
      <w:pPr>
        <w:spacing w:line="480" w:lineRule="auto"/>
        <w:ind w:firstLine="440" w:firstLineChars="200"/>
        <w:rPr>
          <w:color w:val="000000"/>
        </w:rPr>
      </w:pPr>
      <w:r>
        <w:rPr>
          <w:rFonts w:hint="eastAsia"/>
          <w:color w:val="000000"/>
        </w:rPr>
        <w:t>……</w:t>
      </w:r>
    </w:p>
    <w:p>
      <w:pPr>
        <w:spacing w:line="480" w:lineRule="auto"/>
        <w:ind w:firstLine="440" w:firstLineChars="200"/>
        <w:rPr>
          <w:color w:val="000000"/>
        </w:rPr>
      </w:pPr>
      <w:r>
        <w:rPr>
          <w:rFonts w:hint="eastAsia"/>
          <w:color w:val="000000"/>
        </w:rPr>
        <w:t>以上企业，不属于大企业的分支机构，不存在控股股东为大企业的情形，也不存在与大企业的负责人为同一人的情形。</w:t>
      </w:r>
    </w:p>
    <w:p>
      <w:pPr>
        <w:spacing w:line="480" w:lineRule="auto"/>
        <w:ind w:firstLine="440" w:firstLineChars="200"/>
        <w:rPr>
          <w:color w:val="000000"/>
        </w:rPr>
      </w:pPr>
      <w:r>
        <w:rPr>
          <w:rFonts w:hint="eastAsia"/>
          <w:color w:val="000000"/>
        </w:rPr>
        <w:t>本企业对上述声明内容的真实性负责。如有虚假，将依法承担相应责任。</w:t>
      </w:r>
    </w:p>
    <w:p>
      <w:pPr>
        <w:spacing w:line="480" w:lineRule="auto"/>
        <w:rPr>
          <w:rFonts w:hAnsi="Calibri" w:cs="Times New Roman"/>
          <w:color w:val="000000"/>
        </w:rPr>
      </w:pPr>
      <w:r>
        <w:rPr>
          <w:rFonts w:hint="eastAsia" w:hAnsi="Calibri" w:cs="Times New Roman"/>
          <w:color w:val="000000"/>
        </w:rPr>
        <w:t>企业名称（盖章）：</w:t>
      </w:r>
    </w:p>
    <w:p>
      <w:pPr>
        <w:spacing w:line="480" w:lineRule="auto"/>
        <w:rPr>
          <w:rFonts w:hAnsi="Calibri" w:cs="Times New Roman"/>
          <w:color w:val="000000"/>
        </w:rPr>
      </w:pPr>
      <w:r>
        <w:rPr>
          <w:rFonts w:hint="eastAsia" w:hAnsi="Calibri" w:cs="Times New Roman"/>
          <w:color w:val="000000"/>
        </w:rPr>
        <w:t>日期：</w:t>
      </w:r>
    </w:p>
    <w:p>
      <w:pPr>
        <w:spacing w:line="480" w:lineRule="auto"/>
        <w:rPr>
          <w:rFonts w:hAnsi="Calibri" w:cs="Times New Roman"/>
          <w:color w:val="000000"/>
        </w:rPr>
      </w:pPr>
    </w:p>
    <w:p>
      <w:pPr>
        <w:spacing w:line="480" w:lineRule="auto"/>
        <w:rPr>
          <w:b/>
          <w:bCs/>
        </w:rPr>
      </w:pPr>
      <w:r>
        <w:rPr>
          <w:rFonts w:hint="eastAsia"/>
          <w:b/>
          <w:bCs/>
        </w:rPr>
        <w:t>说明：</w:t>
      </w:r>
    </w:p>
    <w:p>
      <w:pPr>
        <w:numPr>
          <w:ilvl w:val="0"/>
          <w:numId w:val="9"/>
        </w:numPr>
        <w:spacing w:line="480" w:lineRule="auto"/>
        <w:rPr>
          <w:b/>
          <w:bCs/>
        </w:rPr>
      </w:pPr>
      <w:r>
        <w:rPr>
          <w:rFonts w:hint="eastAsia"/>
          <w:b/>
          <w:bCs/>
        </w:rPr>
        <w:t>从业人员、营业收入、资产总额填报上一年度数据，无上一年度数据的新成立企业可不填报。       </w:t>
      </w:r>
    </w:p>
    <w:p>
      <w:pPr>
        <w:numPr>
          <w:ilvl w:val="0"/>
          <w:numId w:val="9"/>
        </w:numPr>
        <w:spacing w:line="480" w:lineRule="auto"/>
        <w:rPr>
          <w:b/>
          <w:bCs/>
        </w:rPr>
      </w:pPr>
      <w:r>
        <w:rPr>
          <w:rFonts w:hint="eastAsia"/>
          <w:b/>
          <w:bCs/>
        </w:rPr>
        <w:t>▲投标人提供的中小企业声明函与实际情况不符的，视为投标人提供虚假材料投标的，投标无效。  </w:t>
      </w:r>
      <w:r>
        <w:rPr>
          <w:rFonts w:hint="eastAsia"/>
        </w:rPr>
        <w:t>             　　　　　</w:t>
      </w:r>
    </w:p>
    <w:p>
      <w:pPr>
        <w:widowControl/>
        <w:spacing w:before="100" w:beforeAutospacing="1" w:after="100" w:afterAutospacing="1"/>
        <w:jc w:val="center"/>
        <w:outlineLvl w:val="2"/>
        <w:rPr>
          <w:b/>
          <w:bCs/>
          <w:sz w:val="36"/>
          <w:szCs w:val="36"/>
        </w:rPr>
      </w:pPr>
      <w:r>
        <w:rPr>
          <w:rFonts w:hint="eastAsia"/>
          <w:b/>
          <w:bCs/>
          <w:sz w:val="36"/>
          <w:szCs w:val="36"/>
        </w:rPr>
        <w:br w:type="page"/>
      </w:r>
      <w:r>
        <w:rPr>
          <w:rFonts w:hint="eastAsia"/>
          <w:b/>
          <w:bCs/>
          <w:sz w:val="36"/>
          <w:szCs w:val="36"/>
        </w:rPr>
        <w:t>（二）残疾人福利性单位声明函</w:t>
      </w:r>
    </w:p>
    <w:p>
      <w:pPr>
        <w:widowControl/>
        <w:spacing w:before="100" w:beforeAutospacing="1" w:after="100" w:afterAutospacing="1" w:line="480" w:lineRule="auto"/>
        <w:ind w:firstLine="360" w:firstLineChars="150"/>
        <w:jc w:val="left"/>
        <w:rPr>
          <w:rFonts w:ascii="Arial" w:hAnsi="Arial" w:cs="Arial"/>
          <w:sz w:val="24"/>
          <w:szCs w:val="24"/>
        </w:rPr>
      </w:pPr>
      <w:r>
        <w:rPr>
          <w:rFonts w:ascii="Arial" w:hAnsi="Arial" w:cs="Arial"/>
          <w:sz w:val="24"/>
          <w:szCs w:val="24"/>
        </w:rPr>
        <w:t>本单位郑重声明，根据《财政部 民政部 中国残疾人联合会关于促进残疾人就业政府采购政策的通知》（财库〔2017〕141 号）的规定，本单位为符合条件的残疾人福利性单位，且本单位参加</w:t>
      </w:r>
      <w:r>
        <w:rPr>
          <w:rFonts w:hint="eastAsia" w:ascii="Arial" w:hAnsi="Arial" w:cs="Arial"/>
          <w:sz w:val="24"/>
          <w:szCs w:val="24"/>
          <w:u w:val="single"/>
        </w:rPr>
        <w:t xml:space="preserve">    项目名称    </w:t>
      </w:r>
      <w:r>
        <w:rPr>
          <w:rFonts w:ascii="Arial" w:hAnsi="Arial" w:cs="Arial"/>
          <w:sz w:val="24"/>
          <w:szCs w:val="24"/>
        </w:rPr>
        <w:t>（项目编号）采购活动提供本单位制造的货物（由本单位承担工程/提供服务），或者提供其他残疾人福利性单位制造的货物（不包括使用非残疾人福利性单位注册商标的货物）。</w:t>
      </w:r>
    </w:p>
    <w:p>
      <w:pPr>
        <w:widowControl/>
        <w:spacing w:before="100" w:beforeAutospacing="1" w:after="100" w:afterAutospacing="1" w:line="480" w:lineRule="auto"/>
        <w:ind w:firstLine="360" w:firstLineChars="150"/>
        <w:jc w:val="left"/>
        <w:rPr>
          <w:rFonts w:ascii="Arial" w:hAnsi="Arial" w:cs="Arial"/>
          <w:sz w:val="24"/>
          <w:szCs w:val="24"/>
        </w:rPr>
      </w:pPr>
      <w:r>
        <w:rPr>
          <w:rFonts w:ascii="Arial" w:hAnsi="Arial" w:cs="Arial"/>
          <w:sz w:val="24"/>
          <w:szCs w:val="24"/>
        </w:rPr>
        <w:t>本单位对上述声明的真实性负责。如有虚假，将依法承担相应责任。</w:t>
      </w:r>
    </w:p>
    <w:p>
      <w:pPr>
        <w:snapToGrid w:val="0"/>
        <w:spacing w:line="360" w:lineRule="atLeast"/>
        <w:ind w:firstLine="570"/>
        <w:rPr>
          <w:rFonts w:cs="仿宋_GB2312"/>
          <w:sz w:val="36"/>
          <w:szCs w:val="36"/>
        </w:rPr>
      </w:pPr>
    </w:p>
    <w:p>
      <w:pPr>
        <w:spacing w:line="380" w:lineRule="exact"/>
        <w:rPr>
          <w:rFonts w:ascii="Arial" w:hAnsi="Arial" w:cs="Arial"/>
          <w:color w:val="000000"/>
        </w:rPr>
      </w:pPr>
      <w:r>
        <w:rPr>
          <w:rFonts w:hint="eastAsia" w:ascii="Arial" w:cs="Arial"/>
          <w:color w:val="000000"/>
        </w:rPr>
        <w:t>供应商</w:t>
      </w:r>
      <w:r>
        <w:rPr>
          <w:rFonts w:ascii="Arial" w:cs="Arial"/>
          <w:color w:val="000000"/>
        </w:rPr>
        <w:t>全称（</w:t>
      </w:r>
      <w:r>
        <w:rPr>
          <w:rFonts w:hint="eastAsia" w:ascii="Arial" w:cs="Arial"/>
          <w:color w:val="000000"/>
        </w:rPr>
        <w:t>盖公</w:t>
      </w:r>
      <w:r>
        <w:rPr>
          <w:rFonts w:ascii="Arial" w:cs="Arial"/>
          <w:color w:val="000000"/>
        </w:rPr>
        <w:t>章）：</w:t>
      </w:r>
    </w:p>
    <w:p>
      <w:pPr>
        <w:spacing w:line="380" w:lineRule="exact"/>
        <w:rPr>
          <w:rFonts w:ascii="Arial" w:hAnsi="Arial" w:cs="Arial"/>
          <w:color w:val="000000"/>
        </w:rPr>
      </w:pPr>
      <w:r>
        <w:rPr>
          <w:rFonts w:hint="eastAsia" w:ascii="Arial" w:cs="Arial"/>
          <w:color w:val="000000"/>
        </w:rPr>
        <w:t>法定代表人或</w:t>
      </w:r>
      <w:r>
        <w:rPr>
          <w:rFonts w:ascii="Arial" w:cs="Arial"/>
          <w:color w:val="000000"/>
        </w:rPr>
        <w:t>授权代表（签字</w:t>
      </w:r>
      <w:r>
        <w:rPr>
          <w:rFonts w:hint="eastAsia" w:ascii="Arial" w:cs="Arial"/>
          <w:color w:val="000000"/>
        </w:rPr>
        <w:t>或盖章</w:t>
      </w:r>
      <w:r>
        <w:rPr>
          <w:rFonts w:ascii="Arial" w:cs="Arial"/>
          <w:color w:val="000000"/>
        </w:rPr>
        <w:t>）：</w:t>
      </w:r>
    </w:p>
    <w:p>
      <w:pPr>
        <w:spacing w:line="380" w:lineRule="exact"/>
        <w:rPr>
          <w:rFonts w:ascii="Arial" w:cs="Arial"/>
          <w:color w:val="000000"/>
        </w:rPr>
      </w:pPr>
      <w:r>
        <w:rPr>
          <w:rFonts w:ascii="Arial" w:cs="Arial"/>
          <w:color w:val="000000"/>
        </w:rPr>
        <w:t>日期：</w:t>
      </w:r>
    </w:p>
    <w:p>
      <w:pPr>
        <w:rPr>
          <w:rFonts w:ascii="Arial" w:hAnsi="Arial" w:cs="Arial"/>
        </w:rPr>
      </w:pPr>
    </w:p>
    <w:p>
      <w:pPr>
        <w:rPr>
          <w:rFonts w:ascii="Arial" w:hAnsi="Arial" w:cs="Arial"/>
        </w:rPr>
      </w:pPr>
    </w:p>
    <w:p>
      <w:pPr>
        <w:rPr>
          <w:rFonts w:ascii="Arial" w:hAnsi="Arial" w:cs="Arial"/>
        </w:rPr>
      </w:pPr>
    </w:p>
    <w:p>
      <w:pPr>
        <w:rPr>
          <w:u w:val="single"/>
        </w:rPr>
      </w:pPr>
      <w:r>
        <w:rPr>
          <w:rFonts w:hint="eastAsia" w:ascii="Arial" w:hAnsi="Arial" w:cs="Arial"/>
          <w:b/>
          <w:sz w:val="24"/>
        </w:rPr>
        <w:t>注：</w:t>
      </w:r>
      <w:r>
        <w:rPr>
          <w:rFonts w:hint="eastAsia"/>
          <w:u w:val="single"/>
        </w:rPr>
        <w:t>残疾人福利性单位证明材料：残疾人福利性单位声明函。（2）如提供其他残疾人福利性单位制造的货物，还须同时提供该企业的残疾人福利性单位声明函。</w:t>
      </w:r>
    </w:p>
    <w:p>
      <w:pPr>
        <w:rPr>
          <w:rFonts w:ascii="Arial" w:hAnsi="Arial" w:cs="Arial"/>
          <w:b/>
          <w:sz w:val="20"/>
          <w:szCs w:val="21"/>
        </w:rPr>
      </w:pPr>
      <w:r>
        <w:rPr>
          <w:rFonts w:hint="eastAsia" w:ascii="Arial" w:hAnsi="Arial" w:cs="Arial"/>
          <w:b/>
          <w:szCs w:val="21"/>
        </w:rPr>
        <w:t>不符合规定的，无需提供，否则视为提供虚假材料。</w:t>
      </w:r>
    </w:p>
    <w:p>
      <w:pPr>
        <w:widowControl/>
        <w:spacing w:before="100" w:beforeAutospacing="1" w:after="100" w:afterAutospacing="1"/>
        <w:jc w:val="center"/>
        <w:outlineLvl w:val="2"/>
        <w:rPr>
          <w:b/>
          <w:bCs/>
          <w:sz w:val="36"/>
          <w:szCs w:val="36"/>
        </w:rPr>
      </w:pPr>
      <w:r>
        <w:rPr>
          <w:rFonts w:ascii="Times New Roman" w:hAnsi="Times New Roman"/>
          <w:kern w:val="1"/>
          <w:sz w:val="36"/>
          <w:szCs w:val="36"/>
        </w:rPr>
        <w:br w:type="page"/>
      </w:r>
      <w:r>
        <w:rPr>
          <w:rFonts w:hint="eastAsia"/>
          <w:b/>
          <w:bCs/>
          <w:sz w:val="36"/>
          <w:szCs w:val="36"/>
        </w:rPr>
        <w:t>（三）监狱企业证明文件</w:t>
      </w:r>
    </w:p>
    <w:p>
      <w:pPr>
        <w:spacing w:line="440" w:lineRule="exact"/>
        <w:rPr>
          <w:u w:val="single"/>
        </w:rPr>
      </w:pPr>
      <w:r>
        <w:rPr>
          <w:rFonts w:hint="eastAsia"/>
          <w:u w:val="single"/>
        </w:rPr>
        <w:t>监狱企业证明文件：省级或以上监狱管理局、戒毒管理局（含新疆生产建设兵团）出具的属于监狱企业的证明文件。（2）如果提供其他监狱企业制造的货物，还须同时提供该企业为监狱企业的证明文件。</w:t>
      </w:r>
    </w:p>
    <w:p>
      <w:pPr>
        <w:rPr>
          <w:rFonts w:ascii="Arial" w:hAnsi="Arial" w:cs="Arial"/>
          <w:b/>
          <w:sz w:val="20"/>
          <w:szCs w:val="21"/>
        </w:rPr>
      </w:pPr>
      <w:r>
        <w:rPr>
          <w:rFonts w:hint="eastAsia" w:ascii="Arial" w:hAnsi="Arial" w:cs="Arial"/>
          <w:b/>
          <w:szCs w:val="21"/>
        </w:rPr>
        <w:t>不符合规定的，无需提供，否则视为提供虚假材料。</w:t>
      </w:r>
    </w:p>
    <w:p>
      <w:pPr>
        <w:spacing w:line="380" w:lineRule="exact"/>
        <w:rPr>
          <w:rFonts w:ascii="Arial" w:cs="Arial"/>
          <w:color w:val="000000"/>
        </w:rPr>
      </w:pPr>
    </w:p>
    <w:p>
      <w:pPr>
        <w:spacing w:line="380" w:lineRule="exact"/>
        <w:rPr>
          <w:rFonts w:ascii="Arial" w:hAnsi="Arial" w:cs="Arial"/>
          <w:color w:val="000000"/>
        </w:rPr>
      </w:pPr>
      <w:r>
        <w:rPr>
          <w:rFonts w:hint="eastAsia" w:ascii="Arial" w:cs="Arial"/>
          <w:color w:val="000000"/>
        </w:rPr>
        <w:t>供应商</w:t>
      </w:r>
      <w:r>
        <w:rPr>
          <w:rFonts w:ascii="Arial" w:cs="Arial"/>
          <w:color w:val="000000"/>
        </w:rPr>
        <w:t>全称（</w:t>
      </w:r>
      <w:r>
        <w:rPr>
          <w:rFonts w:hint="eastAsia" w:ascii="Arial" w:cs="Arial"/>
          <w:color w:val="000000"/>
        </w:rPr>
        <w:t>盖公</w:t>
      </w:r>
      <w:r>
        <w:rPr>
          <w:rFonts w:ascii="Arial" w:cs="Arial"/>
          <w:color w:val="000000"/>
        </w:rPr>
        <w:t>章）：</w:t>
      </w:r>
    </w:p>
    <w:p>
      <w:pPr>
        <w:spacing w:line="380" w:lineRule="exact"/>
        <w:rPr>
          <w:rFonts w:ascii="Arial" w:hAnsi="Arial" w:cs="Arial"/>
          <w:color w:val="000000"/>
        </w:rPr>
      </w:pPr>
      <w:r>
        <w:rPr>
          <w:rFonts w:hint="eastAsia" w:ascii="Arial" w:cs="Arial"/>
          <w:color w:val="000000"/>
        </w:rPr>
        <w:t>法定代表人或</w:t>
      </w:r>
      <w:r>
        <w:rPr>
          <w:rFonts w:ascii="Arial" w:cs="Arial"/>
          <w:color w:val="000000"/>
        </w:rPr>
        <w:t>授权代表（签字</w:t>
      </w:r>
      <w:r>
        <w:rPr>
          <w:rFonts w:hint="eastAsia" w:ascii="Arial" w:cs="Arial"/>
          <w:color w:val="000000"/>
        </w:rPr>
        <w:t>或盖章</w:t>
      </w:r>
      <w:r>
        <w:rPr>
          <w:rFonts w:ascii="Arial" w:cs="Arial"/>
          <w:color w:val="000000"/>
        </w:rPr>
        <w:t>）：</w:t>
      </w:r>
    </w:p>
    <w:p>
      <w:pPr>
        <w:spacing w:line="380" w:lineRule="exact"/>
        <w:rPr>
          <w:rFonts w:ascii="Arial" w:cs="Arial"/>
          <w:color w:val="000000"/>
        </w:rPr>
      </w:pPr>
      <w:r>
        <w:rPr>
          <w:rFonts w:ascii="Arial" w:cs="Arial"/>
          <w:color w:val="000000"/>
        </w:rPr>
        <w:t>日期：</w:t>
      </w:r>
    </w:p>
    <w:p>
      <w:pPr>
        <w:pStyle w:val="26"/>
        <w:ind w:firstLine="440"/>
      </w:pPr>
    </w:p>
    <w:p>
      <w:pPr>
        <w:jc w:val="center"/>
        <w:outlineLvl w:val="2"/>
        <w:rPr>
          <w:b/>
          <w:bCs/>
          <w:sz w:val="36"/>
          <w:szCs w:val="36"/>
        </w:rPr>
      </w:pPr>
      <w:r>
        <w:rPr>
          <w:rFonts w:hint="eastAsia"/>
          <w:b/>
          <w:bCs/>
          <w:sz w:val="36"/>
          <w:szCs w:val="36"/>
        </w:rPr>
        <w:t>（四）温州市政府采购支持中小企业的政策说明</w:t>
      </w:r>
    </w:p>
    <w:p>
      <w:pPr>
        <w:ind w:firstLine="440" w:firstLineChars="200"/>
        <w:jc w:val="left"/>
      </w:pPr>
      <w:r>
        <w:rPr>
          <w:rFonts w:hint="eastAsia"/>
          <w:color w:val="000000"/>
          <w:kern w:val="0"/>
        </w:rPr>
        <w:t>根据《温州市财政支持深化民营和小微企业金融服务综合改革试点实施方案》（温政办〔2019〕76号）、《温州市人民政府关于印发应对新冠肺炎疫情支持中小企业共渡难关若干措施的通知》（温政发〔2020〕3号）、《关于坚决打赢新冠肺炎疫情防控阻击战、打好发展主动仗的实施意见》（温委发〔2020〕5号）、《当前金融支持民营中小微企业和个体工商户复工复产复业的具体措施》（温政办〔2020〕12号）和《温州市财政局关于温州市政府采购支持中小企业信用融资的通知》的规定，中标供应商可根据自身需求选择使用。</w:t>
      </w:r>
    </w:p>
    <w:p>
      <w:pPr>
        <w:jc w:val="center"/>
        <w:rPr>
          <w:b/>
          <w:bCs/>
          <w:spacing w:val="6"/>
          <w:sz w:val="24"/>
          <w:szCs w:val="24"/>
        </w:rPr>
      </w:pPr>
      <w:r>
        <w:rPr>
          <w:rFonts w:hint="eastAsia"/>
          <w:b/>
          <w:bCs/>
          <w:spacing w:val="6"/>
          <w:sz w:val="24"/>
          <w:szCs w:val="24"/>
        </w:rPr>
        <w:t>温州市政府采购信用融资意向银行选择表</w:t>
      </w:r>
    </w:p>
    <w:p>
      <w:pPr>
        <w:jc w:val="center"/>
        <w:rPr>
          <w:b/>
          <w:bCs/>
          <w:spacing w:val="6"/>
          <w:sz w:val="24"/>
          <w:szCs w:val="24"/>
        </w:rPr>
      </w:pPr>
      <w:r>
        <w:rPr>
          <w:rFonts w:hint="eastAsia"/>
          <w:b/>
          <w:bCs/>
          <w:spacing w:val="6"/>
          <w:sz w:val="24"/>
          <w:szCs w:val="24"/>
        </w:rPr>
        <w:t>（温州市供应商填写）</w:t>
      </w:r>
    </w:p>
    <w:tbl>
      <w:tblPr>
        <w:tblStyle w:val="30"/>
        <w:tblW w:w="9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268"/>
        <w:gridCol w:w="1417"/>
        <w:gridCol w:w="851"/>
        <w:gridCol w:w="1559"/>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668" w:type="dxa"/>
          </w:tcPr>
          <w:p>
            <w:pPr>
              <w:pStyle w:val="52"/>
              <w:spacing w:line="36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企业名称</w:t>
            </w:r>
          </w:p>
        </w:tc>
        <w:tc>
          <w:tcPr>
            <w:tcW w:w="7855" w:type="dxa"/>
            <w:gridSpan w:val="5"/>
          </w:tcPr>
          <w:p>
            <w:pPr>
              <w:pStyle w:val="52"/>
              <w:spacing w:line="360" w:lineRule="auto"/>
              <w:ind w:firstLine="0" w:firstLineChars="0"/>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668" w:type="dxa"/>
          </w:tcPr>
          <w:p>
            <w:pPr>
              <w:pStyle w:val="52"/>
              <w:spacing w:line="36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企业注册地</w:t>
            </w:r>
          </w:p>
        </w:tc>
        <w:tc>
          <w:tcPr>
            <w:tcW w:w="3685" w:type="dxa"/>
            <w:gridSpan w:val="2"/>
          </w:tcPr>
          <w:p>
            <w:pPr>
              <w:pStyle w:val="52"/>
              <w:spacing w:line="360" w:lineRule="auto"/>
              <w:ind w:firstLine="0" w:firstLineChars="0"/>
              <w:jc w:val="center"/>
              <w:rPr>
                <w:rFonts w:ascii="宋体" w:hAnsi="宋体" w:eastAsia="宋体" w:cs="宋体"/>
                <w:color w:val="000000"/>
                <w:kern w:val="0"/>
                <w:sz w:val="22"/>
                <w:szCs w:val="22"/>
              </w:rPr>
            </w:pPr>
          </w:p>
        </w:tc>
        <w:tc>
          <w:tcPr>
            <w:tcW w:w="2410" w:type="dxa"/>
            <w:gridSpan w:val="2"/>
          </w:tcPr>
          <w:p>
            <w:pPr>
              <w:pStyle w:val="52"/>
              <w:spacing w:line="36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是否有融资意向</w:t>
            </w:r>
          </w:p>
        </w:tc>
        <w:tc>
          <w:tcPr>
            <w:tcW w:w="1760" w:type="dxa"/>
          </w:tcPr>
          <w:p>
            <w:pPr>
              <w:pStyle w:val="52"/>
              <w:spacing w:line="360" w:lineRule="auto"/>
              <w:ind w:firstLine="0" w:firstLineChars="0"/>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1668" w:type="dxa"/>
          </w:tcPr>
          <w:p>
            <w:pPr>
              <w:pStyle w:val="52"/>
              <w:spacing w:line="36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融资联系人</w:t>
            </w:r>
          </w:p>
        </w:tc>
        <w:tc>
          <w:tcPr>
            <w:tcW w:w="2268" w:type="dxa"/>
          </w:tcPr>
          <w:p>
            <w:pPr>
              <w:pStyle w:val="52"/>
              <w:spacing w:line="360" w:lineRule="auto"/>
              <w:ind w:firstLine="0" w:firstLineChars="0"/>
              <w:jc w:val="center"/>
              <w:rPr>
                <w:rFonts w:ascii="宋体" w:hAnsi="宋体" w:eastAsia="宋体" w:cs="宋体"/>
                <w:color w:val="000000"/>
                <w:kern w:val="0"/>
                <w:sz w:val="22"/>
                <w:szCs w:val="22"/>
              </w:rPr>
            </w:pPr>
          </w:p>
        </w:tc>
        <w:tc>
          <w:tcPr>
            <w:tcW w:w="2268" w:type="dxa"/>
            <w:gridSpan w:val="2"/>
          </w:tcPr>
          <w:p>
            <w:pPr>
              <w:pStyle w:val="52"/>
              <w:spacing w:line="36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联系方式</w:t>
            </w:r>
          </w:p>
        </w:tc>
        <w:tc>
          <w:tcPr>
            <w:tcW w:w="3319" w:type="dxa"/>
            <w:gridSpan w:val="2"/>
          </w:tcPr>
          <w:p>
            <w:pPr>
              <w:pStyle w:val="52"/>
              <w:spacing w:line="360" w:lineRule="auto"/>
              <w:ind w:firstLine="0" w:firstLineChars="0"/>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204" w:type="dxa"/>
            <w:gridSpan w:val="4"/>
            <w:vAlign w:val="center"/>
          </w:tcPr>
          <w:p>
            <w:pPr>
              <w:pStyle w:val="52"/>
              <w:spacing w:line="36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温州市政府采购信用融资合作银行</w:t>
            </w:r>
          </w:p>
        </w:tc>
        <w:tc>
          <w:tcPr>
            <w:tcW w:w="3319" w:type="dxa"/>
            <w:gridSpan w:val="2"/>
          </w:tcPr>
          <w:p>
            <w:pPr>
              <w:pStyle w:val="52"/>
              <w:spacing w:line="360" w:lineRule="auto"/>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选择作为意向融资银行（可多选）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6204" w:type="dxa"/>
            <w:gridSpan w:val="4"/>
            <w:vAlign w:val="center"/>
          </w:tcPr>
          <w:p>
            <w:pPr>
              <w:pStyle w:val="52"/>
              <w:spacing w:line="360" w:lineRule="auto"/>
              <w:ind w:firstLine="0" w:firstLineChars="0"/>
              <w:jc w:val="both"/>
              <w:rPr>
                <w:rFonts w:ascii="宋体" w:hAnsi="宋体" w:eastAsia="宋体" w:cs="宋体"/>
                <w:color w:val="000000"/>
                <w:kern w:val="0"/>
                <w:sz w:val="22"/>
                <w:szCs w:val="22"/>
              </w:rPr>
            </w:pPr>
            <w:r>
              <w:rPr>
                <w:rFonts w:hint="eastAsia" w:ascii="宋体" w:hAnsi="宋体" w:eastAsia="宋体" w:cs="宋体"/>
                <w:color w:val="000000"/>
                <w:kern w:val="0"/>
                <w:sz w:val="22"/>
                <w:szCs w:val="22"/>
              </w:rPr>
              <w:t>温州银行股份有限公司温州分行</w:t>
            </w:r>
          </w:p>
        </w:tc>
        <w:tc>
          <w:tcPr>
            <w:tcW w:w="3319" w:type="dxa"/>
            <w:gridSpan w:val="2"/>
            <w:vAlign w:val="center"/>
          </w:tcPr>
          <w:p>
            <w:pPr>
              <w:pStyle w:val="52"/>
              <w:spacing w:line="360" w:lineRule="auto"/>
              <w:ind w:firstLine="0" w:firstLineChars="0"/>
              <w:jc w:val="both"/>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6204" w:type="dxa"/>
            <w:gridSpan w:val="4"/>
            <w:vAlign w:val="center"/>
          </w:tcPr>
          <w:p>
            <w:pPr>
              <w:pStyle w:val="52"/>
              <w:spacing w:line="360" w:lineRule="auto"/>
              <w:ind w:firstLine="0" w:firstLineChars="0"/>
              <w:jc w:val="both"/>
              <w:rPr>
                <w:rFonts w:ascii="宋体" w:hAnsi="宋体" w:eastAsia="宋体" w:cs="宋体"/>
                <w:color w:val="000000"/>
                <w:kern w:val="0"/>
                <w:sz w:val="22"/>
                <w:szCs w:val="22"/>
              </w:rPr>
            </w:pPr>
            <w:r>
              <w:rPr>
                <w:rFonts w:hint="eastAsia" w:ascii="宋体" w:hAnsi="宋体" w:eastAsia="宋体" w:cs="宋体"/>
                <w:color w:val="000000"/>
                <w:kern w:val="0"/>
                <w:sz w:val="22"/>
                <w:szCs w:val="22"/>
              </w:rPr>
              <w:t>温州银行股份有限公司鹿城分行</w:t>
            </w:r>
          </w:p>
        </w:tc>
        <w:tc>
          <w:tcPr>
            <w:tcW w:w="3319" w:type="dxa"/>
            <w:gridSpan w:val="2"/>
            <w:vAlign w:val="center"/>
          </w:tcPr>
          <w:p>
            <w:pPr>
              <w:pStyle w:val="52"/>
              <w:spacing w:line="360" w:lineRule="auto"/>
              <w:ind w:firstLine="0" w:firstLineChars="0"/>
              <w:jc w:val="both"/>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4" w:type="dxa"/>
            <w:gridSpan w:val="4"/>
            <w:vAlign w:val="center"/>
          </w:tcPr>
          <w:p>
            <w:pPr>
              <w:pStyle w:val="52"/>
              <w:spacing w:line="360" w:lineRule="auto"/>
              <w:ind w:firstLine="0" w:firstLineChars="0"/>
              <w:jc w:val="both"/>
              <w:rPr>
                <w:rFonts w:ascii="宋体" w:hAnsi="宋体" w:eastAsia="宋体" w:cs="宋体"/>
                <w:color w:val="000000"/>
                <w:kern w:val="0"/>
                <w:sz w:val="22"/>
                <w:szCs w:val="22"/>
              </w:rPr>
            </w:pPr>
            <w:r>
              <w:rPr>
                <w:rFonts w:hint="eastAsia" w:ascii="宋体" w:hAnsi="宋体" w:eastAsia="宋体" w:cs="宋体"/>
                <w:color w:val="000000"/>
                <w:kern w:val="0"/>
                <w:sz w:val="22"/>
                <w:szCs w:val="22"/>
              </w:rPr>
              <w:t>中国工商银行股份有限公司温州分行</w:t>
            </w:r>
          </w:p>
        </w:tc>
        <w:tc>
          <w:tcPr>
            <w:tcW w:w="3319" w:type="dxa"/>
            <w:gridSpan w:val="2"/>
            <w:vAlign w:val="center"/>
          </w:tcPr>
          <w:p>
            <w:pPr>
              <w:pStyle w:val="52"/>
              <w:spacing w:line="360" w:lineRule="auto"/>
              <w:ind w:firstLine="0" w:firstLineChars="0"/>
              <w:jc w:val="both"/>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6204" w:type="dxa"/>
            <w:gridSpan w:val="4"/>
            <w:vAlign w:val="center"/>
          </w:tcPr>
          <w:p>
            <w:pPr>
              <w:pStyle w:val="52"/>
              <w:spacing w:line="360" w:lineRule="auto"/>
              <w:ind w:firstLine="0" w:firstLineChars="0"/>
              <w:jc w:val="both"/>
              <w:rPr>
                <w:rFonts w:ascii="宋体" w:hAnsi="宋体" w:eastAsia="宋体" w:cs="宋体"/>
                <w:color w:val="000000"/>
                <w:kern w:val="0"/>
                <w:sz w:val="22"/>
                <w:szCs w:val="22"/>
              </w:rPr>
            </w:pPr>
            <w:r>
              <w:rPr>
                <w:rFonts w:hint="eastAsia" w:ascii="宋体" w:hAnsi="宋体" w:eastAsia="宋体" w:cs="宋体"/>
                <w:color w:val="000000"/>
                <w:kern w:val="0"/>
                <w:sz w:val="22"/>
                <w:szCs w:val="22"/>
              </w:rPr>
              <w:t>中国建设银行股份有限公司温州分行</w:t>
            </w:r>
          </w:p>
        </w:tc>
        <w:tc>
          <w:tcPr>
            <w:tcW w:w="3319" w:type="dxa"/>
            <w:gridSpan w:val="2"/>
            <w:vAlign w:val="center"/>
          </w:tcPr>
          <w:p>
            <w:pP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4" w:type="dxa"/>
            <w:gridSpan w:val="4"/>
            <w:vAlign w:val="center"/>
          </w:tcPr>
          <w:p>
            <w:pPr>
              <w:pStyle w:val="52"/>
              <w:spacing w:line="360" w:lineRule="auto"/>
              <w:ind w:firstLine="0" w:firstLineChars="0"/>
              <w:jc w:val="both"/>
              <w:rPr>
                <w:rFonts w:ascii="宋体" w:hAnsi="宋体" w:eastAsia="宋体" w:cs="宋体"/>
                <w:color w:val="000000"/>
                <w:kern w:val="0"/>
                <w:sz w:val="22"/>
                <w:szCs w:val="22"/>
              </w:rPr>
            </w:pPr>
            <w:r>
              <w:rPr>
                <w:rFonts w:hint="eastAsia" w:ascii="宋体" w:hAnsi="宋体" w:eastAsia="宋体" w:cs="宋体"/>
                <w:color w:val="000000"/>
                <w:kern w:val="0"/>
                <w:sz w:val="22"/>
                <w:szCs w:val="22"/>
              </w:rPr>
              <w:t>中国邮政储蓄银行股份有限公司温州市分行</w:t>
            </w:r>
          </w:p>
        </w:tc>
        <w:tc>
          <w:tcPr>
            <w:tcW w:w="3319" w:type="dxa"/>
            <w:gridSpan w:val="2"/>
            <w:vAlign w:val="center"/>
          </w:tcPr>
          <w:p>
            <w:pPr>
              <w:pStyle w:val="52"/>
              <w:spacing w:line="360" w:lineRule="auto"/>
              <w:ind w:firstLine="0" w:firstLineChars="0"/>
              <w:jc w:val="both"/>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4" w:type="dxa"/>
            <w:gridSpan w:val="4"/>
            <w:vAlign w:val="center"/>
          </w:tcPr>
          <w:p>
            <w:pPr>
              <w:pStyle w:val="52"/>
              <w:spacing w:line="360" w:lineRule="auto"/>
              <w:ind w:firstLine="0" w:firstLineChars="0"/>
              <w:jc w:val="both"/>
              <w:rPr>
                <w:rFonts w:ascii="宋体" w:hAnsi="宋体" w:eastAsia="宋体" w:cs="宋体"/>
                <w:color w:val="000000"/>
                <w:kern w:val="0"/>
                <w:sz w:val="22"/>
                <w:szCs w:val="22"/>
              </w:rPr>
            </w:pPr>
            <w:r>
              <w:rPr>
                <w:rFonts w:hint="eastAsia" w:ascii="宋体" w:hAnsi="宋体" w:eastAsia="宋体" w:cs="宋体"/>
                <w:color w:val="000000"/>
                <w:kern w:val="0"/>
                <w:sz w:val="22"/>
                <w:szCs w:val="22"/>
              </w:rPr>
              <w:t>中国民生银行股份有限公司温州分行</w:t>
            </w:r>
          </w:p>
        </w:tc>
        <w:tc>
          <w:tcPr>
            <w:tcW w:w="3319" w:type="dxa"/>
            <w:gridSpan w:val="2"/>
            <w:vAlign w:val="center"/>
          </w:tcPr>
          <w:p>
            <w:pPr>
              <w:pStyle w:val="52"/>
              <w:spacing w:line="360" w:lineRule="auto"/>
              <w:ind w:firstLine="0" w:firstLineChars="0"/>
              <w:jc w:val="both"/>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4" w:type="dxa"/>
            <w:gridSpan w:val="4"/>
            <w:vAlign w:val="center"/>
          </w:tcPr>
          <w:p>
            <w:pPr>
              <w:pStyle w:val="52"/>
              <w:spacing w:line="360" w:lineRule="auto"/>
              <w:ind w:firstLine="0" w:firstLineChars="0"/>
              <w:jc w:val="both"/>
              <w:rPr>
                <w:rFonts w:ascii="宋体" w:hAnsi="宋体" w:eastAsia="宋体" w:cs="宋体"/>
                <w:color w:val="000000"/>
                <w:kern w:val="0"/>
                <w:sz w:val="22"/>
                <w:szCs w:val="22"/>
              </w:rPr>
            </w:pPr>
            <w:r>
              <w:rPr>
                <w:rFonts w:hint="eastAsia" w:ascii="宋体" w:hAnsi="宋体" w:eastAsia="宋体" w:cs="宋体"/>
                <w:color w:val="000000"/>
                <w:kern w:val="0"/>
                <w:sz w:val="22"/>
                <w:szCs w:val="22"/>
              </w:rPr>
              <w:t>宁波银行股份有限公司温州分行</w:t>
            </w:r>
          </w:p>
        </w:tc>
        <w:tc>
          <w:tcPr>
            <w:tcW w:w="3319" w:type="dxa"/>
            <w:gridSpan w:val="2"/>
            <w:vAlign w:val="center"/>
          </w:tcPr>
          <w:p>
            <w:pPr>
              <w:pStyle w:val="52"/>
              <w:spacing w:line="360" w:lineRule="auto"/>
              <w:ind w:firstLine="0" w:firstLineChars="0"/>
              <w:jc w:val="both"/>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4" w:type="dxa"/>
            <w:gridSpan w:val="4"/>
            <w:vAlign w:val="center"/>
          </w:tcPr>
          <w:p>
            <w:pPr>
              <w:pStyle w:val="52"/>
              <w:spacing w:line="360" w:lineRule="auto"/>
              <w:ind w:firstLine="0" w:firstLineChars="0"/>
              <w:jc w:val="both"/>
              <w:rPr>
                <w:rFonts w:ascii="宋体" w:hAnsi="宋体" w:eastAsia="宋体" w:cs="宋体"/>
                <w:color w:val="000000"/>
                <w:kern w:val="0"/>
                <w:sz w:val="22"/>
                <w:szCs w:val="22"/>
              </w:rPr>
            </w:pPr>
            <w:r>
              <w:rPr>
                <w:rFonts w:hint="eastAsia" w:ascii="宋体" w:hAnsi="宋体" w:eastAsia="宋体" w:cs="宋体"/>
                <w:color w:val="000000"/>
                <w:kern w:val="0"/>
                <w:sz w:val="22"/>
                <w:szCs w:val="22"/>
              </w:rPr>
              <w:t>杭州银行股份有限公司温州分行</w:t>
            </w:r>
          </w:p>
        </w:tc>
        <w:tc>
          <w:tcPr>
            <w:tcW w:w="3319" w:type="dxa"/>
            <w:gridSpan w:val="2"/>
            <w:vAlign w:val="center"/>
          </w:tcPr>
          <w:p>
            <w:pPr>
              <w:pStyle w:val="52"/>
              <w:spacing w:line="360" w:lineRule="auto"/>
              <w:ind w:firstLine="0" w:firstLineChars="0"/>
              <w:jc w:val="both"/>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4" w:type="dxa"/>
            <w:gridSpan w:val="4"/>
            <w:vAlign w:val="center"/>
          </w:tcPr>
          <w:p>
            <w:pPr>
              <w:pStyle w:val="52"/>
              <w:spacing w:line="360" w:lineRule="auto"/>
              <w:ind w:firstLine="0" w:firstLineChars="0"/>
              <w:jc w:val="both"/>
              <w:rPr>
                <w:rFonts w:ascii="宋体" w:hAnsi="宋体" w:eastAsia="宋体" w:cs="宋体"/>
                <w:color w:val="000000"/>
                <w:kern w:val="0"/>
                <w:sz w:val="22"/>
                <w:szCs w:val="22"/>
              </w:rPr>
            </w:pPr>
            <w:r>
              <w:rPr>
                <w:rFonts w:hint="eastAsia" w:ascii="宋体" w:hAnsi="宋体" w:eastAsia="宋体" w:cs="宋体"/>
                <w:color w:val="000000"/>
                <w:kern w:val="0"/>
                <w:sz w:val="22"/>
                <w:szCs w:val="22"/>
              </w:rPr>
              <w:t>招商银行股份有限公司温州分行</w:t>
            </w:r>
          </w:p>
        </w:tc>
        <w:tc>
          <w:tcPr>
            <w:tcW w:w="3319" w:type="dxa"/>
            <w:gridSpan w:val="2"/>
            <w:vAlign w:val="center"/>
          </w:tcPr>
          <w:p>
            <w:pPr>
              <w:pStyle w:val="52"/>
              <w:spacing w:line="360" w:lineRule="auto"/>
              <w:ind w:firstLine="0" w:firstLineChars="0"/>
              <w:jc w:val="both"/>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4" w:type="dxa"/>
            <w:gridSpan w:val="4"/>
            <w:vAlign w:val="center"/>
          </w:tcPr>
          <w:p>
            <w:pPr>
              <w:pStyle w:val="52"/>
              <w:spacing w:line="360" w:lineRule="auto"/>
              <w:ind w:firstLine="0" w:firstLineChars="0"/>
              <w:jc w:val="both"/>
              <w:rPr>
                <w:rFonts w:ascii="宋体" w:hAnsi="宋体" w:eastAsia="宋体" w:cs="宋体"/>
                <w:color w:val="000000"/>
                <w:kern w:val="0"/>
                <w:sz w:val="22"/>
                <w:szCs w:val="22"/>
              </w:rPr>
            </w:pPr>
            <w:r>
              <w:rPr>
                <w:rFonts w:hint="eastAsia" w:ascii="宋体" w:hAnsi="宋体" w:eastAsia="宋体" w:cs="宋体"/>
                <w:color w:val="000000"/>
                <w:kern w:val="0"/>
                <w:sz w:val="22"/>
                <w:szCs w:val="22"/>
              </w:rPr>
              <w:t>兴业银行股份有限公司温州分行</w:t>
            </w:r>
          </w:p>
        </w:tc>
        <w:tc>
          <w:tcPr>
            <w:tcW w:w="3319" w:type="dxa"/>
            <w:gridSpan w:val="2"/>
            <w:vAlign w:val="center"/>
          </w:tcPr>
          <w:p>
            <w:pPr>
              <w:pStyle w:val="52"/>
              <w:spacing w:line="360" w:lineRule="auto"/>
              <w:ind w:firstLine="0" w:firstLineChars="0"/>
              <w:jc w:val="both"/>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4" w:type="dxa"/>
            <w:gridSpan w:val="4"/>
            <w:vAlign w:val="center"/>
          </w:tcPr>
          <w:p>
            <w:pPr>
              <w:pStyle w:val="52"/>
              <w:spacing w:line="360" w:lineRule="auto"/>
              <w:ind w:firstLine="0" w:firstLineChars="0"/>
              <w:jc w:val="both"/>
              <w:rPr>
                <w:rFonts w:ascii="宋体" w:hAnsi="宋体" w:eastAsia="宋体" w:cs="宋体"/>
                <w:color w:val="000000"/>
                <w:kern w:val="0"/>
                <w:sz w:val="22"/>
                <w:szCs w:val="22"/>
              </w:rPr>
            </w:pPr>
            <w:r>
              <w:rPr>
                <w:rFonts w:hint="eastAsia" w:ascii="宋体" w:hAnsi="宋体" w:eastAsia="宋体" w:cs="宋体"/>
                <w:color w:val="000000"/>
                <w:kern w:val="0"/>
                <w:sz w:val="22"/>
                <w:szCs w:val="22"/>
              </w:rPr>
              <w:t>交通银行股份有限公司温州分行</w:t>
            </w:r>
          </w:p>
        </w:tc>
        <w:tc>
          <w:tcPr>
            <w:tcW w:w="3319" w:type="dxa"/>
            <w:gridSpan w:val="2"/>
            <w:vAlign w:val="center"/>
          </w:tcPr>
          <w:p>
            <w:pPr>
              <w:pStyle w:val="52"/>
              <w:spacing w:line="360" w:lineRule="auto"/>
              <w:ind w:firstLine="0" w:firstLineChars="0"/>
              <w:jc w:val="both"/>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204" w:type="dxa"/>
            <w:gridSpan w:val="4"/>
            <w:vAlign w:val="center"/>
          </w:tcPr>
          <w:p>
            <w:pPr>
              <w:pStyle w:val="52"/>
              <w:spacing w:line="360" w:lineRule="auto"/>
              <w:ind w:firstLine="0" w:firstLineChars="0"/>
              <w:jc w:val="both"/>
              <w:rPr>
                <w:rFonts w:ascii="宋体" w:hAnsi="宋体" w:eastAsia="宋体" w:cs="宋体"/>
                <w:color w:val="000000"/>
                <w:kern w:val="0"/>
                <w:sz w:val="22"/>
                <w:szCs w:val="22"/>
              </w:rPr>
            </w:pPr>
            <w:r>
              <w:rPr>
                <w:rFonts w:hint="eastAsia" w:ascii="宋体" w:hAnsi="宋体" w:eastAsia="宋体" w:cs="宋体"/>
                <w:color w:val="000000"/>
                <w:kern w:val="0"/>
                <w:sz w:val="22"/>
                <w:szCs w:val="22"/>
              </w:rPr>
              <w:t>上海浦东发展银行股份有限公司温州分行</w:t>
            </w:r>
          </w:p>
        </w:tc>
        <w:tc>
          <w:tcPr>
            <w:tcW w:w="3319" w:type="dxa"/>
            <w:gridSpan w:val="2"/>
            <w:vAlign w:val="center"/>
          </w:tcPr>
          <w:p>
            <w:pPr>
              <w:pStyle w:val="52"/>
              <w:spacing w:line="360" w:lineRule="auto"/>
              <w:ind w:firstLine="0" w:firstLineChars="0"/>
              <w:jc w:val="both"/>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204" w:type="dxa"/>
            <w:gridSpan w:val="4"/>
            <w:vAlign w:val="center"/>
          </w:tcPr>
          <w:p>
            <w:pPr>
              <w:pStyle w:val="52"/>
              <w:spacing w:line="360" w:lineRule="auto"/>
              <w:ind w:firstLine="0" w:firstLineChars="0"/>
              <w:jc w:val="both"/>
              <w:rPr>
                <w:rFonts w:ascii="宋体" w:hAnsi="宋体" w:eastAsia="宋体" w:cs="宋体"/>
                <w:color w:val="000000"/>
                <w:kern w:val="0"/>
                <w:sz w:val="22"/>
                <w:szCs w:val="22"/>
              </w:rPr>
            </w:pPr>
            <w:r>
              <w:rPr>
                <w:rFonts w:hint="eastAsia" w:ascii="宋体" w:hAnsi="宋体" w:eastAsia="宋体" w:cs="宋体"/>
                <w:color w:val="000000"/>
                <w:kern w:val="0"/>
                <w:sz w:val="22"/>
                <w:szCs w:val="22"/>
              </w:rPr>
              <w:t>中国银行股份有限公司温州市分行</w:t>
            </w:r>
          </w:p>
        </w:tc>
        <w:tc>
          <w:tcPr>
            <w:tcW w:w="3319" w:type="dxa"/>
            <w:gridSpan w:val="2"/>
            <w:vAlign w:val="center"/>
          </w:tcPr>
          <w:p>
            <w:pPr>
              <w:pStyle w:val="52"/>
              <w:spacing w:line="360" w:lineRule="auto"/>
              <w:ind w:firstLine="0" w:firstLineChars="0"/>
              <w:jc w:val="both"/>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204" w:type="dxa"/>
            <w:gridSpan w:val="4"/>
            <w:vAlign w:val="center"/>
          </w:tcPr>
          <w:p>
            <w:pPr>
              <w:pStyle w:val="52"/>
              <w:spacing w:line="360" w:lineRule="auto"/>
              <w:ind w:firstLine="0" w:firstLineChars="0"/>
              <w:jc w:val="both"/>
              <w:rPr>
                <w:rFonts w:ascii="宋体" w:hAnsi="宋体" w:eastAsia="宋体" w:cs="宋体"/>
                <w:color w:val="000000"/>
                <w:kern w:val="0"/>
                <w:sz w:val="22"/>
                <w:szCs w:val="22"/>
              </w:rPr>
            </w:pPr>
            <w:r>
              <w:rPr>
                <w:rFonts w:hint="eastAsia" w:ascii="宋体" w:hAnsi="宋体" w:eastAsia="宋体" w:cs="宋体"/>
                <w:color w:val="000000"/>
                <w:kern w:val="0"/>
                <w:sz w:val="22"/>
                <w:szCs w:val="22"/>
              </w:rPr>
              <w:t>中国农业银行股份有限公司温州分行</w:t>
            </w:r>
          </w:p>
        </w:tc>
        <w:tc>
          <w:tcPr>
            <w:tcW w:w="3319" w:type="dxa"/>
            <w:gridSpan w:val="2"/>
            <w:vAlign w:val="center"/>
          </w:tcPr>
          <w:p>
            <w:pPr>
              <w:pStyle w:val="52"/>
              <w:spacing w:line="360" w:lineRule="auto"/>
              <w:ind w:firstLine="0" w:firstLineChars="0"/>
              <w:jc w:val="both"/>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204" w:type="dxa"/>
            <w:gridSpan w:val="4"/>
            <w:vAlign w:val="center"/>
          </w:tcPr>
          <w:p>
            <w:pPr>
              <w:pStyle w:val="52"/>
              <w:spacing w:line="360" w:lineRule="auto"/>
              <w:ind w:firstLine="0" w:firstLineChars="0"/>
              <w:jc w:val="both"/>
              <w:rPr>
                <w:rFonts w:ascii="宋体" w:hAnsi="宋体" w:eastAsia="宋体" w:cs="宋体"/>
                <w:color w:val="000000"/>
                <w:kern w:val="0"/>
                <w:sz w:val="22"/>
                <w:szCs w:val="22"/>
              </w:rPr>
            </w:pPr>
            <w:r>
              <w:rPr>
                <w:rFonts w:hint="eastAsia" w:ascii="宋体" w:hAnsi="宋体" w:eastAsia="宋体" w:cs="宋体"/>
                <w:color w:val="000000"/>
                <w:kern w:val="0"/>
                <w:sz w:val="22"/>
                <w:szCs w:val="22"/>
              </w:rPr>
              <w:t>中信银行股份有限公司温州分行</w:t>
            </w:r>
          </w:p>
        </w:tc>
        <w:tc>
          <w:tcPr>
            <w:tcW w:w="3319" w:type="dxa"/>
            <w:gridSpan w:val="2"/>
            <w:vAlign w:val="center"/>
          </w:tcPr>
          <w:p>
            <w:pPr>
              <w:pStyle w:val="52"/>
              <w:spacing w:line="360" w:lineRule="auto"/>
              <w:ind w:firstLine="0" w:firstLineChars="0"/>
              <w:jc w:val="both"/>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204" w:type="dxa"/>
            <w:gridSpan w:val="4"/>
            <w:vAlign w:val="center"/>
          </w:tcPr>
          <w:p>
            <w:pPr>
              <w:pStyle w:val="52"/>
              <w:spacing w:line="360" w:lineRule="auto"/>
              <w:ind w:firstLine="0" w:firstLineChars="0"/>
              <w:jc w:val="both"/>
              <w:rPr>
                <w:rFonts w:ascii="宋体" w:hAnsi="宋体" w:eastAsia="宋体" w:cs="宋体"/>
                <w:color w:val="000000"/>
                <w:kern w:val="0"/>
                <w:sz w:val="22"/>
                <w:szCs w:val="22"/>
              </w:rPr>
            </w:pPr>
            <w:r>
              <w:rPr>
                <w:rFonts w:hint="eastAsia" w:ascii="宋体" w:hAnsi="宋体" w:eastAsia="宋体" w:cs="宋体"/>
                <w:color w:val="000000"/>
                <w:kern w:val="0"/>
                <w:sz w:val="22"/>
                <w:szCs w:val="22"/>
              </w:rPr>
              <w:t>浙商银行股份有限公司温州分行</w:t>
            </w:r>
          </w:p>
        </w:tc>
        <w:tc>
          <w:tcPr>
            <w:tcW w:w="3319" w:type="dxa"/>
            <w:gridSpan w:val="2"/>
            <w:vAlign w:val="center"/>
          </w:tcPr>
          <w:p>
            <w:pPr>
              <w:pStyle w:val="52"/>
              <w:spacing w:line="360" w:lineRule="auto"/>
              <w:ind w:firstLine="0" w:firstLineChars="0"/>
              <w:jc w:val="both"/>
              <w:rPr>
                <w:rFonts w:ascii="宋体" w:hAnsi="宋体" w:eastAsia="宋体" w:cs="宋体"/>
                <w:color w:val="000000"/>
                <w:kern w:val="0"/>
                <w:sz w:val="22"/>
                <w:szCs w:val="22"/>
              </w:rPr>
            </w:pPr>
          </w:p>
        </w:tc>
      </w:tr>
    </w:tbl>
    <w:p>
      <w:pPr>
        <w:spacing w:before="156" w:beforeLines="50"/>
      </w:pPr>
      <w:r>
        <w:rPr>
          <w:rFonts w:hint="eastAsia"/>
        </w:rPr>
        <w:t>注：1、本表填写对象为注册地在温州市域内的供应商，填写完成后发送至邮箱：</w:t>
      </w:r>
      <w:r>
        <w:fldChar w:fldCharType="begin"/>
      </w:r>
      <w:r>
        <w:instrText xml:space="preserve"> HYPERLINK "mailto:wzzcrz@126.com" </w:instrText>
      </w:r>
      <w:r>
        <w:fldChar w:fldCharType="separate"/>
      </w:r>
      <w:r>
        <w:rPr>
          <w:rStyle w:val="35"/>
          <w:rFonts w:hint="eastAsia"/>
          <w:color w:val="auto"/>
          <w:sz w:val="22"/>
          <w:szCs w:val="22"/>
        </w:rPr>
        <w:t>wzzcrz@126.com</w:t>
      </w:r>
      <w:r>
        <w:rPr>
          <w:rStyle w:val="35"/>
          <w:rFonts w:hint="eastAsia"/>
          <w:color w:val="auto"/>
          <w:sz w:val="22"/>
          <w:szCs w:val="22"/>
        </w:rPr>
        <w:fldChar w:fldCharType="end"/>
      </w:r>
      <w:r>
        <w:rPr>
          <w:rFonts w:hint="eastAsia"/>
        </w:rPr>
        <w:t>。</w:t>
      </w:r>
    </w:p>
    <w:p>
      <w:pPr>
        <w:ind w:firstLine="440" w:firstLineChars="200"/>
      </w:pPr>
      <w:r>
        <w:rPr>
          <w:rFonts w:hint="eastAsia"/>
        </w:rPr>
        <w:t>2、财政部门根据企业自行选择，将本表及企业相关信息推送至相对应的融资意向银行经办人。</w:t>
      </w:r>
    </w:p>
    <w:tbl>
      <w:tblPr>
        <w:tblStyle w:val="30"/>
        <w:tblW w:w="10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0"/>
        <w:gridCol w:w="4810"/>
        <w:gridCol w:w="1265"/>
        <w:gridCol w:w="1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240" w:type="dxa"/>
            <w:gridSpan w:val="4"/>
          </w:tcPr>
          <w:p>
            <w:pPr>
              <w:jc w:val="center"/>
            </w:pPr>
            <w:r>
              <w:rPr>
                <w:rFonts w:hint="eastAsia"/>
                <w:color w:val="333333"/>
              </w:rPr>
              <w:t>温州市政府采购支持中小企业信用融资合作银行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20" w:type="dxa"/>
          </w:tcPr>
          <w:p>
            <w:pPr>
              <w:pStyle w:val="52"/>
              <w:spacing w:line="36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银行名称</w:t>
            </w:r>
          </w:p>
        </w:tc>
        <w:tc>
          <w:tcPr>
            <w:tcW w:w="4810" w:type="dxa"/>
          </w:tcPr>
          <w:p>
            <w:pPr>
              <w:pStyle w:val="52"/>
              <w:spacing w:line="36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产品特点</w:t>
            </w:r>
          </w:p>
        </w:tc>
        <w:tc>
          <w:tcPr>
            <w:tcW w:w="1265" w:type="dxa"/>
          </w:tcPr>
          <w:p>
            <w:pPr>
              <w:pStyle w:val="52"/>
              <w:spacing w:line="360" w:lineRule="auto"/>
              <w:ind w:firstLine="0" w:firstLineChars="0"/>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经办人</w:t>
            </w:r>
          </w:p>
        </w:tc>
        <w:tc>
          <w:tcPr>
            <w:tcW w:w="1945" w:type="dxa"/>
          </w:tcPr>
          <w:p>
            <w:pPr>
              <w:jc w:val="center"/>
              <w:rPr>
                <w:color w:val="000000"/>
                <w:kern w:val="0"/>
              </w:rPr>
            </w:pPr>
            <w:r>
              <w:rPr>
                <w:rFonts w:hint="eastAsia"/>
                <w:color w:val="000000"/>
                <w:kern w:val="0"/>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2" w:hRule="atLeast"/>
          <w:jc w:val="center"/>
        </w:trPr>
        <w:tc>
          <w:tcPr>
            <w:tcW w:w="2220" w:type="dxa"/>
          </w:tcPr>
          <w:p>
            <w:pPr>
              <w:pStyle w:val="52"/>
              <w:spacing w:line="360" w:lineRule="auto"/>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中国工商银行股份有限公司温州分行</w:t>
            </w:r>
          </w:p>
        </w:tc>
        <w:tc>
          <w:tcPr>
            <w:tcW w:w="4810" w:type="dxa"/>
          </w:tcPr>
          <w:p>
            <w:r>
              <w:rPr>
                <w:rFonts w:hint="eastAsia"/>
              </w:rPr>
              <w:t>一、融资方式：采取简易方式,根据流水及纳税情况核定额度。信用方式。（融资200万以下）根据政府采购合同及供应商资金需求确定，以信用为主，追加采购合同项下的预期销货款为我行质押。（融资200万以上）二、融资利率：在我行一般中小企业信用贷款利率基础上下浮10%。</w:t>
            </w:r>
          </w:p>
        </w:tc>
        <w:tc>
          <w:tcPr>
            <w:tcW w:w="1265" w:type="dxa"/>
          </w:tcPr>
          <w:p>
            <w:pPr>
              <w:pStyle w:val="52"/>
              <w:spacing w:line="360" w:lineRule="auto"/>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王经理</w:t>
            </w:r>
          </w:p>
        </w:tc>
        <w:tc>
          <w:tcPr>
            <w:tcW w:w="1945" w:type="dxa"/>
          </w:tcPr>
          <w:p>
            <w:pPr>
              <w:jc w:val="left"/>
              <w:rPr>
                <w:kern w:val="0"/>
              </w:rPr>
            </w:pPr>
            <w:r>
              <w:rPr>
                <w:rFonts w:hint="eastAsia"/>
                <w:kern w:val="0"/>
              </w:rPr>
              <w:t>0577-88186626</w:t>
            </w:r>
          </w:p>
          <w:p>
            <w:pPr>
              <w:jc w:val="left"/>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7" w:hRule="atLeast"/>
          <w:jc w:val="center"/>
        </w:trPr>
        <w:tc>
          <w:tcPr>
            <w:tcW w:w="2220" w:type="dxa"/>
          </w:tcPr>
          <w:p>
            <w:pPr>
              <w:rPr>
                <w:color w:val="000000"/>
              </w:rPr>
            </w:pPr>
            <w:r>
              <w:rPr>
                <w:rFonts w:hint="eastAsia"/>
                <w:color w:val="000000"/>
                <w:kern w:val="0"/>
              </w:rPr>
              <w:t>中国建设银行股份有限公司温州分行</w:t>
            </w:r>
          </w:p>
        </w:tc>
        <w:tc>
          <w:tcPr>
            <w:tcW w:w="4810" w:type="dxa"/>
          </w:tcPr>
          <w:p>
            <w:r>
              <w:rPr>
                <w:rFonts w:hint="eastAsia"/>
              </w:rPr>
              <w:t>申请手续简便：以政府采购合同为基础，无需额外抵押和担保；融资价格优惠：最低可享受4.15%的优惠利率，随LPR浮动调整；到账时间快速：最快可实现当日申请，当日放款；办理流程省心：线上操作流程，免去银行排队奔波。</w:t>
            </w:r>
          </w:p>
        </w:tc>
        <w:tc>
          <w:tcPr>
            <w:tcW w:w="1265" w:type="dxa"/>
          </w:tcPr>
          <w:p>
            <w:pPr>
              <w:rPr>
                <w:color w:val="000000"/>
                <w:kern w:val="0"/>
              </w:rPr>
            </w:pPr>
            <w:r>
              <w:rPr>
                <w:rFonts w:hint="eastAsia"/>
                <w:color w:val="000000"/>
                <w:kern w:val="0"/>
              </w:rPr>
              <w:t>张经理</w:t>
            </w:r>
          </w:p>
        </w:tc>
        <w:tc>
          <w:tcPr>
            <w:tcW w:w="1945" w:type="dxa"/>
          </w:tcPr>
          <w:p>
            <w:pPr>
              <w:jc w:val="left"/>
              <w:rPr>
                <w:color w:val="000000"/>
                <w:kern w:val="0"/>
              </w:rPr>
            </w:pPr>
            <w:r>
              <w:rPr>
                <w:rFonts w:hint="eastAsia"/>
                <w:color w:val="000000"/>
                <w:kern w:val="0"/>
              </w:rPr>
              <w:t>0577-88093286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20" w:type="dxa"/>
          </w:tcPr>
          <w:p>
            <w:pPr>
              <w:pStyle w:val="52"/>
              <w:spacing w:line="360" w:lineRule="auto"/>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中国邮政储蓄银行股份有限公司温州市分行</w:t>
            </w:r>
          </w:p>
        </w:tc>
        <w:tc>
          <w:tcPr>
            <w:tcW w:w="4810" w:type="dxa"/>
            <w:vAlign w:val="center"/>
          </w:tcPr>
          <w:p>
            <w:r>
              <w:rPr>
                <w:rFonts w:hint="eastAsia"/>
              </w:rPr>
              <w:t>“政府采购贷”业务，是指我行为政府采购项目中标企业发放的，用于中标企业合法生产经营活动的短期人民币流动资金贷款。贷款免抵押、免担保，手续便捷、审批快速，单笔金额最高500万元，单笔期限最长18个月。</w:t>
            </w:r>
          </w:p>
        </w:tc>
        <w:tc>
          <w:tcPr>
            <w:tcW w:w="1265" w:type="dxa"/>
            <w:vAlign w:val="center"/>
          </w:tcPr>
          <w:p>
            <w:r>
              <w:rPr>
                <w:rFonts w:hint="eastAsia"/>
              </w:rPr>
              <w:t>郑经理</w:t>
            </w:r>
          </w:p>
        </w:tc>
        <w:tc>
          <w:tcPr>
            <w:tcW w:w="1945" w:type="dxa"/>
            <w:vAlign w:val="center"/>
          </w:tcPr>
          <w:p>
            <w:pPr>
              <w:jc w:val="left"/>
              <w:rPr>
                <w:kern w:val="0"/>
              </w:rPr>
            </w:pPr>
            <w:r>
              <w:rPr>
                <w:rFonts w:hint="eastAsia"/>
                <w:kern w:val="0"/>
              </w:rPr>
              <w:t>0577-88193910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2" w:hRule="atLeast"/>
          <w:jc w:val="center"/>
        </w:trPr>
        <w:tc>
          <w:tcPr>
            <w:tcW w:w="2220" w:type="dxa"/>
          </w:tcPr>
          <w:p>
            <w:pPr>
              <w:pStyle w:val="52"/>
              <w:spacing w:line="360" w:lineRule="auto"/>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中国民生银行股份有限公司温州分行</w:t>
            </w:r>
          </w:p>
        </w:tc>
        <w:tc>
          <w:tcPr>
            <w:tcW w:w="4810" w:type="dxa"/>
          </w:tcPr>
          <w:p>
            <w:pPr>
              <w:jc w:val="left"/>
            </w:pPr>
            <w:r>
              <w:rPr>
                <w:rFonts w:hint="eastAsia"/>
                <w:color w:val="000000"/>
              </w:rPr>
              <w:t>民生银行供应链金融“政采贷”产品，专为政府采购场景下的中小企业融资而设计，最高融资额度可达政府采购合同交易金额的70%,最高单笔授信金额可达500万元，期限最长可达1年，无需抵押，无需办理应收账款质押，材料简单，流程便捷，利率优惠。</w:t>
            </w:r>
          </w:p>
        </w:tc>
        <w:tc>
          <w:tcPr>
            <w:tcW w:w="1265" w:type="dxa"/>
          </w:tcPr>
          <w:p>
            <w:r>
              <w:rPr>
                <w:rFonts w:hint="eastAsia"/>
              </w:rPr>
              <w:t>项经理</w:t>
            </w:r>
          </w:p>
        </w:tc>
        <w:tc>
          <w:tcPr>
            <w:tcW w:w="1945" w:type="dxa"/>
          </w:tcPr>
          <w:p>
            <w:pPr>
              <w:jc w:val="left"/>
              <w:rPr>
                <w:kern w:val="0"/>
              </w:rPr>
            </w:pPr>
            <w:r>
              <w:rPr>
                <w:rFonts w:hint="eastAsia"/>
                <w:kern w:val="0"/>
              </w:rPr>
              <w:t>18057779630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2" w:hRule="atLeast"/>
          <w:jc w:val="center"/>
        </w:trPr>
        <w:tc>
          <w:tcPr>
            <w:tcW w:w="2220" w:type="dxa"/>
          </w:tcPr>
          <w:p>
            <w:pPr>
              <w:pStyle w:val="52"/>
              <w:spacing w:line="360" w:lineRule="auto"/>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宁波银行股份有限公司温州分行</w:t>
            </w:r>
          </w:p>
        </w:tc>
        <w:tc>
          <w:tcPr>
            <w:tcW w:w="4810" w:type="dxa"/>
          </w:tcPr>
          <w:p>
            <w:r>
              <w:rPr>
                <w:rFonts w:hint="eastAsia"/>
                <w:color w:val="000000"/>
                <w:kern w:val="0"/>
              </w:rPr>
              <w:t>宁波银行政府采购融资指应供应商申请，以政府采购合同项下的回款为主要还款来源，为满足供应商履行采购合同所需资金而向其提供融资的信贷业务。提供中标通知书及其他授信材料即可申请，授信担保方式为信用，最长期限不超过一年，最大金额不超过2000万元。</w:t>
            </w:r>
          </w:p>
        </w:tc>
        <w:tc>
          <w:tcPr>
            <w:tcW w:w="1265" w:type="dxa"/>
          </w:tcPr>
          <w:p>
            <w:r>
              <w:rPr>
                <w:rFonts w:hint="eastAsia"/>
              </w:rPr>
              <w:t>陈经理</w:t>
            </w:r>
          </w:p>
        </w:tc>
        <w:tc>
          <w:tcPr>
            <w:tcW w:w="1945" w:type="dxa"/>
          </w:tcPr>
          <w:p>
            <w:pPr>
              <w:jc w:val="left"/>
              <w:rPr>
                <w:kern w:val="0"/>
              </w:rPr>
            </w:pPr>
            <w:r>
              <w:rPr>
                <w:rFonts w:hint="eastAsia"/>
                <w:kern w:val="0"/>
              </w:rPr>
              <w:t>0577－88007377</w:t>
            </w:r>
          </w:p>
          <w:p>
            <w:pPr>
              <w:jc w:val="left"/>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7" w:hRule="atLeast"/>
          <w:jc w:val="center"/>
        </w:trPr>
        <w:tc>
          <w:tcPr>
            <w:tcW w:w="2220" w:type="dxa"/>
          </w:tcPr>
          <w:p>
            <w:pPr>
              <w:pStyle w:val="52"/>
              <w:spacing w:line="360" w:lineRule="auto"/>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杭州银行股份有限公司温州分行</w:t>
            </w:r>
          </w:p>
        </w:tc>
        <w:tc>
          <w:tcPr>
            <w:tcW w:w="4810" w:type="dxa"/>
          </w:tcPr>
          <w:p>
            <w:r>
              <w:rPr>
                <w:rFonts w:hint="eastAsia"/>
              </w:rPr>
              <w:t>门槛低：纯信用，平台注册入库并取得采购合同即可申请</w:t>
            </w:r>
          </w:p>
          <w:p>
            <w:r>
              <w:rPr>
                <w:rFonts w:hint="eastAsia"/>
              </w:rPr>
              <w:t>手续简：线上申请+线上签约，足不出户</w:t>
            </w:r>
          </w:p>
          <w:p>
            <w:r>
              <w:rPr>
                <w:rFonts w:hint="eastAsia"/>
              </w:rPr>
              <w:t>利率优：按优于一般中小企业贷款利率执行</w:t>
            </w:r>
          </w:p>
          <w:p>
            <w:r>
              <w:rPr>
                <w:rFonts w:hint="eastAsia"/>
              </w:rPr>
              <w:t>额度高：最高为合同金额的80%</w:t>
            </w:r>
          </w:p>
        </w:tc>
        <w:tc>
          <w:tcPr>
            <w:tcW w:w="1265" w:type="dxa"/>
          </w:tcPr>
          <w:p>
            <w:r>
              <w:rPr>
                <w:rFonts w:hint="eastAsia"/>
              </w:rPr>
              <w:t>叶经理</w:t>
            </w:r>
          </w:p>
        </w:tc>
        <w:tc>
          <w:tcPr>
            <w:tcW w:w="1945" w:type="dxa"/>
          </w:tcPr>
          <w:p>
            <w:pPr>
              <w:jc w:val="left"/>
              <w:rPr>
                <w:kern w:val="0"/>
              </w:rPr>
            </w:pPr>
            <w:r>
              <w:rPr>
                <w:rFonts w:hint="eastAsia"/>
                <w:kern w:val="0"/>
              </w:rPr>
              <w:t>0577-88008933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jc w:val="center"/>
        </w:trPr>
        <w:tc>
          <w:tcPr>
            <w:tcW w:w="2220" w:type="dxa"/>
          </w:tcPr>
          <w:p>
            <w:pPr>
              <w:pStyle w:val="52"/>
              <w:spacing w:line="360" w:lineRule="auto"/>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招商银行股份有限公司温州分行</w:t>
            </w:r>
          </w:p>
        </w:tc>
        <w:tc>
          <w:tcPr>
            <w:tcW w:w="4810" w:type="dxa"/>
          </w:tcPr>
          <w:p>
            <w:r>
              <w:rPr>
                <w:rFonts w:hint="eastAsia"/>
              </w:rPr>
              <w:t>政采贷是招商银行针对政府采购招投标中标供应商，以政府采购合同项下未来应收账款为第一还款来源的融资业务，无需抵质押物。额度最高可达2000万，同时可开通自助贷款直通功能，自助贷款额度最高可达1000万，支持线上申请、随借随还。</w:t>
            </w:r>
          </w:p>
        </w:tc>
        <w:tc>
          <w:tcPr>
            <w:tcW w:w="1265" w:type="dxa"/>
          </w:tcPr>
          <w:p>
            <w:r>
              <w:rPr>
                <w:rFonts w:hint="eastAsia"/>
              </w:rPr>
              <w:t>陈经理</w:t>
            </w:r>
          </w:p>
        </w:tc>
        <w:tc>
          <w:tcPr>
            <w:tcW w:w="1945" w:type="dxa"/>
          </w:tcPr>
          <w:p>
            <w:pPr>
              <w:jc w:val="left"/>
              <w:rPr>
                <w:kern w:val="0"/>
              </w:rPr>
            </w:pPr>
            <w:r>
              <w:rPr>
                <w:rFonts w:hint="eastAsia"/>
                <w:kern w:val="0"/>
              </w:rPr>
              <w:t>0577-88056876</w:t>
            </w:r>
          </w:p>
          <w:p>
            <w:pPr>
              <w:jc w:val="left"/>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2" w:hRule="atLeast"/>
          <w:jc w:val="center"/>
        </w:trPr>
        <w:tc>
          <w:tcPr>
            <w:tcW w:w="2220" w:type="dxa"/>
          </w:tcPr>
          <w:p>
            <w:pPr>
              <w:pStyle w:val="52"/>
              <w:spacing w:line="360" w:lineRule="auto"/>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兴业银行股份有限公司温州分行</w:t>
            </w:r>
          </w:p>
        </w:tc>
        <w:tc>
          <w:tcPr>
            <w:tcW w:w="4810" w:type="dxa"/>
            <w:vAlign w:val="center"/>
          </w:tcPr>
          <w:p>
            <w:pPr>
              <w:pStyle w:val="52"/>
              <w:spacing w:line="360" w:lineRule="auto"/>
              <w:ind w:firstLine="0" w:firstLineChars="0"/>
              <w:jc w:val="both"/>
              <w:rPr>
                <w:rFonts w:ascii="宋体" w:hAnsi="宋体" w:eastAsia="宋体" w:cs="宋体"/>
                <w:color w:val="000000"/>
                <w:kern w:val="0"/>
                <w:sz w:val="22"/>
                <w:szCs w:val="22"/>
              </w:rPr>
            </w:pPr>
            <w:r>
              <w:rPr>
                <w:rFonts w:hint="eastAsia" w:ascii="宋体" w:hAnsi="宋体" w:eastAsia="宋体" w:cs="宋体"/>
                <w:color w:val="000000"/>
                <w:kern w:val="0"/>
                <w:sz w:val="22"/>
                <w:szCs w:val="22"/>
              </w:rPr>
              <w:t>融资担保方式及融资金额：1、采取信用免抵押的企业，最高融资金额200万元；2、采取政府采购中标应收帐款质押的，最高融资金额不超过1000万元，单笔提款金额不超过采购合同金额的70%。融资利率：在本单位一般性中小企业信用贷款利率基础上下浮10%。</w:t>
            </w:r>
          </w:p>
        </w:tc>
        <w:tc>
          <w:tcPr>
            <w:tcW w:w="1265" w:type="dxa"/>
            <w:vAlign w:val="center"/>
          </w:tcPr>
          <w:p>
            <w:r>
              <w:rPr>
                <w:rFonts w:hint="eastAsia"/>
              </w:rPr>
              <w:t>张经理</w:t>
            </w:r>
          </w:p>
          <w:p>
            <w:r>
              <w:rPr>
                <w:rFonts w:hint="eastAsia"/>
              </w:rPr>
              <w:t>陈经理</w:t>
            </w:r>
          </w:p>
        </w:tc>
        <w:tc>
          <w:tcPr>
            <w:tcW w:w="1945" w:type="dxa"/>
            <w:vAlign w:val="center"/>
          </w:tcPr>
          <w:p>
            <w:pPr>
              <w:pStyle w:val="52"/>
              <w:spacing w:line="360" w:lineRule="auto"/>
              <w:ind w:firstLine="0" w:firstLineChars="0"/>
              <w:rPr>
                <w:rFonts w:ascii="宋体" w:hAnsi="宋体" w:eastAsia="宋体" w:cs="宋体"/>
                <w:kern w:val="0"/>
                <w:sz w:val="22"/>
                <w:szCs w:val="22"/>
              </w:rPr>
            </w:pPr>
            <w:r>
              <w:rPr>
                <w:rFonts w:hint="eastAsia" w:ascii="宋体" w:hAnsi="宋体" w:eastAsia="宋体" w:cs="宋体"/>
                <w:kern w:val="0"/>
                <w:sz w:val="22"/>
                <w:szCs w:val="22"/>
              </w:rPr>
              <w:t>0577-88369368/13857713118</w:t>
            </w:r>
          </w:p>
          <w:p>
            <w:pPr>
              <w:pStyle w:val="52"/>
              <w:spacing w:line="360" w:lineRule="auto"/>
              <w:ind w:firstLine="0" w:firstLineChars="0"/>
              <w:rPr>
                <w:rFonts w:ascii="宋体" w:hAnsi="宋体" w:eastAsia="宋体" w:cs="宋体"/>
                <w:kern w:val="0"/>
                <w:sz w:val="22"/>
                <w:szCs w:val="22"/>
              </w:rPr>
            </w:pPr>
            <w:r>
              <w:rPr>
                <w:rFonts w:hint="eastAsia" w:ascii="宋体" w:hAnsi="宋体" w:eastAsia="宋体" w:cs="宋体"/>
                <w:kern w:val="0"/>
                <w:sz w:val="22"/>
                <w:szCs w:val="22"/>
              </w:rPr>
              <w:t>0577-56969696-526506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7" w:hRule="atLeast"/>
          <w:jc w:val="center"/>
        </w:trPr>
        <w:tc>
          <w:tcPr>
            <w:tcW w:w="2220" w:type="dxa"/>
          </w:tcPr>
          <w:p>
            <w:pPr>
              <w:pStyle w:val="52"/>
              <w:spacing w:line="360" w:lineRule="auto"/>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温州银行股份有限公司</w:t>
            </w:r>
          </w:p>
        </w:tc>
        <w:tc>
          <w:tcPr>
            <w:tcW w:w="4810" w:type="dxa"/>
          </w:tcPr>
          <w:p>
            <w:pPr>
              <w:rPr>
                <w:color w:val="000000"/>
                <w:kern w:val="0"/>
              </w:rPr>
            </w:pPr>
            <w:r>
              <w:rPr>
                <w:rFonts w:hint="eastAsia"/>
                <w:color w:val="000000"/>
                <w:kern w:val="0"/>
              </w:rPr>
              <w:t>政采订单贷：订单在手，融资无忧。用于满足供应商订单采购所需资金周转的贷款产品。门槛低，无须抵押，凭中标通知书即可申请，额度高，最高可贷500万元，单笔业务金额可贷中标金额的80%，最长期限可贷1年。</w:t>
            </w:r>
          </w:p>
        </w:tc>
        <w:tc>
          <w:tcPr>
            <w:tcW w:w="1265" w:type="dxa"/>
          </w:tcPr>
          <w:p>
            <w:pPr>
              <w:rPr>
                <w:color w:val="000000"/>
                <w:kern w:val="0"/>
              </w:rPr>
            </w:pPr>
            <w:r>
              <w:rPr>
                <w:rFonts w:hint="eastAsia"/>
                <w:color w:val="000000"/>
                <w:kern w:val="0"/>
              </w:rPr>
              <w:t>陈经理</w:t>
            </w:r>
          </w:p>
          <w:p>
            <w:pPr>
              <w:rPr>
                <w:color w:val="000000"/>
                <w:kern w:val="0"/>
              </w:rPr>
            </w:pPr>
            <w:r>
              <w:rPr>
                <w:rFonts w:hint="eastAsia"/>
                <w:kern w:val="0"/>
              </w:rPr>
              <w:t>戴经理</w:t>
            </w:r>
          </w:p>
        </w:tc>
        <w:tc>
          <w:tcPr>
            <w:tcW w:w="1945" w:type="dxa"/>
          </w:tcPr>
          <w:p>
            <w:pPr>
              <w:jc w:val="left"/>
              <w:rPr>
                <w:kern w:val="0"/>
              </w:rPr>
            </w:pPr>
            <w:r>
              <w:rPr>
                <w:rFonts w:hint="eastAsia"/>
                <w:kern w:val="0"/>
              </w:rPr>
              <w:t>13736355866</w:t>
            </w:r>
          </w:p>
          <w:p>
            <w:pPr>
              <w:rPr>
                <w:kern w:val="0"/>
              </w:rPr>
            </w:pPr>
            <w:r>
              <w:rPr>
                <w:rFonts w:hint="eastAsia"/>
                <w:kern w:val="0"/>
              </w:rPr>
              <w:t>13605772302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1" w:hRule="atLeast"/>
          <w:jc w:val="center"/>
        </w:trPr>
        <w:tc>
          <w:tcPr>
            <w:tcW w:w="2220" w:type="dxa"/>
          </w:tcPr>
          <w:p>
            <w:pPr>
              <w:pStyle w:val="52"/>
              <w:spacing w:line="360" w:lineRule="auto"/>
              <w:ind w:firstLine="0" w:firstLineChars="0"/>
              <w:rPr>
                <w:rFonts w:ascii="宋体" w:hAnsi="宋体" w:eastAsia="宋体" w:cs="宋体"/>
                <w:color w:val="FFFFFF"/>
                <w:kern w:val="0"/>
                <w:sz w:val="22"/>
                <w:szCs w:val="22"/>
              </w:rPr>
            </w:pPr>
            <w:r>
              <w:rPr>
                <w:rFonts w:hint="eastAsia" w:ascii="宋体" w:hAnsi="宋体" w:eastAsia="宋体" w:cs="宋体"/>
                <w:color w:val="000000"/>
                <w:kern w:val="0"/>
                <w:sz w:val="22"/>
                <w:szCs w:val="22"/>
              </w:rPr>
              <w:t>交通银行股份有限公司温州分行</w:t>
            </w:r>
          </w:p>
        </w:tc>
        <w:tc>
          <w:tcPr>
            <w:tcW w:w="4810" w:type="dxa"/>
          </w:tcPr>
          <w:p>
            <w:pPr>
              <w:autoSpaceDE w:val="0"/>
              <w:autoSpaceDN w:val="0"/>
              <w:adjustRightInd w:val="0"/>
              <w:jc w:val="left"/>
              <w:rPr>
                <w:color w:val="000000"/>
                <w:kern w:val="0"/>
              </w:rPr>
            </w:pPr>
            <w:r>
              <w:rPr>
                <w:rFonts w:hint="eastAsia"/>
                <w:color w:val="000000"/>
                <w:kern w:val="0"/>
              </w:rPr>
              <w:t>手续便捷，授信审批全程上门服务；无需抵押，无抵押贷款一步到位；额度灵活，随借随贷，单户最高2000万元；期限匹配，与付款周期相吻合；利率优惠，本行中小企业信用贷款利率水平至少下浮10%；一对一增值服务方案—您的财富管理银行。</w:t>
            </w:r>
          </w:p>
        </w:tc>
        <w:tc>
          <w:tcPr>
            <w:tcW w:w="1265" w:type="dxa"/>
          </w:tcPr>
          <w:p>
            <w:r>
              <w:rPr>
                <w:rFonts w:hint="eastAsia"/>
              </w:rPr>
              <w:t>缪经理</w:t>
            </w:r>
          </w:p>
        </w:tc>
        <w:tc>
          <w:tcPr>
            <w:tcW w:w="1945" w:type="dxa"/>
          </w:tcPr>
          <w:p>
            <w:r>
              <w:rPr>
                <w:rFonts w:hint="eastAsia"/>
                <w:kern w:val="0"/>
              </w:rPr>
              <w:t>0577-88248454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2" w:hRule="atLeast"/>
          <w:jc w:val="center"/>
        </w:trPr>
        <w:tc>
          <w:tcPr>
            <w:tcW w:w="2220" w:type="dxa"/>
          </w:tcPr>
          <w:p>
            <w:pPr>
              <w:pStyle w:val="52"/>
              <w:spacing w:line="360" w:lineRule="auto"/>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上海浦东发展银行股份有限公司温州分行</w:t>
            </w:r>
          </w:p>
        </w:tc>
        <w:tc>
          <w:tcPr>
            <w:tcW w:w="4810" w:type="dxa"/>
          </w:tcPr>
          <w:p>
            <w:pPr>
              <w:jc w:val="left"/>
              <w:rPr>
                <w:color w:val="000000"/>
                <w:kern w:val="0"/>
              </w:rPr>
            </w:pPr>
            <w:r>
              <w:rPr>
                <w:rFonts w:hint="eastAsia"/>
                <w:color w:val="000000"/>
                <w:kern w:val="0"/>
              </w:rPr>
              <w:t>政采e贷：是浦发银行面向温州地区经营状况良好的小微企业政府采购项目供应商所提供的专属政府采购订单融资产品。产品特点：纯信用、免担保、门槛低、授信快、在线贷、秒放款。所需材料：企业基础证件、相关中标文件（中标通知书 、采购合同等）、其他必要文件</w:t>
            </w:r>
          </w:p>
        </w:tc>
        <w:tc>
          <w:tcPr>
            <w:tcW w:w="1265" w:type="dxa"/>
          </w:tcPr>
          <w:p>
            <w:pPr>
              <w:rPr>
                <w:color w:val="000000"/>
                <w:kern w:val="0"/>
              </w:rPr>
            </w:pPr>
            <w:r>
              <w:rPr>
                <w:rFonts w:hint="eastAsia"/>
                <w:color w:val="000000"/>
                <w:kern w:val="0"/>
              </w:rPr>
              <w:t>叶经理</w:t>
            </w:r>
          </w:p>
        </w:tc>
        <w:tc>
          <w:tcPr>
            <w:tcW w:w="1945" w:type="dxa"/>
          </w:tcPr>
          <w:p>
            <w:pPr>
              <w:jc w:val="left"/>
              <w:rPr>
                <w:kern w:val="0"/>
              </w:rPr>
            </w:pPr>
            <w:r>
              <w:rPr>
                <w:rFonts w:hint="eastAsia"/>
                <w:kern w:val="0"/>
              </w:rPr>
              <w:t>0577-55570829</w:t>
            </w:r>
          </w:p>
          <w:p>
            <w:pPr>
              <w:jc w:val="left"/>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2220" w:type="dxa"/>
          </w:tcPr>
          <w:p>
            <w:pPr>
              <w:pStyle w:val="52"/>
              <w:spacing w:line="360" w:lineRule="auto"/>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中国银行股份有限公司温州市分行</w:t>
            </w:r>
          </w:p>
        </w:tc>
        <w:tc>
          <w:tcPr>
            <w:tcW w:w="4810" w:type="dxa"/>
          </w:tcPr>
          <w:p>
            <w:pPr>
              <w:jc w:val="left"/>
              <w:rPr>
                <w:color w:val="000000"/>
                <w:kern w:val="0"/>
              </w:rPr>
            </w:pPr>
            <w:r>
              <w:rPr>
                <w:rFonts w:hint="eastAsia"/>
                <w:color w:val="000000"/>
                <w:kern w:val="0"/>
              </w:rPr>
              <w:t>中标通知，即可申贷；合同签订，快速获贷；最高可贷采购金额的90%；全面享受普惠贷款优惠利率；信用贷款，免抵押免担保。</w:t>
            </w:r>
          </w:p>
        </w:tc>
        <w:tc>
          <w:tcPr>
            <w:tcW w:w="1265" w:type="dxa"/>
          </w:tcPr>
          <w:p>
            <w:pPr>
              <w:rPr>
                <w:color w:val="000000"/>
                <w:kern w:val="0"/>
              </w:rPr>
            </w:pPr>
            <w:r>
              <w:rPr>
                <w:rFonts w:hint="eastAsia"/>
                <w:color w:val="000000"/>
                <w:kern w:val="0"/>
              </w:rPr>
              <w:t>金经理</w:t>
            </w:r>
          </w:p>
          <w:p>
            <w:pPr>
              <w:rPr>
                <w:color w:val="000000"/>
                <w:kern w:val="0"/>
              </w:rPr>
            </w:pPr>
            <w:r>
              <w:rPr>
                <w:rFonts w:hint="eastAsia"/>
                <w:color w:val="000000"/>
                <w:kern w:val="0"/>
              </w:rPr>
              <w:t>陈经理</w:t>
            </w:r>
          </w:p>
        </w:tc>
        <w:tc>
          <w:tcPr>
            <w:tcW w:w="1945" w:type="dxa"/>
          </w:tcPr>
          <w:p>
            <w:pPr>
              <w:jc w:val="left"/>
              <w:rPr>
                <w:kern w:val="0"/>
              </w:rPr>
            </w:pPr>
            <w:r>
              <w:rPr>
                <w:rFonts w:hint="eastAsia"/>
                <w:kern w:val="0"/>
              </w:rPr>
              <w:t>0577-88802225-8243</w:t>
            </w:r>
          </w:p>
          <w:p>
            <w:pPr>
              <w:jc w:val="left"/>
              <w:rPr>
                <w:kern w:val="0"/>
              </w:rPr>
            </w:pPr>
            <w:r>
              <w:rPr>
                <w:rFonts w:hint="eastAsia"/>
                <w:kern w:val="0"/>
              </w:rPr>
              <w:t>0577-88802225-8241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jc w:val="center"/>
        </w:trPr>
        <w:tc>
          <w:tcPr>
            <w:tcW w:w="2220" w:type="dxa"/>
          </w:tcPr>
          <w:p>
            <w:pPr>
              <w:pStyle w:val="52"/>
              <w:spacing w:line="360" w:lineRule="auto"/>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中国农业银行股份有限公司温州分行</w:t>
            </w:r>
          </w:p>
        </w:tc>
        <w:tc>
          <w:tcPr>
            <w:tcW w:w="4810" w:type="dxa"/>
          </w:tcPr>
          <w:p>
            <w:pPr>
              <w:jc w:val="left"/>
              <w:rPr>
                <w:color w:val="000000"/>
                <w:kern w:val="0"/>
              </w:rPr>
            </w:pPr>
            <w:r>
              <w:rPr>
                <w:rFonts w:hint="eastAsia"/>
                <w:color w:val="000000"/>
                <w:kern w:val="0"/>
              </w:rPr>
              <w:t>借款额度不超过政府采购合同实有金额的80%，借款到期日不得晚于合同约定付款日后90天，担保方式原则上可以采用信用、保证、抵押方式用信，借款利率原则上可以享受优惠利率。</w:t>
            </w:r>
          </w:p>
        </w:tc>
        <w:tc>
          <w:tcPr>
            <w:tcW w:w="1265" w:type="dxa"/>
          </w:tcPr>
          <w:p>
            <w:pPr>
              <w:rPr>
                <w:color w:val="000000"/>
                <w:kern w:val="0"/>
              </w:rPr>
            </w:pPr>
            <w:r>
              <w:rPr>
                <w:rFonts w:hint="eastAsia"/>
                <w:color w:val="000000"/>
                <w:kern w:val="0"/>
              </w:rPr>
              <w:t>陈经理</w:t>
            </w:r>
          </w:p>
        </w:tc>
        <w:tc>
          <w:tcPr>
            <w:tcW w:w="1945" w:type="dxa"/>
          </w:tcPr>
          <w:p>
            <w:pPr>
              <w:jc w:val="left"/>
              <w:rPr>
                <w:kern w:val="0"/>
              </w:rPr>
            </w:pPr>
            <w:r>
              <w:rPr>
                <w:rFonts w:hint="eastAsia"/>
                <w:kern w:val="0"/>
              </w:rPr>
              <w:t>0577-88021093</w:t>
            </w:r>
          </w:p>
          <w:p>
            <w:pPr>
              <w:jc w:val="left"/>
              <w:rPr>
                <w:kern w:val="0"/>
              </w:rPr>
            </w:pPr>
            <w:r>
              <w:rPr>
                <w:rFonts w:hint="eastAsia"/>
                <w:kern w:val="0"/>
              </w:rPr>
              <w:t>13858780486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jc w:val="center"/>
        </w:trPr>
        <w:tc>
          <w:tcPr>
            <w:tcW w:w="2220" w:type="dxa"/>
          </w:tcPr>
          <w:p>
            <w:pPr>
              <w:pStyle w:val="52"/>
              <w:spacing w:line="360" w:lineRule="auto"/>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中信银行股份有限公司温州分行</w:t>
            </w:r>
          </w:p>
        </w:tc>
        <w:tc>
          <w:tcPr>
            <w:tcW w:w="4810" w:type="dxa"/>
          </w:tcPr>
          <w:p>
            <w:pPr>
              <w:jc w:val="left"/>
              <w:rPr>
                <w:color w:val="000000"/>
                <w:kern w:val="0"/>
              </w:rPr>
            </w:pPr>
            <w:r>
              <w:rPr>
                <w:rFonts w:hint="eastAsia"/>
                <w:color w:val="000000"/>
                <w:kern w:val="0"/>
              </w:rPr>
              <w:t>标准政采贷贷款金额不超过政府采购合同金额（扣除相应的预付款、质保金、其他已付款等）的90%，最高不超过1000万元。期限最长不超过一年，利率优惠，审批快，资料齐全最快当日审批。</w:t>
            </w:r>
          </w:p>
        </w:tc>
        <w:tc>
          <w:tcPr>
            <w:tcW w:w="1265" w:type="dxa"/>
          </w:tcPr>
          <w:p>
            <w:pPr>
              <w:rPr>
                <w:color w:val="000000"/>
                <w:kern w:val="0"/>
              </w:rPr>
            </w:pPr>
            <w:r>
              <w:rPr>
                <w:rFonts w:hint="eastAsia"/>
                <w:color w:val="000000"/>
                <w:kern w:val="0"/>
              </w:rPr>
              <w:t>陈经理</w:t>
            </w:r>
          </w:p>
        </w:tc>
        <w:tc>
          <w:tcPr>
            <w:tcW w:w="1945" w:type="dxa"/>
          </w:tcPr>
          <w:p>
            <w:pPr>
              <w:jc w:val="left"/>
              <w:rPr>
                <w:kern w:val="0"/>
              </w:rPr>
            </w:pPr>
            <w:r>
              <w:rPr>
                <w:rFonts w:hint="eastAsia"/>
                <w:kern w:val="0"/>
              </w:rPr>
              <w:t>13968701618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0" w:hRule="atLeast"/>
          <w:jc w:val="center"/>
        </w:trPr>
        <w:tc>
          <w:tcPr>
            <w:tcW w:w="2220" w:type="dxa"/>
          </w:tcPr>
          <w:p>
            <w:pPr>
              <w:pStyle w:val="52"/>
              <w:spacing w:line="360" w:lineRule="auto"/>
              <w:ind w:firstLine="0" w:firstLineChars="0"/>
              <w:rPr>
                <w:rFonts w:ascii="宋体" w:hAnsi="宋体" w:eastAsia="宋体" w:cs="宋体"/>
                <w:color w:val="000000"/>
                <w:kern w:val="0"/>
                <w:sz w:val="22"/>
                <w:szCs w:val="22"/>
              </w:rPr>
            </w:pPr>
            <w:r>
              <w:rPr>
                <w:rFonts w:hint="eastAsia" w:ascii="宋体" w:hAnsi="宋体" w:eastAsia="宋体" w:cs="宋体"/>
                <w:color w:val="000000"/>
                <w:kern w:val="0"/>
                <w:sz w:val="22"/>
                <w:szCs w:val="22"/>
              </w:rPr>
              <w:t>浙商银行股份有限公司温州分行</w:t>
            </w:r>
          </w:p>
        </w:tc>
        <w:tc>
          <w:tcPr>
            <w:tcW w:w="4810" w:type="dxa"/>
          </w:tcPr>
          <w:p>
            <w:pPr>
              <w:jc w:val="left"/>
              <w:rPr>
                <w:color w:val="000000"/>
                <w:kern w:val="0"/>
              </w:rPr>
            </w:pPr>
            <w:r>
              <w:rPr>
                <w:rFonts w:hint="eastAsia"/>
                <w:color w:val="000000"/>
                <w:kern w:val="0"/>
              </w:rPr>
              <w:t>浙商银行向参与政府采购活动中标的企业发放的，以采购人支付合同款作为还款来源的贷款。贷款额度按采购合同金额扣除已支付部分计算，最高不超过该金额的90%，单户额度最高为1000万元。贷款期限为单笔业务期限货物类和服务类最长1年，工程类最长3年。</w:t>
            </w:r>
          </w:p>
        </w:tc>
        <w:tc>
          <w:tcPr>
            <w:tcW w:w="1265" w:type="dxa"/>
          </w:tcPr>
          <w:p>
            <w:pPr>
              <w:rPr>
                <w:color w:val="000000"/>
                <w:kern w:val="0"/>
              </w:rPr>
            </w:pPr>
            <w:r>
              <w:rPr>
                <w:rFonts w:hint="eastAsia"/>
                <w:color w:val="000000"/>
                <w:kern w:val="0"/>
              </w:rPr>
              <w:t>瞿经理</w:t>
            </w:r>
          </w:p>
        </w:tc>
        <w:tc>
          <w:tcPr>
            <w:tcW w:w="1945" w:type="dxa"/>
          </w:tcPr>
          <w:p>
            <w:pPr>
              <w:jc w:val="left"/>
              <w:rPr>
                <w:kern w:val="0"/>
              </w:rPr>
            </w:pPr>
            <w:r>
              <w:rPr>
                <w:rFonts w:hint="eastAsia"/>
                <w:kern w:val="0"/>
              </w:rPr>
              <w:t>0577-88673097</w:t>
            </w:r>
          </w:p>
          <w:p>
            <w:pPr>
              <w:jc w:val="left"/>
              <w:rPr>
                <w:kern w:val="0"/>
              </w:rPr>
            </w:pPr>
          </w:p>
        </w:tc>
      </w:tr>
    </w:tbl>
    <w:p>
      <w:pPr>
        <w:pStyle w:val="13"/>
        <w:spacing w:line="400" w:lineRule="exact"/>
        <w:ind w:left="0" w:leftChars="0"/>
        <w:outlineLvl w:val="1"/>
        <w:rPr>
          <w:b/>
          <w:bCs/>
          <w:color w:val="000000"/>
          <w:sz w:val="24"/>
          <w:szCs w:val="24"/>
          <w:lang w:val="zh-CN"/>
        </w:rPr>
      </w:pPr>
    </w:p>
    <w:p>
      <w:pPr>
        <w:pStyle w:val="13"/>
        <w:spacing w:line="400" w:lineRule="exact"/>
        <w:ind w:left="0" w:leftChars="0"/>
        <w:outlineLvl w:val="1"/>
        <w:rPr>
          <w:b/>
          <w:bCs/>
          <w:color w:val="000000"/>
          <w:sz w:val="24"/>
          <w:szCs w:val="24"/>
          <w:lang w:val="zh-CN"/>
        </w:rPr>
      </w:pPr>
    </w:p>
    <w:p>
      <w:pPr>
        <w:pStyle w:val="13"/>
        <w:spacing w:line="400" w:lineRule="exact"/>
        <w:ind w:left="0" w:leftChars="0"/>
        <w:outlineLvl w:val="1"/>
        <w:rPr>
          <w:b/>
          <w:bCs/>
          <w:color w:val="000000"/>
          <w:sz w:val="24"/>
          <w:szCs w:val="24"/>
          <w:lang w:val="zh-CN"/>
        </w:rPr>
      </w:pPr>
    </w:p>
    <w:p>
      <w:pPr>
        <w:pStyle w:val="13"/>
        <w:spacing w:line="400" w:lineRule="exact"/>
        <w:ind w:left="0" w:leftChars="0"/>
        <w:outlineLvl w:val="1"/>
        <w:rPr>
          <w:b/>
          <w:bCs/>
          <w:color w:val="000000"/>
          <w:sz w:val="24"/>
          <w:szCs w:val="24"/>
          <w:lang w:val="zh-CN"/>
        </w:rPr>
      </w:pPr>
    </w:p>
    <w:p>
      <w:pPr>
        <w:pStyle w:val="13"/>
        <w:spacing w:line="400" w:lineRule="exact"/>
        <w:ind w:left="0" w:leftChars="0"/>
        <w:outlineLvl w:val="1"/>
        <w:rPr>
          <w:b/>
          <w:bCs/>
          <w:color w:val="000000"/>
          <w:sz w:val="24"/>
          <w:szCs w:val="24"/>
          <w:lang w:val="zh-CN"/>
        </w:rPr>
      </w:pPr>
    </w:p>
    <w:p>
      <w:pPr>
        <w:pStyle w:val="27"/>
        <w:ind w:left="440" w:firstLine="440"/>
        <w:rPr>
          <w:lang w:val="zh-CN"/>
        </w:rPr>
      </w:pPr>
    </w:p>
    <w:p>
      <w:pPr>
        <w:pStyle w:val="13"/>
        <w:spacing w:line="400" w:lineRule="exact"/>
        <w:ind w:left="0" w:leftChars="0"/>
        <w:outlineLvl w:val="1"/>
        <w:rPr>
          <w:b/>
          <w:bCs/>
          <w:color w:val="000000"/>
          <w:sz w:val="24"/>
          <w:szCs w:val="24"/>
          <w:lang w:val="zh-CN"/>
        </w:rPr>
      </w:pPr>
    </w:p>
    <w:p>
      <w:pPr>
        <w:rPr>
          <w:b/>
          <w:bCs/>
          <w:color w:val="000000"/>
          <w:sz w:val="24"/>
          <w:szCs w:val="24"/>
          <w:lang w:val="zh-CN"/>
        </w:rPr>
      </w:pPr>
    </w:p>
    <w:p>
      <w:pPr>
        <w:pStyle w:val="26"/>
        <w:ind w:firstLine="482"/>
        <w:rPr>
          <w:b/>
          <w:bCs/>
          <w:color w:val="000000"/>
          <w:sz w:val="24"/>
          <w:szCs w:val="24"/>
          <w:lang w:val="zh-CN"/>
        </w:rPr>
      </w:pPr>
    </w:p>
    <w:p>
      <w:pPr>
        <w:rPr>
          <w:b/>
          <w:bCs/>
          <w:color w:val="000000"/>
          <w:sz w:val="24"/>
          <w:szCs w:val="24"/>
          <w:lang w:val="zh-CN"/>
        </w:rPr>
      </w:pPr>
    </w:p>
    <w:p>
      <w:pPr>
        <w:pStyle w:val="26"/>
        <w:ind w:firstLine="482"/>
        <w:rPr>
          <w:b/>
          <w:bCs/>
          <w:color w:val="000000"/>
          <w:sz w:val="24"/>
          <w:szCs w:val="24"/>
          <w:lang w:val="zh-CN"/>
        </w:rPr>
      </w:pPr>
    </w:p>
    <w:p>
      <w:pPr>
        <w:rPr>
          <w:lang w:val="zh-CN"/>
        </w:rPr>
      </w:pPr>
    </w:p>
    <w:p>
      <w:pPr>
        <w:pStyle w:val="13"/>
        <w:spacing w:line="400" w:lineRule="exact"/>
        <w:ind w:left="0" w:leftChars="0"/>
        <w:outlineLvl w:val="1"/>
        <w:rPr>
          <w:b/>
          <w:bCs/>
          <w:color w:val="000000"/>
          <w:sz w:val="24"/>
          <w:szCs w:val="24"/>
          <w:lang w:val="zh-CN"/>
        </w:rPr>
      </w:pPr>
    </w:p>
    <w:p>
      <w:pPr>
        <w:pStyle w:val="14"/>
        <w:outlineLvl w:val="0"/>
        <w:rPr>
          <w:rFonts w:hAnsi="宋体"/>
          <w:b/>
          <w:color w:val="000000"/>
          <w:sz w:val="32"/>
        </w:rPr>
      </w:pPr>
      <w:bookmarkStart w:id="29" w:name="_Toc9198"/>
      <w:r>
        <w:rPr>
          <w:rFonts w:hint="eastAsia" w:hAnsi="宋体"/>
          <w:b/>
          <w:color w:val="000000"/>
          <w:sz w:val="32"/>
        </w:rPr>
        <w:t>附件</w:t>
      </w:r>
      <w:bookmarkStart w:id="30" w:name="_Toc16790"/>
      <w:bookmarkStart w:id="31" w:name="_Toc24596"/>
      <w:bookmarkStart w:id="32" w:name="_Toc17752"/>
      <w:bookmarkStart w:id="33" w:name="_Toc27270"/>
      <w:bookmarkStart w:id="34" w:name="_Toc5515"/>
      <w:bookmarkStart w:id="35" w:name="_Toc25188"/>
      <w:r>
        <w:rPr>
          <w:rFonts w:hint="eastAsia" w:hAnsi="宋体"/>
          <w:b/>
          <w:color w:val="000000"/>
          <w:sz w:val="32"/>
        </w:rPr>
        <w:t>八（一）</w:t>
      </w:r>
      <w:bookmarkEnd w:id="29"/>
    </w:p>
    <w:p>
      <w:pPr>
        <w:pStyle w:val="14"/>
        <w:jc w:val="center"/>
        <w:rPr>
          <w:rFonts w:hAnsi="宋体"/>
          <w:b/>
          <w:color w:val="000000"/>
          <w:sz w:val="32"/>
          <w:lang w:val="zh-CN"/>
        </w:rPr>
      </w:pPr>
      <w:r>
        <w:rPr>
          <w:rFonts w:hint="eastAsia" w:hAnsi="宋体"/>
          <w:b/>
          <w:color w:val="000000"/>
          <w:sz w:val="32"/>
          <w:lang w:val="zh-CN"/>
        </w:rPr>
        <w:t>供应商参与政府采购活动投标资格声明函</w:t>
      </w:r>
      <w:bookmarkEnd w:id="30"/>
      <w:bookmarkEnd w:id="31"/>
      <w:bookmarkEnd w:id="32"/>
      <w:bookmarkEnd w:id="33"/>
      <w:bookmarkEnd w:id="34"/>
      <w:bookmarkEnd w:id="35"/>
    </w:p>
    <w:tbl>
      <w:tblPr>
        <w:tblStyle w:val="2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pStyle w:val="14"/>
              <w:snapToGrid w:val="0"/>
              <w:rPr>
                <w:rFonts w:hAnsi="宋体"/>
                <w:color w:val="000000"/>
              </w:rPr>
            </w:pPr>
            <w:r>
              <w:rPr>
                <w:rFonts w:hint="eastAsia" w:hAnsi="宋体"/>
                <w:color w:val="000000"/>
              </w:rPr>
              <w:t>项目名称</w:t>
            </w:r>
          </w:p>
        </w:tc>
        <w:tc>
          <w:tcPr>
            <w:tcW w:w="7992" w:type="dxa"/>
          </w:tcPr>
          <w:p>
            <w:pPr>
              <w:pStyle w:val="14"/>
              <w:snapToGrid w:val="0"/>
              <w:ind w:left="422" w:firstLine="331"/>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pStyle w:val="14"/>
              <w:snapToGrid w:val="0"/>
              <w:rPr>
                <w:rFonts w:hAnsi="宋体"/>
                <w:color w:val="000000"/>
              </w:rPr>
            </w:pPr>
            <w:r>
              <w:rPr>
                <w:rFonts w:hint="eastAsia" w:hAnsi="宋体"/>
                <w:color w:val="000000"/>
              </w:rPr>
              <w:t>项目采购编号</w:t>
            </w:r>
          </w:p>
        </w:tc>
        <w:tc>
          <w:tcPr>
            <w:tcW w:w="7992" w:type="dxa"/>
          </w:tcPr>
          <w:p>
            <w:pPr>
              <w:pStyle w:val="14"/>
              <w:snapToGrid w:val="0"/>
              <w:ind w:left="422" w:firstLine="361"/>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pStyle w:val="14"/>
              <w:snapToGrid w:val="0"/>
              <w:rPr>
                <w:rFonts w:hAnsi="宋体"/>
                <w:color w:val="000000"/>
              </w:rPr>
            </w:pPr>
            <w:r>
              <w:rPr>
                <w:rFonts w:hint="eastAsia" w:hAnsi="宋体"/>
                <w:color w:val="000000"/>
              </w:rPr>
              <w:t>时    间</w:t>
            </w:r>
          </w:p>
        </w:tc>
        <w:tc>
          <w:tcPr>
            <w:tcW w:w="7992" w:type="dxa"/>
          </w:tcPr>
          <w:p>
            <w:pPr>
              <w:pStyle w:val="14"/>
              <w:snapToGrid w:val="0"/>
              <w:rPr>
                <w:rFonts w:hAnsi="宋体"/>
                <w:color w:val="000000"/>
              </w:rPr>
            </w:pPr>
            <w:r>
              <w:rPr>
                <w:rFonts w:hint="eastAsia" w:hAnsi="宋体"/>
                <w:color w:val="000000"/>
              </w:rPr>
              <w:t>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6" w:hRule="atLeast"/>
        </w:trPr>
        <w:tc>
          <w:tcPr>
            <w:tcW w:w="9612" w:type="dxa"/>
            <w:gridSpan w:val="2"/>
          </w:tcPr>
          <w:p>
            <w:pPr>
              <w:pStyle w:val="14"/>
              <w:snapToGrid w:val="0"/>
              <w:ind w:firstLine="450"/>
              <w:rPr>
                <w:rFonts w:hAnsi="宋体"/>
                <w:color w:val="000000"/>
              </w:rPr>
            </w:pPr>
            <w:r>
              <w:rPr>
                <w:rFonts w:hint="eastAsia" w:hAnsi="宋体"/>
                <w:color w:val="000000"/>
              </w:rPr>
              <w:t>1、根据政府采购法第二十二条规定，我单位满足以下条件：</w:t>
            </w:r>
          </w:p>
          <w:p>
            <w:pPr>
              <w:pStyle w:val="14"/>
              <w:snapToGrid w:val="0"/>
              <w:ind w:firstLine="450"/>
              <w:rPr>
                <w:rFonts w:hAnsi="宋体"/>
                <w:color w:val="000000"/>
              </w:rPr>
            </w:pPr>
            <w:r>
              <w:rPr>
                <w:rFonts w:hint="eastAsia" w:hAnsi="宋体"/>
                <w:color w:val="000000"/>
              </w:rPr>
              <w:t xml:space="preserve">（一）具有独立承担民事责任的能力； </w:t>
            </w:r>
          </w:p>
          <w:p>
            <w:pPr>
              <w:pStyle w:val="14"/>
              <w:snapToGrid w:val="0"/>
              <w:ind w:firstLine="450"/>
              <w:rPr>
                <w:rFonts w:hAnsi="宋体"/>
                <w:color w:val="000000"/>
              </w:rPr>
            </w:pPr>
            <w:r>
              <w:rPr>
                <w:rFonts w:hint="eastAsia" w:hAnsi="宋体"/>
                <w:color w:val="000000"/>
              </w:rPr>
              <w:t xml:space="preserve">　　（二）具有良好的商业信誉和健全的财务会计制度； </w:t>
            </w:r>
          </w:p>
          <w:p>
            <w:pPr>
              <w:pStyle w:val="14"/>
              <w:snapToGrid w:val="0"/>
              <w:ind w:firstLine="450"/>
              <w:rPr>
                <w:rFonts w:hAnsi="宋体"/>
                <w:color w:val="000000"/>
              </w:rPr>
            </w:pPr>
            <w:r>
              <w:rPr>
                <w:rFonts w:hint="eastAsia" w:hAnsi="宋体"/>
                <w:color w:val="000000"/>
              </w:rPr>
              <w:t xml:space="preserve">　　（三）具有履行合同所必需的设备和专业技术能力； </w:t>
            </w:r>
          </w:p>
          <w:p>
            <w:pPr>
              <w:pStyle w:val="14"/>
              <w:snapToGrid w:val="0"/>
              <w:ind w:firstLine="450"/>
              <w:rPr>
                <w:rFonts w:hAnsi="宋体"/>
                <w:color w:val="000000"/>
              </w:rPr>
            </w:pPr>
            <w:r>
              <w:rPr>
                <w:rFonts w:hint="eastAsia" w:hAnsi="宋体"/>
                <w:color w:val="000000"/>
              </w:rPr>
              <w:t xml:space="preserve">　　（四）有依法缴纳税收和社会保障资金的良好记录； </w:t>
            </w:r>
          </w:p>
          <w:p>
            <w:pPr>
              <w:pStyle w:val="14"/>
              <w:snapToGrid w:val="0"/>
              <w:ind w:firstLine="450"/>
              <w:rPr>
                <w:rFonts w:hAnsi="宋体"/>
                <w:color w:val="000000"/>
              </w:rPr>
            </w:pPr>
            <w:r>
              <w:rPr>
                <w:rFonts w:hint="eastAsia" w:hAnsi="宋体"/>
                <w:color w:val="000000"/>
              </w:rPr>
              <w:t xml:space="preserve">　　（五）参加政府采购活动前三年内，在经营活动中没有重大违法记录； </w:t>
            </w:r>
          </w:p>
          <w:p>
            <w:pPr>
              <w:pStyle w:val="14"/>
              <w:snapToGrid w:val="0"/>
              <w:ind w:firstLine="450"/>
              <w:rPr>
                <w:rFonts w:hAnsi="宋体"/>
                <w:color w:val="000000"/>
              </w:rPr>
            </w:pPr>
            <w:r>
              <w:rPr>
                <w:rFonts w:hint="eastAsia" w:hAnsi="宋体"/>
                <w:color w:val="000000"/>
              </w:rPr>
              <w:t xml:space="preserve">　　（六）法律、行政法规规定的其他条件。 </w:t>
            </w:r>
          </w:p>
          <w:p>
            <w:pPr>
              <w:pStyle w:val="14"/>
              <w:snapToGrid w:val="0"/>
              <w:ind w:firstLine="450"/>
              <w:rPr>
                <w:rFonts w:hAnsi="宋体"/>
                <w:color w:val="000000"/>
              </w:rPr>
            </w:pPr>
            <w:r>
              <w:rPr>
                <w:rFonts w:hint="eastAsia" w:hAnsi="宋体"/>
                <w:color w:val="000000"/>
              </w:rPr>
              <w:t>2、根据财政部与有关部门联合签署了《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我单位承诺不存在上述文件规定依法限制参与政府采购的情况。</w:t>
            </w:r>
          </w:p>
          <w:p>
            <w:pPr>
              <w:pStyle w:val="14"/>
              <w:snapToGrid w:val="0"/>
              <w:ind w:firstLine="450"/>
              <w:rPr>
                <w:rFonts w:hAnsi="宋体"/>
                <w:color w:val="000000"/>
              </w:rPr>
            </w:pPr>
            <w:r>
              <w:rPr>
                <w:rFonts w:hint="eastAsia" w:hAnsi="宋体"/>
                <w:color w:val="000000"/>
              </w:rPr>
              <w:t>3、我单位承诺没有被各地、各级财政部门限制参加政府采购活动。</w:t>
            </w:r>
          </w:p>
          <w:p>
            <w:pPr>
              <w:tabs>
                <w:tab w:val="center" w:pos="4483"/>
              </w:tabs>
              <w:adjustRightInd w:val="0"/>
              <w:ind w:firstLine="400"/>
              <w:rPr>
                <w:color w:val="000000"/>
                <w:u w:val="single"/>
              </w:rPr>
            </w:pPr>
            <w:r>
              <w:rPr>
                <w:rFonts w:hint="eastAsia"/>
                <w:color w:val="000000"/>
              </w:rPr>
              <w:t>4、我单位承诺参与本项目政府采购活动3年内没有其它重大违法记录（重大违法记录，是指供应商因违法经营受到刑事处罚或者责令停产停业、吊销许可证或者执照、较大数额罚款等行政处罚）。</w:t>
            </w:r>
          </w:p>
          <w:p>
            <w:pPr>
              <w:tabs>
                <w:tab w:val="center" w:pos="4483"/>
              </w:tabs>
              <w:adjustRightInd w:val="0"/>
              <w:ind w:firstLine="440" w:firstLineChars="200"/>
              <w:rPr>
                <w:color w:val="000000"/>
              </w:rPr>
            </w:pPr>
            <w:r>
              <w:rPr>
                <w:rFonts w:hint="eastAsia"/>
                <w:color w:val="000000"/>
                <w:u w:val="single"/>
              </w:rPr>
              <w:t>本公司所提交的本声明和陈述均是真实的、准确的。若与真实情况不符，本公司愿意承担由此而产生的一切后果。我方提供了全部能提供的资料和数据，我们同意遵照贵方要求出示有关证明文件。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9612" w:type="dxa"/>
            <w:gridSpan w:val="2"/>
            <w:vAlign w:val="center"/>
          </w:tcPr>
          <w:p>
            <w:pPr>
              <w:pStyle w:val="14"/>
              <w:snapToGrid w:val="0"/>
              <w:ind w:left="422" w:firstLine="331"/>
              <w:rPr>
                <w:rFonts w:hAnsi="宋体"/>
                <w:color w:val="000000"/>
              </w:rPr>
            </w:pPr>
            <w:r>
              <w:rPr>
                <w:rFonts w:hint="eastAsia" w:hAnsi="宋体"/>
                <w:color w:val="000000"/>
              </w:rPr>
              <w:t>投标供应商全称（加盖章）：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9612" w:type="dxa"/>
            <w:gridSpan w:val="2"/>
            <w:vAlign w:val="center"/>
          </w:tcPr>
          <w:p>
            <w:pPr>
              <w:pStyle w:val="14"/>
              <w:snapToGrid w:val="0"/>
              <w:ind w:left="422" w:firstLine="316"/>
              <w:rPr>
                <w:rFonts w:hAnsi="宋体"/>
                <w:color w:val="000000"/>
              </w:rPr>
            </w:pPr>
            <w:r>
              <w:rPr>
                <w:rFonts w:hint="eastAsia" w:hAnsi="宋体"/>
                <w:color w:val="000000"/>
              </w:rPr>
              <w:t>法定代表人或授权代表人（签字或盖章）：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9612" w:type="dxa"/>
            <w:gridSpan w:val="2"/>
            <w:vAlign w:val="center"/>
          </w:tcPr>
          <w:p>
            <w:pPr>
              <w:pStyle w:val="14"/>
              <w:snapToGrid w:val="0"/>
              <w:ind w:left="422" w:firstLine="331"/>
              <w:rPr>
                <w:rFonts w:hAnsi="宋体"/>
                <w:color w:val="000000"/>
              </w:rPr>
            </w:pPr>
            <w:r>
              <w:rPr>
                <w:rFonts w:hint="eastAsia" w:hAnsi="宋体"/>
                <w:color w:val="000000"/>
              </w:rPr>
              <w:t>签署日期：</w:t>
            </w:r>
          </w:p>
        </w:tc>
      </w:tr>
    </w:tbl>
    <w:p>
      <w:pPr>
        <w:jc w:val="left"/>
        <w:rPr>
          <w:b/>
          <w:color w:val="000000"/>
          <w:sz w:val="32"/>
        </w:rPr>
      </w:pPr>
      <w:r>
        <w:rPr>
          <w:rFonts w:hint="eastAsia"/>
          <w:b/>
          <w:bCs/>
          <w:color w:val="000000"/>
        </w:rPr>
        <w:t xml:space="preserve"> </w:t>
      </w:r>
      <w:r>
        <w:rPr>
          <w:rFonts w:hint="eastAsia"/>
          <w:bCs/>
          <w:color w:val="000000"/>
        </w:rPr>
        <w:t xml:space="preserve"> </w:t>
      </w:r>
      <w:r>
        <w:rPr>
          <w:rFonts w:hint="eastAsia"/>
          <w:bCs/>
          <w:color w:val="000000"/>
          <w:u w:val="single"/>
        </w:rPr>
        <w:t>备注：▲投标供应商必须提供本声明，不提供按无效投标处理。</w:t>
      </w:r>
      <w:bookmarkStart w:id="36" w:name="_Toc16065"/>
      <w:bookmarkStart w:id="37" w:name="_Toc18086"/>
      <w:bookmarkStart w:id="38" w:name="_Toc22655"/>
      <w:bookmarkStart w:id="39" w:name="_Toc15619"/>
      <w:bookmarkStart w:id="40" w:name="_Toc11721"/>
      <w:bookmarkStart w:id="41" w:name="_Toc688"/>
      <w:bookmarkStart w:id="42" w:name="_Toc20798"/>
    </w:p>
    <w:p>
      <w:pPr>
        <w:pStyle w:val="11"/>
        <w:outlineLvl w:val="0"/>
        <w:rPr>
          <w:rFonts w:hint="eastAsia"/>
          <w:b/>
          <w:color w:val="000000"/>
          <w:sz w:val="32"/>
        </w:rPr>
      </w:pPr>
    </w:p>
    <w:p>
      <w:pPr>
        <w:pStyle w:val="11"/>
        <w:outlineLvl w:val="0"/>
        <w:rPr>
          <w:b/>
          <w:color w:val="000000"/>
          <w:sz w:val="24"/>
        </w:rPr>
      </w:pPr>
      <w:r>
        <w:rPr>
          <w:rFonts w:hint="eastAsia"/>
          <w:b/>
          <w:color w:val="000000"/>
          <w:sz w:val="32"/>
        </w:rPr>
        <w:t>附件八（二）</w:t>
      </w:r>
      <w:bookmarkEnd w:id="36"/>
      <w:bookmarkEnd w:id="37"/>
      <w:bookmarkEnd w:id="38"/>
      <w:bookmarkEnd w:id="39"/>
      <w:bookmarkEnd w:id="40"/>
      <w:bookmarkEnd w:id="41"/>
      <w:bookmarkEnd w:id="42"/>
    </w:p>
    <w:p>
      <w:pPr>
        <w:jc w:val="center"/>
        <w:outlineLvl w:val="0"/>
        <w:rPr>
          <w:rFonts w:ascii="新宋体" w:hAnsi="新宋体" w:eastAsia="新宋体"/>
          <w:b/>
          <w:color w:val="000000"/>
          <w:sz w:val="28"/>
          <w:szCs w:val="28"/>
        </w:rPr>
      </w:pPr>
      <w:bookmarkStart w:id="43" w:name="_Toc32409"/>
      <w:bookmarkStart w:id="44" w:name="_Toc29254"/>
      <w:bookmarkStart w:id="45" w:name="_Toc11745"/>
      <w:bookmarkStart w:id="46" w:name="_Toc28755"/>
      <w:bookmarkStart w:id="47" w:name="_Toc27502"/>
      <w:bookmarkStart w:id="48" w:name="_Toc6292"/>
      <w:bookmarkStart w:id="49" w:name="_Toc5052"/>
      <w:r>
        <w:rPr>
          <w:rFonts w:hint="eastAsia" w:ascii="新宋体" w:hAnsi="新宋体" w:eastAsia="新宋体"/>
          <w:b/>
          <w:color w:val="000000"/>
          <w:sz w:val="28"/>
          <w:szCs w:val="28"/>
        </w:rPr>
        <w:t>诚信投标承诺书</w:t>
      </w:r>
      <w:bookmarkEnd w:id="43"/>
      <w:bookmarkEnd w:id="44"/>
      <w:bookmarkEnd w:id="45"/>
      <w:bookmarkEnd w:id="46"/>
      <w:bookmarkEnd w:id="47"/>
      <w:bookmarkEnd w:id="48"/>
      <w:bookmarkEnd w:id="49"/>
    </w:p>
    <w:p>
      <w:pPr>
        <w:ind w:right="-161" w:rightChars="-73"/>
        <w:rPr>
          <w:color w:val="000000"/>
        </w:rPr>
      </w:pPr>
      <w:r>
        <w:rPr>
          <w:rFonts w:hint="eastAsia"/>
          <w:color w:val="000000"/>
        </w:rPr>
        <w:t>本企业郑重承诺：</w:t>
      </w:r>
    </w:p>
    <w:p>
      <w:pPr>
        <w:ind w:firstLine="440" w:firstLineChars="200"/>
        <w:rPr>
          <w:color w:val="000000"/>
        </w:rPr>
      </w:pPr>
      <w:r>
        <w:rPr>
          <w:rFonts w:hint="eastAsia"/>
          <w:color w:val="000000"/>
        </w:rPr>
        <w:t>为了积极配合采购人组织的</w:t>
      </w:r>
      <w:r>
        <w:rPr>
          <w:rFonts w:hint="eastAsia"/>
          <w:color w:val="000000"/>
          <w:u w:val="single"/>
        </w:rPr>
        <w:t xml:space="preserve"> （项目名称、采购编号：） </w:t>
      </w:r>
      <w:r>
        <w:rPr>
          <w:rFonts w:hint="eastAsia"/>
          <w:color w:val="000000"/>
        </w:rPr>
        <w:t>招标工作，有效遏制不公平竞争和违规违纪问题的发生，确保招标工作的公平、公正、公开，我们保证认真贯彻《中华人民共和国政府采购法》、《政府采购货物和服务招标投标管理办法》和《关于进一步规范政府采购活动的若干意见》等法律及有关法规相关规定以及有关廉洁要求，特承诺如下事项：</w:t>
      </w:r>
    </w:p>
    <w:p>
      <w:pPr>
        <w:snapToGrid w:val="0"/>
        <w:ind w:firstLine="385" w:firstLineChars="175"/>
        <w:rPr>
          <w:color w:val="000000"/>
        </w:rPr>
      </w:pPr>
      <w:r>
        <w:rPr>
          <w:rFonts w:hint="eastAsia"/>
          <w:color w:val="000000"/>
        </w:rPr>
        <w:t>1、自觉遵守国家法律法规及有关廉政建设制度。</w:t>
      </w:r>
    </w:p>
    <w:p>
      <w:pPr>
        <w:snapToGrid w:val="0"/>
        <w:ind w:firstLine="385" w:firstLineChars="175"/>
        <w:rPr>
          <w:color w:val="000000"/>
        </w:rPr>
      </w:pPr>
      <w:r>
        <w:rPr>
          <w:rFonts w:hint="eastAsia"/>
          <w:color w:val="000000"/>
        </w:rPr>
        <w:t>2、主动了解招标人招投标纪律，积极配合招标人执行招投标廉政建设的有关规定。</w:t>
      </w:r>
    </w:p>
    <w:p>
      <w:pPr>
        <w:snapToGrid w:val="0"/>
        <w:ind w:firstLine="385" w:firstLineChars="175"/>
        <w:rPr>
          <w:color w:val="000000"/>
        </w:rPr>
      </w:pPr>
      <w:r>
        <w:rPr>
          <w:rFonts w:hint="eastAsia"/>
          <w:color w:val="000000"/>
        </w:rPr>
        <w:t>3、不使用不正当手段妨碍、排挤其它供应商或串通投标。</w:t>
      </w:r>
    </w:p>
    <w:p>
      <w:pPr>
        <w:snapToGrid w:val="0"/>
        <w:ind w:firstLine="385" w:firstLineChars="175"/>
        <w:rPr>
          <w:color w:val="000000"/>
        </w:rPr>
      </w:pPr>
      <w:r>
        <w:rPr>
          <w:rFonts w:hint="eastAsia"/>
          <w:color w:val="000000"/>
        </w:rPr>
        <w:t>4、按照本招标文件规定的方式进行投标，不隐瞒本单位投标资质的真实情况，投标资质符合规定。</w:t>
      </w:r>
    </w:p>
    <w:p>
      <w:pPr>
        <w:snapToGrid w:val="0"/>
        <w:ind w:firstLine="385" w:firstLineChars="175"/>
        <w:rPr>
          <w:color w:val="000000"/>
        </w:rPr>
      </w:pPr>
      <w:r>
        <w:rPr>
          <w:rFonts w:hint="eastAsia"/>
          <w:color w:val="000000"/>
        </w:rPr>
        <w:t>5、不以任何方式向招标人员赠送礼品、礼金及有价证券；不宴请或邀请招标人的任何人参加高档娱乐消费、旅游、考察、参观等活动；不以任何形式报销招标人的任何人以及亲友的各种票据及费用；不进行可能影响招投标公平、公正的任何活动。</w:t>
      </w:r>
    </w:p>
    <w:p>
      <w:pPr>
        <w:snapToGrid w:val="0"/>
        <w:ind w:firstLine="385" w:firstLineChars="175"/>
        <w:rPr>
          <w:color w:val="000000"/>
        </w:rPr>
      </w:pPr>
      <w:r>
        <w:rPr>
          <w:rFonts w:hint="eastAsia"/>
          <w:color w:val="000000"/>
        </w:rPr>
        <w:t>6、不向招标人及个人购置或提供通讯工具、交通工具和高档办公用品等。</w:t>
      </w:r>
    </w:p>
    <w:p>
      <w:pPr>
        <w:snapToGrid w:val="0"/>
        <w:ind w:firstLine="385" w:firstLineChars="175"/>
        <w:rPr>
          <w:color w:val="000000"/>
        </w:rPr>
      </w:pPr>
      <w:r>
        <w:rPr>
          <w:rFonts w:hint="eastAsia"/>
          <w:color w:val="000000"/>
        </w:rPr>
        <w:t>7、不向招标人涉及招标的人员的配偶、子女分包此次招标项目。</w:t>
      </w:r>
    </w:p>
    <w:p>
      <w:pPr>
        <w:snapToGrid w:val="0"/>
        <w:ind w:firstLine="385" w:firstLineChars="175"/>
        <w:rPr>
          <w:color w:val="000000"/>
        </w:rPr>
      </w:pPr>
      <w:r>
        <w:rPr>
          <w:rFonts w:hint="eastAsia"/>
          <w:color w:val="000000"/>
        </w:rPr>
        <w:t>8、不向招标人及个人支付好处费、介绍费。</w:t>
      </w:r>
    </w:p>
    <w:p>
      <w:pPr>
        <w:snapToGrid w:val="0"/>
        <w:ind w:firstLine="385" w:firstLineChars="175"/>
        <w:rPr>
          <w:color w:val="000000"/>
        </w:rPr>
      </w:pPr>
      <w:r>
        <w:rPr>
          <w:rFonts w:hint="eastAsia"/>
          <w:color w:val="000000"/>
        </w:rPr>
        <w:t>9、一旦发现相关人员在招标过程中的索要财物等不廉洁行为，坚决予以抵制，并及时向有关纪检监察部门举报。</w:t>
      </w:r>
    </w:p>
    <w:p>
      <w:pPr>
        <w:snapToGrid w:val="0"/>
        <w:ind w:firstLine="385" w:firstLineChars="175"/>
        <w:rPr>
          <w:color w:val="000000"/>
        </w:rPr>
      </w:pPr>
      <w:r>
        <w:rPr>
          <w:rFonts w:hint="eastAsia"/>
          <w:color w:val="000000"/>
        </w:rPr>
        <w:t>10、我们若违反上述承诺，愿接受取消供应商中标资格及其他任何形式的处理。</w:t>
      </w:r>
    </w:p>
    <w:p>
      <w:pPr>
        <w:snapToGrid w:val="0"/>
        <w:ind w:firstLine="385" w:firstLineChars="175"/>
        <w:rPr>
          <w:color w:val="000000"/>
        </w:rPr>
      </w:pPr>
      <w:r>
        <w:rPr>
          <w:rFonts w:hint="eastAsia"/>
          <w:color w:val="000000"/>
        </w:rPr>
        <w:t>本公司若有违反本承诺内容的行为，愿意承担法律责任，包括：本企业投标文件按无效标处理，愿意接受相关行政主管部门作出的处罚，愿意接受文成县公共资源交易管理委员会办公室作出的限制交易、停止交易等市场准入与清出的处理。</w:t>
      </w:r>
    </w:p>
    <w:p>
      <w:pPr>
        <w:rPr>
          <w:color w:val="000000"/>
        </w:rPr>
      </w:pPr>
      <w:r>
        <w:rPr>
          <w:rFonts w:hint="eastAsia"/>
          <w:color w:val="000000"/>
        </w:rPr>
        <w:t>投标供应商全称(盖章)  ：</w:t>
      </w:r>
      <w:r>
        <w:rPr>
          <w:rFonts w:hint="eastAsia"/>
          <w:color w:val="000000"/>
          <w:u w:val="single"/>
        </w:rPr>
        <w:t xml:space="preserve">                  </w:t>
      </w:r>
    </w:p>
    <w:p>
      <w:pPr>
        <w:rPr>
          <w:color w:val="000000"/>
          <w:u w:val="single"/>
        </w:rPr>
      </w:pPr>
      <w:r>
        <w:rPr>
          <w:rFonts w:hint="eastAsia"/>
          <w:color w:val="000000"/>
        </w:rPr>
        <w:t>法定代表人或授权代表人（</w:t>
      </w:r>
      <w:r>
        <w:rPr>
          <w:rFonts w:hint="eastAsia"/>
          <w:lang w:val="zh-CN"/>
        </w:rPr>
        <w:t>签字或盖章</w:t>
      </w:r>
      <w:r>
        <w:rPr>
          <w:rFonts w:hint="eastAsia"/>
          <w:color w:val="000000"/>
        </w:rPr>
        <w:t>）：</w:t>
      </w:r>
      <w:r>
        <w:rPr>
          <w:rFonts w:hint="eastAsia"/>
          <w:color w:val="000000"/>
          <w:u w:val="single"/>
        </w:rPr>
        <w:t xml:space="preserve">          </w:t>
      </w:r>
    </w:p>
    <w:p>
      <w:pPr>
        <w:rPr>
          <w:color w:val="000000"/>
        </w:rPr>
      </w:pPr>
      <w:r>
        <w:rPr>
          <w:rFonts w:hint="eastAsia"/>
          <w:color w:val="000000"/>
        </w:rPr>
        <w:t xml:space="preserve">日 期 ：  </w:t>
      </w:r>
      <w:r>
        <w:rPr>
          <w:rFonts w:hint="eastAsia"/>
          <w:color w:val="000000"/>
          <w:u w:val="single"/>
        </w:rPr>
        <w:t xml:space="preserve">                            </w:t>
      </w:r>
    </w:p>
    <w:p>
      <w:pPr>
        <w:ind w:left="-183" w:leftChars="-83" w:right="-161" w:rightChars="-73" w:firstLine="173" w:firstLineChars="79"/>
        <w:rPr>
          <w:color w:val="000000"/>
        </w:rPr>
      </w:pPr>
    </w:p>
    <w:p>
      <w:pPr>
        <w:pStyle w:val="11"/>
        <w:outlineLvl w:val="0"/>
        <w:rPr>
          <w:b/>
          <w:color w:val="000000"/>
          <w:sz w:val="32"/>
        </w:rPr>
      </w:pPr>
      <w:bookmarkStart w:id="50" w:name="_Toc25102"/>
      <w:bookmarkStart w:id="51" w:name="_Toc28235"/>
      <w:bookmarkStart w:id="52" w:name="_Toc5743"/>
      <w:bookmarkStart w:id="53" w:name="_Toc22431"/>
    </w:p>
    <w:p>
      <w:pPr>
        <w:pStyle w:val="12"/>
        <w:rPr>
          <w:b/>
          <w:color w:val="000000"/>
          <w:sz w:val="32"/>
        </w:rPr>
      </w:pPr>
    </w:p>
    <w:p/>
    <w:p>
      <w:pPr>
        <w:pStyle w:val="26"/>
        <w:ind w:firstLine="440"/>
      </w:pPr>
    </w:p>
    <w:p>
      <w:pPr>
        <w:pStyle w:val="11"/>
        <w:outlineLvl w:val="0"/>
        <w:rPr>
          <w:b/>
          <w:color w:val="000000"/>
          <w:sz w:val="24"/>
        </w:rPr>
      </w:pPr>
      <w:r>
        <w:rPr>
          <w:rFonts w:hint="eastAsia"/>
          <w:b/>
          <w:color w:val="000000"/>
          <w:sz w:val="32"/>
        </w:rPr>
        <w:t>附件八（三）</w:t>
      </w:r>
      <w:bookmarkEnd w:id="50"/>
    </w:p>
    <w:p>
      <w:pPr>
        <w:jc w:val="center"/>
        <w:outlineLvl w:val="1"/>
        <w:rPr>
          <w:sz w:val="40"/>
          <w:szCs w:val="40"/>
        </w:rPr>
      </w:pPr>
      <w:bookmarkStart w:id="54" w:name="_Toc5736"/>
      <w:r>
        <w:rPr>
          <w:rFonts w:hint="eastAsia"/>
          <w:sz w:val="28"/>
          <w:szCs w:val="28"/>
        </w:rPr>
        <w:t>无重大违法记录声明书</w:t>
      </w:r>
      <w:bookmarkEnd w:id="51"/>
      <w:bookmarkEnd w:id="52"/>
      <w:bookmarkEnd w:id="53"/>
      <w:bookmarkEnd w:id="54"/>
    </w:p>
    <w:p>
      <w:pPr>
        <w:rPr>
          <w:sz w:val="24"/>
          <w:szCs w:val="32"/>
          <w:lang w:val="zh-CN"/>
        </w:rPr>
      </w:pPr>
      <w:r>
        <w:rPr>
          <w:rFonts w:hint="eastAsia"/>
          <w:sz w:val="24"/>
          <w:szCs w:val="32"/>
          <w:lang w:val="zh-CN"/>
        </w:rPr>
        <w:t>（采购人名称）</w:t>
      </w:r>
    </w:p>
    <w:p>
      <w:pPr>
        <w:rPr>
          <w:sz w:val="24"/>
          <w:szCs w:val="32"/>
        </w:rPr>
      </w:pPr>
      <w:r>
        <w:rPr>
          <w:rFonts w:hint="eastAsia"/>
          <w:sz w:val="24"/>
          <w:szCs w:val="32"/>
        </w:rPr>
        <w:t>浙江欣源工程项目管理有限公司：</w:t>
      </w:r>
    </w:p>
    <w:p>
      <w:pPr>
        <w:tabs>
          <w:tab w:val="left" w:pos="1985"/>
        </w:tabs>
        <w:ind w:firstLine="480" w:firstLineChars="200"/>
        <w:rPr>
          <w:sz w:val="24"/>
          <w:szCs w:val="24"/>
        </w:rPr>
      </w:pPr>
      <w:r>
        <w:rPr>
          <w:rFonts w:hint="eastAsia"/>
          <w:sz w:val="24"/>
          <w:szCs w:val="32"/>
        </w:rPr>
        <w:t xml:space="preserve">  </w:t>
      </w:r>
      <w:r>
        <w:rPr>
          <w:rFonts w:hint="eastAsia"/>
          <w:sz w:val="24"/>
          <w:szCs w:val="24"/>
        </w:rPr>
        <w:t>我公司参与</w:t>
      </w:r>
      <w:r>
        <w:rPr>
          <w:rFonts w:hint="eastAsia"/>
          <w:sz w:val="24"/>
          <w:szCs w:val="24"/>
          <w:u w:val="single"/>
        </w:rPr>
        <w:t xml:space="preserve">   （项目名称、项目编号） </w:t>
      </w:r>
      <w:r>
        <w:rPr>
          <w:rFonts w:hint="eastAsia"/>
          <w:sz w:val="24"/>
          <w:szCs w:val="24"/>
        </w:rPr>
        <w:t>投标，本公司郑重声明：</w:t>
      </w:r>
    </w:p>
    <w:p>
      <w:pPr>
        <w:tabs>
          <w:tab w:val="left" w:pos="1985"/>
        </w:tabs>
        <w:ind w:firstLine="480" w:firstLineChars="200"/>
        <w:rPr>
          <w:sz w:val="24"/>
          <w:szCs w:val="24"/>
        </w:rPr>
      </w:pPr>
      <w:r>
        <w:rPr>
          <w:rFonts w:hint="eastAsia"/>
          <w:sz w:val="24"/>
          <w:szCs w:val="24"/>
        </w:rPr>
        <w:t>1、我方参加本项目政府采购活动近三年内无重大违法记录；</w:t>
      </w:r>
    </w:p>
    <w:p>
      <w:pPr>
        <w:tabs>
          <w:tab w:val="left" w:pos="1985"/>
        </w:tabs>
        <w:ind w:firstLine="480" w:firstLineChars="200"/>
        <w:rPr>
          <w:sz w:val="24"/>
          <w:szCs w:val="24"/>
        </w:rPr>
      </w:pPr>
      <w:r>
        <w:rPr>
          <w:rFonts w:hint="eastAsia"/>
          <w:sz w:val="24"/>
          <w:szCs w:val="24"/>
        </w:rPr>
        <w:t>2、在“信用中国”查询无不良记录（www.creditchina.gov.cn）（提供网页截图）；</w:t>
      </w:r>
    </w:p>
    <w:p>
      <w:pPr>
        <w:tabs>
          <w:tab w:val="left" w:pos="1985"/>
        </w:tabs>
        <w:ind w:firstLine="480" w:firstLineChars="200"/>
        <w:jc w:val="left"/>
        <w:rPr>
          <w:sz w:val="24"/>
          <w:szCs w:val="24"/>
        </w:rPr>
      </w:pPr>
      <w:r>
        <w:rPr>
          <w:rFonts w:hint="eastAsia"/>
          <w:sz w:val="24"/>
          <w:szCs w:val="24"/>
        </w:rPr>
        <w:t>3、在“政府采购严重违法失信行为信息记录</w:t>
      </w:r>
      <w:r>
        <w:rPr>
          <w:sz w:val="24"/>
          <w:szCs w:val="24"/>
        </w:rPr>
        <w:t>”</w:t>
      </w:r>
      <w:r>
        <w:rPr>
          <w:rFonts w:hint="eastAsia"/>
          <w:sz w:val="24"/>
          <w:szCs w:val="24"/>
        </w:rPr>
        <w:t>查询无不良记录（</w:t>
      </w:r>
      <w:r>
        <w:rPr>
          <w:sz w:val="24"/>
          <w:szCs w:val="24"/>
        </w:rPr>
        <w:t>http://www.ccgp.gov.cn/cr/list</w:t>
      </w:r>
      <w:r>
        <w:rPr>
          <w:rFonts w:hint="eastAsia"/>
          <w:sz w:val="24"/>
          <w:szCs w:val="24"/>
        </w:rPr>
        <w:t>）（提供网页截图）。 </w:t>
      </w:r>
    </w:p>
    <w:p>
      <w:pPr>
        <w:tabs>
          <w:tab w:val="left" w:pos="1985"/>
        </w:tabs>
        <w:ind w:firstLine="480" w:firstLineChars="200"/>
        <w:jc w:val="left"/>
        <w:rPr>
          <w:sz w:val="24"/>
          <w:szCs w:val="24"/>
        </w:rPr>
      </w:pPr>
      <w:r>
        <w:rPr>
          <w:rFonts w:hint="eastAsia"/>
          <w:sz w:val="24"/>
          <w:szCs w:val="24"/>
        </w:rPr>
        <w:t>4、在“中国裁判文书网”查询无犯罪记录（http://wenshu.court.gov.cn/）</w:t>
      </w:r>
      <w:r>
        <w:rPr>
          <w:sz w:val="24"/>
          <w:szCs w:val="24"/>
        </w:rPr>
        <w:t xml:space="preserve"> </w:t>
      </w:r>
      <w:r>
        <w:rPr>
          <w:rFonts w:hint="eastAsia"/>
          <w:sz w:val="24"/>
          <w:szCs w:val="24"/>
        </w:rPr>
        <w:t>（提供网页截图）</w:t>
      </w:r>
    </w:p>
    <w:p>
      <w:pPr>
        <w:tabs>
          <w:tab w:val="left" w:pos="1985"/>
        </w:tabs>
        <w:ind w:firstLine="480" w:firstLineChars="200"/>
        <w:jc w:val="left"/>
        <w:rPr>
          <w:sz w:val="24"/>
          <w:szCs w:val="24"/>
        </w:rPr>
      </w:pPr>
      <w:r>
        <w:rPr>
          <w:rFonts w:hint="eastAsia"/>
          <w:sz w:val="24"/>
          <w:szCs w:val="24"/>
        </w:rPr>
        <w:t>符合《政府采购法》及相关法律法规规定的投标人条件。若在本项目采购过程中发现我方政府采购活动前三年内有重大违法记录或在“信用中国”或“政府采购严重违法失信行为信息记录”或“中国裁判文书网”中有不良记录，我公司将无条件退出本项目的投标，并承担因引起的一切后果。我方对此声明负全部法律责任。</w:t>
      </w:r>
    </w:p>
    <w:p>
      <w:pPr>
        <w:tabs>
          <w:tab w:val="left" w:pos="1985"/>
        </w:tabs>
        <w:ind w:firstLine="480" w:firstLineChars="200"/>
        <w:rPr>
          <w:sz w:val="24"/>
          <w:szCs w:val="24"/>
        </w:rPr>
      </w:pPr>
      <w:r>
        <w:rPr>
          <w:rFonts w:hint="eastAsia"/>
          <w:sz w:val="24"/>
          <w:szCs w:val="24"/>
        </w:rPr>
        <w:t xml:space="preserve">特此声明。 </w:t>
      </w:r>
    </w:p>
    <w:p>
      <w:pPr>
        <w:tabs>
          <w:tab w:val="left" w:pos="1985"/>
        </w:tabs>
        <w:ind w:firstLine="480" w:firstLineChars="200"/>
        <w:rPr>
          <w:sz w:val="24"/>
          <w:szCs w:val="24"/>
        </w:rPr>
      </w:pPr>
    </w:p>
    <w:p>
      <w:pPr>
        <w:tabs>
          <w:tab w:val="left" w:pos="1985"/>
        </w:tabs>
        <w:jc w:val="left"/>
        <w:rPr>
          <w:sz w:val="24"/>
          <w:szCs w:val="24"/>
        </w:rPr>
      </w:pPr>
      <w:r>
        <w:rPr>
          <w:rFonts w:hint="eastAsia"/>
          <w:sz w:val="24"/>
          <w:szCs w:val="24"/>
        </w:rPr>
        <w:t>投标投标供应商全称（公章）：</w:t>
      </w:r>
    </w:p>
    <w:p>
      <w:pPr>
        <w:tabs>
          <w:tab w:val="left" w:pos="1985"/>
        </w:tabs>
        <w:jc w:val="left"/>
        <w:rPr>
          <w:sz w:val="24"/>
          <w:szCs w:val="24"/>
        </w:rPr>
      </w:pPr>
      <w:r>
        <w:rPr>
          <w:rFonts w:hint="eastAsia"/>
          <w:sz w:val="24"/>
          <w:szCs w:val="24"/>
        </w:rPr>
        <w:t>法定代表人或授权代表人（签字或盖章）：</w:t>
      </w:r>
    </w:p>
    <w:p>
      <w:pPr>
        <w:tabs>
          <w:tab w:val="left" w:pos="1985"/>
        </w:tabs>
        <w:jc w:val="left"/>
        <w:rPr>
          <w:bCs/>
          <w:sz w:val="24"/>
          <w:szCs w:val="24"/>
        </w:rPr>
      </w:pPr>
      <w:r>
        <w:rPr>
          <w:rFonts w:hint="eastAsia"/>
          <w:sz w:val="24"/>
          <w:szCs w:val="24"/>
        </w:rPr>
        <w:t>日期：  年   月  日</w:t>
      </w:r>
      <w:r>
        <w:rPr>
          <w:rFonts w:hint="eastAsia"/>
          <w:bCs/>
          <w:sz w:val="24"/>
          <w:szCs w:val="24"/>
        </w:rPr>
        <w:t xml:space="preserve">  </w:t>
      </w:r>
    </w:p>
    <w:p>
      <w:pPr>
        <w:tabs>
          <w:tab w:val="left" w:pos="1985"/>
        </w:tabs>
        <w:rPr>
          <w:bCs/>
          <w:sz w:val="21"/>
          <w:szCs w:val="20"/>
        </w:rPr>
      </w:pPr>
    </w:p>
    <w:p>
      <w:pPr>
        <w:tabs>
          <w:tab w:val="left" w:pos="1985"/>
        </w:tabs>
        <w:rPr>
          <w:rFonts w:eastAsia="新宋体"/>
          <w:b/>
          <w:color w:val="000000"/>
          <w:szCs w:val="21"/>
        </w:rPr>
      </w:pPr>
      <w:r>
        <w:rPr>
          <w:rFonts w:hint="eastAsia"/>
          <w:bCs/>
          <w:szCs w:val="21"/>
        </w:rPr>
        <w:t>附注</w:t>
      </w:r>
      <w:r>
        <w:rPr>
          <w:rFonts w:hint="eastAsia"/>
          <w:szCs w:val="21"/>
        </w:rPr>
        <w:t>：</w:t>
      </w:r>
      <w:r>
        <w:rPr>
          <w:rFonts w:hint="eastAsia"/>
          <w:szCs w:val="21"/>
          <w:u w:val="single"/>
        </w:rPr>
        <w:t>1.查询结果加盖投标供应商公章,查询有效日期为本招标公告发布之日起至投标截止日期前。</w:t>
      </w:r>
    </w:p>
    <w:p>
      <w:pPr>
        <w:pStyle w:val="11"/>
        <w:outlineLvl w:val="0"/>
        <w:rPr>
          <w:b/>
          <w:color w:val="000000"/>
          <w:sz w:val="32"/>
        </w:rPr>
      </w:pPr>
    </w:p>
    <w:p>
      <w:pPr>
        <w:pStyle w:val="11"/>
        <w:outlineLvl w:val="0"/>
        <w:rPr>
          <w:b/>
          <w:color w:val="000000"/>
          <w:sz w:val="32"/>
        </w:rPr>
      </w:pPr>
    </w:p>
    <w:p>
      <w:pPr>
        <w:pStyle w:val="26"/>
        <w:ind w:firstLine="643"/>
        <w:rPr>
          <w:rFonts w:cs="宋体"/>
          <w:b/>
          <w:color w:val="000000"/>
          <w:sz w:val="32"/>
        </w:rPr>
      </w:pPr>
    </w:p>
    <w:p>
      <w:pPr>
        <w:rPr>
          <w:b/>
          <w:color w:val="000000"/>
          <w:sz w:val="32"/>
        </w:rPr>
      </w:pPr>
    </w:p>
    <w:p>
      <w:pPr>
        <w:pStyle w:val="11"/>
      </w:pPr>
    </w:p>
    <w:p>
      <w:pPr>
        <w:pStyle w:val="11"/>
        <w:outlineLvl w:val="0"/>
        <w:rPr>
          <w:b/>
          <w:color w:val="000000"/>
          <w:sz w:val="24"/>
        </w:rPr>
      </w:pPr>
      <w:r>
        <w:rPr>
          <w:rFonts w:hint="eastAsia"/>
          <w:b/>
          <w:color w:val="000000"/>
          <w:sz w:val="32"/>
        </w:rPr>
        <w:t>附件八（四）</w:t>
      </w:r>
    </w:p>
    <w:p>
      <w:pPr>
        <w:jc w:val="center"/>
        <w:rPr>
          <w:rFonts w:cs="Arial"/>
          <w:b/>
          <w:bCs/>
          <w:sz w:val="28"/>
          <w:szCs w:val="44"/>
        </w:rPr>
      </w:pPr>
      <w:r>
        <w:rPr>
          <w:rFonts w:hint="eastAsia" w:cs="Arial"/>
          <w:b/>
          <w:bCs/>
          <w:sz w:val="28"/>
          <w:szCs w:val="44"/>
        </w:rPr>
        <w:t>与参加本次项目同一合同项下政府采购活动的其他供应商不存在单位负责人为同一人或者直接控股、管理关系的承诺函</w:t>
      </w:r>
    </w:p>
    <w:p>
      <w:pPr>
        <w:rPr>
          <w:rFonts w:ascii="仿宋" w:hAnsi="仿宋" w:eastAsia="仿宋" w:cs="Arial"/>
          <w:b/>
          <w:sz w:val="28"/>
          <w:szCs w:val="28"/>
          <w:u w:val="single"/>
        </w:rPr>
      </w:pPr>
      <w:r>
        <w:rPr>
          <w:rFonts w:hint="eastAsia" w:ascii="仿宋" w:hAnsi="仿宋" w:eastAsia="仿宋" w:cs="Arial"/>
          <w:b/>
          <w:w w:val="90"/>
          <w:sz w:val="28"/>
          <w:u w:val="single"/>
        </w:rPr>
        <w:t>采购人：</w:t>
      </w:r>
      <w:r>
        <w:rPr>
          <w:rFonts w:ascii="仿宋" w:hAnsi="仿宋" w:eastAsia="仿宋" w:cs="Arial"/>
          <w:b/>
          <w:sz w:val="28"/>
          <w:szCs w:val="28"/>
          <w:u w:val="single"/>
        </w:rPr>
        <w:t xml:space="preserve"> </w:t>
      </w:r>
    </w:p>
    <w:p>
      <w:pPr>
        <w:rPr>
          <w:rFonts w:ascii="仿宋" w:hAnsi="仿宋" w:eastAsia="仿宋" w:cs="Arial"/>
          <w:sz w:val="28"/>
          <w:szCs w:val="28"/>
        </w:rPr>
      </w:pPr>
    </w:p>
    <w:p>
      <w:pPr>
        <w:ind w:firstLine="560" w:firstLineChars="200"/>
        <w:rPr>
          <w:rFonts w:ascii="仿宋" w:hAnsi="仿宋" w:eastAsia="仿宋" w:cs="Arial"/>
          <w:sz w:val="28"/>
          <w:szCs w:val="28"/>
        </w:rPr>
      </w:pPr>
      <w:r>
        <w:rPr>
          <w:rFonts w:hint="eastAsia" w:ascii="仿宋" w:hAnsi="仿宋" w:eastAsia="仿宋" w:cs="Arial"/>
          <w:sz w:val="28"/>
          <w:szCs w:val="28"/>
        </w:rPr>
        <w:t>我方郑重承诺，我方此次参加</w:t>
      </w:r>
      <w:r>
        <w:rPr>
          <w:rFonts w:hint="eastAsia" w:ascii="仿宋" w:hAnsi="仿宋" w:eastAsia="仿宋" w:cs="Arial"/>
          <w:sz w:val="28"/>
          <w:szCs w:val="28"/>
          <w:u w:val="single"/>
        </w:rPr>
        <w:t xml:space="preserve">   项目名称（项目编号：  ）</w:t>
      </w:r>
      <w:r>
        <w:rPr>
          <w:rFonts w:hint="eastAsia" w:ascii="仿宋" w:hAnsi="仿宋" w:eastAsia="仿宋" w:cs="Arial"/>
          <w:sz w:val="28"/>
          <w:szCs w:val="28"/>
        </w:rPr>
        <w:t>的投标，与参加本次项目同一合同项下政府采购活动的其他供应商不存在单位负责人为同一人或者直接控股、管理关系。如有虚假或隐瞒，愿意承担一切后果。</w:t>
      </w:r>
    </w:p>
    <w:p>
      <w:pPr>
        <w:ind w:firstLine="560" w:firstLineChars="200"/>
        <w:rPr>
          <w:rFonts w:ascii="仿宋" w:hAnsi="仿宋" w:eastAsia="仿宋" w:cs="Arial"/>
          <w:sz w:val="28"/>
          <w:szCs w:val="28"/>
        </w:rPr>
      </w:pPr>
    </w:p>
    <w:p>
      <w:pPr>
        <w:ind w:firstLine="560" w:firstLineChars="200"/>
        <w:rPr>
          <w:rFonts w:ascii="仿宋" w:hAnsi="仿宋" w:eastAsia="仿宋" w:cs="Arial"/>
          <w:sz w:val="28"/>
          <w:szCs w:val="28"/>
        </w:rPr>
      </w:pPr>
      <w:r>
        <w:rPr>
          <w:rFonts w:hint="eastAsia" w:ascii="仿宋" w:hAnsi="仿宋" w:eastAsia="仿宋" w:cs="Arial"/>
          <w:sz w:val="28"/>
          <w:szCs w:val="28"/>
        </w:rPr>
        <w:t>特此承诺</w:t>
      </w:r>
    </w:p>
    <w:p>
      <w:pPr>
        <w:ind w:firstLine="560" w:firstLineChars="200"/>
        <w:rPr>
          <w:rFonts w:ascii="仿宋" w:hAnsi="仿宋" w:eastAsia="仿宋" w:cs="Arial"/>
          <w:sz w:val="28"/>
          <w:szCs w:val="28"/>
        </w:rPr>
      </w:pPr>
    </w:p>
    <w:p>
      <w:pPr>
        <w:snapToGrid w:val="0"/>
        <w:rPr>
          <w:rFonts w:ascii="仿宋" w:hAnsi="仿宋" w:eastAsia="仿宋" w:cs="Arial"/>
          <w:sz w:val="28"/>
          <w:szCs w:val="28"/>
        </w:rPr>
      </w:pPr>
      <w:r>
        <w:rPr>
          <w:rFonts w:hint="eastAsia" w:ascii="仿宋" w:hAnsi="仿宋" w:eastAsia="仿宋" w:cs="Arial"/>
          <w:sz w:val="28"/>
          <w:szCs w:val="28"/>
        </w:rPr>
        <w:t>磋商供应商名称（盖章）：</w:t>
      </w:r>
      <w:r>
        <w:rPr>
          <w:rFonts w:ascii="仿宋" w:hAnsi="仿宋" w:eastAsia="仿宋" w:cs="Arial"/>
          <w:w w:val="90"/>
          <w:sz w:val="28"/>
          <w:szCs w:val="28"/>
        </w:rPr>
        <w:t>__________________________________________</w:t>
      </w:r>
    </w:p>
    <w:p>
      <w:pPr>
        <w:snapToGrid w:val="0"/>
        <w:rPr>
          <w:rFonts w:ascii="仿宋" w:hAnsi="仿宋" w:eastAsia="仿宋" w:cs="Arial"/>
          <w:sz w:val="28"/>
          <w:szCs w:val="28"/>
          <w:u w:val="single"/>
        </w:rPr>
      </w:pPr>
      <w:r>
        <w:rPr>
          <w:rFonts w:hint="eastAsia" w:ascii="仿宋" w:hAnsi="仿宋" w:eastAsia="仿宋" w:cs="Arial"/>
          <w:sz w:val="28"/>
          <w:szCs w:val="28"/>
        </w:rPr>
        <w:t>法定代表人或其授权代表人（签字或盖章）：</w:t>
      </w:r>
      <w:r>
        <w:rPr>
          <w:rFonts w:ascii="仿宋" w:hAnsi="仿宋" w:eastAsia="仿宋" w:cs="Arial"/>
          <w:w w:val="90"/>
          <w:sz w:val="28"/>
          <w:szCs w:val="28"/>
        </w:rPr>
        <w:t>___________________________</w:t>
      </w:r>
    </w:p>
    <w:p>
      <w:r>
        <w:rPr>
          <w:rFonts w:hint="eastAsia" w:ascii="仿宋" w:hAnsi="仿宋" w:eastAsia="仿宋" w:cs="Arial"/>
          <w:sz w:val="28"/>
          <w:szCs w:val="28"/>
        </w:rPr>
        <w:t>日期：</w:t>
      </w:r>
      <w:r>
        <w:rPr>
          <w:rFonts w:ascii="仿宋" w:hAnsi="仿宋" w:eastAsia="仿宋" w:cs="Arial"/>
          <w:w w:val="90"/>
          <w:sz w:val="28"/>
          <w:szCs w:val="28"/>
        </w:rPr>
        <w:t>________</w:t>
      </w:r>
      <w:r>
        <w:rPr>
          <w:rFonts w:hint="eastAsia" w:ascii="仿宋" w:hAnsi="仿宋" w:eastAsia="仿宋" w:cs="Arial"/>
          <w:w w:val="90"/>
          <w:sz w:val="28"/>
          <w:szCs w:val="28"/>
        </w:rPr>
        <w:t>年</w:t>
      </w:r>
      <w:r>
        <w:rPr>
          <w:rFonts w:ascii="仿宋" w:hAnsi="仿宋" w:eastAsia="仿宋" w:cs="Arial"/>
          <w:w w:val="90"/>
          <w:sz w:val="28"/>
          <w:szCs w:val="28"/>
        </w:rPr>
        <w:t>____</w:t>
      </w:r>
      <w:r>
        <w:rPr>
          <w:rFonts w:hint="eastAsia" w:ascii="仿宋" w:hAnsi="仿宋" w:eastAsia="仿宋" w:cs="Arial"/>
          <w:w w:val="90"/>
          <w:sz w:val="28"/>
          <w:szCs w:val="28"/>
        </w:rPr>
        <w:t>月</w:t>
      </w:r>
      <w:r>
        <w:rPr>
          <w:rFonts w:ascii="仿宋" w:hAnsi="仿宋" w:eastAsia="仿宋" w:cs="Arial"/>
          <w:w w:val="90"/>
          <w:sz w:val="28"/>
          <w:szCs w:val="28"/>
        </w:rPr>
        <w:t>____</w:t>
      </w:r>
      <w:r>
        <w:rPr>
          <w:rFonts w:hint="eastAsia" w:ascii="仿宋" w:hAnsi="仿宋" w:eastAsia="仿宋" w:cs="Arial"/>
          <w:w w:val="90"/>
          <w:sz w:val="28"/>
          <w:szCs w:val="28"/>
        </w:rPr>
        <w:t>日</w:t>
      </w:r>
    </w:p>
    <w:p>
      <w:pPr>
        <w:adjustRightInd w:val="0"/>
        <w:snapToGrid w:val="0"/>
        <w:spacing w:line="320" w:lineRule="atLeast"/>
        <w:jc w:val="center"/>
        <w:rPr>
          <w:rFonts w:cs="仿宋_GB2312"/>
          <w:b/>
          <w:bCs/>
          <w:color w:val="000000"/>
          <w:sz w:val="32"/>
          <w:szCs w:val="32"/>
          <w:lang w:val="zh-CN"/>
        </w:rPr>
      </w:pPr>
    </w:p>
    <w:p>
      <w:pPr>
        <w:widowControl/>
        <w:spacing w:line="432" w:lineRule="auto"/>
        <w:outlineLvl w:val="1"/>
        <w:rPr>
          <w:b/>
          <w:color w:val="000000"/>
          <w:kern w:val="0"/>
          <w:szCs w:val="21"/>
        </w:rPr>
      </w:pPr>
    </w:p>
    <w:p>
      <w:pPr>
        <w:pStyle w:val="11"/>
        <w:rPr>
          <w:b/>
          <w:color w:val="000000"/>
          <w:kern w:val="0"/>
          <w:szCs w:val="21"/>
        </w:rPr>
      </w:pPr>
    </w:p>
    <w:p>
      <w:pPr>
        <w:pStyle w:val="26"/>
        <w:ind w:firstLine="442"/>
        <w:rPr>
          <w:b/>
          <w:color w:val="000000"/>
          <w:kern w:val="0"/>
          <w:szCs w:val="21"/>
        </w:rPr>
      </w:pPr>
    </w:p>
    <w:p>
      <w:pPr>
        <w:rPr>
          <w:b/>
          <w:color w:val="000000"/>
          <w:kern w:val="0"/>
          <w:szCs w:val="21"/>
        </w:rPr>
      </w:pPr>
    </w:p>
    <w:p>
      <w:pPr>
        <w:pStyle w:val="11"/>
        <w:rPr>
          <w:b/>
          <w:color w:val="000000"/>
          <w:kern w:val="0"/>
          <w:szCs w:val="21"/>
        </w:rPr>
      </w:pPr>
    </w:p>
    <w:p>
      <w:pPr>
        <w:pStyle w:val="26"/>
        <w:ind w:firstLine="442"/>
        <w:rPr>
          <w:b/>
          <w:color w:val="000000"/>
          <w:kern w:val="0"/>
          <w:szCs w:val="21"/>
        </w:rPr>
      </w:pPr>
    </w:p>
    <w:p>
      <w:pPr>
        <w:rPr>
          <w:b/>
          <w:color w:val="000000"/>
          <w:kern w:val="0"/>
          <w:szCs w:val="21"/>
        </w:rPr>
      </w:pPr>
    </w:p>
    <w:p>
      <w:pPr>
        <w:pStyle w:val="11"/>
        <w:rPr>
          <w:b/>
          <w:color w:val="000000"/>
          <w:kern w:val="0"/>
          <w:szCs w:val="21"/>
        </w:rPr>
      </w:pPr>
    </w:p>
    <w:p>
      <w:pPr>
        <w:pStyle w:val="26"/>
        <w:ind w:firstLine="440"/>
      </w:pPr>
    </w:p>
    <w:p>
      <w:pPr>
        <w:widowControl/>
        <w:spacing w:line="432" w:lineRule="auto"/>
        <w:outlineLvl w:val="1"/>
        <w:rPr>
          <w:b/>
          <w:color w:val="000000"/>
          <w:kern w:val="0"/>
          <w:sz w:val="28"/>
          <w:szCs w:val="24"/>
        </w:rPr>
      </w:pPr>
      <w:r>
        <w:rPr>
          <w:rFonts w:hint="eastAsia"/>
          <w:b/>
          <w:color w:val="000000"/>
          <w:kern w:val="0"/>
          <w:sz w:val="28"/>
          <w:szCs w:val="24"/>
        </w:rPr>
        <w:t>附件九</w:t>
      </w:r>
    </w:p>
    <w:p>
      <w:pPr>
        <w:widowControl/>
        <w:spacing w:line="432" w:lineRule="auto"/>
        <w:jc w:val="center"/>
        <w:rPr>
          <w:b/>
          <w:sz w:val="28"/>
        </w:rPr>
      </w:pPr>
      <w:r>
        <w:rPr>
          <w:rFonts w:hint="eastAsia"/>
          <w:b/>
          <w:sz w:val="28"/>
        </w:rPr>
        <w:t>联合体协议书(如磋商文件允许）</w:t>
      </w:r>
    </w:p>
    <w:p>
      <w:pPr>
        <w:spacing w:line="400" w:lineRule="exact"/>
        <w:ind w:left="756" w:hanging="756"/>
        <w:rPr>
          <w:rFonts w:cs="Arial"/>
        </w:rPr>
      </w:pPr>
      <w:r>
        <w:rPr>
          <w:rFonts w:hint="eastAsia" w:cs="Arial"/>
        </w:rPr>
        <w:t>致：</w:t>
      </w:r>
      <w:r>
        <w:rPr>
          <w:rFonts w:hint="eastAsia" w:cs="Arial"/>
          <w:u w:val="single"/>
        </w:rPr>
        <w:t xml:space="preserve"> （采购人） </w:t>
      </w:r>
    </w:p>
    <w:p>
      <w:pPr>
        <w:spacing w:line="400" w:lineRule="exact"/>
        <w:rPr>
          <w:rFonts w:cs="Arial"/>
        </w:rPr>
      </w:pPr>
      <w:r>
        <w:rPr>
          <w:rFonts w:hint="eastAsia" w:cs="Arial"/>
          <w:u w:val="single"/>
        </w:rPr>
        <w:t xml:space="preserve">（主办单位名称）                    ，（联合体单位名称）                     </w:t>
      </w:r>
      <w:r>
        <w:rPr>
          <w:rFonts w:hint="eastAsia" w:cs="Arial"/>
        </w:rPr>
        <w:t>自愿组成联合体，参加</w:t>
      </w:r>
      <w:r>
        <w:rPr>
          <w:rFonts w:hint="eastAsia" w:cs="Arial"/>
          <w:u w:val="single"/>
        </w:rPr>
        <w:t xml:space="preserve">             （项目名称）              </w:t>
      </w:r>
      <w:r>
        <w:rPr>
          <w:rFonts w:hint="eastAsia" w:cs="Arial"/>
        </w:rPr>
        <w:t>采购活动。现就有关事宜订立协议如下：</w:t>
      </w:r>
    </w:p>
    <w:p>
      <w:pPr>
        <w:spacing w:line="400" w:lineRule="exact"/>
        <w:ind w:left="756" w:hanging="756"/>
        <w:rPr>
          <w:rFonts w:cs="Arial"/>
        </w:rPr>
      </w:pPr>
      <w:r>
        <w:rPr>
          <w:rFonts w:hint="eastAsia" w:cs="Arial"/>
        </w:rPr>
        <w:t>1、</w:t>
      </w:r>
      <w:r>
        <w:rPr>
          <w:rFonts w:hint="eastAsia" w:cs="Arial"/>
          <w:u w:val="single"/>
        </w:rPr>
        <w:t xml:space="preserve">（单位名称）            </w:t>
      </w:r>
      <w:r>
        <w:rPr>
          <w:rFonts w:hint="eastAsia" w:cs="Arial"/>
        </w:rPr>
        <w:t>为联合体主办人，</w:t>
      </w:r>
      <w:r>
        <w:rPr>
          <w:rFonts w:hint="eastAsia" w:cs="Arial"/>
          <w:u w:val="single"/>
        </w:rPr>
        <w:t xml:space="preserve">（单位名称）          </w:t>
      </w:r>
      <w:r>
        <w:rPr>
          <w:rFonts w:hint="eastAsia" w:cs="Arial"/>
        </w:rPr>
        <w:t xml:space="preserve"> 为联合体成员；</w:t>
      </w:r>
    </w:p>
    <w:p>
      <w:pPr>
        <w:spacing w:line="400" w:lineRule="exact"/>
        <w:ind w:left="756" w:hanging="756"/>
        <w:rPr>
          <w:rFonts w:cs="Arial"/>
        </w:rPr>
      </w:pPr>
      <w:r>
        <w:rPr>
          <w:rFonts w:hint="eastAsia" w:cs="Arial"/>
        </w:rPr>
        <w:t>2、联合体内部有关事项规定如下：</w:t>
      </w:r>
    </w:p>
    <w:p>
      <w:pPr>
        <w:numPr>
          <w:ilvl w:val="0"/>
          <w:numId w:val="10"/>
        </w:numPr>
        <w:spacing w:line="400" w:lineRule="exact"/>
        <w:ind w:left="756" w:hanging="756"/>
        <w:rPr>
          <w:rFonts w:cs="Arial"/>
        </w:rPr>
      </w:pPr>
      <w:r>
        <w:rPr>
          <w:rFonts w:hint="eastAsia" w:cs="Arial"/>
        </w:rPr>
        <w:t>联合体由主办人负责与业主联系。</w:t>
      </w:r>
    </w:p>
    <w:p>
      <w:pPr>
        <w:numPr>
          <w:ilvl w:val="0"/>
          <w:numId w:val="10"/>
        </w:numPr>
        <w:spacing w:line="400" w:lineRule="exact"/>
        <w:ind w:left="16" w:hanging="16"/>
        <w:rPr>
          <w:rFonts w:cs="Arial"/>
        </w:rPr>
      </w:pPr>
      <w:r>
        <w:rPr>
          <w:rFonts w:hint="eastAsia" w:cs="Arial"/>
        </w:rPr>
        <w:t>磋商工作由联合体主办人负责，由双方组成的磋商响应小组具体实施；联合体主办人代表联合体办理磋商事宜，联合体主办人在磋商响应文件中的所有承诺均代表了联合体各成员。</w:t>
      </w:r>
    </w:p>
    <w:p>
      <w:pPr>
        <w:spacing w:line="400" w:lineRule="exact"/>
        <w:ind w:left="756" w:hanging="756"/>
        <w:rPr>
          <w:rFonts w:cs="Arial"/>
        </w:rPr>
      </w:pPr>
      <w:r>
        <w:rPr>
          <w:rFonts w:hint="eastAsia" w:cs="Arial"/>
        </w:rPr>
        <w:t>（3）联合体各成员单位内部的职责分工如下：</w:t>
      </w:r>
      <w:r>
        <w:rPr>
          <w:rFonts w:hint="eastAsia" w:cs="Arial"/>
          <w:u w:val="single"/>
        </w:rPr>
        <w:t xml:space="preserve">                                                </w:t>
      </w:r>
      <w:r>
        <w:rPr>
          <w:rFonts w:hint="eastAsia" w:cs="Arial"/>
        </w:rPr>
        <w:t xml:space="preserve">  </w:t>
      </w:r>
    </w:p>
    <w:p>
      <w:pPr>
        <w:spacing w:line="400" w:lineRule="exact"/>
        <w:ind w:left="16" w:hanging="16"/>
        <w:rPr>
          <w:rFonts w:cs="Arial"/>
        </w:rPr>
      </w:pPr>
      <w:r>
        <w:rPr>
          <w:rFonts w:hint="eastAsia" w:cs="Arial"/>
        </w:rPr>
        <w:t>（4）联合体主办单位协议合同金额占到联合体协议合同总金额</w:t>
      </w:r>
      <w:r>
        <w:rPr>
          <w:rFonts w:hint="eastAsia" w:cs="Arial"/>
          <w:u w:val="single"/>
        </w:rPr>
        <w:t xml:space="preserve">     </w:t>
      </w:r>
      <w:r>
        <w:rPr>
          <w:rFonts w:hint="eastAsia" w:cs="Arial"/>
        </w:rPr>
        <w:t>%，联合体成员协议合同金额占到联合体协议合同总金额</w:t>
      </w:r>
      <w:r>
        <w:rPr>
          <w:rFonts w:hint="eastAsia" w:cs="Arial"/>
          <w:u w:val="single"/>
        </w:rPr>
        <w:t xml:space="preserve">     </w:t>
      </w:r>
      <w:r>
        <w:rPr>
          <w:rFonts w:hint="eastAsia" w:cs="Arial"/>
        </w:rPr>
        <w:t>%。</w:t>
      </w:r>
    </w:p>
    <w:p>
      <w:pPr>
        <w:spacing w:line="400" w:lineRule="exact"/>
        <w:rPr>
          <w:rFonts w:cs="Arial"/>
        </w:rPr>
      </w:pPr>
      <w:r>
        <w:rPr>
          <w:rFonts w:hint="eastAsia" w:cs="Arial"/>
        </w:rPr>
        <w:t>（5）联合体将严格按照磋商文件的各项要求，递交磋商响应文件，切实执行一切合同文件，共同承担合同规定的一切义务和责任，同时按照内部职责的划分，承担自身所负的责任和风险，在法律上承担连带责任。</w:t>
      </w:r>
    </w:p>
    <w:p>
      <w:pPr>
        <w:numPr>
          <w:ilvl w:val="0"/>
          <w:numId w:val="11"/>
        </w:numPr>
        <w:spacing w:line="400" w:lineRule="exact"/>
        <w:rPr>
          <w:rFonts w:cs="Arial"/>
        </w:rPr>
      </w:pPr>
      <w:r>
        <w:rPr>
          <w:rFonts w:hint="eastAsia" w:cs="Arial"/>
          <w:b/>
          <w:bCs/>
          <w:u w:val="wave"/>
        </w:rPr>
        <w:t>磋商响应文件除联合体共同协议需联合体各方盖章外，其余磋商响应文件内容：商务部分内容、技术资信部分内容等可以只有联合体的主办人盖章，不需要联合体各方盖章。法定代表人证明或其授权委托人证明只需联合体的主办人提供。</w:t>
      </w:r>
    </w:p>
    <w:p>
      <w:pPr>
        <w:numPr>
          <w:ilvl w:val="0"/>
          <w:numId w:val="11"/>
        </w:numPr>
        <w:spacing w:line="400" w:lineRule="exact"/>
        <w:rPr>
          <w:rFonts w:cs="Arial"/>
        </w:rPr>
      </w:pPr>
      <w:r>
        <w:rPr>
          <w:rFonts w:hint="eastAsia" w:cs="Arial"/>
        </w:rPr>
        <w:t>（7）如成交，联合体内部将遵守以下规定：</w:t>
      </w:r>
    </w:p>
    <w:p>
      <w:pPr>
        <w:numPr>
          <w:ilvl w:val="0"/>
          <w:numId w:val="11"/>
        </w:numPr>
        <w:spacing w:line="400" w:lineRule="exact"/>
        <w:rPr>
          <w:rFonts w:cs="Arial"/>
        </w:rPr>
      </w:pPr>
      <w:r>
        <w:rPr>
          <w:rFonts w:hint="eastAsia" w:cs="Arial"/>
        </w:rPr>
        <w:t>a．联合体主办人和成员共同与业主签订合同书，就成交项目向业主负责有连带的和各自的法律责任；</w:t>
      </w:r>
    </w:p>
    <w:p>
      <w:pPr>
        <w:spacing w:line="400" w:lineRule="exact"/>
        <w:rPr>
          <w:rFonts w:cs="Arial"/>
        </w:rPr>
      </w:pPr>
      <w:r>
        <w:rPr>
          <w:rFonts w:hint="eastAsia" w:cs="Arial"/>
        </w:rPr>
        <w:t>b．联合体主办人代表联合体成员承担责任和接受业主的指令、指示和通知，并且在整个合同实施过程中的全部事宜（包括工程价款支付）均由联合体主办人负责；</w:t>
      </w:r>
    </w:p>
    <w:p>
      <w:pPr>
        <w:spacing w:line="400" w:lineRule="exact"/>
        <w:rPr>
          <w:rFonts w:cs="Arial"/>
        </w:rPr>
      </w:pPr>
      <w:r>
        <w:rPr>
          <w:rFonts w:hint="eastAsia" w:cs="Arial"/>
        </w:rPr>
        <w:t>（8）磋商工作和联合体在成交后工程实施过程中的有关费用按各自承担的工作量分摊。</w:t>
      </w:r>
    </w:p>
    <w:p>
      <w:pPr>
        <w:spacing w:line="400" w:lineRule="exact"/>
        <w:rPr>
          <w:rFonts w:cs="Arial"/>
        </w:rPr>
      </w:pPr>
      <w:r>
        <w:rPr>
          <w:rFonts w:hint="eastAsia" w:cs="Arial"/>
        </w:rPr>
        <w:t>3．本协议书自签署之日起生效，在上述（5）a所述的合同书规定的期限之后自行失效；如成交后，联合体内部另有协议的，联合体主办人应将该协议书送交业主。</w:t>
      </w:r>
    </w:p>
    <w:p>
      <w:pPr>
        <w:spacing w:line="400" w:lineRule="exact"/>
        <w:rPr>
          <w:rFonts w:cs="Arial"/>
        </w:rPr>
      </w:pPr>
    </w:p>
    <w:p>
      <w:pPr>
        <w:spacing w:line="400" w:lineRule="exact"/>
        <w:rPr>
          <w:rFonts w:cs="Arial"/>
        </w:rPr>
      </w:pPr>
      <w:r>
        <w:rPr>
          <w:rFonts w:hint="eastAsia" w:cs="Arial"/>
        </w:rPr>
        <w:t>主办单位名称：（全称）（盖章）              联合体单位名称：（全称）（盖章）</w:t>
      </w:r>
    </w:p>
    <w:p>
      <w:pPr>
        <w:spacing w:line="400" w:lineRule="exact"/>
        <w:ind w:left="756" w:hanging="756"/>
        <w:rPr>
          <w:rFonts w:cs="Arial"/>
        </w:rPr>
      </w:pPr>
      <w:r>
        <w:rPr>
          <w:rFonts w:hint="eastAsia" w:cs="Arial"/>
        </w:rPr>
        <w:t>法定代表人或授权委托人：（签字或盖章）      法定代表人或授权委托人：（签字或盖章）</w:t>
      </w:r>
    </w:p>
    <w:p>
      <w:pPr>
        <w:numPr>
          <w:ilvl w:val="1"/>
          <w:numId w:val="0"/>
        </w:numPr>
        <w:tabs>
          <w:tab w:val="left" w:pos="576"/>
        </w:tabs>
        <w:jc w:val="left"/>
        <w:rPr>
          <w:rFonts w:cs="Arial"/>
        </w:rPr>
      </w:pPr>
      <w:r>
        <w:rPr>
          <w:rFonts w:hint="eastAsia" w:cs="Arial"/>
        </w:rPr>
        <w:t>年    月    日                                  年   月    日</w:t>
      </w:r>
      <w:bookmarkStart w:id="55" w:name="_Toc200414534"/>
      <w:bookmarkStart w:id="56" w:name="_Toc32022"/>
      <w:bookmarkStart w:id="57" w:name="_Toc469160804"/>
    </w:p>
    <w:p>
      <w:pPr>
        <w:numPr>
          <w:ilvl w:val="1"/>
          <w:numId w:val="0"/>
        </w:numPr>
        <w:tabs>
          <w:tab w:val="left" w:pos="576"/>
        </w:tabs>
        <w:jc w:val="left"/>
        <w:rPr>
          <w:rFonts w:cs="Arial"/>
        </w:rPr>
      </w:pPr>
    </w:p>
    <w:p>
      <w:pPr>
        <w:spacing w:before="50" w:after="50"/>
        <w:ind w:firstLine="280" w:firstLineChars="100"/>
        <w:rPr>
          <w:b/>
          <w:szCs w:val="21"/>
        </w:rPr>
      </w:pPr>
      <w:r>
        <w:rPr>
          <w:rFonts w:hint="eastAsia"/>
          <w:color w:val="000000" w:themeColor="text1"/>
          <w:sz w:val="28"/>
          <w:szCs w:val="28"/>
          <w14:textFill>
            <w14:solidFill>
              <w14:schemeClr w14:val="tx1"/>
            </w14:solidFill>
          </w14:textFill>
        </w:rPr>
        <w:br w:type="page"/>
      </w:r>
      <w:bookmarkEnd w:id="55"/>
      <w:bookmarkEnd w:id="56"/>
      <w:bookmarkEnd w:id="57"/>
    </w:p>
    <w:p>
      <w:pPr>
        <w:adjustRightInd w:val="0"/>
        <w:snapToGrid w:val="0"/>
        <w:spacing w:line="320" w:lineRule="atLeast"/>
        <w:jc w:val="center"/>
        <w:outlineLvl w:val="0"/>
      </w:pPr>
      <w:r>
        <w:rPr>
          <w:rFonts w:hint="eastAsia" w:cs="仿宋_GB2312"/>
          <w:b/>
          <w:bCs/>
          <w:color w:val="000000"/>
          <w:sz w:val="32"/>
          <w:szCs w:val="32"/>
          <w:lang w:val="zh-CN"/>
        </w:rPr>
        <w:t>第五部分</w:t>
      </w:r>
      <w:r>
        <w:rPr>
          <w:rFonts w:hint="eastAsia" w:cs="仿宋_GB2312"/>
          <w:b/>
          <w:bCs/>
          <w:color w:val="000000"/>
          <w:sz w:val="32"/>
          <w:szCs w:val="32"/>
        </w:rPr>
        <w:t xml:space="preserve"> </w:t>
      </w:r>
      <w:bookmarkStart w:id="58" w:name="_Toc161563051"/>
      <w:r>
        <w:rPr>
          <w:rFonts w:hint="eastAsia" w:cs="仿宋_GB2312"/>
          <w:b/>
          <w:bCs/>
          <w:color w:val="000000"/>
          <w:sz w:val="32"/>
          <w:szCs w:val="32"/>
        </w:rPr>
        <w:t>评审办法</w:t>
      </w:r>
      <w:bookmarkEnd w:id="26"/>
      <w:bookmarkEnd w:id="58"/>
    </w:p>
    <w:p>
      <w:pPr>
        <w:snapToGrid w:val="0"/>
        <w:spacing w:line="460" w:lineRule="atLeast"/>
        <w:ind w:firstLine="540"/>
        <w:rPr>
          <w:bCs/>
        </w:rPr>
      </w:pPr>
      <w:bookmarkStart w:id="59" w:name="_Toc157410904"/>
      <w:r>
        <w:rPr>
          <w:rFonts w:hint="eastAsia"/>
          <w:bCs/>
        </w:rPr>
        <w:t>根据《中华人民共和国政府采购法》遵循公开、公平、公正、科学、择优原则和诚实、信誉、效率的服务原则。制定本办法。</w:t>
      </w:r>
    </w:p>
    <w:p>
      <w:pPr>
        <w:snapToGrid w:val="0"/>
        <w:spacing w:line="460" w:lineRule="atLeast"/>
        <w:rPr>
          <w:bCs/>
        </w:rPr>
      </w:pPr>
      <w:r>
        <w:rPr>
          <w:rFonts w:hint="eastAsia"/>
          <w:bCs/>
        </w:rPr>
        <w:t>一、评审组织</w:t>
      </w:r>
    </w:p>
    <w:p>
      <w:pPr>
        <w:snapToGrid w:val="0"/>
        <w:spacing w:line="460" w:lineRule="atLeast"/>
        <w:ind w:firstLine="540"/>
        <w:rPr>
          <w:bCs/>
        </w:rPr>
      </w:pPr>
      <w:r>
        <w:rPr>
          <w:rFonts w:hint="eastAsia"/>
          <w:bCs/>
        </w:rPr>
        <w:t>评审工作由采购人依法组建的磋商小组负责，磋商小组按有关规定组成。评审过程应严格保密，磋商小组及有关工作人员应严格遵守纪律，不得泄露任何评审信息。</w:t>
      </w:r>
    </w:p>
    <w:p>
      <w:pPr>
        <w:pStyle w:val="14"/>
        <w:adjustRightInd w:val="0"/>
        <w:snapToGrid w:val="0"/>
        <w:spacing w:line="460" w:lineRule="atLeast"/>
        <w:rPr>
          <w:rFonts w:hAnsi="宋体"/>
          <w:bCs/>
        </w:rPr>
      </w:pPr>
      <w:r>
        <w:rPr>
          <w:rFonts w:hint="eastAsia" w:hAnsi="宋体"/>
          <w:bCs/>
        </w:rPr>
        <w:t>二、磋商响应文件递交截止、磋商程序、磋商原则和方式</w:t>
      </w:r>
    </w:p>
    <w:p>
      <w:pPr>
        <w:pStyle w:val="14"/>
        <w:adjustRightInd w:val="0"/>
        <w:snapToGrid w:val="0"/>
        <w:spacing w:line="460" w:lineRule="atLeast"/>
        <w:ind w:firstLine="440" w:firstLineChars="200"/>
        <w:rPr>
          <w:rFonts w:hAnsi="宋体"/>
          <w:bCs/>
        </w:rPr>
      </w:pPr>
      <w:r>
        <w:rPr>
          <w:rFonts w:hint="eastAsia" w:hAnsi="宋体"/>
          <w:bCs/>
        </w:rPr>
        <w:t>1、磋商响应文件递交截止</w:t>
      </w:r>
    </w:p>
    <w:p>
      <w:pPr>
        <w:pStyle w:val="14"/>
        <w:adjustRightInd w:val="0"/>
        <w:snapToGrid w:val="0"/>
        <w:spacing w:line="460" w:lineRule="atLeast"/>
        <w:ind w:firstLine="440" w:firstLineChars="200"/>
        <w:rPr>
          <w:rFonts w:hAnsi="宋体"/>
          <w:bCs/>
        </w:rPr>
      </w:pPr>
      <w:r>
        <w:rPr>
          <w:rFonts w:hint="eastAsia" w:hAnsi="宋体"/>
          <w:bCs/>
        </w:rPr>
        <w:t>1.1 采购人按磋商文件规定的时间、线上开启磋商响应文件。</w:t>
      </w:r>
    </w:p>
    <w:p>
      <w:pPr>
        <w:pStyle w:val="14"/>
        <w:adjustRightInd w:val="0"/>
        <w:snapToGrid w:val="0"/>
        <w:spacing w:line="460" w:lineRule="atLeast"/>
        <w:ind w:firstLine="450"/>
        <w:rPr>
          <w:rFonts w:hAnsi="宋体"/>
          <w:bCs/>
        </w:rPr>
      </w:pPr>
      <w:r>
        <w:rPr>
          <w:rFonts w:hint="eastAsia" w:hAnsi="宋体"/>
          <w:bCs/>
        </w:rPr>
        <w:t>1.2 供应商法定代表人或授权代表必须准时线上参加会议。</w:t>
      </w:r>
    </w:p>
    <w:p>
      <w:pPr>
        <w:pStyle w:val="14"/>
        <w:adjustRightInd w:val="0"/>
        <w:snapToGrid w:val="0"/>
        <w:spacing w:line="460" w:lineRule="atLeast"/>
        <w:ind w:firstLine="450"/>
        <w:rPr>
          <w:rFonts w:hAnsi="宋体"/>
          <w:bCs/>
        </w:rPr>
      </w:pPr>
      <w:r>
        <w:rPr>
          <w:rFonts w:hint="eastAsia" w:hAnsi="宋体"/>
          <w:bCs/>
        </w:rPr>
        <w:t>2、本次采购是根据竞争性磋商采购方式政采云电子交易系统进行。</w:t>
      </w:r>
    </w:p>
    <w:p>
      <w:pPr>
        <w:pStyle w:val="14"/>
        <w:adjustRightInd w:val="0"/>
        <w:snapToGrid w:val="0"/>
        <w:spacing w:line="460" w:lineRule="atLeast"/>
        <w:ind w:firstLine="440" w:firstLineChars="200"/>
        <w:rPr>
          <w:rFonts w:hAnsi="宋体"/>
          <w:bCs/>
        </w:rPr>
      </w:pPr>
      <w:r>
        <w:rPr>
          <w:rFonts w:hint="eastAsia" w:hAnsi="宋体"/>
          <w:bCs/>
        </w:rPr>
        <w:t>2.1 在磋商小组范围内对供应商进行资格性、符合性审查</w:t>
      </w:r>
      <w:r>
        <w:rPr>
          <w:rFonts w:hint="eastAsia" w:hAnsi="宋体"/>
          <w:b/>
        </w:rPr>
        <w:t>。</w:t>
      </w:r>
    </w:p>
    <w:p>
      <w:pPr>
        <w:pStyle w:val="14"/>
        <w:adjustRightInd w:val="0"/>
        <w:snapToGrid w:val="0"/>
        <w:spacing w:line="460" w:lineRule="atLeast"/>
        <w:ind w:firstLine="450"/>
        <w:rPr>
          <w:rFonts w:hAnsi="宋体"/>
          <w:bCs/>
        </w:rPr>
      </w:pPr>
      <w:r>
        <w:rPr>
          <w:rFonts w:hint="eastAsia" w:hAnsi="宋体"/>
          <w:bCs/>
        </w:rPr>
        <w:t>2.2 如磋商小组认为磋商文件能够详细列明采购标的的技术、服务要求的，评审结束后，磋商小组可以直接要求所有实质性响应的供应商在规定时间内提交二次最后报价。</w:t>
      </w:r>
    </w:p>
    <w:p>
      <w:pPr>
        <w:pStyle w:val="14"/>
        <w:adjustRightInd w:val="0"/>
        <w:snapToGrid w:val="0"/>
        <w:spacing w:line="460" w:lineRule="atLeast"/>
        <w:ind w:firstLine="450"/>
        <w:rPr>
          <w:rFonts w:hAnsi="宋体"/>
          <w:bCs/>
        </w:rPr>
      </w:pPr>
      <w:r>
        <w:rPr>
          <w:rFonts w:hint="eastAsia" w:hAnsi="宋体"/>
          <w:bCs/>
        </w:rPr>
        <w:t>2.3 如磋商小组认为需要修改竞争性磋商文件的，在磋商过程中，磋商小组可以根据磋商文件和磋商情况实质性变动采购需求中的技术、服务要求以及合同草案条款，但不得变动磋商文件中的其他内容。实质性变动的内容，须经采购人代表确认。</w:t>
      </w:r>
    </w:p>
    <w:p>
      <w:pPr>
        <w:pStyle w:val="14"/>
        <w:adjustRightInd w:val="0"/>
        <w:snapToGrid w:val="0"/>
        <w:spacing w:line="460" w:lineRule="atLeast"/>
        <w:ind w:firstLine="450"/>
        <w:rPr>
          <w:rFonts w:hAnsi="宋体"/>
          <w:bCs/>
        </w:rPr>
      </w:pPr>
      <w:r>
        <w:rPr>
          <w:rFonts w:hint="eastAsia" w:hAnsi="宋体"/>
          <w:bCs/>
        </w:rPr>
        <w:t>对磋商文件作出的实质性变动是磋商文件的有效组成部分，磋商小组应当及时以线上询标形式同时通知所有参加磋商的供应商。</w:t>
      </w:r>
    </w:p>
    <w:p>
      <w:pPr>
        <w:pStyle w:val="14"/>
        <w:adjustRightInd w:val="0"/>
        <w:snapToGrid w:val="0"/>
        <w:spacing w:line="460" w:lineRule="atLeast"/>
        <w:ind w:firstLine="220" w:firstLineChars="100"/>
        <w:rPr>
          <w:rFonts w:hAnsi="宋体"/>
          <w:bCs/>
        </w:rPr>
      </w:pPr>
      <w:r>
        <w:rPr>
          <w:rFonts w:hint="eastAsia" w:hAnsi="宋体"/>
          <w:bCs/>
        </w:rPr>
        <w:t>　供应商应当按照磋商文件的变动情况和磋商小组的要求重新提交响应文件。</w:t>
      </w:r>
    </w:p>
    <w:p>
      <w:pPr>
        <w:pStyle w:val="14"/>
        <w:adjustRightInd w:val="0"/>
        <w:snapToGrid w:val="0"/>
        <w:spacing w:line="460" w:lineRule="atLeast"/>
        <w:ind w:firstLine="440" w:firstLineChars="200"/>
        <w:rPr>
          <w:rFonts w:hAnsi="宋体"/>
          <w:bCs/>
        </w:rPr>
      </w:pPr>
      <w:r>
        <w:rPr>
          <w:rFonts w:hint="eastAsia" w:hAnsi="宋体"/>
          <w:bCs/>
        </w:rPr>
        <w:t>2.4 开展磋商，磋商小组所有成员集中与单一供应商分别进行磋商或按2.2进行。</w:t>
      </w:r>
    </w:p>
    <w:p>
      <w:pPr>
        <w:pStyle w:val="14"/>
        <w:adjustRightInd w:val="0"/>
        <w:snapToGrid w:val="0"/>
        <w:spacing w:line="460" w:lineRule="atLeast"/>
        <w:ind w:firstLine="440" w:firstLineChars="200"/>
        <w:rPr>
          <w:rFonts w:hAnsi="宋体"/>
          <w:bCs/>
        </w:rPr>
      </w:pPr>
      <w:r>
        <w:rPr>
          <w:rFonts w:hint="eastAsia" w:hAnsi="宋体"/>
          <w:bCs/>
        </w:rPr>
        <w:t>2.5 磋商小组在磋商结束后，要求所有参加磋商的有效供应商在规定时间内提出二次最后报价(响应文件中第一次报价不公开）。</w:t>
      </w:r>
    </w:p>
    <w:p>
      <w:pPr>
        <w:pStyle w:val="14"/>
        <w:adjustRightInd w:val="0"/>
        <w:snapToGrid w:val="0"/>
        <w:spacing w:line="460" w:lineRule="atLeast"/>
        <w:ind w:firstLine="440" w:firstLineChars="200"/>
        <w:rPr>
          <w:rFonts w:hAnsi="宋体"/>
          <w:bCs/>
        </w:rPr>
      </w:pPr>
      <w:r>
        <w:rPr>
          <w:rFonts w:hint="eastAsia" w:hAnsi="宋体"/>
          <w:bCs/>
        </w:rPr>
        <w:t>（注：未提交二次最后报价或超过规定时间提交的二次最后报价均无效，最终二次报价就以响应文件中第一次报价为准。）</w:t>
      </w:r>
    </w:p>
    <w:p>
      <w:pPr>
        <w:pStyle w:val="14"/>
        <w:adjustRightInd w:val="0"/>
        <w:snapToGrid w:val="0"/>
        <w:spacing w:line="460" w:lineRule="atLeast"/>
        <w:ind w:firstLine="440" w:firstLineChars="200"/>
        <w:rPr>
          <w:rFonts w:hAnsi="宋体"/>
          <w:bCs/>
        </w:rPr>
      </w:pPr>
      <w:r>
        <w:rPr>
          <w:rFonts w:hint="eastAsia" w:hAnsi="宋体"/>
          <w:bCs/>
        </w:rPr>
        <w:t>3评审原则和方法</w:t>
      </w:r>
    </w:p>
    <w:p>
      <w:pPr>
        <w:pStyle w:val="14"/>
        <w:adjustRightInd w:val="0"/>
        <w:snapToGrid w:val="0"/>
        <w:spacing w:line="460" w:lineRule="atLeast"/>
        <w:ind w:firstLine="440" w:firstLineChars="200"/>
        <w:rPr>
          <w:rFonts w:hAnsi="宋体"/>
          <w:bCs/>
        </w:rPr>
      </w:pPr>
      <w:r>
        <w:rPr>
          <w:rFonts w:hint="eastAsia" w:hAnsi="宋体"/>
          <w:bCs/>
        </w:rPr>
        <w:t>3.1 磋商小组负责审查磋商响应文件是否符合磋商文件的要求，并作出评价。磋商小组认为必要时，可向供应商进行询标。磋商小组有权决定全部或部分供应商磋商响应文件无效。</w:t>
      </w:r>
    </w:p>
    <w:p>
      <w:pPr>
        <w:pStyle w:val="14"/>
        <w:adjustRightInd w:val="0"/>
        <w:snapToGrid w:val="0"/>
        <w:spacing w:line="460" w:lineRule="atLeast"/>
        <w:ind w:firstLine="440" w:firstLineChars="200"/>
        <w:rPr>
          <w:rFonts w:hAnsi="宋体"/>
          <w:bCs/>
        </w:rPr>
      </w:pPr>
      <w:r>
        <w:rPr>
          <w:rFonts w:hint="eastAsia" w:hAnsi="宋体"/>
          <w:bCs/>
        </w:rPr>
        <w:t>3.2 磋商小组将综合分析合格供应商的各项指标，而不是以单项指标的优劣评选出成交的供应商。</w:t>
      </w:r>
    </w:p>
    <w:p>
      <w:pPr>
        <w:pStyle w:val="22"/>
        <w:adjustRightInd w:val="0"/>
        <w:snapToGrid w:val="0"/>
        <w:spacing w:line="460" w:lineRule="atLeast"/>
        <w:ind w:firstLine="440"/>
        <w:rPr>
          <w:rFonts w:eastAsia="宋体"/>
          <w:bCs/>
          <w:color w:val="auto"/>
          <w:sz w:val="22"/>
        </w:rPr>
      </w:pPr>
      <w:r>
        <w:rPr>
          <w:rFonts w:hint="eastAsia" w:eastAsia="宋体"/>
          <w:bCs/>
          <w:color w:val="auto"/>
          <w:sz w:val="22"/>
        </w:rPr>
        <w:t>三、确定供应商办法</w:t>
      </w:r>
    </w:p>
    <w:p>
      <w:pPr>
        <w:pStyle w:val="14"/>
        <w:adjustRightInd w:val="0"/>
        <w:snapToGrid w:val="0"/>
        <w:spacing w:line="460" w:lineRule="atLeast"/>
        <w:ind w:firstLine="440" w:firstLineChars="200"/>
        <w:rPr>
          <w:bCs/>
        </w:rPr>
      </w:pPr>
      <w:r>
        <w:rPr>
          <w:rFonts w:hint="eastAsia"/>
          <w:bCs/>
        </w:rPr>
        <w:t>本次评审采用竞争性磋商的评审方法，即综合评分法。</w:t>
      </w:r>
      <w:r>
        <w:rPr>
          <w:rFonts w:hint="eastAsia" w:hAnsi="宋体"/>
          <w:bCs/>
        </w:rPr>
        <w:t>经磋商确定最终采购需求和提交最后报价的供应商后，由磋商小组采用综合评分法对提交最后报价的供应商的响应文件和最后报价进行综合评分。并</w:t>
      </w:r>
      <w:r>
        <w:rPr>
          <w:rFonts w:hint="eastAsia"/>
          <w:bCs/>
        </w:rPr>
        <w:t xml:space="preserve">以综合得分最高的供应商作为成交候选人向采购人推荐，采购人授权磋商小组根据评审报告直接确定成交供应商。 </w:t>
      </w:r>
    </w:p>
    <w:p>
      <w:pPr>
        <w:autoSpaceDE w:val="0"/>
        <w:autoSpaceDN w:val="0"/>
        <w:snapToGrid w:val="0"/>
        <w:jc w:val="center"/>
        <w:textAlignment w:val="bottom"/>
        <w:outlineLvl w:val="1"/>
        <w:rPr>
          <w:bCs/>
          <w:sz w:val="28"/>
          <w:szCs w:val="28"/>
        </w:rPr>
      </w:pPr>
      <w:r>
        <w:rPr>
          <w:rFonts w:hint="eastAsia"/>
          <w:b/>
          <w:sz w:val="32"/>
          <w:szCs w:val="32"/>
        </w:rPr>
        <w:t>评审细则</w:t>
      </w:r>
    </w:p>
    <w:bookmarkEnd w:id="59"/>
    <w:p>
      <w:pPr>
        <w:adjustRightInd w:val="0"/>
        <w:ind w:firstLine="420"/>
        <w:outlineLvl w:val="2"/>
        <w:rPr>
          <w:b/>
        </w:rPr>
      </w:pPr>
      <w:r>
        <w:rPr>
          <w:rFonts w:hint="eastAsia"/>
          <w:b/>
          <w:sz w:val="24"/>
        </w:rPr>
        <w:t>一</w:t>
      </w:r>
      <w:r>
        <w:rPr>
          <w:rFonts w:hint="eastAsia"/>
          <w:b/>
        </w:rPr>
        <w:t>、商务报价评分10分</w:t>
      </w:r>
    </w:p>
    <w:p>
      <w:pPr>
        <w:rPr>
          <w:b/>
          <w:u w:val="single"/>
        </w:rPr>
      </w:pPr>
      <w:r>
        <w:rPr>
          <w:rFonts w:hint="eastAsia"/>
          <w:b/>
        </w:rPr>
        <w:t xml:space="preserve">    1、以供应商最后有效磋商报价中的最低价为磋商基准价，得满分10分。商务报价评分结算公式为:磋商报价得分</w:t>
      </w:r>
      <w:r>
        <w:rPr>
          <w:rFonts w:hint="eastAsia"/>
          <w:b/>
          <w:u w:val="single"/>
        </w:rPr>
        <w:t>=(磋商基准价／最后磋商报价)×10%×100。</w:t>
      </w:r>
    </w:p>
    <w:p>
      <w:pPr>
        <w:adjustRightInd w:val="0"/>
        <w:snapToGrid w:val="0"/>
        <w:spacing w:before="100" w:after="50"/>
        <w:ind w:firstLine="420"/>
        <w:rPr>
          <w:u w:val="single"/>
        </w:rPr>
      </w:pPr>
      <w:r>
        <w:rPr>
          <w:rFonts w:hint="eastAsia"/>
          <w:u w:val="single"/>
        </w:rPr>
        <w:t>2、</w:t>
      </w:r>
      <w:r>
        <w:rPr>
          <w:u w:val="single"/>
        </w:rPr>
        <w:t>为防止恶意</w:t>
      </w:r>
      <w:r>
        <w:rPr>
          <w:rFonts w:hint="eastAsia"/>
          <w:u w:val="single"/>
        </w:rPr>
        <w:t>参加</w:t>
      </w:r>
      <w:r>
        <w:rPr>
          <w:u w:val="single"/>
        </w:rPr>
        <w:t>的行为，</w:t>
      </w:r>
      <w:r>
        <w:rPr>
          <w:rFonts w:hint="eastAsia"/>
          <w:u w:val="single"/>
        </w:rPr>
        <w:t>磋商小组</w:t>
      </w:r>
      <w:r>
        <w:rPr>
          <w:u w:val="single"/>
        </w:rPr>
        <w:t>认为供应商的报价明显低于其他通过符合性审查的供应商的报价，有可能影响产品质量或者不能诚信履约的，将要求供应商在评审现场合理的时间内提供书面说明，必要时提交相关证明材料；供应商不能证明其报价合理性的，</w:t>
      </w:r>
      <w:r>
        <w:rPr>
          <w:rFonts w:hint="eastAsia"/>
          <w:u w:val="single"/>
        </w:rPr>
        <w:t>磋商小组</w:t>
      </w:r>
      <w:r>
        <w:rPr>
          <w:u w:val="single"/>
        </w:rPr>
        <w:t>将认定为</w:t>
      </w:r>
      <w:r>
        <w:rPr>
          <w:rFonts w:hint="eastAsia"/>
          <w:u w:val="single"/>
        </w:rPr>
        <w:t>无效磋商响应</w:t>
      </w:r>
      <w:r>
        <w:rPr>
          <w:u w:val="single"/>
        </w:rPr>
        <w:t>。</w:t>
      </w:r>
    </w:p>
    <w:p>
      <w:pPr>
        <w:numPr>
          <w:ilvl w:val="0"/>
          <w:numId w:val="0"/>
        </w:numPr>
        <w:bidi w:val="0"/>
        <w:ind w:leftChars="0" w:firstLine="442" w:firstLineChars="200"/>
        <w:outlineLvl w:val="2"/>
      </w:pPr>
      <w:r>
        <w:rPr>
          <w:rFonts w:hint="eastAsia"/>
          <w:b/>
          <w:bCs/>
          <w:sz w:val="22"/>
          <w:lang w:val="en-US" w:eastAsia="zh-CN"/>
        </w:rPr>
        <w:t>3</w:t>
      </w:r>
      <w:r>
        <w:rPr>
          <w:rFonts w:hint="eastAsia" w:ascii="宋体"/>
          <w:b/>
          <w:bCs/>
          <w:sz w:val="22"/>
          <w:lang w:eastAsia="zh-CN"/>
        </w:rPr>
        <w:t>、</w:t>
      </w:r>
      <w:r>
        <w:rPr>
          <w:rFonts w:hint="eastAsia"/>
          <w:b/>
          <w:bCs/>
          <w:sz w:val="22"/>
          <w:lang w:eastAsia="zh-CN"/>
        </w:rPr>
        <w:t>本项目</w:t>
      </w:r>
      <w:r>
        <w:rPr>
          <w:rFonts w:hint="eastAsia" w:ascii="宋体"/>
          <w:b/>
          <w:bCs/>
          <w:sz w:val="22"/>
        </w:rPr>
        <w:t>专门面向中小企业采购的项目，不再执行价格评审优惠的扶持政策</w:t>
      </w:r>
      <w:r>
        <w:rPr>
          <w:rFonts w:hint="eastAsia"/>
          <w:b/>
          <w:bCs/>
          <w:sz w:val="22"/>
          <w:lang w:eastAsia="zh-CN"/>
        </w:rPr>
        <w:t>。</w:t>
      </w:r>
    </w:p>
    <w:p>
      <w:pPr>
        <w:outlineLvl w:val="2"/>
        <w:rPr>
          <w:b/>
          <w:bCs/>
        </w:rPr>
      </w:pPr>
      <w:r>
        <w:rPr>
          <w:rFonts w:hint="eastAsia"/>
          <w:b/>
          <w:sz w:val="24"/>
        </w:rPr>
        <w:t>二、技术资信综合评分90分</w:t>
      </w:r>
    </w:p>
    <w:tbl>
      <w:tblPr>
        <w:tblStyle w:val="29"/>
        <w:tblW w:w="52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1326"/>
        <w:gridCol w:w="7487"/>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325" w:type="pct"/>
            <w:vAlign w:val="center"/>
          </w:tcPr>
          <w:p>
            <w:pPr>
              <w:pStyle w:val="11"/>
              <w:spacing w:after="0" w:line="360" w:lineRule="exact"/>
              <w:jc w:val="center"/>
              <w:rPr>
                <w:b/>
                <w:bCs/>
              </w:rPr>
            </w:pPr>
            <w:r>
              <w:rPr>
                <w:rFonts w:hint="eastAsia"/>
                <w:b/>
                <w:bCs/>
              </w:rPr>
              <w:t>序号</w:t>
            </w:r>
          </w:p>
        </w:tc>
        <w:tc>
          <w:tcPr>
            <w:tcW w:w="641" w:type="pct"/>
            <w:vAlign w:val="center"/>
          </w:tcPr>
          <w:p>
            <w:pPr>
              <w:pStyle w:val="11"/>
              <w:spacing w:after="0" w:line="360" w:lineRule="exact"/>
              <w:jc w:val="center"/>
              <w:rPr>
                <w:b/>
                <w:bCs/>
              </w:rPr>
            </w:pPr>
            <w:r>
              <w:rPr>
                <w:rFonts w:hint="eastAsia"/>
                <w:b/>
                <w:bCs/>
              </w:rPr>
              <w:t>评分内容</w:t>
            </w:r>
          </w:p>
        </w:tc>
        <w:tc>
          <w:tcPr>
            <w:tcW w:w="3620" w:type="pct"/>
            <w:vAlign w:val="center"/>
          </w:tcPr>
          <w:p>
            <w:pPr>
              <w:pStyle w:val="11"/>
              <w:spacing w:after="0" w:line="360" w:lineRule="exact"/>
              <w:jc w:val="center"/>
              <w:rPr>
                <w:b/>
                <w:bCs/>
              </w:rPr>
            </w:pPr>
            <w:r>
              <w:rPr>
                <w:rFonts w:hint="eastAsia"/>
                <w:b/>
                <w:bCs/>
              </w:rPr>
              <w:t>评分标准</w:t>
            </w:r>
          </w:p>
        </w:tc>
        <w:tc>
          <w:tcPr>
            <w:tcW w:w="412" w:type="pct"/>
            <w:vAlign w:val="center"/>
          </w:tcPr>
          <w:p>
            <w:pPr>
              <w:pStyle w:val="11"/>
              <w:spacing w:after="0" w:line="360" w:lineRule="exact"/>
              <w:jc w:val="center"/>
              <w:rPr>
                <w:b/>
                <w:bCs/>
              </w:rPr>
            </w:pPr>
            <w:r>
              <w:rPr>
                <w:rFonts w:hint="eastAsia"/>
                <w:b/>
                <w:bCs/>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325" w:type="pct"/>
            <w:vAlign w:val="center"/>
          </w:tcPr>
          <w:p>
            <w:pPr>
              <w:pStyle w:val="11"/>
              <w:spacing w:after="0" w:line="360" w:lineRule="exact"/>
              <w:jc w:val="center"/>
            </w:pPr>
            <w:r>
              <w:rPr>
                <w:rFonts w:hint="eastAsia"/>
              </w:rPr>
              <w:t>1</w:t>
            </w:r>
          </w:p>
        </w:tc>
        <w:tc>
          <w:tcPr>
            <w:tcW w:w="641" w:type="pct"/>
            <w:vAlign w:val="center"/>
          </w:tcPr>
          <w:p>
            <w:pPr>
              <w:pStyle w:val="11"/>
              <w:spacing w:after="0" w:line="360" w:lineRule="exact"/>
              <w:jc w:val="center"/>
            </w:pPr>
            <w:r>
              <w:rPr>
                <w:rFonts w:hint="eastAsia"/>
              </w:rPr>
              <w:t>供应商综合情况</w:t>
            </w:r>
          </w:p>
        </w:tc>
        <w:tc>
          <w:tcPr>
            <w:tcW w:w="3620" w:type="pct"/>
            <w:vAlign w:val="center"/>
          </w:tcPr>
          <w:p>
            <w:pPr>
              <w:spacing w:line="360" w:lineRule="exact"/>
            </w:pPr>
            <w:r>
              <w:rPr>
                <w:rFonts w:hint="eastAsia"/>
              </w:rPr>
              <w:t>拥有ISO9001质量管理体系认证证书、ISO14001环境管理认证、ISO/IEC27001信息安全管理体系认证证书，每个证书得2分，最高得6分，不提供不得分。</w:t>
            </w:r>
          </w:p>
          <w:p>
            <w:pPr>
              <w:spacing w:line="360" w:lineRule="exact"/>
            </w:pPr>
            <w:r>
              <w:rPr>
                <w:rFonts w:hint="eastAsia"/>
              </w:rPr>
              <w:t>注：以上证书需提供复印件加盖公章且在有效期内，没有提供不得分。</w:t>
            </w:r>
          </w:p>
        </w:tc>
        <w:tc>
          <w:tcPr>
            <w:tcW w:w="412" w:type="pct"/>
            <w:vAlign w:val="center"/>
          </w:tcPr>
          <w:p>
            <w:pPr>
              <w:pStyle w:val="11"/>
              <w:spacing w:after="0" w:line="360" w:lineRule="exact"/>
              <w:jc w:val="center"/>
            </w:pPr>
            <w:r>
              <w:rPr>
                <w:rFonts w:hint="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trPr>
        <w:tc>
          <w:tcPr>
            <w:tcW w:w="325" w:type="pct"/>
            <w:vAlign w:val="center"/>
          </w:tcPr>
          <w:p>
            <w:pPr>
              <w:pStyle w:val="11"/>
              <w:spacing w:after="0" w:line="360" w:lineRule="exact"/>
              <w:jc w:val="center"/>
            </w:pPr>
            <w:r>
              <w:rPr>
                <w:rFonts w:hint="eastAsia"/>
              </w:rPr>
              <w:t>2</w:t>
            </w:r>
          </w:p>
        </w:tc>
        <w:tc>
          <w:tcPr>
            <w:tcW w:w="641" w:type="pct"/>
            <w:vAlign w:val="center"/>
          </w:tcPr>
          <w:p>
            <w:pPr>
              <w:pStyle w:val="11"/>
              <w:spacing w:after="0" w:line="360" w:lineRule="exact"/>
              <w:jc w:val="center"/>
            </w:pPr>
            <w:r>
              <w:rPr>
                <w:rFonts w:hint="eastAsia"/>
              </w:rPr>
              <w:t>同类项目业绩</w:t>
            </w:r>
          </w:p>
        </w:tc>
        <w:tc>
          <w:tcPr>
            <w:tcW w:w="3620" w:type="pct"/>
            <w:vAlign w:val="center"/>
          </w:tcPr>
          <w:p>
            <w:pPr>
              <w:pStyle w:val="11"/>
              <w:spacing w:after="0" w:line="360" w:lineRule="exact"/>
            </w:pPr>
            <w:r>
              <w:rPr>
                <w:rFonts w:hint="eastAsia"/>
              </w:rPr>
              <w:t>磋商供应商提供一个自201</w:t>
            </w:r>
            <w:r>
              <w:rPr>
                <w:rFonts w:hint="eastAsia"/>
                <w:lang w:val="en-US" w:eastAsia="zh-CN"/>
              </w:rPr>
              <w:t>8</w:t>
            </w:r>
            <w:r>
              <w:rPr>
                <w:rFonts w:hint="eastAsia"/>
              </w:rPr>
              <w:t>年1月1日以来（以签订时间为准）的承担的同类服务项目案例得1分，没有不得分。</w:t>
            </w:r>
          </w:p>
          <w:p>
            <w:pPr>
              <w:pStyle w:val="11"/>
              <w:spacing w:after="0" w:line="360" w:lineRule="exact"/>
            </w:pPr>
            <w:r>
              <w:rPr>
                <w:rFonts w:hint="eastAsia"/>
              </w:rPr>
              <w:t>注：业绩证明以项目合同</w:t>
            </w:r>
            <w:r>
              <w:rPr>
                <w:rFonts w:hint="eastAsia"/>
                <w:kern w:val="0"/>
              </w:rPr>
              <w:t>为</w:t>
            </w:r>
            <w:r>
              <w:rPr>
                <w:rFonts w:hint="eastAsia"/>
              </w:rPr>
              <w:t>评审依据</w:t>
            </w:r>
            <w:r>
              <w:rPr>
                <w:rFonts w:hint="eastAsia"/>
                <w:kern w:val="0"/>
              </w:rPr>
              <w:t>，</w:t>
            </w:r>
            <w:r>
              <w:rPr>
                <w:rFonts w:hint="eastAsia"/>
              </w:rPr>
              <w:t>提供合同文件复印件/扫描件，未提供不得分</w:t>
            </w:r>
            <w:r>
              <w:rPr>
                <w:rFonts w:hint="eastAsia"/>
                <w:kern w:val="0"/>
              </w:rPr>
              <w:t>。以分支机构名义参加投标的只能提供分支机构的业绩，否则不得分。</w:t>
            </w:r>
          </w:p>
        </w:tc>
        <w:tc>
          <w:tcPr>
            <w:tcW w:w="412" w:type="pct"/>
            <w:vAlign w:val="center"/>
          </w:tcPr>
          <w:p>
            <w:pPr>
              <w:pStyle w:val="11"/>
              <w:spacing w:after="0" w:line="360" w:lineRule="exact"/>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trPr>
        <w:tc>
          <w:tcPr>
            <w:tcW w:w="325" w:type="pct"/>
            <w:vAlign w:val="center"/>
          </w:tcPr>
          <w:p>
            <w:pPr>
              <w:pStyle w:val="11"/>
              <w:spacing w:after="0" w:line="360" w:lineRule="exact"/>
              <w:jc w:val="center"/>
            </w:pPr>
            <w:r>
              <w:rPr>
                <w:rFonts w:hint="eastAsia"/>
              </w:rPr>
              <w:t>3</w:t>
            </w:r>
          </w:p>
        </w:tc>
        <w:tc>
          <w:tcPr>
            <w:tcW w:w="641" w:type="pct"/>
            <w:vAlign w:val="center"/>
          </w:tcPr>
          <w:p>
            <w:pPr>
              <w:pStyle w:val="11"/>
              <w:spacing w:after="0" w:line="360" w:lineRule="exact"/>
              <w:jc w:val="center"/>
            </w:pPr>
            <w:r>
              <w:rPr>
                <w:rFonts w:hint="eastAsia"/>
                <w:kern w:val="0"/>
              </w:rPr>
              <w:t>问题分析及服务重点</w:t>
            </w:r>
          </w:p>
        </w:tc>
        <w:tc>
          <w:tcPr>
            <w:tcW w:w="3620" w:type="pct"/>
            <w:vAlign w:val="center"/>
          </w:tcPr>
          <w:p>
            <w:pPr>
              <w:widowControl/>
              <w:spacing w:line="360" w:lineRule="exact"/>
              <w:jc w:val="left"/>
              <w:rPr>
                <w:b w:val="0"/>
                <w:bCs w:val="0"/>
              </w:rPr>
            </w:pPr>
            <w:r>
              <w:rPr>
                <w:rFonts w:hint="eastAsia"/>
              </w:rPr>
              <w:t>借鉴当前国内其他城市先进经验，结合本项目当前现状及存在的问题与不足，阐述本项目的服务重点，包括服务理念、监督自查、项目财务安全保障、沟通反馈和偏差管理。</w:t>
            </w:r>
          </w:p>
          <w:p>
            <w:pPr>
              <w:pStyle w:val="11"/>
              <w:spacing w:after="0" w:line="360" w:lineRule="exact"/>
            </w:pPr>
            <w:r>
              <w:rPr>
                <w:rFonts w:hint="eastAsia"/>
                <w:b w:val="0"/>
                <w:bCs w:val="0"/>
                <w:color w:val="000000"/>
              </w:rPr>
              <w:t>对</w:t>
            </w:r>
            <w:r>
              <w:rPr>
                <w:rFonts w:hint="eastAsia"/>
                <w:b w:val="0"/>
                <w:bCs w:val="0"/>
                <w:kern w:val="0"/>
              </w:rPr>
              <w:t>存在的问题和不足</w:t>
            </w:r>
            <w:r>
              <w:rPr>
                <w:rFonts w:hint="eastAsia"/>
                <w:b w:val="0"/>
                <w:bCs w:val="0"/>
                <w:color w:val="000000"/>
              </w:rPr>
              <w:t>分析</w:t>
            </w:r>
            <w:r>
              <w:rPr>
                <w:rStyle w:val="61"/>
                <w:rFonts w:hint="eastAsia" w:ascii="宋体" w:hAnsi="宋体" w:cs="宋体"/>
                <w:b w:val="0"/>
                <w:bCs w:val="0"/>
                <w:sz w:val="22"/>
                <w:szCs w:val="22"/>
              </w:rPr>
              <w:t>清晰、</w:t>
            </w:r>
            <w:r>
              <w:rPr>
                <w:rFonts w:hint="eastAsia"/>
                <w:b w:val="0"/>
                <w:bCs w:val="0"/>
                <w:color w:val="000000"/>
              </w:rPr>
              <w:t>把握</w:t>
            </w:r>
            <w:r>
              <w:rPr>
                <w:rStyle w:val="61"/>
                <w:rFonts w:hint="eastAsia" w:ascii="宋体" w:hAnsi="宋体" w:cs="宋体"/>
                <w:b w:val="0"/>
                <w:bCs w:val="0"/>
                <w:sz w:val="22"/>
                <w:szCs w:val="22"/>
              </w:rPr>
              <w:t>准确</w:t>
            </w:r>
            <w:r>
              <w:rPr>
                <w:rFonts w:hint="eastAsia"/>
                <w:b w:val="0"/>
                <w:bCs w:val="0"/>
                <w:color w:val="000000"/>
              </w:rPr>
              <w:t>、到位，有针对性的</w:t>
            </w:r>
            <w:r>
              <w:rPr>
                <w:rStyle w:val="61"/>
                <w:rFonts w:hint="eastAsia" w:ascii="宋体" w:hAnsi="宋体" w:cs="宋体"/>
                <w:b w:val="0"/>
                <w:bCs w:val="0"/>
                <w:sz w:val="22"/>
                <w:szCs w:val="22"/>
              </w:rPr>
              <w:t>得8-10分；分析了解尚可，有部分不足的得4-7分；明显欠缺不足的得0-3分，未提供或严重欠缺不足的不得分。</w:t>
            </w:r>
          </w:p>
        </w:tc>
        <w:tc>
          <w:tcPr>
            <w:tcW w:w="412" w:type="pct"/>
            <w:vAlign w:val="center"/>
          </w:tcPr>
          <w:p>
            <w:pPr>
              <w:pStyle w:val="11"/>
              <w:spacing w:after="0" w:line="360" w:lineRule="exact"/>
              <w:jc w:val="cente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trPr>
        <w:tc>
          <w:tcPr>
            <w:tcW w:w="325" w:type="pct"/>
            <w:vMerge w:val="restart"/>
            <w:vAlign w:val="center"/>
          </w:tcPr>
          <w:p>
            <w:pPr>
              <w:pStyle w:val="11"/>
              <w:spacing w:after="0" w:line="360" w:lineRule="exact"/>
              <w:jc w:val="center"/>
            </w:pPr>
            <w:r>
              <w:rPr>
                <w:rFonts w:hint="eastAsia"/>
              </w:rPr>
              <w:t>4</w:t>
            </w:r>
          </w:p>
        </w:tc>
        <w:tc>
          <w:tcPr>
            <w:tcW w:w="641" w:type="pct"/>
            <w:vMerge w:val="restart"/>
            <w:vAlign w:val="center"/>
          </w:tcPr>
          <w:p>
            <w:pPr>
              <w:pStyle w:val="11"/>
              <w:spacing w:after="0" w:line="360" w:lineRule="exact"/>
              <w:jc w:val="center"/>
            </w:pPr>
            <w:r>
              <w:rPr>
                <w:rFonts w:hint="eastAsia"/>
                <w:kern w:val="0"/>
              </w:rPr>
              <w:t>组织服务方案</w:t>
            </w:r>
          </w:p>
        </w:tc>
        <w:tc>
          <w:tcPr>
            <w:tcW w:w="3620" w:type="pct"/>
            <w:vAlign w:val="center"/>
          </w:tcPr>
          <w:p>
            <w:pPr>
              <w:widowControl/>
              <w:spacing w:line="360" w:lineRule="exact"/>
              <w:jc w:val="left"/>
              <w:rPr>
                <w:b w:val="0"/>
                <w:bCs w:val="0"/>
              </w:rPr>
            </w:pPr>
            <w:r>
              <w:rPr>
                <w:rFonts w:hint="eastAsia"/>
                <w:b w:val="0"/>
                <w:bCs w:val="0"/>
              </w:rPr>
              <w:t>提出针对本项目的组织服务方案，包括服务商组织机构介绍，项目工作流程方案和重点工作说明。</w:t>
            </w:r>
          </w:p>
          <w:p>
            <w:pPr>
              <w:pStyle w:val="11"/>
              <w:spacing w:after="0" w:line="360" w:lineRule="exact"/>
              <w:rPr>
                <w:b w:val="0"/>
                <w:bCs w:val="0"/>
              </w:rPr>
            </w:pPr>
            <w:r>
              <w:rPr>
                <w:rFonts w:hint="eastAsia"/>
                <w:b w:val="0"/>
                <w:bCs w:val="0"/>
                <w:color w:val="000000"/>
              </w:rPr>
              <w:t>方案完整具体、合理可行，具有针对性，满足采购需求的</w:t>
            </w:r>
            <w:r>
              <w:rPr>
                <w:rStyle w:val="61"/>
                <w:rFonts w:hint="eastAsia" w:ascii="宋体" w:hAnsi="宋体" w:cs="宋体"/>
                <w:b w:val="0"/>
                <w:bCs w:val="0"/>
                <w:sz w:val="22"/>
                <w:szCs w:val="22"/>
              </w:rPr>
              <w:t>得3-5分；基本可行，有部分不足的得1-3分；明显欠缺不足的得0-1分，未提供或严重欠缺不足的不得分。</w:t>
            </w:r>
          </w:p>
        </w:tc>
        <w:tc>
          <w:tcPr>
            <w:tcW w:w="412" w:type="pct"/>
            <w:vAlign w:val="center"/>
          </w:tcPr>
          <w:p>
            <w:pPr>
              <w:pStyle w:val="11"/>
              <w:spacing w:after="0" w:line="360" w:lineRule="exact"/>
              <w:jc w:val="center"/>
            </w:pPr>
            <w:r>
              <w:rPr>
                <w:rFonts w:hint="eastAsia"/>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325" w:type="pct"/>
            <w:vMerge w:val="continue"/>
            <w:vAlign w:val="center"/>
          </w:tcPr>
          <w:p>
            <w:pPr>
              <w:pStyle w:val="11"/>
              <w:spacing w:after="0" w:line="360" w:lineRule="exact"/>
              <w:jc w:val="center"/>
            </w:pPr>
          </w:p>
        </w:tc>
        <w:tc>
          <w:tcPr>
            <w:tcW w:w="641" w:type="pct"/>
            <w:vMerge w:val="continue"/>
            <w:vAlign w:val="center"/>
          </w:tcPr>
          <w:p>
            <w:pPr>
              <w:pStyle w:val="11"/>
              <w:spacing w:after="0" w:line="360" w:lineRule="exact"/>
              <w:jc w:val="center"/>
              <w:rPr>
                <w:kern w:val="0"/>
              </w:rPr>
            </w:pPr>
          </w:p>
        </w:tc>
        <w:tc>
          <w:tcPr>
            <w:tcW w:w="3620" w:type="pct"/>
            <w:vAlign w:val="center"/>
          </w:tcPr>
          <w:p>
            <w:pPr>
              <w:widowControl/>
              <w:spacing w:line="360" w:lineRule="exact"/>
              <w:rPr>
                <w:b w:val="0"/>
                <w:bCs w:val="0"/>
              </w:rPr>
            </w:pPr>
            <w:r>
              <w:rPr>
                <w:rFonts w:hint="eastAsia"/>
                <w:b w:val="0"/>
                <w:bCs w:val="0"/>
              </w:rPr>
              <w:t>提供项目启动实施进度表和平稳交接方案、人员配备和人员管理方案；</w:t>
            </w:r>
          </w:p>
          <w:p>
            <w:pPr>
              <w:pStyle w:val="11"/>
              <w:spacing w:after="0" w:line="360" w:lineRule="exact"/>
              <w:rPr>
                <w:b w:val="0"/>
                <w:bCs w:val="0"/>
              </w:rPr>
            </w:pPr>
            <w:r>
              <w:rPr>
                <w:rFonts w:hint="eastAsia"/>
                <w:b w:val="0"/>
                <w:bCs w:val="0"/>
                <w:color w:val="000000"/>
              </w:rPr>
              <w:t>方案完整具体、合理可行，满足采购需求的</w:t>
            </w:r>
            <w:r>
              <w:rPr>
                <w:rStyle w:val="61"/>
                <w:rFonts w:hint="eastAsia" w:ascii="宋体" w:hAnsi="宋体" w:cs="宋体"/>
                <w:b w:val="0"/>
                <w:bCs w:val="0"/>
                <w:sz w:val="22"/>
                <w:szCs w:val="22"/>
              </w:rPr>
              <w:t>得3-5分；基本可行，有部分不足的得1-3分；明显欠缺不足的得0-1分；未提供或严重欠缺不足的不得分。</w:t>
            </w:r>
          </w:p>
        </w:tc>
        <w:tc>
          <w:tcPr>
            <w:tcW w:w="412" w:type="pct"/>
            <w:vAlign w:val="center"/>
          </w:tcPr>
          <w:p>
            <w:pPr>
              <w:pStyle w:val="11"/>
              <w:spacing w:after="0" w:line="360" w:lineRule="exact"/>
              <w:jc w:val="center"/>
            </w:pPr>
            <w:r>
              <w:rPr>
                <w:rFonts w:hint="eastAsia"/>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325" w:type="pct"/>
            <w:vMerge w:val="continue"/>
            <w:vAlign w:val="center"/>
          </w:tcPr>
          <w:p>
            <w:pPr>
              <w:pStyle w:val="11"/>
              <w:spacing w:after="0" w:line="360" w:lineRule="exact"/>
              <w:jc w:val="center"/>
            </w:pPr>
          </w:p>
        </w:tc>
        <w:tc>
          <w:tcPr>
            <w:tcW w:w="641" w:type="pct"/>
            <w:vMerge w:val="continue"/>
            <w:vAlign w:val="center"/>
          </w:tcPr>
          <w:p>
            <w:pPr>
              <w:pStyle w:val="11"/>
              <w:spacing w:after="0" w:line="360" w:lineRule="exact"/>
              <w:jc w:val="center"/>
              <w:rPr>
                <w:kern w:val="0"/>
              </w:rPr>
            </w:pPr>
          </w:p>
        </w:tc>
        <w:tc>
          <w:tcPr>
            <w:tcW w:w="3620" w:type="pct"/>
            <w:vAlign w:val="center"/>
          </w:tcPr>
          <w:p>
            <w:pPr>
              <w:widowControl/>
              <w:spacing w:line="360" w:lineRule="exact"/>
              <w:jc w:val="left"/>
              <w:rPr>
                <w:b w:val="0"/>
                <w:bCs w:val="0"/>
              </w:rPr>
            </w:pPr>
            <w:r>
              <w:rPr>
                <w:rFonts w:hint="eastAsia"/>
                <w:b w:val="0"/>
                <w:bCs w:val="0"/>
              </w:rPr>
              <w:t>提供项目人员配备、人员管理方案、配备人事管理系统</w:t>
            </w:r>
          </w:p>
          <w:p>
            <w:pPr>
              <w:pStyle w:val="11"/>
              <w:spacing w:after="0" w:line="360" w:lineRule="exact"/>
              <w:rPr>
                <w:b w:val="0"/>
                <w:bCs w:val="0"/>
              </w:rPr>
            </w:pPr>
            <w:r>
              <w:rPr>
                <w:rFonts w:hint="eastAsia"/>
                <w:b w:val="0"/>
                <w:bCs w:val="0"/>
                <w:color w:val="000000"/>
              </w:rPr>
              <w:t>方案完整具体、合理可行，配备人事管理系统</w:t>
            </w:r>
            <w:r>
              <w:rPr>
                <w:rStyle w:val="61"/>
                <w:rFonts w:hint="eastAsia" w:ascii="宋体" w:hAnsi="宋体" w:cs="宋体"/>
                <w:b w:val="0"/>
                <w:bCs w:val="0"/>
                <w:sz w:val="22"/>
                <w:szCs w:val="22"/>
              </w:rPr>
              <w:t>得3-5分；基本可行，有部分不足的得1-3分；明显欠缺不足的得0-1分；未提供或严重欠缺不足的不得分。</w:t>
            </w:r>
          </w:p>
        </w:tc>
        <w:tc>
          <w:tcPr>
            <w:tcW w:w="412" w:type="pct"/>
            <w:vAlign w:val="center"/>
          </w:tcPr>
          <w:p>
            <w:pPr>
              <w:pStyle w:val="11"/>
              <w:spacing w:after="0" w:line="360" w:lineRule="exact"/>
              <w:jc w:val="center"/>
            </w:pPr>
            <w:r>
              <w:rPr>
                <w:rFonts w:hint="eastAsia"/>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trPr>
        <w:tc>
          <w:tcPr>
            <w:tcW w:w="325" w:type="pct"/>
            <w:vMerge w:val="restart"/>
            <w:vAlign w:val="center"/>
          </w:tcPr>
          <w:p>
            <w:pPr>
              <w:pStyle w:val="11"/>
              <w:spacing w:after="0" w:line="360" w:lineRule="exact"/>
              <w:jc w:val="center"/>
            </w:pPr>
            <w:r>
              <w:rPr>
                <w:rFonts w:hint="eastAsia"/>
              </w:rPr>
              <w:t>5</w:t>
            </w:r>
          </w:p>
        </w:tc>
        <w:tc>
          <w:tcPr>
            <w:tcW w:w="641" w:type="pct"/>
            <w:vMerge w:val="restart"/>
            <w:vAlign w:val="center"/>
          </w:tcPr>
          <w:p>
            <w:pPr>
              <w:pStyle w:val="11"/>
              <w:spacing w:after="0" w:line="360" w:lineRule="exact"/>
              <w:jc w:val="center"/>
            </w:pPr>
            <w:r>
              <w:rPr>
                <w:rFonts w:hint="eastAsia"/>
                <w:kern w:val="0"/>
              </w:rPr>
              <w:t>相关管理制度</w:t>
            </w:r>
          </w:p>
        </w:tc>
        <w:tc>
          <w:tcPr>
            <w:tcW w:w="3620" w:type="pct"/>
            <w:vAlign w:val="center"/>
          </w:tcPr>
          <w:p>
            <w:pPr>
              <w:widowControl/>
              <w:spacing w:line="360" w:lineRule="exact"/>
              <w:rPr>
                <w:b w:val="0"/>
                <w:bCs w:val="0"/>
              </w:rPr>
            </w:pPr>
            <w:r>
              <w:rPr>
                <w:rFonts w:hint="eastAsia"/>
                <w:b w:val="0"/>
                <w:bCs w:val="0"/>
              </w:rPr>
              <w:t>提出各项管理规章制度的建立与管理,主要包括各种工作管理制度、工作场所管理制度、保密制度等；</w:t>
            </w:r>
          </w:p>
          <w:p>
            <w:pPr>
              <w:pStyle w:val="26"/>
              <w:tabs>
                <w:tab w:val="left" w:pos="482"/>
                <w:tab w:val="left" w:pos="2183"/>
                <w:tab w:val="left" w:pos="3884"/>
                <w:tab w:val="left" w:pos="5585"/>
              </w:tabs>
              <w:spacing w:line="360" w:lineRule="exact"/>
              <w:ind w:firstLine="440"/>
              <w:rPr>
                <w:rFonts w:cs="宋体"/>
                <w:b w:val="0"/>
                <w:bCs w:val="0"/>
              </w:rPr>
            </w:pPr>
            <w:r>
              <w:rPr>
                <w:rFonts w:hint="eastAsia" w:cs="宋体"/>
                <w:b w:val="0"/>
                <w:bCs w:val="0"/>
                <w:color w:val="000000"/>
              </w:rPr>
              <w:t>相关制度设立完整具体、合理可行，具有针对性，满足项目实施要求的</w:t>
            </w:r>
            <w:r>
              <w:rPr>
                <w:rStyle w:val="61"/>
                <w:rFonts w:hint="eastAsia" w:ascii="宋体" w:hAnsi="宋体" w:cs="宋体"/>
                <w:b w:val="0"/>
                <w:bCs w:val="0"/>
                <w:sz w:val="22"/>
                <w:szCs w:val="22"/>
              </w:rPr>
              <w:t>得3-5分；方案基本可行，有部分不足的得1-3分；明显欠缺不足的得0-1分；未提供或严重欠缺不足的不得分。</w:t>
            </w:r>
          </w:p>
        </w:tc>
        <w:tc>
          <w:tcPr>
            <w:tcW w:w="412" w:type="pct"/>
            <w:vAlign w:val="center"/>
          </w:tcPr>
          <w:p>
            <w:pPr>
              <w:pStyle w:val="11"/>
              <w:spacing w:after="0" w:line="360" w:lineRule="exact"/>
              <w:jc w:val="center"/>
            </w:pPr>
            <w:r>
              <w:rPr>
                <w:rFonts w:hint="eastAsia"/>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trPr>
        <w:tc>
          <w:tcPr>
            <w:tcW w:w="325" w:type="pct"/>
            <w:vMerge w:val="continue"/>
            <w:vAlign w:val="center"/>
          </w:tcPr>
          <w:p>
            <w:pPr>
              <w:pStyle w:val="11"/>
              <w:spacing w:after="0" w:line="360" w:lineRule="exact"/>
              <w:jc w:val="center"/>
            </w:pPr>
          </w:p>
        </w:tc>
        <w:tc>
          <w:tcPr>
            <w:tcW w:w="641" w:type="pct"/>
            <w:vMerge w:val="continue"/>
            <w:vAlign w:val="center"/>
          </w:tcPr>
          <w:p>
            <w:pPr>
              <w:pStyle w:val="11"/>
              <w:spacing w:after="0" w:line="360" w:lineRule="exact"/>
              <w:jc w:val="center"/>
            </w:pPr>
          </w:p>
        </w:tc>
        <w:tc>
          <w:tcPr>
            <w:tcW w:w="3620" w:type="pct"/>
            <w:vAlign w:val="center"/>
          </w:tcPr>
          <w:p>
            <w:pPr>
              <w:widowControl/>
              <w:spacing w:line="360" w:lineRule="exact"/>
              <w:jc w:val="left"/>
              <w:rPr>
                <w:b w:val="0"/>
                <w:bCs w:val="0"/>
              </w:rPr>
            </w:pPr>
            <w:r>
              <w:rPr>
                <w:rFonts w:hint="eastAsia"/>
                <w:b w:val="0"/>
                <w:bCs w:val="0"/>
              </w:rPr>
              <w:t>提出员工考核奖惩的初步方案，包括人员薪酬考核制度、考核管理办法等；</w:t>
            </w:r>
          </w:p>
          <w:p>
            <w:pPr>
              <w:pStyle w:val="26"/>
              <w:tabs>
                <w:tab w:val="left" w:pos="482"/>
                <w:tab w:val="left" w:pos="2183"/>
                <w:tab w:val="left" w:pos="3884"/>
                <w:tab w:val="left" w:pos="5585"/>
              </w:tabs>
              <w:spacing w:line="360" w:lineRule="exact"/>
              <w:ind w:firstLine="440"/>
              <w:rPr>
                <w:rFonts w:cs="宋体"/>
                <w:b w:val="0"/>
                <w:bCs w:val="0"/>
              </w:rPr>
            </w:pPr>
            <w:r>
              <w:rPr>
                <w:rFonts w:hint="eastAsia" w:cs="宋体"/>
                <w:b w:val="0"/>
                <w:bCs w:val="0"/>
                <w:color w:val="000000"/>
              </w:rPr>
              <w:t>相关制度设立完整具体、合理可行，具有针对性，有利于项目实施的</w:t>
            </w:r>
            <w:r>
              <w:rPr>
                <w:rStyle w:val="61"/>
                <w:rFonts w:hint="eastAsia" w:ascii="宋体" w:hAnsi="宋体" w:cs="宋体"/>
                <w:b w:val="0"/>
                <w:bCs w:val="0"/>
                <w:sz w:val="22"/>
                <w:szCs w:val="22"/>
              </w:rPr>
              <w:t>得3-5分；方案基本可行，有部分不足的得1-3分；明显欠缺不足的得0-1分；未提供或严重欠缺不足的不得分。</w:t>
            </w:r>
          </w:p>
        </w:tc>
        <w:tc>
          <w:tcPr>
            <w:tcW w:w="412" w:type="pct"/>
            <w:vAlign w:val="center"/>
          </w:tcPr>
          <w:p>
            <w:pPr>
              <w:pStyle w:val="11"/>
              <w:spacing w:after="0" w:line="360" w:lineRule="exact"/>
              <w:jc w:val="center"/>
            </w:pPr>
            <w:r>
              <w:rPr>
                <w:rFonts w:hint="eastAsia"/>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trPr>
        <w:tc>
          <w:tcPr>
            <w:tcW w:w="325" w:type="pct"/>
            <w:vAlign w:val="center"/>
          </w:tcPr>
          <w:p>
            <w:pPr>
              <w:pStyle w:val="11"/>
              <w:spacing w:after="0" w:line="360" w:lineRule="exact"/>
              <w:jc w:val="center"/>
            </w:pPr>
            <w:r>
              <w:rPr>
                <w:rFonts w:hint="eastAsia"/>
              </w:rPr>
              <w:t>6</w:t>
            </w:r>
          </w:p>
        </w:tc>
        <w:tc>
          <w:tcPr>
            <w:tcW w:w="641" w:type="pct"/>
            <w:vAlign w:val="center"/>
          </w:tcPr>
          <w:p>
            <w:pPr>
              <w:pStyle w:val="11"/>
              <w:spacing w:after="0" w:line="360" w:lineRule="exact"/>
              <w:jc w:val="center"/>
            </w:pPr>
            <w:r>
              <w:rPr>
                <w:rFonts w:hint="eastAsia"/>
                <w:kern w:val="0"/>
              </w:rPr>
              <w:t>岗位设置方案</w:t>
            </w:r>
          </w:p>
        </w:tc>
        <w:tc>
          <w:tcPr>
            <w:tcW w:w="3620" w:type="pct"/>
            <w:vAlign w:val="center"/>
          </w:tcPr>
          <w:p>
            <w:pPr>
              <w:widowControl/>
              <w:spacing w:line="360" w:lineRule="exact"/>
              <w:jc w:val="left"/>
              <w:rPr>
                <w:b w:val="0"/>
                <w:bCs w:val="0"/>
              </w:rPr>
            </w:pPr>
            <w:r>
              <w:rPr>
                <w:rFonts w:hint="eastAsia"/>
                <w:b w:val="0"/>
                <w:bCs w:val="0"/>
              </w:rPr>
              <w:t xml:space="preserve">提出岗位设置方案包括岗位设置，各工作岗位职责； </w:t>
            </w:r>
          </w:p>
          <w:p>
            <w:pPr>
              <w:spacing w:line="360" w:lineRule="exact"/>
              <w:rPr>
                <w:b w:val="0"/>
                <w:bCs w:val="0"/>
              </w:rPr>
            </w:pPr>
            <w:r>
              <w:rPr>
                <w:rFonts w:hint="eastAsia"/>
                <w:b w:val="0"/>
                <w:bCs w:val="0"/>
              </w:rPr>
              <w:t>方案完整具体、合理可行，满足项目实施要求的</w:t>
            </w:r>
            <w:r>
              <w:rPr>
                <w:rStyle w:val="61"/>
                <w:rFonts w:hint="eastAsia" w:ascii="宋体" w:hAnsi="宋体" w:cs="宋体"/>
                <w:b w:val="0"/>
                <w:bCs w:val="0"/>
                <w:sz w:val="22"/>
                <w:szCs w:val="22"/>
              </w:rPr>
              <w:t>得3-5分；方案基本可行，有部分不足的得1-3分；明显欠缺不足的得0-1分；未提供或严重欠缺不足的不得分。</w:t>
            </w:r>
          </w:p>
        </w:tc>
        <w:tc>
          <w:tcPr>
            <w:tcW w:w="412" w:type="pct"/>
            <w:vAlign w:val="center"/>
          </w:tcPr>
          <w:p>
            <w:pPr>
              <w:pStyle w:val="11"/>
              <w:spacing w:after="0" w:line="360" w:lineRule="exact"/>
              <w:jc w:val="cente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325" w:type="pct"/>
            <w:vAlign w:val="center"/>
          </w:tcPr>
          <w:p>
            <w:pPr>
              <w:pStyle w:val="11"/>
              <w:spacing w:after="0" w:line="360" w:lineRule="exact"/>
              <w:jc w:val="center"/>
            </w:pPr>
            <w:r>
              <w:rPr>
                <w:rFonts w:hint="eastAsia"/>
              </w:rPr>
              <w:t>7</w:t>
            </w:r>
          </w:p>
        </w:tc>
        <w:tc>
          <w:tcPr>
            <w:tcW w:w="641" w:type="pct"/>
            <w:vAlign w:val="center"/>
          </w:tcPr>
          <w:p>
            <w:pPr>
              <w:pStyle w:val="11"/>
              <w:spacing w:after="0" w:line="360" w:lineRule="exact"/>
              <w:jc w:val="center"/>
            </w:pPr>
            <w:r>
              <w:rPr>
                <w:rFonts w:hint="eastAsia"/>
              </w:rPr>
              <w:t>业务流程方案</w:t>
            </w:r>
          </w:p>
        </w:tc>
        <w:tc>
          <w:tcPr>
            <w:tcW w:w="3620" w:type="pct"/>
            <w:vAlign w:val="center"/>
          </w:tcPr>
          <w:p>
            <w:pPr>
              <w:pStyle w:val="11"/>
              <w:spacing w:after="0" w:line="360" w:lineRule="exact"/>
              <w:rPr>
                <w:b w:val="0"/>
                <w:bCs w:val="0"/>
              </w:rPr>
            </w:pPr>
            <w:r>
              <w:rPr>
                <w:rFonts w:hint="eastAsia"/>
                <w:b w:val="0"/>
                <w:bCs w:val="0"/>
              </w:rPr>
              <w:t>提出运营业务操作流程方案；</w:t>
            </w:r>
          </w:p>
          <w:p>
            <w:pPr>
              <w:pStyle w:val="11"/>
              <w:spacing w:after="0" w:line="360" w:lineRule="exact"/>
              <w:rPr>
                <w:b w:val="0"/>
                <w:bCs w:val="0"/>
              </w:rPr>
            </w:pPr>
            <w:r>
              <w:rPr>
                <w:rFonts w:hint="eastAsia"/>
                <w:b w:val="0"/>
                <w:bCs w:val="0"/>
              </w:rPr>
              <w:t>方案完整具体、合理可行，满足项目实施要求的得3-4分；方案基本可行，有部分不足的得1-3分；明显欠缺不足的得0-1分；未提供或严重欠缺不足的不得分。</w:t>
            </w:r>
          </w:p>
        </w:tc>
        <w:tc>
          <w:tcPr>
            <w:tcW w:w="412" w:type="pct"/>
            <w:vAlign w:val="center"/>
          </w:tcPr>
          <w:p>
            <w:pPr>
              <w:pStyle w:val="11"/>
              <w:spacing w:after="0" w:line="360" w:lineRule="exact"/>
              <w:jc w:val="center"/>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325" w:type="pct"/>
            <w:vAlign w:val="center"/>
          </w:tcPr>
          <w:p>
            <w:pPr>
              <w:pStyle w:val="11"/>
              <w:spacing w:after="0" w:line="360" w:lineRule="exact"/>
              <w:jc w:val="center"/>
            </w:pPr>
            <w:r>
              <w:rPr>
                <w:rFonts w:hint="eastAsia"/>
              </w:rPr>
              <w:t>8</w:t>
            </w:r>
          </w:p>
        </w:tc>
        <w:tc>
          <w:tcPr>
            <w:tcW w:w="641" w:type="pct"/>
            <w:vAlign w:val="center"/>
          </w:tcPr>
          <w:p>
            <w:pPr>
              <w:pStyle w:val="11"/>
              <w:spacing w:after="0" w:line="360" w:lineRule="exact"/>
              <w:jc w:val="center"/>
            </w:pPr>
            <w:r>
              <w:rPr>
                <w:rFonts w:hint="eastAsia"/>
                <w:kern w:val="0"/>
              </w:rPr>
              <w:t>质量管理和培训方案</w:t>
            </w:r>
          </w:p>
        </w:tc>
        <w:tc>
          <w:tcPr>
            <w:tcW w:w="3620" w:type="pct"/>
            <w:vAlign w:val="center"/>
          </w:tcPr>
          <w:p>
            <w:pPr>
              <w:widowControl/>
              <w:spacing w:line="360" w:lineRule="exact"/>
              <w:jc w:val="left"/>
              <w:rPr>
                <w:b w:val="0"/>
                <w:bCs w:val="0"/>
              </w:rPr>
            </w:pPr>
            <w:r>
              <w:rPr>
                <w:rFonts w:hint="eastAsia"/>
                <w:b w:val="0"/>
                <w:bCs w:val="0"/>
              </w:rPr>
              <w:t>提出质量管理方案及培训方案；</w:t>
            </w:r>
          </w:p>
          <w:p>
            <w:pPr>
              <w:pStyle w:val="11"/>
              <w:spacing w:after="0" w:line="360" w:lineRule="exact"/>
              <w:rPr>
                <w:b w:val="0"/>
                <w:bCs w:val="0"/>
              </w:rPr>
            </w:pPr>
            <w:r>
              <w:rPr>
                <w:rFonts w:hint="eastAsia"/>
                <w:b w:val="0"/>
                <w:bCs w:val="0"/>
                <w:color w:val="000000"/>
              </w:rPr>
              <w:t>方案完整具体、合理可行，满足项目实施要求的</w:t>
            </w:r>
            <w:r>
              <w:rPr>
                <w:rStyle w:val="61"/>
                <w:rFonts w:hint="eastAsia" w:ascii="宋体" w:hAnsi="宋体" w:cs="宋体"/>
                <w:b w:val="0"/>
                <w:bCs w:val="0"/>
                <w:sz w:val="22"/>
                <w:szCs w:val="22"/>
              </w:rPr>
              <w:t>得3-5分；方案基本可行，有部分不足的得1-3分；明显欠缺不足的得0-1分；未提供或严重欠缺不足的不得分。</w:t>
            </w:r>
          </w:p>
        </w:tc>
        <w:tc>
          <w:tcPr>
            <w:tcW w:w="412" w:type="pct"/>
            <w:vAlign w:val="center"/>
          </w:tcPr>
          <w:p>
            <w:pPr>
              <w:pStyle w:val="11"/>
              <w:spacing w:after="0" w:line="360" w:lineRule="exact"/>
              <w:jc w:val="cente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325" w:type="pct"/>
            <w:vAlign w:val="center"/>
          </w:tcPr>
          <w:p>
            <w:pPr>
              <w:pStyle w:val="11"/>
              <w:spacing w:after="0" w:line="360" w:lineRule="exact"/>
              <w:jc w:val="center"/>
            </w:pPr>
            <w:r>
              <w:rPr>
                <w:rFonts w:hint="eastAsia"/>
              </w:rPr>
              <w:t>9</w:t>
            </w:r>
          </w:p>
        </w:tc>
        <w:tc>
          <w:tcPr>
            <w:tcW w:w="641" w:type="pct"/>
            <w:vAlign w:val="center"/>
          </w:tcPr>
          <w:p>
            <w:pPr>
              <w:pStyle w:val="11"/>
              <w:spacing w:after="0" w:line="360" w:lineRule="exact"/>
              <w:jc w:val="center"/>
              <w:rPr>
                <w:kern w:val="0"/>
              </w:rPr>
            </w:pPr>
            <w:r>
              <w:rPr>
                <w:rFonts w:hint="eastAsia"/>
                <w:kern w:val="0"/>
              </w:rPr>
              <w:t>应急响应方案</w:t>
            </w:r>
          </w:p>
        </w:tc>
        <w:tc>
          <w:tcPr>
            <w:tcW w:w="3620" w:type="pct"/>
            <w:vAlign w:val="center"/>
          </w:tcPr>
          <w:p>
            <w:pPr>
              <w:widowControl/>
              <w:spacing w:line="360" w:lineRule="exact"/>
              <w:jc w:val="left"/>
              <w:rPr>
                <w:b w:val="0"/>
                <w:bCs w:val="0"/>
              </w:rPr>
            </w:pPr>
            <w:r>
              <w:rPr>
                <w:rFonts w:hint="eastAsia"/>
                <w:b w:val="0"/>
                <w:bCs w:val="0"/>
              </w:rPr>
              <w:t>提出应急突发事情的响应及处理方案；</w:t>
            </w:r>
          </w:p>
          <w:p>
            <w:pPr>
              <w:widowControl/>
              <w:spacing w:line="360" w:lineRule="exact"/>
              <w:jc w:val="left"/>
              <w:rPr>
                <w:b w:val="0"/>
                <w:bCs w:val="0"/>
              </w:rPr>
            </w:pPr>
            <w:r>
              <w:rPr>
                <w:rFonts w:hint="eastAsia"/>
                <w:b w:val="0"/>
                <w:bCs w:val="0"/>
              </w:rPr>
              <w:t>方案完整具体、合理可行，满足项目实施要求的</w:t>
            </w:r>
            <w:r>
              <w:rPr>
                <w:rStyle w:val="61"/>
                <w:rFonts w:hint="eastAsia" w:ascii="宋体" w:hAnsi="宋体" w:cs="宋体"/>
                <w:b w:val="0"/>
                <w:bCs w:val="0"/>
                <w:sz w:val="22"/>
                <w:szCs w:val="22"/>
              </w:rPr>
              <w:t>得3-5分；方案基本可行，有部分不足的得1-3分；明显欠缺不足的得0-1分；未提供或严重欠缺不足的不得分。</w:t>
            </w:r>
          </w:p>
        </w:tc>
        <w:tc>
          <w:tcPr>
            <w:tcW w:w="412" w:type="pct"/>
            <w:vAlign w:val="center"/>
          </w:tcPr>
          <w:p>
            <w:pPr>
              <w:pStyle w:val="11"/>
              <w:spacing w:after="0" w:line="360" w:lineRule="exact"/>
              <w:jc w:val="cente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25" w:type="pct"/>
            <w:vMerge w:val="restart"/>
            <w:vAlign w:val="center"/>
          </w:tcPr>
          <w:p>
            <w:pPr>
              <w:pStyle w:val="11"/>
              <w:spacing w:after="0" w:line="360" w:lineRule="exact"/>
              <w:jc w:val="center"/>
            </w:pPr>
            <w:r>
              <w:rPr>
                <w:rFonts w:hint="eastAsia"/>
              </w:rPr>
              <w:t>10</w:t>
            </w:r>
          </w:p>
        </w:tc>
        <w:tc>
          <w:tcPr>
            <w:tcW w:w="641" w:type="pct"/>
            <w:vMerge w:val="restart"/>
            <w:vAlign w:val="center"/>
          </w:tcPr>
          <w:p>
            <w:pPr>
              <w:widowControl/>
              <w:spacing w:line="360" w:lineRule="exact"/>
              <w:jc w:val="center"/>
              <w:textAlignment w:val="center"/>
            </w:pPr>
            <w:r>
              <w:rPr>
                <w:rFonts w:hint="eastAsia"/>
              </w:rPr>
              <w:t>队伍建设能力</w:t>
            </w:r>
          </w:p>
        </w:tc>
        <w:tc>
          <w:tcPr>
            <w:tcW w:w="3620" w:type="pct"/>
            <w:vAlign w:val="center"/>
          </w:tcPr>
          <w:p>
            <w:pPr>
              <w:spacing w:line="360" w:lineRule="exact"/>
            </w:pPr>
            <w:r>
              <w:rPr>
                <w:rFonts w:hint="eastAsia"/>
              </w:rPr>
              <w:t>1、负责人情况</w:t>
            </w:r>
          </w:p>
          <w:p>
            <w:pPr>
              <w:spacing w:line="360" w:lineRule="exact"/>
            </w:pPr>
            <w:r>
              <w:rPr>
                <w:rFonts w:hint="eastAsia"/>
              </w:rPr>
              <w:t>1）项目负责人具有本科学历得2分，非本科不得分；</w:t>
            </w:r>
          </w:p>
          <w:p>
            <w:pPr>
              <w:spacing w:line="360" w:lineRule="exact"/>
            </w:pPr>
            <w:r>
              <w:rPr>
                <w:rFonts w:hint="eastAsia"/>
              </w:rPr>
              <w:t>2）具有工作经历3年以上，提供证明材料的得3分。</w:t>
            </w:r>
          </w:p>
          <w:p>
            <w:pPr>
              <w:spacing w:line="360" w:lineRule="exact"/>
              <w:jc w:val="left"/>
            </w:pPr>
            <w:r>
              <w:rPr>
                <w:rFonts w:hint="eastAsia"/>
              </w:rPr>
              <w:t>注：提供人员相关证书、经验证明（具有业主单位/甲方盖章）和社保部门出具的近3个月任意月份在响应单位的社保参保证明复印件/扫描件，未提供上述资料的不得分。以分支机构名义参加投标的只能提供分支机构的人员，否则不得分。</w:t>
            </w:r>
          </w:p>
        </w:tc>
        <w:tc>
          <w:tcPr>
            <w:tcW w:w="412" w:type="pct"/>
            <w:vAlign w:val="center"/>
          </w:tcPr>
          <w:p>
            <w:pPr>
              <w:pStyle w:val="11"/>
              <w:spacing w:after="0" w:line="360" w:lineRule="exact"/>
              <w:jc w:val="center"/>
            </w:pPr>
            <w:r>
              <w:rPr>
                <w:rFonts w:hint="eastAsia"/>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2" w:hRule="atLeast"/>
        </w:trPr>
        <w:tc>
          <w:tcPr>
            <w:tcW w:w="325" w:type="pct"/>
            <w:vMerge w:val="continue"/>
            <w:vAlign w:val="center"/>
          </w:tcPr>
          <w:p>
            <w:pPr>
              <w:pStyle w:val="11"/>
              <w:spacing w:after="0" w:line="360" w:lineRule="exact"/>
              <w:jc w:val="center"/>
            </w:pPr>
          </w:p>
        </w:tc>
        <w:tc>
          <w:tcPr>
            <w:tcW w:w="641" w:type="pct"/>
            <w:vMerge w:val="continue"/>
            <w:vAlign w:val="center"/>
          </w:tcPr>
          <w:p>
            <w:pPr>
              <w:widowControl/>
              <w:spacing w:line="360" w:lineRule="exact"/>
              <w:jc w:val="center"/>
              <w:textAlignment w:val="center"/>
            </w:pPr>
          </w:p>
        </w:tc>
        <w:tc>
          <w:tcPr>
            <w:tcW w:w="3620" w:type="pct"/>
            <w:vAlign w:val="center"/>
          </w:tcPr>
          <w:p>
            <w:pPr>
              <w:widowControl/>
              <w:spacing w:line="360" w:lineRule="exact"/>
              <w:jc w:val="left"/>
            </w:pPr>
            <w:r>
              <w:rPr>
                <w:rFonts w:hint="eastAsia"/>
              </w:rPr>
              <w:t>2、项目组人员配备情况</w:t>
            </w:r>
          </w:p>
          <w:p>
            <w:pPr>
              <w:widowControl/>
              <w:spacing w:line="360" w:lineRule="exact"/>
              <w:jc w:val="left"/>
            </w:pPr>
            <w:r>
              <w:t>1)人员数量及专业配备科学合理，满足项目实施和岗位要求的得2-3分；人员配备基本可行的得1-2分；人员配备明显不合理的得0分（3分）。</w:t>
            </w:r>
          </w:p>
          <w:p>
            <w:pPr>
              <w:widowControl/>
              <w:spacing w:line="360" w:lineRule="exact"/>
              <w:jc w:val="left"/>
            </w:pPr>
            <w:r>
              <w:t>2）项目组人员全部大专及以上学历得4分； 不能满足大专及以上学历不得分（4分）</w:t>
            </w:r>
            <w:r>
              <w:rPr>
                <w:rFonts w:hint="eastAsia"/>
              </w:rPr>
              <w:t>。</w:t>
            </w:r>
          </w:p>
          <w:p>
            <w:pPr>
              <w:pStyle w:val="36"/>
              <w:ind w:firstLine="0"/>
              <w:rPr>
                <w:rFonts w:hint="eastAsia"/>
              </w:rPr>
            </w:pPr>
            <w:r>
              <w:t>3）团队成员具有普通话二乙以上等级证书5个及以上，得3分；二乙以上等级证书3-4个得2分；二乙以上等级证书1-2个得1分；不提供得0分（3分）</w:t>
            </w:r>
          </w:p>
          <w:p>
            <w:pPr>
              <w:spacing w:line="360" w:lineRule="exact"/>
              <w:jc w:val="left"/>
            </w:pPr>
            <w:r>
              <w:rPr>
                <w:rFonts w:hint="eastAsia"/>
              </w:rPr>
              <w:t>注：提供人员相关证书、经验证明和社保部门出具的近3个月在投标单位的社保参保证明复印件/扫描件，未提供上述资料的不得分。以分支机构名义参加投标的只能提供分支机构的人员，否则不得分。</w:t>
            </w:r>
          </w:p>
        </w:tc>
        <w:tc>
          <w:tcPr>
            <w:tcW w:w="412" w:type="pct"/>
            <w:vAlign w:val="center"/>
          </w:tcPr>
          <w:p>
            <w:pPr>
              <w:pStyle w:val="11"/>
              <w:spacing w:after="0" w:line="360" w:lineRule="exact"/>
              <w:jc w:val="center"/>
            </w:pPr>
            <w:r>
              <w:rPr>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325" w:type="pct"/>
            <w:vMerge w:val="continue"/>
            <w:vAlign w:val="center"/>
          </w:tcPr>
          <w:p>
            <w:pPr>
              <w:pStyle w:val="11"/>
              <w:spacing w:after="0" w:line="360" w:lineRule="exact"/>
              <w:jc w:val="center"/>
            </w:pPr>
          </w:p>
        </w:tc>
        <w:tc>
          <w:tcPr>
            <w:tcW w:w="641" w:type="pct"/>
            <w:vMerge w:val="continue"/>
            <w:vAlign w:val="center"/>
          </w:tcPr>
          <w:p>
            <w:pPr>
              <w:widowControl/>
              <w:spacing w:line="360" w:lineRule="exact"/>
              <w:jc w:val="center"/>
              <w:textAlignment w:val="center"/>
            </w:pPr>
          </w:p>
        </w:tc>
        <w:tc>
          <w:tcPr>
            <w:tcW w:w="3620" w:type="pct"/>
            <w:vAlign w:val="center"/>
          </w:tcPr>
          <w:p>
            <w:pPr>
              <w:widowControl/>
              <w:spacing w:line="360" w:lineRule="exact"/>
              <w:jc w:val="left"/>
            </w:pPr>
            <w:r>
              <w:rPr>
                <w:rFonts w:hint="eastAsia"/>
              </w:rPr>
              <w:t>3、队伍稳定性承诺</w:t>
            </w:r>
          </w:p>
          <w:p>
            <w:pPr>
              <w:widowControl/>
              <w:spacing w:line="360" w:lineRule="exact"/>
              <w:jc w:val="left"/>
            </w:pPr>
            <w:r>
              <w:rPr>
                <w:rFonts w:hint="eastAsia"/>
              </w:rPr>
              <w:t>1）</w:t>
            </w:r>
            <w:r>
              <w:t>提供队伍稳定性建设相关方案（5分）</w:t>
            </w:r>
            <w:r>
              <w:rPr>
                <w:rFonts w:hint="eastAsia"/>
              </w:rPr>
              <w:t>。</w:t>
            </w:r>
          </w:p>
          <w:p>
            <w:pPr>
              <w:spacing w:line="360" w:lineRule="exact"/>
              <w:jc w:val="left"/>
            </w:pPr>
            <w:r>
              <w:rPr>
                <w:rFonts w:hint="eastAsia"/>
              </w:rPr>
              <w:t>2）承诺组建队伍人员100%以上为续聘上期在职员工的得2分，80%以上的得1分，未提供以上承诺的不得分。（2分，在响应文件中提供承诺）</w:t>
            </w:r>
          </w:p>
        </w:tc>
        <w:tc>
          <w:tcPr>
            <w:tcW w:w="412" w:type="pct"/>
            <w:vAlign w:val="center"/>
          </w:tcPr>
          <w:p>
            <w:pPr>
              <w:pStyle w:val="11"/>
              <w:spacing w:after="0" w:line="360" w:lineRule="exact"/>
              <w:jc w:val="center"/>
            </w:pPr>
            <w:r>
              <w:rPr>
                <w:kern w:val="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325" w:type="pct"/>
            <w:vAlign w:val="center"/>
          </w:tcPr>
          <w:p>
            <w:pPr>
              <w:pStyle w:val="11"/>
              <w:spacing w:after="0" w:line="360" w:lineRule="exact"/>
              <w:jc w:val="center"/>
            </w:pPr>
            <w:r>
              <w:rPr>
                <w:rFonts w:hint="eastAsia"/>
              </w:rPr>
              <w:t>11</w:t>
            </w:r>
          </w:p>
        </w:tc>
        <w:tc>
          <w:tcPr>
            <w:tcW w:w="641" w:type="pct"/>
            <w:vAlign w:val="center"/>
          </w:tcPr>
          <w:p>
            <w:pPr>
              <w:widowControl/>
              <w:spacing w:line="360" w:lineRule="exact"/>
              <w:jc w:val="center"/>
              <w:textAlignment w:val="center"/>
              <w:rPr>
                <w:lang w:bidi="ar"/>
              </w:rPr>
            </w:pPr>
            <w:r>
              <w:rPr>
                <w:rFonts w:hint="eastAsia"/>
              </w:rPr>
              <w:t>平台业务操作演示</w:t>
            </w:r>
          </w:p>
        </w:tc>
        <w:tc>
          <w:tcPr>
            <w:tcW w:w="3620" w:type="pct"/>
            <w:vAlign w:val="center"/>
          </w:tcPr>
          <w:p>
            <w:pPr>
              <w:widowControl/>
              <w:spacing w:line="360" w:lineRule="exact"/>
              <w:jc w:val="left"/>
            </w:pPr>
            <w:r>
              <w:rPr>
                <w:rFonts w:hint="eastAsia"/>
              </w:rPr>
              <w:t>供应商提供视频演示相关的项目人员信息管理系统，演示的内容包括但不限于人员档案管理、入离职管理、内部流程管理、劳动合同管理、薪酬及绩效管理等模块。系统功能充分满足项目管理要求的得7分；部分满足的得1-5分；无演示或不能满足的得0分。</w:t>
            </w:r>
          </w:p>
          <w:p>
            <w:pPr>
              <w:pStyle w:val="36"/>
              <w:ind w:firstLine="0"/>
            </w:pPr>
            <w:r>
              <w:rPr>
                <w:rFonts w:hint="eastAsia" w:ascii="宋体" w:hAnsi="宋体"/>
                <w:color w:val="000000"/>
                <w:szCs w:val="22"/>
                <w:lang w:bidi="ar"/>
              </w:rPr>
              <w:t>（</w:t>
            </w:r>
            <w:r>
              <w:rPr>
                <w:rFonts w:hint="eastAsia" w:ascii="宋体"/>
                <w:color w:val="000000"/>
                <w:szCs w:val="22"/>
                <w:lang w:bidi="ar"/>
              </w:rPr>
              <w:t>供应商</w:t>
            </w:r>
            <w:r>
              <w:rPr>
                <w:rFonts w:hint="eastAsia" w:ascii="宋体" w:hAnsi="宋体"/>
                <w:color w:val="000000"/>
                <w:szCs w:val="22"/>
                <w:lang w:bidi="ar"/>
              </w:rPr>
              <w:t>进行演示并提供</w:t>
            </w:r>
            <w:r>
              <w:rPr>
                <w:rFonts w:hint="eastAsia" w:ascii="宋体"/>
                <w:color w:val="000000"/>
                <w:szCs w:val="22"/>
                <w:lang w:bidi="ar"/>
              </w:rPr>
              <w:t>视频</w:t>
            </w:r>
            <w:r>
              <w:rPr>
                <w:rFonts w:hint="eastAsia" w:ascii="宋体" w:hAnsi="宋体"/>
                <w:color w:val="000000"/>
                <w:szCs w:val="22"/>
                <w:lang w:bidi="ar"/>
              </w:rPr>
              <w:t>文件（视频录制时间不超过10分钟）；提供的U盘或者光盘并在上面标注单位名称密封在封套，在</w:t>
            </w:r>
            <w:r>
              <w:rPr>
                <w:rFonts w:hint="eastAsia" w:ascii="宋体"/>
                <w:color w:val="000000"/>
                <w:kern w:val="2"/>
                <w:szCs w:val="22"/>
                <w:lang w:bidi="ar"/>
              </w:rPr>
              <w:t>投标截止时间前递交，</w:t>
            </w:r>
            <w:r>
              <w:rPr>
                <w:rFonts w:hint="eastAsia" w:ascii="宋体" w:hAnsi="宋体"/>
                <w:color w:val="000000"/>
                <w:szCs w:val="22"/>
                <w:lang w:bidi="ar"/>
              </w:rPr>
              <w:t>不提供或视频无法播放均不得分。）</w:t>
            </w:r>
          </w:p>
        </w:tc>
        <w:tc>
          <w:tcPr>
            <w:tcW w:w="412" w:type="pct"/>
            <w:vAlign w:val="center"/>
          </w:tcPr>
          <w:p>
            <w:pPr>
              <w:pStyle w:val="11"/>
              <w:spacing w:after="0" w:line="360" w:lineRule="exact"/>
              <w:jc w:val="center"/>
            </w:pPr>
            <w:r>
              <w:rPr>
                <w:rFonts w:hint="eastAsia"/>
              </w:rPr>
              <w:t>7</w:t>
            </w:r>
          </w:p>
        </w:tc>
      </w:tr>
    </w:tbl>
    <w:p>
      <w:pPr>
        <w:pStyle w:val="14"/>
        <w:adjustRightInd w:val="0"/>
        <w:snapToGrid w:val="0"/>
        <w:spacing w:before="312" w:beforeLines="100"/>
        <w:outlineLvl w:val="2"/>
        <w:rPr>
          <w:rFonts w:hAnsi="宋体"/>
          <w:b/>
          <w:bCs/>
        </w:rPr>
      </w:pPr>
      <w:r>
        <w:rPr>
          <w:rFonts w:hint="eastAsia" w:hAnsi="宋体"/>
          <w:b/>
          <w:bCs/>
        </w:rPr>
        <w:t>三、说明</w:t>
      </w:r>
    </w:p>
    <w:p>
      <w:pPr>
        <w:adjustRightInd w:val="0"/>
        <w:spacing w:before="100" w:after="50"/>
        <w:ind w:firstLine="420"/>
      </w:pPr>
      <w:r>
        <w:rPr>
          <w:rFonts w:hint="eastAsia"/>
        </w:rPr>
        <w:t>1、每个供应商最终得分=技术资信部分分值（所有磋商小组成员打分的平均值）＋商务报价部分分值。</w:t>
      </w:r>
    </w:p>
    <w:p>
      <w:pPr>
        <w:adjustRightInd w:val="0"/>
        <w:spacing w:before="100" w:after="50"/>
        <w:ind w:firstLine="420"/>
      </w:pPr>
      <w:r>
        <w:rPr>
          <w:rFonts w:hint="eastAsia"/>
        </w:rPr>
        <w:t>2、磋商小组推荐得分最高的供应商为预成交供应商，评审得分相同的，按照最后报价由低到高的顺序推荐。评审得分且最后报价相同的，按照工期由短到长顺序推荐预成交供应商，以上都相同由采购人根据投标家数数量编号“1号”/“2号”/....以此类推，随机抽取数值大者为预成交供应商，采购人授权磋商小组根据评审报告直接确定成交供应商，并编写采购报告。</w:t>
      </w:r>
    </w:p>
    <w:p>
      <w:pPr>
        <w:adjustRightInd w:val="0"/>
        <w:spacing w:before="100" w:after="50"/>
        <w:ind w:firstLine="420"/>
      </w:pPr>
      <w:r>
        <w:rPr>
          <w:rFonts w:hint="eastAsia"/>
        </w:rPr>
        <w:t>3、所有分值计算保留小数点后二位，小数点后三位四舍五入。</w:t>
      </w:r>
    </w:p>
    <w:p>
      <w:pPr>
        <w:adjustRightInd w:val="0"/>
        <w:snapToGrid w:val="0"/>
        <w:spacing w:before="100" w:after="50"/>
        <w:ind w:firstLine="420"/>
        <w:rPr>
          <w:rFonts w:cs="Arial"/>
          <w:snapToGrid w:val="0"/>
        </w:rPr>
      </w:pPr>
      <w:r>
        <w:rPr>
          <w:rFonts w:hint="eastAsia" w:cs="Arial"/>
          <w:snapToGrid w:val="0"/>
        </w:rPr>
        <w:t>4、评审过程中遇到特殊情况，由磋商小组遵循竞争性磋商、公正原则，采取投票方式按照少数服从多数原则决定。</w:t>
      </w:r>
    </w:p>
    <w:p>
      <w:pPr>
        <w:adjustRightInd w:val="0"/>
        <w:spacing w:before="100" w:after="50"/>
        <w:ind w:firstLine="420"/>
      </w:pPr>
      <w:r>
        <w:rPr>
          <w:rFonts w:hint="eastAsia"/>
        </w:rPr>
        <w:t>参见本磋商文件第三部分：“供应商须知” 中的相关内容，未尽事宜按有关法律规定处理。</w:t>
      </w:r>
    </w:p>
    <w:p>
      <w:pPr>
        <w:spacing w:line="460" w:lineRule="atLeast"/>
        <w:jc w:val="center"/>
        <w:rPr>
          <w:sz w:val="36"/>
          <w:szCs w:val="36"/>
        </w:rPr>
      </w:pPr>
      <w:r>
        <w:rPr>
          <w:rFonts w:hint="eastAsia"/>
          <w:b/>
          <w:color w:val="000000" w:themeColor="text1"/>
          <w:sz w:val="28"/>
          <w:szCs w:val="28"/>
          <w14:textFill>
            <w14:solidFill>
              <w14:schemeClr w14:val="tx1"/>
            </w14:solidFill>
          </w14:textFill>
        </w:rPr>
        <w:br w:type="page"/>
      </w:r>
      <w:r>
        <w:rPr>
          <w:rFonts w:hint="eastAsia"/>
          <w:b/>
          <w:bCs/>
          <w:sz w:val="36"/>
          <w:szCs w:val="36"/>
        </w:rPr>
        <w:t>考核办法</w:t>
      </w:r>
    </w:p>
    <w:p>
      <w:pPr>
        <w:spacing w:line="460" w:lineRule="atLeast"/>
        <w:jc w:val="center"/>
        <w:rPr>
          <w:sz w:val="36"/>
          <w:szCs w:val="36"/>
        </w:rPr>
      </w:pPr>
    </w:p>
    <w:p>
      <w:pPr>
        <w:spacing w:line="460" w:lineRule="atLeast"/>
        <w:jc w:val="center"/>
        <w:rPr>
          <w:sz w:val="36"/>
          <w:szCs w:val="36"/>
        </w:rPr>
      </w:pPr>
      <w:r>
        <w:rPr>
          <w:rFonts w:hint="eastAsia"/>
          <w:sz w:val="36"/>
          <w:szCs w:val="36"/>
        </w:rPr>
        <w:t>文成县政务服务中心对购买辅助团队服务的绩效考核办法</w:t>
      </w:r>
    </w:p>
    <w:p>
      <w:pPr>
        <w:spacing w:line="460" w:lineRule="atLeast"/>
        <w:ind w:firstLine="440" w:firstLineChars="200"/>
      </w:pPr>
      <w:r>
        <w:rPr>
          <w:rFonts w:hint="eastAsia"/>
        </w:rPr>
        <w:t>为加强对购买辅助团队服务的中标供应商的管理与考核，规范政务服务服务中心（以下简称“中心”）辅助团队服务工作人员的服务行为，优化政务服务质量，提高服务效能，结合政务服务中心实际工作要求，特制订本量化考核办法。</w:t>
      </w:r>
    </w:p>
    <w:p>
      <w:pPr>
        <w:spacing w:line="460" w:lineRule="atLeast"/>
        <w:ind w:firstLine="440" w:firstLineChars="200"/>
      </w:pPr>
      <w:r>
        <w:rPr>
          <w:rFonts w:hint="eastAsia"/>
        </w:rPr>
        <w:t>一、考核对象</w:t>
      </w:r>
    </w:p>
    <w:p>
      <w:pPr>
        <w:spacing w:line="460" w:lineRule="atLeast"/>
        <w:ind w:firstLine="440" w:firstLineChars="200"/>
      </w:pPr>
      <w:r>
        <w:rPr>
          <w:rFonts w:hint="eastAsia"/>
        </w:rPr>
        <w:t>考核对象为此次政务服务中心政府购买辅助团队服务的竞争性磋商采购的成交供应商派驻到中心上岗提供服务的全体工作人员。</w:t>
      </w:r>
    </w:p>
    <w:p>
      <w:pPr>
        <w:spacing w:line="460" w:lineRule="atLeast"/>
        <w:ind w:firstLine="440" w:firstLineChars="200"/>
      </w:pPr>
      <w:r>
        <w:rPr>
          <w:rFonts w:hint="eastAsia"/>
        </w:rPr>
        <w:t>二、考核办法</w:t>
      </w:r>
    </w:p>
    <w:p>
      <w:pPr>
        <w:spacing w:line="460" w:lineRule="atLeast"/>
        <w:ind w:firstLine="440" w:firstLineChars="200"/>
      </w:pPr>
      <w:r>
        <w:rPr>
          <w:rFonts w:hint="eastAsia"/>
        </w:rPr>
        <w:t>对为中心提供辅助团队服务的成交供应商及其派驻中心上岗的全体工作人员进行每月一次的考核，考核采用百分制计分。</w:t>
      </w:r>
    </w:p>
    <w:p>
      <w:pPr>
        <w:spacing w:line="460" w:lineRule="atLeast"/>
        <w:ind w:firstLine="440" w:firstLineChars="200"/>
      </w:pPr>
      <w:r>
        <w:rPr>
          <w:rFonts w:hint="eastAsia"/>
        </w:rPr>
        <w:t>（一）考核奖惩</w:t>
      </w:r>
    </w:p>
    <w:p>
      <w:pPr>
        <w:spacing w:line="460" w:lineRule="atLeast"/>
        <w:ind w:firstLine="440" w:firstLineChars="200"/>
      </w:pPr>
      <w:r>
        <w:rPr>
          <w:rFonts w:hint="eastAsia"/>
        </w:rPr>
        <w:t>1.考核结果分四档：</w:t>
      </w:r>
    </w:p>
    <w:p>
      <w:pPr>
        <w:spacing w:line="460" w:lineRule="atLeast"/>
        <w:ind w:firstLine="440" w:firstLineChars="200"/>
      </w:pPr>
      <w:r>
        <w:rPr>
          <w:rFonts w:hint="eastAsia"/>
        </w:rPr>
        <w:t>一档：综合考核分95分以上（包括95分），拨付当月应发放给成交供应商100%的购买服务经费。</w:t>
      </w:r>
    </w:p>
    <w:p>
      <w:pPr>
        <w:spacing w:line="460" w:lineRule="atLeast"/>
        <w:ind w:firstLine="440" w:firstLineChars="200"/>
      </w:pPr>
      <w:r>
        <w:rPr>
          <w:rFonts w:hint="eastAsia"/>
        </w:rPr>
        <w:t>二档：综合考核分90分以上（包括90分）95分以下，拨付当月应发放给成交供应商95%的购买服务经费。</w:t>
      </w:r>
    </w:p>
    <w:p>
      <w:pPr>
        <w:spacing w:line="460" w:lineRule="atLeast"/>
        <w:ind w:firstLine="440" w:firstLineChars="200"/>
      </w:pPr>
      <w:r>
        <w:rPr>
          <w:rFonts w:hint="eastAsia"/>
        </w:rPr>
        <w:t>三档：综合考核分90分以下85分（包括85分）以上的，拨付当月应发放给成交供应商90%的购买服务经费。</w:t>
      </w:r>
    </w:p>
    <w:p>
      <w:pPr>
        <w:spacing w:line="460" w:lineRule="atLeast"/>
        <w:ind w:firstLine="440" w:firstLineChars="200"/>
      </w:pPr>
      <w:r>
        <w:rPr>
          <w:rFonts w:hint="eastAsia"/>
        </w:rPr>
        <w:t>四档：综合考核分85分以下（不包括85分），拨付当月应发放给成交供应商85%的购买服务经费。</w:t>
      </w:r>
    </w:p>
    <w:p>
      <w:pPr>
        <w:spacing w:line="460" w:lineRule="atLeast"/>
        <w:ind w:firstLine="440" w:firstLineChars="200"/>
      </w:pPr>
      <w:r>
        <w:rPr>
          <w:rFonts w:hint="eastAsia"/>
        </w:rPr>
        <w:t>2．派驻上岗的服务人员个人考核分连续3个月排在全体工作人员最后一名的，且考核分在85分以下的，中心有权提出要求公司召回，重新派遣人员。</w:t>
      </w:r>
    </w:p>
    <w:p>
      <w:pPr>
        <w:spacing w:line="460" w:lineRule="atLeast"/>
        <w:ind w:firstLine="440" w:firstLineChars="200"/>
      </w:pPr>
      <w:r>
        <w:rPr>
          <w:rFonts w:hint="eastAsia"/>
        </w:rPr>
        <w:t>3．病、事假全年累计超过60天（不包括60天）或累计旷工5天以上（不包括5天）的，中心有权提出要求公司召回，重新派遣人员。</w:t>
      </w:r>
    </w:p>
    <w:p>
      <w:pPr>
        <w:spacing w:line="460" w:lineRule="atLeast"/>
        <w:ind w:firstLine="440" w:firstLineChars="200"/>
      </w:pPr>
      <w:r>
        <w:rPr>
          <w:rFonts w:hint="eastAsia"/>
        </w:rPr>
        <w:t>4．出现下列情况的，当月综合考核分直接计为90分：工作人员有违反“八条禁令”，被新闻媒体批评曝光或被相关部门明察暗访发现问题的；工作人员被群众有效投诉当月累计达3件的；未经县政务服务中心协商同意，擅自调换新的工作人员的。</w:t>
      </w:r>
    </w:p>
    <w:p>
      <w:pPr>
        <w:spacing w:line="460" w:lineRule="atLeast"/>
        <w:ind w:firstLine="440" w:firstLineChars="200"/>
      </w:pPr>
      <w:r>
        <w:rPr>
          <w:rFonts w:hint="eastAsia"/>
        </w:rPr>
        <w:t>（二）综合考核计分方法</w:t>
      </w:r>
    </w:p>
    <w:p>
      <w:pPr>
        <w:spacing w:line="460" w:lineRule="atLeast"/>
        <w:ind w:firstLine="440" w:firstLineChars="200"/>
      </w:pPr>
      <w:r>
        <w:rPr>
          <w:rFonts w:hint="eastAsia"/>
        </w:rPr>
        <w:t>综合考核计分以对成交供应商考核计分和对工作人员考核计分为依据，计分方式如下：</w:t>
      </w:r>
    </w:p>
    <w:p>
      <w:pPr>
        <w:spacing w:line="460" w:lineRule="atLeast"/>
        <w:ind w:firstLine="440" w:firstLineChars="200"/>
      </w:pPr>
      <w:r>
        <w:rPr>
          <w:rFonts w:hint="eastAsia"/>
        </w:rPr>
        <w:t>月综合考核得分=总分（总分值100分）-被扣分值（成交供应商考核被扣分+工作人员考核被扣分×20%）+附加分</w:t>
      </w:r>
    </w:p>
    <w:p>
      <w:pPr>
        <w:spacing w:line="460" w:lineRule="atLeast"/>
        <w:ind w:firstLine="440" w:firstLineChars="200"/>
      </w:pPr>
      <w:r>
        <w:rPr>
          <w:rFonts w:hint="eastAsia"/>
        </w:rPr>
        <w:t>三、考核细则</w:t>
      </w:r>
    </w:p>
    <w:p>
      <w:pPr>
        <w:spacing w:line="460" w:lineRule="atLeast"/>
        <w:ind w:firstLine="440" w:firstLineChars="200"/>
      </w:pPr>
      <w:r>
        <w:rPr>
          <w:rFonts w:hint="eastAsia"/>
        </w:rPr>
        <w:t>（一）成交供应商考核：基本分100分，附加分10分。</w:t>
      </w:r>
    </w:p>
    <w:p>
      <w:pPr>
        <w:spacing w:line="460" w:lineRule="atLeast"/>
        <w:ind w:firstLine="440" w:firstLineChars="200"/>
      </w:pPr>
      <w:r>
        <w:rPr>
          <w:rFonts w:hint="eastAsia"/>
        </w:rPr>
        <w:t>1．工作统筹及人员配备。认真执行政务服务中心有关规章制度，重视被购买辅助团队服务的建设，人员按要求配备完善，50分。如出现下列情况，予以扣分：</w:t>
      </w:r>
    </w:p>
    <w:p>
      <w:pPr>
        <w:spacing w:line="460" w:lineRule="atLeast"/>
        <w:ind w:firstLine="440" w:firstLineChars="200"/>
      </w:pPr>
      <w:r>
        <w:rPr>
          <w:rFonts w:hint="eastAsia"/>
        </w:rPr>
        <w:t>（1）成交供应商未经中心同意互换各岗位的工作人员的，每次扣2分；</w:t>
      </w:r>
    </w:p>
    <w:p>
      <w:pPr>
        <w:spacing w:line="460" w:lineRule="atLeast"/>
        <w:ind w:firstLine="440" w:firstLineChars="200"/>
      </w:pPr>
      <w:r>
        <w:rPr>
          <w:rFonts w:hint="eastAsia"/>
        </w:rPr>
        <w:t>（2）成交供应商具体负责管理人员应当积极参与大厅现场监督管理，每周至少三次（需到督查科签到），少一次扣2分；</w:t>
      </w:r>
    </w:p>
    <w:p>
      <w:pPr>
        <w:spacing w:line="460" w:lineRule="atLeast"/>
        <w:ind w:firstLine="440" w:firstLineChars="200"/>
      </w:pPr>
      <w:r>
        <w:rPr>
          <w:rFonts w:hint="eastAsia"/>
        </w:rPr>
        <w:t>（3）成交供应商应出席参加而未安排人员参加审批中心有关会议的，每次扣3分；</w:t>
      </w:r>
    </w:p>
    <w:p>
      <w:pPr>
        <w:spacing w:line="460" w:lineRule="atLeast"/>
        <w:ind w:firstLine="440" w:firstLineChars="200"/>
      </w:pPr>
      <w:r>
        <w:rPr>
          <w:rFonts w:hint="eastAsia"/>
        </w:rPr>
        <w:t>（4）团队中有工作人员请假时出现本岗位无人顶岗或无法办理事项的，每次扣2分，顶岗人员需需与被顶岗人员同等学历且能胜任被顶岗人员的岗位工作，不符合要求的，每次扣2分；</w:t>
      </w:r>
    </w:p>
    <w:p>
      <w:pPr>
        <w:spacing w:line="460" w:lineRule="atLeast"/>
        <w:ind w:firstLine="440" w:firstLineChars="200"/>
      </w:pPr>
      <w:r>
        <w:rPr>
          <w:rFonts w:hint="eastAsia"/>
        </w:rPr>
        <w:t xml:space="preserve">（5）不积极参与或配合中心组织的各项活动，视情节每次扣2-5分； </w:t>
      </w:r>
    </w:p>
    <w:p>
      <w:pPr>
        <w:spacing w:line="460" w:lineRule="atLeast"/>
        <w:ind w:firstLine="440" w:firstLineChars="200"/>
      </w:pPr>
      <w:r>
        <w:rPr>
          <w:rFonts w:hint="eastAsia"/>
        </w:rPr>
        <w:t>（6）工作人员不能胜任或者违反中心管理规定的，中心提出召回要求，成交供应商未及时派遣新的工作人员，影响办事的，每次扣5分；</w:t>
      </w:r>
    </w:p>
    <w:p>
      <w:pPr>
        <w:spacing w:line="460" w:lineRule="atLeast"/>
        <w:ind w:firstLine="440" w:firstLineChars="200"/>
      </w:pPr>
      <w:r>
        <w:rPr>
          <w:rFonts w:hint="eastAsia"/>
        </w:rPr>
        <w:t>（7）成交供应商需对安排上岗的工作人员的文凭、身份等信息真实性负责，被发现存在虚假信息的，责令整改且每人次扣5分；</w:t>
      </w:r>
    </w:p>
    <w:p>
      <w:pPr>
        <w:spacing w:line="460" w:lineRule="atLeast"/>
        <w:ind w:firstLine="440" w:firstLineChars="200"/>
      </w:pPr>
      <w:r>
        <w:rPr>
          <w:rFonts w:hint="eastAsia"/>
        </w:rPr>
        <w:t>（8）被报刊、电视等新闻媒体曝光的、被有关职能部门处理的，违反省市有关禁令的、群众投诉经查属实的，发现上述情况每列扣10分。</w:t>
      </w:r>
    </w:p>
    <w:p>
      <w:pPr>
        <w:spacing w:line="460" w:lineRule="atLeast"/>
        <w:ind w:firstLine="440" w:firstLineChars="200"/>
      </w:pPr>
      <w:r>
        <w:rPr>
          <w:rFonts w:hint="eastAsia"/>
        </w:rPr>
        <w:t>2．安全及卫生保洁。保持窗口、导办台的安全及卫生，爱护工作场所的公共财物，10分。如出现下列情况，予以扣分：</w:t>
      </w:r>
    </w:p>
    <w:p>
      <w:pPr>
        <w:spacing w:line="460" w:lineRule="atLeast"/>
        <w:ind w:firstLine="440" w:firstLineChars="200"/>
      </w:pPr>
      <w:r>
        <w:rPr>
          <w:rFonts w:hint="eastAsia"/>
        </w:rPr>
        <w:t>（1）下午下班后未及时关闭办公用电设备的，每次扣1分，造成严重后果的将追究相应责任；</w:t>
      </w:r>
    </w:p>
    <w:p>
      <w:pPr>
        <w:spacing w:line="460" w:lineRule="atLeast"/>
        <w:ind w:firstLine="440" w:firstLineChars="200"/>
      </w:pPr>
      <w:r>
        <w:rPr>
          <w:rFonts w:hint="eastAsia"/>
        </w:rPr>
        <w:t>（2）窗口或导办台不整洁，办公用品和设备摆放无序的，每次扣1分；</w:t>
      </w:r>
    </w:p>
    <w:p>
      <w:pPr>
        <w:spacing w:line="460" w:lineRule="atLeast"/>
        <w:ind w:firstLine="440" w:firstLineChars="200"/>
      </w:pPr>
      <w:r>
        <w:rPr>
          <w:rFonts w:hint="eastAsia"/>
        </w:rPr>
        <w:t>（3）损坏公共财物的，每次扣3分，造成严重后果的将追究相应责任。</w:t>
      </w:r>
    </w:p>
    <w:p>
      <w:pPr>
        <w:spacing w:line="460" w:lineRule="atLeast"/>
        <w:ind w:firstLine="440" w:firstLineChars="200"/>
      </w:pPr>
      <w:r>
        <w:rPr>
          <w:rFonts w:hint="eastAsia"/>
        </w:rPr>
        <w:t>3．评议情况。服务对象评议好，10分。如出现下列情况，予以扣分：</w:t>
      </w:r>
    </w:p>
    <w:p>
      <w:pPr>
        <w:spacing w:line="460" w:lineRule="atLeast"/>
        <w:ind w:firstLine="440" w:firstLineChars="200"/>
      </w:pPr>
      <w:r>
        <w:rPr>
          <w:rFonts w:hint="eastAsia"/>
        </w:rPr>
        <w:t>（1）服务对象投诉，经查实过错责任在成交供应商的，每次扣3分；影响中心正常工作秩序的，每次扣3分；</w:t>
      </w:r>
    </w:p>
    <w:p>
      <w:pPr>
        <w:spacing w:line="460" w:lineRule="atLeast"/>
        <w:ind w:firstLine="440" w:firstLineChars="200"/>
      </w:pPr>
      <w:r>
        <w:rPr>
          <w:rFonts w:hint="eastAsia"/>
        </w:rPr>
        <w:t>（2）在办件跟踪抽查中反映“差”的，每件次扣2分。</w:t>
      </w:r>
    </w:p>
    <w:p>
      <w:pPr>
        <w:spacing w:line="460" w:lineRule="atLeast"/>
        <w:ind w:firstLine="440" w:firstLineChars="200"/>
      </w:pPr>
      <w:r>
        <w:rPr>
          <w:rFonts w:hint="eastAsia"/>
        </w:rPr>
        <w:t>（3）综合受理窗口、导办台等岗位被进驻中心的与之相关部门评议较差或投诉的每次扣2分。</w:t>
      </w:r>
    </w:p>
    <w:p>
      <w:pPr>
        <w:spacing w:line="460" w:lineRule="atLeast"/>
        <w:ind w:firstLine="440" w:firstLineChars="200"/>
      </w:pPr>
      <w:r>
        <w:rPr>
          <w:rFonts w:hint="eastAsia"/>
        </w:rPr>
        <w:t>4． 学习培训。成交供应商应当经常组织工作人员进行审批业务知识、文明服务规范、中心各项规章制度、职业道德、安全应急等方面的学习、教育。30分。如出现下列情况，予以扣分：</w:t>
      </w:r>
    </w:p>
    <w:p>
      <w:pPr>
        <w:spacing w:line="460" w:lineRule="atLeast"/>
        <w:ind w:firstLine="440" w:firstLineChars="200"/>
      </w:pPr>
      <w:r>
        <w:rPr>
          <w:rFonts w:hint="eastAsia"/>
        </w:rPr>
        <w:t>（1）每月至少进行一次相关学习培训（须有相关培训记录与学习内容），没有的，扣5分；</w:t>
      </w:r>
    </w:p>
    <w:p>
      <w:pPr>
        <w:spacing w:line="460" w:lineRule="atLeast"/>
        <w:ind w:firstLine="440" w:firstLineChars="200"/>
      </w:pPr>
      <w:r>
        <w:rPr>
          <w:rFonts w:hint="eastAsia"/>
        </w:rPr>
        <w:t>（2）工作人员在中心组织的各项考核测评中，整体成绩被评定为偏差的，每次扣5分；</w:t>
      </w:r>
    </w:p>
    <w:p>
      <w:pPr>
        <w:spacing w:line="460" w:lineRule="atLeast"/>
        <w:ind w:firstLine="440" w:firstLineChars="200"/>
      </w:pPr>
      <w:r>
        <w:rPr>
          <w:rFonts w:hint="eastAsia"/>
        </w:rPr>
        <w:t>（3）因教育、培训不到位，导致工作人员出现各种错误情况的，每次视情扣2-5分。</w:t>
      </w:r>
    </w:p>
    <w:p>
      <w:pPr>
        <w:spacing w:line="460" w:lineRule="atLeast"/>
        <w:ind w:firstLine="440" w:firstLineChars="200"/>
      </w:pPr>
      <w:r>
        <w:rPr>
          <w:rFonts w:hint="eastAsia"/>
        </w:rPr>
        <w:t>5．附加分。对以下情况予以加分，10分。</w:t>
      </w:r>
    </w:p>
    <w:p>
      <w:pPr>
        <w:spacing w:line="460" w:lineRule="atLeast"/>
        <w:ind w:firstLine="440" w:firstLineChars="200"/>
      </w:pPr>
      <w:r>
        <w:rPr>
          <w:rFonts w:hint="eastAsia"/>
        </w:rPr>
        <w:t>（1）信息的报送根据中心的信息上报制度相关规定给予加分。</w:t>
      </w:r>
    </w:p>
    <w:p>
      <w:pPr>
        <w:spacing w:line="460" w:lineRule="atLeast"/>
        <w:ind w:firstLine="440" w:firstLineChars="200"/>
      </w:pPr>
      <w:r>
        <w:rPr>
          <w:rFonts w:hint="eastAsia"/>
        </w:rPr>
        <w:t>（2）服务对象来信反映“好”的，每封加0.2分，最多1分；</w:t>
      </w:r>
    </w:p>
    <w:p>
      <w:pPr>
        <w:spacing w:line="460" w:lineRule="atLeast"/>
        <w:ind w:firstLine="440" w:firstLineChars="200"/>
      </w:pPr>
      <w:r>
        <w:rPr>
          <w:rFonts w:hint="eastAsia"/>
        </w:rPr>
        <w:t>（3）获锦旗或镜框表扬的，每件加2分，最多6分；</w:t>
      </w:r>
    </w:p>
    <w:p>
      <w:pPr>
        <w:spacing w:line="460" w:lineRule="atLeast"/>
        <w:ind w:firstLine="440" w:firstLineChars="200"/>
      </w:pPr>
      <w:r>
        <w:rPr>
          <w:rFonts w:hint="eastAsia"/>
        </w:rPr>
        <w:t>（4）出现好人好事现象的，每次视情加1-3分；</w:t>
      </w:r>
    </w:p>
    <w:p>
      <w:pPr>
        <w:spacing w:line="460" w:lineRule="atLeast"/>
        <w:ind w:firstLine="440" w:firstLineChars="200"/>
      </w:pPr>
      <w:r>
        <w:rPr>
          <w:rFonts w:hint="eastAsia"/>
        </w:rPr>
        <w:t>（5）在岗位服务、制度创新等方面有创造性成果或较大贡献，或相关事迹被各级新闻媒体表扬的，每次视情加2-5分。</w:t>
      </w:r>
    </w:p>
    <w:p>
      <w:pPr>
        <w:spacing w:line="460" w:lineRule="atLeast"/>
        <w:ind w:firstLine="440" w:firstLineChars="200"/>
      </w:pPr>
      <w:r>
        <w:rPr>
          <w:rFonts w:hint="eastAsia"/>
        </w:rPr>
        <w:t>（6）在审批服务、大厅现场管理等有关方面建设中积极协助中心的，经中心认定，可视情加2-5分.</w:t>
      </w:r>
    </w:p>
    <w:p>
      <w:pPr>
        <w:spacing w:line="460" w:lineRule="atLeast"/>
        <w:ind w:firstLine="440" w:firstLineChars="200"/>
      </w:pPr>
      <w:r>
        <w:rPr>
          <w:rFonts w:hint="eastAsia"/>
        </w:rPr>
        <w:t>以上加分中若出现弄虚作假现象，加倍扣除相应项目分。</w:t>
      </w:r>
    </w:p>
    <w:p>
      <w:pPr>
        <w:spacing w:line="460" w:lineRule="atLeast"/>
        <w:ind w:firstLine="440" w:firstLineChars="200"/>
      </w:pPr>
      <w:r>
        <w:rPr>
          <w:rFonts w:hint="eastAsia"/>
        </w:rPr>
        <w:t>（二）工作人员考核：基本分100分，附加分10分。</w:t>
      </w:r>
    </w:p>
    <w:p>
      <w:pPr>
        <w:spacing w:line="460" w:lineRule="atLeast"/>
        <w:ind w:firstLine="440" w:firstLineChars="200"/>
      </w:pPr>
      <w:r>
        <w:rPr>
          <w:rFonts w:hint="eastAsia"/>
        </w:rPr>
        <w:t>1．工作纪律。认真执行中心规章制度和工作纪律，35分。如出现下列情况，予以扣分：</w:t>
      </w:r>
    </w:p>
    <w:p>
      <w:pPr>
        <w:spacing w:line="460" w:lineRule="atLeast"/>
        <w:ind w:firstLine="440" w:firstLineChars="200"/>
      </w:pPr>
      <w:r>
        <w:rPr>
          <w:rFonts w:hint="eastAsia"/>
        </w:rPr>
        <w:t>（1）工作人员未佩戴工作证，每次扣1分；岗位牌未放置或故意遮挡的，每次扣1分；</w:t>
      </w:r>
    </w:p>
    <w:p>
      <w:pPr>
        <w:spacing w:line="460" w:lineRule="atLeast"/>
        <w:ind w:firstLine="440" w:firstLineChars="200"/>
      </w:pPr>
      <w:r>
        <w:rPr>
          <w:rFonts w:hint="eastAsia"/>
        </w:rPr>
        <w:t xml:space="preserve">（2）外出（需确保窗口有人员在岗）时未签出，每次扣1分；超出请假时间，人员仍未回到岗位的，当缺签处理； </w:t>
      </w:r>
    </w:p>
    <w:p>
      <w:pPr>
        <w:spacing w:line="460" w:lineRule="atLeast"/>
        <w:ind w:firstLine="440" w:firstLineChars="200"/>
      </w:pPr>
      <w:r>
        <w:rPr>
          <w:rFonts w:hint="eastAsia"/>
        </w:rPr>
        <w:t>（3）串岗聊天（无人在岗）或在工作区大声喧哗的，每次扣1分；</w:t>
      </w:r>
    </w:p>
    <w:p>
      <w:pPr>
        <w:spacing w:line="460" w:lineRule="atLeast"/>
        <w:ind w:firstLine="440" w:firstLineChars="200"/>
      </w:pPr>
      <w:r>
        <w:rPr>
          <w:rFonts w:hint="eastAsia"/>
        </w:rPr>
        <w:t>（4） 带小孩或与工作无关的人员进入工作区的，每次扣0.5分；</w:t>
      </w:r>
    </w:p>
    <w:p>
      <w:pPr>
        <w:spacing w:line="460" w:lineRule="atLeast"/>
        <w:ind w:firstLine="440" w:firstLineChars="200"/>
      </w:pPr>
      <w:r>
        <w:rPr>
          <w:rFonts w:hint="eastAsia"/>
        </w:rPr>
        <w:t>（5）着装不规范或未按要求着制服的，每次扣1分；</w:t>
      </w:r>
    </w:p>
    <w:p>
      <w:pPr>
        <w:spacing w:line="460" w:lineRule="atLeast"/>
        <w:ind w:firstLine="440" w:firstLineChars="200"/>
      </w:pPr>
      <w:r>
        <w:rPr>
          <w:rFonts w:hint="eastAsia"/>
        </w:rPr>
        <w:t>（6）人员暂时离开未标明去向的（未将暂时离开指示牌放在窗口醒目处的），每次扣1分；</w:t>
      </w:r>
    </w:p>
    <w:p>
      <w:pPr>
        <w:spacing w:line="460" w:lineRule="atLeast"/>
        <w:ind w:firstLine="440" w:firstLineChars="200"/>
      </w:pPr>
      <w:r>
        <w:rPr>
          <w:rFonts w:hint="eastAsia"/>
        </w:rPr>
        <w:t>（7）戴耳机听音乐、玩手机、玩电脑游戏、浏览与业务工作无关的网站等或有不文明言行的，每次扣1分；</w:t>
      </w:r>
    </w:p>
    <w:p>
      <w:pPr>
        <w:spacing w:line="460" w:lineRule="atLeast"/>
        <w:ind w:firstLine="440" w:firstLineChars="200"/>
      </w:pPr>
      <w:r>
        <w:rPr>
          <w:rFonts w:hint="eastAsia"/>
        </w:rPr>
        <w:t>（8）违反中心计算机管理制度的，每次扣1分；</w:t>
      </w:r>
    </w:p>
    <w:p>
      <w:pPr>
        <w:spacing w:line="460" w:lineRule="atLeast"/>
        <w:ind w:firstLine="440" w:firstLineChars="200"/>
      </w:pPr>
      <w:r>
        <w:rPr>
          <w:rFonts w:hint="eastAsia"/>
        </w:rPr>
        <w:t>（9）工作过程中与服务对象发生争吵的，每次扣3分；</w:t>
      </w:r>
    </w:p>
    <w:p>
      <w:pPr>
        <w:spacing w:line="460" w:lineRule="atLeast"/>
        <w:ind w:firstLine="440" w:firstLineChars="200"/>
      </w:pPr>
      <w:r>
        <w:rPr>
          <w:rFonts w:hint="eastAsia"/>
        </w:rPr>
        <w:t>（10）对中心协调办理的事项，不服从安排的，每次扣3分；</w:t>
      </w:r>
    </w:p>
    <w:p>
      <w:pPr>
        <w:spacing w:line="460" w:lineRule="atLeast"/>
        <w:ind w:firstLine="440" w:firstLineChars="200"/>
      </w:pPr>
      <w:r>
        <w:rPr>
          <w:rFonts w:hint="eastAsia"/>
        </w:rPr>
        <w:t>（11）上班时间内吃早点、零食、吸烟等的，每次扣3分；</w:t>
      </w:r>
    </w:p>
    <w:p>
      <w:pPr>
        <w:spacing w:line="460" w:lineRule="atLeast"/>
        <w:ind w:firstLine="440" w:firstLineChars="200"/>
      </w:pPr>
      <w:r>
        <w:rPr>
          <w:rFonts w:hint="eastAsia"/>
        </w:rPr>
        <w:t>（12）抽查发现对中心配套的各项制度及现场管理的要求不清楚、不明白的，视情每次扣1-3分</w:t>
      </w:r>
    </w:p>
    <w:p>
      <w:pPr>
        <w:spacing w:line="460" w:lineRule="atLeast"/>
        <w:ind w:firstLine="440" w:firstLineChars="200"/>
      </w:pPr>
      <w:r>
        <w:rPr>
          <w:rFonts w:hint="eastAsia"/>
        </w:rPr>
        <w:t>（13）不服从中心有关管理，不配合中心有关活动的，存在消极、抵触情形的，每次扣2分。</w:t>
      </w:r>
    </w:p>
    <w:p>
      <w:pPr>
        <w:spacing w:line="460" w:lineRule="atLeast"/>
        <w:ind w:firstLine="440" w:firstLineChars="200"/>
      </w:pPr>
      <w:r>
        <w:rPr>
          <w:rFonts w:hint="eastAsia"/>
        </w:rPr>
        <w:t>（14）被报刊、电视等新闻媒体曝光的，被中心或有关职能部门处理的，违反省市有关禁令的，发现上述情况每次扣10分。</w:t>
      </w:r>
    </w:p>
    <w:p>
      <w:pPr>
        <w:spacing w:line="460" w:lineRule="atLeast"/>
        <w:ind w:firstLine="440" w:firstLineChars="200"/>
      </w:pPr>
      <w:r>
        <w:rPr>
          <w:rFonts w:hint="eastAsia"/>
        </w:rPr>
        <w:t>2．导办、受理、代办等情况。严格按中心有关管理制度办理事项，提供优质服务，25分。如出现下列情况，予以扣分：</w:t>
      </w:r>
    </w:p>
    <w:p>
      <w:pPr>
        <w:spacing w:line="460" w:lineRule="atLeast"/>
        <w:ind w:firstLine="440" w:firstLineChars="200"/>
      </w:pPr>
      <w:r>
        <w:rPr>
          <w:rFonts w:hint="eastAsia"/>
        </w:rPr>
        <w:t>（1）有办事群众反映工作人员未能及时、准确地解答相关咨询的，每件次扣1分；</w:t>
      </w:r>
    </w:p>
    <w:p>
      <w:pPr>
        <w:spacing w:line="460" w:lineRule="atLeast"/>
        <w:ind w:firstLine="440" w:firstLineChars="200"/>
      </w:pPr>
      <w:r>
        <w:rPr>
          <w:rFonts w:hint="eastAsia"/>
        </w:rPr>
        <w:t>（2）办件材料报送、流转不及时的，每件次扣2分；</w:t>
      </w:r>
    </w:p>
    <w:p>
      <w:pPr>
        <w:spacing w:line="460" w:lineRule="atLeast"/>
        <w:ind w:firstLine="440" w:firstLineChars="200"/>
      </w:pPr>
      <w:r>
        <w:rPr>
          <w:rFonts w:hint="eastAsia"/>
        </w:rPr>
        <w:t>（3）在进行咨询、导办、受理、代办等服务中未履行一次性告知等相关要求的，每件次扣2分；</w:t>
      </w:r>
    </w:p>
    <w:p>
      <w:pPr>
        <w:spacing w:line="460" w:lineRule="atLeast"/>
        <w:ind w:firstLine="440" w:firstLineChars="200"/>
      </w:pPr>
      <w:r>
        <w:rPr>
          <w:rFonts w:hint="eastAsia"/>
        </w:rPr>
        <w:t>（4）协调不力，影响其他部门或服务对象开展工作的，每件次扣2分；</w:t>
      </w:r>
    </w:p>
    <w:p>
      <w:pPr>
        <w:spacing w:line="460" w:lineRule="atLeast"/>
        <w:ind w:firstLine="440" w:firstLineChars="200"/>
      </w:pPr>
      <w:r>
        <w:rPr>
          <w:rFonts w:hint="eastAsia"/>
        </w:rPr>
        <w:t>（5）未按要求，没有当场出具承诺件受理或不受予理的通知书（告知书）的，每件次扣2分；</w:t>
      </w:r>
    </w:p>
    <w:p>
      <w:pPr>
        <w:spacing w:line="460" w:lineRule="atLeast"/>
        <w:ind w:firstLine="440" w:firstLineChars="200"/>
      </w:pPr>
      <w:r>
        <w:rPr>
          <w:rFonts w:hint="eastAsia"/>
        </w:rPr>
        <w:t>（6）在中心组织的业务考试或测试中不合格的，每次扣3分；</w:t>
      </w:r>
    </w:p>
    <w:p>
      <w:pPr>
        <w:spacing w:line="460" w:lineRule="atLeast"/>
        <w:ind w:firstLine="440" w:firstLineChars="200"/>
      </w:pPr>
      <w:r>
        <w:rPr>
          <w:rFonts w:hint="eastAsia"/>
        </w:rPr>
        <w:t>（7）相关办件未按要求录入有关平台系统的，每件次扣2分；</w:t>
      </w:r>
    </w:p>
    <w:p>
      <w:pPr>
        <w:spacing w:line="460" w:lineRule="atLeast"/>
        <w:ind w:firstLine="440" w:firstLineChars="200"/>
      </w:pPr>
      <w:r>
        <w:rPr>
          <w:rFonts w:hint="eastAsia"/>
        </w:rPr>
        <w:t>（8）业务不熟练导致咨询、受理或代办的工作出现差错的，每件次扣3分；</w:t>
      </w:r>
    </w:p>
    <w:p>
      <w:pPr>
        <w:spacing w:line="460" w:lineRule="atLeast"/>
        <w:ind w:firstLine="440" w:firstLineChars="200"/>
      </w:pPr>
      <w:r>
        <w:rPr>
          <w:rFonts w:hint="eastAsia"/>
        </w:rPr>
        <w:t>（9）丢失办理事项有关档案资料的，视情每件次扣2-5分。</w:t>
      </w:r>
    </w:p>
    <w:p>
      <w:pPr>
        <w:spacing w:line="460" w:lineRule="atLeast"/>
        <w:ind w:firstLine="440" w:firstLineChars="200"/>
      </w:pPr>
      <w:r>
        <w:rPr>
          <w:rFonts w:hint="eastAsia"/>
        </w:rPr>
        <w:t>3．考勤情况。认真执行中心内部管理制度，30分。如出现下列情况，予以扣分：</w:t>
      </w:r>
    </w:p>
    <w:p>
      <w:pPr>
        <w:spacing w:line="460" w:lineRule="atLeast"/>
        <w:ind w:firstLine="440" w:firstLineChars="200"/>
      </w:pPr>
      <w:r>
        <w:rPr>
          <w:rFonts w:hint="eastAsia"/>
        </w:rPr>
        <w:t>（1）请假、公事等都应提前办理相关手续的（同时必须有人顶岗补位），未办理或无人顶岗补位的的当旷工处理。</w:t>
      </w:r>
    </w:p>
    <w:p>
      <w:pPr>
        <w:spacing w:line="460" w:lineRule="atLeast"/>
        <w:ind w:firstLine="440" w:firstLineChars="200"/>
      </w:pPr>
      <w:r>
        <w:rPr>
          <w:rFonts w:hint="eastAsia"/>
        </w:rPr>
        <w:t xml:space="preserve">（2）无故缺席中心组织开展的理论学习、业务培训及重要会议等活动的，每次扣2分，迟到或早退的，每次扣1分； </w:t>
      </w:r>
    </w:p>
    <w:p>
      <w:pPr>
        <w:spacing w:line="460" w:lineRule="atLeast"/>
        <w:ind w:firstLine="440" w:firstLineChars="200"/>
      </w:pPr>
      <w:r>
        <w:rPr>
          <w:rFonts w:hint="eastAsia"/>
        </w:rPr>
        <w:t>（3）上班迟到、早退的，每次扣1分；</w:t>
      </w:r>
    </w:p>
    <w:p>
      <w:pPr>
        <w:spacing w:line="460" w:lineRule="atLeast"/>
        <w:ind w:firstLine="440" w:firstLineChars="200"/>
      </w:pPr>
      <w:r>
        <w:rPr>
          <w:rFonts w:hint="eastAsia"/>
        </w:rPr>
        <w:t>（4）缺签一次（经查证确实属于遗忘的）扣1分；</w:t>
      </w:r>
    </w:p>
    <w:p>
      <w:pPr>
        <w:spacing w:line="460" w:lineRule="atLeast"/>
        <w:ind w:firstLine="440" w:firstLineChars="200"/>
      </w:pPr>
      <w:r>
        <w:rPr>
          <w:rFonts w:hint="eastAsia"/>
        </w:rPr>
        <w:t>（5）擅自离岗的，每次扣3分；</w:t>
      </w:r>
    </w:p>
    <w:p>
      <w:pPr>
        <w:spacing w:line="460" w:lineRule="atLeast"/>
        <w:ind w:firstLine="440" w:firstLineChars="200"/>
      </w:pPr>
      <w:r>
        <w:rPr>
          <w:rFonts w:hint="eastAsia"/>
        </w:rPr>
        <w:t>（6）当月病、事假累计2天（不包括2天）以上（病假需出具医院证明）(特殊情况除外)，超过的每天扣3分；</w:t>
      </w:r>
    </w:p>
    <w:p>
      <w:pPr>
        <w:spacing w:line="460" w:lineRule="atLeast"/>
        <w:ind w:firstLine="440" w:firstLineChars="200"/>
      </w:pPr>
      <w:r>
        <w:rPr>
          <w:rFonts w:hint="eastAsia"/>
        </w:rPr>
        <w:t>（7）旷工的，每天扣10分。</w:t>
      </w:r>
    </w:p>
    <w:p>
      <w:pPr>
        <w:spacing w:line="460" w:lineRule="atLeast"/>
        <w:ind w:firstLine="440" w:firstLineChars="200"/>
      </w:pPr>
      <w:r>
        <w:rPr>
          <w:rFonts w:hint="eastAsia"/>
        </w:rPr>
        <w:t>4．评议情况。服务对象评议好，10分。如出现下列情况，予以扣分：</w:t>
      </w:r>
    </w:p>
    <w:p>
      <w:pPr>
        <w:spacing w:line="460" w:lineRule="atLeast"/>
        <w:ind w:firstLine="440" w:firstLineChars="200"/>
      </w:pPr>
      <w:r>
        <w:rPr>
          <w:rFonts w:hint="eastAsia"/>
        </w:rPr>
        <w:t>（1）被办事群众评议或评定为“不满意”的，每件次扣2分；</w:t>
      </w:r>
    </w:p>
    <w:p>
      <w:pPr>
        <w:spacing w:line="460" w:lineRule="atLeast"/>
        <w:ind w:firstLine="440" w:firstLineChars="200"/>
      </w:pPr>
      <w:r>
        <w:rPr>
          <w:rFonts w:hint="eastAsia"/>
        </w:rPr>
        <w:t>（2）被办事群众通过12345、大厅意见建议投诉簿或现场到督查科有效投诉的，经查实过错责任在工作人员的，每次扣3分；影响中心正常工作秩序的，每次扣5分；</w:t>
      </w:r>
    </w:p>
    <w:p>
      <w:pPr>
        <w:spacing w:line="460" w:lineRule="atLeast"/>
        <w:ind w:firstLine="440" w:firstLineChars="200"/>
      </w:pPr>
      <w:r>
        <w:rPr>
          <w:rFonts w:hint="eastAsia"/>
        </w:rPr>
        <w:t>（3）有群众电话回访中反映在工作、服务过程中不满意或有问题需要改进的，每次扣1分；</w:t>
      </w:r>
    </w:p>
    <w:p>
      <w:pPr>
        <w:spacing w:line="460" w:lineRule="atLeast"/>
        <w:ind w:firstLine="440" w:firstLineChars="200"/>
      </w:pPr>
      <w:r>
        <w:rPr>
          <w:rFonts w:hint="eastAsia"/>
        </w:rPr>
        <w:t>5．附加分。对以下情况予以加分，10分。</w:t>
      </w:r>
    </w:p>
    <w:p>
      <w:pPr>
        <w:spacing w:line="460" w:lineRule="atLeast"/>
        <w:ind w:firstLine="440" w:firstLineChars="200"/>
      </w:pPr>
      <w:r>
        <w:rPr>
          <w:rFonts w:hint="eastAsia"/>
        </w:rPr>
        <w:t>（1）信息的报送根据文成县行政审批服务中心信息上报制度相关规定给予加分。</w:t>
      </w:r>
    </w:p>
    <w:p>
      <w:pPr>
        <w:spacing w:line="460" w:lineRule="atLeast"/>
        <w:ind w:firstLine="440" w:firstLineChars="200"/>
      </w:pPr>
      <w:r>
        <w:rPr>
          <w:rFonts w:hint="eastAsia"/>
        </w:rPr>
        <w:t>（2）服务对象来信反映“好”的，每封加0.2分，最多1分；</w:t>
      </w:r>
    </w:p>
    <w:p>
      <w:pPr>
        <w:spacing w:line="460" w:lineRule="atLeast"/>
        <w:ind w:firstLine="440" w:firstLineChars="200"/>
      </w:pPr>
      <w:r>
        <w:rPr>
          <w:rFonts w:hint="eastAsia"/>
        </w:rPr>
        <w:t>（3）获锦旗或镜框表扬的，每次视情加1-5分；</w:t>
      </w:r>
    </w:p>
    <w:p>
      <w:pPr>
        <w:spacing w:line="460" w:lineRule="atLeast"/>
        <w:ind w:firstLine="440" w:firstLineChars="200"/>
      </w:pPr>
      <w:r>
        <w:rPr>
          <w:rFonts w:hint="eastAsia"/>
        </w:rPr>
        <w:t>（4）非工作时间为服务对象办件的（需有系统办件录入时间、监控等为证），视情每次加1-3分；</w:t>
      </w:r>
    </w:p>
    <w:p>
      <w:pPr>
        <w:spacing w:line="460" w:lineRule="atLeast"/>
        <w:ind w:firstLine="440" w:firstLineChars="200"/>
      </w:pPr>
      <w:r>
        <w:rPr>
          <w:rFonts w:hint="eastAsia"/>
        </w:rPr>
        <w:t>（5）出现好人好事现象的，每次视情加1－3分；</w:t>
      </w:r>
    </w:p>
    <w:p>
      <w:pPr>
        <w:spacing w:line="460" w:lineRule="atLeast"/>
        <w:ind w:firstLine="440" w:firstLineChars="200"/>
      </w:pPr>
      <w:r>
        <w:rPr>
          <w:rFonts w:hint="eastAsia"/>
        </w:rPr>
        <w:t>（6）在行政审批制度改革或审批服务方面等有创造性成果或重大贡献，或被县市级（包括县市级）以上新闻媒体表扬的，每次视情加5-10分。</w:t>
      </w:r>
    </w:p>
    <w:p>
      <w:pPr>
        <w:spacing w:line="460" w:lineRule="atLeast"/>
        <w:ind w:firstLine="440" w:firstLineChars="200"/>
      </w:pPr>
      <w:r>
        <w:rPr>
          <w:rFonts w:hint="eastAsia"/>
        </w:rPr>
        <w:t>以上加分中若出现弄虚作假现象，加倍扣除相应项目分。</w:t>
      </w:r>
    </w:p>
    <w:p>
      <w:pPr>
        <w:spacing w:line="460" w:lineRule="atLeast"/>
        <w:ind w:firstLine="440" w:firstLineChars="200"/>
      </w:pPr>
      <w:r>
        <w:rPr>
          <w:rFonts w:hint="eastAsia"/>
        </w:rPr>
        <w:t>（三）其他说明</w:t>
      </w:r>
    </w:p>
    <w:p>
      <w:pPr>
        <w:spacing w:line="460" w:lineRule="atLeast"/>
        <w:ind w:firstLine="440" w:firstLineChars="200"/>
      </w:pPr>
      <w:r>
        <w:rPr>
          <w:rFonts w:hint="eastAsia"/>
        </w:rPr>
        <w:t>1、相同考核内容中，个人的加减分与成交供应商的加减分不可叠加，即不重复计分。</w:t>
      </w:r>
    </w:p>
    <w:p>
      <w:pPr>
        <w:spacing w:line="460" w:lineRule="atLeast"/>
        <w:ind w:firstLine="440" w:firstLineChars="200"/>
      </w:pPr>
      <w:r>
        <w:rPr>
          <w:rFonts w:hint="eastAsia"/>
        </w:rPr>
        <w:t>2、加分或扣分事项如其分值超过所设置的分值范围，按所设置的最高分值计算。</w:t>
      </w:r>
    </w:p>
    <w:p>
      <w:pPr>
        <w:spacing w:line="460" w:lineRule="atLeast"/>
        <w:ind w:firstLine="440" w:firstLineChars="200"/>
      </w:pPr>
      <w:r>
        <w:rPr>
          <w:rFonts w:hint="eastAsia"/>
        </w:rPr>
        <w:t>3、相关考核资料应于考核月度次月第3个工作日前报中心督查科。</w:t>
      </w:r>
    </w:p>
    <w:p>
      <w:pPr>
        <w:spacing w:line="460" w:lineRule="atLeast"/>
        <w:ind w:firstLine="440" w:firstLineChars="200"/>
      </w:pPr>
      <w:r>
        <w:rPr>
          <w:rFonts w:hint="eastAsia"/>
        </w:rPr>
        <w:t>4、顶岗人员视同对被顶岗人员进行考核；</w:t>
      </w:r>
    </w:p>
    <w:p>
      <w:pPr>
        <w:spacing w:line="460" w:lineRule="atLeast"/>
        <w:ind w:firstLine="440" w:firstLineChars="200"/>
      </w:pPr>
      <w:r>
        <w:rPr>
          <w:rFonts w:hint="eastAsia"/>
        </w:rPr>
        <w:t>5、非因成交供应商及其工作人员职责而引起的负面因素，将不予扣分。若出现在对公司及工作人员考核办法中未作详细规定的情况，由中心酌情予以加减分。</w:t>
      </w:r>
    </w:p>
    <w:p>
      <w:pPr>
        <w:spacing w:line="460" w:lineRule="atLeast"/>
        <w:ind w:firstLine="440" w:firstLineChars="200"/>
      </w:pPr>
      <w:r>
        <w:rPr>
          <w:rFonts w:hint="eastAsia"/>
        </w:rPr>
        <w:t>四、考核运用</w:t>
      </w:r>
    </w:p>
    <w:p>
      <w:pPr>
        <w:spacing w:line="460" w:lineRule="atLeast"/>
        <w:ind w:firstLine="440" w:firstLineChars="200"/>
      </w:pPr>
      <w:r>
        <w:rPr>
          <w:rFonts w:hint="eastAsia"/>
        </w:rPr>
        <w:t>1、每月的日常考核结果经中心汇总审核后，向提供辅助团队服务的成交供应商通报。</w:t>
      </w:r>
    </w:p>
    <w:p>
      <w:pPr>
        <w:spacing w:line="460" w:lineRule="atLeast"/>
        <w:ind w:firstLine="440" w:firstLineChars="200"/>
      </w:pPr>
      <w:r>
        <w:rPr>
          <w:rFonts w:hint="eastAsia"/>
        </w:rPr>
        <w:t>2、县政务服务中心依据每月的量化考核结果向提供辅助团队服务的成交供应商进行购买服务的经费拨付。</w:t>
      </w:r>
    </w:p>
    <w:p>
      <w:pPr>
        <w:spacing w:line="460" w:lineRule="atLeast"/>
        <w:ind w:firstLine="440" w:firstLineChars="200"/>
      </w:pPr>
      <w:r>
        <w:rPr>
          <w:rFonts w:hint="eastAsia"/>
        </w:rPr>
        <w:t>五、附则</w:t>
      </w:r>
    </w:p>
    <w:p>
      <w:pPr>
        <w:spacing w:line="460" w:lineRule="atLeast"/>
        <w:ind w:firstLine="440" w:firstLineChars="200"/>
      </w:pPr>
      <w:r>
        <w:rPr>
          <w:rFonts w:hint="eastAsia"/>
        </w:rPr>
        <w:t>1．本办法于成交供应商将服务人员配备齐全、正式上岗之后起实施。</w:t>
      </w:r>
    </w:p>
    <w:p>
      <w:pPr>
        <w:spacing w:line="460" w:lineRule="atLeast"/>
        <w:ind w:firstLine="440" w:firstLineChars="200"/>
      </w:pPr>
      <w:r>
        <w:rPr>
          <w:rFonts w:hint="eastAsia"/>
        </w:rPr>
        <w:t>2．本办法由文成县政务服务中心负责解释。</w:t>
      </w:r>
    </w:p>
    <w:p>
      <w:pPr>
        <w:jc w:val="center"/>
        <w:outlineLvl w:val="0"/>
        <w:rPr>
          <w:b/>
          <w:color w:val="000000" w:themeColor="text1"/>
          <w:sz w:val="28"/>
          <w:szCs w:val="28"/>
          <w14:textFill>
            <w14:solidFill>
              <w14:schemeClr w14:val="tx1"/>
            </w14:solidFill>
          </w14:textFill>
        </w:rPr>
      </w:pPr>
    </w:p>
    <w:p>
      <w:pPr>
        <w:jc w:val="center"/>
        <w:outlineLvl w:val="0"/>
        <w:rPr>
          <w:b/>
          <w:color w:val="000000" w:themeColor="text1"/>
          <w:sz w:val="28"/>
          <w:szCs w:val="28"/>
          <w14:textFill>
            <w14:solidFill>
              <w14:schemeClr w14:val="tx1"/>
            </w14:solidFill>
          </w14:textFill>
        </w:rPr>
      </w:pPr>
    </w:p>
    <w:p>
      <w:pPr>
        <w:jc w:val="center"/>
        <w:outlineLvl w:val="0"/>
        <w:rPr>
          <w:b/>
          <w:color w:val="000000" w:themeColor="text1"/>
          <w:sz w:val="28"/>
          <w:szCs w:val="28"/>
          <w14:textFill>
            <w14:solidFill>
              <w14:schemeClr w14:val="tx1"/>
            </w14:solidFill>
          </w14:textFill>
        </w:rPr>
      </w:pPr>
    </w:p>
    <w:p>
      <w:pPr>
        <w:jc w:val="center"/>
        <w:outlineLvl w:val="0"/>
        <w:rPr>
          <w:b/>
          <w:color w:val="000000" w:themeColor="text1"/>
          <w:sz w:val="28"/>
          <w:szCs w:val="28"/>
          <w14:textFill>
            <w14:solidFill>
              <w14:schemeClr w14:val="tx1"/>
            </w14:solidFill>
          </w14:textFill>
        </w:rPr>
      </w:pPr>
    </w:p>
    <w:p>
      <w:pPr>
        <w:jc w:val="center"/>
        <w:outlineLvl w:val="0"/>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询问函、质疑函格式</w:t>
      </w:r>
    </w:p>
    <w:p>
      <w:pPr>
        <w:pStyle w:val="24"/>
        <w:snapToGrid w:val="0"/>
        <w:spacing w:before="0" w:beforeAutospacing="0" w:after="0" w:afterAutospacing="0"/>
        <w:jc w:val="both"/>
        <w:rPr>
          <w:color w:val="000000" w:themeColor="text1"/>
          <w:sz w:val="21"/>
          <w:szCs w:val="21"/>
          <w14:textFill>
            <w14:solidFill>
              <w14:schemeClr w14:val="tx1"/>
            </w14:solidFill>
          </w14:textFill>
        </w:rPr>
      </w:pPr>
    </w:p>
    <w:p>
      <w:pPr>
        <w:snapToGrid w:val="0"/>
        <w:ind w:firstLine="444" w:firstLineChars="201"/>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说明：本部分格式为投标供应商提交询问函、质疑函、投诉函时使用，不属于投标文件格式的组成部分。</w:t>
      </w:r>
    </w:p>
    <w:p>
      <w:pPr>
        <w:pStyle w:val="24"/>
        <w:snapToGrid w:val="0"/>
        <w:spacing w:before="0" w:beforeAutospacing="0" w:after="0" w:afterAutospacing="0"/>
        <w:jc w:val="both"/>
        <w:rPr>
          <w:color w:val="000000" w:themeColor="text1"/>
          <w:sz w:val="21"/>
          <w:szCs w:val="21"/>
          <w14:textFill>
            <w14:solidFill>
              <w14:schemeClr w14:val="tx1"/>
            </w14:solidFill>
          </w14:textFill>
        </w:rPr>
      </w:pPr>
    </w:p>
    <w:p>
      <w:pPr>
        <w:pStyle w:val="24"/>
        <w:snapToGrid w:val="0"/>
        <w:spacing w:before="0" w:beforeAutospacing="0" w:after="0" w:afterAutospacing="0"/>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1：询问函格式</w:t>
      </w:r>
    </w:p>
    <w:p>
      <w:pPr>
        <w:pStyle w:val="24"/>
        <w:spacing w:before="0" w:beforeAutospacing="0" w:after="0" w:afterAutospacing="0"/>
        <w:jc w:val="center"/>
        <w:rPr>
          <w:rStyle w:val="32"/>
          <w:b w:val="0"/>
          <w:color w:val="000000" w:themeColor="text1"/>
          <w:sz w:val="21"/>
          <w:szCs w:val="21"/>
          <w14:textFill>
            <w14:solidFill>
              <w14:schemeClr w14:val="tx1"/>
            </w14:solidFill>
          </w14:textFill>
        </w:rPr>
      </w:pPr>
      <w:r>
        <w:rPr>
          <w:rStyle w:val="32"/>
          <w:rFonts w:hint="eastAsia"/>
          <w:b w:val="0"/>
          <w:color w:val="000000" w:themeColor="text1"/>
          <w:sz w:val="21"/>
          <w:szCs w:val="21"/>
          <w14:textFill>
            <w14:solidFill>
              <w14:schemeClr w14:val="tx1"/>
            </w14:solidFill>
          </w14:textFill>
        </w:rPr>
        <w:t>询问函</w:t>
      </w:r>
    </w:p>
    <w:p>
      <w:pPr>
        <w:widowControl/>
        <w:tabs>
          <w:tab w:val="left" w:pos="6300"/>
        </w:tabs>
        <w:snapToGri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浙江欣源工程项目管理有限公司：</w:t>
      </w:r>
    </w:p>
    <w:p>
      <w:pPr>
        <w:widowControl/>
        <w:tabs>
          <w:tab w:val="left" w:pos="6300"/>
        </w:tabs>
        <w:snapToGrid w:val="0"/>
        <w:ind w:firstLine="44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我单位已报名并准备参与</w:t>
      </w:r>
      <w:r>
        <w:rPr>
          <w:rFonts w:hint="eastAsia"/>
          <w:color w:val="000000" w:themeColor="text1"/>
          <w:szCs w:val="21"/>
          <w:u w:val="single"/>
          <w14:textFill>
            <w14:solidFill>
              <w14:schemeClr w14:val="tx1"/>
            </w14:solidFill>
          </w14:textFill>
        </w:rPr>
        <w:t>（项目名称）</w:t>
      </w:r>
      <w:r>
        <w:rPr>
          <w:rFonts w:hint="eastAsia"/>
          <w:color w:val="000000" w:themeColor="text1"/>
          <w:szCs w:val="21"/>
          <w14:textFill>
            <w14:solidFill>
              <w14:schemeClr w14:val="tx1"/>
            </w14:solidFill>
          </w14:textFill>
        </w:rPr>
        <w:t>项目（采购文件编号：</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）的投标（或报价）活动，现有以下几个内容（或条款）存在疑问（或无法理解），特提出询问。</w:t>
      </w:r>
    </w:p>
    <w:p>
      <w:pPr>
        <w:widowControl/>
        <w:tabs>
          <w:tab w:val="left" w:pos="6300"/>
        </w:tabs>
        <w:snapToGrid w:val="0"/>
        <w:ind w:firstLine="44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一、_____________________（事项一）</w:t>
      </w:r>
    </w:p>
    <w:p>
      <w:pPr>
        <w:widowControl/>
        <w:tabs>
          <w:tab w:val="left" w:pos="6300"/>
        </w:tabs>
        <w:snapToGrid w:val="0"/>
        <w:ind w:firstLine="44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（1）____________________（问题或条款内容）</w:t>
      </w:r>
    </w:p>
    <w:p>
      <w:pPr>
        <w:widowControl/>
        <w:tabs>
          <w:tab w:val="left" w:pos="6300"/>
        </w:tabs>
        <w:snapToGrid w:val="0"/>
        <w:ind w:firstLine="44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（2）____________________（说明疑问或无法理解原因）</w:t>
      </w:r>
    </w:p>
    <w:p>
      <w:pPr>
        <w:widowControl/>
        <w:tabs>
          <w:tab w:val="left" w:pos="6300"/>
        </w:tabs>
        <w:snapToGrid w:val="0"/>
        <w:ind w:firstLine="44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（3）____________________（建议）</w:t>
      </w:r>
    </w:p>
    <w:p>
      <w:pPr>
        <w:widowControl/>
        <w:tabs>
          <w:tab w:val="left" w:pos="6300"/>
        </w:tabs>
        <w:snapToGrid w:val="0"/>
        <w:ind w:firstLine="44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二、_____________________（事项二）</w:t>
      </w:r>
    </w:p>
    <w:p>
      <w:pPr>
        <w:widowControl/>
        <w:tabs>
          <w:tab w:val="left" w:pos="6300"/>
        </w:tabs>
        <w:snapToGrid w:val="0"/>
        <w:ind w:firstLine="44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p>
      <w:pPr>
        <w:widowControl/>
        <w:tabs>
          <w:tab w:val="left" w:pos="6300"/>
        </w:tabs>
        <w:snapToGrid w:val="0"/>
        <w:ind w:firstLine="44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随附相关证明材料如下：（目录）。</w:t>
      </w:r>
    </w:p>
    <w:p>
      <w:pPr>
        <w:widowControl/>
        <w:tabs>
          <w:tab w:val="left" w:pos="6300"/>
        </w:tabs>
        <w:snapToGrid w:val="0"/>
        <w:ind w:firstLine="1320" w:firstLineChars="6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询问人：（公章）</w:t>
      </w:r>
    </w:p>
    <w:p>
      <w:pPr>
        <w:widowControl/>
        <w:tabs>
          <w:tab w:val="left" w:pos="6300"/>
        </w:tabs>
        <w:snapToGrid w:val="0"/>
        <w:ind w:firstLine="1320" w:firstLineChars="6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法定代表人（负责人）（授权代表）：</w:t>
      </w:r>
    </w:p>
    <w:p>
      <w:pPr>
        <w:tabs>
          <w:tab w:val="left" w:pos="6300"/>
        </w:tabs>
        <w:snapToGrid w:val="0"/>
        <w:ind w:firstLine="1320" w:firstLineChars="6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地址/邮编：</w:t>
      </w:r>
    </w:p>
    <w:p>
      <w:pPr>
        <w:tabs>
          <w:tab w:val="left" w:pos="6300"/>
        </w:tabs>
        <w:snapToGrid w:val="0"/>
        <w:ind w:firstLine="1320" w:firstLineChars="6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电话/传真：</w:t>
      </w:r>
    </w:p>
    <w:p>
      <w:pPr>
        <w:tabs>
          <w:tab w:val="left" w:pos="6300"/>
        </w:tabs>
        <w:snapToGrid w:val="0"/>
        <w:ind w:firstLine="1320" w:firstLineChars="600"/>
        <w:jc w:val="left"/>
        <w:rPr>
          <w:color w:val="000000" w:themeColor="text1"/>
          <w:szCs w:val="21"/>
          <w14:textFill>
            <w14:solidFill>
              <w14:schemeClr w14:val="tx1"/>
            </w14:solidFill>
          </w14:textFill>
        </w:rPr>
      </w:pPr>
    </w:p>
    <w:p>
      <w:pPr>
        <w:tabs>
          <w:tab w:val="left" w:pos="6300"/>
        </w:tabs>
        <w:snapToGrid w:val="0"/>
        <w:ind w:firstLine="1320" w:firstLineChars="600"/>
        <w:jc w:val="left"/>
        <w:rPr>
          <w:color w:val="000000" w:themeColor="text1"/>
          <w:szCs w:val="21"/>
          <w14:textFill>
            <w14:solidFill>
              <w14:schemeClr w14:val="tx1"/>
            </w14:solidFill>
          </w14:textFill>
        </w:rPr>
      </w:pPr>
    </w:p>
    <w:p>
      <w:pPr>
        <w:jc w:val="righ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年</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月</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日</w:t>
      </w:r>
    </w:p>
    <w:p>
      <w:pPr>
        <w:snapToGrid w:val="0"/>
        <w:ind w:firstLine="396" w:firstLineChars="180"/>
        <w:rPr>
          <w:color w:val="000000" w:themeColor="text1"/>
          <w:szCs w:val="21"/>
          <w14:textFill>
            <w14:solidFill>
              <w14:schemeClr w14:val="tx1"/>
            </w14:solidFill>
          </w14:textFill>
        </w:rPr>
      </w:pPr>
    </w:p>
    <w:p>
      <w:pPr>
        <w:pStyle w:val="24"/>
        <w:adjustRightInd w:val="0"/>
        <w:snapToGrid w:val="0"/>
        <w:spacing w:before="0" w:beforeAutospacing="0" w:after="0" w:afterAutospacing="0"/>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br w:type="page"/>
      </w:r>
      <w:r>
        <w:rPr>
          <w:rFonts w:hint="eastAsia"/>
          <w:color w:val="000000" w:themeColor="text1"/>
          <w:sz w:val="21"/>
          <w:szCs w:val="21"/>
          <w14:textFill>
            <w14:solidFill>
              <w14:schemeClr w14:val="tx1"/>
            </w14:solidFill>
          </w14:textFill>
        </w:rPr>
        <w:t>2：质疑函格式</w:t>
      </w:r>
    </w:p>
    <w:p>
      <w:pPr>
        <w:pStyle w:val="24"/>
        <w:spacing w:before="0" w:beforeAutospacing="0" w:after="0" w:afterAutospacing="0"/>
        <w:jc w:val="center"/>
        <w:rPr>
          <w:rStyle w:val="32"/>
          <w:b w:val="0"/>
          <w:color w:val="000000" w:themeColor="text1"/>
          <w:sz w:val="21"/>
          <w:szCs w:val="21"/>
          <w14:textFill>
            <w14:solidFill>
              <w14:schemeClr w14:val="tx1"/>
            </w14:solidFill>
          </w14:textFill>
        </w:rPr>
      </w:pPr>
      <w:r>
        <w:rPr>
          <w:rStyle w:val="32"/>
          <w:rFonts w:hint="eastAsia"/>
          <w:b w:val="0"/>
          <w:color w:val="000000" w:themeColor="text1"/>
          <w:sz w:val="21"/>
          <w:szCs w:val="21"/>
          <w14:textFill>
            <w14:solidFill>
              <w14:schemeClr w14:val="tx1"/>
            </w14:solidFill>
          </w14:textFill>
        </w:rPr>
        <w:t>质疑函</w:t>
      </w:r>
    </w:p>
    <w:p>
      <w:pPr>
        <w:adjustRightInd w:val="0"/>
        <w:snapToGrid w:val="0"/>
        <w:spacing w:before="312" w:beforeLines="100"/>
        <w:rPr>
          <w:rFonts w:cs="仿宋"/>
          <w:bCs/>
          <w:color w:val="000000" w:themeColor="text1"/>
          <w:szCs w:val="21"/>
          <w14:textFill>
            <w14:solidFill>
              <w14:schemeClr w14:val="tx1"/>
            </w14:solidFill>
          </w14:textFill>
        </w:rPr>
      </w:pPr>
      <w:r>
        <w:rPr>
          <w:rFonts w:hint="eastAsia" w:cs="仿宋"/>
          <w:bCs/>
          <w:color w:val="000000" w:themeColor="text1"/>
          <w:szCs w:val="21"/>
          <w14:textFill>
            <w14:solidFill>
              <w14:schemeClr w14:val="tx1"/>
            </w14:solidFill>
          </w14:textFill>
        </w:rPr>
        <w:t>一、质疑供应商基本信息</w:t>
      </w:r>
    </w:p>
    <w:p>
      <w:pPr>
        <w:adjustRightInd w:val="0"/>
        <w:snapToGrid w:val="0"/>
        <w:rPr>
          <w:rFonts w:cs="仿宋"/>
          <w:color w:val="000000" w:themeColor="text1"/>
          <w:szCs w:val="21"/>
          <w:u w:val="dotted"/>
          <w14:textFill>
            <w14:solidFill>
              <w14:schemeClr w14:val="tx1"/>
            </w14:solidFill>
          </w14:textFill>
        </w:rPr>
      </w:pPr>
      <w:r>
        <w:rPr>
          <w:rFonts w:hint="eastAsia" w:cs="仿宋"/>
          <w:color w:val="000000" w:themeColor="text1"/>
          <w:szCs w:val="21"/>
          <w14:textFill>
            <w14:solidFill>
              <w14:schemeClr w14:val="tx1"/>
            </w14:solidFill>
          </w14:textFill>
        </w:rPr>
        <w:t>质疑供应商：</w:t>
      </w:r>
      <w:r>
        <w:rPr>
          <w:rFonts w:hint="eastAsia" w:cs="仿宋"/>
          <w:color w:val="000000" w:themeColor="text1"/>
          <w:szCs w:val="21"/>
          <w:u w:val="dotted"/>
          <w14:textFill>
            <w14:solidFill>
              <w14:schemeClr w14:val="tx1"/>
            </w14:solidFill>
          </w14:textFill>
        </w:rPr>
        <w:t xml:space="preserve">                                        </w:t>
      </w:r>
    </w:p>
    <w:p>
      <w:pPr>
        <w:adjustRightInd w:val="0"/>
        <w:snapToGrid w:val="0"/>
        <w:rPr>
          <w:rFonts w:cs="仿宋"/>
          <w:color w:val="000000" w:themeColor="text1"/>
          <w:szCs w:val="21"/>
          <w14:textFill>
            <w14:solidFill>
              <w14:schemeClr w14:val="tx1"/>
            </w14:solidFill>
          </w14:textFill>
        </w:rPr>
      </w:pPr>
      <w:r>
        <w:rPr>
          <w:rFonts w:hint="eastAsia" w:cs="仿宋"/>
          <w:color w:val="000000" w:themeColor="text1"/>
          <w:szCs w:val="21"/>
          <w14:textFill>
            <w14:solidFill>
              <w14:schemeClr w14:val="tx1"/>
            </w14:solidFill>
          </w14:textFill>
        </w:rPr>
        <w:t>地址：</w:t>
      </w:r>
      <w:r>
        <w:rPr>
          <w:rFonts w:hint="eastAsia" w:cs="仿宋"/>
          <w:color w:val="000000" w:themeColor="text1"/>
          <w:szCs w:val="21"/>
          <w:u w:val="dotted"/>
          <w14:textFill>
            <w14:solidFill>
              <w14:schemeClr w14:val="tx1"/>
            </w14:solidFill>
          </w14:textFill>
        </w:rPr>
        <w:t xml:space="preserve">                          </w:t>
      </w:r>
      <w:r>
        <w:rPr>
          <w:rFonts w:hint="eastAsia" w:cs="仿宋"/>
          <w:color w:val="000000" w:themeColor="text1"/>
          <w:szCs w:val="21"/>
          <w14:textFill>
            <w14:solidFill>
              <w14:schemeClr w14:val="tx1"/>
            </w14:solidFill>
          </w14:textFill>
        </w:rPr>
        <w:t>邮编：</w:t>
      </w:r>
      <w:r>
        <w:rPr>
          <w:rFonts w:hint="eastAsia" w:cs="仿宋"/>
          <w:color w:val="000000" w:themeColor="text1"/>
          <w:szCs w:val="21"/>
          <w:u w:val="dotted"/>
          <w14:textFill>
            <w14:solidFill>
              <w14:schemeClr w14:val="tx1"/>
            </w14:solidFill>
          </w14:textFill>
        </w:rPr>
        <w:t xml:space="preserve">                                                   </w:t>
      </w:r>
    </w:p>
    <w:p>
      <w:pPr>
        <w:adjustRightInd w:val="0"/>
        <w:snapToGrid w:val="0"/>
        <w:rPr>
          <w:rFonts w:cs="仿宋"/>
          <w:color w:val="000000" w:themeColor="text1"/>
          <w:szCs w:val="21"/>
          <w14:textFill>
            <w14:solidFill>
              <w14:schemeClr w14:val="tx1"/>
            </w14:solidFill>
          </w14:textFill>
        </w:rPr>
      </w:pPr>
      <w:r>
        <w:rPr>
          <w:rFonts w:hint="eastAsia" w:cs="仿宋"/>
          <w:color w:val="000000" w:themeColor="text1"/>
          <w:szCs w:val="21"/>
          <w14:textFill>
            <w14:solidFill>
              <w14:schemeClr w14:val="tx1"/>
            </w14:solidFill>
          </w14:textFill>
        </w:rPr>
        <w:t>联系人：</w:t>
      </w:r>
      <w:r>
        <w:rPr>
          <w:rFonts w:hint="eastAsia" w:cs="仿宋"/>
          <w:color w:val="000000" w:themeColor="text1"/>
          <w:szCs w:val="21"/>
          <w:u w:val="dotted"/>
          <w14:textFill>
            <w14:solidFill>
              <w14:schemeClr w14:val="tx1"/>
            </w14:solidFill>
          </w14:textFill>
        </w:rPr>
        <w:t xml:space="preserve">                      </w:t>
      </w:r>
      <w:r>
        <w:rPr>
          <w:rFonts w:hint="eastAsia" w:cs="仿宋"/>
          <w:color w:val="000000" w:themeColor="text1"/>
          <w:szCs w:val="21"/>
          <w14:textFill>
            <w14:solidFill>
              <w14:schemeClr w14:val="tx1"/>
            </w14:solidFill>
          </w14:textFill>
        </w:rPr>
        <w:t>联系电话：</w:t>
      </w:r>
      <w:r>
        <w:rPr>
          <w:rFonts w:hint="eastAsia" w:cs="仿宋"/>
          <w:color w:val="000000" w:themeColor="text1"/>
          <w:szCs w:val="21"/>
          <w:u w:val="dotted"/>
          <w14:textFill>
            <w14:solidFill>
              <w14:schemeClr w14:val="tx1"/>
            </w14:solidFill>
          </w14:textFill>
        </w:rPr>
        <w:t xml:space="preserve">                              </w:t>
      </w:r>
    </w:p>
    <w:p>
      <w:pPr>
        <w:adjustRightInd w:val="0"/>
        <w:snapToGrid w:val="0"/>
        <w:rPr>
          <w:rFonts w:cs="仿宋"/>
          <w:color w:val="000000" w:themeColor="text1"/>
          <w:szCs w:val="21"/>
          <w:u w:val="dotted"/>
          <w14:textFill>
            <w14:solidFill>
              <w14:schemeClr w14:val="tx1"/>
            </w14:solidFill>
          </w14:textFill>
        </w:rPr>
      </w:pPr>
      <w:r>
        <w:rPr>
          <w:rFonts w:hint="eastAsia" w:cs="仿宋"/>
          <w:color w:val="000000" w:themeColor="text1"/>
          <w:szCs w:val="21"/>
          <w14:textFill>
            <w14:solidFill>
              <w14:schemeClr w14:val="tx1"/>
            </w14:solidFill>
          </w14:textFill>
        </w:rPr>
        <w:t>授权代表：</w:t>
      </w:r>
      <w:r>
        <w:rPr>
          <w:rFonts w:hint="eastAsia" w:cs="仿宋"/>
          <w:color w:val="000000" w:themeColor="text1"/>
          <w:szCs w:val="21"/>
          <w:u w:val="dotted"/>
          <w14:textFill>
            <w14:solidFill>
              <w14:schemeClr w14:val="tx1"/>
            </w14:solidFill>
          </w14:textFill>
        </w:rPr>
        <w:t xml:space="preserve">                                          </w:t>
      </w:r>
    </w:p>
    <w:p>
      <w:pPr>
        <w:adjustRightInd w:val="0"/>
        <w:snapToGrid w:val="0"/>
        <w:rPr>
          <w:rFonts w:cs="仿宋"/>
          <w:color w:val="000000" w:themeColor="text1"/>
          <w:szCs w:val="21"/>
          <w14:textFill>
            <w14:solidFill>
              <w14:schemeClr w14:val="tx1"/>
            </w14:solidFill>
          </w14:textFill>
        </w:rPr>
      </w:pPr>
      <w:r>
        <w:rPr>
          <w:rFonts w:hint="eastAsia" w:cs="仿宋"/>
          <w:color w:val="000000" w:themeColor="text1"/>
          <w:szCs w:val="21"/>
          <w14:textFill>
            <w14:solidFill>
              <w14:schemeClr w14:val="tx1"/>
            </w14:solidFill>
          </w14:textFill>
        </w:rPr>
        <w:t>联系电话：</w:t>
      </w:r>
      <w:r>
        <w:rPr>
          <w:rFonts w:hint="eastAsia" w:cs="仿宋"/>
          <w:color w:val="000000" w:themeColor="text1"/>
          <w:szCs w:val="21"/>
          <w:u w:val="dotted"/>
          <w14:textFill>
            <w14:solidFill>
              <w14:schemeClr w14:val="tx1"/>
            </w14:solidFill>
          </w14:textFill>
        </w:rPr>
        <w:t xml:space="preserve">                                           </w:t>
      </w:r>
      <w:r>
        <w:rPr>
          <w:rFonts w:cs="仿宋"/>
          <w:color w:val="000000" w:themeColor="text1"/>
          <w:szCs w:val="21"/>
          <w14:textFill>
            <w14:solidFill>
              <w14:schemeClr w14:val="tx1"/>
            </w14:solidFill>
          </w14:textFill>
        </w:rPr>
        <w:t xml:space="preserve"> </w:t>
      </w:r>
    </w:p>
    <w:p>
      <w:pPr>
        <w:adjustRightInd w:val="0"/>
        <w:snapToGrid w:val="0"/>
        <w:rPr>
          <w:rFonts w:cs="仿宋"/>
          <w:color w:val="000000" w:themeColor="text1"/>
          <w:szCs w:val="21"/>
          <w14:textFill>
            <w14:solidFill>
              <w14:schemeClr w14:val="tx1"/>
            </w14:solidFill>
          </w14:textFill>
        </w:rPr>
      </w:pPr>
      <w:r>
        <w:rPr>
          <w:rFonts w:hint="eastAsia" w:cs="仿宋"/>
          <w:color w:val="000000" w:themeColor="text1"/>
          <w:szCs w:val="21"/>
          <w14:textFill>
            <w14:solidFill>
              <w14:schemeClr w14:val="tx1"/>
            </w14:solidFill>
          </w14:textFill>
        </w:rPr>
        <w:t>地址：</w:t>
      </w:r>
      <w:r>
        <w:rPr>
          <w:rFonts w:cs="仿宋"/>
          <w:color w:val="000000" w:themeColor="text1"/>
          <w:szCs w:val="21"/>
          <w14:textFill>
            <w14:solidFill>
              <w14:schemeClr w14:val="tx1"/>
            </w14:solidFill>
          </w14:textFill>
        </w:rPr>
        <w:t xml:space="preserve"> </w:t>
      </w:r>
      <w:r>
        <w:rPr>
          <w:rFonts w:hint="eastAsia" w:cs="仿宋"/>
          <w:color w:val="000000" w:themeColor="text1"/>
          <w:szCs w:val="21"/>
          <w:u w:val="dotted"/>
          <w14:textFill>
            <w14:solidFill>
              <w14:schemeClr w14:val="tx1"/>
            </w14:solidFill>
          </w14:textFill>
        </w:rPr>
        <w:t xml:space="preserve">                        </w:t>
      </w:r>
      <w:r>
        <w:rPr>
          <w:rFonts w:hint="eastAsia" w:cs="仿宋"/>
          <w:color w:val="000000" w:themeColor="text1"/>
          <w:szCs w:val="21"/>
          <w14:textFill>
            <w14:solidFill>
              <w14:schemeClr w14:val="tx1"/>
            </w14:solidFill>
          </w14:textFill>
        </w:rPr>
        <w:t>邮编：</w:t>
      </w:r>
      <w:r>
        <w:rPr>
          <w:rFonts w:hint="eastAsia" w:cs="仿宋"/>
          <w:color w:val="000000" w:themeColor="text1"/>
          <w:szCs w:val="21"/>
          <w:u w:val="dotted"/>
          <w14:textFill>
            <w14:solidFill>
              <w14:schemeClr w14:val="tx1"/>
            </w14:solidFill>
          </w14:textFill>
        </w:rPr>
        <w:t xml:space="preserve">                                                </w:t>
      </w:r>
    </w:p>
    <w:p>
      <w:pPr>
        <w:adjustRightInd w:val="0"/>
        <w:snapToGrid w:val="0"/>
        <w:rPr>
          <w:rFonts w:cs="仿宋"/>
          <w:bCs/>
          <w:color w:val="000000" w:themeColor="text1"/>
          <w:szCs w:val="21"/>
          <w14:textFill>
            <w14:solidFill>
              <w14:schemeClr w14:val="tx1"/>
            </w14:solidFill>
          </w14:textFill>
        </w:rPr>
      </w:pPr>
      <w:r>
        <w:rPr>
          <w:rFonts w:hint="eastAsia" w:cs="仿宋"/>
          <w:bCs/>
          <w:color w:val="000000" w:themeColor="text1"/>
          <w:szCs w:val="21"/>
          <w14:textFill>
            <w14:solidFill>
              <w14:schemeClr w14:val="tx1"/>
            </w14:solidFill>
          </w14:textFill>
        </w:rPr>
        <w:t>二、质疑项目基本情况</w:t>
      </w:r>
    </w:p>
    <w:p>
      <w:pPr>
        <w:adjustRightInd w:val="0"/>
        <w:snapToGrid w:val="0"/>
        <w:rPr>
          <w:rFonts w:cs="仿宋"/>
          <w:color w:val="000000" w:themeColor="text1"/>
          <w:szCs w:val="21"/>
          <w14:textFill>
            <w14:solidFill>
              <w14:schemeClr w14:val="tx1"/>
            </w14:solidFill>
          </w14:textFill>
        </w:rPr>
      </w:pPr>
      <w:r>
        <w:rPr>
          <w:rFonts w:hint="eastAsia" w:cs="仿宋"/>
          <w:color w:val="000000" w:themeColor="text1"/>
          <w:szCs w:val="21"/>
          <w14:textFill>
            <w14:solidFill>
              <w14:schemeClr w14:val="tx1"/>
            </w14:solidFill>
          </w14:textFill>
        </w:rPr>
        <w:t>质疑项目的名称：</w:t>
      </w:r>
      <w:r>
        <w:rPr>
          <w:rFonts w:hint="eastAsia" w:cs="仿宋"/>
          <w:color w:val="000000" w:themeColor="text1"/>
          <w:szCs w:val="21"/>
          <w:u w:val="dotted"/>
          <w14:textFill>
            <w14:solidFill>
              <w14:schemeClr w14:val="tx1"/>
            </w14:solidFill>
          </w14:textFill>
        </w:rPr>
        <w:t xml:space="preserve">                                      </w:t>
      </w:r>
    </w:p>
    <w:p>
      <w:pPr>
        <w:adjustRightInd w:val="0"/>
        <w:snapToGrid w:val="0"/>
        <w:rPr>
          <w:rFonts w:cs="仿宋"/>
          <w:color w:val="000000" w:themeColor="text1"/>
          <w:szCs w:val="21"/>
          <w14:textFill>
            <w14:solidFill>
              <w14:schemeClr w14:val="tx1"/>
            </w14:solidFill>
          </w14:textFill>
        </w:rPr>
      </w:pPr>
      <w:r>
        <w:rPr>
          <w:rFonts w:hint="eastAsia" w:cs="仿宋"/>
          <w:color w:val="000000" w:themeColor="text1"/>
          <w:szCs w:val="21"/>
          <w14:textFill>
            <w14:solidFill>
              <w14:schemeClr w14:val="tx1"/>
            </w14:solidFill>
          </w14:textFill>
        </w:rPr>
        <w:t>质疑项目的编号：</w:t>
      </w:r>
      <w:r>
        <w:rPr>
          <w:rFonts w:hint="eastAsia" w:cs="仿宋"/>
          <w:color w:val="000000" w:themeColor="text1"/>
          <w:szCs w:val="21"/>
          <w:u w:val="dotted"/>
          <w14:textFill>
            <w14:solidFill>
              <w14:schemeClr w14:val="tx1"/>
            </w14:solidFill>
          </w14:textFill>
        </w:rPr>
        <w:t xml:space="preserve">               </w:t>
      </w:r>
      <w:r>
        <w:rPr>
          <w:rFonts w:hint="eastAsia" w:cs="仿宋"/>
          <w:color w:val="000000" w:themeColor="text1"/>
          <w:szCs w:val="21"/>
          <w14:textFill>
            <w14:solidFill>
              <w14:schemeClr w14:val="tx1"/>
            </w14:solidFill>
          </w14:textFill>
        </w:rPr>
        <w:t>包号：</w:t>
      </w:r>
      <w:r>
        <w:rPr>
          <w:rFonts w:hint="eastAsia" w:cs="仿宋"/>
          <w:color w:val="000000" w:themeColor="text1"/>
          <w:szCs w:val="21"/>
          <w:u w:val="dotted"/>
          <w14:textFill>
            <w14:solidFill>
              <w14:schemeClr w14:val="tx1"/>
            </w14:solidFill>
          </w14:textFill>
        </w:rPr>
        <w:t xml:space="preserve">                 </w:t>
      </w:r>
    </w:p>
    <w:p>
      <w:pPr>
        <w:adjustRightInd w:val="0"/>
        <w:snapToGrid w:val="0"/>
        <w:rPr>
          <w:rFonts w:cs="仿宋"/>
          <w:color w:val="000000" w:themeColor="text1"/>
          <w:szCs w:val="21"/>
          <w:u w:val="dotted"/>
          <w14:textFill>
            <w14:solidFill>
              <w14:schemeClr w14:val="tx1"/>
            </w14:solidFill>
          </w14:textFill>
        </w:rPr>
      </w:pPr>
      <w:r>
        <w:rPr>
          <w:rFonts w:hint="eastAsia" w:cs="仿宋"/>
          <w:color w:val="000000" w:themeColor="text1"/>
          <w:szCs w:val="21"/>
          <w14:textFill>
            <w14:solidFill>
              <w14:schemeClr w14:val="tx1"/>
            </w14:solidFill>
          </w14:textFill>
        </w:rPr>
        <w:t>采购人名称：</w:t>
      </w:r>
      <w:r>
        <w:rPr>
          <w:rFonts w:hint="eastAsia" w:cs="仿宋"/>
          <w:color w:val="000000" w:themeColor="text1"/>
          <w:szCs w:val="21"/>
          <w:u w:val="dotted"/>
          <w14:textFill>
            <w14:solidFill>
              <w14:schemeClr w14:val="tx1"/>
            </w14:solidFill>
          </w14:textFill>
        </w:rPr>
        <w:t xml:space="preserve">                                         </w:t>
      </w:r>
    </w:p>
    <w:p>
      <w:pPr>
        <w:adjustRightInd w:val="0"/>
        <w:snapToGrid w:val="0"/>
        <w:rPr>
          <w:rFonts w:cs="仿宋"/>
          <w:color w:val="000000" w:themeColor="text1"/>
          <w:szCs w:val="21"/>
          <w14:textFill>
            <w14:solidFill>
              <w14:schemeClr w14:val="tx1"/>
            </w14:solidFill>
          </w14:textFill>
        </w:rPr>
      </w:pPr>
      <w:r>
        <w:rPr>
          <w:rFonts w:hint="eastAsia" w:cs="仿宋"/>
          <w:color w:val="000000" w:themeColor="text1"/>
          <w:szCs w:val="21"/>
          <w14:textFill>
            <w14:solidFill>
              <w14:schemeClr w14:val="tx1"/>
            </w14:solidFill>
          </w14:textFill>
        </w:rPr>
        <w:t>采购文件获取日期：</w:t>
      </w:r>
      <w:r>
        <w:rPr>
          <w:rFonts w:hint="eastAsia" w:cs="仿宋"/>
          <w:color w:val="000000" w:themeColor="text1"/>
          <w:szCs w:val="21"/>
          <w:u w:val="dotted"/>
          <w14:textFill>
            <w14:solidFill>
              <w14:schemeClr w14:val="tx1"/>
            </w14:solidFill>
          </w14:textFill>
        </w:rPr>
        <w:t xml:space="preserve">                                           </w:t>
      </w:r>
    </w:p>
    <w:p>
      <w:pPr>
        <w:adjustRightInd w:val="0"/>
        <w:snapToGrid w:val="0"/>
        <w:rPr>
          <w:rFonts w:cs="仿宋"/>
          <w:bCs/>
          <w:color w:val="000000" w:themeColor="text1"/>
          <w:szCs w:val="21"/>
          <w14:textFill>
            <w14:solidFill>
              <w14:schemeClr w14:val="tx1"/>
            </w14:solidFill>
          </w14:textFill>
        </w:rPr>
      </w:pPr>
      <w:r>
        <w:rPr>
          <w:rFonts w:hint="eastAsia" w:cs="仿宋"/>
          <w:bCs/>
          <w:color w:val="000000" w:themeColor="text1"/>
          <w:szCs w:val="21"/>
          <w14:textFill>
            <w14:solidFill>
              <w14:schemeClr w14:val="tx1"/>
            </w14:solidFill>
          </w14:textFill>
        </w:rPr>
        <w:t>三、质疑事项具体内容</w:t>
      </w:r>
    </w:p>
    <w:p>
      <w:pPr>
        <w:adjustRightInd w:val="0"/>
        <w:snapToGrid w:val="0"/>
        <w:rPr>
          <w:rFonts w:cs="仿宋"/>
          <w:color w:val="000000" w:themeColor="text1"/>
          <w:szCs w:val="21"/>
          <w:u w:val="dotted"/>
          <w14:textFill>
            <w14:solidFill>
              <w14:schemeClr w14:val="tx1"/>
            </w14:solidFill>
          </w14:textFill>
        </w:rPr>
      </w:pPr>
      <w:r>
        <w:rPr>
          <w:rFonts w:hint="eastAsia" w:cs="仿宋"/>
          <w:color w:val="000000" w:themeColor="text1"/>
          <w:szCs w:val="21"/>
          <w14:textFill>
            <w14:solidFill>
              <w14:schemeClr w14:val="tx1"/>
            </w14:solidFill>
          </w14:textFill>
        </w:rPr>
        <w:t>质疑事项1：</w:t>
      </w:r>
      <w:r>
        <w:rPr>
          <w:rFonts w:hint="eastAsia" w:cs="仿宋"/>
          <w:color w:val="000000" w:themeColor="text1"/>
          <w:szCs w:val="21"/>
          <w:u w:val="dotted"/>
          <w14:textFill>
            <w14:solidFill>
              <w14:schemeClr w14:val="tx1"/>
            </w14:solidFill>
          </w14:textFill>
        </w:rPr>
        <w:t xml:space="preserve">                                         </w:t>
      </w:r>
    </w:p>
    <w:p>
      <w:pPr>
        <w:adjustRightInd w:val="0"/>
        <w:snapToGrid w:val="0"/>
        <w:rPr>
          <w:rFonts w:cs="仿宋"/>
          <w:color w:val="000000" w:themeColor="text1"/>
          <w:szCs w:val="21"/>
          <w:u w:val="dotted"/>
          <w14:textFill>
            <w14:solidFill>
              <w14:schemeClr w14:val="tx1"/>
            </w14:solidFill>
          </w14:textFill>
        </w:rPr>
      </w:pPr>
      <w:r>
        <w:rPr>
          <w:rFonts w:hint="eastAsia" w:cs="仿宋"/>
          <w:color w:val="000000" w:themeColor="text1"/>
          <w:szCs w:val="21"/>
          <w14:textFill>
            <w14:solidFill>
              <w14:schemeClr w14:val="tx1"/>
            </w14:solidFill>
          </w14:textFill>
        </w:rPr>
        <w:t>事实依据：</w:t>
      </w:r>
      <w:r>
        <w:rPr>
          <w:rFonts w:hint="eastAsia" w:cs="仿宋"/>
          <w:color w:val="000000" w:themeColor="text1"/>
          <w:szCs w:val="21"/>
          <w:u w:val="dotted"/>
          <w14:textFill>
            <w14:solidFill>
              <w14:schemeClr w14:val="tx1"/>
            </w14:solidFill>
          </w14:textFill>
        </w:rPr>
        <w:t xml:space="preserve">                                          </w:t>
      </w:r>
    </w:p>
    <w:p>
      <w:pPr>
        <w:adjustRightInd w:val="0"/>
        <w:snapToGrid w:val="0"/>
        <w:rPr>
          <w:rFonts w:cs="仿宋"/>
          <w:color w:val="000000" w:themeColor="text1"/>
          <w:szCs w:val="21"/>
          <w14:textFill>
            <w14:solidFill>
              <w14:schemeClr w14:val="tx1"/>
            </w14:solidFill>
          </w14:textFill>
        </w:rPr>
      </w:pPr>
      <w:r>
        <w:rPr>
          <w:rFonts w:hint="eastAsia" w:cs="仿宋"/>
          <w:color w:val="000000" w:themeColor="text1"/>
          <w:szCs w:val="21"/>
          <w:u w:val="dotted"/>
          <w14:textFill>
            <w14:solidFill>
              <w14:schemeClr w14:val="tx1"/>
            </w14:solidFill>
          </w14:textFill>
        </w:rPr>
        <w:t xml:space="preserve">                                                       </w:t>
      </w:r>
    </w:p>
    <w:p>
      <w:pPr>
        <w:adjustRightInd w:val="0"/>
        <w:snapToGrid w:val="0"/>
        <w:rPr>
          <w:rFonts w:cs="仿宋"/>
          <w:color w:val="000000" w:themeColor="text1"/>
          <w:szCs w:val="21"/>
          <w:u w:val="dotted"/>
          <w14:textFill>
            <w14:solidFill>
              <w14:schemeClr w14:val="tx1"/>
            </w14:solidFill>
          </w14:textFill>
        </w:rPr>
      </w:pPr>
      <w:r>
        <w:rPr>
          <w:rFonts w:hint="eastAsia" w:cs="仿宋"/>
          <w:color w:val="000000" w:themeColor="text1"/>
          <w:szCs w:val="21"/>
          <w14:textFill>
            <w14:solidFill>
              <w14:schemeClr w14:val="tx1"/>
            </w14:solidFill>
          </w14:textFill>
        </w:rPr>
        <w:t>法律依据：</w:t>
      </w:r>
      <w:r>
        <w:rPr>
          <w:rFonts w:hint="eastAsia" w:cs="仿宋"/>
          <w:color w:val="000000" w:themeColor="text1"/>
          <w:szCs w:val="21"/>
          <w:u w:val="dotted"/>
          <w14:textFill>
            <w14:solidFill>
              <w14:schemeClr w14:val="tx1"/>
            </w14:solidFill>
          </w14:textFill>
        </w:rPr>
        <w:t xml:space="preserve">                                          </w:t>
      </w:r>
    </w:p>
    <w:p>
      <w:pPr>
        <w:adjustRightInd w:val="0"/>
        <w:snapToGrid w:val="0"/>
        <w:rPr>
          <w:rFonts w:cs="仿宋"/>
          <w:color w:val="000000" w:themeColor="text1"/>
          <w:szCs w:val="21"/>
          <w:u w:val="dotted"/>
          <w14:textFill>
            <w14:solidFill>
              <w14:schemeClr w14:val="tx1"/>
            </w14:solidFill>
          </w14:textFill>
        </w:rPr>
      </w:pPr>
      <w:r>
        <w:rPr>
          <w:rFonts w:hint="eastAsia" w:cs="仿宋"/>
          <w:color w:val="000000" w:themeColor="text1"/>
          <w:szCs w:val="21"/>
          <w:u w:val="dotted"/>
          <w14:textFill>
            <w14:solidFill>
              <w14:schemeClr w14:val="tx1"/>
            </w14:solidFill>
          </w14:textFill>
        </w:rPr>
        <w:t xml:space="preserve">                                                     </w:t>
      </w:r>
    </w:p>
    <w:p>
      <w:pPr>
        <w:adjustRightInd w:val="0"/>
        <w:snapToGrid w:val="0"/>
        <w:rPr>
          <w:rFonts w:cs="仿宋"/>
          <w:color w:val="000000" w:themeColor="text1"/>
          <w:szCs w:val="21"/>
          <w:u w:val="dotted"/>
          <w14:textFill>
            <w14:solidFill>
              <w14:schemeClr w14:val="tx1"/>
            </w14:solidFill>
          </w14:textFill>
        </w:rPr>
      </w:pPr>
      <w:r>
        <w:rPr>
          <w:rFonts w:hint="eastAsia" w:cs="仿宋"/>
          <w:color w:val="000000" w:themeColor="text1"/>
          <w:szCs w:val="21"/>
          <w14:textFill>
            <w14:solidFill>
              <w14:schemeClr w14:val="tx1"/>
            </w14:solidFill>
          </w14:textFill>
        </w:rPr>
        <w:t>质疑事项2</w:t>
      </w:r>
    </w:p>
    <w:p>
      <w:pPr>
        <w:adjustRightInd w:val="0"/>
        <w:snapToGrid w:val="0"/>
        <w:rPr>
          <w:rFonts w:cs="仿宋"/>
          <w:color w:val="000000" w:themeColor="text1"/>
          <w:szCs w:val="21"/>
          <w14:textFill>
            <w14:solidFill>
              <w14:schemeClr w14:val="tx1"/>
            </w14:solidFill>
          </w14:textFill>
        </w:rPr>
      </w:pPr>
      <w:r>
        <w:rPr>
          <w:rFonts w:hint="eastAsia" w:cs="仿宋"/>
          <w:color w:val="000000" w:themeColor="text1"/>
          <w:szCs w:val="21"/>
          <w14:textFill>
            <w14:solidFill>
              <w14:schemeClr w14:val="tx1"/>
            </w14:solidFill>
          </w14:textFill>
        </w:rPr>
        <w:t>……</w:t>
      </w:r>
    </w:p>
    <w:p>
      <w:pPr>
        <w:adjustRightInd w:val="0"/>
        <w:snapToGrid w:val="0"/>
        <w:rPr>
          <w:rFonts w:cs="仿宋"/>
          <w:bCs/>
          <w:color w:val="000000" w:themeColor="text1"/>
          <w:szCs w:val="21"/>
          <w14:textFill>
            <w14:solidFill>
              <w14:schemeClr w14:val="tx1"/>
            </w14:solidFill>
          </w14:textFill>
        </w:rPr>
      </w:pPr>
      <w:r>
        <w:rPr>
          <w:rFonts w:hint="eastAsia" w:cs="仿宋"/>
          <w:bCs/>
          <w:color w:val="000000" w:themeColor="text1"/>
          <w:szCs w:val="21"/>
          <w14:textFill>
            <w14:solidFill>
              <w14:schemeClr w14:val="tx1"/>
            </w14:solidFill>
          </w14:textFill>
        </w:rPr>
        <w:t>四、与质疑事项相关的质疑请求</w:t>
      </w:r>
    </w:p>
    <w:p>
      <w:pPr>
        <w:adjustRightInd w:val="0"/>
        <w:snapToGrid w:val="0"/>
        <w:rPr>
          <w:rFonts w:cs="仿宋"/>
          <w:color w:val="000000" w:themeColor="text1"/>
          <w:szCs w:val="21"/>
          <w:u w:val="dotted"/>
          <w14:textFill>
            <w14:solidFill>
              <w14:schemeClr w14:val="tx1"/>
            </w14:solidFill>
          </w14:textFill>
        </w:rPr>
      </w:pPr>
      <w:r>
        <w:rPr>
          <w:rFonts w:hint="eastAsia" w:cs="仿宋"/>
          <w:color w:val="000000" w:themeColor="text1"/>
          <w:szCs w:val="21"/>
          <w14:textFill>
            <w14:solidFill>
              <w14:schemeClr w14:val="tx1"/>
            </w14:solidFill>
          </w14:textFill>
        </w:rPr>
        <w:t>请求：</w:t>
      </w:r>
      <w:r>
        <w:rPr>
          <w:rFonts w:hint="eastAsia" w:cs="仿宋"/>
          <w:color w:val="000000" w:themeColor="text1"/>
          <w:szCs w:val="21"/>
          <w:u w:val="dotted"/>
          <w14:textFill>
            <w14:solidFill>
              <w14:schemeClr w14:val="tx1"/>
            </w14:solidFill>
          </w14:textFill>
        </w:rPr>
        <w:t xml:space="preserve">                                               </w:t>
      </w: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签字(签章)：                   公章：                      </w:t>
      </w: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日期：    </w:t>
      </w:r>
    </w:p>
    <w:p>
      <w:pPr>
        <w:adjustRightInd w:val="0"/>
        <w:snapToGrid w:val="0"/>
        <w:rPr>
          <w:rFonts w:cs="仿宋"/>
          <w:color w:val="000000" w:themeColor="text1"/>
          <w:szCs w:val="21"/>
          <w14:textFill>
            <w14:solidFill>
              <w14:schemeClr w14:val="tx1"/>
            </w14:solidFill>
          </w14:textFill>
        </w:rPr>
      </w:pPr>
    </w:p>
    <w:p>
      <w:pPr>
        <w:adjustRightInd w:val="0"/>
        <w:snapToGrid w:val="0"/>
        <w:rPr>
          <w:rFonts w:cs="仿宋"/>
          <w:color w:val="000000" w:themeColor="text1"/>
          <w:szCs w:val="21"/>
          <w14:textFill>
            <w14:solidFill>
              <w14:schemeClr w14:val="tx1"/>
            </w14:solidFill>
          </w14:textFill>
        </w:rPr>
      </w:pPr>
    </w:p>
    <w:p>
      <w:pPr>
        <w:pStyle w:val="2"/>
      </w:pPr>
    </w:p>
    <w:p>
      <w:pPr>
        <w:adjustRightInd w:val="0"/>
        <w:snapToGrid w:val="0"/>
        <w:rPr>
          <w:rFonts w:cs="仿宋"/>
          <w:color w:val="000000" w:themeColor="text1"/>
          <w:szCs w:val="21"/>
          <w14:textFill>
            <w14:solidFill>
              <w14:schemeClr w14:val="tx1"/>
            </w14:solidFill>
          </w14:textFill>
        </w:rPr>
      </w:pPr>
    </w:p>
    <w:p>
      <w:pP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质疑函制作说明：</w:t>
      </w:r>
    </w:p>
    <w:p>
      <w:pPr>
        <w:widowControl/>
        <w:ind w:firstLine="44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1.供应商提出质疑时，应提交质疑函和必要的证明材料。</w:t>
      </w:r>
    </w:p>
    <w:p>
      <w:pPr>
        <w:widowControl/>
        <w:ind w:firstLine="44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2.质疑供应商若委托代理人进行质疑的，质疑函应按要求列明“授权代表”的有关内容，并在附件中提交由质疑</w:t>
      </w:r>
      <w:r>
        <w:rPr>
          <w:rFonts w:hint="eastAsia"/>
          <w:color w:val="000000" w:themeColor="text1"/>
          <w:kern w:val="0"/>
          <w:szCs w:val="21"/>
          <w14:textFill>
            <w14:solidFill>
              <w14:schemeClr w14:val="tx1"/>
            </w14:solidFill>
          </w14:textFill>
        </w:rPr>
        <w:t>供应商签署的授权委托书。授权委托书应载明代理人的姓名或者名称、代理事项、具体权限、期限和相关事项。</w:t>
      </w:r>
    </w:p>
    <w:p>
      <w:pPr>
        <w:widowControl/>
        <w:ind w:firstLine="44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3.质疑供应商若对项目的某一分包进行质疑，质疑函中应列明具体分包号。</w:t>
      </w:r>
    </w:p>
    <w:p>
      <w:pPr>
        <w:widowControl/>
        <w:ind w:firstLine="44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4.质疑函的质疑事项应具体、明确，并有必要的事实依据和法律依据。</w:t>
      </w:r>
    </w:p>
    <w:p>
      <w:pPr>
        <w:widowControl/>
        <w:ind w:firstLine="44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5.质疑函的质疑请求应与质疑事项相关。</w:t>
      </w:r>
    </w:p>
    <w:p>
      <w:pPr>
        <w:ind w:firstLine="440" w:firstLineChars="200"/>
        <w:rPr>
          <w:b/>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6.质疑供应商为自然人的，质疑函应由本人签字；质疑供应商为法人或者其他组织的，</w:t>
      </w:r>
      <w:r>
        <w:rPr>
          <w:color w:val="000000" w:themeColor="text1"/>
          <w:kern w:val="0"/>
          <w:szCs w:val="21"/>
          <w14:textFill>
            <w14:solidFill>
              <w14:schemeClr w14:val="tx1"/>
            </w14:solidFill>
          </w14:textFill>
        </w:rPr>
        <w:t>质疑函应当</w:t>
      </w:r>
      <w:r>
        <w:rPr>
          <w:rFonts w:hint="eastAsia"/>
          <w:color w:val="000000" w:themeColor="text1"/>
          <w:kern w:val="0"/>
          <w:szCs w:val="21"/>
          <w14:textFill>
            <w14:solidFill>
              <w14:schemeClr w14:val="tx1"/>
            </w14:solidFill>
          </w14:textFill>
        </w:rPr>
        <w:t>由</w:t>
      </w:r>
      <w:r>
        <w:rPr>
          <w:color w:val="000000" w:themeColor="text1"/>
          <w:kern w:val="0"/>
          <w:szCs w:val="21"/>
          <w14:textFill>
            <w14:solidFill>
              <w14:schemeClr w14:val="tx1"/>
            </w14:solidFill>
          </w14:textFill>
        </w:rPr>
        <w:t>质疑</w:t>
      </w:r>
      <w:r>
        <w:rPr>
          <w:rFonts w:hint="eastAsia"/>
          <w:color w:val="000000" w:themeColor="text1"/>
          <w:kern w:val="0"/>
          <w:szCs w:val="21"/>
          <w14:textFill>
            <w14:solidFill>
              <w14:schemeClr w14:val="tx1"/>
            </w14:solidFill>
          </w14:textFill>
        </w:rPr>
        <w:t>投标人的</w:t>
      </w:r>
      <w:r>
        <w:rPr>
          <w:color w:val="000000" w:themeColor="text1"/>
          <w:kern w:val="0"/>
          <w:szCs w:val="21"/>
          <w14:textFill>
            <w14:solidFill>
              <w14:schemeClr w14:val="tx1"/>
            </w14:solidFill>
          </w14:textFill>
        </w:rPr>
        <w:t>法定代表人（负责人）或主要负责人签字并加盖</w:t>
      </w:r>
      <w:r>
        <w:rPr>
          <w:rFonts w:hint="eastAsia"/>
          <w:color w:val="000000" w:themeColor="text1"/>
          <w:kern w:val="0"/>
          <w:szCs w:val="21"/>
          <w14:textFill>
            <w14:solidFill>
              <w14:schemeClr w14:val="tx1"/>
            </w14:solidFill>
          </w14:textFill>
        </w:rPr>
        <w:t>单位</w:t>
      </w:r>
      <w:r>
        <w:rPr>
          <w:color w:val="000000" w:themeColor="text1"/>
          <w:kern w:val="0"/>
          <w:szCs w:val="21"/>
          <w14:textFill>
            <w14:solidFill>
              <w14:schemeClr w14:val="tx1"/>
            </w14:solidFill>
          </w14:textFill>
        </w:rPr>
        <w:t>公章</w:t>
      </w:r>
      <w:r>
        <w:rPr>
          <w:rFonts w:hint="eastAsia"/>
          <w:color w:val="000000" w:themeColor="text1"/>
          <w:kern w:val="0"/>
          <w:szCs w:val="21"/>
          <w14:textFill>
            <w14:solidFill>
              <w14:schemeClr w14:val="tx1"/>
            </w14:solidFill>
          </w14:textFill>
        </w:rPr>
        <w:t>，留有联系人及联系电话并提供营业执照复印件、法定代表人（负责人）证明书、授权书、法定代表人（负责人）被授权人身份证复印件，并与代理采购机构工作人员做好确认工作，未被确认的质疑将作为无效质疑，</w:t>
      </w:r>
      <w:r>
        <w:rPr>
          <w:color w:val="000000" w:themeColor="text1"/>
          <w:kern w:val="0"/>
          <w:szCs w:val="21"/>
          <w14:textFill>
            <w14:solidFill>
              <w14:schemeClr w14:val="tx1"/>
            </w14:solidFill>
          </w14:textFill>
        </w:rPr>
        <w:t>采购人或</w:t>
      </w:r>
      <w:r>
        <w:rPr>
          <w:rFonts w:hint="eastAsia"/>
          <w:color w:val="000000" w:themeColor="text1"/>
          <w:kern w:val="0"/>
          <w:szCs w:val="21"/>
          <w14:textFill>
            <w14:solidFill>
              <w14:schemeClr w14:val="tx1"/>
            </w14:solidFill>
          </w14:textFill>
        </w:rPr>
        <w:t>代理采购机构可不予作答。</w:t>
      </w:r>
    </w:p>
    <w:p>
      <w:pPr>
        <w:rPr>
          <w:b/>
          <w:color w:val="000000" w:themeColor="text1"/>
          <w:szCs w:val="21"/>
          <w14:textFill>
            <w14:solidFill>
              <w14:schemeClr w14:val="tx1"/>
            </w14:solidFill>
          </w14:textFill>
        </w:rPr>
      </w:pPr>
    </w:p>
    <w:p>
      <w:pPr>
        <w:tabs>
          <w:tab w:val="left" w:pos="576"/>
        </w:tabs>
      </w:pPr>
    </w:p>
    <w:sectPr>
      <w:headerReference r:id="rId9" w:type="default"/>
      <w:footerReference r:id="rId10" w:type="default"/>
      <w:pgSz w:w="11906" w:h="16838"/>
      <w:pgMar w:top="1247" w:right="1134" w:bottom="1134" w:left="1134"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楷体_GB2312">
    <w:panose1 w:val="0201060903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0" w:usb3="00000000" w:csb0="00000001" w:csb1="00000000"/>
  </w:font>
  <w:font w:name="等线">
    <w:altName w:val="微软雅黑"/>
    <w:panose1 w:val="00000000000000000000"/>
    <w:charset w:val="86"/>
    <w:family w:val="auto"/>
    <w:pitch w:val="default"/>
    <w:sig w:usb0="00000000" w:usb1="00000000" w:usb2="00000016" w:usb3="00000000" w:csb0="0004000F" w:csb1="00000000"/>
  </w:font>
  <w:font w:name="Helvetica">
    <w:altName w:val="Arial"/>
    <w:panose1 w:val="020B0604020202020204"/>
    <w:charset w:val="00"/>
    <w:family w:val="swiss"/>
    <w:pitch w:val="default"/>
    <w:sig w:usb0="00000000" w:usb1="00000000" w:usb2="00000000" w:usb3="00000000" w:csb0="00000001" w:csb1="00000000"/>
  </w:font>
  <w:font w:name="PingFang SC Semibold">
    <w:altName w:val="Segoe Print"/>
    <w:panose1 w:val="00000000000000000000"/>
    <w:charset w:val="00"/>
    <w:family w:val="roman"/>
    <w:pitch w:val="default"/>
    <w:sig w:usb0="00000000" w:usb1="00000000" w:usb2="00000000" w:usb3="00000000" w:csb0="00000000" w:csb1="00000000"/>
  </w:font>
  <w:font w:name="PingFang SC Regular">
    <w:altName w:val="Segoe Print"/>
    <w:panose1 w:val="00000000000000000000"/>
    <w:charset w:val="00"/>
    <w:family w:val="roman"/>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25</w:t>
                          </w:r>
                          <w:r>
                            <w:rPr>
                              <w:rFonts w:hint="eastAsia"/>
                              <w:sz w:val="18"/>
                            </w:rPr>
                            <w:fldChar w:fldCharType="end"/>
                          </w:r>
                        </w:p>
                      </w:txbxContent>
                    </wps:txbx>
                    <wps:bodyPr wrap="none" lIns="0" tIns="0" rIns="0" bIns="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oaYJL0wAAAAUBAAAPAAAAAAAAAAEAIAAAACIAAABkcnMvZG93&#10;bnJldi54bWxQSwECFAAUAAAACACHTuJARz0C/cwBAACZAwAADgAAAAAAAAABACAAAAAiAQAAZHJz&#10;L2Uyb0RvYy54bWxQSwUGAAAAAAYABgBZAQAAYAU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25</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2"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35</w:t>
                          </w:r>
                          <w:r>
                            <w:rPr>
                              <w:rFonts w:hint="eastAsia"/>
                              <w:sz w:val="18"/>
                            </w:rPr>
                            <w:fldChar w:fldCharType="end"/>
                          </w:r>
                        </w:p>
                      </w:txbxContent>
                    </wps:txbx>
                    <wps:bodyPr wrap="none" lIns="0" tIns="0" rIns="0" bIns="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B73UXsywEAAJgDAAAOAAAAAAAAAAEAIAAAACIBAABkcnMv&#10;ZTJvRG9jLnhtbFBLBQYAAAAABgAGAFkBAABf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35</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8"/>
                            <w:jc w:val="right"/>
                          </w:pPr>
                          <w:r>
                            <w:fldChar w:fldCharType="begin"/>
                          </w:r>
                          <w:r>
                            <w:instrText xml:space="preserve">PAGE  </w:instrText>
                          </w:r>
                          <w:r>
                            <w:fldChar w:fldCharType="separate"/>
                          </w:r>
                          <w:r>
                            <w:t>61</w:t>
                          </w:r>
                          <w:r>
                            <w:fldChar w:fldCharType="end"/>
                          </w:r>
                        </w:p>
                        <w:p>
                          <w:pPr>
                            <w:pStyle w:val="18"/>
                            <w:ind w:right="360"/>
                          </w:pPr>
                        </w:p>
                        <w:p/>
                      </w:txbxContent>
                    </wps:txbx>
                    <wps:bodyPr wrap="none" lIns="0" tIns="0" rIns="0" bIns="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&#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7UP4F0QEAAKYDAAAOAAAAAAAAAAEAIAAAACIB&#10;AABkcnMvZTJvRG9jLnhtbFBLBQYAAAAABgAGAFkBAABlBQAAAAA=&#10;">
              <v:fill on="f" focussize="0,0"/>
              <v:stroke on="f" weight="1.25pt"/>
              <v:imagedata o:title=""/>
              <o:lock v:ext="edit" aspectratio="f"/>
              <v:textbox inset="0mm,0mm,0mm,0mm" style="mso-fit-shape-to-text:t;">
                <w:txbxContent>
                  <w:p>
                    <w:pPr>
                      <w:pStyle w:val="18"/>
                      <w:jc w:val="right"/>
                    </w:pPr>
                    <w:r>
                      <w:fldChar w:fldCharType="begin"/>
                    </w:r>
                    <w:r>
                      <w:instrText xml:space="preserve">PAGE  </w:instrText>
                    </w:r>
                    <w:r>
                      <w:fldChar w:fldCharType="separate"/>
                    </w:r>
                    <w:r>
                      <w:t>61</w:t>
                    </w:r>
                    <w:r>
                      <w:fldChar w:fldCharType="end"/>
                    </w:r>
                  </w:p>
                  <w:p>
                    <w:pPr>
                      <w:pStyle w:val="18"/>
                      <w:ind w:right="360"/>
                    </w:pPr>
                  </w:p>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double" w:color="0000FF" w:sz="8" w:space="1"/>
      </w:pBdr>
      <w:jc w:val="both"/>
      <w:rPr>
        <w:rFonts w:hint="eastAsia" w:ascii="楷体" w:hAnsi="楷体" w:eastAsia="楷体" w:cs="楷体"/>
        <w:sz w:val="20"/>
        <w:szCs w:val="20"/>
      </w:rPr>
    </w:pPr>
    <w:r>
      <w:rPr>
        <w:rFonts w:hint="eastAsia" w:ascii="楷体" w:hAnsi="楷体" w:eastAsia="楷体" w:cs="楷体"/>
        <w:color w:val="333333"/>
        <w:sz w:val="20"/>
        <w:szCs w:val="20"/>
        <w:shd w:val="clear" w:color="auto" w:fill="FFFFFF"/>
      </w:rPr>
      <w:t>浙江欣源工程项目管理有限公司18072155570-612888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double" w:color="0000FF" w:sz="8" w:space="1"/>
      </w:pBdr>
      <w:jc w:val="both"/>
    </w:pPr>
  </w:p>
  <w:p>
    <w:pPr>
      <w:pStyle w:val="19"/>
      <w:pBdr>
        <w:bottom w:val="double" w:color="0000FF" w:sz="8" w:space="1"/>
      </w:pBdr>
      <w:jc w:val="both"/>
      <w:rPr>
        <w:rFonts w:hint="eastAsia" w:ascii="楷体" w:hAnsi="楷体" w:eastAsia="楷体" w:cs="楷体"/>
        <w:sz w:val="20"/>
        <w:szCs w:val="20"/>
      </w:rPr>
    </w:pPr>
    <w:r>
      <w:rPr>
        <w:rFonts w:hint="eastAsia" w:ascii="楷体" w:hAnsi="楷体" w:eastAsia="楷体" w:cs="楷体"/>
        <w:color w:val="333333"/>
        <w:sz w:val="20"/>
        <w:szCs w:val="20"/>
        <w:shd w:val="clear" w:color="auto" w:fill="FFFFFF"/>
      </w:rPr>
      <w:t>浙江欣源工程项目管理有限公司18072155570-612888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double" w:color="0000FF" w:sz="8" w:space="1"/>
      </w:pBdr>
      <w:jc w:val="both"/>
      <w:rPr>
        <w:rFonts w:hint="eastAsia" w:ascii="楷体" w:hAnsi="楷体" w:eastAsia="楷体" w:cs="楷体"/>
        <w:sz w:val="20"/>
        <w:szCs w:val="20"/>
      </w:rPr>
    </w:pPr>
    <w:r>
      <w:rPr>
        <w:rFonts w:hint="eastAsia" w:ascii="楷体" w:hAnsi="楷体" w:eastAsia="楷体" w:cs="楷体"/>
        <w:color w:val="333333"/>
        <w:sz w:val="20"/>
        <w:szCs w:val="20"/>
        <w:shd w:val="clear" w:color="auto" w:fill="FFFFFF"/>
      </w:rPr>
      <w:t>浙江欣源工程项目管理有限公司18072155570-612888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6E3FAD"/>
    <w:multiLevelType w:val="singleLevel"/>
    <w:tmpl w:val="826E3FAD"/>
    <w:lvl w:ilvl="0" w:tentative="0">
      <w:start w:val="6"/>
      <w:numFmt w:val="decimal"/>
      <w:suff w:val="nothing"/>
      <w:lvlText w:val="（%1）"/>
      <w:lvlJc w:val="left"/>
    </w:lvl>
  </w:abstractNum>
  <w:abstractNum w:abstractNumId="1">
    <w:nsid w:val="A3AC4F97"/>
    <w:multiLevelType w:val="singleLevel"/>
    <w:tmpl w:val="A3AC4F97"/>
    <w:lvl w:ilvl="0" w:tentative="0">
      <w:start w:val="1"/>
      <w:numFmt w:val="chineseCounting"/>
      <w:suff w:val="space"/>
      <w:lvlText w:val="第%1部分"/>
      <w:lvlJc w:val="left"/>
      <w:rPr>
        <w:rFonts w:hint="eastAsia"/>
      </w:rPr>
    </w:lvl>
  </w:abstractNum>
  <w:abstractNum w:abstractNumId="2">
    <w:nsid w:val="BF1C59CB"/>
    <w:multiLevelType w:val="singleLevel"/>
    <w:tmpl w:val="BF1C59CB"/>
    <w:lvl w:ilvl="0" w:tentative="0">
      <w:start w:val="1"/>
      <w:numFmt w:val="decimal"/>
      <w:lvlText w:val="%1."/>
      <w:lvlJc w:val="left"/>
      <w:pPr>
        <w:tabs>
          <w:tab w:val="left" w:pos="312"/>
        </w:tabs>
      </w:pPr>
    </w:lvl>
  </w:abstractNum>
  <w:abstractNum w:abstractNumId="3">
    <w:nsid w:val="C577A9D3"/>
    <w:multiLevelType w:val="singleLevel"/>
    <w:tmpl w:val="C577A9D3"/>
    <w:lvl w:ilvl="0" w:tentative="0">
      <w:start w:val="1"/>
      <w:numFmt w:val="decimal"/>
      <w:suff w:val="nothing"/>
      <w:lvlText w:val="（%1）"/>
      <w:lvlJc w:val="left"/>
    </w:lvl>
  </w:abstractNum>
  <w:abstractNum w:abstractNumId="4">
    <w:nsid w:val="E8779AC9"/>
    <w:multiLevelType w:val="singleLevel"/>
    <w:tmpl w:val="E8779AC9"/>
    <w:lvl w:ilvl="0" w:tentative="0">
      <w:start w:val="1"/>
      <w:numFmt w:val="decimal"/>
      <w:suff w:val="nothing"/>
      <w:lvlText w:val="%1、"/>
      <w:lvlJc w:val="left"/>
    </w:lvl>
  </w:abstractNum>
  <w:abstractNum w:abstractNumId="5">
    <w:nsid w:val="EA00FE4E"/>
    <w:multiLevelType w:val="singleLevel"/>
    <w:tmpl w:val="EA00FE4E"/>
    <w:lvl w:ilvl="0" w:tentative="0">
      <w:start w:val="1"/>
      <w:numFmt w:val="decimal"/>
      <w:suff w:val="nothing"/>
      <w:lvlText w:val="%1．"/>
      <w:lvlJc w:val="left"/>
      <w:pPr>
        <w:ind w:left="0" w:firstLine="400"/>
      </w:pPr>
      <w:rPr>
        <w:rFonts w:hint="default"/>
      </w:rPr>
    </w:lvl>
  </w:abstractNum>
  <w:abstractNum w:abstractNumId="6">
    <w:nsid w:val="31A453FA"/>
    <w:multiLevelType w:val="singleLevel"/>
    <w:tmpl w:val="31A453FA"/>
    <w:lvl w:ilvl="0" w:tentative="0">
      <w:start w:val="1"/>
      <w:numFmt w:val="chineseCounting"/>
      <w:suff w:val="nothing"/>
      <w:lvlText w:val="%1、"/>
      <w:lvlJc w:val="left"/>
      <w:rPr>
        <w:rFonts w:hint="eastAsia"/>
      </w:rPr>
    </w:lvl>
  </w:abstractNum>
  <w:abstractNum w:abstractNumId="7">
    <w:nsid w:val="570D00D6"/>
    <w:multiLevelType w:val="singleLevel"/>
    <w:tmpl w:val="570D00D6"/>
    <w:lvl w:ilvl="0" w:tentative="0">
      <w:start w:val="3"/>
      <w:numFmt w:val="decimal"/>
      <w:suff w:val="nothing"/>
      <w:lvlText w:val="%1、"/>
      <w:lvlJc w:val="left"/>
    </w:lvl>
  </w:abstractNum>
  <w:abstractNum w:abstractNumId="8">
    <w:nsid w:val="58172003"/>
    <w:multiLevelType w:val="singleLevel"/>
    <w:tmpl w:val="58172003"/>
    <w:lvl w:ilvl="0" w:tentative="0">
      <w:start w:val="2"/>
      <w:numFmt w:val="chineseCounting"/>
      <w:suff w:val="nothing"/>
      <w:lvlText w:val="%1、"/>
      <w:lvlJc w:val="left"/>
    </w:lvl>
  </w:abstractNum>
  <w:abstractNum w:abstractNumId="9">
    <w:nsid w:val="59F2FC72"/>
    <w:multiLevelType w:val="singleLevel"/>
    <w:tmpl w:val="59F2FC72"/>
    <w:lvl w:ilvl="0" w:tentative="0">
      <w:start w:val="5"/>
      <w:numFmt w:val="decimal"/>
      <w:suff w:val="nothing"/>
      <w:lvlText w:val="%1、"/>
      <w:lvlJc w:val="left"/>
    </w:lvl>
  </w:abstractNum>
  <w:abstractNum w:abstractNumId="10">
    <w:nsid w:val="713324A2"/>
    <w:multiLevelType w:val="singleLevel"/>
    <w:tmpl w:val="713324A2"/>
    <w:lvl w:ilvl="0" w:tentative="0">
      <w:start w:val="1"/>
      <w:numFmt w:val="decimal"/>
      <w:lvlText w:val="%1)"/>
      <w:lvlJc w:val="left"/>
      <w:pPr>
        <w:ind w:left="425" w:hanging="425"/>
      </w:pPr>
      <w:rPr>
        <w:rFonts w:hint="default"/>
      </w:rPr>
    </w:lvl>
  </w:abstractNum>
  <w:num w:numId="1">
    <w:abstractNumId w:val="6"/>
  </w:num>
  <w:num w:numId="2">
    <w:abstractNumId w:val="2"/>
  </w:num>
  <w:num w:numId="3">
    <w:abstractNumId w:val="1"/>
  </w:num>
  <w:num w:numId="4">
    <w:abstractNumId w:val="7"/>
  </w:num>
  <w:num w:numId="5">
    <w:abstractNumId w:val="8"/>
  </w:num>
  <w:num w:numId="6">
    <w:abstractNumId w:val="5"/>
  </w:num>
  <w:num w:numId="7">
    <w:abstractNumId w:val="10"/>
  </w:num>
  <w:num w:numId="8">
    <w:abstractNumId w:val="9"/>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A0NDE5MTdlOTQyMDlmMDhmOWNkOTYwOGYwNzk2NmIifQ=="/>
  </w:docVars>
  <w:rsids>
    <w:rsidRoot w:val="40682FB9"/>
    <w:rsid w:val="00000554"/>
    <w:rsid w:val="00036754"/>
    <w:rsid w:val="00073995"/>
    <w:rsid w:val="0008104C"/>
    <w:rsid w:val="000A0C8F"/>
    <w:rsid w:val="000D3F27"/>
    <w:rsid w:val="0022137B"/>
    <w:rsid w:val="00236824"/>
    <w:rsid w:val="00257D75"/>
    <w:rsid w:val="002A5091"/>
    <w:rsid w:val="002B4C90"/>
    <w:rsid w:val="002E023F"/>
    <w:rsid w:val="00334BEE"/>
    <w:rsid w:val="00383FAF"/>
    <w:rsid w:val="003A2D2C"/>
    <w:rsid w:val="003B29DF"/>
    <w:rsid w:val="003C37DD"/>
    <w:rsid w:val="003F5960"/>
    <w:rsid w:val="00451D8B"/>
    <w:rsid w:val="004B04D5"/>
    <w:rsid w:val="004F3DA8"/>
    <w:rsid w:val="005100B8"/>
    <w:rsid w:val="00513E4A"/>
    <w:rsid w:val="0054463D"/>
    <w:rsid w:val="00574057"/>
    <w:rsid w:val="005C1EE9"/>
    <w:rsid w:val="006B43CD"/>
    <w:rsid w:val="006F7B19"/>
    <w:rsid w:val="007723EA"/>
    <w:rsid w:val="008271D8"/>
    <w:rsid w:val="00843DA8"/>
    <w:rsid w:val="00905902"/>
    <w:rsid w:val="009117AF"/>
    <w:rsid w:val="009D1618"/>
    <w:rsid w:val="009D4F0D"/>
    <w:rsid w:val="009D6783"/>
    <w:rsid w:val="00AA0454"/>
    <w:rsid w:val="00BF6079"/>
    <w:rsid w:val="00BF6C2A"/>
    <w:rsid w:val="00C3236E"/>
    <w:rsid w:val="00CA4BA2"/>
    <w:rsid w:val="00CE403C"/>
    <w:rsid w:val="00DF02CC"/>
    <w:rsid w:val="00E1798F"/>
    <w:rsid w:val="00E62FCB"/>
    <w:rsid w:val="00EA3E6D"/>
    <w:rsid w:val="00EA5C25"/>
    <w:rsid w:val="00EB09F3"/>
    <w:rsid w:val="011D2FB4"/>
    <w:rsid w:val="013002B4"/>
    <w:rsid w:val="0141009B"/>
    <w:rsid w:val="018D5609"/>
    <w:rsid w:val="01924DBF"/>
    <w:rsid w:val="01F22925"/>
    <w:rsid w:val="01F3314F"/>
    <w:rsid w:val="020043F4"/>
    <w:rsid w:val="021C6997"/>
    <w:rsid w:val="023C57AB"/>
    <w:rsid w:val="0247296B"/>
    <w:rsid w:val="024B5C4B"/>
    <w:rsid w:val="02820BEC"/>
    <w:rsid w:val="028A3495"/>
    <w:rsid w:val="029A1193"/>
    <w:rsid w:val="02C10FF0"/>
    <w:rsid w:val="02C95007"/>
    <w:rsid w:val="02E032BC"/>
    <w:rsid w:val="02E91879"/>
    <w:rsid w:val="02EF2212"/>
    <w:rsid w:val="02F32A81"/>
    <w:rsid w:val="032B2BFF"/>
    <w:rsid w:val="033A2325"/>
    <w:rsid w:val="0353701B"/>
    <w:rsid w:val="03793A5D"/>
    <w:rsid w:val="038745DD"/>
    <w:rsid w:val="0394105D"/>
    <w:rsid w:val="03AC4841"/>
    <w:rsid w:val="03BD602F"/>
    <w:rsid w:val="03CF1C35"/>
    <w:rsid w:val="03D455DE"/>
    <w:rsid w:val="03DA47B7"/>
    <w:rsid w:val="03E63C92"/>
    <w:rsid w:val="03EA0824"/>
    <w:rsid w:val="043233C8"/>
    <w:rsid w:val="04743F71"/>
    <w:rsid w:val="0492043E"/>
    <w:rsid w:val="04AE6E99"/>
    <w:rsid w:val="04BE2992"/>
    <w:rsid w:val="04CC053D"/>
    <w:rsid w:val="04D57F60"/>
    <w:rsid w:val="05017889"/>
    <w:rsid w:val="050C6E5A"/>
    <w:rsid w:val="051A018A"/>
    <w:rsid w:val="052C58F9"/>
    <w:rsid w:val="0548090D"/>
    <w:rsid w:val="056E5BEF"/>
    <w:rsid w:val="058D2EEE"/>
    <w:rsid w:val="05965479"/>
    <w:rsid w:val="059C4B39"/>
    <w:rsid w:val="05B351BE"/>
    <w:rsid w:val="05B7196B"/>
    <w:rsid w:val="06171195"/>
    <w:rsid w:val="061B638D"/>
    <w:rsid w:val="06823FEA"/>
    <w:rsid w:val="06A35CCE"/>
    <w:rsid w:val="06F01877"/>
    <w:rsid w:val="07141B71"/>
    <w:rsid w:val="071B1815"/>
    <w:rsid w:val="072D055A"/>
    <w:rsid w:val="073428D2"/>
    <w:rsid w:val="074B264D"/>
    <w:rsid w:val="074C028D"/>
    <w:rsid w:val="07611EF3"/>
    <w:rsid w:val="07671B3A"/>
    <w:rsid w:val="07B72A1E"/>
    <w:rsid w:val="07D85D92"/>
    <w:rsid w:val="07EB1C23"/>
    <w:rsid w:val="07F35FDC"/>
    <w:rsid w:val="082850BA"/>
    <w:rsid w:val="08370EE5"/>
    <w:rsid w:val="087935EF"/>
    <w:rsid w:val="087C5175"/>
    <w:rsid w:val="089661A8"/>
    <w:rsid w:val="08B76896"/>
    <w:rsid w:val="08BE6F32"/>
    <w:rsid w:val="08F64479"/>
    <w:rsid w:val="08FC4693"/>
    <w:rsid w:val="090F55D1"/>
    <w:rsid w:val="0923166D"/>
    <w:rsid w:val="0925418B"/>
    <w:rsid w:val="094E3682"/>
    <w:rsid w:val="095363A1"/>
    <w:rsid w:val="096941A5"/>
    <w:rsid w:val="09773AA3"/>
    <w:rsid w:val="0989590A"/>
    <w:rsid w:val="09B557FD"/>
    <w:rsid w:val="09D2475D"/>
    <w:rsid w:val="09DA1873"/>
    <w:rsid w:val="09ED6E90"/>
    <w:rsid w:val="0A13521F"/>
    <w:rsid w:val="0A1C08E0"/>
    <w:rsid w:val="0A320133"/>
    <w:rsid w:val="0A381BFE"/>
    <w:rsid w:val="0A4545CE"/>
    <w:rsid w:val="0A5437A9"/>
    <w:rsid w:val="0A595937"/>
    <w:rsid w:val="0A671E21"/>
    <w:rsid w:val="0A6E4AB2"/>
    <w:rsid w:val="0A7305A7"/>
    <w:rsid w:val="0A8C0880"/>
    <w:rsid w:val="0ADB2606"/>
    <w:rsid w:val="0AE644B2"/>
    <w:rsid w:val="0AE90A95"/>
    <w:rsid w:val="0B06293C"/>
    <w:rsid w:val="0B1A3DD7"/>
    <w:rsid w:val="0B4238D8"/>
    <w:rsid w:val="0B4B024B"/>
    <w:rsid w:val="0B5F3D75"/>
    <w:rsid w:val="0B707A57"/>
    <w:rsid w:val="0B757A4F"/>
    <w:rsid w:val="0B7B0B0D"/>
    <w:rsid w:val="0BAA7DB2"/>
    <w:rsid w:val="0BD957EC"/>
    <w:rsid w:val="0BDA27EC"/>
    <w:rsid w:val="0C2A1FB8"/>
    <w:rsid w:val="0C463EF5"/>
    <w:rsid w:val="0C7345D2"/>
    <w:rsid w:val="0C747D60"/>
    <w:rsid w:val="0CA507B2"/>
    <w:rsid w:val="0CB310E4"/>
    <w:rsid w:val="0CD13F83"/>
    <w:rsid w:val="0CD479FD"/>
    <w:rsid w:val="0CFC7F65"/>
    <w:rsid w:val="0D2114C4"/>
    <w:rsid w:val="0D823BC4"/>
    <w:rsid w:val="0D8F0BA9"/>
    <w:rsid w:val="0D8F1711"/>
    <w:rsid w:val="0D926443"/>
    <w:rsid w:val="0DC654FE"/>
    <w:rsid w:val="0DE951E5"/>
    <w:rsid w:val="0E170435"/>
    <w:rsid w:val="0E374D58"/>
    <w:rsid w:val="0E3C287E"/>
    <w:rsid w:val="0EBE4050"/>
    <w:rsid w:val="0ECB5816"/>
    <w:rsid w:val="0ECD0CA8"/>
    <w:rsid w:val="0F07127F"/>
    <w:rsid w:val="0F2B249C"/>
    <w:rsid w:val="0F4D3F7E"/>
    <w:rsid w:val="0F4E3BA2"/>
    <w:rsid w:val="0F5132C6"/>
    <w:rsid w:val="0F5A681F"/>
    <w:rsid w:val="0FB020CF"/>
    <w:rsid w:val="0FD3606A"/>
    <w:rsid w:val="10181E9A"/>
    <w:rsid w:val="10205208"/>
    <w:rsid w:val="104F598C"/>
    <w:rsid w:val="105F0687"/>
    <w:rsid w:val="10794E9A"/>
    <w:rsid w:val="10AD19DC"/>
    <w:rsid w:val="10C03083"/>
    <w:rsid w:val="10C84BA3"/>
    <w:rsid w:val="10E57CC8"/>
    <w:rsid w:val="10E912B5"/>
    <w:rsid w:val="1104377D"/>
    <w:rsid w:val="11201FA4"/>
    <w:rsid w:val="11206E69"/>
    <w:rsid w:val="1138284A"/>
    <w:rsid w:val="113B558E"/>
    <w:rsid w:val="119401DE"/>
    <w:rsid w:val="11A71708"/>
    <w:rsid w:val="11DC65BB"/>
    <w:rsid w:val="11E27853"/>
    <w:rsid w:val="12023E97"/>
    <w:rsid w:val="12043B73"/>
    <w:rsid w:val="12291C86"/>
    <w:rsid w:val="122A7AE7"/>
    <w:rsid w:val="122B504C"/>
    <w:rsid w:val="1247073A"/>
    <w:rsid w:val="124E10F5"/>
    <w:rsid w:val="125235BF"/>
    <w:rsid w:val="12554F77"/>
    <w:rsid w:val="12AA2C90"/>
    <w:rsid w:val="13382CC0"/>
    <w:rsid w:val="134C41C9"/>
    <w:rsid w:val="135A7E51"/>
    <w:rsid w:val="136376BB"/>
    <w:rsid w:val="137643FF"/>
    <w:rsid w:val="139D6810"/>
    <w:rsid w:val="13CE6E7D"/>
    <w:rsid w:val="14374CC8"/>
    <w:rsid w:val="143854CE"/>
    <w:rsid w:val="14445491"/>
    <w:rsid w:val="14563ED1"/>
    <w:rsid w:val="149F73B8"/>
    <w:rsid w:val="14A26061"/>
    <w:rsid w:val="14B0389C"/>
    <w:rsid w:val="14EE47A6"/>
    <w:rsid w:val="14FD0548"/>
    <w:rsid w:val="14FF39FD"/>
    <w:rsid w:val="150A2B5E"/>
    <w:rsid w:val="15123FAE"/>
    <w:rsid w:val="15405737"/>
    <w:rsid w:val="1584459E"/>
    <w:rsid w:val="15862530"/>
    <w:rsid w:val="15866638"/>
    <w:rsid w:val="15B37698"/>
    <w:rsid w:val="15C178D7"/>
    <w:rsid w:val="15C3338E"/>
    <w:rsid w:val="15C8666D"/>
    <w:rsid w:val="15F57996"/>
    <w:rsid w:val="16054B18"/>
    <w:rsid w:val="16064E38"/>
    <w:rsid w:val="16116D0E"/>
    <w:rsid w:val="16542403"/>
    <w:rsid w:val="166713CE"/>
    <w:rsid w:val="1677145D"/>
    <w:rsid w:val="169B7D87"/>
    <w:rsid w:val="16D77990"/>
    <w:rsid w:val="1742024C"/>
    <w:rsid w:val="1764120F"/>
    <w:rsid w:val="177A3834"/>
    <w:rsid w:val="17B77763"/>
    <w:rsid w:val="17F83B8D"/>
    <w:rsid w:val="183B6A88"/>
    <w:rsid w:val="185B2D14"/>
    <w:rsid w:val="18A6027E"/>
    <w:rsid w:val="18D414AC"/>
    <w:rsid w:val="18D92513"/>
    <w:rsid w:val="18F21BD2"/>
    <w:rsid w:val="191E3A18"/>
    <w:rsid w:val="19696D6B"/>
    <w:rsid w:val="198D2B85"/>
    <w:rsid w:val="19B134C6"/>
    <w:rsid w:val="19B67156"/>
    <w:rsid w:val="19FB3093"/>
    <w:rsid w:val="1A0E4F17"/>
    <w:rsid w:val="1A464299"/>
    <w:rsid w:val="1A4D4E55"/>
    <w:rsid w:val="1A6F5CC9"/>
    <w:rsid w:val="1AA478CF"/>
    <w:rsid w:val="1AAD6D7B"/>
    <w:rsid w:val="1AD87C64"/>
    <w:rsid w:val="1AD93B86"/>
    <w:rsid w:val="1AED1417"/>
    <w:rsid w:val="1B0D4DF4"/>
    <w:rsid w:val="1B161E6B"/>
    <w:rsid w:val="1B5E388E"/>
    <w:rsid w:val="1B9F7253"/>
    <w:rsid w:val="1BB820C2"/>
    <w:rsid w:val="1BEC053D"/>
    <w:rsid w:val="1BEE74A4"/>
    <w:rsid w:val="1BF576A9"/>
    <w:rsid w:val="1BFB30E4"/>
    <w:rsid w:val="1C1F1200"/>
    <w:rsid w:val="1C2E6E67"/>
    <w:rsid w:val="1C376C05"/>
    <w:rsid w:val="1C7B329E"/>
    <w:rsid w:val="1C890B23"/>
    <w:rsid w:val="1CCA2C82"/>
    <w:rsid w:val="1CF92F1F"/>
    <w:rsid w:val="1D0C7FF9"/>
    <w:rsid w:val="1D152F2F"/>
    <w:rsid w:val="1D34151F"/>
    <w:rsid w:val="1D4D582B"/>
    <w:rsid w:val="1D601B80"/>
    <w:rsid w:val="1D64109C"/>
    <w:rsid w:val="1D6E0AE7"/>
    <w:rsid w:val="1DD5195C"/>
    <w:rsid w:val="1DFA7057"/>
    <w:rsid w:val="1DFB3486"/>
    <w:rsid w:val="1DFF2FAF"/>
    <w:rsid w:val="1E362D15"/>
    <w:rsid w:val="1E40297D"/>
    <w:rsid w:val="1E722033"/>
    <w:rsid w:val="1EC85396"/>
    <w:rsid w:val="1EF451D3"/>
    <w:rsid w:val="1F0133A7"/>
    <w:rsid w:val="1F141EBC"/>
    <w:rsid w:val="1F2F4507"/>
    <w:rsid w:val="1F3B3EC2"/>
    <w:rsid w:val="1F660838"/>
    <w:rsid w:val="1F6C5473"/>
    <w:rsid w:val="1F7140BE"/>
    <w:rsid w:val="1F761675"/>
    <w:rsid w:val="1F8A15F6"/>
    <w:rsid w:val="1FC066A5"/>
    <w:rsid w:val="2005149B"/>
    <w:rsid w:val="20074CCE"/>
    <w:rsid w:val="200C3C3E"/>
    <w:rsid w:val="201A3C3A"/>
    <w:rsid w:val="201E4A39"/>
    <w:rsid w:val="201E5092"/>
    <w:rsid w:val="20285172"/>
    <w:rsid w:val="20554B47"/>
    <w:rsid w:val="20757AB2"/>
    <w:rsid w:val="208B53ED"/>
    <w:rsid w:val="20AF7D22"/>
    <w:rsid w:val="20C2607F"/>
    <w:rsid w:val="20FE3B78"/>
    <w:rsid w:val="210E5690"/>
    <w:rsid w:val="212C1908"/>
    <w:rsid w:val="214E21A1"/>
    <w:rsid w:val="2191538C"/>
    <w:rsid w:val="21D56FC3"/>
    <w:rsid w:val="21E914FF"/>
    <w:rsid w:val="220A4518"/>
    <w:rsid w:val="22430490"/>
    <w:rsid w:val="22770B6F"/>
    <w:rsid w:val="229A3A7C"/>
    <w:rsid w:val="22B706AA"/>
    <w:rsid w:val="22BD0EBF"/>
    <w:rsid w:val="22CD3E78"/>
    <w:rsid w:val="22D057BD"/>
    <w:rsid w:val="22E830E8"/>
    <w:rsid w:val="22F4559D"/>
    <w:rsid w:val="2305309B"/>
    <w:rsid w:val="23471EF7"/>
    <w:rsid w:val="235F5951"/>
    <w:rsid w:val="23641BFD"/>
    <w:rsid w:val="23916C30"/>
    <w:rsid w:val="23A46157"/>
    <w:rsid w:val="23AF6E23"/>
    <w:rsid w:val="23D87AA0"/>
    <w:rsid w:val="23F321C8"/>
    <w:rsid w:val="240914ED"/>
    <w:rsid w:val="244C63DF"/>
    <w:rsid w:val="246B38C6"/>
    <w:rsid w:val="248B6DAF"/>
    <w:rsid w:val="24986097"/>
    <w:rsid w:val="24A0685D"/>
    <w:rsid w:val="24A6127D"/>
    <w:rsid w:val="24CF75E1"/>
    <w:rsid w:val="24D15F1C"/>
    <w:rsid w:val="24D90EB0"/>
    <w:rsid w:val="24ED7489"/>
    <w:rsid w:val="24EF5E4F"/>
    <w:rsid w:val="252A16A1"/>
    <w:rsid w:val="256668F1"/>
    <w:rsid w:val="259C5337"/>
    <w:rsid w:val="25B009F5"/>
    <w:rsid w:val="25B37CD3"/>
    <w:rsid w:val="25BF1724"/>
    <w:rsid w:val="25C8565A"/>
    <w:rsid w:val="25DD0FB7"/>
    <w:rsid w:val="264533DE"/>
    <w:rsid w:val="264B2E73"/>
    <w:rsid w:val="26697B98"/>
    <w:rsid w:val="268478BD"/>
    <w:rsid w:val="26966F4C"/>
    <w:rsid w:val="26C92484"/>
    <w:rsid w:val="26D00EE7"/>
    <w:rsid w:val="26D91871"/>
    <w:rsid w:val="26F800AA"/>
    <w:rsid w:val="270135E8"/>
    <w:rsid w:val="27090D8B"/>
    <w:rsid w:val="270A7ECF"/>
    <w:rsid w:val="27294663"/>
    <w:rsid w:val="2739059B"/>
    <w:rsid w:val="273E0667"/>
    <w:rsid w:val="27415221"/>
    <w:rsid w:val="27CC48FE"/>
    <w:rsid w:val="27E524AB"/>
    <w:rsid w:val="280E25DD"/>
    <w:rsid w:val="283F1EF9"/>
    <w:rsid w:val="28615B9C"/>
    <w:rsid w:val="28B4408D"/>
    <w:rsid w:val="290A6886"/>
    <w:rsid w:val="291E0523"/>
    <w:rsid w:val="293753BB"/>
    <w:rsid w:val="294A2DC0"/>
    <w:rsid w:val="296264F0"/>
    <w:rsid w:val="298D560F"/>
    <w:rsid w:val="29A02114"/>
    <w:rsid w:val="29B773D6"/>
    <w:rsid w:val="29BC022B"/>
    <w:rsid w:val="29BC41AA"/>
    <w:rsid w:val="29C21EEB"/>
    <w:rsid w:val="29D9159C"/>
    <w:rsid w:val="29F00515"/>
    <w:rsid w:val="29F26600"/>
    <w:rsid w:val="2A2966F1"/>
    <w:rsid w:val="2A467D5A"/>
    <w:rsid w:val="2A50245E"/>
    <w:rsid w:val="2AA1735A"/>
    <w:rsid w:val="2AA872A6"/>
    <w:rsid w:val="2AF60C86"/>
    <w:rsid w:val="2B105A68"/>
    <w:rsid w:val="2B170EE5"/>
    <w:rsid w:val="2B2E1ADC"/>
    <w:rsid w:val="2B4503B5"/>
    <w:rsid w:val="2BB40BB9"/>
    <w:rsid w:val="2BDF1E77"/>
    <w:rsid w:val="2C120CF6"/>
    <w:rsid w:val="2C123137"/>
    <w:rsid w:val="2C134AE4"/>
    <w:rsid w:val="2C333687"/>
    <w:rsid w:val="2C3859D8"/>
    <w:rsid w:val="2C4B7849"/>
    <w:rsid w:val="2C632575"/>
    <w:rsid w:val="2CAA6118"/>
    <w:rsid w:val="2CB638F4"/>
    <w:rsid w:val="2CB911B9"/>
    <w:rsid w:val="2CC910FD"/>
    <w:rsid w:val="2CD95DA6"/>
    <w:rsid w:val="2CFD0DB7"/>
    <w:rsid w:val="2D2650A9"/>
    <w:rsid w:val="2D3557D6"/>
    <w:rsid w:val="2DAB326E"/>
    <w:rsid w:val="2DAB38F7"/>
    <w:rsid w:val="2DB35909"/>
    <w:rsid w:val="2DB72BB3"/>
    <w:rsid w:val="2DC97DE3"/>
    <w:rsid w:val="2DEA6D9D"/>
    <w:rsid w:val="2E0A4BD5"/>
    <w:rsid w:val="2E2723A4"/>
    <w:rsid w:val="2E4E15F6"/>
    <w:rsid w:val="2E7E3C7D"/>
    <w:rsid w:val="2EBB39AD"/>
    <w:rsid w:val="2EC367BF"/>
    <w:rsid w:val="2EDD39F7"/>
    <w:rsid w:val="2EE308F0"/>
    <w:rsid w:val="2F184BA7"/>
    <w:rsid w:val="2F383929"/>
    <w:rsid w:val="2F4E5B03"/>
    <w:rsid w:val="2F5F191F"/>
    <w:rsid w:val="2F620778"/>
    <w:rsid w:val="2F7766BB"/>
    <w:rsid w:val="2FA47FCD"/>
    <w:rsid w:val="2FCC70F1"/>
    <w:rsid w:val="2FD579A0"/>
    <w:rsid w:val="2FD672F0"/>
    <w:rsid w:val="2FD90369"/>
    <w:rsid w:val="2FF40359"/>
    <w:rsid w:val="2FF65D56"/>
    <w:rsid w:val="301050B8"/>
    <w:rsid w:val="301B7C31"/>
    <w:rsid w:val="303D0473"/>
    <w:rsid w:val="304F0F4E"/>
    <w:rsid w:val="30772FC5"/>
    <w:rsid w:val="308F5A67"/>
    <w:rsid w:val="30C21D61"/>
    <w:rsid w:val="30EE7A60"/>
    <w:rsid w:val="311D5C92"/>
    <w:rsid w:val="312E1657"/>
    <w:rsid w:val="313B1F82"/>
    <w:rsid w:val="317E1BD5"/>
    <w:rsid w:val="31813165"/>
    <w:rsid w:val="3198121C"/>
    <w:rsid w:val="319B62F4"/>
    <w:rsid w:val="31B83E61"/>
    <w:rsid w:val="31BB608A"/>
    <w:rsid w:val="31C01559"/>
    <w:rsid w:val="31C1354A"/>
    <w:rsid w:val="31DB3B65"/>
    <w:rsid w:val="31F054C3"/>
    <w:rsid w:val="31F415D1"/>
    <w:rsid w:val="322A5268"/>
    <w:rsid w:val="324F0C3A"/>
    <w:rsid w:val="3267072A"/>
    <w:rsid w:val="326C318B"/>
    <w:rsid w:val="32734579"/>
    <w:rsid w:val="327D3D25"/>
    <w:rsid w:val="328D2BF9"/>
    <w:rsid w:val="32962B3A"/>
    <w:rsid w:val="32B73412"/>
    <w:rsid w:val="32D413E1"/>
    <w:rsid w:val="32FE3810"/>
    <w:rsid w:val="3321204C"/>
    <w:rsid w:val="332A025B"/>
    <w:rsid w:val="332E2BCD"/>
    <w:rsid w:val="33421A22"/>
    <w:rsid w:val="334227EE"/>
    <w:rsid w:val="33856192"/>
    <w:rsid w:val="33B81E60"/>
    <w:rsid w:val="33B87105"/>
    <w:rsid w:val="33BC6636"/>
    <w:rsid w:val="33D96A3B"/>
    <w:rsid w:val="33F00D2D"/>
    <w:rsid w:val="342C638C"/>
    <w:rsid w:val="342E4330"/>
    <w:rsid w:val="34393A4C"/>
    <w:rsid w:val="34532D57"/>
    <w:rsid w:val="345B7638"/>
    <w:rsid w:val="34A273ED"/>
    <w:rsid w:val="34BE4161"/>
    <w:rsid w:val="34D164E8"/>
    <w:rsid w:val="34D4212F"/>
    <w:rsid w:val="34DA7D36"/>
    <w:rsid w:val="351E33E0"/>
    <w:rsid w:val="35304878"/>
    <w:rsid w:val="35416681"/>
    <w:rsid w:val="35437008"/>
    <w:rsid w:val="357505C1"/>
    <w:rsid w:val="357F0998"/>
    <w:rsid w:val="3581717C"/>
    <w:rsid w:val="359C69DF"/>
    <w:rsid w:val="35A119D1"/>
    <w:rsid w:val="35A6392A"/>
    <w:rsid w:val="35A71ED0"/>
    <w:rsid w:val="35A97A6C"/>
    <w:rsid w:val="35ED1FB8"/>
    <w:rsid w:val="35ED6F27"/>
    <w:rsid w:val="35FF0C5D"/>
    <w:rsid w:val="36006730"/>
    <w:rsid w:val="361F3400"/>
    <w:rsid w:val="364C3E77"/>
    <w:rsid w:val="36576F59"/>
    <w:rsid w:val="36612350"/>
    <w:rsid w:val="366D5F77"/>
    <w:rsid w:val="368578DF"/>
    <w:rsid w:val="36860F1A"/>
    <w:rsid w:val="368F7BE9"/>
    <w:rsid w:val="36BA1D5B"/>
    <w:rsid w:val="370F3766"/>
    <w:rsid w:val="374C325A"/>
    <w:rsid w:val="37792498"/>
    <w:rsid w:val="379F5235"/>
    <w:rsid w:val="37AB446B"/>
    <w:rsid w:val="37CA43C8"/>
    <w:rsid w:val="37DA0577"/>
    <w:rsid w:val="37F00488"/>
    <w:rsid w:val="37FF1FCF"/>
    <w:rsid w:val="382F1F57"/>
    <w:rsid w:val="383535D7"/>
    <w:rsid w:val="383A0C4A"/>
    <w:rsid w:val="385C7FFC"/>
    <w:rsid w:val="38786974"/>
    <w:rsid w:val="387A2CB5"/>
    <w:rsid w:val="38B15E7B"/>
    <w:rsid w:val="38B81689"/>
    <w:rsid w:val="38DC2988"/>
    <w:rsid w:val="38EC71E7"/>
    <w:rsid w:val="39045152"/>
    <w:rsid w:val="39397BAC"/>
    <w:rsid w:val="399015EE"/>
    <w:rsid w:val="3994510E"/>
    <w:rsid w:val="39A33CD1"/>
    <w:rsid w:val="39BB465B"/>
    <w:rsid w:val="39D63FFE"/>
    <w:rsid w:val="39FC201B"/>
    <w:rsid w:val="3A120B21"/>
    <w:rsid w:val="3A1966F0"/>
    <w:rsid w:val="3A4C26A6"/>
    <w:rsid w:val="3A74077A"/>
    <w:rsid w:val="3AA22B68"/>
    <w:rsid w:val="3ABA3FCA"/>
    <w:rsid w:val="3AC80600"/>
    <w:rsid w:val="3AD869A9"/>
    <w:rsid w:val="3AF45A96"/>
    <w:rsid w:val="3AF90B48"/>
    <w:rsid w:val="3AFA5199"/>
    <w:rsid w:val="3B2404B0"/>
    <w:rsid w:val="3B4E011A"/>
    <w:rsid w:val="3B6038A9"/>
    <w:rsid w:val="3B6C76D5"/>
    <w:rsid w:val="3B721449"/>
    <w:rsid w:val="3BC42FF3"/>
    <w:rsid w:val="3BD62AEB"/>
    <w:rsid w:val="3BD93A91"/>
    <w:rsid w:val="3BDB7F7E"/>
    <w:rsid w:val="3C216783"/>
    <w:rsid w:val="3C911046"/>
    <w:rsid w:val="3C982C4E"/>
    <w:rsid w:val="3CA020E2"/>
    <w:rsid w:val="3CB953C8"/>
    <w:rsid w:val="3CD640A2"/>
    <w:rsid w:val="3CDC4F9A"/>
    <w:rsid w:val="3CFB3626"/>
    <w:rsid w:val="3D67693C"/>
    <w:rsid w:val="3D9D4BD7"/>
    <w:rsid w:val="3DA0300A"/>
    <w:rsid w:val="3EAA6EC0"/>
    <w:rsid w:val="3EC3357F"/>
    <w:rsid w:val="3EE23EE1"/>
    <w:rsid w:val="3F3624E6"/>
    <w:rsid w:val="3F417FEF"/>
    <w:rsid w:val="3F54288A"/>
    <w:rsid w:val="3F5B1D02"/>
    <w:rsid w:val="3F69186E"/>
    <w:rsid w:val="3F7F6411"/>
    <w:rsid w:val="3FC61F63"/>
    <w:rsid w:val="3FCA1CAE"/>
    <w:rsid w:val="3FD008FF"/>
    <w:rsid w:val="3FE13124"/>
    <w:rsid w:val="3FE54156"/>
    <w:rsid w:val="4002473B"/>
    <w:rsid w:val="400F39A5"/>
    <w:rsid w:val="40143F0A"/>
    <w:rsid w:val="40682FB9"/>
    <w:rsid w:val="406F6D8B"/>
    <w:rsid w:val="407C63B9"/>
    <w:rsid w:val="408B00F8"/>
    <w:rsid w:val="40A77092"/>
    <w:rsid w:val="40C631BD"/>
    <w:rsid w:val="40DA2768"/>
    <w:rsid w:val="41211128"/>
    <w:rsid w:val="41552DC6"/>
    <w:rsid w:val="4157249D"/>
    <w:rsid w:val="4171465C"/>
    <w:rsid w:val="417B483B"/>
    <w:rsid w:val="418333F6"/>
    <w:rsid w:val="418B6B7C"/>
    <w:rsid w:val="419F1DEF"/>
    <w:rsid w:val="41BA1D61"/>
    <w:rsid w:val="41E56FCE"/>
    <w:rsid w:val="42017127"/>
    <w:rsid w:val="421C54D0"/>
    <w:rsid w:val="421C647D"/>
    <w:rsid w:val="422A7AD4"/>
    <w:rsid w:val="42404D82"/>
    <w:rsid w:val="424A338D"/>
    <w:rsid w:val="425035EE"/>
    <w:rsid w:val="42756BB4"/>
    <w:rsid w:val="428B152C"/>
    <w:rsid w:val="428B6350"/>
    <w:rsid w:val="42B93B68"/>
    <w:rsid w:val="42BE2379"/>
    <w:rsid w:val="42E569C7"/>
    <w:rsid w:val="42F81EE2"/>
    <w:rsid w:val="42F96F99"/>
    <w:rsid w:val="430D38E5"/>
    <w:rsid w:val="43180635"/>
    <w:rsid w:val="432B1868"/>
    <w:rsid w:val="43802FEB"/>
    <w:rsid w:val="439552CC"/>
    <w:rsid w:val="43B75936"/>
    <w:rsid w:val="440552A0"/>
    <w:rsid w:val="44062676"/>
    <w:rsid w:val="441C47C3"/>
    <w:rsid w:val="441E6D51"/>
    <w:rsid w:val="442F0EA4"/>
    <w:rsid w:val="44495678"/>
    <w:rsid w:val="44661DB0"/>
    <w:rsid w:val="44932678"/>
    <w:rsid w:val="44B8236A"/>
    <w:rsid w:val="44C56710"/>
    <w:rsid w:val="44E709DC"/>
    <w:rsid w:val="44E90522"/>
    <w:rsid w:val="45263E73"/>
    <w:rsid w:val="453432BD"/>
    <w:rsid w:val="453B2A61"/>
    <w:rsid w:val="453C3BB2"/>
    <w:rsid w:val="455C318A"/>
    <w:rsid w:val="456E44F5"/>
    <w:rsid w:val="45F24A02"/>
    <w:rsid w:val="45FD2197"/>
    <w:rsid w:val="462B7406"/>
    <w:rsid w:val="46312E37"/>
    <w:rsid w:val="4638647A"/>
    <w:rsid w:val="463D6499"/>
    <w:rsid w:val="46514578"/>
    <w:rsid w:val="46731B34"/>
    <w:rsid w:val="4686545F"/>
    <w:rsid w:val="46886E5A"/>
    <w:rsid w:val="46914020"/>
    <w:rsid w:val="46A94342"/>
    <w:rsid w:val="46FC056F"/>
    <w:rsid w:val="470E2D20"/>
    <w:rsid w:val="4779351E"/>
    <w:rsid w:val="479653C1"/>
    <w:rsid w:val="479F3197"/>
    <w:rsid w:val="47EE6A92"/>
    <w:rsid w:val="480F32B4"/>
    <w:rsid w:val="48215528"/>
    <w:rsid w:val="483664D8"/>
    <w:rsid w:val="486F5397"/>
    <w:rsid w:val="48847135"/>
    <w:rsid w:val="48987048"/>
    <w:rsid w:val="48A4447B"/>
    <w:rsid w:val="48B97167"/>
    <w:rsid w:val="4911573E"/>
    <w:rsid w:val="491C4DE4"/>
    <w:rsid w:val="496468E7"/>
    <w:rsid w:val="499763F3"/>
    <w:rsid w:val="49982963"/>
    <w:rsid w:val="49990BE0"/>
    <w:rsid w:val="49B31672"/>
    <w:rsid w:val="49BF7896"/>
    <w:rsid w:val="49C0382F"/>
    <w:rsid w:val="49CB53D7"/>
    <w:rsid w:val="49EE76D5"/>
    <w:rsid w:val="4A227339"/>
    <w:rsid w:val="4A2C2C1B"/>
    <w:rsid w:val="4A3908C4"/>
    <w:rsid w:val="4A4E0521"/>
    <w:rsid w:val="4A6003AD"/>
    <w:rsid w:val="4A6D3E66"/>
    <w:rsid w:val="4A6E64A9"/>
    <w:rsid w:val="4A9973CA"/>
    <w:rsid w:val="4AB839CE"/>
    <w:rsid w:val="4AC44A48"/>
    <w:rsid w:val="4AF41C71"/>
    <w:rsid w:val="4B091FB6"/>
    <w:rsid w:val="4B6058B0"/>
    <w:rsid w:val="4B6E0AA2"/>
    <w:rsid w:val="4B7B2584"/>
    <w:rsid w:val="4B8E724B"/>
    <w:rsid w:val="4BD04BB3"/>
    <w:rsid w:val="4BF549A2"/>
    <w:rsid w:val="4C1A630E"/>
    <w:rsid w:val="4C327E4F"/>
    <w:rsid w:val="4C3A5B3F"/>
    <w:rsid w:val="4C3C3320"/>
    <w:rsid w:val="4C631CB6"/>
    <w:rsid w:val="4C850E5F"/>
    <w:rsid w:val="4CA33224"/>
    <w:rsid w:val="4CC72E68"/>
    <w:rsid w:val="4CE61DC8"/>
    <w:rsid w:val="4CFA34C9"/>
    <w:rsid w:val="4D1740D7"/>
    <w:rsid w:val="4D1E718C"/>
    <w:rsid w:val="4D2D710B"/>
    <w:rsid w:val="4D2F4B71"/>
    <w:rsid w:val="4D313973"/>
    <w:rsid w:val="4D416643"/>
    <w:rsid w:val="4D566347"/>
    <w:rsid w:val="4D7900BE"/>
    <w:rsid w:val="4D7916CB"/>
    <w:rsid w:val="4D827789"/>
    <w:rsid w:val="4DAC5A32"/>
    <w:rsid w:val="4DB237C3"/>
    <w:rsid w:val="4DC726B3"/>
    <w:rsid w:val="4DD72ED2"/>
    <w:rsid w:val="4DF10380"/>
    <w:rsid w:val="4E3A7775"/>
    <w:rsid w:val="4E815EB6"/>
    <w:rsid w:val="4E847498"/>
    <w:rsid w:val="4E8B1611"/>
    <w:rsid w:val="4EA009D6"/>
    <w:rsid w:val="4EA800DB"/>
    <w:rsid w:val="4EB97AB8"/>
    <w:rsid w:val="4EDE675A"/>
    <w:rsid w:val="4F1621A0"/>
    <w:rsid w:val="4F2A4F5F"/>
    <w:rsid w:val="4F5243D4"/>
    <w:rsid w:val="4F547835"/>
    <w:rsid w:val="4F822637"/>
    <w:rsid w:val="4F897663"/>
    <w:rsid w:val="4F956D3C"/>
    <w:rsid w:val="4F9F5AF2"/>
    <w:rsid w:val="4FBD0115"/>
    <w:rsid w:val="4FC21F43"/>
    <w:rsid w:val="508347C5"/>
    <w:rsid w:val="50BC15D6"/>
    <w:rsid w:val="50C008AE"/>
    <w:rsid w:val="50D6226A"/>
    <w:rsid w:val="50EB0816"/>
    <w:rsid w:val="50FE3744"/>
    <w:rsid w:val="51184474"/>
    <w:rsid w:val="511E2A00"/>
    <w:rsid w:val="511E491A"/>
    <w:rsid w:val="51742E82"/>
    <w:rsid w:val="51A948B3"/>
    <w:rsid w:val="51E42C38"/>
    <w:rsid w:val="520241F7"/>
    <w:rsid w:val="52064306"/>
    <w:rsid w:val="52185E27"/>
    <w:rsid w:val="52403EAB"/>
    <w:rsid w:val="526362A7"/>
    <w:rsid w:val="52735C5F"/>
    <w:rsid w:val="52CF58D8"/>
    <w:rsid w:val="52D905F1"/>
    <w:rsid w:val="52EC028F"/>
    <w:rsid w:val="52ED2B40"/>
    <w:rsid w:val="530D49D3"/>
    <w:rsid w:val="5311176B"/>
    <w:rsid w:val="532A2FBF"/>
    <w:rsid w:val="532F67C0"/>
    <w:rsid w:val="53337B55"/>
    <w:rsid w:val="53525083"/>
    <w:rsid w:val="53700E8D"/>
    <w:rsid w:val="53832547"/>
    <w:rsid w:val="53926B25"/>
    <w:rsid w:val="53D11E6D"/>
    <w:rsid w:val="53D77D2A"/>
    <w:rsid w:val="53DF5B03"/>
    <w:rsid w:val="53EA61C4"/>
    <w:rsid w:val="542525FD"/>
    <w:rsid w:val="543418B3"/>
    <w:rsid w:val="544975AB"/>
    <w:rsid w:val="54521459"/>
    <w:rsid w:val="54A25CFA"/>
    <w:rsid w:val="54B77F0E"/>
    <w:rsid w:val="54BD021B"/>
    <w:rsid w:val="54BD4A20"/>
    <w:rsid w:val="54C55556"/>
    <w:rsid w:val="54DE38E0"/>
    <w:rsid w:val="55403225"/>
    <w:rsid w:val="554D043F"/>
    <w:rsid w:val="555B5ABA"/>
    <w:rsid w:val="556F323E"/>
    <w:rsid w:val="5599630D"/>
    <w:rsid w:val="55B21B04"/>
    <w:rsid w:val="55B406FF"/>
    <w:rsid w:val="55E628AA"/>
    <w:rsid w:val="55F1188E"/>
    <w:rsid w:val="55F25D94"/>
    <w:rsid w:val="561F4CB7"/>
    <w:rsid w:val="562976A6"/>
    <w:rsid w:val="56320C5E"/>
    <w:rsid w:val="565006F1"/>
    <w:rsid w:val="565C63DB"/>
    <w:rsid w:val="567C172D"/>
    <w:rsid w:val="56810C33"/>
    <w:rsid w:val="56855256"/>
    <w:rsid w:val="56AD6A4F"/>
    <w:rsid w:val="56FE1F6A"/>
    <w:rsid w:val="571E365E"/>
    <w:rsid w:val="57566E4F"/>
    <w:rsid w:val="57582DFD"/>
    <w:rsid w:val="57835B45"/>
    <w:rsid w:val="579E2467"/>
    <w:rsid w:val="579F28AB"/>
    <w:rsid w:val="57A20200"/>
    <w:rsid w:val="57BC5854"/>
    <w:rsid w:val="57F11509"/>
    <w:rsid w:val="57FB5CA2"/>
    <w:rsid w:val="580C315D"/>
    <w:rsid w:val="582560BC"/>
    <w:rsid w:val="584C1DBC"/>
    <w:rsid w:val="585958C5"/>
    <w:rsid w:val="585C2111"/>
    <w:rsid w:val="58966556"/>
    <w:rsid w:val="58B51F82"/>
    <w:rsid w:val="58B97A73"/>
    <w:rsid w:val="58BB462A"/>
    <w:rsid w:val="58CD0031"/>
    <w:rsid w:val="58DD1C46"/>
    <w:rsid w:val="58EA5355"/>
    <w:rsid w:val="58EB23CA"/>
    <w:rsid w:val="59430A75"/>
    <w:rsid w:val="59547D24"/>
    <w:rsid w:val="596B24C1"/>
    <w:rsid w:val="59C003EA"/>
    <w:rsid w:val="59E32CC6"/>
    <w:rsid w:val="5A245DFD"/>
    <w:rsid w:val="5A271EAE"/>
    <w:rsid w:val="5A3E5DDD"/>
    <w:rsid w:val="5A4B6A9C"/>
    <w:rsid w:val="5A7913FB"/>
    <w:rsid w:val="5A7D4E5D"/>
    <w:rsid w:val="5A823466"/>
    <w:rsid w:val="5AA01C7F"/>
    <w:rsid w:val="5AA53F37"/>
    <w:rsid w:val="5B103611"/>
    <w:rsid w:val="5B1818A9"/>
    <w:rsid w:val="5B212837"/>
    <w:rsid w:val="5B675709"/>
    <w:rsid w:val="5B693242"/>
    <w:rsid w:val="5BE66013"/>
    <w:rsid w:val="5C2C5542"/>
    <w:rsid w:val="5C3D7104"/>
    <w:rsid w:val="5C6A1887"/>
    <w:rsid w:val="5C6A6822"/>
    <w:rsid w:val="5C815B74"/>
    <w:rsid w:val="5C8932B5"/>
    <w:rsid w:val="5C9A7BAA"/>
    <w:rsid w:val="5CAE3C6E"/>
    <w:rsid w:val="5CB12126"/>
    <w:rsid w:val="5CB25523"/>
    <w:rsid w:val="5CB63EB1"/>
    <w:rsid w:val="5CE52F12"/>
    <w:rsid w:val="5D0928AF"/>
    <w:rsid w:val="5D23523F"/>
    <w:rsid w:val="5D6C6B04"/>
    <w:rsid w:val="5D6F10F5"/>
    <w:rsid w:val="5D8F0C4B"/>
    <w:rsid w:val="5D8F1E44"/>
    <w:rsid w:val="5DC13275"/>
    <w:rsid w:val="5DDD5396"/>
    <w:rsid w:val="5DFB5241"/>
    <w:rsid w:val="5DFF3D64"/>
    <w:rsid w:val="5E011E8A"/>
    <w:rsid w:val="5E0B6140"/>
    <w:rsid w:val="5E0C50F2"/>
    <w:rsid w:val="5E0F3307"/>
    <w:rsid w:val="5E183265"/>
    <w:rsid w:val="5E2E435B"/>
    <w:rsid w:val="5E4B69DC"/>
    <w:rsid w:val="5E641818"/>
    <w:rsid w:val="5E9347B9"/>
    <w:rsid w:val="5E9A5D92"/>
    <w:rsid w:val="5E9E1A5F"/>
    <w:rsid w:val="5EB25D1C"/>
    <w:rsid w:val="5EB76477"/>
    <w:rsid w:val="5EED0292"/>
    <w:rsid w:val="5EF26702"/>
    <w:rsid w:val="5EF30F1D"/>
    <w:rsid w:val="5F0F550C"/>
    <w:rsid w:val="5F1A1E2E"/>
    <w:rsid w:val="5F2061D2"/>
    <w:rsid w:val="5F2A04A5"/>
    <w:rsid w:val="5F3A2BAD"/>
    <w:rsid w:val="5F4A2082"/>
    <w:rsid w:val="5F643285"/>
    <w:rsid w:val="5F69677E"/>
    <w:rsid w:val="5F8D7685"/>
    <w:rsid w:val="5F910C2D"/>
    <w:rsid w:val="5FDF1C93"/>
    <w:rsid w:val="602A115C"/>
    <w:rsid w:val="603245D1"/>
    <w:rsid w:val="605A6090"/>
    <w:rsid w:val="605F6071"/>
    <w:rsid w:val="6089219D"/>
    <w:rsid w:val="60A04965"/>
    <w:rsid w:val="60A5000F"/>
    <w:rsid w:val="60C5316E"/>
    <w:rsid w:val="60E4250C"/>
    <w:rsid w:val="60E71FEA"/>
    <w:rsid w:val="60EC4D91"/>
    <w:rsid w:val="60FA484A"/>
    <w:rsid w:val="61272004"/>
    <w:rsid w:val="61842E93"/>
    <w:rsid w:val="61AD037C"/>
    <w:rsid w:val="61C16956"/>
    <w:rsid w:val="61D16F01"/>
    <w:rsid w:val="61D55C73"/>
    <w:rsid w:val="623A585E"/>
    <w:rsid w:val="62432926"/>
    <w:rsid w:val="624777C1"/>
    <w:rsid w:val="62551D09"/>
    <w:rsid w:val="6272715D"/>
    <w:rsid w:val="62742AE7"/>
    <w:rsid w:val="6290386C"/>
    <w:rsid w:val="62DD07B9"/>
    <w:rsid w:val="62E14609"/>
    <w:rsid w:val="62F423F9"/>
    <w:rsid w:val="63027C93"/>
    <w:rsid w:val="63107B5C"/>
    <w:rsid w:val="6311567A"/>
    <w:rsid w:val="632E6073"/>
    <w:rsid w:val="633C7F3D"/>
    <w:rsid w:val="633F2108"/>
    <w:rsid w:val="63443E26"/>
    <w:rsid w:val="63543D63"/>
    <w:rsid w:val="63712D46"/>
    <w:rsid w:val="63A164D6"/>
    <w:rsid w:val="63A66DF1"/>
    <w:rsid w:val="63E534F9"/>
    <w:rsid w:val="63EA3D72"/>
    <w:rsid w:val="64137F1A"/>
    <w:rsid w:val="64430E32"/>
    <w:rsid w:val="64712989"/>
    <w:rsid w:val="64860BFC"/>
    <w:rsid w:val="64884ADA"/>
    <w:rsid w:val="64917F9C"/>
    <w:rsid w:val="6497151F"/>
    <w:rsid w:val="64E22B7D"/>
    <w:rsid w:val="656657BF"/>
    <w:rsid w:val="658F5865"/>
    <w:rsid w:val="65B366D2"/>
    <w:rsid w:val="65C16B2B"/>
    <w:rsid w:val="65CB1A3D"/>
    <w:rsid w:val="65DD0B68"/>
    <w:rsid w:val="65E9115C"/>
    <w:rsid w:val="66114C96"/>
    <w:rsid w:val="66152AAE"/>
    <w:rsid w:val="66492735"/>
    <w:rsid w:val="6693585B"/>
    <w:rsid w:val="669F4E76"/>
    <w:rsid w:val="66B97D09"/>
    <w:rsid w:val="66CF43FF"/>
    <w:rsid w:val="66FF3C42"/>
    <w:rsid w:val="67282310"/>
    <w:rsid w:val="678C09C6"/>
    <w:rsid w:val="67C15F2D"/>
    <w:rsid w:val="67DC03AD"/>
    <w:rsid w:val="67DC29F6"/>
    <w:rsid w:val="68435CC2"/>
    <w:rsid w:val="684F7AB2"/>
    <w:rsid w:val="6865379D"/>
    <w:rsid w:val="688D48C9"/>
    <w:rsid w:val="689A0D47"/>
    <w:rsid w:val="689C2B78"/>
    <w:rsid w:val="68AA2BA5"/>
    <w:rsid w:val="68AA50DC"/>
    <w:rsid w:val="68BF414F"/>
    <w:rsid w:val="68C80660"/>
    <w:rsid w:val="69210C85"/>
    <w:rsid w:val="693F5C55"/>
    <w:rsid w:val="69454ACE"/>
    <w:rsid w:val="699D51B2"/>
    <w:rsid w:val="69F05316"/>
    <w:rsid w:val="69F573DD"/>
    <w:rsid w:val="6A0C65CB"/>
    <w:rsid w:val="6A146246"/>
    <w:rsid w:val="6A1808DA"/>
    <w:rsid w:val="6A564D12"/>
    <w:rsid w:val="6A8B3E1A"/>
    <w:rsid w:val="6ACE6EB2"/>
    <w:rsid w:val="6B0B4493"/>
    <w:rsid w:val="6B4B499F"/>
    <w:rsid w:val="6B773784"/>
    <w:rsid w:val="6B8F5416"/>
    <w:rsid w:val="6B9B1739"/>
    <w:rsid w:val="6BA608A9"/>
    <w:rsid w:val="6BA80B41"/>
    <w:rsid w:val="6BBC420F"/>
    <w:rsid w:val="6C18573C"/>
    <w:rsid w:val="6C221C4C"/>
    <w:rsid w:val="6C2D0993"/>
    <w:rsid w:val="6C2D35B5"/>
    <w:rsid w:val="6C3F0466"/>
    <w:rsid w:val="6C556A7D"/>
    <w:rsid w:val="6C6573FF"/>
    <w:rsid w:val="6C860185"/>
    <w:rsid w:val="6CB63488"/>
    <w:rsid w:val="6CC118B1"/>
    <w:rsid w:val="6CDE5314"/>
    <w:rsid w:val="6CEE5BB8"/>
    <w:rsid w:val="6DB615DD"/>
    <w:rsid w:val="6DE937C0"/>
    <w:rsid w:val="6DF9504A"/>
    <w:rsid w:val="6E2410AB"/>
    <w:rsid w:val="6E264DFB"/>
    <w:rsid w:val="6E2727B7"/>
    <w:rsid w:val="6E376707"/>
    <w:rsid w:val="6E57302C"/>
    <w:rsid w:val="6E9436C2"/>
    <w:rsid w:val="6EA12391"/>
    <w:rsid w:val="6EB71F83"/>
    <w:rsid w:val="6ED51B48"/>
    <w:rsid w:val="6EE47559"/>
    <w:rsid w:val="6EF128E1"/>
    <w:rsid w:val="6F000652"/>
    <w:rsid w:val="6F621A91"/>
    <w:rsid w:val="6F7E0782"/>
    <w:rsid w:val="6FCC77E6"/>
    <w:rsid w:val="6FF13334"/>
    <w:rsid w:val="70076CD3"/>
    <w:rsid w:val="701A3BC3"/>
    <w:rsid w:val="701B445C"/>
    <w:rsid w:val="702A462A"/>
    <w:rsid w:val="704B1325"/>
    <w:rsid w:val="70F0478A"/>
    <w:rsid w:val="712D31FA"/>
    <w:rsid w:val="713D4030"/>
    <w:rsid w:val="71502FC4"/>
    <w:rsid w:val="718F018E"/>
    <w:rsid w:val="71B33478"/>
    <w:rsid w:val="71D0309B"/>
    <w:rsid w:val="720F1BFC"/>
    <w:rsid w:val="721824A2"/>
    <w:rsid w:val="722022BA"/>
    <w:rsid w:val="72A43722"/>
    <w:rsid w:val="72A55693"/>
    <w:rsid w:val="72D13271"/>
    <w:rsid w:val="734827A3"/>
    <w:rsid w:val="738C0418"/>
    <w:rsid w:val="739E6F3F"/>
    <w:rsid w:val="73A5190E"/>
    <w:rsid w:val="73C23C92"/>
    <w:rsid w:val="73F314C8"/>
    <w:rsid w:val="73F73322"/>
    <w:rsid w:val="746E4F93"/>
    <w:rsid w:val="748B0AA9"/>
    <w:rsid w:val="74993A71"/>
    <w:rsid w:val="74A658BB"/>
    <w:rsid w:val="74B45768"/>
    <w:rsid w:val="74B76D5A"/>
    <w:rsid w:val="74BF2263"/>
    <w:rsid w:val="75213CC0"/>
    <w:rsid w:val="75225247"/>
    <w:rsid w:val="753101CB"/>
    <w:rsid w:val="7581477E"/>
    <w:rsid w:val="759B6760"/>
    <w:rsid w:val="759F61B6"/>
    <w:rsid w:val="75C85516"/>
    <w:rsid w:val="75E84655"/>
    <w:rsid w:val="75F369ED"/>
    <w:rsid w:val="760573EC"/>
    <w:rsid w:val="760A3871"/>
    <w:rsid w:val="76195EE6"/>
    <w:rsid w:val="768A245B"/>
    <w:rsid w:val="768B5A8E"/>
    <w:rsid w:val="76F2495B"/>
    <w:rsid w:val="77124036"/>
    <w:rsid w:val="772A0CBF"/>
    <w:rsid w:val="772F4232"/>
    <w:rsid w:val="77304CA9"/>
    <w:rsid w:val="773206F6"/>
    <w:rsid w:val="77577EFB"/>
    <w:rsid w:val="775D2109"/>
    <w:rsid w:val="778C21DD"/>
    <w:rsid w:val="77D67BEC"/>
    <w:rsid w:val="77DB3FBF"/>
    <w:rsid w:val="782477DA"/>
    <w:rsid w:val="782A69CA"/>
    <w:rsid w:val="78661437"/>
    <w:rsid w:val="787E45BF"/>
    <w:rsid w:val="788158BF"/>
    <w:rsid w:val="78C82A15"/>
    <w:rsid w:val="791A78F3"/>
    <w:rsid w:val="799D24BF"/>
    <w:rsid w:val="79D8393B"/>
    <w:rsid w:val="79F45107"/>
    <w:rsid w:val="7A017197"/>
    <w:rsid w:val="7A201D1F"/>
    <w:rsid w:val="7A267EB5"/>
    <w:rsid w:val="7A5E7958"/>
    <w:rsid w:val="7ACD4A1B"/>
    <w:rsid w:val="7AEC4113"/>
    <w:rsid w:val="7AFD458C"/>
    <w:rsid w:val="7B111289"/>
    <w:rsid w:val="7B8C17C8"/>
    <w:rsid w:val="7B8E402C"/>
    <w:rsid w:val="7BB1553D"/>
    <w:rsid w:val="7BE4433C"/>
    <w:rsid w:val="7C292380"/>
    <w:rsid w:val="7C3F200A"/>
    <w:rsid w:val="7C6836E1"/>
    <w:rsid w:val="7C9178EF"/>
    <w:rsid w:val="7CA66DB9"/>
    <w:rsid w:val="7CB51CFA"/>
    <w:rsid w:val="7CD51545"/>
    <w:rsid w:val="7CE738C7"/>
    <w:rsid w:val="7CEE2186"/>
    <w:rsid w:val="7CEE4748"/>
    <w:rsid w:val="7CF10AED"/>
    <w:rsid w:val="7D353D18"/>
    <w:rsid w:val="7D752361"/>
    <w:rsid w:val="7D9567D4"/>
    <w:rsid w:val="7D9E1200"/>
    <w:rsid w:val="7DBA4260"/>
    <w:rsid w:val="7DBE5B64"/>
    <w:rsid w:val="7DBE60B9"/>
    <w:rsid w:val="7DEC70A5"/>
    <w:rsid w:val="7DFB068C"/>
    <w:rsid w:val="7E263C28"/>
    <w:rsid w:val="7E401E89"/>
    <w:rsid w:val="7E505D87"/>
    <w:rsid w:val="7E71598E"/>
    <w:rsid w:val="7E9E683E"/>
    <w:rsid w:val="7EC81EA2"/>
    <w:rsid w:val="7F021EA7"/>
    <w:rsid w:val="7F19434D"/>
    <w:rsid w:val="7F1E6217"/>
    <w:rsid w:val="7F3F60D7"/>
    <w:rsid w:val="7F8568F9"/>
    <w:rsid w:val="7F8E284E"/>
    <w:rsid w:val="7F8E760D"/>
    <w:rsid w:val="7F9D09B4"/>
    <w:rsid w:val="7FA52C9B"/>
    <w:rsid w:val="7FB80351"/>
    <w:rsid w:val="7FDA53F4"/>
    <w:rsid w:val="7FEC2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0" w:semiHidden="0" w:name="toc 2"/>
    <w:lsdException w:unhideWhenUsed="0" w:uiPriority="0" w:semiHidden="0" w:name="toc 3"/>
    <w:lsdException w:qFormat="1" w:unhideWhenUsed="0" w:uiPriority="99" w:semiHidden="0" w:name="toc 4"/>
    <w:lsdException w:unhideWhenUsed="0" w:uiPriority="0" w:semiHidden="0" w:name="toc 5"/>
    <w:lsdException w:qFormat="1" w:unhideWhenUsed="0" w:uiPriority="9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jc w:val="both"/>
    </w:pPr>
    <w:rPr>
      <w:rFonts w:ascii="宋体" w:hAnsi="宋体" w:eastAsia="宋体" w:cs="宋体"/>
      <w:kern w:val="2"/>
      <w:sz w:val="22"/>
      <w:szCs w:val="22"/>
      <w:lang w:val="en-US" w:eastAsia="zh-CN" w:bidi="ar-SA"/>
    </w:rPr>
  </w:style>
  <w:style w:type="paragraph" w:styleId="2">
    <w:name w:val="heading 1"/>
    <w:basedOn w:val="1"/>
    <w:next w:val="1"/>
    <w:autoRedefine/>
    <w:qFormat/>
    <w:uiPriority w:val="0"/>
    <w:pPr>
      <w:keepNext/>
      <w:keepLines/>
      <w:tabs>
        <w:tab w:val="left" w:pos="432"/>
      </w:tabs>
      <w:spacing w:before="360" w:after="360"/>
      <w:jc w:val="left"/>
      <w:outlineLvl w:val="0"/>
    </w:pPr>
    <w:rPr>
      <w:rFonts w:ascii="黑体" w:eastAsia="黑体"/>
      <w:spacing w:val="24"/>
      <w:kern w:val="44"/>
      <w:sz w:val="32"/>
    </w:rPr>
  </w:style>
  <w:style w:type="paragraph" w:styleId="3">
    <w:name w:val="heading 2"/>
    <w:basedOn w:val="1"/>
    <w:next w:val="1"/>
    <w:autoRedefine/>
    <w:qFormat/>
    <w:uiPriority w:val="0"/>
    <w:pPr>
      <w:keepNext/>
      <w:keepLines/>
      <w:widowControl/>
      <w:tabs>
        <w:tab w:val="left" w:pos="576"/>
      </w:tabs>
      <w:spacing w:before="120"/>
      <w:jc w:val="left"/>
      <w:outlineLvl w:val="1"/>
    </w:pPr>
    <w:rPr>
      <w:b/>
      <w:kern w:val="0"/>
      <w:sz w:val="28"/>
    </w:rPr>
  </w:style>
  <w:style w:type="paragraph" w:styleId="4">
    <w:name w:val="heading 3"/>
    <w:basedOn w:val="1"/>
    <w:next w:val="1"/>
    <w:autoRedefine/>
    <w:qFormat/>
    <w:uiPriority w:val="0"/>
    <w:pPr>
      <w:keepNext/>
      <w:keepLines/>
      <w:tabs>
        <w:tab w:val="left" w:pos="3600"/>
      </w:tabs>
      <w:spacing w:before="240" w:after="240"/>
      <w:jc w:val="left"/>
      <w:outlineLvl w:val="2"/>
    </w:pPr>
    <w:rPr>
      <w:sz w:val="28"/>
    </w:rPr>
  </w:style>
  <w:style w:type="paragraph" w:styleId="5">
    <w:name w:val="heading 4"/>
    <w:basedOn w:val="1"/>
    <w:next w:val="1"/>
    <w:autoRedefine/>
    <w:semiHidden/>
    <w:unhideWhenUsed/>
    <w:qFormat/>
    <w:uiPriority w:val="0"/>
    <w:pPr>
      <w:keepNext/>
      <w:keepLines/>
      <w:spacing w:before="280" w:after="290" w:line="372" w:lineRule="auto"/>
      <w:outlineLvl w:val="3"/>
    </w:pPr>
    <w:rPr>
      <w:rFonts w:ascii="Arial" w:hAnsi="Arial" w:eastAsia="黑体"/>
      <w:b/>
      <w:sz w:val="28"/>
    </w:rPr>
  </w:style>
  <w:style w:type="paragraph" w:styleId="6">
    <w:name w:val="heading 5"/>
    <w:basedOn w:val="1"/>
    <w:next w:val="1"/>
    <w:autoRedefine/>
    <w:qFormat/>
    <w:uiPriority w:val="9"/>
    <w:pPr>
      <w:keepNext/>
      <w:keepLines/>
      <w:spacing w:before="280" w:after="290" w:line="376" w:lineRule="auto"/>
      <w:outlineLvl w:val="4"/>
    </w:pPr>
    <w:rPr>
      <w:b/>
      <w:bCs/>
      <w:szCs w:val="28"/>
    </w:rPr>
  </w:style>
  <w:style w:type="character" w:default="1" w:styleId="31">
    <w:name w:val="Default Paragraph Font"/>
    <w:autoRedefine/>
    <w:semiHidden/>
    <w:unhideWhenUsed/>
    <w:qFormat/>
    <w:uiPriority w:val="1"/>
  </w:style>
  <w:style w:type="table" w:default="1" w:styleId="29">
    <w:name w:val="Normal Table"/>
    <w:autoRedefine/>
    <w:semiHidden/>
    <w:unhideWhenUsed/>
    <w:qFormat/>
    <w:uiPriority w:val="99"/>
    <w:tblPr>
      <w:tblCellMar>
        <w:top w:w="0" w:type="dxa"/>
        <w:left w:w="108" w:type="dxa"/>
        <w:bottom w:w="0" w:type="dxa"/>
        <w:right w:w="108" w:type="dxa"/>
      </w:tblCellMar>
    </w:tblPr>
  </w:style>
  <w:style w:type="paragraph" w:styleId="7">
    <w:name w:val="caption"/>
    <w:basedOn w:val="1"/>
    <w:next w:val="1"/>
    <w:autoRedefine/>
    <w:qFormat/>
    <w:uiPriority w:val="0"/>
    <w:pPr>
      <w:spacing w:before="152" w:after="160"/>
    </w:pPr>
    <w:rPr>
      <w:rFonts w:eastAsia="黑体" w:cs="Arial"/>
      <w:sz w:val="20"/>
      <w:szCs w:val="20"/>
    </w:rPr>
  </w:style>
  <w:style w:type="paragraph" w:styleId="8">
    <w:name w:val="Document Map"/>
    <w:basedOn w:val="1"/>
    <w:autoRedefine/>
    <w:qFormat/>
    <w:uiPriority w:val="0"/>
    <w:pPr>
      <w:shd w:val="clear" w:color="auto" w:fill="000080"/>
    </w:pPr>
    <w:rPr>
      <w:rFonts w:ascii="Times New Roman" w:hAnsi="Times New Roman" w:cs="Times New Roman"/>
      <w:b/>
      <w:bCs/>
      <w:szCs w:val="24"/>
    </w:rPr>
  </w:style>
  <w:style w:type="paragraph" w:styleId="9">
    <w:name w:val="toa heading"/>
    <w:basedOn w:val="1"/>
    <w:next w:val="1"/>
    <w:autoRedefine/>
    <w:qFormat/>
    <w:uiPriority w:val="0"/>
    <w:pPr>
      <w:spacing w:before="120"/>
    </w:pPr>
    <w:rPr>
      <w:rFonts w:ascii="Arial" w:hAnsi="Arial"/>
      <w:sz w:val="24"/>
    </w:rPr>
  </w:style>
  <w:style w:type="paragraph" w:styleId="10">
    <w:name w:val="annotation text"/>
    <w:basedOn w:val="1"/>
    <w:autoRedefine/>
    <w:qFormat/>
    <w:uiPriority w:val="0"/>
    <w:pPr>
      <w:jc w:val="left"/>
    </w:pPr>
  </w:style>
  <w:style w:type="paragraph" w:styleId="11">
    <w:name w:val="Body Text"/>
    <w:basedOn w:val="1"/>
    <w:next w:val="12"/>
    <w:autoRedefine/>
    <w:qFormat/>
    <w:uiPriority w:val="0"/>
    <w:pPr>
      <w:spacing w:after="120"/>
    </w:pPr>
  </w:style>
  <w:style w:type="paragraph" w:styleId="12">
    <w:name w:val="toc 4"/>
    <w:basedOn w:val="1"/>
    <w:next w:val="1"/>
    <w:autoRedefine/>
    <w:qFormat/>
    <w:uiPriority w:val="99"/>
    <w:pPr>
      <w:wordWrap w:val="0"/>
      <w:ind w:left="850"/>
    </w:pPr>
    <w:rPr>
      <w:rFonts w:ascii="Calibri" w:hAnsi="Calibri"/>
    </w:rPr>
  </w:style>
  <w:style w:type="paragraph" w:styleId="13">
    <w:name w:val="Body Text Indent"/>
    <w:basedOn w:val="1"/>
    <w:next w:val="1"/>
    <w:autoRedefine/>
    <w:qFormat/>
    <w:uiPriority w:val="0"/>
    <w:pPr>
      <w:spacing w:after="120"/>
      <w:ind w:left="420" w:leftChars="200"/>
    </w:pPr>
  </w:style>
  <w:style w:type="paragraph" w:styleId="14">
    <w:name w:val="Plain Text"/>
    <w:basedOn w:val="1"/>
    <w:next w:val="15"/>
    <w:autoRedefine/>
    <w:qFormat/>
    <w:uiPriority w:val="0"/>
    <w:rPr>
      <w:rFonts w:hAnsi="Courier New"/>
    </w:rPr>
  </w:style>
  <w:style w:type="paragraph" w:styleId="15">
    <w:name w:val="toc 2"/>
    <w:basedOn w:val="1"/>
    <w:next w:val="1"/>
    <w:autoRedefine/>
    <w:qFormat/>
    <w:uiPriority w:val="0"/>
    <w:pPr>
      <w:ind w:left="420" w:leftChars="200"/>
    </w:pPr>
    <w:rPr>
      <w:rFonts w:ascii="Times New Roman" w:hAnsi="Times New Roman" w:cs="Times New Roman"/>
      <w:szCs w:val="24"/>
    </w:rPr>
  </w:style>
  <w:style w:type="paragraph" w:styleId="16">
    <w:name w:val="Date"/>
    <w:basedOn w:val="1"/>
    <w:next w:val="1"/>
    <w:autoRedefine/>
    <w:qFormat/>
    <w:uiPriority w:val="0"/>
    <w:pPr>
      <w:ind w:left="100" w:leftChars="2500"/>
    </w:pPr>
    <w:rPr>
      <w:color w:val="000000"/>
      <w:sz w:val="24"/>
      <w:szCs w:val="24"/>
    </w:rPr>
  </w:style>
  <w:style w:type="paragraph" w:styleId="17">
    <w:name w:val="Body Text Indent 2"/>
    <w:basedOn w:val="1"/>
    <w:autoRedefine/>
    <w:qFormat/>
    <w:uiPriority w:val="0"/>
    <w:pPr>
      <w:widowControl/>
      <w:spacing w:line="480" w:lineRule="atLeast"/>
      <w:ind w:firstLine="480"/>
    </w:pPr>
    <w:rPr>
      <w:kern w:val="0"/>
      <w:sz w:val="24"/>
      <w:szCs w:val="20"/>
    </w:rPr>
  </w:style>
  <w:style w:type="paragraph" w:styleId="18">
    <w:name w:val="footer"/>
    <w:basedOn w:val="1"/>
    <w:autoRedefine/>
    <w:qFormat/>
    <w:uiPriority w:val="0"/>
    <w:pPr>
      <w:tabs>
        <w:tab w:val="center" w:pos="4153"/>
        <w:tab w:val="right" w:pos="8306"/>
      </w:tabs>
      <w:snapToGrid w:val="0"/>
      <w:jc w:val="left"/>
    </w:pPr>
    <w:rPr>
      <w:sz w:val="18"/>
      <w:szCs w:val="18"/>
    </w:rPr>
  </w:style>
  <w:style w:type="paragraph" w:styleId="19">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autoRedefine/>
    <w:unhideWhenUsed/>
    <w:qFormat/>
    <w:uiPriority w:val="39"/>
    <w:pPr>
      <w:jc w:val="center"/>
    </w:pPr>
    <w:rPr>
      <w:rFonts w:ascii="Times New Roman" w:hAnsi="Times New Roman" w:cs="Times New Roman"/>
      <w:szCs w:val="24"/>
    </w:rPr>
  </w:style>
  <w:style w:type="paragraph" w:styleId="21">
    <w:name w:val="toc 6"/>
    <w:basedOn w:val="1"/>
    <w:next w:val="1"/>
    <w:autoRedefine/>
    <w:qFormat/>
    <w:uiPriority w:val="99"/>
    <w:pPr>
      <w:ind w:left="1050"/>
      <w:jc w:val="left"/>
    </w:pPr>
    <w:rPr>
      <w:sz w:val="18"/>
      <w:szCs w:val="18"/>
    </w:rPr>
  </w:style>
  <w:style w:type="paragraph" w:styleId="22">
    <w:name w:val="Body Text Indent 3"/>
    <w:basedOn w:val="1"/>
    <w:autoRedefine/>
    <w:qFormat/>
    <w:uiPriority w:val="0"/>
    <w:pPr>
      <w:autoSpaceDE w:val="0"/>
      <w:autoSpaceDN w:val="0"/>
      <w:spacing w:line="400" w:lineRule="atLeast"/>
      <w:ind w:firstLine="443" w:firstLineChars="200"/>
      <w:textAlignment w:val="bottom"/>
    </w:pPr>
    <w:rPr>
      <w:rFonts w:eastAsia="黑体"/>
      <w:color w:val="000000"/>
      <w:sz w:val="24"/>
    </w:rPr>
  </w:style>
  <w:style w:type="paragraph" w:styleId="23">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szCs w:val="24"/>
    </w:rPr>
  </w:style>
  <w:style w:type="paragraph" w:styleId="24">
    <w:name w:val="Normal (Web)"/>
    <w:basedOn w:val="1"/>
    <w:autoRedefine/>
    <w:qFormat/>
    <w:uiPriority w:val="0"/>
    <w:pPr>
      <w:spacing w:before="100" w:beforeAutospacing="1" w:after="100" w:afterAutospacing="1"/>
      <w:jc w:val="left"/>
    </w:pPr>
    <w:rPr>
      <w:rFonts w:cs="Times New Roman"/>
      <w:kern w:val="0"/>
      <w:sz w:val="24"/>
    </w:rPr>
  </w:style>
  <w:style w:type="paragraph" w:styleId="25">
    <w:name w:val="Title"/>
    <w:basedOn w:val="1"/>
    <w:next w:val="1"/>
    <w:autoRedefine/>
    <w:qFormat/>
    <w:uiPriority w:val="0"/>
    <w:pPr>
      <w:keepNext/>
      <w:keepLines/>
      <w:widowControl/>
      <w:tabs>
        <w:tab w:val="center" w:pos="540"/>
      </w:tabs>
      <w:outlineLvl w:val="0"/>
    </w:pPr>
    <w:rPr>
      <w:rFonts w:ascii="Arial" w:hAnsi="Arial" w:cs="Arial"/>
      <w:b/>
      <w:bCs/>
      <w:sz w:val="28"/>
      <w:szCs w:val="32"/>
    </w:rPr>
  </w:style>
  <w:style w:type="paragraph" w:styleId="26">
    <w:name w:val="Body Text First Indent"/>
    <w:basedOn w:val="11"/>
    <w:next w:val="1"/>
    <w:autoRedefine/>
    <w:qFormat/>
    <w:uiPriority w:val="0"/>
    <w:pPr>
      <w:spacing w:after="0"/>
      <w:ind w:firstLine="200" w:firstLineChars="200"/>
    </w:pPr>
    <w:rPr>
      <w:rFonts w:cs="Times New Roman"/>
    </w:rPr>
  </w:style>
  <w:style w:type="paragraph" w:styleId="27">
    <w:name w:val="Body Text First Indent 2"/>
    <w:basedOn w:val="13"/>
    <w:next w:val="28"/>
    <w:autoRedefine/>
    <w:unhideWhenUsed/>
    <w:qFormat/>
    <w:uiPriority w:val="99"/>
    <w:pPr>
      <w:ind w:firstLine="420" w:firstLineChars="200"/>
    </w:pPr>
  </w:style>
  <w:style w:type="paragraph" w:customStyle="1" w:styleId="28">
    <w:name w:val="xl53"/>
    <w:basedOn w:val="1"/>
    <w:next w:val="1"/>
    <w:autoRedefine/>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b/>
      <w:bCs/>
      <w:kern w:val="0"/>
      <w:sz w:val="20"/>
      <w:szCs w:val="20"/>
    </w:rPr>
  </w:style>
  <w:style w:type="table" w:styleId="30">
    <w:name w:val="Table Grid"/>
    <w:basedOn w:val="29"/>
    <w:autoRedefine/>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basedOn w:val="31"/>
    <w:autoRedefine/>
    <w:qFormat/>
    <w:uiPriority w:val="22"/>
    <w:rPr>
      <w:b/>
    </w:rPr>
  </w:style>
  <w:style w:type="character" w:styleId="33">
    <w:name w:val="page number"/>
    <w:basedOn w:val="31"/>
    <w:autoRedefine/>
    <w:qFormat/>
    <w:uiPriority w:val="0"/>
  </w:style>
  <w:style w:type="character" w:styleId="34">
    <w:name w:val="FollowedHyperlink"/>
    <w:autoRedefine/>
    <w:qFormat/>
    <w:uiPriority w:val="0"/>
    <w:rPr>
      <w:rFonts w:ascii="宋体"/>
      <w:color w:val="333333"/>
      <w:sz w:val="18"/>
      <w:szCs w:val="18"/>
      <w:u w:val="none"/>
    </w:rPr>
  </w:style>
  <w:style w:type="character" w:styleId="35">
    <w:name w:val="Hyperlink"/>
    <w:basedOn w:val="31"/>
    <w:autoRedefine/>
    <w:qFormat/>
    <w:uiPriority w:val="0"/>
    <w:rPr>
      <w:rFonts w:ascii="宋体"/>
      <w:color w:val="0000FF"/>
      <w:sz w:val="18"/>
      <w:szCs w:val="18"/>
      <w:u w:val="single"/>
    </w:rPr>
  </w:style>
  <w:style w:type="paragraph" w:customStyle="1" w:styleId="36">
    <w:name w:val="Normal Indent1"/>
    <w:basedOn w:val="1"/>
    <w:autoRedefine/>
    <w:qFormat/>
    <w:uiPriority w:val="0"/>
    <w:pPr>
      <w:widowControl/>
      <w:ind w:firstLine="420"/>
      <w:jc w:val="left"/>
    </w:pPr>
    <w:rPr>
      <w:rFonts w:ascii="Times New Roman" w:hAnsi="Times New Roman"/>
      <w:kern w:val="0"/>
      <w:szCs w:val="20"/>
    </w:rPr>
  </w:style>
  <w:style w:type="paragraph" w:customStyle="1" w:styleId="37">
    <w:name w:val="常用样式"/>
    <w:basedOn w:val="1"/>
    <w:autoRedefine/>
    <w:qFormat/>
    <w:uiPriority w:val="0"/>
    <w:pPr>
      <w:spacing w:line="360" w:lineRule="exact"/>
      <w:ind w:firstLine="480" w:firstLineChars="200"/>
    </w:pPr>
    <w:rPr>
      <w:sz w:val="24"/>
      <w:szCs w:val="24"/>
    </w:rPr>
  </w:style>
  <w:style w:type="paragraph" w:customStyle="1" w:styleId="38">
    <w:name w:val="表格文字"/>
    <w:basedOn w:val="14"/>
    <w:next w:val="11"/>
    <w:autoRedefine/>
    <w:qFormat/>
    <w:uiPriority w:val="0"/>
    <w:pPr>
      <w:adjustRightInd w:val="0"/>
      <w:spacing w:line="420" w:lineRule="atLeast"/>
      <w:textAlignment w:val="baseline"/>
    </w:pPr>
    <w:rPr>
      <w:szCs w:val="24"/>
    </w:rPr>
  </w:style>
  <w:style w:type="paragraph" w:customStyle="1" w:styleId="39">
    <w:name w:val="正文1"/>
    <w:basedOn w:val="1"/>
    <w:next w:val="1"/>
    <w:autoRedefine/>
    <w:qFormat/>
    <w:uiPriority w:val="0"/>
    <w:pPr>
      <w:spacing w:before="240" w:line="460" w:lineRule="exact"/>
    </w:pPr>
    <w:rPr>
      <w:rFonts w:ascii="仿宋_GB2312" w:eastAsia="仿宋_GB2312"/>
      <w:b/>
      <w:sz w:val="28"/>
      <w:szCs w:val="28"/>
    </w:rPr>
  </w:style>
  <w:style w:type="paragraph" w:customStyle="1" w:styleId="40">
    <w:name w:val="[Normal]"/>
    <w:autoRedefine/>
    <w:qFormat/>
    <w:uiPriority w:val="0"/>
    <w:rPr>
      <w:rFonts w:ascii="宋体" w:hAnsi="宋体" w:eastAsia="宋体" w:cs="Times New Roman"/>
      <w:sz w:val="24"/>
      <w:szCs w:val="22"/>
      <w:lang w:val="zh-CN" w:eastAsia="zh-CN" w:bidi="ar-SA"/>
    </w:rPr>
  </w:style>
  <w:style w:type="paragraph" w:customStyle="1" w:styleId="41">
    <w:name w:val="正文2"/>
    <w:autoRedefine/>
    <w:qFormat/>
    <w:uiPriority w:val="0"/>
    <w:pPr>
      <w:widowControl w:val="0"/>
      <w:jc w:val="both"/>
    </w:pPr>
    <w:rPr>
      <w:rFonts w:hint="eastAsia" w:ascii="Calibri" w:hAnsi="Calibri" w:eastAsia="宋体" w:cs="Times New Roman"/>
      <w:kern w:val="2"/>
      <w:sz w:val="21"/>
      <w:szCs w:val="22"/>
      <w:lang w:val="en-US" w:eastAsia="zh-CN" w:bidi="ar-SA"/>
    </w:rPr>
  </w:style>
  <w:style w:type="paragraph" w:customStyle="1" w:styleId="42">
    <w:name w:val="纯文本1"/>
    <w:basedOn w:val="41"/>
    <w:autoRedefine/>
    <w:qFormat/>
    <w:uiPriority w:val="0"/>
    <w:pPr>
      <w:widowControl/>
      <w:jc w:val="left"/>
    </w:pPr>
    <w:rPr>
      <w:rFonts w:ascii="宋体" w:hAnsi="Courier New"/>
    </w:rPr>
  </w:style>
  <w:style w:type="paragraph" w:customStyle="1" w:styleId="43">
    <w:name w:val="默认段落字体 Para Char Char Char Char Char Char Char"/>
    <w:basedOn w:val="8"/>
    <w:autoRedefine/>
    <w:qFormat/>
    <w:uiPriority w:val="0"/>
    <w:pPr>
      <w:shd w:val="clear" w:color="auto" w:fill="auto"/>
      <w:adjustRightInd w:val="0"/>
      <w:spacing w:line="436" w:lineRule="exact"/>
      <w:ind w:left="357"/>
      <w:jc w:val="left"/>
      <w:outlineLvl w:val="3"/>
    </w:pPr>
    <w:rPr>
      <w:rFonts w:ascii="宋体"/>
      <w:sz w:val="18"/>
      <w:szCs w:val="18"/>
    </w:rPr>
  </w:style>
  <w:style w:type="paragraph" w:customStyle="1" w:styleId="44">
    <w:name w:val="正文文本 21"/>
    <w:basedOn w:val="1"/>
    <w:autoRedefine/>
    <w:qFormat/>
    <w:uiPriority w:val="0"/>
    <w:pPr>
      <w:widowControl/>
      <w:spacing w:after="120"/>
      <w:ind w:firstLine="510"/>
      <w:jc w:val="left"/>
    </w:pPr>
    <w:rPr>
      <w:rFonts w:ascii="Calibri" w:hAnsi="Calibri" w:cs="Times New Roman"/>
      <w:sz w:val="24"/>
    </w:rPr>
  </w:style>
  <w:style w:type="paragraph" w:customStyle="1" w:styleId="45">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46">
    <w:name w:val="_Style 3"/>
    <w:basedOn w:val="1"/>
    <w:autoRedefine/>
    <w:qFormat/>
    <w:uiPriority w:val="0"/>
    <w:pPr>
      <w:ind w:firstLine="420" w:firstLineChars="200"/>
    </w:pPr>
    <w:rPr>
      <w:rFonts w:ascii="Calibri" w:hAnsi="Calibri" w:cs="Times New Roman"/>
    </w:rPr>
  </w:style>
  <w:style w:type="paragraph" w:customStyle="1" w:styleId="47">
    <w:name w:val="*正文"/>
    <w:basedOn w:val="1"/>
    <w:autoRedefine/>
    <w:qFormat/>
    <w:uiPriority w:val="0"/>
    <w:pPr>
      <w:widowControl/>
      <w:ind w:firstLine="200" w:firstLineChars="200"/>
    </w:pPr>
    <w:rPr>
      <w:rFonts w:ascii="仿宋_GB2312" w:hAnsi="Times New Roman"/>
      <w:sz w:val="24"/>
      <w:szCs w:val="28"/>
    </w:rPr>
  </w:style>
  <w:style w:type="paragraph" w:customStyle="1" w:styleId="48">
    <w:name w:val="彩色列表1"/>
    <w:basedOn w:val="1"/>
    <w:autoRedefine/>
    <w:qFormat/>
    <w:uiPriority w:val="0"/>
    <w:pPr>
      <w:ind w:firstLine="480" w:firstLineChars="200"/>
    </w:pPr>
    <w:rPr>
      <w:rFonts w:ascii="Times New Roman" w:hAnsi="Times New Roman" w:cs="Times New Roman"/>
      <w:sz w:val="24"/>
      <w:szCs w:val="24"/>
    </w:rPr>
  </w:style>
  <w:style w:type="paragraph" w:customStyle="1" w:styleId="49">
    <w:name w:val="正文中文 Char"/>
    <w:basedOn w:val="1"/>
    <w:autoRedefine/>
    <w:qFormat/>
    <w:uiPriority w:val="0"/>
    <w:pPr>
      <w:ind w:firstLine="200" w:firstLineChars="200"/>
      <w:jc w:val="left"/>
    </w:pPr>
    <w:rPr>
      <w:rFonts w:eastAsia="Times New Roman"/>
      <w:sz w:val="24"/>
    </w:rPr>
  </w:style>
  <w:style w:type="paragraph" w:customStyle="1" w:styleId="50">
    <w:name w:val="正文 A"/>
    <w:next w:val="1"/>
    <w:autoRedefine/>
    <w:qFormat/>
    <w:uiPriority w:val="0"/>
    <w:pPr>
      <w:framePr w:wrap="around" w:vAnchor="margin" w:hAnchor="text" w:yAlign="top"/>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styleId="51">
    <w:name w:val="List Paragraph"/>
    <w:basedOn w:val="1"/>
    <w:autoRedefine/>
    <w:qFormat/>
    <w:uiPriority w:val="0"/>
    <w:pPr>
      <w:ind w:firstLine="420" w:firstLineChars="200"/>
    </w:pPr>
    <w:rPr>
      <w:rFonts w:ascii="Calibri" w:hAnsi="Calibri"/>
    </w:rPr>
  </w:style>
  <w:style w:type="paragraph" w:customStyle="1" w:styleId="52">
    <w:name w:val="l正文"/>
    <w:basedOn w:val="1"/>
    <w:autoRedefine/>
    <w:qFormat/>
    <w:uiPriority w:val="0"/>
    <w:pPr>
      <w:spacing w:line="300" w:lineRule="auto"/>
      <w:ind w:firstLine="200" w:firstLineChars="200"/>
      <w:jc w:val="left"/>
    </w:pPr>
    <w:rPr>
      <w:rFonts w:ascii="楷体_GB2312" w:hAnsi="Times" w:eastAsia="楷体_GB2312" w:cs="等线"/>
      <w:sz w:val="24"/>
      <w:szCs w:val="24"/>
    </w:rPr>
  </w:style>
  <w:style w:type="paragraph" w:customStyle="1" w:styleId="53">
    <w:name w:val="章正文"/>
    <w:basedOn w:val="1"/>
    <w:autoRedefine/>
    <w:qFormat/>
    <w:uiPriority w:val="0"/>
    <w:pPr>
      <w:spacing w:before="156" w:beforeLines="50" w:after="120" w:line="300" w:lineRule="auto"/>
      <w:ind w:firstLine="480"/>
    </w:pPr>
    <w:rPr>
      <w:rFonts w:ascii="Helvetica" w:hAnsi="Helvetica"/>
      <w:kern w:val="0"/>
      <w:sz w:val="24"/>
      <w:szCs w:val="24"/>
    </w:rPr>
  </w:style>
  <w:style w:type="paragraph" w:customStyle="1" w:styleId="54">
    <w:name w:val="Fließtext"/>
    <w:basedOn w:val="1"/>
    <w:autoRedefine/>
    <w:qFormat/>
    <w:uiPriority w:val="0"/>
    <w:pPr>
      <w:overflowPunct w:val="0"/>
      <w:autoSpaceDE w:val="0"/>
      <w:autoSpaceDN w:val="0"/>
      <w:adjustRightInd w:val="0"/>
    </w:pPr>
    <w:rPr>
      <w:rFonts w:ascii="Times New Roman" w:hAnsi="Times New Roman"/>
      <w:kern w:val="28"/>
      <w:szCs w:val="20"/>
    </w:rPr>
  </w:style>
  <w:style w:type="character" w:customStyle="1" w:styleId="55">
    <w:name w:val="unnamed51"/>
    <w:autoRedefine/>
    <w:qFormat/>
    <w:uiPriority w:val="0"/>
    <w:rPr>
      <w:sz w:val="22"/>
    </w:rPr>
  </w:style>
  <w:style w:type="paragraph" w:customStyle="1" w:styleId="56">
    <w:name w:val="样式9"/>
    <w:autoRedefine/>
    <w:qFormat/>
    <w:uiPriority w:val="0"/>
    <w:pPr>
      <w:framePr w:wrap="around" w:vAnchor="margin" w:hAnchor="text" w:y="1"/>
      <w:widowControl w:val="0"/>
      <w:spacing w:line="360" w:lineRule="auto"/>
      <w:ind w:firstLine="480"/>
      <w:jc w:val="both"/>
    </w:pPr>
    <w:rPr>
      <w:rFonts w:hint="eastAsia" w:ascii="Arial Unicode MS" w:hAnsi="Arial Unicode MS" w:eastAsia="Arial" w:cs="Arial Unicode MS"/>
      <w:color w:val="000000"/>
      <w:sz w:val="24"/>
      <w:szCs w:val="24"/>
      <w:u w:color="000000"/>
      <w:lang w:val="en-US" w:eastAsia="zh-CN" w:bidi="ar-SA"/>
    </w:rPr>
  </w:style>
  <w:style w:type="paragraph" w:customStyle="1" w:styleId="57">
    <w:name w:val="表格样式 1"/>
    <w:autoRedefine/>
    <w:qFormat/>
    <w:uiPriority w:val="0"/>
    <w:rPr>
      <w:rFonts w:ascii="PingFang SC Semibold" w:hAnsi="PingFang SC Semibold" w:eastAsia="Arial Unicode MS" w:cs="Arial Unicode MS"/>
      <w:color w:val="000000"/>
      <w:lang w:val="en-US" w:eastAsia="zh-CN" w:bidi="ar-SA"/>
    </w:rPr>
  </w:style>
  <w:style w:type="paragraph" w:customStyle="1" w:styleId="58">
    <w:name w:val="表格样式 2"/>
    <w:autoRedefine/>
    <w:qFormat/>
    <w:uiPriority w:val="0"/>
    <w:rPr>
      <w:rFonts w:ascii="PingFang SC Regular" w:hAnsi="PingFang SC Regular" w:eastAsia="Arial Unicode MS" w:cs="Arial Unicode MS"/>
      <w:color w:val="000000"/>
      <w:lang w:val="en-US" w:eastAsia="zh-CN" w:bidi="ar-SA"/>
    </w:rPr>
  </w:style>
  <w:style w:type="paragraph" w:customStyle="1" w:styleId="59">
    <w:name w:val="正文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0">
    <w:name w:val="Table Paragraph"/>
    <w:basedOn w:val="1"/>
    <w:autoRedefine/>
    <w:unhideWhenUsed/>
    <w:qFormat/>
    <w:uiPriority w:val="1"/>
    <w:rPr>
      <w:rFonts w:hint="eastAsia"/>
      <w:sz w:val="24"/>
    </w:rPr>
  </w:style>
  <w:style w:type="character" w:customStyle="1" w:styleId="61">
    <w:name w:val="15"/>
    <w:autoRedefine/>
    <w:qFormat/>
    <w:uiPriority w:val="0"/>
    <w:rPr>
      <w:rFonts w:hint="default" w:ascii="Times New Roman" w:hAnsi="Times New Roman" w:eastAsia="宋体" w:cs="Times New Roman"/>
      <w:b/>
      <w:bCs/>
      <w:spacing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ITianKong.Com</Company>
  <Pages>61</Pages>
  <Words>34962</Words>
  <Characters>36540</Characters>
  <Lines>304</Lines>
  <Paragraphs>85</Paragraphs>
  <TotalTime>51</TotalTime>
  <ScaleCrop>false</ScaleCrop>
  <LinksUpToDate>false</LinksUpToDate>
  <CharactersWithSpaces>39948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2023-01-30T06:10:00Z</dcterms:created>
  <dc:creator>lenovo</dc:creator>
  <cp:lastModifiedBy>黑米娃刘锦智</cp:lastModifiedBy>
  <cp:lastPrinted>2024-02-19T07:36:00Z</cp:lastPrinted>
  <dcterms:modified xsi:type="dcterms:W3CDTF">2024-02-19T08:03:37Z</dcterms:modified>
  <dc:title>2</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54253C5BC7364EE7B8770B8CA9C65067_13</vt:lpwstr>
  </property>
</Properties>
</file>