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5"/>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83" w:hRule="atLeast"/>
        </w:trPr>
        <w:tc>
          <w:tcPr>
            <w:tcW w:w="9000" w:type="dxa"/>
            <w:noWrap w:val="0"/>
            <w:vAlign w:val="top"/>
          </w:tcPr>
          <w:p>
            <w:pPr>
              <w:tabs>
                <w:tab w:val="left" w:pos="6477"/>
              </w:tabs>
              <w:jc w:val="center"/>
              <w:rPr>
                <w:rFonts w:hint="eastAsia"/>
                <w:b/>
                <w:color w:val="000000"/>
                <w:sz w:val="36"/>
              </w:rPr>
            </w:pPr>
            <w:bookmarkStart w:id="285" w:name="_GoBack"/>
            <w:bookmarkEnd w:id="285"/>
          </w:p>
          <w:p>
            <w:pPr>
              <w:jc w:val="center"/>
              <w:rPr>
                <w:rFonts w:hint="eastAsia"/>
                <w:color w:val="000000"/>
                <w:sz w:val="84"/>
                <w:szCs w:val="84"/>
              </w:rPr>
            </w:pPr>
            <w:r>
              <w:rPr>
                <w:rFonts w:hint="eastAsia"/>
                <w:color w:val="000000"/>
                <w:sz w:val="84"/>
                <w:szCs w:val="84"/>
              </w:rPr>
              <w:t>平  阳  县</w:t>
            </w:r>
          </w:p>
          <w:p>
            <w:pPr>
              <w:jc w:val="center"/>
              <w:rPr>
                <w:rFonts w:hint="eastAsia"/>
                <w:color w:val="000000"/>
                <w:sz w:val="72"/>
                <w:szCs w:val="72"/>
              </w:rPr>
            </w:pPr>
            <w:r>
              <w:rPr>
                <w:rFonts w:hint="eastAsia"/>
                <w:color w:val="000000"/>
                <w:sz w:val="72"/>
                <w:szCs w:val="72"/>
              </w:rPr>
              <w:t>公共资源交易中心招标文件</w:t>
            </w:r>
          </w:p>
          <w:p>
            <w:pPr>
              <w:spacing w:line="440" w:lineRule="exact"/>
              <w:ind w:left="1148"/>
              <w:jc w:val="center"/>
              <w:rPr>
                <w:rFonts w:hint="eastAsia"/>
                <w:bCs/>
                <w:color w:val="000000"/>
                <w:sz w:val="28"/>
              </w:rPr>
            </w:pPr>
          </w:p>
          <w:p>
            <w:pPr>
              <w:spacing w:line="440" w:lineRule="exact"/>
              <w:ind w:left="1148"/>
              <w:jc w:val="center"/>
              <w:rPr>
                <w:rFonts w:hint="eastAsia"/>
                <w:bCs/>
                <w:color w:val="000000"/>
                <w:sz w:val="28"/>
              </w:rPr>
            </w:pPr>
          </w:p>
          <w:p>
            <w:pPr>
              <w:spacing w:line="440" w:lineRule="exact"/>
              <w:rPr>
                <w:rFonts w:hint="eastAsia"/>
                <w:b/>
                <w:bCs/>
                <w:color w:val="000000"/>
                <w:sz w:val="28"/>
              </w:rPr>
            </w:pPr>
            <w:r>
              <w:rPr>
                <w:rFonts w:hint="eastAsia"/>
                <w:b/>
                <w:bCs/>
                <w:color w:val="000000"/>
                <w:sz w:val="28"/>
              </w:rPr>
              <w:t xml:space="preserve">                                         </w:t>
            </w:r>
          </w:p>
          <w:p>
            <w:pPr>
              <w:tabs>
                <w:tab w:val="left" w:pos="2019"/>
              </w:tabs>
              <w:ind w:firstLine="1807" w:firstLineChars="600"/>
              <w:rPr>
                <w:b/>
                <w:color w:val="000000"/>
                <w:sz w:val="30"/>
                <w:szCs w:val="30"/>
              </w:rPr>
            </w:pPr>
            <w:r>
              <w:rPr>
                <w:rFonts w:hint="eastAsia"/>
                <w:b/>
                <w:color w:val="000000"/>
                <w:sz w:val="30"/>
                <w:szCs w:val="30"/>
              </w:rPr>
              <w:t>项目名称：</w:t>
            </w:r>
            <w:r>
              <w:rPr>
                <w:rFonts w:hint="eastAsia"/>
                <w:b/>
                <w:sz w:val="30"/>
                <w:szCs w:val="30"/>
              </w:rPr>
              <w:t>平阳县“雪亮工程”</w:t>
            </w:r>
            <w:r>
              <w:rPr>
                <w:rFonts w:hint="eastAsia"/>
                <w:b/>
                <w:color w:val="000000"/>
                <w:sz w:val="30"/>
                <w:szCs w:val="30"/>
              </w:rPr>
              <w:t>视频智能分析系统</w:t>
            </w:r>
          </w:p>
          <w:p>
            <w:pPr>
              <w:tabs>
                <w:tab w:val="left" w:pos="2019"/>
              </w:tabs>
              <w:ind w:left="979" w:leftChars="408" w:firstLine="301" w:firstLineChars="100"/>
              <w:rPr>
                <w:rFonts w:hint="eastAsia"/>
                <w:b/>
                <w:color w:val="000000"/>
                <w:sz w:val="30"/>
                <w:szCs w:val="30"/>
              </w:rPr>
            </w:pPr>
          </w:p>
          <w:p>
            <w:pPr>
              <w:wordWrap w:val="0"/>
              <w:ind w:firstLine="1807" w:firstLineChars="600"/>
              <w:rPr>
                <w:rFonts w:ascii="微软雅黑" w:hAnsi="微软雅黑"/>
                <w:color w:val="333333"/>
                <w:sz w:val="21"/>
                <w:szCs w:val="21"/>
              </w:rPr>
            </w:pPr>
            <w:r>
              <w:rPr>
                <w:rFonts w:hint="eastAsia"/>
                <w:b/>
                <w:color w:val="000000"/>
                <w:sz w:val="30"/>
                <w:szCs w:val="30"/>
              </w:rPr>
              <w:t>招标编号：PYCG190524052</w:t>
            </w:r>
          </w:p>
          <w:p>
            <w:pPr>
              <w:tabs>
                <w:tab w:val="left" w:pos="2019"/>
              </w:tabs>
              <w:rPr>
                <w:rFonts w:hint="eastAsia"/>
                <w:b/>
                <w:color w:val="000000"/>
                <w:sz w:val="30"/>
                <w:szCs w:val="30"/>
              </w:rPr>
            </w:pPr>
          </w:p>
          <w:p>
            <w:pPr>
              <w:spacing w:line="440" w:lineRule="exact"/>
              <w:ind w:left="1440" w:leftChars="600" w:firstLine="904" w:firstLineChars="300"/>
              <w:rPr>
                <w:rFonts w:hint="eastAsia"/>
                <w:b/>
                <w:color w:val="000000"/>
                <w:sz w:val="30"/>
                <w:szCs w:val="30"/>
              </w:rPr>
            </w:pPr>
            <w:r>
              <w:rPr>
                <w:rFonts w:hint="eastAsia"/>
                <w:b/>
                <w:color w:val="000000"/>
                <w:sz w:val="30"/>
                <w:szCs w:val="30"/>
              </w:rPr>
              <w:t xml:space="preserve">                                        </w:t>
            </w:r>
          </w:p>
          <w:p>
            <w:pPr>
              <w:spacing w:line="440" w:lineRule="exact"/>
              <w:ind w:left="1440" w:leftChars="600" w:firstLine="904" w:firstLineChars="300"/>
              <w:rPr>
                <w:rFonts w:hint="eastAsia"/>
                <w:b/>
                <w:color w:val="000000"/>
                <w:sz w:val="30"/>
                <w:szCs w:val="30"/>
              </w:rPr>
            </w:pPr>
            <w:r>
              <w:rPr>
                <w:rFonts w:hint="eastAsia"/>
                <w:b/>
                <w:color w:val="000000"/>
                <w:sz w:val="30"/>
                <w:szCs w:val="30"/>
              </w:rPr>
              <w:t xml:space="preserve">     </w:t>
            </w:r>
          </w:p>
          <w:p>
            <w:pPr>
              <w:spacing w:line="440" w:lineRule="exact"/>
              <w:ind w:firstLine="1807" w:firstLineChars="600"/>
              <w:rPr>
                <w:rFonts w:hint="eastAsia"/>
                <w:b/>
                <w:color w:val="000000"/>
                <w:sz w:val="30"/>
                <w:szCs w:val="30"/>
              </w:rPr>
            </w:pPr>
            <w:r>
              <w:rPr>
                <w:rFonts w:hint="eastAsia"/>
                <w:b/>
                <w:color w:val="000000"/>
                <w:sz w:val="30"/>
                <w:szCs w:val="30"/>
              </w:rPr>
              <w:t>采 购 人：中共平阳县委政法委员会</w:t>
            </w:r>
          </w:p>
          <w:p>
            <w:pPr>
              <w:spacing w:line="440" w:lineRule="exact"/>
              <w:ind w:firstLine="1807" w:firstLineChars="600"/>
              <w:rPr>
                <w:rFonts w:hint="eastAsia"/>
                <w:b/>
                <w:color w:val="000000"/>
                <w:sz w:val="30"/>
                <w:szCs w:val="30"/>
              </w:rPr>
            </w:pPr>
            <w:r>
              <w:rPr>
                <w:rFonts w:hint="eastAsia"/>
                <w:b/>
                <w:color w:val="000000"/>
                <w:sz w:val="30"/>
                <w:szCs w:val="30"/>
              </w:rPr>
              <w:t xml:space="preserve">联 系 人：吴先生、梅先生 </w:t>
            </w:r>
          </w:p>
          <w:p>
            <w:pPr>
              <w:spacing w:line="440" w:lineRule="exact"/>
              <w:ind w:firstLine="1807" w:firstLineChars="600"/>
              <w:rPr>
                <w:rFonts w:hint="eastAsia"/>
                <w:b/>
                <w:color w:val="000000"/>
                <w:sz w:val="30"/>
                <w:szCs w:val="30"/>
              </w:rPr>
            </w:pPr>
            <w:r>
              <w:rPr>
                <w:rFonts w:hint="eastAsia"/>
                <w:b/>
                <w:color w:val="000000"/>
                <w:sz w:val="30"/>
                <w:szCs w:val="30"/>
              </w:rPr>
              <w:t>联系电话：13606770275、13587997006</w:t>
            </w:r>
          </w:p>
          <w:p>
            <w:pPr>
              <w:spacing w:line="440" w:lineRule="exact"/>
              <w:ind w:left="1148"/>
              <w:rPr>
                <w:rFonts w:hint="eastAsia"/>
                <w:b/>
                <w:color w:val="000000"/>
                <w:sz w:val="30"/>
                <w:szCs w:val="30"/>
              </w:rPr>
            </w:pPr>
            <w:r>
              <w:rPr>
                <w:rFonts w:hint="eastAsia"/>
                <w:b/>
                <w:color w:val="000000"/>
                <w:sz w:val="30"/>
                <w:szCs w:val="30"/>
              </w:rPr>
              <w:t xml:space="preserve">          </w:t>
            </w:r>
          </w:p>
          <w:p>
            <w:pPr>
              <w:spacing w:line="440" w:lineRule="exact"/>
              <w:ind w:left="1148"/>
              <w:rPr>
                <w:rFonts w:hint="eastAsia"/>
                <w:b/>
                <w:color w:val="000000"/>
                <w:sz w:val="30"/>
                <w:szCs w:val="30"/>
              </w:rPr>
            </w:pPr>
            <w:r>
              <w:rPr>
                <w:rFonts w:hint="eastAsia"/>
                <w:b/>
                <w:color w:val="000000"/>
                <w:sz w:val="30"/>
                <w:szCs w:val="30"/>
              </w:rPr>
              <w:t xml:space="preserve">                 </w:t>
            </w:r>
          </w:p>
          <w:p>
            <w:pPr>
              <w:spacing w:line="440" w:lineRule="exact"/>
              <w:jc w:val="center"/>
              <w:rPr>
                <w:rFonts w:hint="eastAsia"/>
                <w:b/>
                <w:color w:val="000000"/>
                <w:sz w:val="30"/>
                <w:szCs w:val="30"/>
              </w:rPr>
            </w:pPr>
            <w:r>
              <w:rPr>
                <w:rFonts w:hint="eastAsia"/>
                <w:b/>
                <w:color w:val="000000"/>
                <w:sz w:val="30"/>
                <w:szCs w:val="30"/>
              </w:rPr>
              <w:t xml:space="preserve">   </w:t>
            </w:r>
          </w:p>
          <w:p>
            <w:pPr>
              <w:spacing w:line="440" w:lineRule="exact"/>
              <w:ind w:firstLine="1807" w:firstLineChars="600"/>
              <w:rPr>
                <w:rFonts w:hint="eastAsia"/>
                <w:b/>
                <w:color w:val="000000"/>
                <w:sz w:val="30"/>
                <w:szCs w:val="30"/>
              </w:rPr>
            </w:pPr>
            <w:r>
              <w:rPr>
                <w:rFonts w:hint="eastAsia"/>
                <w:b/>
                <w:color w:val="000000"/>
                <w:sz w:val="30"/>
                <w:szCs w:val="30"/>
              </w:rPr>
              <w:t>采购机构：平阳县公共资源交易中心</w:t>
            </w:r>
          </w:p>
          <w:p>
            <w:pPr>
              <w:spacing w:line="440" w:lineRule="exact"/>
              <w:ind w:firstLine="1807" w:firstLineChars="600"/>
              <w:rPr>
                <w:rFonts w:hint="eastAsia"/>
                <w:b/>
                <w:color w:val="000000"/>
                <w:sz w:val="30"/>
                <w:szCs w:val="30"/>
              </w:rPr>
            </w:pPr>
            <w:r>
              <w:rPr>
                <w:rFonts w:hint="eastAsia"/>
                <w:b/>
                <w:color w:val="000000"/>
                <w:sz w:val="30"/>
                <w:szCs w:val="30"/>
              </w:rPr>
              <w:t>联 系 人：王先生</w:t>
            </w:r>
          </w:p>
          <w:p>
            <w:pPr>
              <w:spacing w:line="440" w:lineRule="exact"/>
              <w:ind w:firstLine="1807" w:firstLineChars="600"/>
              <w:rPr>
                <w:rFonts w:hint="eastAsia"/>
                <w:b/>
                <w:color w:val="000000"/>
                <w:sz w:val="30"/>
                <w:szCs w:val="30"/>
              </w:rPr>
            </w:pPr>
            <w:r>
              <w:rPr>
                <w:rFonts w:hint="eastAsia"/>
                <w:b/>
                <w:color w:val="000000"/>
                <w:sz w:val="30"/>
                <w:szCs w:val="30"/>
              </w:rPr>
              <w:t>联系电话：0577-63193038</w:t>
            </w:r>
          </w:p>
          <w:p>
            <w:pPr>
              <w:spacing w:line="440" w:lineRule="exact"/>
              <w:ind w:firstLine="2117" w:firstLineChars="703"/>
              <w:rPr>
                <w:rFonts w:hint="eastAsia"/>
                <w:b/>
                <w:color w:val="000000"/>
                <w:sz w:val="30"/>
                <w:szCs w:val="30"/>
              </w:rPr>
            </w:pPr>
          </w:p>
          <w:p>
            <w:pPr>
              <w:spacing w:line="440" w:lineRule="exact"/>
              <w:ind w:left="1148"/>
              <w:jc w:val="center"/>
              <w:rPr>
                <w:rFonts w:hint="eastAsia"/>
                <w:b/>
                <w:color w:val="000000"/>
                <w:sz w:val="30"/>
                <w:szCs w:val="30"/>
              </w:rPr>
            </w:pPr>
          </w:p>
          <w:p>
            <w:pPr>
              <w:spacing w:line="440" w:lineRule="exact"/>
              <w:ind w:left="1148"/>
              <w:jc w:val="center"/>
              <w:rPr>
                <w:rFonts w:hint="eastAsia"/>
                <w:b/>
                <w:color w:val="000000"/>
                <w:sz w:val="30"/>
                <w:szCs w:val="30"/>
              </w:rPr>
            </w:pPr>
          </w:p>
          <w:p>
            <w:pPr>
              <w:spacing w:line="440" w:lineRule="exact"/>
              <w:ind w:left="1148"/>
              <w:jc w:val="center"/>
              <w:rPr>
                <w:rFonts w:hint="eastAsia"/>
                <w:b/>
                <w:color w:val="000000"/>
                <w:sz w:val="30"/>
                <w:szCs w:val="30"/>
              </w:rPr>
            </w:pPr>
          </w:p>
          <w:p>
            <w:pPr>
              <w:pStyle w:val="35"/>
              <w:widowControl w:val="0"/>
              <w:ind w:left="0" w:leftChars="0"/>
              <w:jc w:val="center"/>
              <w:rPr>
                <w:rFonts w:hint="eastAsia"/>
                <w:b/>
                <w:kern w:val="2"/>
                <w:sz w:val="30"/>
                <w:szCs w:val="30"/>
                <w:lang w:val="en-US" w:eastAsia="zh-CN"/>
              </w:rPr>
            </w:pPr>
            <w:r>
              <w:rPr>
                <w:rFonts w:hint="eastAsia"/>
                <w:b/>
                <w:kern w:val="2"/>
                <w:sz w:val="30"/>
                <w:szCs w:val="30"/>
                <w:lang w:val="en-US" w:eastAsia="zh-CN"/>
              </w:rPr>
              <w:t xml:space="preserve">    </w:t>
            </w:r>
          </w:p>
          <w:p>
            <w:pPr>
              <w:pStyle w:val="35"/>
              <w:widowControl w:val="0"/>
              <w:ind w:left="0" w:leftChars="0"/>
              <w:jc w:val="center"/>
              <w:rPr>
                <w:rFonts w:hint="eastAsia"/>
                <w:b/>
                <w:kern w:val="2"/>
                <w:sz w:val="84"/>
                <w:lang w:val="en-US" w:eastAsia="zh-CN"/>
              </w:rPr>
            </w:pPr>
            <w:r>
              <w:rPr>
                <w:rFonts w:hint="eastAsia"/>
                <w:b/>
                <w:kern w:val="2"/>
                <w:sz w:val="30"/>
                <w:szCs w:val="30"/>
                <w:lang w:val="en-US" w:eastAsia="zh-CN"/>
              </w:rPr>
              <w:t>二零一九年五月</w:t>
            </w:r>
          </w:p>
        </w:tc>
      </w:tr>
    </w:tbl>
    <w:p>
      <w:pPr>
        <w:rPr>
          <w:rFonts w:hint="eastAsia"/>
          <w:color w:val="000000"/>
        </w:rPr>
      </w:pPr>
    </w:p>
    <w:p>
      <w:pPr>
        <w:snapToGrid w:val="0"/>
        <w:spacing w:line="360" w:lineRule="atLeast"/>
        <w:jc w:val="center"/>
        <w:rPr>
          <w:rFonts w:hint="eastAsia"/>
          <w:b/>
          <w:bCs/>
          <w:color w:val="000000"/>
          <w:sz w:val="36"/>
          <w:szCs w:val="28"/>
        </w:rPr>
      </w:pPr>
    </w:p>
    <w:p>
      <w:pPr>
        <w:snapToGrid w:val="0"/>
        <w:spacing w:line="360" w:lineRule="atLeast"/>
        <w:jc w:val="center"/>
        <w:rPr>
          <w:rFonts w:hint="eastAsia"/>
          <w:b/>
          <w:bCs/>
          <w:color w:val="000000"/>
          <w:sz w:val="36"/>
          <w:szCs w:val="28"/>
        </w:rPr>
      </w:pPr>
    </w:p>
    <w:p>
      <w:pPr>
        <w:snapToGrid w:val="0"/>
        <w:spacing w:line="360" w:lineRule="atLeast"/>
        <w:jc w:val="center"/>
        <w:rPr>
          <w:rFonts w:hint="eastAsia"/>
          <w:b/>
          <w:bCs/>
          <w:color w:val="000000"/>
          <w:sz w:val="36"/>
          <w:szCs w:val="28"/>
        </w:rPr>
      </w:pPr>
    </w:p>
    <w:p>
      <w:pPr>
        <w:tabs>
          <w:tab w:val="left" w:pos="0"/>
        </w:tabs>
        <w:spacing w:line="460" w:lineRule="exact"/>
        <w:ind w:left="2" w:firstLine="2"/>
        <w:jc w:val="center"/>
        <w:rPr>
          <w:rFonts w:hint="eastAsia"/>
          <w:b/>
          <w:bCs/>
          <w:color w:val="000000"/>
          <w:sz w:val="32"/>
          <w:szCs w:val="32"/>
        </w:rPr>
      </w:pPr>
      <w:bookmarkStart w:id="0" w:name="OLE_LINK3"/>
      <w:bookmarkStart w:id="1" w:name="OLE_LINK4"/>
      <w:bookmarkStart w:id="2" w:name="OLE_LINK1"/>
      <w:bookmarkStart w:id="3" w:name="OLE_LINK2"/>
      <w:r>
        <w:rPr>
          <w:rFonts w:hint="eastAsia"/>
          <w:b/>
          <w:bCs/>
          <w:color w:val="000000"/>
          <w:sz w:val="32"/>
          <w:szCs w:val="32"/>
        </w:rPr>
        <w:t>关于平阳县雪亮工程</w:t>
      </w:r>
      <w:r>
        <w:rPr>
          <w:rFonts w:hint="eastAsia"/>
          <w:b/>
          <w:color w:val="000000"/>
          <w:sz w:val="30"/>
          <w:szCs w:val="30"/>
        </w:rPr>
        <w:t>视频智能分析系统</w:t>
      </w:r>
      <w:r>
        <w:rPr>
          <w:rFonts w:hint="eastAsia"/>
          <w:b/>
          <w:bCs/>
          <w:color w:val="000000"/>
          <w:sz w:val="32"/>
          <w:szCs w:val="32"/>
        </w:rPr>
        <w:t>项目公开招标的公告</w:t>
      </w:r>
    </w:p>
    <w:p>
      <w:pPr>
        <w:tabs>
          <w:tab w:val="left" w:pos="0"/>
        </w:tabs>
        <w:spacing w:line="460" w:lineRule="exact"/>
        <w:ind w:left="2" w:firstLine="2"/>
        <w:jc w:val="center"/>
        <w:rPr>
          <w:rFonts w:hint="eastAsia"/>
          <w:b/>
          <w:bCs/>
          <w:color w:val="000000"/>
          <w:sz w:val="32"/>
          <w:szCs w:val="32"/>
        </w:rPr>
      </w:pPr>
      <w:r>
        <w:rPr>
          <w:rFonts w:hint="eastAsia"/>
          <w:b/>
          <w:bCs/>
          <w:color w:val="000000"/>
          <w:sz w:val="28"/>
          <w:szCs w:val="28"/>
        </w:rPr>
        <w:t>公告日期：2019年 5月30 日</w:t>
      </w:r>
    </w:p>
    <w:p>
      <w:pPr>
        <w:snapToGrid w:val="0"/>
        <w:spacing w:line="460" w:lineRule="exact"/>
        <w:rPr>
          <w:rFonts w:hint="eastAsia"/>
          <w:color w:val="000000"/>
          <w:sz w:val="22"/>
          <w:szCs w:val="22"/>
        </w:rPr>
      </w:pPr>
      <w:r>
        <w:rPr>
          <w:color w:val="000000"/>
        </w:rPr>
        <w:t> </w:t>
      </w:r>
      <w:r>
        <w:rPr>
          <w:rFonts w:hint="eastAsia"/>
          <w:color w:val="000000"/>
        </w:rPr>
        <w:t xml:space="preserve">   </w:t>
      </w:r>
      <w:r>
        <w:rPr>
          <w:rFonts w:hint="eastAsia"/>
          <w:color w:val="000000"/>
          <w:sz w:val="22"/>
          <w:szCs w:val="22"/>
        </w:rPr>
        <w:t>根据《中华人民共和国政府采购法》等有关规定，平阳县公共资源交易中心受中共平阳县委政法委员会委托，现就平阳县雪亮工程</w:t>
      </w:r>
      <w:r>
        <w:rPr>
          <w:rFonts w:hint="eastAsia" w:ascii="仿宋" w:hAnsi="仿宋" w:eastAsia="仿宋"/>
        </w:rPr>
        <w:t>视频智能分析系统</w:t>
      </w:r>
      <w:r>
        <w:rPr>
          <w:rFonts w:hint="eastAsia"/>
          <w:color w:val="000000"/>
          <w:sz w:val="22"/>
          <w:szCs w:val="22"/>
        </w:rPr>
        <w:t>项目进行公开招标</w:t>
      </w:r>
      <w:r>
        <w:rPr>
          <w:color w:val="000000"/>
          <w:sz w:val="22"/>
          <w:szCs w:val="22"/>
        </w:rPr>
        <w:t>，</w:t>
      </w:r>
      <w:r>
        <w:rPr>
          <w:rFonts w:hint="eastAsia"/>
          <w:color w:val="000000"/>
          <w:sz w:val="22"/>
          <w:szCs w:val="22"/>
        </w:rPr>
        <w:t>欢迎</w:t>
      </w:r>
      <w:r>
        <w:rPr>
          <w:color w:val="000000"/>
          <w:sz w:val="22"/>
          <w:szCs w:val="22"/>
        </w:rPr>
        <w:t>国内合格的供应商前来</w:t>
      </w:r>
      <w:r>
        <w:rPr>
          <w:rFonts w:hint="eastAsia"/>
          <w:color w:val="000000"/>
          <w:sz w:val="22"/>
          <w:szCs w:val="22"/>
        </w:rPr>
        <w:t>投标</w:t>
      </w:r>
      <w:r>
        <w:rPr>
          <w:color w:val="000000"/>
          <w:sz w:val="22"/>
          <w:szCs w:val="22"/>
        </w:rPr>
        <w:t>。</w:t>
      </w:r>
    </w:p>
    <w:p>
      <w:pPr>
        <w:wordWrap w:val="0"/>
        <w:rPr>
          <w:b/>
          <w:bCs/>
          <w:color w:val="000000"/>
          <w:sz w:val="22"/>
          <w:szCs w:val="22"/>
        </w:rPr>
      </w:pPr>
      <w:r>
        <w:rPr>
          <w:rFonts w:hint="eastAsia"/>
          <w:b/>
          <w:bCs/>
          <w:color w:val="000000"/>
          <w:sz w:val="22"/>
          <w:szCs w:val="22"/>
        </w:rPr>
        <w:t>一、招标编号:</w:t>
      </w:r>
      <w:r>
        <w:rPr>
          <w:b/>
          <w:bCs/>
          <w:color w:val="000000"/>
          <w:sz w:val="22"/>
          <w:szCs w:val="22"/>
        </w:rPr>
        <w:t xml:space="preserve"> </w:t>
      </w:r>
      <w:r>
        <w:rPr>
          <w:rFonts w:hint="eastAsia"/>
          <w:b/>
          <w:bCs/>
          <w:color w:val="000000"/>
          <w:sz w:val="22"/>
          <w:szCs w:val="22"/>
        </w:rPr>
        <w:t>PYCG190524052</w:t>
      </w:r>
    </w:p>
    <w:p>
      <w:pPr>
        <w:snapToGrid w:val="0"/>
        <w:spacing w:line="460" w:lineRule="exact"/>
        <w:rPr>
          <w:rFonts w:hint="eastAsia"/>
          <w:b/>
          <w:bCs/>
          <w:color w:val="000000"/>
          <w:sz w:val="22"/>
          <w:szCs w:val="22"/>
        </w:rPr>
      </w:pPr>
      <w:r>
        <w:rPr>
          <w:rFonts w:hint="eastAsia"/>
          <w:b/>
          <w:bCs/>
          <w:color w:val="000000"/>
          <w:sz w:val="22"/>
          <w:szCs w:val="22"/>
        </w:rPr>
        <w:t>二、采购组织类型：集中采购</w:t>
      </w:r>
    </w:p>
    <w:p>
      <w:pPr>
        <w:snapToGrid w:val="0"/>
        <w:spacing w:line="460" w:lineRule="exact"/>
        <w:rPr>
          <w:rFonts w:hint="eastAsia"/>
          <w:b/>
          <w:bCs/>
          <w:color w:val="000000"/>
          <w:sz w:val="22"/>
          <w:szCs w:val="22"/>
        </w:rPr>
      </w:pPr>
      <w:r>
        <w:rPr>
          <w:rFonts w:hint="eastAsia"/>
          <w:b/>
          <w:bCs/>
          <w:color w:val="000000"/>
          <w:sz w:val="22"/>
          <w:szCs w:val="22"/>
        </w:rPr>
        <w:t>三、</w:t>
      </w:r>
      <w:r>
        <w:rPr>
          <w:b/>
          <w:bCs/>
          <w:color w:val="000000"/>
          <w:sz w:val="22"/>
          <w:szCs w:val="22"/>
        </w:rPr>
        <w:t>招标</w:t>
      </w:r>
      <w:r>
        <w:rPr>
          <w:rFonts w:hint="eastAsia"/>
          <w:b/>
          <w:bCs/>
          <w:color w:val="000000"/>
          <w:sz w:val="22"/>
          <w:szCs w:val="22"/>
        </w:rPr>
        <w:t>项目概况:</w:t>
      </w:r>
    </w:p>
    <w:tbl>
      <w:tblPr>
        <w:tblStyle w:val="55"/>
        <w:tblW w:w="0" w:type="auto"/>
        <w:tblInd w:w="280"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1013"/>
        <w:gridCol w:w="1538"/>
        <w:gridCol w:w="826"/>
        <w:gridCol w:w="785"/>
        <w:gridCol w:w="1276"/>
        <w:gridCol w:w="2060"/>
        <w:gridCol w:w="1329"/>
        <w:gridCol w:w="736"/>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wBefore w:w="0" w:type="dxa"/>
          <w:wAfter w:w="0" w:type="dxa"/>
          <w:trHeight w:val="716" w:hRule="atLeast"/>
        </w:trPr>
        <w:tc>
          <w:tcPr>
            <w:tcW w:w="1013" w:type="dxa"/>
            <w:noWrap w:val="0"/>
            <w:vAlign w:val="top"/>
          </w:tcPr>
          <w:p>
            <w:pPr>
              <w:spacing w:line="360" w:lineRule="auto"/>
              <w:jc w:val="center"/>
              <w:rPr>
                <w:rFonts w:hint="eastAsia"/>
                <w:sz w:val="22"/>
                <w:szCs w:val="22"/>
              </w:rPr>
            </w:pPr>
            <w:r>
              <w:rPr>
                <w:rFonts w:hint="eastAsia"/>
                <w:sz w:val="22"/>
                <w:szCs w:val="22"/>
              </w:rPr>
              <w:t>标项序号</w:t>
            </w:r>
          </w:p>
        </w:tc>
        <w:tc>
          <w:tcPr>
            <w:tcW w:w="1538" w:type="dxa"/>
            <w:noWrap w:val="0"/>
            <w:vAlign w:val="top"/>
          </w:tcPr>
          <w:p>
            <w:pPr>
              <w:spacing w:line="360" w:lineRule="auto"/>
              <w:jc w:val="center"/>
              <w:rPr>
                <w:rFonts w:hint="eastAsia"/>
                <w:sz w:val="22"/>
                <w:szCs w:val="22"/>
              </w:rPr>
            </w:pPr>
            <w:r>
              <w:rPr>
                <w:rFonts w:hint="eastAsia"/>
                <w:sz w:val="22"/>
                <w:szCs w:val="22"/>
              </w:rPr>
              <w:t>标项名称</w:t>
            </w:r>
          </w:p>
        </w:tc>
        <w:tc>
          <w:tcPr>
            <w:tcW w:w="826" w:type="dxa"/>
            <w:noWrap w:val="0"/>
            <w:vAlign w:val="top"/>
          </w:tcPr>
          <w:p>
            <w:pPr>
              <w:spacing w:line="360" w:lineRule="auto"/>
              <w:rPr>
                <w:rFonts w:hint="eastAsia"/>
                <w:sz w:val="22"/>
                <w:szCs w:val="22"/>
              </w:rPr>
            </w:pPr>
            <w:r>
              <w:rPr>
                <w:rFonts w:hint="eastAsia"/>
                <w:sz w:val="22"/>
                <w:szCs w:val="22"/>
              </w:rPr>
              <w:t>数量</w:t>
            </w:r>
          </w:p>
        </w:tc>
        <w:tc>
          <w:tcPr>
            <w:tcW w:w="785" w:type="dxa"/>
            <w:noWrap w:val="0"/>
            <w:vAlign w:val="top"/>
          </w:tcPr>
          <w:p>
            <w:pPr>
              <w:spacing w:line="360" w:lineRule="auto"/>
              <w:jc w:val="center"/>
              <w:rPr>
                <w:rFonts w:hint="eastAsia"/>
                <w:sz w:val="22"/>
                <w:szCs w:val="22"/>
              </w:rPr>
            </w:pPr>
            <w:r>
              <w:rPr>
                <w:rFonts w:hint="eastAsia"/>
                <w:sz w:val="22"/>
                <w:szCs w:val="22"/>
              </w:rPr>
              <w:t>单位</w:t>
            </w:r>
          </w:p>
        </w:tc>
        <w:tc>
          <w:tcPr>
            <w:tcW w:w="1276" w:type="dxa"/>
            <w:noWrap w:val="0"/>
            <w:vAlign w:val="top"/>
          </w:tcPr>
          <w:p>
            <w:pPr>
              <w:spacing w:line="360" w:lineRule="auto"/>
              <w:jc w:val="center"/>
              <w:rPr>
                <w:rFonts w:hint="eastAsia"/>
                <w:sz w:val="22"/>
                <w:szCs w:val="22"/>
              </w:rPr>
            </w:pPr>
            <w:r>
              <w:rPr>
                <w:rFonts w:hint="eastAsia"/>
                <w:sz w:val="22"/>
                <w:szCs w:val="22"/>
              </w:rPr>
              <w:t>预算金额(万元)</w:t>
            </w:r>
          </w:p>
        </w:tc>
        <w:tc>
          <w:tcPr>
            <w:tcW w:w="2060" w:type="dxa"/>
            <w:noWrap w:val="0"/>
            <w:vAlign w:val="top"/>
          </w:tcPr>
          <w:p>
            <w:pPr>
              <w:spacing w:line="360" w:lineRule="auto"/>
              <w:jc w:val="center"/>
              <w:rPr>
                <w:rFonts w:hint="eastAsia"/>
                <w:sz w:val="22"/>
                <w:szCs w:val="22"/>
              </w:rPr>
            </w:pPr>
            <w:r>
              <w:rPr>
                <w:rFonts w:hint="eastAsia"/>
                <w:sz w:val="22"/>
                <w:szCs w:val="22"/>
              </w:rPr>
              <w:t>简要规格描述或标项</w:t>
            </w:r>
            <w:r>
              <w:rPr>
                <w:sz w:val="22"/>
                <w:szCs w:val="22"/>
              </w:rPr>
              <w:t>基本概况介绍</w:t>
            </w:r>
          </w:p>
        </w:tc>
        <w:tc>
          <w:tcPr>
            <w:tcW w:w="1329" w:type="dxa"/>
            <w:noWrap w:val="0"/>
            <w:vAlign w:val="top"/>
          </w:tcPr>
          <w:p>
            <w:pPr>
              <w:spacing w:line="360" w:lineRule="auto"/>
              <w:jc w:val="center"/>
              <w:rPr>
                <w:rFonts w:hint="eastAsia"/>
                <w:color w:val="FF0000"/>
                <w:sz w:val="22"/>
                <w:szCs w:val="22"/>
              </w:rPr>
            </w:pPr>
            <w:r>
              <w:rPr>
                <w:rFonts w:hint="eastAsia"/>
                <w:color w:val="000000"/>
                <w:sz w:val="22"/>
                <w:szCs w:val="22"/>
              </w:rPr>
              <w:t>最高限价（</w:t>
            </w:r>
            <w:r>
              <w:rPr>
                <w:rFonts w:hint="eastAsia"/>
                <w:sz w:val="22"/>
                <w:szCs w:val="22"/>
              </w:rPr>
              <w:t>万元）</w:t>
            </w:r>
          </w:p>
        </w:tc>
        <w:tc>
          <w:tcPr>
            <w:tcW w:w="736" w:type="dxa"/>
            <w:noWrap w:val="0"/>
            <w:vAlign w:val="top"/>
          </w:tcPr>
          <w:p>
            <w:pPr>
              <w:spacing w:line="360" w:lineRule="auto"/>
              <w:jc w:val="center"/>
              <w:rPr>
                <w:rFonts w:hint="eastAsia"/>
                <w:sz w:val="22"/>
                <w:szCs w:val="22"/>
              </w:rPr>
            </w:pPr>
            <w:r>
              <w:rPr>
                <w:rFonts w:hint="eastAsia"/>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wBefore w:w="0" w:type="dxa"/>
          <w:wAfter w:w="0" w:type="dxa"/>
          <w:trHeight w:val="1745" w:hRule="atLeast"/>
        </w:trPr>
        <w:tc>
          <w:tcPr>
            <w:tcW w:w="1013" w:type="dxa"/>
            <w:noWrap w:val="0"/>
            <w:vAlign w:val="center"/>
          </w:tcPr>
          <w:p>
            <w:pPr>
              <w:spacing w:line="360" w:lineRule="auto"/>
              <w:jc w:val="center"/>
              <w:rPr>
                <w:rFonts w:hint="eastAsia"/>
                <w:sz w:val="22"/>
                <w:szCs w:val="22"/>
              </w:rPr>
            </w:pPr>
            <w:r>
              <w:rPr>
                <w:rFonts w:hint="eastAsia"/>
                <w:sz w:val="22"/>
                <w:szCs w:val="22"/>
              </w:rPr>
              <w:t>1</w:t>
            </w:r>
          </w:p>
        </w:tc>
        <w:tc>
          <w:tcPr>
            <w:tcW w:w="1538" w:type="dxa"/>
            <w:noWrap w:val="0"/>
            <w:vAlign w:val="center"/>
          </w:tcPr>
          <w:p>
            <w:pPr>
              <w:spacing w:line="360" w:lineRule="auto"/>
              <w:jc w:val="center"/>
              <w:rPr>
                <w:rFonts w:hint="eastAsia"/>
                <w:sz w:val="22"/>
                <w:szCs w:val="22"/>
              </w:rPr>
            </w:pPr>
            <w:r>
              <w:rPr>
                <w:rFonts w:hint="eastAsia" w:ascii="仿宋" w:hAnsi="仿宋" w:eastAsia="仿宋"/>
              </w:rPr>
              <w:t>平阳县雪亮工程视频智能分析系统</w:t>
            </w:r>
          </w:p>
        </w:tc>
        <w:tc>
          <w:tcPr>
            <w:tcW w:w="826" w:type="dxa"/>
            <w:noWrap w:val="0"/>
            <w:vAlign w:val="center"/>
          </w:tcPr>
          <w:p>
            <w:pPr>
              <w:spacing w:line="360" w:lineRule="auto"/>
              <w:jc w:val="center"/>
              <w:rPr>
                <w:rFonts w:hint="eastAsia"/>
                <w:sz w:val="22"/>
                <w:szCs w:val="22"/>
              </w:rPr>
            </w:pPr>
            <w:r>
              <w:rPr>
                <w:rFonts w:hint="eastAsia"/>
                <w:sz w:val="22"/>
                <w:szCs w:val="22"/>
              </w:rPr>
              <w:t>1</w:t>
            </w:r>
          </w:p>
        </w:tc>
        <w:tc>
          <w:tcPr>
            <w:tcW w:w="785" w:type="dxa"/>
            <w:noWrap w:val="0"/>
            <w:vAlign w:val="center"/>
          </w:tcPr>
          <w:p>
            <w:pPr>
              <w:spacing w:line="360" w:lineRule="auto"/>
              <w:jc w:val="center"/>
              <w:rPr>
                <w:rFonts w:hint="eastAsia"/>
                <w:sz w:val="22"/>
                <w:szCs w:val="22"/>
              </w:rPr>
            </w:pPr>
            <w:r>
              <w:rPr>
                <w:rFonts w:hint="eastAsia"/>
                <w:sz w:val="22"/>
                <w:szCs w:val="22"/>
              </w:rPr>
              <w:t>套</w:t>
            </w:r>
          </w:p>
        </w:tc>
        <w:tc>
          <w:tcPr>
            <w:tcW w:w="1276" w:type="dxa"/>
            <w:noWrap w:val="0"/>
            <w:vAlign w:val="center"/>
          </w:tcPr>
          <w:p>
            <w:pPr>
              <w:spacing w:line="360" w:lineRule="auto"/>
              <w:jc w:val="center"/>
              <w:rPr>
                <w:rFonts w:hint="eastAsia"/>
                <w:sz w:val="22"/>
                <w:szCs w:val="22"/>
              </w:rPr>
            </w:pPr>
            <w:r>
              <w:rPr>
                <w:rFonts w:hint="eastAsia"/>
                <w:sz w:val="22"/>
                <w:szCs w:val="22"/>
              </w:rPr>
              <w:t xml:space="preserve"> 600  </w:t>
            </w:r>
          </w:p>
        </w:tc>
        <w:tc>
          <w:tcPr>
            <w:tcW w:w="2060" w:type="dxa"/>
            <w:noWrap w:val="0"/>
            <w:vAlign w:val="center"/>
          </w:tcPr>
          <w:p>
            <w:pPr>
              <w:spacing w:line="360" w:lineRule="auto"/>
              <w:jc w:val="center"/>
              <w:rPr>
                <w:rFonts w:hint="eastAsia"/>
                <w:sz w:val="22"/>
                <w:szCs w:val="22"/>
              </w:rPr>
            </w:pPr>
            <w:r>
              <w:rPr>
                <w:rFonts w:hint="eastAsia" w:ascii="仿宋" w:hAnsi="仿宋" w:eastAsia="仿宋"/>
              </w:rPr>
              <w:t>采集前端2000路监控进行融合特征智能分析，满足**实战工作需要，</w:t>
            </w:r>
            <w:r>
              <w:rPr>
                <w:rFonts w:hint="eastAsia"/>
                <w:color w:val="000000"/>
                <w:sz w:val="22"/>
                <w:szCs w:val="22"/>
              </w:rPr>
              <w:t>详见招标文件。</w:t>
            </w:r>
          </w:p>
        </w:tc>
        <w:tc>
          <w:tcPr>
            <w:tcW w:w="1329" w:type="dxa"/>
            <w:noWrap w:val="0"/>
            <w:vAlign w:val="center"/>
          </w:tcPr>
          <w:p>
            <w:pPr>
              <w:spacing w:line="360" w:lineRule="auto"/>
              <w:jc w:val="center"/>
              <w:rPr>
                <w:rFonts w:hint="eastAsia"/>
                <w:sz w:val="22"/>
                <w:szCs w:val="22"/>
              </w:rPr>
            </w:pPr>
            <w:r>
              <w:rPr>
                <w:rFonts w:hint="eastAsia"/>
                <w:sz w:val="22"/>
                <w:szCs w:val="22"/>
              </w:rPr>
              <w:t xml:space="preserve">550  </w:t>
            </w:r>
          </w:p>
        </w:tc>
        <w:tc>
          <w:tcPr>
            <w:tcW w:w="736" w:type="dxa"/>
            <w:noWrap w:val="0"/>
            <w:vAlign w:val="center"/>
          </w:tcPr>
          <w:p>
            <w:pPr>
              <w:spacing w:line="360" w:lineRule="auto"/>
              <w:jc w:val="center"/>
              <w:rPr>
                <w:rFonts w:hint="eastAsia"/>
                <w:sz w:val="22"/>
                <w:szCs w:val="22"/>
              </w:rPr>
            </w:pPr>
          </w:p>
        </w:tc>
      </w:tr>
    </w:tbl>
    <w:p>
      <w:pPr>
        <w:adjustRightInd w:val="0"/>
        <w:snapToGrid w:val="0"/>
        <w:spacing w:line="460" w:lineRule="exact"/>
        <w:ind w:firstLine="431" w:firstLineChars="196"/>
        <w:rPr>
          <w:rFonts w:hint="eastAsia"/>
          <w:color w:val="000000"/>
          <w:sz w:val="22"/>
          <w:szCs w:val="22"/>
          <w:lang w:val="zh-CN"/>
        </w:rPr>
      </w:pPr>
      <w:r>
        <w:rPr>
          <w:rFonts w:hint="eastAsia"/>
          <w:color w:val="000000"/>
          <w:sz w:val="22"/>
          <w:szCs w:val="22"/>
          <w:lang w:val="zh-CN"/>
        </w:rPr>
        <w:t>四、投标供应商的资格要求：</w:t>
      </w:r>
    </w:p>
    <w:p>
      <w:pPr>
        <w:snapToGrid w:val="0"/>
        <w:spacing w:line="460" w:lineRule="atLeast"/>
        <w:ind w:firstLine="536" w:firstLineChars="244"/>
        <w:rPr>
          <w:rFonts w:hint="eastAsia"/>
          <w:color w:val="000000"/>
          <w:sz w:val="22"/>
          <w:szCs w:val="22"/>
          <w:lang w:val="zh-CN"/>
        </w:rPr>
      </w:pPr>
      <w:r>
        <w:rPr>
          <w:rFonts w:hint="eastAsia"/>
          <w:color w:val="000000"/>
          <w:sz w:val="22"/>
          <w:szCs w:val="22"/>
          <w:lang w:val="zh-CN"/>
        </w:rPr>
        <w:t>1、</w:t>
      </w:r>
      <w:r>
        <w:rPr>
          <w:color w:val="000000"/>
          <w:sz w:val="22"/>
          <w:szCs w:val="22"/>
          <w:lang w:val="zh-CN"/>
        </w:rPr>
        <w:t>符合《中华人民共和国政府采购法》</w:t>
      </w:r>
      <w:r>
        <w:rPr>
          <w:rFonts w:hint="eastAsia"/>
          <w:color w:val="000000"/>
          <w:sz w:val="22"/>
          <w:szCs w:val="22"/>
          <w:lang w:val="zh-CN"/>
        </w:rPr>
        <w:t>第二十二条</w:t>
      </w:r>
      <w:r>
        <w:rPr>
          <w:color w:val="000000"/>
          <w:sz w:val="22"/>
          <w:szCs w:val="22"/>
          <w:lang w:val="zh-CN"/>
        </w:rPr>
        <w:t>对</w:t>
      </w:r>
      <w:r>
        <w:rPr>
          <w:rFonts w:hint="eastAsia"/>
          <w:color w:val="000000"/>
          <w:sz w:val="22"/>
          <w:szCs w:val="22"/>
          <w:lang w:val="zh-CN"/>
        </w:rPr>
        <w:t>供应商</w:t>
      </w:r>
      <w:r>
        <w:rPr>
          <w:color w:val="000000"/>
          <w:sz w:val="22"/>
          <w:szCs w:val="22"/>
          <w:lang w:val="zh-CN"/>
        </w:rPr>
        <w:t>的</w:t>
      </w:r>
      <w:r>
        <w:rPr>
          <w:rFonts w:hint="eastAsia"/>
          <w:color w:val="000000"/>
          <w:sz w:val="22"/>
          <w:szCs w:val="22"/>
          <w:lang w:val="zh-CN"/>
        </w:rPr>
        <w:t>资格</w:t>
      </w:r>
      <w:r>
        <w:rPr>
          <w:color w:val="000000"/>
          <w:sz w:val="22"/>
          <w:szCs w:val="22"/>
          <w:lang w:val="zh-CN"/>
        </w:rPr>
        <w:t>要求</w:t>
      </w:r>
      <w:r>
        <w:rPr>
          <w:rFonts w:hint="eastAsia"/>
          <w:color w:val="000000"/>
          <w:sz w:val="22"/>
          <w:szCs w:val="22"/>
          <w:lang w:val="zh-CN"/>
        </w:rPr>
        <w:t>；</w:t>
      </w:r>
    </w:p>
    <w:p>
      <w:pPr>
        <w:snapToGrid w:val="0"/>
        <w:spacing w:line="460" w:lineRule="atLeast"/>
        <w:ind w:firstLine="550" w:firstLineChars="250"/>
        <w:rPr>
          <w:color w:val="000000"/>
          <w:sz w:val="22"/>
          <w:szCs w:val="22"/>
          <w:lang w:val="zh-CN"/>
        </w:rPr>
      </w:pPr>
      <w:r>
        <w:rPr>
          <w:rFonts w:hint="eastAsia"/>
          <w:color w:val="000000"/>
          <w:sz w:val="22"/>
          <w:szCs w:val="22"/>
          <w:lang w:val="zh-CN"/>
        </w:rPr>
        <w:t>2、法律、行政法规规定的其他条件。</w:t>
      </w:r>
    </w:p>
    <w:p>
      <w:pPr>
        <w:adjustRightInd w:val="0"/>
        <w:snapToGrid w:val="0"/>
        <w:spacing w:line="460" w:lineRule="exact"/>
        <w:ind w:firstLine="433" w:firstLineChars="196"/>
        <w:rPr>
          <w:rFonts w:hint="eastAsia"/>
          <w:b/>
          <w:bCs/>
          <w:color w:val="000000"/>
          <w:sz w:val="22"/>
          <w:szCs w:val="22"/>
        </w:rPr>
      </w:pPr>
      <w:r>
        <w:rPr>
          <w:rFonts w:hint="eastAsia"/>
          <w:b/>
          <w:bCs/>
          <w:color w:val="000000"/>
          <w:sz w:val="22"/>
          <w:szCs w:val="22"/>
        </w:rPr>
        <w:t>五、招标文件的报名/发售时间、地址、售价:</w:t>
      </w:r>
    </w:p>
    <w:p>
      <w:pPr>
        <w:snapToGrid w:val="0"/>
        <w:spacing w:line="460" w:lineRule="atLeast"/>
        <w:ind w:firstLine="539" w:firstLineChars="244"/>
        <w:rPr>
          <w:rFonts w:hint="eastAsia"/>
          <w:b/>
          <w:bCs/>
          <w:color w:val="000000"/>
          <w:sz w:val="22"/>
          <w:szCs w:val="22"/>
        </w:rPr>
      </w:pPr>
      <w:r>
        <w:rPr>
          <w:rFonts w:hint="eastAsia"/>
          <w:b/>
          <w:color w:val="000000"/>
          <w:sz w:val="22"/>
          <w:szCs w:val="22"/>
          <w:lang w:val="zh-CN"/>
        </w:rPr>
        <w:t>本项目采用资格后审，无需提前报名。</w:t>
      </w:r>
      <w:r>
        <w:rPr>
          <w:rFonts w:hint="eastAsia"/>
          <w:color w:val="000000"/>
          <w:sz w:val="22"/>
          <w:szCs w:val="22"/>
          <w:lang w:val="zh-CN"/>
        </w:rPr>
        <w:t>符合资格要求的供应商均可在本公告附件下载招标文件，</w:t>
      </w:r>
      <w:r>
        <w:rPr>
          <w:rFonts w:hint="eastAsia"/>
          <w:color w:val="000000"/>
          <w:sz w:val="22"/>
          <w:szCs w:val="22"/>
        </w:rPr>
        <w:t>并按规定并按招标文件规定的时间、地点递交投标文件（招标文件下载网址 ：</w:t>
      </w:r>
      <w:r>
        <w:rPr>
          <w:color w:val="000000"/>
          <w:sz w:val="22"/>
          <w:szCs w:val="22"/>
        </w:rPr>
        <w:t xml:space="preserve">http:// </w:t>
      </w:r>
      <w:r>
        <w:rPr>
          <w:color w:val="000000"/>
          <w:sz w:val="22"/>
          <w:szCs w:val="22"/>
        </w:rPr>
        <w:fldChar w:fldCharType="begin"/>
      </w:r>
      <w:r>
        <w:rPr>
          <w:color w:val="000000"/>
          <w:sz w:val="22"/>
          <w:szCs w:val="22"/>
        </w:rPr>
        <w:instrText xml:space="preserve"> HYPERLINK "http://www.pyztb.com/" </w:instrText>
      </w:r>
      <w:r>
        <w:rPr>
          <w:color w:val="000000"/>
          <w:sz w:val="22"/>
          <w:szCs w:val="22"/>
        </w:rPr>
        <w:fldChar w:fldCharType="separate"/>
      </w:r>
      <w:r>
        <w:rPr>
          <w:rStyle w:val="64"/>
          <w:sz w:val="22"/>
          <w:szCs w:val="22"/>
        </w:rPr>
        <w:t>www.pyztb.com/</w:t>
      </w:r>
      <w:r>
        <w:rPr>
          <w:color w:val="000000"/>
          <w:sz w:val="22"/>
          <w:szCs w:val="22"/>
        </w:rPr>
        <w:fldChar w:fldCharType="end"/>
      </w:r>
      <w:r>
        <w:rPr>
          <w:rFonts w:hint="eastAsia"/>
          <w:color w:val="000000"/>
          <w:sz w:val="22"/>
          <w:szCs w:val="22"/>
        </w:rPr>
        <w:t>或</w:t>
      </w:r>
      <w:r>
        <w:rPr>
          <w:rFonts w:hint="eastAsia"/>
          <w:b/>
          <w:color w:val="000000"/>
          <w:sz w:val="22"/>
          <w:szCs w:val="22"/>
          <w:u w:val="single"/>
        </w:rPr>
        <w:t>http://www.zjzfcg.gov.cn</w:t>
      </w:r>
      <w:r>
        <w:rPr>
          <w:rFonts w:hint="eastAsia"/>
          <w:color w:val="000000"/>
          <w:sz w:val="22"/>
          <w:szCs w:val="22"/>
        </w:rPr>
        <w:t>,招标文件如有补充更正均见</w:t>
      </w:r>
      <w:r>
        <w:rPr>
          <w:color w:val="000000"/>
          <w:sz w:val="22"/>
          <w:szCs w:val="22"/>
        </w:rPr>
        <w:t xml:space="preserve">http:// </w:t>
      </w:r>
      <w:r>
        <w:rPr>
          <w:color w:val="000000"/>
          <w:sz w:val="22"/>
          <w:szCs w:val="22"/>
        </w:rPr>
        <w:fldChar w:fldCharType="begin"/>
      </w:r>
      <w:r>
        <w:rPr>
          <w:color w:val="000000"/>
          <w:sz w:val="22"/>
          <w:szCs w:val="22"/>
        </w:rPr>
        <w:instrText xml:space="preserve"> HYPERLINK "http://www.pyztb.com/" </w:instrText>
      </w:r>
      <w:r>
        <w:rPr>
          <w:color w:val="000000"/>
          <w:sz w:val="22"/>
          <w:szCs w:val="22"/>
        </w:rPr>
        <w:fldChar w:fldCharType="separate"/>
      </w:r>
      <w:r>
        <w:rPr>
          <w:rStyle w:val="64"/>
          <w:sz w:val="22"/>
          <w:szCs w:val="22"/>
        </w:rPr>
        <w:t>www.pyztb.com/</w:t>
      </w:r>
      <w:r>
        <w:rPr>
          <w:color w:val="000000"/>
          <w:sz w:val="22"/>
          <w:szCs w:val="22"/>
        </w:rPr>
        <w:fldChar w:fldCharType="end"/>
      </w:r>
      <w:r>
        <w:rPr>
          <w:rFonts w:hint="eastAsia"/>
          <w:color w:val="000000"/>
          <w:sz w:val="22"/>
          <w:szCs w:val="22"/>
        </w:rPr>
        <w:t>、</w:t>
      </w:r>
      <w:r>
        <w:rPr>
          <w:rFonts w:hint="eastAsia"/>
          <w:b/>
          <w:color w:val="000000"/>
          <w:sz w:val="22"/>
          <w:szCs w:val="22"/>
          <w:u w:val="single"/>
        </w:rPr>
        <w:t>http://www.zjzfcg.gov.cn</w:t>
      </w:r>
      <w:r>
        <w:rPr>
          <w:rFonts w:hint="eastAsia"/>
          <w:color w:val="000000"/>
          <w:sz w:val="22"/>
          <w:szCs w:val="22"/>
        </w:rPr>
        <w:t>） 。</w:t>
      </w:r>
    </w:p>
    <w:p>
      <w:pPr>
        <w:numPr>
          <w:ilvl w:val="0"/>
          <w:numId w:val="4"/>
        </w:numPr>
        <w:snapToGrid w:val="0"/>
        <w:spacing w:line="460" w:lineRule="exact"/>
        <w:ind w:firstLine="433" w:firstLineChars="196"/>
        <w:rPr>
          <w:rFonts w:hint="eastAsia"/>
          <w:color w:val="000000"/>
          <w:sz w:val="22"/>
          <w:szCs w:val="22"/>
        </w:rPr>
      </w:pPr>
      <w:r>
        <w:rPr>
          <w:rFonts w:hint="eastAsia"/>
          <w:b/>
          <w:bCs/>
          <w:color w:val="000000"/>
          <w:sz w:val="22"/>
          <w:szCs w:val="22"/>
        </w:rPr>
        <w:t>投标截止时间：</w:t>
      </w:r>
      <w:bookmarkStart w:id="4" w:name="B22_投标截止日期"/>
      <w:bookmarkEnd w:id="4"/>
      <w:r>
        <w:rPr>
          <w:rFonts w:hint="eastAsia"/>
          <w:color w:val="000000"/>
          <w:sz w:val="22"/>
          <w:szCs w:val="22"/>
        </w:rPr>
        <w:t>2019年6月20日       9:30</w:t>
      </w:r>
    </w:p>
    <w:p>
      <w:pPr>
        <w:numPr>
          <w:ilvl w:val="0"/>
          <w:numId w:val="4"/>
        </w:numPr>
        <w:snapToGrid w:val="0"/>
        <w:spacing w:line="460" w:lineRule="exact"/>
        <w:ind w:firstLine="433" w:firstLineChars="196"/>
        <w:rPr>
          <w:rFonts w:hint="eastAsia"/>
          <w:color w:val="000000"/>
          <w:sz w:val="22"/>
          <w:szCs w:val="22"/>
        </w:rPr>
      </w:pPr>
      <w:r>
        <w:rPr>
          <w:rFonts w:hint="eastAsia"/>
          <w:b/>
          <w:bCs/>
          <w:color w:val="000000"/>
          <w:sz w:val="22"/>
          <w:szCs w:val="22"/>
        </w:rPr>
        <w:t>七、投标地点：</w:t>
      </w:r>
      <w:bookmarkStart w:id="5" w:name="B24_投标地点"/>
      <w:r>
        <w:rPr>
          <w:rFonts w:hint="eastAsia"/>
          <w:color w:val="000000"/>
          <w:sz w:val="22"/>
          <w:szCs w:val="22"/>
        </w:rPr>
        <w:t>平阳县公共资源交易中心二楼大厅（</w:t>
      </w:r>
      <w:r>
        <w:rPr>
          <w:color w:val="000000"/>
          <w:sz w:val="22"/>
          <w:szCs w:val="22"/>
        </w:rPr>
        <w:t>平阳县鳌江镇</w:t>
      </w:r>
      <w:r>
        <w:rPr>
          <w:rFonts w:hint="eastAsia"/>
          <w:color w:val="000000"/>
          <w:sz w:val="22"/>
          <w:szCs w:val="22"/>
        </w:rPr>
        <w:t>火车站大道和谐家园</w:t>
      </w:r>
      <w:r>
        <w:rPr>
          <w:color w:val="000000"/>
          <w:sz w:val="22"/>
          <w:szCs w:val="22"/>
        </w:rPr>
        <w:t>二楼</w:t>
      </w:r>
      <w:r>
        <w:rPr>
          <w:rFonts w:hint="eastAsia"/>
          <w:color w:val="000000"/>
          <w:sz w:val="22"/>
          <w:szCs w:val="22"/>
        </w:rPr>
        <w:t>）</w:t>
      </w:r>
      <w:bookmarkEnd w:id="5"/>
    </w:p>
    <w:p>
      <w:pPr>
        <w:snapToGrid w:val="0"/>
        <w:spacing w:line="460" w:lineRule="exact"/>
        <w:ind w:firstLine="433" w:firstLineChars="196"/>
        <w:rPr>
          <w:rFonts w:hint="eastAsia"/>
          <w:color w:val="000000"/>
          <w:sz w:val="22"/>
          <w:szCs w:val="22"/>
        </w:rPr>
      </w:pPr>
      <w:r>
        <w:rPr>
          <w:rFonts w:hint="eastAsia"/>
          <w:b/>
          <w:bCs/>
          <w:color w:val="000000"/>
          <w:sz w:val="22"/>
          <w:szCs w:val="22"/>
        </w:rPr>
        <w:t>八、开标时间：</w:t>
      </w:r>
      <w:bookmarkStart w:id="6" w:name="B25_开标日期"/>
      <w:bookmarkEnd w:id="6"/>
      <w:r>
        <w:rPr>
          <w:rFonts w:hint="eastAsia"/>
          <w:color w:val="000000"/>
          <w:sz w:val="22"/>
          <w:szCs w:val="22"/>
        </w:rPr>
        <w:t>2019年6月20日 　9:30</w:t>
      </w:r>
    </w:p>
    <w:p>
      <w:pPr>
        <w:snapToGrid w:val="0"/>
        <w:spacing w:line="460" w:lineRule="exact"/>
        <w:ind w:firstLine="331" w:firstLineChars="150"/>
        <w:rPr>
          <w:rFonts w:hint="eastAsia"/>
          <w:color w:val="000000"/>
          <w:sz w:val="22"/>
          <w:szCs w:val="22"/>
        </w:rPr>
      </w:pPr>
      <w:r>
        <w:rPr>
          <w:rFonts w:hint="eastAsia"/>
          <w:b/>
          <w:bCs/>
          <w:color w:val="000000"/>
          <w:sz w:val="22"/>
          <w:szCs w:val="22"/>
        </w:rPr>
        <w:t>九、开标地点：</w:t>
      </w:r>
      <w:bookmarkStart w:id="7" w:name="B27_开标地点"/>
      <w:r>
        <w:rPr>
          <w:rFonts w:hint="eastAsia"/>
          <w:color w:val="000000"/>
          <w:sz w:val="22"/>
          <w:szCs w:val="22"/>
        </w:rPr>
        <w:t>平阳县公共资源交易中心二楼开标室（</w:t>
      </w:r>
      <w:r>
        <w:rPr>
          <w:color w:val="000000"/>
          <w:sz w:val="22"/>
          <w:szCs w:val="22"/>
        </w:rPr>
        <w:t>平阳县鳌江镇</w:t>
      </w:r>
      <w:r>
        <w:rPr>
          <w:rFonts w:hint="eastAsia"/>
          <w:color w:val="000000"/>
          <w:sz w:val="22"/>
          <w:szCs w:val="22"/>
        </w:rPr>
        <w:t>火车站大道和谐家园</w:t>
      </w:r>
      <w:r>
        <w:rPr>
          <w:color w:val="000000"/>
          <w:sz w:val="22"/>
          <w:szCs w:val="22"/>
        </w:rPr>
        <w:t>二楼</w:t>
      </w:r>
      <w:r>
        <w:rPr>
          <w:rFonts w:hint="eastAsia"/>
          <w:color w:val="000000"/>
          <w:sz w:val="22"/>
          <w:szCs w:val="22"/>
        </w:rPr>
        <w:t>）</w:t>
      </w:r>
      <w:bookmarkEnd w:id="7"/>
    </w:p>
    <w:p>
      <w:pPr>
        <w:snapToGrid w:val="0"/>
        <w:spacing w:line="460" w:lineRule="exact"/>
        <w:ind w:firstLine="433" w:firstLineChars="196"/>
        <w:rPr>
          <w:rFonts w:hint="eastAsia"/>
          <w:b/>
          <w:bCs/>
          <w:color w:val="000000"/>
          <w:sz w:val="22"/>
          <w:szCs w:val="22"/>
        </w:rPr>
      </w:pPr>
      <w:r>
        <w:rPr>
          <w:rFonts w:hint="eastAsia"/>
          <w:b/>
          <w:bCs/>
          <w:color w:val="000000"/>
          <w:sz w:val="22"/>
          <w:szCs w:val="22"/>
        </w:rPr>
        <w:t>十、投标保证金：本项目不需要投标保证金</w:t>
      </w:r>
    </w:p>
    <w:p>
      <w:pPr>
        <w:snapToGrid w:val="0"/>
        <w:spacing w:line="460" w:lineRule="exact"/>
        <w:ind w:firstLine="433" w:firstLineChars="196"/>
        <w:rPr>
          <w:rFonts w:hint="eastAsia"/>
          <w:b/>
          <w:bCs/>
          <w:color w:val="000000"/>
          <w:sz w:val="22"/>
          <w:szCs w:val="22"/>
        </w:rPr>
      </w:pPr>
      <w:r>
        <w:rPr>
          <w:rFonts w:hint="eastAsia"/>
          <w:b/>
          <w:bCs/>
          <w:color w:val="000000"/>
          <w:sz w:val="22"/>
          <w:szCs w:val="22"/>
        </w:rPr>
        <w:t>十一、公告期限：</w:t>
      </w:r>
      <w:r>
        <w:rPr>
          <w:rFonts w:hint="eastAsia"/>
          <w:color w:val="000000"/>
          <w:sz w:val="22"/>
          <w:szCs w:val="22"/>
          <w:lang w:val="zh-CN"/>
        </w:rPr>
        <w:t xml:space="preserve"> 5个工作日</w:t>
      </w:r>
    </w:p>
    <w:p>
      <w:pPr>
        <w:snapToGrid w:val="0"/>
        <w:spacing w:line="460" w:lineRule="exact"/>
        <w:ind w:firstLine="433" w:firstLineChars="196"/>
        <w:rPr>
          <w:rFonts w:hint="eastAsia"/>
          <w:color w:val="000000"/>
          <w:sz w:val="22"/>
          <w:szCs w:val="22"/>
        </w:rPr>
      </w:pPr>
      <w:r>
        <w:rPr>
          <w:rFonts w:hint="eastAsia"/>
          <w:b/>
          <w:bCs/>
          <w:color w:val="000000"/>
          <w:sz w:val="22"/>
          <w:szCs w:val="22"/>
        </w:rPr>
        <w:t>十二、其他事项</w:t>
      </w:r>
    </w:p>
    <w:p>
      <w:pPr>
        <w:snapToGrid w:val="0"/>
        <w:spacing w:line="460" w:lineRule="exact"/>
        <w:ind w:firstLine="440" w:firstLineChars="200"/>
        <w:rPr>
          <w:rFonts w:hint="eastAsia"/>
          <w:color w:val="000000"/>
          <w:sz w:val="22"/>
          <w:szCs w:val="22"/>
        </w:rPr>
      </w:pPr>
      <w:r>
        <w:rPr>
          <w:rFonts w:hint="eastAsia"/>
          <w:color w:val="000000"/>
          <w:sz w:val="22"/>
          <w:szCs w:val="22"/>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60" w:lineRule="exact"/>
        <w:ind w:firstLine="442" w:firstLineChars="200"/>
        <w:rPr>
          <w:rFonts w:hint="eastAsia"/>
          <w:b/>
          <w:color w:val="000000"/>
          <w:sz w:val="22"/>
          <w:szCs w:val="22"/>
          <w:u w:val="single"/>
        </w:rPr>
      </w:pPr>
      <w:r>
        <w:rPr>
          <w:rFonts w:hint="eastAsia"/>
          <w:b/>
          <w:color w:val="000000"/>
          <w:sz w:val="22"/>
          <w:szCs w:val="22"/>
          <w:u w:val="single"/>
        </w:rPr>
        <w:t>2、潜在供应商需在浙江政府采购网http://www.zjzfcg.gov.cn进行免费注册，具体详见浙江政府采购网供应商注册要求（中标供应商必须在签订合同前成为浙江政府采购网正式注册供应商）。</w:t>
      </w:r>
    </w:p>
    <w:p>
      <w:pPr>
        <w:snapToGrid w:val="0"/>
        <w:spacing w:line="460" w:lineRule="exact"/>
        <w:rPr>
          <w:rFonts w:hint="eastAsia"/>
          <w:b/>
          <w:bCs/>
          <w:color w:val="000000"/>
          <w:sz w:val="22"/>
          <w:szCs w:val="22"/>
        </w:rPr>
      </w:pPr>
      <w:r>
        <w:rPr>
          <w:rFonts w:hint="eastAsia"/>
          <w:b/>
          <w:bCs/>
          <w:color w:val="000000"/>
          <w:sz w:val="22"/>
          <w:szCs w:val="22"/>
        </w:rPr>
        <w:t>十三、联系方式：</w:t>
      </w:r>
    </w:p>
    <w:p>
      <w:pPr>
        <w:snapToGrid w:val="0"/>
        <w:spacing w:line="460" w:lineRule="exact"/>
        <w:ind w:firstLine="431" w:firstLineChars="196"/>
        <w:rPr>
          <w:rFonts w:hint="eastAsia"/>
          <w:color w:val="000000"/>
          <w:sz w:val="22"/>
          <w:szCs w:val="22"/>
        </w:rPr>
      </w:pPr>
      <w:r>
        <w:rPr>
          <w:rFonts w:hint="eastAsia"/>
          <w:color w:val="000000"/>
          <w:sz w:val="22"/>
          <w:szCs w:val="22"/>
        </w:rPr>
        <w:t>1、采购机构名称：平阳县公共资源交易中心</w:t>
      </w:r>
    </w:p>
    <w:p>
      <w:pPr>
        <w:snapToGrid w:val="0"/>
        <w:spacing w:line="460" w:lineRule="exact"/>
        <w:ind w:firstLine="431" w:firstLineChars="196"/>
        <w:rPr>
          <w:rFonts w:hint="eastAsia"/>
          <w:color w:val="000000"/>
          <w:sz w:val="22"/>
          <w:szCs w:val="22"/>
        </w:rPr>
      </w:pPr>
      <w:r>
        <w:rPr>
          <w:rFonts w:hint="eastAsia"/>
          <w:color w:val="000000"/>
          <w:sz w:val="22"/>
          <w:szCs w:val="22"/>
        </w:rPr>
        <w:t>代理机构地点：</w:t>
      </w:r>
      <w:r>
        <w:rPr>
          <w:color w:val="000000"/>
          <w:sz w:val="22"/>
          <w:szCs w:val="22"/>
        </w:rPr>
        <w:t>鳌江镇</w:t>
      </w:r>
      <w:r>
        <w:rPr>
          <w:rFonts w:hint="eastAsia"/>
          <w:color w:val="000000"/>
          <w:sz w:val="22"/>
          <w:szCs w:val="22"/>
        </w:rPr>
        <w:t>火车站大道和谐家园三</w:t>
      </w:r>
      <w:r>
        <w:rPr>
          <w:color w:val="000000"/>
          <w:sz w:val="22"/>
          <w:szCs w:val="22"/>
        </w:rPr>
        <w:t>楼</w:t>
      </w:r>
    </w:p>
    <w:p>
      <w:pPr>
        <w:snapToGrid w:val="0"/>
        <w:spacing w:line="460" w:lineRule="exact"/>
        <w:ind w:firstLine="431" w:firstLineChars="196"/>
        <w:rPr>
          <w:rFonts w:hint="eastAsia"/>
          <w:color w:val="000000"/>
          <w:sz w:val="22"/>
          <w:szCs w:val="22"/>
        </w:rPr>
      </w:pPr>
      <w:r>
        <w:rPr>
          <w:rFonts w:hint="eastAsia"/>
          <w:color w:val="000000"/>
          <w:sz w:val="22"/>
          <w:szCs w:val="22"/>
        </w:rPr>
        <w:t>联系电话： 0577-63193038              </w:t>
      </w:r>
    </w:p>
    <w:p>
      <w:pPr>
        <w:snapToGrid w:val="0"/>
        <w:spacing w:line="460" w:lineRule="exact"/>
        <w:ind w:firstLine="431" w:firstLineChars="196"/>
        <w:rPr>
          <w:rFonts w:hint="eastAsia"/>
          <w:color w:val="000000"/>
          <w:sz w:val="22"/>
          <w:szCs w:val="22"/>
        </w:rPr>
      </w:pPr>
      <w:r>
        <w:rPr>
          <w:rFonts w:hint="eastAsia"/>
          <w:color w:val="000000"/>
          <w:sz w:val="22"/>
          <w:szCs w:val="22"/>
        </w:rPr>
        <w:t>联系传真：</w:t>
      </w:r>
      <w:r>
        <w:rPr>
          <w:color w:val="000000"/>
          <w:sz w:val="22"/>
          <w:szCs w:val="22"/>
        </w:rPr>
        <w:t>0577</w:t>
      </w:r>
      <w:r>
        <w:rPr>
          <w:rFonts w:hint="eastAsia"/>
          <w:color w:val="000000"/>
          <w:sz w:val="22"/>
          <w:szCs w:val="22"/>
        </w:rPr>
        <w:t>-</w:t>
      </w:r>
      <w:r>
        <w:rPr>
          <w:color w:val="000000"/>
          <w:sz w:val="22"/>
          <w:szCs w:val="22"/>
        </w:rPr>
        <w:t>6</w:t>
      </w:r>
      <w:r>
        <w:rPr>
          <w:rFonts w:hint="eastAsia"/>
          <w:color w:val="000000"/>
          <w:sz w:val="22"/>
          <w:szCs w:val="22"/>
        </w:rPr>
        <w:t>3193010</w:t>
      </w:r>
    </w:p>
    <w:p>
      <w:pPr>
        <w:snapToGrid w:val="0"/>
        <w:spacing w:line="460" w:lineRule="exact"/>
        <w:ind w:firstLine="431" w:firstLineChars="196"/>
        <w:rPr>
          <w:rFonts w:hint="eastAsia"/>
          <w:color w:val="000000"/>
          <w:sz w:val="22"/>
          <w:szCs w:val="22"/>
        </w:rPr>
      </w:pPr>
      <w:r>
        <w:rPr>
          <w:rFonts w:hint="eastAsia"/>
          <w:color w:val="000000"/>
          <w:sz w:val="22"/>
          <w:szCs w:val="22"/>
        </w:rPr>
        <w:t>2、采购人： 中共平阳县委政法委员会</w:t>
      </w:r>
    </w:p>
    <w:p>
      <w:pPr>
        <w:snapToGrid w:val="0"/>
        <w:spacing w:line="460" w:lineRule="exact"/>
        <w:ind w:firstLine="431" w:firstLineChars="196"/>
        <w:rPr>
          <w:rFonts w:hint="eastAsia"/>
          <w:color w:val="000000"/>
          <w:sz w:val="22"/>
          <w:szCs w:val="22"/>
        </w:rPr>
      </w:pPr>
      <w:r>
        <w:rPr>
          <w:rFonts w:hint="eastAsia"/>
          <w:color w:val="000000"/>
          <w:sz w:val="22"/>
          <w:szCs w:val="22"/>
        </w:rPr>
        <w:t xml:space="preserve">联 系 人：吴先生、黄先生 </w:t>
      </w:r>
    </w:p>
    <w:p>
      <w:pPr>
        <w:snapToGrid w:val="0"/>
        <w:spacing w:line="460" w:lineRule="exact"/>
        <w:ind w:firstLine="431" w:firstLineChars="196"/>
        <w:rPr>
          <w:rFonts w:hint="eastAsia"/>
          <w:color w:val="000000"/>
          <w:sz w:val="22"/>
          <w:szCs w:val="22"/>
        </w:rPr>
      </w:pPr>
      <w:r>
        <w:rPr>
          <w:rFonts w:hint="eastAsia"/>
          <w:color w:val="000000"/>
          <w:sz w:val="22"/>
          <w:szCs w:val="22"/>
        </w:rPr>
        <w:t>联系电话：0577-58190119</w:t>
      </w:r>
    </w:p>
    <w:p>
      <w:pPr>
        <w:snapToGrid w:val="0"/>
        <w:spacing w:line="460" w:lineRule="exact"/>
        <w:ind w:firstLine="431" w:firstLineChars="196"/>
        <w:rPr>
          <w:rFonts w:hint="eastAsia"/>
          <w:color w:val="000000"/>
          <w:sz w:val="22"/>
          <w:szCs w:val="22"/>
        </w:rPr>
      </w:pPr>
      <w:r>
        <w:rPr>
          <w:rFonts w:hint="eastAsia"/>
          <w:color w:val="000000"/>
          <w:sz w:val="22"/>
          <w:szCs w:val="22"/>
        </w:rPr>
        <w:t>联系传真：0577-58190119</w:t>
      </w:r>
    </w:p>
    <w:p>
      <w:pPr>
        <w:snapToGrid w:val="0"/>
        <w:spacing w:line="460" w:lineRule="exact"/>
        <w:ind w:firstLine="431" w:firstLineChars="196"/>
        <w:rPr>
          <w:rFonts w:hint="eastAsia"/>
          <w:color w:val="000000"/>
          <w:sz w:val="22"/>
          <w:szCs w:val="22"/>
        </w:rPr>
      </w:pPr>
      <w:r>
        <w:rPr>
          <w:rFonts w:hint="eastAsia"/>
          <w:color w:val="000000"/>
          <w:sz w:val="22"/>
          <w:szCs w:val="22"/>
        </w:rPr>
        <w:t>地址：温州市平阳县昆阳镇</w:t>
      </w:r>
    </w:p>
    <w:p>
      <w:pPr>
        <w:snapToGrid w:val="0"/>
        <w:spacing w:line="460" w:lineRule="exact"/>
        <w:ind w:firstLine="431" w:firstLineChars="196"/>
        <w:rPr>
          <w:rFonts w:hint="eastAsia"/>
          <w:color w:val="000000"/>
          <w:sz w:val="22"/>
          <w:szCs w:val="22"/>
        </w:rPr>
      </w:pPr>
      <w:r>
        <w:rPr>
          <w:rFonts w:hint="eastAsia"/>
          <w:color w:val="000000"/>
          <w:sz w:val="22"/>
          <w:szCs w:val="22"/>
        </w:rPr>
        <w:t>3、同级政府采购监督管理部门名称：</w:t>
      </w:r>
      <w:r>
        <w:rPr>
          <w:rFonts w:hint="eastAsia"/>
          <w:sz w:val="22"/>
          <w:szCs w:val="22"/>
        </w:rPr>
        <w:t>平阳县财政局政府采购监督管理科</w:t>
      </w:r>
    </w:p>
    <w:p>
      <w:pPr>
        <w:snapToGrid w:val="0"/>
        <w:spacing w:line="460" w:lineRule="exact"/>
        <w:ind w:firstLine="431" w:firstLineChars="196"/>
        <w:rPr>
          <w:rFonts w:hint="eastAsia"/>
          <w:color w:val="000000"/>
          <w:sz w:val="22"/>
          <w:szCs w:val="22"/>
        </w:rPr>
      </w:pPr>
      <w:r>
        <w:rPr>
          <w:rFonts w:hint="eastAsia"/>
          <w:color w:val="000000"/>
          <w:sz w:val="22"/>
          <w:szCs w:val="22"/>
        </w:rPr>
        <w:t>联系人：</w:t>
      </w:r>
      <w:r>
        <w:rPr>
          <w:rFonts w:hint="eastAsia"/>
          <w:sz w:val="22"/>
          <w:szCs w:val="22"/>
        </w:rPr>
        <w:t>陈先生</w:t>
      </w:r>
    </w:p>
    <w:p>
      <w:pPr>
        <w:snapToGrid w:val="0"/>
        <w:spacing w:line="460" w:lineRule="exact"/>
        <w:ind w:firstLine="431" w:firstLineChars="196"/>
        <w:rPr>
          <w:rFonts w:hint="eastAsia"/>
          <w:color w:val="000000"/>
          <w:sz w:val="22"/>
          <w:szCs w:val="22"/>
        </w:rPr>
      </w:pPr>
      <w:r>
        <w:rPr>
          <w:rFonts w:hint="eastAsia"/>
          <w:color w:val="000000"/>
          <w:sz w:val="22"/>
          <w:szCs w:val="22"/>
        </w:rPr>
        <w:t>监督投诉电话：</w:t>
      </w:r>
      <w:bookmarkStart w:id="8" w:name="B21_联系电话"/>
      <w:r>
        <w:rPr>
          <w:rFonts w:hint="eastAsia"/>
          <w:sz w:val="22"/>
          <w:szCs w:val="22"/>
        </w:rPr>
        <w:t>0577-</w:t>
      </w:r>
      <w:bookmarkEnd w:id="8"/>
      <w:r>
        <w:rPr>
          <w:rFonts w:hint="eastAsia"/>
          <w:sz w:val="22"/>
          <w:szCs w:val="22"/>
        </w:rPr>
        <w:t>63889763</w:t>
      </w:r>
    </w:p>
    <w:p>
      <w:pPr>
        <w:snapToGrid w:val="0"/>
        <w:spacing w:line="460" w:lineRule="exact"/>
        <w:ind w:firstLine="431" w:firstLineChars="196"/>
        <w:rPr>
          <w:rFonts w:hint="eastAsia"/>
          <w:color w:val="000000"/>
          <w:sz w:val="22"/>
          <w:szCs w:val="22"/>
        </w:rPr>
      </w:pPr>
      <w:r>
        <w:rPr>
          <w:rFonts w:hint="eastAsia"/>
          <w:color w:val="000000"/>
          <w:sz w:val="22"/>
          <w:szCs w:val="22"/>
        </w:rPr>
        <w:t>传真：</w:t>
      </w:r>
      <w:bookmarkStart w:id="9" w:name="B22_传真"/>
      <w:r>
        <w:rPr>
          <w:rFonts w:hint="eastAsia"/>
          <w:sz w:val="22"/>
          <w:szCs w:val="22"/>
        </w:rPr>
        <w:t>0577-</w:t>
      </w:r>
      <w:bookmarkEnd w:id="9"/>
      <w:r>
        <w:rPr>
          <w:rFonts w:hint="eastAsia"/>
          <w:sz w:val="22"/>
          <w:szCs w:val="22"/>
        </w:rPr>
        <w:t>63889959</w:t>
      </w:r>
    </w:p>
    <w:p>
      <w:pPr>
        <w:snapToGrid w:val="0"/>
        <w:spacing w:line="460" w:lineRule="exact"/>
        <w:ind w:firstLine="431" w:firstLineChars="196"/>
        <w:rPr>
          <w:rFonts w:hint="eastAsia"/>
          <w:sz w:val="22"/>
          <w:szCs w:val="22"/>
        </w:rPr>
      </w:pPr>
      <w:r>
        <w:rPr>
          <w:rFonts w:hint="eastAsia"/>
          <w:color w:val="000000"/>
          <w:sz w:val="22"/>
          <w:szCs w:val="22"/>
        </w:rPr>
        <w:t>地址：</w:t>
      </w:r>
      <w:r>
        <w:rPr>
          <w:sz w:val="22"/>
          <w:szCs w:val="22"/>
        </w:rPr>
        <w:t>平阳</w:t>
      </w:r>
      <w:r>
        <w:rPr>
          <w:rFonts w:hint="eastAsia"/>
          <w:sz w:val="22"/>
          <w:szCs w:val="22"/>
        </w:rPr>
        <w:t>县昆阳镇</w:t>
      </w:r>
      <w:r>
        <w:rPr>
          <w:sz w:val="22"/>
          <w:szCs w:val="22"/>
        </w:rPr>
        <w:t>人民路</w:t>
      </w:r>
      <w:r>
        <w:rPr>
          <w:rFonts w:hint="eastAsia"/>
          <w:sz w:val="22"/>
          <w:szCs w:val="22"/>
        </w:rPr>
        <w:t>平阳县财政局</w:t>
      </w:r>
      <w:bookmarkEnd w:id="0"/>
      <w:bookmarkEnd w:id="1"/>
      <w:bookmarkEnd w:id="2"/>
      <w:bookmarkEnd w:id="3"/>
    </w:p>
    <w:p>
      <w:pPr>
        <w:snapToGrid w:val="0"/>
        <w:spacing w:line="460" w:lineRule="exact"/>
        <w:ind w:firstLine="431" w:firstLineChars="196"/>
        <w:rPr>
          <w:rFonts w:hint="eastAsia"/>
          <w:sz w:val="22"/>
          <w:szCs w:val="22"/>
        </w:rPr>
      </w:pPr>
    </w:p>
    <w:p>
      <w:pPr>
        <w:ind w:firstLine="2873" w:firstLineChars="795"/>
        <w:rPr>
          <w:rFonts w:hint="eastAsia"/>
          <w:b/>
          <w:bCs/>
          <w:color w:val="000000"/>
          <w:sz w:val="36"/>
          <w:szCs w:val="36"/>
        </w:rPr>
      </w:pPr>
    </w:p>
    <w:p>
      <w:pPr>
        <w:ind w:firstLine="2873" w:firstLineChars="795"/>
        <w:rPr>
          <w:rFonts w:hint="eastAsia"/>
          <w:b/>
          <w:bCs/>
          <w:color w:val="000000"/>
          <w:sz w:val="36"/>
          <w:szCs w:val="36"/>
        </w:rPr>
      </w:pPr>
      <w:r>
        <w:rPr>
          <w:rFonts w:hint="eastAsia"/>
          <w:b/>
          <w:bCs/>
          <w:color w:val="000000"/>
          <w:sz w:val="36"/>
          <w:szCs w:val="36"/>
        </w:rPr>
        <w:t>投 标 通 知 (邀 请) 书</w:t>
      </w:r>
    </w:p>
    <w:p>
      <w:pPr>
        <w:adjustRightInd w:val="0"/>
        <w:snapToGrid w:val="0"/>
        <w:spacing w:line="360" w:lineRule="atLeast"/>
        <w:ind w:firstLine="480" w:firstLineChars="200"/>
        <w:rPr>
          <w:rFonts w:hint="eastAsia"/>
          <w:color w:val="000000"/>
          <w:sz w:val="22"/>
          <w:szCs w:val="22"/>
        </w:rPr>
      </w:pPr>
      <w:r>
        <w:rPr>
          <w:rFonts w:hint="eastAsia" w:ascii="仿宋" w:hAnsi="仿宋" w:eastAsia="仿宋"/>
        </w:rPr>
        <w:t>平阳县雪亮工程视频智能分析系统</w:t>
      </w:r>
      <w:r>
        <w:rPr>
          <w:rFonts w:hint="eastAsia"/>
          <w:color w:val="000000"/>
          <w:sz w:val="22"/>
          <w:szCs w:val="22"/>
        </w:rPr>
        <w:t>项目对外进行公开招标，特通知贵公司（企业）前来投标。并请按招标文件的要求认真准备好投标文件，按时前来投标。</w:t>
      </w:r>
    </w:p>
    <w:tbl>
      <w:tblPr>
        <w:tblStyle w:val="5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2"/>
        <w:gridCol w:w="1553"/>
        <w:gridCol w:w="77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spacing w:line="400" w:lineRule="atLeast"/>
              <w:jc w:val="center"/>
              <w:rPr>
                <w:color w:val="000000"/>
                <w:sz w:val="22"/>
              </w:rPr>
            </w:pPr>
            <w:r>
              <w:rPr>
                <w:rFonts w:hint="eastAsia"/>
                <w:color w:val="000000"/>
                <w:sz w:val="22"/>
              </w:rPr>
              <w:t>序号</w:t>
            </w:r>
          </w:p>
        </w:tc>
        <w:tc>
          <w:tcPr>
            <w:tcW w:w="1553" w:type="dxa"/>
            <w:noWrap w:val="0"/>
            <w:vAlign w:val="center"/>
          </w:tcPr>
          <w:p>
            <w:pPr>
              <w:spacing w:line="400" w:lineRule="atLeast"/>
              <w:jc w:val="center"/>
              <w:rPr>
                <w:color w:val="000000"/>
                <w:sz w:val="22"/>
              </w:rPr>
            </w:pPr>
            <w:r>
              <w:rPr>
                <w:rFonts w:hint="eastAsia"/>
                <w:color w:val="000000"/>
                <w:sz w:val="22"/>
              </w:rPr>
              <w:t>内容</w:t>
            </w:r>
          </w:p>
        </w:tc>
        <w:tc>
          <w:tcPr>
            <w:tcW w:w="7776" w:type="dxa"/>
            <w:noWrap w:val="0"/>
            <w:vAlign w:val="center"/>
          </w:tcPr>
          <w:p>
            <w:pPr>
              <w:spacing w:line="400" w:lineRule="atLeast"/>
              <w:jc w:val="center"/>
              <w:rPr>
                <w:color w:val="000000"/>
                <w:sz w:val="22"/>
              </w:rPr>
            </w:pPr>
            <w:r>
              <w:rPr>
                <w:rFonts w:hint="eastAsia"/>
                <w:color w:val="000000"/>
                <w:sz w:val="22"/>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项目名称</w:t>
            </w:r>
          </w:p>
        </w:tc>
        <w:tc>
          <w:tcPr>
            <w:tcW w:w="7776" w:type="dxa"/>
            <w:noWrap w:val="0"/>
            <w:vAlign w:val="center"/>
          </w:tcPr>
          <w:p>
            <w:pPr>
              <w:rPr>
                <w:color w:val="000000"/>
                <w:sz w:val="22"/>
              </w:rPr>
            </w:pPr>
            <w:r>
              <w:rPr>
                <w:rFonts w:hint="eastAsia" w:ascii="仿宋" w:hAnsi="仿宋" w:eastAsia="仿宋"/>
              </w:rPr>
              <w:t>平阳县雪亮工程视频智能分析系统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项目编号</w:t>
            </w:r>
          </w:p>
        </w:tc>
        <w:tc>
          <w:tcPr>
            <w:tcW w:w="7776" w:type="dxa"/>
            <w:noWrap w:val="0"/>
            <w:vAlign w:val="center"/>
          </w:tcPr>
          <w:p>
            <w:pPr>
              <w:rPr>
                <w:color w:val="000000"/>
                <w:sz w:val="22"/>
              </w:rPr>
            </w:pPr>
            <w:r>
              <w:rPr>
                <w:rFonts w:hint="eastAsia"/>
                <w:b/>
                <w:bCs/>
                <w:color w:val="000000"/>
                <w:sz w:val="22"/>
                <w:szCs w:val="22"/>
              </w:rPr>
              <w:t>PYCG190524052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资金来源</w:t>
            </w:r>
          </w:p>
        </w:tc>
        <w:tc>
          <w:tcPr>
            <w:tcW w:w="7776" w:type="dxa"/>
            <w:noWrap w:val="0"/>
            <w:vAlign w:val="center"/>
          </w:tcPr>
          <w:p>
            <w:pPr>
              <w:rPr>
                <w:color w:val="000000"/>
                <w:sz w:val="22"/>
              </w:rPr>
            </w:pPr>
            <w:r>
              <w:rPr>
                <w:rFonts w:hint="eastAsia"/>
                <w:color w:val="000000"/>
                <w:sz w:val="22"/>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采购预算</w:t>
            </w:r>
          </w:p>
          <w:p>
            <w:pPr>
              <w:rPr>
                <w:color w:val="000000"/>
                <w:sz w:val="22"/>
              </w:rPr>
            </w:pPr>
            <w:r>
              <w:rPr>
                <w:rFonts w:hint="eastAsia"/>
                <w:color w:val="000000"/>
                <w:sz w:val="22"/>
              </w:rPr>
              <w:t>（最高限价）</w:t>
            </w:r>
          </w:p>
        </w:tc>
        <w:tc>
          <w:tcPr>
            <w:tcW w:w="7776" w:type="dxa"/>
            <w:noWrap w:val="0"/>
            <w:vAlign w:val="center"/>
          </w:tcPr>
          <w:p>
            <w:pPr>
              <w:rPr>
                <w:color w:val="000000"/>
                <w:sz w:val="22"/>
              </w:rPr>
            </w:pPr>
            <w:r>
              <w:rPr>
                <w:rFonts w:hint="eastAsia"/>
                <w:color w:val="000000"/>
                <w:sz w:val="22"/>
              </w:rPr>
              <w:t>具体见招标公告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采购方式</w:t>
            </w:r>
          </w:p>
        </w:tc>
        <w:tc>
          <w:tcPr>
            <w:tcW w:w="7776" w:type="dxa"/>
            <w:noWrap w:val="0"/>
            <w:vAlign w:val="center"/>
          </w:tcPr>
          <w:p>
            <w:pPr>
              <w:adjustRightInd w:val="0"/>
              <w:rPr>
                <w:color w:val="000000"/>
                <w:sz w:val="22"/>
              </w:rPr>
            </w:pPr>
            <w:r>
              <w:rPr>
                <w:rFonts w:hint="eastAsia"/>
                <w:color w:val="00000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rPr>
                <w:color w:val="000000"/>
                <w:sz w:val="22"/>
              </w:rPr>
            </w:pPr>
            <w:r>
              <w:rPr>
                <w:rFonts w:hint="eastAsia"/>
                <w:color w:val="000000"/>
                <w:sz w:val="22"/>
              </w:rPr>
              <w:t>采购人</w:t>
            </w:r>
          </w:p>
        </w:tc>
        <w:tc>
          <w:tcPr>
            <w:tcW w:w="7776" w:type="dxa"/>
            <w:noWrap w:val="0"/>
            <w:vAlign w:val="center"/>
          </w:tcPr>
          <w:p>
            <w:pPr>
              <w:adjustRightInd w:val="0"/>
              <w:rPr>
                <w:rFonts w:hint="eastAsia"/>
                <w:color w:val="000000"/>
                <w:sz w:val="22"/>
              </w:rPr>
            </w:pPr>
            <w:r>
              <w:rPr>
                <w:rFonts w:hint="eastAsia"/>
                <w:color w:val="000000"/>
                <w:sz w:val="22"/>
              </w:rPr>
              <w:t>名称：</w:t>
            </w:r>
            <w:r>
              <w:rPr>
                <w:rFonts w:hint="eastAsia"/>
                <w:color w:val="000000"/>
                <w:sz w:val="22"/>
                <w:szCs w:val="22"/>
              </w:rPr>
              <w:t>中共平阳县委政法委员会</w:t>
            </w:r>
          </w:p>
          <w:p>
            <w:pPr>
              <w:adjustRightInd w:val="0"/>
              <w:rPr>
                <w:color w:val="000000"/>
                <w:sz w:val="22"/>
                <w:szCs w:val="22"/>
              </w:rPr>
            </w:pPr>
            <w:r>
              <w:rPr>
                <w:rFonts w:hint="eastAsia"/>
                <w:color w:val="000000"/>
                <w:sz w:val="22"/>
              </w:rPr>
              <w:t>地</w:t>
            </w:r>
            <w:r>
              <w:rPr>
                <w:rFonts w:hint="eastAsia"/>
                <w:color w:val="000000"/>
                <w:sz w:val="22"/>
                <w:szCs w:val="22"/>
              </w:rPr>
              <w:t>址：</w:t>
            </w:r>
            <w:r>
              <w:rPr>
                <w:color w:val="000000"/>
                <w:sz w:val="22"/>
                <w:szCs w:val="22"/>
              </w:rPr>
              <w:t>温州市平阳县</w:t>
            </w:r>
            <w:r>
              <w:rPr>
                <w:rFonts w:hint="eastAsia"/>
                <w:color w:val="000000"/>
                <w:sz w:val="22"/>
                <w:szCs w:val="22"/>
              </w:rPr>
              <w:t>昆阳镇</w:t>
            </w:r>
          </w:p>
          <w:p>
            <w:pPr>
              <w:adjustRightInd w:val="0"/>
              <w:rPr>
                <w:rFonts w:hint="eastAsia"/>
                <w:color w:val="000000"/>
                <w:sz w:val="22"/>
                <w:szCs w:val="22"/>
              </w:rPr>
            </w:pPr>
            <w:r>
              <w:rPr>
                <w:rFonts w:hint="eastAsia"/>
                <w:color w:val="000000"/>
                <w:sz w:val="22"/>
                <w:szCs w:val="22"/>
              </w:rPr>
              <w:t xml:space="preserve">联系人：吴先生、梅先生 </w:t>
            </w:r>
          </w:p>
          <w:p>
            <w:pPr>
              <w:adjustRightInd w:val="0"/>
              <w:rPr>
                <w:color w:val="000000"/>
                <w:sz w:val="22"/>
              </w:rPr>
            </w:pPr>
            <w:r>
              <w:rPr>
                <w:rFonts w:hint="eastAsia"/>
                <w:color w:val="000000"/>
                <w:sz w:val="22"/>
                <w:szCs w:val="22"/>
              </w:rPr>
              <w:t>联系电话：0577-58190119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采购机构</w:t>
            </w:r>
          </w:p>
        </w:tc>
        <w:tc>
          <w:tcPr>
            <w:tcW w:w="7776" w:type="dxa"/>
            <w:noWrap w:val="0"/>
            <w:vAlign w:val="center"/>
          </w:tcPr>
          <w:p>
            <w:pPr>
              <w:snapToGrid w:val="0"/>
              <w:spacing w:line="460" w:lineRule="exact"/>
              <w:rPr>
                <w:rFonts w:hint="eastAsia"/>
                <w:color w:val="000000"/>
                <w:sz w:val="22"/>
                <w:szCs w:val="22"/>
              </w:rPr>
            </w:pPr>
            <w:r>
              <w:rPr>
                <w:rFonts w:hint="eastAsia"/>
                <w:color w:val="000000"/>
                <w:sz w:val="22"/>
              </w:rPr>
              <w:t>名称：平阳县公共资源交易中心</w:t>
            </w:r>
          </w:p>
          <w:p>
            <w:pPr>
              <w:adjustRightInd w:val="0"/>
              <w:rPr>
                <w:rFonts w:hint="eastAsia"/>
                <w:color w:val="000000"/>
                <w:sz w:val="22"/>
              </w:rPr>
            </w:pPr>
            <w:r>
              <w:rPr>
                <w:rFonts w:hint="eastAsia"/>
                <w:color w:val="000000"/>
                <w:sz w:val="22"/>
              </w:rPr>
              <w:t>地址：</w:t>
            </w:r>
            <w:r>
              <w:rPr>
                <w:color w:val="000000"/>
                <w:sz w:val="22"/>
                <w:szCs w:val="22"/>
              </w:rPr>
              <w:t>鳌江镇</w:t>
            </w:r>
            <w:r>
              <w:rPr>
                <w:rFonts w:hint="eastAsia"/>
                <w:color w:val="000000"/>
                <w:sz w:val="22"/>
                <w:szCs w:val="22"/>
              </w:rPr>
              <w:t>火车站大道和谐家园三</w:t>
            </w:r>
            <w:r>
              <w:rPr>
                <w:color w:val="000000"/>
                <w:sz w:val="22"/>
                <w:szCs w:val="22"/>
              </w:rPr>
              <w:t>楼</w:t>
            </w:r>
          </w:p>
          <w:p>
            <w:pPr>
              <w:adjustRightInd w:val="0"/>
              <w:rPr>
                <w:rFonts w:hint="eastAsia"/>
                <w:color w:val="000000"/>
                <w:sz w:val="22"/>
              </w:rPr>
            </w:pPr>
            <w:r>
              <w:rPr>
                <w:rFonts w:hint="eastAsia"/>
                <w:color w:val="000000"/>
                <w:sz w:val="22"/>
              </w:rPr>
              <w:t>联系人：王先生</w:t>
            </w:r>
          </w:p>
          <w:p>
            <w:pPr>
              <w:adjustRightInd w:val="0"/>
              <w:rPr>
                <w:rFonts w:hint="eastAsia"/>
                <w:color w:val="000000"/>
                <w:sz w:val="22"/>
              </w:rPr>
            </w:pPr>
            <w:r>
              <w:rPr>
                <w:rFonts w:hint="eastAsia"/>
                <w:color w:val="000000"/>
                <w:sz w:val="22"/>
              </w:rPr>
              <w:t>电话：</w:t>
            </w:r>
            <w:r>
              <w:rPr>
                <w:rFonts w:hint="eastAsia"/>
                <w:color w:val="000000"/>
                <w:sz w:val="22"/>
                <w:szCs w:val="22"/>
              </w:rPr>
              <w:t>  0577-63193038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评标办法</w:t>
            </w:r>
          </w:p>
        </w:tc>
        <w:tc>
          <w:tcPr>
            <w:tcW w:w="7776" w:type="dxa"/>
            <w:noWrap w:val="0"/>
            <w:vAlign w:val="center"/>
          </w:tcPr>
          <w:p>
            <w:pPr>
              <w:adjustRightInd w:val="0"/>
              <w:rPr>
                <w:color w:val="000000"/>
                <w:sz w:val="22"/>
              </w:rPr>
            </w:pPr>
            <w:r>
              <w:rPr>
                <w:rFonts w:hint="eastAsia"/>
                <w:color w:val="000000"/>
                <w:sz w:val="22"/>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3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招标内容</w:t>
            </w:r>
          </w:p>
        </w:tc>
        <w:tc>
          <w:tcPr>
            <w:tcW w:w="7776" w:type="dxa"/>
            <w:noWrap w:val="0"/>
            <w:vAlign w:val="center"/>
          </w:tcPr>
          <w:p>
            <w:pPr>
              <w:adjustRightInd w:val="0"/>
              <w:rPr>
                <w:color w:val="000000"/>
                <w:sz w:val="22"/>
              </w:rPr>
            </w:pPr>
            <w:r>
              <w:rPr>
                <w:rFonts w:hint="eastAsia"/>
                <w:color w:val="000000"/>
                <w:sz w:val="22"/>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投标供应商</w:t>
            </w:r>
          </w:p>
          <w:p>
            <w:pPr>
              <w:rPr>
                <w:color w:val="000000"/>
                <w:sz w:val="22"/>
              </w:rPr>
            </w:pPr>
            <w:r>
              <w:rPr>
                <w:rFonts w:hint="eastAsia"/>
                <w:color w:val="000000"/>
                <w:sz w:val="22"/>
              </w:rPr>
              <w:t>资格要求</w:t>
            </w:r>
          </w:p>
        </w:tc>
        <w:tc>
          <w:tcPr>
            <w:tcW w:w="7776" w:type="dxa"/>
            <w:noWrap w:val="0"/>
            <w:vAlign w:val="center"/>
          </w:tcPr>
          <w:p>
            <w:pPr>
              <w:adjustRightInd w:val="0"/>
              <w:rPr>
                <w:color w:val="000000"/>
                <w:kern w:val="28"/>
                <w:sz w:val="22"/>
              </w:rPr>
            </w:pPr>
            <w:r>
              <w:rPr>
                <w:rFonts w:hint="eastAsia"/>
                <w:color w:val="00000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842" w:type="dxa"/>
            <w:noWrap w:val="0"/>
            <w:vAlign w:val="center"/>
          </w:tcPr>
          <w:p>
            <w:pPr>
              <w:numPr>
                <w:ilvl w:val="0"/>
                <w:numId w:val="5"/>
              </w:numPr>
              <w:tabs>
                <w:tab w:val="left" w:pos="420"/>
                <w:tab w:val="clear" w:pos="720"/>
              </w:tabs>
              <w:ind w:left="420" w:hanging="420"/>
              <w:jc w:val="right"/>
              <w:rPr>
                <w:color w:val="FF0000"/>
                <w:sz w:val="22"/>
              </w:rPr>
            </w:pPr>
          </w:p>
        </w:tc>
        <w:tc>
          <w:tcPr>
            <w:tcW w:w="1553" w:type="dxa"/>
            <w:noWrap w:val="0"/>
            <w:vAlign w:val="center"/>
          </w:tcPr>
          <w:p>
            <w:pPr>
              <w:adjustRightInd w:val="0"/>
              <w:rPr>
                <w:color w:val="000000"/>
                <w:sz w:val="22"/>
              </w:rPr>
            </w:pPr>
            <w:r>
              <w:rPr>
                <w:rFonts w:hint="eastAsia"/>
                <w:color w:val="000000"/>
                <w:sz w:val="22"/>
              </w:rPr>
              <w:t>是否接受联合体投标</w:t>
            </w:r>
          </w:p>
        </w:tc>
        <w:tc>
          <w:tcPr>
            <w:tcW w:w="7776" w:type="dxa"/>
            <w:noWrap w:val="0"/>
            <w:vAlign w:val="center"/>
          </w:tcPr>
          <w:p>
            <w:pPr>
              <w:adjustRightInd w:val="0"/>
              <w:rPr>
                <w:color w:val="000000"/>
                <w:sz w:val="22"/>
              </w:rPr>
            </w:pPr>
            <w:r>
              <w:rPr>
                <w:rFonts w:hint="eastAsia"/>
                <w:color w:val="000000"/>
                <w:sz w:val="22"/>
              </w:rPr>
              <w:t>□不接受</w:t>
            </w:r>
          </w:p>
          <w:p>
            <w:pPr>
              <w:adjustRightInd w:val="0"/>
              <w:rPr>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position w:val="-4"/>
                <w:sz w:val="33"/>
              </w:rPr>
              <w:instrText xml:space="preserve">□</w:instrText>
            </w:r>
            <w:r>
              <w:rPr>
                <w:rFonts w:hint="eastAsia"/>
                <w:color w:val="000000"/>
                <w:sz w:val="22"/>
              </w:rPr>
              <w:instrText xml:space="preserve">,√)</w:instrText>
            </w:r>
            <w:r>
              <w:rPr>
                <w:rFonts w:hint="eastAsia"/>
                <w:color w:val="000000"/>
                <w:sz w:val="22"/>
              </w:rPr>
              <w:fldChar w:fldCharType="end"/>
            </w:r>
            <w:r>
              <w:rPr>
                <w:rFonts w:hint="eastAsia"/>
                <w:color w:val="000000"/>
                <w:sz w:val="22"/>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rPr>
                <w:color w:val="000000"/>
                <w:sz w:val="22"/>
              </w:rPr>
            </w:pPr>
            <w:r>
              <w:rPr>
                <w:rFonts w:hint="eastAsia"/>
                <w:color w:val="000000"/>
                <w:sz w:val="22"/>
              </w:rPr>
              <w:t>踏勘现场</w:t>
            </w:r>
          </w:p>
        </w:tc>
        <w:tc>
          <w:tcPr>
            <w:tcW w:w="7776" w:type="dxa"/>
            <w:noWrap w:val="0"/>
            <w:vAlign w:val="center"/>
          </w:tcPr>
          <w:p>
            <w:pPr>
              <w:adjustRightInd w:val="0"/>
              <w:rPr>
                <w:i/>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position w:val="-4"/>
                <w:sz w:val="33"/>
              </w:rPr>
              <w:instrText xml:space="preserve">□</w:instrText>
            </w:r>
            <w:r>
              <w:rPr>
                <w:rFonts w:hint="eastAsia"/>
                <w:color w:val="000000"/>
                <w:sz w:val="22"/>
              </w:rPr>
              <w:instrText xml:space="preserve">,√)</w:instrText>
            </w:r>
            <w:r>
              <w:rPr>
                <w:rFonts w:hint="eastAsia"/>
                <w:color w:val="000000"/>
                <w:sz w:val="22"/>
              </w:rPr>
              <w:fldChar w:fldCharType="end"/>
            </w:r>
            <w:r>
              <w:rPr>
                <w:rFonts w:hint="eastAsia"/>
                <w:i/>
                <w:color w:val="000000"/>
                <w:sz w:val="22"/>
              </w:rPr>
              <w:t>不组织</w:t>
            </w:r>
          </w:p>
          <w:p>
            <w:pPr>
              <w:adjustRightInd w:val="0"/>
              <w:rPr>
                <w:i/>
                <w:color w:val="000000"/>
                <w:sz w:val="22"/>
              </w:rPr>
            </w:pPr>
            <w:r>
              <w:rPr>
                <w:rFonts w:hint="eastAsia"/>
                <w:color w:val="000000"/>
                <w:sz w:val="22"/>
              </w:rPr>
              <w:t>□</w:t>
            </w:r>
            <w:r>
              <w:rPr>
                <w:rFonts w:hint="eastAsia"/>
                <w:i/>
                <w:color w:val="000000"/>
                <w:sz w:val="22"/>
              </w:rPr>
              <w:t>组</w:t>
            </w:r>
            <w:r>
              <w:rPr>
                <w:rFonts w:hint="eastAsia"/>
                <w:color w:val="000000"/>
                <w:sz w:val="22"/>
              </w:rPr>
              <w:t>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521"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rPr>
                <w:color w:val="000000"/>
                <w:sz w:val="22"/>
              </w:rPr>
            </w:pPr>
            <w:r>
              <w:rPr>
                <w:rFonts w:hint="eastAsia"/>
                <w:color w:val="000000"/>
                <w:sz w:val="22"/>
              </w:rPr>
              <w:t>是否允许递交备选投标方案</w:t>
            </w:r>
          </w:p>
        </w:tc>
        <w:tc>
          <w:tcPr>
            <w:tcW w:w="7776" w:type="dxa"/>
            <w:noWrap w:val="0"/>
            <w:vAlign w:val="center"/>
          </w:tcPr>
          <w:p>
            <w:pPr>
              <w:adjustRightInd w:val="0"/>
              <w:rPr>
                <w:i/>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position w:val="-4"/>
                <w:sz w:val="33"/>
              </w:rPr>
              <w:instrText xml:space="preserve">□</w:instrText>
            </w:r>
            <w:r>
              <w:rPr>
                <w:rFonts w:hint="eastAsia"/>
                <w:color w:val="000000"/>
                <w:sz w:val="22"/>
              </w:rPr>
              <w:instrText xml:space="preserve">,√)</w:instrText>
            </w:r>
            <w:r>
              <w:rPr>
                <w:rFonts w:hint="eastAsia"/>
                <w:color w:val="000000"/>
                <w:sz w:val="22"/>
              </w:rPr>
              <w:fldChar w:fldCharType="end"/>
            </w:r>
            <w:r>
              <w:rPr>
                <w:rFonts w:hint="eastAsia"/>
                <w:i/>
                <w:color w:val="000000"/>
                <w:sz w:val="22"/>
              </w:rPr>
              <w:t>不允许</w:t>
            </w:r>
          </w:p>
          <w:p>
            <w:pPr>
              <w:adjustRightInd w:val="0"/>
              <w:rPr>
                <w:color w:val="000000"/>
                <w:sz w:val="22"/>
              </w:rPr>
            </w:pPr>
            <w:r>
              <w:rPr>
                <w:rFonts w:hint="eastAsia"/>
                <w:color w:val="000000"/>
                <w:sz w:val="22"/>
              </w:rPr>
              <w:t xml:space="preserve">□ </w:t>
            </w:r>
            <w:r>
              <w:rPr>
                <w:rFonts w:hint="eastAsia"/>
                <w:i/>
                <w:color w:val="000000"/>
                <w:sz w:val="22"/>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191"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rPr>
                <w:color w:val="000000"/>
                <w:sz w:val="22"/>
              </w:rPr>
            </w:pPr>
            <w:r>
              <w:rPr>
                <w:rFonts w:hint="eastAsia"/>
                <w:color w:val="000000"/>
                <w:sz w:val="22"/>
              </w:rPr>
              <w:t>投标货币</w:t>
            </w:r>
          </w:p>
        </w:tc>
        <w:tc>
          <w:tcPr>
            <w:tcW w:w="7776" w:type="dxa"/>
            <w:noWrap w:val="0"/>
            <w:vAlign w:val="center"/>
          </w:tcPr>
          <w:p>
            <w:pPr>
              <w:adjustRightInd w:val="0"/>
              <w:rPr>
                <w:color w:val="000000"/>
                <w:sz w:val="22"/>
              </w:rPr>
            </w:pPr>
            <w:r>
              <w:rPr>
                <w:rFonts w:hint="eastAsia"/>
                <w:color w:val="000000"/>
                <w:sz w:val="22"/>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2"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rPr>
                <w:color w:val="000000"/>
                <w:sz w:val="22"/>
              </w:rPr>
            </w:pPr>
            <w:r>
              <w:rPr>
                <w:rFonts w:hint="eastAsia"/>
                <w:color w:val="000000"/>
                <w:sz w:val="22"/>
              </w:rPr>
              <w:t>投标语言</w:t>
            </w:r>
          </w:p>
        </w:tc>
        <w:tc>
          <w:tcPr>
            <w:tcW w:w="7776" w:type="dxa"/>
            <w:noWrap w:val="0"/>
            <w:vAlign w:val="center"/>
          </w:tcPr>
          <w:p>
            <w:pPr>
              <w:adjustRightInd w:val="0"/>
              <w:rPr>
                <w:color w:val="000000"/>
                <w:sz w:val="22"/>
              </w:rPr>
            </w:pPr>
            <w:r>
              <w:rPr>
                <w:rFonts w:hint="eastAsia"/>
                <w:color w:val="000000"/>
                <w:sz w:val="22"/>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投标文件份数</w:t>
            </w:r>
          </w:p>
        </w:tc>
        <w:tc>
          <w:tcPr>
            <w:tcW w:w="7776" w:type="dxa"/>
            <w:noWrap w:val="0"/>
            <w:vAlign w:val="center"/>
          </w:tcPr>
          <w:p>
            <w:pPr>
              <w:pStyle w:val="41"/>
              <w:widowControl w:val="0"/>
              <w:tabs>
                <w:tab w:val="right" w:leader="dot" w:pos="9118"/>
              </w:tabs>
              <w:jc w:val="both"/>
              <w:rPr>
                <w:rFonts w:ascii="Times New Roman"/>
                <w:color w:val="000000"/>
                <w:kern w:val="2"/>
                <w:sz w:val="21"/>
              </w:rPr>
            </w:pPr>
            <w:r>
              <w:rPr>
                <w:rFonts w:hint="eastAsia" w:ascii="Times New Roman"/>
                <w:b/>
                <w:color w:val="000000"/>
                <w:kern w:val="2"/>
                <w:sz w:val="21"/>
                <w:u w:val="single"/>
              </w:rPr>
              <w:t>正本1份，副本6份。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8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投标有效期</w:t>
            </w:r>
          </w:p>
        </w:tc>
        <w:tc>
          <w:tcPr>
            <w:tcW w:w="7776" w:type="dxa"/>
            <w:noWrap w:val="0"/>
            <w:vAlign w:val="center"/>
          </w:tcPr>
          <w:p>
            <w:pPr>
              <w:rPr>
                <w:i/>
                <w:color w:val="000000"/>
                <w:sz w:val="22"/>
              </w:rPr>
            </w:pPr>
            <w:r>
              <w:rPr>
                <w:rFonts w:hint="eastAsia"/>
                <w:i/>
                <w:color w:val="000000"/>
                <w:sz w:val="22"/>
              </w:rPr>
              <w:t>提交投标文件截止日起90天内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签字或盖章要求</w:t>
            </w:r>
          </w:p>
        </w:tc>
        <w:tc>
          <w:tcPr>
            <w:tcW w:w="7776" w:type="dxa"/>
            <w:noWrap w:val="0"/>
            <w:vAlign w:val="center"/>
          </w:tcPr>
          <w:p>
            <w:pPr>
              <w:rPr>
                <w:color w:val="000000"/>
                <w:sz w:val="22"/>
              </w:rPr>
            </w:pPr>
            <w:r>
              <w:rPr>
                <w:rFonts w:hint="eastAsia"/>
                <w:color w:val="000000"/>
                <w:sz w:val="22"/>
              </w:rPr>
              <w:t>投标文件的正本及所有副本均须按招标文件格式要求，由投标供应商加盖单位公章和法定代表人或其授权代表印章（或签字）。投标文件中所涉及的公章必须是投标供应商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密封、装订要求</w:t>
            </w:r>
          </w:p>
        </w:tc>
        <w:tc>
          <w:tcPr>
            <w:tcW w:w="7776" w:type="dxa"/>
            <w:noWrap w:val="0"/>
            <w:vAlign w:val="center"/>
          </w:tcPr>
          <w:p>
            <w:pPr>
              <w:rPr>
                <w:color w:val="000000"/>
                <w:sz w:val="22"/>
              </w:rPr>
            </w:pPr>
            <w:r>
              <w:rPr>
                <w:rFonts w:hint="eastAsia"/>
                <w:color w:val="000000"/>
                <w:sz w:val="22"/>
              </w:rPr>
              <w:t>投标供应商应将投标文件的商务报价文件与技术资信部分投标文件分开包装密封，封口处应有投标供应商公章及法定代表人或其授权代表印章（或签字）。如投标文件的商务报价文件与技术资信部分投标文件未分开制作与包装或未密封，投标文件将被拒绝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6"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投标样品</w:t>
            </w:r>
          </w:p>
        </w:tc>
        <w:tc>
          <w:tcPr>
            <w:tcW w:w="7776" w:type="dxa"/>
            <w:noWrap w:val="0"/>
            <w:vAlign w:val="center"/>
          </w:tcPr>
          <w:p>
            <w:pPr>
              <w:rPr>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position w:val="-4"/>
                <w:sz w:val="33"/>
              </w:rPr>
              <w:instrText xml:space="preserve">□</w:instrText>
            </w:r>
            <w:r>
              <w:rPr>
                <w:rFonts w:hint="eastAsia"/>
                <w:color w:val="000000"/>
                <w:sz w:val="22"/>
              </w:rPr>
              <w:instrText xml:space="preserve">,√)</w:instrText>
            </w:r>
            <w:r>
              <w:rPr>
                <w:rFonts w:hint="eastAsia"/>
                <w:color w:val="000000"/>
                <w:sz w:val="22"/>
              </w:rPr>
              <w:fldChar w:fldCharType="end"/>
            </w:r>
            <w:r>
              <w:rPr>
                <w:rFonts w:hint="eastAsia"/>
                <w:color w:val="000000"/>
                <w:sz w:val="22"/>
              </w:rPr>
              <w:t>不需要</w:t>
            </w:r>
          </w:p>
          <w:p>
            <w:pPr>
              <w:rPr>
                <w:color w:val="000000"/>
                <w:sz w:val="22"/>
              </w:rPr>
            </w:pPr>
            <w:r>
              <w:rPr>
                <w:rFonts w:hint="eastAsia"/>
                <w:color w:val="000000"/>
                <w:sz w:val="22"/>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95"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投标保证金</w:t>
            </w:r>
          </w:p>
        </w:tc>
        <w:tc>
          <w:tcPr>
            <w:tcW w:w="7776" w:type="dxa"/>
            <w:noWrap w:val="0"/>
            <w:vAlign w:val="center"/>
          </w:tcPr>
          <w:p>
            <w:pPr>
              <w:ind w:left="1065" w:hanging="1064" w:hangingChars="484"/>
              <w:rPr>
                <w:color w:val="000000"/>
                <w:sz w:val="22"/>
              </w:rPr>
            </w:pPr>
            <w:r>
              <w:rPr>
                <w:rFonts w:hint="eastAsia"/>
                <w:bCs/>
                <w:color w:val="000000"/>
                <w:sz w:val="22"/>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0"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jc w:val="center"/>
              <w:rPr>
                <w:color w:val="000000"/>
                <w:sz w:val="22"/>
              </w:rPr>
            </w:pPr>
            <w:r>
              <w:rPr>
                <w:rFonts w:hint="eastAsia"/>
                <w:color w:val="000000"/>
                <w:sz w:val="22"/>
              </w:rPr>
              <w:t>履约担保</w:t>
            </w:r>
          </w:p>
        </w:tc>
        <w:tc>
          <w:tcPr>
            <w:tcW w:w="7776" w:type="dxa"/>
            <w:noWrap w:val="0"/>
            <w:vAlign w:val="center"/>
          </w:tcPr>
          <w:p>
            <w:pPr>
              <w:rPr>
                <w:color w:val="000000"/>
                <w:sz w:val="22"/>
              </w:rPr>
            </w:pPr>
            <w:r>
              <w:rPr>
                <w:rFonts w:hint="eastAsia"/>
                <w:color w:val="000000"/>
                <w:sz w:val="22"/>
              </w:rPr>
              <w:t>□不需要</w:t>
            </w:r>
          </w:p>
          <w:p>
            <w:pPr>
              <w:adjustRightInd w:val="0"/>
              <w:rPr>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position w:val="-4"/>
                <w:sz w:val="33"/>
              </w:rPr>
              <w:instrText xml:space="preserve">□</w:instrText>
            </w:r>
            <w:r>
              <w:rPr>
                <w:rFonts w:hint="eastAsia"/>
                <w:color w:val="000000"/>
                <w:sz w:val="22"/>
              </w:rPr>
              <w:instrText xml:space="preserve">,√)</w:instrText>
            </w:r>
            <w:r>
              <w:rPr>
                <w:rFonts w:hint="eastAsia"/>
                <w:color w:val="000000"/>
                <w:sz w:val="22"/>
              </w:rPr>
              <w:fldChar w:fldCharType="end"/>
            </w:r>
            <w:r>
              <w:rPr>
                <w:rFonts w:hint="eastAsia"/>
                <w:color w:val="000000"/>
                <w:sz w:val="22"/>
              </w:rPr>
              <w:t xml:space="preserve">需要 </w:t>
            </w:r>
            <w:r>
              <w:rPr>
                <w:rFonts w:hint="eastAsia"/>
                <w:bCs/>
                <w:color w:val="000000"/>
                <w:sz w:val="22"/>
              </w:rPr>
              <w:t xml:space="preserve"> 合同签订后中标供应商应提供合同金额5%的履约保证金至采购人指定账户。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919"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招标文件发售时间及获取方式</w:t>
            </w:r>
          </w:p>
        </w:tc>
        <w:tc>
          <w:tcPr>
            <w:tcW w:w="7776" w:type="dxa"/>
            <w:noWrap w:val="0"/>
            <w:vAlign w:val="center"/>
          </w:tcPr>
          <w:p>
            <w:pPr>
              <w:rPr>
                <w:color w:val="000000"/>
                <w:sz w:val="22"/>
              </w:rPr>
            </w:pPr>
            <w:r>
              <w:rPr>
                <w:rFonts w:hint="eastAsia"/>
                <w:color w:val="000000"/>
                <w:sz w:val="22"/>
              </w:rPr>
              <w:t>按照采购公告规定的时间获取。</w:t>
            </w:r>
          </w:p>
          <w:p>
            <w:pPr>
              <w:rPr>
                <w:color w:val="000000"/>
                <w:sz w:val="22"/>
              </w:rPr>
            </w:pPr>
            <w:r>
              <w:rPr>
                <w:rFonts w:hint="eastAsia"/>
                <w:color w:val="000000"/>
                <w:sz w:val="22"/>
              </w:rPr>
              <w:t>□现场报名后获取；</w:t>
            </w:r>
          </w:p>
          <w:p>
            <w:pPr>
              <w:rPr>
                <w:color w:val="000000"/>
                <w:sz w:val="22"/>
              </w:rPr>
            </w:pPr>
            <w:r>
              <w:rPr>
                <w:rFonts w:hint="eastAsia"/>
                <w:color w:val="000000"/>
                <w:sz w:val="22"/>
              </w:rPr>
              <w:fldChar w:fldCharType="begin"/>
            </w:r>
            <w:r>
              <w:rPr>
                <w:rFonts w:hint="eastAsia"/>
                <w:color w:val="000000"/>
                <w:sz w:val="22"/>
              </w:rPr>
              <w:instrText xml:space="preserve"> eq \o\ac(□,√)</w:instrText>
            </w:r>
            <w:r>
              <w:rPr>
                <w:rFonts w:hint="eastAsia"/>
                <w:color w:val="000000"/>
                <w:sz w:val="22"/>
              </w:rPr>
              <w:fldChar w:fldCharType="end"/>
            </w:r>
            <w:r>
              <w:rPr>
                <w:rFonts w:hint="eastAsia"/>
                <w:color w:val="000000"/>
                <w:sz w:val="22"/>
              </w:rPr>
              <w:t>直接从浙江政府采购网（http://www.zjzfcg.gov.cn）或平阳县公共资源交易中心网站</w:t>
            </w:r>
            <w:r>
              <w:rPr>
                <w:color w:val="000000"/>
                <w:sz w:val="22"/>
              </w:rPr>
              <w:t>http:// www.pyztb.com /</w:t>
            </w:r>
            <w:r>
              <w:rPr>
                <w:rFonts w:hint="eastAsia"/>
                <w:color w:val="000000"/>
                <w:sz w:val="22"/>
              </w:rPr>
              <w:t>直接下载。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投标截止时间</w:t>
            </w:r>
          </w:p>
        </w:tc>
        <w:tc>
          <w:tcPr>
            <w:tcW w:w="7776" w:type="dxa"/>
            <w:noWrap w:val="0"/>
            <w:vAlign w:val="center"/>
          </w:tcPr>
          <w:p>
            <w:pPr>
              <w:rPr>
                <w:color w:val="000000"/>
                <w:sz w:val="22"/>
                <w:szCs w:val="22"/>
              </w:rPr>
            </w:pPr>
            <w:r>
              <w:rPr>
                <w:rFonts w:hint="eastAsia"/>
                <w:color w:val="000000"/>
                <w:sz w:val="22"/>
                <w:szCs w:val="22"/>
              </w:rPr>
              <w:t>2019年6月20日 　上午09：30截止(北京时间)。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325"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投标文件递交时间及地点</w:t>
            </w:r>
          </w:p>
        </w:tc>
        <w:tc>
          <w:tcPr>
            <w:tcW w:w="7776" w:type="dxa"/>
            <w:noWrap w:val="0"/>
            <w:vAlign w:val="center"/>
          </w:tcPr>
          <w:p>
            <w:pPr>
              <w:rPr>
                <w:rFonts w:hint="eastAsia"/>
                <w:color w:val="000000"/>
                <w:sz w:val="22"/>
                <w:szCs w:val="22"/>
              </w:rPr>
            </w:pPr>
            <w:r>
              <w:rPr>
                <w:rFonts w:hint="eastAsia"/>
                <w:color w:val="000000"/>
                <w:sz w:val="22"/>
                <w:szCs w:val="22"/>
              </w:rPr>
              <w:t>2019年6月20日 　上午09：30截止</w:t>
            </w:r>
          </w:p>
          <w:p>
            <w:pPr>
              <w:rPr>
                <w:color w:val="000000"/>
                <w:sz w:val="22"/>
                <w:szCs w:val="22"/>
              </w:rPr>
            </w:pPr>
            <w:r>
              <w:rPr>
                <w:rFonts w:hint="eastAsia"/>
                <w:color w:val="000000"/>
                <w:sz w:val="22"/>
                <w:szCs w:val="22"/>
              </w:rPr>
              <w:t>投标文件递交地点：平阳县公共资源交易中心二楼大厅（</w:t>
            </w:r>
            <w:r>
              <w:rPr>
                <w:color w:val="000000"/>
                <w:sz w:val="22"/>
                <w:szCs w:val="22"/>
              </w:rPr>
              <w:t>平阳县鳌江镇</w:t>
            </w:r>
            <w:r>
              <w:rPr>
                <w:rFonts w:hint="eastAsia"/>
                <w:color w:val="000000"/>
                <w:sz w:val="22"/>
                <w:szCs w:val="22"/>
              </w:rPr>
              <w:t>火车站大道和谐家园</w:t>
            </w:r>
            <w:r>
              <w:rPr>
                <w:color w:val="000000"/>
                <w:sz w:val="22"/>
                <w:szCs w:val="22"/>
              </w:rPr>
              <w:t>二楼</w:t>
            </w:r>
            <w:r>
              <w:rPr>
                <w:rFonts w:hint="eastAsia"/>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3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开标时间</w:t>
            </w:r>
          </w:p>
          <w:p>
            <w:pPr>
              <w:jc w:val="center"/>
              <w:rPr>
                <w:color w:val="000000"/>
                <w:sz w:val="22"/>
              </w:rPr>
            </w:pPr>
            <w:r>
              <w:rPr>
                <w:rFonts w:hint="eastAsia"/>
                <w:color w:val="000000"/>
                <w:sz w:val="22"/>
              </w:rPr>
              <w:t>开标地点</w:t>
            </w:r>
          </w:p>
          <w:p>
            <w:pPr>
              <w:jc w:val="center"/>
              <w:rPr>
                <w:color w:val="000000"/>
                <w:sz w:val="22"/>
              </w:rPr>
            </w:pPr>
            <w:r>
              <w:rPr>
                <w:rFonts w:hint="eastAsia"/>
                <w:color w:val="000000"/>
                <w:sz w:val="22"/>
              </w:rPr>
              <w:t>注意事项</w:t>
            </w:r>
          </w:p>
        </w:tc>
        <w:tc>
          <w:tcPr>
            <w:tcW w:w="7776" w:type="dxa"/>
            <w:noWrap w:val="0"/>
            <w:vAlign w:val="center"/>
          </w:tcPr>
          <w:p>
            <w:pPr>
              <w:rPr>
                <w:color w:val="000000"/>
                <w:sz w:val="22"/>
                <w:szCs w:val="22"/>
              </w:rPr>
            </w:pPr>
            <w:r>
              <w:rPr>
                <w:rFonts w:hint="eastAsia"/>
                <w:color w:val="000000"/>
                <w:sz w:val="22"/>
                <w:szCs w:val="22"/>
              </w:rPr>
              <w:t>2019年6月20 日 　上午09：30正 (北京时间)</w:t>
            </w:r>
          </w:p>
          <w:p>
            <w:pPr>
              <w:rPr>
                <w:color w:val="000000"/>
                <w:sz w:val="22"/>
                <w:szCs w:val="22"/>
              </w:rPr>
            </w:pPr>
            <w:r>
              <w:rPr>
                <w:rFonts w:hint="eastAsia"/>
                <w:color w:val="000000"/>
                <w:sz w:val="22"/>
                <w:szCs w:val="22"/>
              </w:rPr>
              <w:t>开标地点：平阳县公共资源交易中心二楼大厅（</w:t>
            </w:r>
            <w:r>
              <w:rPr>
                <w:color w:val="000000"/>
                <w:sz w:val="22"/>
                <w:szCs w:val="22"/>
              </w:rPr>
              <w:t>平阳县鳌江镇</w:t>
            </w:r>
            <w:r>
              <w:rPr>
                <w:rFonts w:hint="eastAsia"/>
                <w:color w:val="000000"/>
                <w:sz w:val="22"/>
                <w:szCs w:val="22"/>
              </w:rPr>
              <w:t>火车站大道和谐家园</w:t>
            </w:r>
            <w:r>
              <w:rPr>
                <w:color w:val="000000"/>
                <w:sz w:val="22"/>
                <w:szCs w:val="22"/>
              </w:rPr>
              <w:t>二楼</w:t>
            </w:r>
            <w:r>
              <w:rPr>
                <w:rFonts w:hint="eastAsia"/>
                <w:color w:val="000000"/>
                <w:sz w:val="22"/>
                <w:szCs w:val="22"/>
              </w:rPr>
              <w:t xml:space="preserve">）   </w:t>
            </w:r>
          </w:p>
          <w:p>
            <w:pPr>
              <w:rPr>
                <w:color w:val="000000"/>
                <w:sz w:val="22"/>
                <w:szCs w:val="22"/>
              </w:rPr>
            </w:pPr>
            <w:r>
              <w:rPr>
                <w:rFonts w:hint="eastAsia"/>
                <w:color w:val="000000"/>
                <w:sz w:val="22"/>
                <w:szCs w:val="22"/>
              </w:rPr>
              <w:t>注意事项：参加开标会的投标供应商的法定代表人或其授权代表须携带“身份证原件”，未能提供的将被拒绝接收其投标文件，务必准时参加开标会并签名报到以证明其出席（带身份证件原件）。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452"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开标程序</w:t>
            </w:r>
          </w:p>
        </w:tc>
        <w:tc>
          <w:tcPr>
            <w:tcW w:w="7776" w:type="dxa"/>
            <w:noWrap w:val="0"/>
            <w:vAlign w:val="center"/>
          </w:tcPr>
          <w:p>
            <w:pPr>
              <w:rPr>
                <w:color w:val="000000"/>
                <w:sz w:val="22"/>
              </w:rPr>
            </w:pPr>
            <w:r>
              <w:rPr>
                <w:rFonts w:hint="eastAsia"/>
                <w:color w:val="000000"/>
                <w:sz w:val="22"/>
              </w:rPr>
              <w:t>（1）宣布开标纪律；</w:t>
            </w:r>
          </w:p>
          <w:p>
            <w:pPr>
              <w:rPr>
                <w:color w:val="000000"/>
                <w:sz w:val="22"/>
              </w:rPr>
            </w:pPr>
            <w:r>
              <w:rPr>
                <w:rFonts w:hint="eastAsia"/>
                <w:color w:val="000000"/>
                <w:sz w:val="22"/>
              </w:rPr>
              <w:t>（2）公布在投标截止时间前递交投标文件的投标供应商名称，并点名确认投标供应商是否派授权代表到场；</w:t>
            </w:r>
          </w:p>
          <w:p>
            <w:pPr>
              <w:rPr>
                <w:color w:val="000000"/>
                <w:sz w:val="22"/>
              </w:rPr>
            </w:pPr>
            <w:r>
              <w:rPr>
                <w:rFonts w:hint="eastAsia"/>
                <w:color w:val="000000"/>
                <w:sz w:val="22"/>
              </w:rPr>
              <w:t>（3）宣布唱标人、记录人、监督人员等有关人员姓名；</w:t>
            </w:r>
          </w:p>
          <w:p>
            <w:pPr>
              <w:rPr>
                <w:color w:val="000000"/>
                <w:sz w:val="22"/>
              </w:rPr>
            </w:pPr>
            <w:r>
              <w:rPr>
                <w:rFonts w:hint="eastAsia"/>
                <w:color w:val="000000"/>
                <w:sz w:val="22"/>
              </w:rPr>
              <w:t>（4）密封情况检查：由监督人员或投标供应商推选的代表检查投标文件密封情况；</w:t>
            </w:r>
          </w:p>
          <w:p>
            <w:pPr>
              <w:rPr>
                <w:color w:val="000000"/>
                <w:sz w:val="22"/>
              </w:rPr>
            </w:pPr>
            <w:r>
              <w:rPr>
                <w:rFonts w:hint="eastAsia"/>
                <w:color w:val="000000"/>
                <w:sz w:val="22"/>
              </w:rPr>
              <w:t>（5）开标顺序：投标供应商送达投标文件的逆序；先开启技术资信部分投标文件，评审结束后，宣布资格审核情况及技术资信评审情况，再开启报价文件；</w:t>
            </w:r>
          </w:p>
          <w:p>
            <w:pPr>
              <w:rPr>
                <w:color w:val="000000"/>
                <w:sz w:val="22"/>
              </w:rPr>
            </w:pPr>
            <w:r>
              <w:rPr>
                <w:rFonts w:hint="eastAsia"/>
                <w:color w:val="000000"/>
                <w:sz w:val="22"/>
              </w:rPr>
              <w:t>（6）确认开标结果：投标供应商授权代表对开标记录进行当场校核及勘误，并签字确认；并同时由记录人、监督人当场签字确认。</w:t>
            </w:r>
          </w:p>
          <w:p>
            <w:pPr>
              <w:rPr>
                <w:color w:val="000000"/>
                <w:sz w:val="22"/>
              </w:rPr>
            </w:pPr>
            <w:r>
              <w:rPr>
                <w:rFonts w:hint="eastAsia"/>
                <w:color w:val="000000"/>
                <w:sz w:val="22"/>
              </w:rPr>
              <w:t>（7）宣布开标结束。</w:t>
            </w:r>
          </w:p>
          <w:p>
            <w:pPr>
              <w:rPr>
                <w:color w:val="000000"/>
                <w:sz w:val="22"/>
              </w:rPr>
            </w:pPr>
            <w:r>
              <w:rPr>
                <w:rFonts w:hint="eastAsia"/>
                <w:color w:val="000000"/>
                <w:sz w:val="22"/>
              </w:rPr>
              <w:t>（8）投标供应商授权代表未参加开标会议；未到场签字确认的，不影响开标，评标过程，视同认可开标结果；事后不得对采购相关人员、开标过程和开标结果提出异议。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评审委员会的</w:t>
            </w:r>
          </w:p>
          <w:p>
            <w:pPr>
              <w:jc w:val="center"/>
              <w:rPr>
                <w:color w:val="000000"/>
                <w:sz w:val="22"/>
              </w:rPr>
            </w:pPr>
            <w:r>
              <w:rPr>
                <w:rFonts w:hint="eastAsia"/>
                <w:color w:val="000000"/>
                <w:sz w:val="22"/>
              </w:rPr>
              <w:t>组建</w:t>
            </w:r>
          </w:p>
        </w:tc>
        <w:tc>
          <w:tcPr>
            <w:tcW w:w="7776" w:type="dxa"/>
            <w:noWrap w:val="0"/>
            <w:vAlign w:val="center"/>
          </w:tcPr>
          <w:p>
            <w:pPr>
              <w:rPr>
                <w:color w:val="000000"/>
                <w:sz w:val="22"/>
              </w:rPr>
            </w:pPr>
            <w:r>
              <w:rPr>
                <w:rFonts w:hint="eastAsia"/>
                <w:color w:val="000000"/>
                <w:sz w:val="22"/>
              </w:rPr>
              <w:t>评审委员会构成：采购人依法组建，成员为7人及以上单数，其中技术、经济类专家不得少于总人数的2/3；评标专家确定方式：按相关规定从专家库中抽取。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606"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adjustRightInd w:val="0"/>
              <w:jc w:val="center"/>
              <w:rPr>
                <w:color w:val="000000"/>
                <w:sz w:val="22"/>
              </w:rPr>
            </w:pPr>
            <w:r>
              <w:rPr>
                <w:rFonts w:hint="eastAsia"/>
                <w:color w:val="000000"/>
                <w:sz w:val="22"/>
              </w:rPr>
              <w:t>政府采购</w:t>
            </w:r>
          </w:p>
          <w:p>
            <w:pPr>
              <w:adjustRightInd w:val="0"/>
              <w:jc w:val="center"/>
              <w:rPr>
                <w:color w:val="000000"/>
                <w:sz w:val="22"/>
              </w:rPr>
            </w:pPr>
            <w:r>
              <w:rPr>
                <w:rFonts w:hint="eastAsia"/>
                <w:color w:val="000000"/>
                <w:sz w:val="22"/>
              </w:rPr>
              <w:t>扶持政策</w:t>
            </w:r>
          </w:p>
        </w:tc>
        <w:tc>
          <w:tcPr>
            <w:tcW w:w="7776" w:type="dxa"/>
            <w:noWrap w:val="0"/>
            <w:vAlign w:val="center"/>
          </w:tcPr>
          <w:p>
            <w:pPr>
              <w:rPr>
                <w:color w:val="000000"/>
                <w:sz w:val="22"/>
              </w:rPr>
            </w:pPr>
            <w:r>
              <w:rPr>
                <w:rFonts w:hint="eastAsia"/>
                <w:color w:val="000000"/>
                <w:sz w:val="22"/>
              </w:rPr>
              <w:t>1、对符合财政扶持政策的小微企业（或监狱企业、残疾人福利性单位）给予评标价格优惠。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217"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rPr>
                <w:color w:val="000000"/>
                <w:sz w:val="22"/>
              </w:rPr>
            </w:pPr>
            <w:r>
              <w:rPr>
                <w:rFonts w:hint="eastAsia"/>
                <w:color w:val="000000"/>
                <w:sz w:val="22"/>
              </w:rPr>
              <w:t>供应商信用查询</w:t>
            </w:r>
          </w:p>
        </w:tc>
        <w:tc>
          <w:tcPr>
            <w:tcW w:w="7776" w:type="dxa"/>
            <w:noWrap w:val="0"/>
            <w:vAlign w:val="center"/>
          </w:tcPr>
          <w:p>
            <w:pPr>
              <w:rPr>
                <w:color w:val="000000"/>
                <w:sz w:val="22"/>
              </w:rPr>
            </w:pPr>
            <w:r>
              <w:rPr>
                <w:rFonts w:hint="eastAsia"/>
                <w:color w:val="000000"/>
                <w:sz w:val="22"/>
              </w:rPr>
              <w:t>1、投标供应商信用信息查询的查询渠道：“信用中国”(</w:t>
            </w:r>
            <w:r>
              <w:rPr>
                <w:color w:val="000000"/>
              </w:rPr>
              <w:fldChar w:fldCharType="begin"/>
            </w:r>
            <w:r>
              <w:rPr>
                <w:color w:val="000000"/>
              </w:rPr>
              <w:instrText xml:space="preserve"> HYPERLINK "http://www.creditchina.gov.cn" </w:instrText>
            </w:r>
            <w:r>
              <w:rPr>
                <w:color w:val="000000"/>
              </w:rPr>
              <w:fldChar w:fldCharType="separate"/>
            </w:r>
            <w:r>
              <w:rPr>
                <w:rFonts w:hint="eastAsia"/>
                <w:color w:val="000000"/>
                <w:sz w:val="22"/>
              </w:rPr>
              <w:t>www.creditchina.gov.cn</w:t>
            </w:r>
            <w:r>
              <w:rPr>
                <w:color w:val="000000"/>
                <w:sz w:val="22"/>
              </w:rPr>
              <w:fldChar w:fldCharType="end"/>
            </w:r>
            <w:r>
              <w:rPr>
                <w:rFonts w:hint="eastAsia"/>
                <w:color w:val="000000"/>
                <w:sz w:val="22"/>
              </w:rPr>
              <w:t>)；“中国政府采购网”（http://www.ccgp.gov.cn/）；</w:t>
            </w:r>
          </w:p>
          <w:p>
            <w:pPr>
              <w:rPr>
                <w:color w:val="000000"/>
                <w:sz w:val="22"/>
              </w:rPr>
            </w:pPr>
            <w:r>
              <w:rPr>
                <w:rFonts w:hint="eastAsia"/>
                <w:color w:val="000000"/>
                <w:sz w:val="22"/>
              </w:rPr>
              <w:t>2、投标供应商信用信息查询截止时点：采购公告至本项目投标截止时间前均可。</w:t>
            </w:r>
          </w:p>
          <w:p>
            <w:pPr>
              <w:rPr>
                <w:color w:val="000000"/>
                <w:sz w:val="22"/>
              </w:rPr>
            </w:pPr>
            <w:r>
              <w:rPr>
                <w:rFonts w:hint="eastAsia"/>
                <w:color w:val="000000"/>
                <w:sz w:val="22"/>
              </w:rPr>
              <w:t>3、投标供应商信用信息查询记录和证据留存的具体方式：网页截图打印；</w:t>
            </w:r>
          </w:p>
          <w:p>
            <w:pPr>
              <w:rPr>
                <w:color w:val="000000"/>
                <w:sz w:val="22"/>
              </w:rPr>
            </w:pPr>
            <w:r>
              <w:rPr>
                <w:rFonts w:hint="eastAsia"/>
                <w:color w:val="000000"/>
                <w:sz w:val="22"/>
              </w:rPr>
              <w:t xml:space="preserve">4、信用信息的使用规则：“信用中国”具有负面记录或受惩黑名单的供应商，或“中国政府采购网”具有严重违法失信行为信息记录的供应商，其投标做无效投标处理；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合同备案</w:t>
            </w:r>
          </w:p>
        </w:tc>
        <w:tc>
          <w:tcPr>
            <w:tcW w:w="7776" w:type="dxa"/>
            <w:noWrap w:val="0"/>
            <w:vAlign w:val="center"/>
          </w:tcPr>
          <w:p>
            <w:pPr>
              <w:rPr>
                <w:color w:val="000000"/>
                <w:sz w:val="22"/>
              </w:rPr>
            </w:pPr>
            <w:r>
              <w:rPr>
                <w:rFonts w:hint="eastAsia"/>
                <w:color w:val="000000"/>
                <w:sz w:val="22"/>
              </w:rPr>
              <w:t>1、中标供应商须在采购结果公告发布之日起30日内与采购人签订合同。</w:t>
            </w:r>
          </w:p>
          <w:p>
            <w:pPr>
              <w:rPr>
                <w:color w:val="000000"/>
                <w:sz w:val="22"/>
              </w:rPr>
            </w:pPr>
            <w:r>
              <w:rPr>
                <w:rFonts w:hint="eastAsia"/>
                <w:color w:val="000000"/>
                <w:sz w:val="22"/>
              </w:rPr>
              <w:t>2、中标供应商与采购人签订合同后，2日历天内将合同扫描件电子版发给平阳县公共资源交易中心：邮箱：</w:t>
            </w:r>
            <w:r>
              <w:rPr>
                <w:color w:val="000000"/>
                <w:u w:val="single"/>
              </w:rPr>
              <w:fldChar w:fldCharType="begin"/>
            </w:r>
            <w:r>
              <w:rPr>
                <w:color w:val="000000"/>
                <w:u w:val="single"/>
              </w:rPr>
              <w:instrText xml:space="preserve"> HYPERLINK "mailto: </w:instrText>
            </w:r>
            <w:r>
              <w:rPr>
                <w:rFonts w:hint="eastAsia"/>
                <w:color w:val="000000"/>
                <w:u w:val="single"/>
              </w:rPr>
              <w:instrText xml:space="preserve">461959682</w:instrText>
            </w:r>
            <w:r>
              <w:rPr>
                <w:rFonts w:hint="eastAsia"/>
                <w:color w:val="000000"/>
                <w:sz w:val="22"/>
                <w:u w:val="single"/>
              </w:rPr>
              <w:instrText xml:space="preserve">@qq.com</w:instrText>
            </w:r>
            <w:r>
              <w:rPr>
                <w:color w:val="000000"/>
                <w:u w:val="single"/>
              </w:rPr>
              <w:instrText xml:space="preserve">" </w:instrText>
            </w:r>
            <w:r>
              <w:rPr>
                <w:color w:val="000000"/>
                <w:u w:val="single"/>
              </w:rPr>
              <w:fldChar w:fldCharType="separate"/>
            </w:r>
            <w:r>
              <w:rPr>
                <w:rStyle w:val="64"/>
              </w:rPr>
              <w:t xml:space="preserve"> </w:t>
            </w:r>
            <w:r>
              <w:rPr>
                <w:rStyle w:val="64"/>
                <w:rFonts w:hint="eastAsia"/>
              </w:rPr>
              <w:t>461959682</w:t>
            </w:r>
            <w:r>
              <w:rPr>
                <w:rStyle w:val="64"/>
                <w:rFonts w:hint="eastAsia"/>
                <w:sz w:val="22"/>
              </w:rPr>
              <w:t>@qq.com</w:t>
            </w:r>
            <w:r>
              <w:rPr>
                <w:color w:val="000000"/>
                <w:u w:val="single"/>
              </w:rPr>
              <w:fldChar w:fldCharType="end"/>
            </w:r>
            <w:r>
              <w:rPr>
                <w:rFonts w:hint="eastAsia"/>
                <w:color w:val="000000"/>
                <w:sz w:val="22"/>
              </w:rPr>
              <w:t>；</w:t>
            </w:r>
          </w:p>
          <w:p>
            <w:pPr>
              <w:rPr>
                <w:color w:val="000000"/>
                <w:sz w:val="22"/>
              </w:rPr>
            </w:pPr>
            <w:r>
              <w:rPr>
                <w:rFonts w:hint="eastAsia"/>
                <w:color w:val="000000"/>
                <w:sz w:val="22"/>
              </w:rPr>
              <w:t>3、本项目政府采购合同按规定在浙江政府采购网及平阳县公共资源交易中心网站（</w:t>
            </w:r>
            <w:r>
              <w:rPr>
                <w:color w:val="000000"/>
                <w:sz w:val="22"/>
              </w:rPr>
              <w:fldChar w:fldCharType="begin"/>
            </w:r>
            <w:r>
              <w:rPr>
                <w:color w:val="000000"/>
                <w:sz w:val="22"/>
              </w:rPr>
              <w:instrText xml:space="preserve"> HYPERLINK "</w:instrText>
            </w:r>
            <w:r>
              <w:rPr>
                <w:rFonts w:hint="eastAsia"/>
                <w:color w:val="000000"/>
                <w:sz w:val="22"/>
              </w:rPr>
              <w:instrText xml:space="preserve">http://www.zjzfcg.gov.cn</w:instrText>
            </w:r>
            <w:r>
              <w:rPr>
                <w:color w:val="000000"/>
                <w:sz w:val="22"/>
              </w:rPr>
              <w:instrText xml:space="preserve">" </w:instrText>
            </w:r>
            <w:r>
              <w:rPr>
                <w:color w:val="000000"/>
                <w:sz w:val="22"/>
              </w:rPr>
              <w:fldChar w:fldCharType="separate"/>
            </w:r>
            <w:r>
              <w:rPr>
                <w:rFonts w:hint="eastAsia"/>
              </w:rPr>
              <w:t>http://www.zjzfcg.gov.cn</w:t>
            </w:r>
            <w:r>
              <w:rPr>
                <w:color w:val="000000"/>
                <w:sz w:val="22"/>
              </w:rPr>
              <w:fldChar w:fldCharType="end"/>
            </w:r>
            <w:r>
              <w:rPr>
                <w:rFonts w:hint="eastAsia"/>
                <w:color w:val="000000"/>
                <w:sz w:val="22"/>
              </w:rPr>
              <w:t>、</w:t>
            </w:r>
            <w:r>
              <w:rPr>
                <w:color w:val="000000"/>
                <w:sz w:val="22"/>
              </w:rPr>
              <w:t>http:// www.pyztb.com /</w:t>
            </w:r>
            <w:r>
              <w:rPr>
                <w:rFonts w:hint="eastAsia"/>
                <w:color w:val="000000"/>
                <w:sz w:val="22"/>
              </w:rPr>
              <w:t>）予以公告。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合同履约管理</w:t>
            </w:r>
          </w:p>
        </w:tc>
        <w:tc>
          <w:tcPr>
            <w:tcW w:w="7776" w:type="dxa"/>
            <w:noWrap w:val="0"/>
            <w:vAlign w:val="center"/>
          </w:tcPr>
          <w:p>
            <w:pPr>
              <w:rPr>
                <w:color w:val="000000"/>
                <w:sz w:val="22"/>
              </w:rPr>
            </w:pPr>
            <w:r>
              <w:rPr>
                <w:rFonts w:hint="eastAsia"/>
                <w:color w:val="000000"/>
                <w:sz w:val="22"/>
              </w:rPr>
              <w:t>合同签订后，采购人依法加强对合同履约进行管理，并在中标单位供货、项目验收等重要关节，如实填写《合同验收报告》（或考核资料），并及时向同级财政部门报告验收过程中遇到的问题。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免则声明</w:t>
            </w:r>
          </w:p>
        </w:tc>
        <w:tc>
          <w:tcPr>
            <w:tcW w:w="7776" w:type="dxa"/>
            <w:noWrap w:val="0"/>
            <w:vAlign w:val="center"/>
          </w:tcPr>
          <w:p>
            <w:pPr>
              <w:rPr>
                <w:color w:val="000000"/>
                <w:sz w:val="22"/>
              </w:rPr>
            </w:pPr>
            <w:r>
              <w:rPr>
                <w:rFonts w:hint="eastAsia"/>
                <w:color w:val="000000"/>
                <w:sz w:val="22"/>
              </w:rPr>
              <w:t>1、投标供应商自行承担投标过程中产生的费用。无论何种因素导致采购项目延期开标、废标（流标）、投标供应商未中标、项目终止采购的，采购人与代理机构均不承担供应商投标费用。</w:t>
            </w:r>
          </w:p>
          <w:p>
            <w:pPr>
              <w:rPr>
                <w:color w:val="000000"/>
                <w:sz w:val="22"/>
              </w:rPr>
            </w:pPr>
            <w:r>
              <w:rPr>
                <w:rFonts w:hint="eastAsia"/>
                <w:color w:val="000000"/>
                <w:sz w:val="22"/>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wBefore w:w="0" w:type="dxa"/>
          <w:wAfter w:w="0" w:type="dxa"/>
          <w:trHeight w:val="824" w:hRule="atLeast"/>
          <w:jc w:val="center"/>
        </w:trPr>
        <w:tc>
          <w:tcPr>
            <w:tcW w:w="842" w:type="dxa"/>
            <w:noWrap w:val="0"/>
            <w:vAlign w:val="center"/>
          </w:tcPr>
          <w:p>
            <w:pPr>
              <w:numPr>
                <w:ilvl w:val="0"/>
                <w:numId w:val="5"/>
              </w:numPr>
              <w:tabs>
                <w:tab w:val="left" w:pos="420"/>
                <w:tab w:val="clear" w:pos="720"/>
              </w:tabs>
              <w:ind w:left="420" w:hanging="420"/>
              <w:jc w:val="right"/>
              <w:rPr>
                <w:color w:val="000000"/>
                <w:sz w:val="22"/>
              </w:rPr>
            </w:pPr>
          </w:p>
        </w:tc>
        <w:tc>
          <w:tcPr>
            <w:tcW w:w="1553" w:type="dxa"/>
            <w:noWrap w:val="0"/>
            <w:vAlign w:val="center"/>
          </w:tcPr>
          <w:p>
            <w:pPr>
              <w:jc w:val="center"/>
              <w:rPr>
                <w:color w:val="000000"/>
                <w:sz w:val="22"/>
              </w:rPr>
            </w:pPr>
            <w:r>
              <w:rPr>
                <w:rFonts w:hint="eastAsia"/>
                <w:color w:val="000000"/>
                <w:sz w:val="22"/>
              </w:rPr>
              <w:t>解释权</w:t>
            </w:r>
          </w:p>
        </w:tc>
        <w:tc>
          <w:tcPr>
            <w:tcW w:w="7776" w:type="dxa"/>
            <w:noWrap w:val="0"/>
            <w:vAlign w:val="center"/>
          </w:tcPr>
          <w:p>
            <w:pPr>
              <w:rPr>
                <w:color w:val="000000"/>
                <w:sz w:val="22"/>
              </w:rPr>
            </w:pPr>
            <w:r>
              <w:rPr>
                <w:rFonts w:hint="eastAsia"/>
                <w:color w:val="000000"/>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adjustRightInd w:val="0"/>
        <w:snapToGrid w:val="0"/>
        <w:spacing w:line="360" w:lineRule="atLeast"/>
        <w:ind w:firstLine="440" w:firstLineChars="200"/>
        <w:rPr>
          <w:rFonts w:hint="eastAsia"/>
          <w:color w:val="000000"/>
          <w:sz w:val="22"/>
          <w:szCs w:val="22"/>
        </w:rPr>
      </w:pPr>
    </w:p>
    <w:p>
      <w:pPr>
        <w:jc w:val="center"/>
        <w:rPr>
          <w:rFonts w:hint="eastAsia"/>
          <w:bCs/>
          <w:color w:val="000000"/>
        </w:rPr>
      </w:pPr>
      <w:r>
        <w:rPr>
          <w:rFonts w:hint="eastAsia"/>
          <w:bCs/>
          <w:color w:val="000000"/>
          <w:sz w:val="22"/>
          <w:szCs w:val="22"/>
        </w:rPr>
        <w:t xml:space="preserve">                                              </w:t>
      </w:r>
    </w:p>
    <w:p>
      <w:pPr>
        <w:rPr>
          <w:rFonts w:hint="eastAsia"/>
          <w:bCs/>
          <w:color w:val="000000"/>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p>
    <w:p>
      <w:pPr>
        <w:autoSpaceDE w:val="0"/>
        <w:autoSpaceDN w:val="0"/>
        <w:spacing w:line="440" w:lineRule="atLeast"/>
        <w:jc w:val="center"/>
        <w:textAlignment w:val="bottom"/>
        <w:rPr>
          <w:rFonts w:hint="eastAsia"/>
          <w:color w:val="000000"/>
          <w:sz w:val="36"/>
        </w:rPr>
      </w:pPr>
      <w:r>
        <w:rPr>
          <w:rFonts w:hint="eastAsia"/>
          <w:color w:val="000000"/>
          <w:sz w:val="36"/>
        </w:rPr>
        <w:t>招标文件目录</w:t>
      </w:r>
    </w:p>
    <w:p>
      <w:pPr>
        <w:autoSpaceDE w:val="0"/>
        <w:autoSpaceDN w:val="0"/>
        <w:snapToGrid w:val="0"/>
        <w:spacing w:line="440" w:lineRule="atLeast"/>
        <w:textAlignment w:val="bottom"/>
        <w:rPr>
          <w:rFonts w:hint="eastAsia"/>
          <w:color w:val="000000"/>
          <w:sz w:val="28"/>
        </w:rPr>
      </w:pPr>
      <w:r>
        <w:rPr>
          <w:rFonts w:hint="eastAsia"/>
          <w:color w:val="000000"/>
          <w:sz w:val="28"/>
        </w:rPr>
        <w:t xml:space="preserve"> </w:t>
      </w:r>
    </w:p>
    <w:p>
      <w:pPr>
        <w:autoSpaceDE w:val="0"/>
        <w:autoSpaceDN w:val="0"/>
        <w:spacing w:line="440" w:lineRule="atLeast"/>
        <w:ind w:firstLine="323" w:firstLineChars="147"/>
        <w:textAlignment w:val="bottom"/>
        <w:rPr>
          <w:rFonts w:hint="eastAsia"/>
          <w:color w:val="000000"/>
          <w:sz w:val="36"/>
        </w:rPr>
      </w:pPr>
      <w:r>
        <w:rPr>
          <w:rFonts w:hint="eastAsia"/>
          <w:color w:val="000000"/>
          <w:sz w:val="22"/>
          <w:szCs w:val="22"/>
        </w:rPr>
        <w:t>第一部分、项目简介</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第二部分、招标内容及要求</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第三部分、供应商须知</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一、说明</w:t>
      </w:r>
    </w:p>
    <w:p>
      <w:pPr>
        <w:autoSpaceDE w:val="0"/>
        <w:autoSpaceDN w:val="0"/>
        <w:snapToGrid w:val="0"/>
        <w:spacing w:line="440" w:lineRule="atLeast"/>
        <w:ind w:firstLine="1419" w:firstLineChars="645"/>
        <w:textAlignment w:val="bottom"/>
        <w:rPr>
          <w:rFonts w:hint="eastAsia"/>
          <w:color w:val="000000"/>
          <w:sz w:val="22"/>
          <w:szCs w:val="22"/>
        </w:rPr>
      </w:pPr>
      <w:r>
        <w:rPr>
          <w:rFonts w:hint="eastAsia"/>
          <w:color w:val="000000"/>
          <w:sz w:val="22"/>
          <w:szCs w:val="22"/>
        </w:rPr>
        <w:t>二、供应商资格要求</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三、招标文件</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四、投标文件</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五、投标文件的递交</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六、开标和评标</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七、授予合同</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第四部分、政府采购政策功能相关说明</w:t>
      </w:r>
    </w:p>
    <w:p>
      <w:pPr>
        <w:autoSpaceDE w:val="0"/>
        <w:autoSpaceDN w:val="0"/>
        <w:snapToGrid w:val="0"/>
        <w:spacing w:line="440" w:lineRule="atLeast"/>
        <w:ind w:firstLine="330" w:firstLineChars="150"/>
        <w:textAlignment w:val="bottom"/>
        <w:rPr>
          <w:rFonts w:hint="eastAsia"/>
          <w:color w:val="000000"/>
          <w:sz w:val="22"/>
          <w:szCs w:val="22"/>
        </w:rPr>
      </w:pPr>
      <w:r>
        <w:rPr>
          <w:rFonts w:hint="eastAsia"/>
          <w:color w:val="000000"/>
          <w:sz w:val="22"/>
          <w:szCs w:val="22"/>
        </w:rPr>
        <w:t>第五部分、合同格式</w:t>
      </w:r>
    </w:p>
    <w:p>
      <w:pPr>
        <w:tabs>
          <w:tab w:val="left" w:pos="560"/>
        </w:tabs>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第六部分、附件：投标文件格式</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附件一、投标函</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附件二、开标一览表</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附件三、偏离表</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附件四、投标资格、资质证明文件</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附件五、其他投标文件</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附件六、随机备品备件、专用工具清单</w:t>
      </w:r>
    </w:p>
    <w:p>
      <w:pPr>
        <w:autoSpaceDE w:val="0"/>
        <w:autoSpaceDN w:val="0"/>
        <w:snapToGrid w:val="0"/>
        <w:spacing w:line="440" w:lineRule="atLeast"/>
        <w:textAlignment w:val="bottom"/>
        <w:rPr>
          <w:rFonts w:hint="eastAsia"/>
          <w:color w:val="000000"/>
          <w:sz w:val="22"/>
          <w:szCs w:val="22"/>
        </w:rPr>
      </w:pPr>
      <w:r>
        <w:rPr>
          <w:rFonts w:hint="eastAsia"/>
          <w:color w:val="000000"/>
          <w:sz w:val="22"/>
          <w:szCs w:val="22"/>
        </w:rPr>
        <w:t xml:space="preserve">             附件七、货物零件、易损件、备品备件报价表</w:t>
      </w:r>
    </w:p>
    <w:p>
      <w:pPr>
        <w:tabs>
          <w:tab w:val="left" w:pos="560"/>
        </w:tabs>
        <w:autoSpaceDE w:val="0"/>
        <w:autoSpaceDN w:val="0"/>
        <w:snapToGrid w:val="0"/>
        <w:spacing w:line="440" w:lineRule="atLeast"/>
        <w:ind w:firstLine="1430" w:firstLineChars="650"/>
        <w:textAlignment w:val="bottom"/>
        <w:rPr>
          <w:rFonts w:hint="eastAsia"/>
          <w:color w:val="000000"/>
          <w:sz w:val="22"/>
          <w:szCs w:val="22"/>
        </w:rPr>
      </w:pPr>
      <w:r>
        <w:rPr>
          <w:rFonts w:hint="eastAsia"/>
          <w:color w:val="000000"/>
          <w:sz w:val="22"/>
          <w:szCs w:val="22"/>
        </w:rPr>
        <w:t>附件八、业绩清单</w:t>
      </w:r>
    </w:p>
    <w:p>
      <w:pPr>
        <w:tabs>
          <w:tab w:val="left" w:pos="560"/>
        </w:tabs>
        <w:autoSpaceDE w:val="0"/>
        <w:autoSpaceDN w:val="0"/>
        <w:snapToGrid w:val="0"/>
        <w:spacing w:line="440" w:lineRule="atLeast"/>
        <w:ind w:firstLine="1430" w:firstLineChars="650"/>
        <w:textAlignment w:val="bottom"/>
        <w:rPr>
          <w:rFonts w:hint="eastAsia"/>
          <w:color w:val="000000"/>
          <w:sz w:val="22"/>
          <w:szCs w:val="22"/>
        </w:rPr>
      </w:pPr>
      <w:r>
        <w:rPr>
          <w:rFonts w:hint="eastAsia"/>
          <w:color w:val="000000"/>
          <w:sz w:val="22"/>
          <w:szCs w:val="22"/>
        </w:rPr>
        <w:t>附件九、供应商参与政府采购活动投标资格声明</w:t>
      </w:r>
    </w:p>
    <w:p>
      <w:pPr>
        <w:autoSpaceDE w:val="0"/>
        <w:autoSpaceDN w:val="0"/>
        <w:snapToGrid w:val="0"/>
        <w:spacing w:line="440" w:lineRule="atLeast"/>
        <w:ind w:firstLine="431" w:firstLineChars="196"/>
        <w:textAlignment w:val="bottom"/>
        <w:rPr>
          <w:rFonts w:hint="eastAsia"/>
          <w:color w:val="000000"/>
          <w:sz w:val="22"/>
          <w:szCs w:val="22"/>
        </w:rPr>
      </w:pPr>
      <w:r>
        <w:rPr>
          <w:rFonts w:hint="eastAsia"/>
          <w:color w:val="000000"/>
          <w:sz w:val="22"/>
          <w:szCs w:val="22"/>
        </w:rPr>
        <w:t>第七部分、评标办法</w:t>
      </w:r>
    </w:p>
    <w:p>
      <w:pPr>
        <w:autoSpaceDE w:val="0"/>
        <w:autoSpaceDN w:val="0"/>
        <w:snapToGrid w:val="0"/>
        <w:spacing w:line="440" w:lineRule="atLeast"/>
        <w:ind w:firstLine="431" w:firstLineChars="196"/>
        <w:textAlignment w:val="bottom"/>
        <w:rPr>
          <w:rFonts w:hint="eastAsia"/>
          <w:color w:val="000000"/>
          <w:sz w:val="22"/>
          <w:szCs w:val="22"/>
        </w:rPr>
      </w:pPr>
      <w:r>
        <w:rPr>
          <w:rFonts w:hint="eastAsia"/>
          <w:color w:val="000000"/>
          <w:sz w:val="22"/>
          <w:szCs w:val="22"/>
        </w:rPr>
        <w:t>附：质疑函范本</w:t>
      </w:r>
    </w:p>
    <w:p>
      <w:pPr>
        <w:autoSpaceDE w:val="0"/>
        <w:autoSpaceDN w:val="0"/>
        <w:snapToGrid w:val="0"/>
        <w:spacing w:line="440" w:lineRule="atLeast"/>
        <w:ind w:firstLine="431" w:firstLineChars="196"/>
        <w:textAlignment w:val="bottom"/>
        <w:rPr>
          <w:rFonts w:hint="eastAsia"/>
          <w:color w:val="000000"/>
          <w:sz w:val="22"/>
          <w:szCs w:val="22"/>
        </w:rPr>
      </w:pPr>
    </w:p>
    <w:p>
      <w:pPr>
        <w:pStyle w:val="53"/>
        <w:spacing w:before="0" w:after="0" w:line="420" w:lineRule="exact"/>
        <w:rPr>
          <w:rFonts w:hint="eastAsia"/>
          <w:color w:val="000000"/>
          <w:lang w:val="zh-CN"/>
        </w:rPr>
      </w:pPr>
      <w:r>
        <w:rPr>
          <w:rFonts w:hint="eastAsia"/>
          <w:color w:val="000000"/>
          <w:lang w:val="zh-CN"/>
        </w:rPr>
        <w:t>第一部分     项目简介</w:t>
      </w:r>
    </w:p>
    <w:p>
      <w:pPr>
        <w:pStyle w:val="47"/>
        <w:adjustRightInd w:val="0"/>
        <w:snapToGrid w:val="0"/>
        <w:spacing w:line="460" w:lineRule="exact"/>
        <w:ind w:firstLine="0" w:firstLineChars="0"/>
        <w:outlineLvl w:val="0"/>
        <w:rPr>
          <w:rFonts w:hint="eastAsia" w:ascii="宋体" w:hAnsi="宋体" w:eastAsia="宋体"/>
          <w:b/>
          <w:sz w:val="22"/>
          <w:szCs w:val="22"/>
        </w:rPr>
      </w:pPr>
      <w:bookmarkStart w:id="10" w:name="_Toc444066171"/>
      <w:r>
        <w:rPr>
          <w:rFonts w:hint="eastAsia" w:ascii="宋体" w:hAnsi="宋体" w:eastAsia="宋体"/>
          <w:b/>
          <w:sz w:val="22"/>
          <w:szCs w:val="22"/>
        </w:rPr>
        <w:t>一、项目简介</w:t>
      </w:r>
    </w:p>
    <w:p>
      <w:pPr>
        <w:snapToGrid w:val="0"/>
        <w:spacing w:line="460" w:lineRule="exact"/>
        <w:rPr>
          <w:rFonts w:hint="eastAsia"/>
          <w:color w:val="000000"/>
          <w:sz w:val="22"/>
          <w:szCs w:val="22"/>
        </w:rPr>
      </w:pPr>
      <w:r>
        <w:rPr>
          <w:rFonts w:hint="eastAsia"/>
          <w:color w:val="000000"/>
          <w:sz w:val="22"/>
          <w:szCs w:val="22"/>
        </w:rPr>
        <w:t xml:space="preserve"> 中共平阳县委政法委员会</w:t>
      </w:r>
      <w:r>
        <w:rPr>
          <w:color w:val="000000"/>
          <w:sz w:val="22"/>
          <w:szCs w:val="22"/>
        </w:rPr>
        <w:t>以公开招标方式采购</w:t>
      </w:r>
      <w:r>
        <w:rPr>
          <w:rFonts w:hint="eastAsia" w:ascii="仿宋" w:hAnsi="仿宋" w:eastAsia="仿宋"/>
        </w:rPr>
        <w:t>平阳县雪亮工程视频智能分析系统</w:t>
      </w:r>
      <w:r>
        <w:rPr>
          <w:rFonts w:hint="eastAsia"/>
          <w:bCs/>
          <w:color w:val="000000"/>
          <w:sz w:val="22"/>
          <w:szCs w:val="22"/>
        </w:rPr>
        <w:t>，</w:t>
      </w:r>
      <w:r>
        <w:rPr>
          <w:rFonts w:hint="eastAsia"/>
          <w:color w:val="000000"/>
          <w:sz w:val="22"/>
          <w:szCs w:val="22"/>
        </w:rPr>
        <w:t>本次招标资金已经落实。</w:t>
      </w:r>
    </w:p>
    <w:p>
      <w:pPr>
        <w:autoSpaceDE w:val="0"/>
        <w:autoSpaceDN w:val="0"/>
        <w:adjustRightInd w:val="0"/>
        <w:snapToGrid w:val="0"/>
        <w:spacing w:line="460" w:lineRule="exact"/>
        <w:ind w:firstLine="545" w:firstLineChars="248"/>
        <w:textAlignment w:val="bottom"/>
        <w:rPr>
          <w:rFonts w:hint="eastAsia"/>
          <w:color w:val="000000"/>
          <w:sz w:val="22"/>
          <w:szCs w:val="22"/>
        </w:rPr>
      </w:pPr>
      <w:r>
        <w:rPr>
          <w:rFonts w:hint="eastAsia"/>
          <w:color w:val="000000"/>
          <w:sz w:val="22"/>
          <w:szCs w:val="22"/>
        </w:rPr>
        <w:t>我们热情欢迎有关公司（企业）前来进行投标。</w:t>
      </w:r>
    </w:p>
    <w:p>
      <w:pPr>
        <w:autoSpaceDE w:val="0"/>
        <w:autoSpaceDN w:val="0"/>
        <w:adjustRightInd w:val="0"/>
        <w:snapToGrid w:val="0"/>
        <w:spacing w:line="460" w:lineRule="exact"/>
        <w:jc w:val="center"/>
        <w:textAlignment w:val="bottom"/>
        <w:rPr>
          <w:rFonts w:hint="eastAsia"/>
          <w:b/>
          <w:color w:val="000000"/>
          <w:sz w:val="36"/>
        </w:rPr>
      </w:pPr>
      <w:r>
        <w:rPr>
          <w:rFonts w:hint="eastAsia"/>
          <w:b/>
          <w:color w:val="000000"/>
          <w:sz w:val="36"/>
        </w:rPr>
        <w:t>第二部分     招标内容及技术要求</w:t>
      </w:r>
      <w:bookmarkEnd w:id="10"/>
    </w:p>
    <w:p>
      <w:pPr>
        <w:tabs>
          <w:tab w:val="left" w:pos="360"/>
        </w:tabs>
        <w:spacing w:line="460" w:lineRule="exact"/>
        <w:ind w:firstLine="552" w:firstLineChars="250"/>
        <w:outlineLvl w:val="1"/>
        <w:rPr>
          <w:rFonts w:hint="eastAsia" w:ascii="新宋体" w:hAnsi="新宋体" w:eastAsia="新宋体" w:cs="新宋体"/>
          <w:b/>
          <w:bCs/>
          <w:sz w:val="22"/>
          <w:szCs w:val="22"/>
        </w:rPr>
      </w:pPr>
      <w:r>
        <w:rPr>
          <w:rFonts w:hint="eastAsia" w:ascii="新宋体" w:hAnsi="新宋体" w:eastAsia="新宋体" w:cs="新宋体"/>
          <w:b/>
          <w:bCs/>
          <w:sz w:val="22"/>
          <w:szCs w:val="22"/>
        </w:rPr>
        <w:t>一、总则</w:t>
      </w:r>
    </w:p>
    <w:p>
      <w:pPr>
        <w:tabs>
          <w:tab w:val="left" w:pos="360"/>
        </w:tabs>
        <w:spacing w:line="460" w:lineRule="exact"/>
        <w:ind w:firstLine="550" w:firstLineChars="250"/>
        <w:rPr>
          <w:rFonts w:hint="eastAsia" w:ascii="新宋体" w:hAnsi="新宋体" w:eastAsia="新宋体" w:cs="新宋体"/>
          <w:sz w:val="22"/>
          <w:szCs w:val="22"/>
        </w:rPr>
      </w:pPr>
      <w:r>
        <w:rPr>
          <w:rFonts w:hint="eastAsia" w:ascii="新宋体" w:hAnsi="新宋体" w:eastAsia="新宋体" w:cs="新宋体"/>
          <w:sz w:val="22"/>
          <w:szCs w:val="22"/>
        </w:rPr>
        <w:t>1、本技术规格书只是设备及安装的一些原则性规定，并不是详尽的要求，投标人有责任对该设备设计符合技术规格书要求负责。</w:t>
      </w:r>
    </w:p>
    <w:p>
      <w:pPr>
        <w:tabs>
          <w:tab w:val="left" w:pos="360"/>
        </w:tabs>
        <w:spacing w:line="460" w:lineRule="exact"/>
        <w:ind w:firstLine="550" w:firstLineChars="250"/>
        <w:rPr>
          <w:rFonts w:hint="eastAsia" w:ascii="新宋体" w:hAnsi="新宋体" w:eastAsia="新宋体" w:cs="新宋体"/>
          <w:sz w:val="22"/>
          <w:szCs w:val="22"/>
        </w:rPr>
      </w:pPr>
      <w:r>
        <w:rPr>
          <w:rFonts w:hint="eastAsia" w:ascii="新宋体" w:hAnsi="新宋体" w:eastAsia="新宋体" w:cs="新宋体"/>
          <w:sz w:val="22"/>
          <w:szCs w:val="22"/>
        </w:rPr>
        <w:t>2、采购的设备所涉及的产品标准、规范，验收标准、规范，应符合国家有关条例及规范，如有新的标准应采纳新标准，如是国外相应标准应征得采购人认可。</w:t>
      </w:r>
    </w:p>
    <w:p>
      <w:pPr>
        <w:tabs>
          <w:tab w:val="left" w:pos="360"/>
        </w:tabs>
        <w:spacing w:line="460" w:lineRule="exact"/>
        <w:ind w:firstLine="550" w:firstLineChars="250"/>
        <w:rPr>
          <w:rFonts w:hint="eastAsia" w:ascii="新宋体" w:hAnsi="新宋体" w:eastAsia="新宋体" w:cs="新宋体"/>
          <w:sz w:val="22"/>
          <w:szCs w:val="22"/>
        </w:rPr>
      </w:pPr>
      <w:r>
        <w:rPr>
          <w:rFonts w:hint="eastAsia" w:ascii="新宋体" w:hAnsi="新宋体" w:eastAsia="新宋体" w:cs="新宋体"/>
          <w:sz w:val="22"/>
          <w:szCs w:val="22"/>
        </w:rPr>
        <w:t>3、投标人应根据招标文件所提出的技术规格、参数、数量和服务要求，综合考虑货物的适应性，选择具有最佳性能价格比的货物前来报价。希望投标人以精良的货物、优良的服务和优惠的价格，充分显示自身的竞争实力。</w:t>
      </w:r>
    </w:p>
    <w:p>
      <w:pPr>
        <w:tabs>
          <w:tab w:val="left" w:pos="360"/>
        </w:tabs>
        <w:spacing w:line="460" w:lineRule="exact"/>
        <w:ind w:firstLine="550" w:firstLineChars="250"/>
        <w:rPr>
          <w:rFonts w:hint="eastAsia" w:ascii="新宋体" w:hAnsi="新宋体" w:eastAsia="新宋体" w:cs="新宋体"/>
          <w:b/>
          <w:bCs/>
          <w:sz w:val="22"/>
          <w:szCs w:val="22"/>
        </w:rPr>
      </w:pPr>
      <w:r>
        <w:rPr>
          <w:rFonts w:hint="eastAsia" w:ascii="新宋体" w:hAnsi="新宋体" w:eastAsia="新宋体" w:cs="新宋体"/>
          <w:sz w:val="22"/>
          <w:szCs w:val="22"/>
        </w:rPr>
        <w:t>4、</w:t>
      </w:r>
      <w:r>
        <w:rPr>
          <w:rFonts w:hint="eastAsia" w:ascii="新宋体" w:hAnsi="新宋体" w:eastAsia="新宋体" w:cs="新宋体"/>
          <w:b/>
          <w:bCs/>
          <w:sz w:val="22"/>
          <w:szCs w:val="22"/>
        </w:rPr>
        <w:t>本招标项目为平阳县雪亮工程视频智能分析系统，包括设备的供货、安装调试、软件系统定制开发、技术及售后服务等。</w:t>
      </w:r>
    </w:p>
    <w:p>
      <w:pPr>
        <w:tabs>
          <w:tab w:val="left" w:pos="360"/>
        </w:tabs>
        <w:spacing w:line="360" w:lineRule="auto"/>
        <w:ind w:firstLine="550" w:firstLineChars="250"/>
        <w:rPr>
          <w:rFonts w:hint="eastAsia" w:ascii="新宋体" w:hAnsi="新宋体" w:eastAsia="新宋体" w:cs="新宋体"/>
          <w:sz w:val="22"/>
          <w:szCs w:val="22"/>
        </w:rPr>
      </w:pPr>
      <w:r>
        <w:rPr>
          <w:rFonts w:hint="eastAsia" w:ascii="新宋体" w:hAnsi="新宋体" w:eastAsia="新宋体" w:cs="新宋体"/>
          <w:sz w:val="22"/>
          <w:szCs w:val="22"/>
        </w:rPr>
        <w:t>5、投标人所投产品的名称、品牌、型号、技术参数、性能、数量、单价、合价、厂商、产地、质保期等应在投标文件中明确，定制软件需满足标书条款，对招标文件的技术条款及要求应予以实质性响应，如有偏离应在偏离表中注明。</w:t>
      </w:r>
    </w:p>
    <w:p>
      <w:pPr>
        <w:tabs>
          <w:tab w:val="left" w:pos="360"/>
        </w:tabs>
        <w:spacing w:line="360" w:lineRule="auto"/>
        <w:ind w:firstLine="552" w:firstLineChars="250"/>
        <w:rPr>
          <w:rFonts w:hint="eastAsia" w:ascii="新宋体" w:hAnsi="新宋体" w:eastAsia="新宋体" w:cs="新宋体"/>
          <w:b/>
          <w:bCs/>
          <w:sz w:val="22"/>
          <w:szCs w:val="22"/>
          <w:u w:val="single"/>
        </w:rPr>
      </w:pPr>
      <w:r>
        <w:rPr>
          <w:rFonts w:hint="eastAsia" w:ascii="新宋体" w:hAnsi="新宋体" w:eastAsia="新宋体" w:cs="新宋体"/>
          <w:b/>
          <w:bCs/>
          <w:sz w:val="22"/>
          <w:szCs w:val="22"/>
          <w:u w:val="single"/>
        </w:rPr>
        <w:t>6、本工程为交钥匙工程，投标人不得以其它理由增加费用。</w:t>
      </w:r>
    </w:p>
    <w:p>
      <w:pPr>
        <w:tabs>
          <w:tab w:val="left" w:pos="360"/>
        </w:tabs>
        <w:spacing w:line="360" w:lineRule="auto"/>
        <w:ind w:firstLine="552" w:firstLineChars="250"/>
        <w:outlineLvl w:val="1"/>
        <w:rPr>
          <w:rFonts w:hint="eastAsia" w:ascii="新宋体" w:hAnsi="新宋体" w:eastAsia="新宋体" w:cs="新宋体"/>
          <w:b/>
          <w:bCs/>
          <w:sz w:val="22"/>
          <w:szCs w:val="22"/>
        </w:rPr>
      </w:pPr>
      <w:r>
        <w:rPr>
          <w:rFonts w:hint="eastAsia" w:ascii="新宋体" w:hAnsi="新宋体" w:eastAsia="新宋体" w:cs="新宋体"/>
          <w:b/>
          <w:bCs/>
          <w:sz w:val="22"/>
          <w:szCs w:val="22"/>
        </w:rPr>
        <w:t>二</w:t>
      </w:r>
      <w:bookmarkStart w:id="11" w:name="_Toc117214067"/>
      <w:r>
        <w:rPr>
          <w:rFonts w:hint="eastAsia" w:ascii="新宋体" w:hAnsi="新宋体" w:eastAsia="新宋体" w:cs="新宋体"/>
          <w:b/>
          <w:bCs/>
          <w:sz w:val="22"/>
          <w:szCs w:val="22"/>
        </w:rPr>
        <w:t>、采购内容及要求</w:t>
      </w:r>
      <w:bookmarkEnd w:id="11"/>
    </w:p>
    <w:p>
      <w:pPr>
        <w:tabs>
          <w:tab w:val="left" w:pos="360"/>
        </w:tabs>
        <w:spacing w:line="360" w:lineRule="auto"/>
        <w:ind w:firstLine="600" w:firstLineChars="250"/>
        <w:rPr>
          <w:rFonts w:hint="eastAsia" w:ascii="新宋体" w:hAnsi="新宋体" w:eastAsia="新宋体" w:cs="新宋体"/>
          <w:sz w:val="22"/>
          <w:szCs w:val="22"/>
        </w:rPr>
      </w:pPr>
      <w:r>
        <w:rPr>
          <w:rFonts w:hint="eastAsia" w:ascii="仿宋" w:hAnsi="仿宋" w:eastAsia="仿宋"/>
        </w:rPr>
        <w:t>平阳县雪亮工程视频智能分析系统</w:t>
      </w:r>
      <w:r>
        <w:rPr>
          <w:rFonts w:hint="eastAsia" w:ascii="新宋体" w:hAnsi="新宋体" w:eastAsia="新宋体" w:cs="新宋体"/>
          <w:sz w:val="22"/>
          <w:szCs w:val="22"/>
        </w:rPr>
        <w:t>财政预算（最高限价）为人民币550万元整，如投标人报价超过财政预算按无效标处理。</w:t>
      </w:r>
    </w:p>
    <w:p>
      <w:pPr>
        <w:pStyle w:val="9"/>
        <w:ind w:firstLine="562" w:firstLineChars="200"/>
        <w:rPr>
          <w:rFonts w:ascii="仿宋" w:hAnsi="仿宋" w:eastAsia="仿宋" w:cs="MS Mincho"/>
        </w:rPr>
      </w:pPr>
      <w:r>
        <w:rPr>
          <w:rFonts w:hint="eastAsia" w:ascii="仿宋" w:hAnsi="仿宋" w:eastAsia="仿宋" w:cs="MS Mincho"/>
        </w:rPr>
        <w:t>三、建设目标</w:t>
      </w:r>
      <w:bookmarkStart w:id="12" w:name="_Toc525638206"/>
      <w:bookmarkStart w:id="13" w:name="_Toc443942722"/>
      <w:bookmarkStart w:id="14" w:name="_Toc525725184"/>
      <w:bookmarkStart w:id="15" w:name="_Toc525306065"/>
      <w:bookmarkStart w:id="16" w:name="_Toc441501866"/>
      <w:bookmarkStart w:id="17" w:name="_Toc519698889"/>
    </w:p>
    <w:p>
      <w:pPr>
        <w:pStyle w:val="110"/>
        <w:rPr>
          <w:rFonts w:ascii="仿宋" w:hAnsi="仿宋" w:eastAsia="仿宋"/>
        </w:rPr>
      </w:pPr>
      <w:r>
        <w:rPr>
          <w:rFonts w:hint="eastAsia" w:ascii="仿宋" w:hAnsi="仿宋" w:eastAsia="仿宋"/>
        </w:rPr>
        <w:t>本期工程建设一套视频智能分析系统，旨在为平阳公安深度挖掘视频资源价值，提升实战应用提供支撑，通过人脸、车辆、人体等智能分析算法，对采集的目标进行融合特征智能分析，满足**实战工作需要。</w:t>
      </w:r>
    </w:p>
    <w:p>
      <w:pPr>
        <w:pStyle w:val="110"/>
        <w:rPr>
          <w:rFonts w:ascii="仿宋" w:hAnsi="仿宋" w:eastAsia="仿宋"/>
        </w:rPr>
      </w:pPr>
      <w:r>
        <w:rPr>
          <w:rFonts w:hint="eastAsia" w:ascii="仿宋" w:hAnsi="仿宋" w:eastAsia="仿宋"/>
        </w:rPr>
        <w:t>本期工程建设拟接入视频数量不少于2000路，同时包含人脸、车辆与人体检测识别、并发检测不低于2000路。</w:t>
      </w:r>
    </w:p>
    <w:bookmarkEnd w:id="12"/>
    <w:bookmarkEnd w:id="13"/>
    <w:bookmarkEnd w:id="14"/>
    <w:bookmarkEnd w:id="15"/>
    <w:bookmarkEnd w:id="16"/>
    <w:p>
      <w:pPr>
        <w:pStyle w:val="10"/>
        <w:rPr>
          <w:rFonts w:ascii="仿宋" w:hAnsi="仿宋" w:eastAsia="仿宋"/>
        </w:rPr>
      </w:pPr>
      <w:r>
        <w:rPr>
          <w:rFonts w:hint="eastAsia" w:ascii="仿宋" w:hAnsi="仿宋" w:eastAsia="仿宋"/>
        </w:rPr>
        <w:t>全域数据接入</w:t>
      </w:r>
    </w:p>
    <w:p>
      <w:pPr>
        <w:pStyle w:val="110"/>
        <w:ind w:firstLine="480"/>
        <w:rPr>
          <w:rFonts w:ascii="仿宋" w:hAnsi="仿宋" w:eastAsia="仿宋"/>
        </w:rPr>
      </w:pPr>
      <w:r>
        <w:rPr>
          <w:rFonts w:hint="eastAsia" w:ascii="仿宋" w:hAnsi="仿宋" w:eastAsia="仿宋"/>
        </w:rPr>
        <w:t>本项目系统需支持多种视频资源接入，包扩已建治安监控点位、交通卡口点位、人脸相机等接入，同时需支持未来新建点位的视频资源接入。</w:t>
      </w:r>
    </w:p>
    <w:p>
      <w:pPr>
        <w:pStyle w:val="110"/>
        <w:ind w:firstLine="480"/>
        <w:rPr>
          <w:rFonts w:ascii="仿宋" w:hAnsi="仿宋" w:eastAsia="仿宋"/>
        </w:rPr>
      </w:pPr>
      <w:r>
        <w:rPr>
          <w:rFonts w:hint="eastAsia" w:ascii="仿宋" w:hAnsi="仿宋" w:eastAsia="仿宋"/>
        </w:rPr>
        <w:t>支持主流厂商视频前端设备接入，如海康、大华、宇视等，支持实时视频流、录像文件、图片流接入，分析数据存储时间不少于90天，设备接入层分析数据存储不少于7天。</w:t>
      </w:r>
    </w:p>
    <w:p>
      <w:pPr>
        <w:pStyle w:val="10"/>
        <w:rPr>
          <w:rFonts w:ascii="仿宋" w:hAnsi="仿宋" w:eastAsia="仿宋"/>
        </w:rPr>
      </w:pPr>
      <w:bookmarkStart w:id="18" w:name="_Toc525306066"/>
      <w:bookmarkStart w:id="19" w:name="_Toc525638207"/>
      <w:bookmarkStart w:id="20" w:name="_Toc525725185"/>
      <w:r>
        <w:rPr>
          <w:rFonts w:hint="eastAsia" w:ascii="仿宋" w:hAnsi="仿宋" w:eastAsia="仿宋"/>
        </w:rPr>
        <w:t>视频智能分析</w:t>
      </w:r>
      <w:bookmarkEnd w:id="18"/>
      <w:bookmarkEnd w:id="19"/>
      <w:bookmarkEnd w:id="20"/>
    </w:p>
    <w:p>
      <w:pPr>
        <w:pStyle w:val="110"/>
        <w:rPr>
          <w:rFonts w:ascii="仿宋" w:hAnsi="仿宋" w:eastAsia="仿宋"/>
        </w:rPr>
      </w:pPr>
      <w:r>
        <w:rPr>
          <w:rFonts w:hint="eastAsia" w:ascii="仿宋" w:hAnsi="仿宋" w:eastAsia="仿宋"/>
        </w:rPr>
        <w:t>通过综合运用云计算技术、人工智能、深度学习、大数据技术等，实现视频/图像的智能分析，为各警种提供基于视频的智能分析业务应用，实现公安各警种对治安防控、指挥调度、案件侦破等业务的综合应用服务。</w:t>
      </w:r>
    </w:p>
    <w:p>
      <w:pPr>
        <w:pStyle w:val="110"/>
        <w:rPr>
          <w:rFonts w:ascii="仿宋" w:hAnsi="仿宋" w:eastAsia="仿宋"/>
        </w:rPr>
      </w:pPr>
    </w:p>
    <w:p>
      <w:pPr>
        <w:pStyle w:val="10"/>
        <w:rPr>
          <w:rFonts w:ascii="仿宋" w:hAnsi="仿宋" w:eastAsia="仿宋"/>
        </w:rPr>
      </w:pPr>
      <w:bookmarkStart w:id="21" w:name="_Toc525638208"/>
      <w:bookmarkStart w:id="22" w:name="_Toc525306067"/>
      <w:bookmarkStart w:id="23" w:name="_Toc443942726"/>
      <w:bookmarkStart w:id="24" w:name="_Toc441501870"/>
      <w:bookmarkStart w:id="25" w:name="_Toc525725186"/>
      <w:r>
        <w:rPr>
          <w:rFonts w:hint="eastAsia" w:ascii="仿宋" w:hAnsi="仿宋" w:eastAsia="仿宋"/>
        </w:rPr>
        <w:t>数据异构共享</w:t>
      </w:r>
      <w:bookmarkEnd w:id="21"/>
      <w:bookmarkEnd w:id="22"/>
      <w:bookmarkEnd w:id="23"/>
      <w:bookmarkEnd w:id="24"/>
      <w:bookmarkEnd w:id="25"/>
    </w:p>
    <w:p>
      <w:pPr>
        <w:pStyle w:val="110"/>
        <w:rPr>
          <w:rFonts w:ascii="仿宋" w:hAnsi="仿宋" w:eastAsia="仿宋"/>
        </w:rPr>
      </w:pPr>
      <w:r>
        <w:rPr>
          <w:rFonts w:hint="eastAsia" w:ascii="仿宋" w:hAnsi="仿宋" w:eastAsia="仿宋"/>
        </w:rPr>
        <w:t>在安全可控、分级分权的原则下，通过数据联网及整合等措施，将第三方平台和各警种的信息资源进行高效整合，以实战应为目的，采用人工智能、大数据等技术，深入挖掘数据信息，对整合的视频资源、异构数据等进行高效分析，为公安机关各警种提供综合性服务。</w:t>
      </w:r>
    </w:p>
    <w:p>
      <w:pPr>
        <w:pStyle w:val="10"/>
        <w:rPr>
          <w:rFonts w:ascii="仿宋" w:hAnsi="仿宋" w:eastAsia="仿宋"/>
        </w:rPr>
      </w:pPr>
      <w:bookmarkStart w:id="26" w:name="_Toc525638209"/>
      <w:bookmarkStart w:id="27" w:name="_Toc443942725"/>
      <w:bookmarkStart w:id="28" w:name="_Toc525306068"/>
      <w:bookmarkStart w:id="29" w:name="_Toc441501869"/>
      <w:bookmarkStart w:id="30" w:name="_Toc525725187"/>
      <w:r>
        <w:rPr>
          <w:rFonts w:hint="eastAsia" w:ascii="仿宋" w:hAnsi="仿宋" w:eastAsia="仿宋"/>
        </w:rPr>
        <w:t>资源服务实战</w:t>
      </w:r>
      <w:bookmarkEnd w:id="26"/>
      <w:bookmarkEnd w:id="27"/>
      <w:bookmarkEnd w:id="28"/>
      <w:bookmarkEnd w:id="29"/>
      <w:bookmarkEnd w:id="30"/>
    </w:p>
    <w:p>
      <w:pPr>
        <w:pStyle w:val="110"/>
        <w:rPr>
          <w:rFonts w:ascii="仿宋" w:hAnsi="仿宋" w:eastAsia="仿宋"/>
        </w:rPr>
      </w:pPr>
      <w:r>
        <w:rPr>
          <w:rFonts w:hint="eastAsia" w:ascii="仿宋" w:hAnsi="仿宋" w:eastAsia="仿宋"/>
        </w:rPr>
        <w:t>根据系统提供的结构化、非结构化、特征等多种数据，与公安网各相关业务系统提供数据进行碰撞，提供案件线索支撑、嫌疑人轨迹等有较高价值的数据，实现利用视频资源及其智能分析成果，为公安机关实战提供技术支撑，</w:t>
      </w:r>
    </w:p>
    <w:p>
      <w:pPr>
        <w:pStyle w:val="10"/>
        <w:rPr>
          <w:rFonts w:ascii="仿宋" w:hAnsi="仿宋" w:eastAsia="仿宋"/>
        </w:rPr>
      </w:pPr>
      <w:bookmarkStart w:id="31" w:name="_Toc525306071"/>
      <w:bookmarkStart w:id="32" w:name="_Toc525725190"/>
      <w:bookmarkStart w:id="33" w:name="_Toc525638212"/>
      <w:r>
        <w:rPr>
          <w:rFonts w:hint="eastAsia" w:ascii="仿宋" w:hAnsi="仿宋" w:eastAsia="仿宋"/>
        </w:rPr>
        <w:t>信息网络安全保障</w:t>
      </w:r>
      <w:bookmarkEnd w:id="31"/>
      <w:bookmarkEnd w:id="32"/>
      <w:bookmarkEnd w:id="33"/>
    </w:p>
    <w:p>
      <w:pPr>
        <w:pStyle w:val="110"/>
        <w:rPr>
          <w:rFonts w:ascii="仿宋" w:hAnsi="仿宋" w:eastAsia="仿宋"/>
        </w:rPr>
      </w:pPr>
      <w:r>
        <w:rPr>
          <w:rFonts w:hint="eastAsia" w:ascii="仿宋" w:hAnsi="仿宋" w:eastAsia="仿宋"/>
        </w:rPr>
        <w:t>本次项目涉及公安视频专网及公安内网等多个网络及业务系统的对接，各系统安全级别和访问区域权限等均有不同，因此项目中各网络及系统的安全保障需符合公安机关相应标准制度。</w:t>
      </w:r>
    </w:p>
    <w:p>
      <w:pPr>
        <w:pStyle w:val="10"/>
        <w:rPr>
          <w:rFonts w:ascii="仿宋" w:hAnsi="仿宋" w:eastAsia="仿宋"/>
        </w:rPr>
      </w:pPr>
      <w:r>
        <w:rPr>
          <w:rFonts w:hint="eastAsia" w:ascii="仿宋" w:hAnsi="仿宋" w:eastAsia="仿宋"/>
        </w:rPr>
        <w:t>智能算法调度</w:t>
      </w:r>
    </w:p>
    <w:p>
      <w:pPr>
        <w:pStyle w:val="110"/>
        <w:rPr>
          <w:rFonts w:ascii="仿宋" w:hAnsi="仿宋" w:eastAsia="仿宋"/>
          <w:szCs w:val="24"/>
        </w:rPr>
      </w:pPr>
      <w:r>
        <w:rPr>
          <w:rFonts w:hint="eastAsia" w:ascii="仿宋" w:hAnsi="仿宋" w:eastAsia="仿宋"/>
          <w:szCs w:val="24"/>
        </w:rPr>
        <w:t>项目涉及多种场景下的人、车识别，因此系统需支持人体、人脸、非机动车、机动车的结构化、非结构化特征提取与分析，并提供算法模型的扩展与升级服务，对于日常业务中形成或特殊标注的对象，可以同时或分别采用不同类型算法进行训练与优化，提升系统的场景应用准确性。</w:t>
      </w:r>
    </w:p>
    <w:p>
      <w:pPr>
        <w:pStyle w:val="10"/>
        <w:rPr>
          <w:rFonts w:ascii="仿宋" w:hAnsi="仿宋" w:eastAsia="仿宋"/>
        </w:rPr>
      </w:pPr>
      <w:r>
        <w:rPr>
          <w:rFonts w:hint="eastAsia" w:ascii="仿宋" w:hAnsi="仿宋" w:eastAsia="仿宋"/>
        </w:rPr>
        <w:t>定制开发业务</w:t>
      </w:r>
    </w:p>
    <w:p>
      <w:pPr>
        <w:pStyle w:val="110"/>
        <w:rPr>
          <w:rFonts w:ascii="仿宋" w:hAnsi="仿宋" w:eastAsia="仿宋"/>
          <w:szCs w:val="20"/>
        </w:rPr>
      </w:pPr>
      <w:r>
        <w:rPr>
          <w:rFonts w:hint="eastAsia" w:ascii="仿宋" w:hAnsi="仿宋" w:eastAsia="仿宋"/>
          <w:szCs w:val="20"/>
        </w:rPr>
        <w:t>本次项目系统包含定制开发业务，基于平阳公安在**工作中的实战经验，为全局各相关警种提供以先进技术与算法为基础的实战化相关开发服务，向科技要警力，提升，推进智慧公安建设。</w:t>
      </w:r>
    </w:p>
    <w:p>
      <w:pPr>
        <w:pStyle w:val="9"/>
        <w:rPr>
          <w:rFonts w:ascii="仿宋" w:hAnsi="仿宋" w:eastAsia="仿宋" w:cs="MS Mincho"/>
        </w:rPr>
      </w:pPr>
      <w:r>
        <w:rPr>
          <w:rFonts w:hint="eastAsia" w:ascii="仿宋" w:hAnsi="仿宋" w:eastAsia="仿宋"/>
        </w:rPr>
        <w:t>四</w:t>
      </w:r>
      <w:r>
        <w:rPr>
          <w:rFonts w:ascii="仿宋" w:hAnsi="仿宋" w:eastAsia="仿宋" w:cs="MS Mincho"/>
        </w:rPr>
        <w:t>、</w:t>
      </w:r>
      <w:bookmarkEnd w:id="17"/>
      <w:r>
        <w:rPr>
          <w:rFonts w:hint="eastAsia" w:ascii="仿宋" w:hAnsi="仿宋" w:eastAsia="仿宋" w:cs="MS Mincho"/>
        </w:rPr>
        <w:t>建设内容及要求</w:t>
      </w:r>
    </w:p>
    <w:p>
      <w:pPr>
        <w:pStyle w:val="10"/>
        <w:rPr>
          <w:rFonts w:ascii="仿宋" w:hAnsi="仿宋" w:eastAsia="仿宋"/>
        </w:rPr>
      </w:pPr>
      <w:r>
        <w:rPr>
          <w:rFonts w:hint="eastAsia" w:ascii="仿宋" w:hAnsi="仿宋" w:eastAsia="仿宋"/>
        </w:rPr>
        <w:t>四.1、基础数据与服务建设</w:t>
      </w:r>
    </w:p>
    <w:p>
      <w:pPr>
        <w:pStyle w:val="11"/>
        <w:numPr>
          <w:ilvl w:val="0"/>
          <w:numId w:val="0"/>
        </w:numPr>
        <w:rPr>
          <w:rFonts w:ascii="仿宋" w:hAnsi="仿宋" w:eastAsia="仿宋"/>
          <w:sz w:val="28"/>
          <w:szCs w:val="28"/>
        </w:rPr>
      </w:pPr>
      <w:bookmarkStart w:id="34" w:name="_Toc525306086"/>
      <w:bookmarkStart w:id="35" w:name="_Toc525725197"/>
      <w:bookmarkStart w:id="36" w:name="_Toc525638219"/>
      <w:r>
        <w:rPr>
          <w:rFonts w:hint="eastAsia" w:ascii="仿宋" w:hAnsi="仿宋" w:eastAsia="仿宋"/>
          <w:sz w:val="28"/>
          <w:szCs w:val="28"/>
        </w:rPr>
        <w:t>四.1.1、视频接入</w:t>
      </w:r>
      <w:bookmarkEnd w:id="34"/>
      <w:bookmarkEnd w:id="35"/>
      <w:bookmarkEnd w:id="36"/>
      <w:r>
        <w:rPr>
          <w:rFonts w:hint="eastAsia" w:ascii="仿宋" w:hAnsi="仿宋" w:eastAsia="仿宋"/>
          <w:sz w:val="28"/>
          <w:szCs w:val="28"/>
        </w:rPr>
        <w:t>建设</w:t>
      </w:r>
    </w:p>
    <w:p>
      <w:pPr>
        <w:pStyle w:val="12"/>
        <w:keepNext w:val="0"/>
        <w:keepLines w:val="0"/>
        <w:numPr>
          <w:ilvl w:val="0"/>
          <w:numId w:val="0"/>
        </w:numPr>
        <w:spacing w:before="120" w:after="240"/>
        <w:ind w:left="-445"/>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接入类型</w:t>
      </w:r>
    </w:p>
    <w:p>
      <w:pPr>
        <w:pStyle w:val="110"/>
        <w:rPr>
          <w:rFonts w:ascii="仿宋" w:hAnsi="仿宋" w:eastAsia="仿宋"/>
        </w:rPr>
      </w:pPr>
      <w:r>
        <w:rPr>
          <w:rFonts w:hint="eastAsia" w:ascii="仿宋" w:hAnsi="仿宋" w:eastAsia="仿宋"/>
        </w:rPr>
        <w:t>本次项目视频数据接入包含平阳县公安局自建监控点位及部分社会面监控，涵盖治安监控、道路监控、部分重点场所等位的视频数据。</w:t>
      </w:r>
    </w:p>
    <w:p>
      <w:pPr>
        <w:pStyle w:val="12"/>
        <w:keepNext w:val="0"/>
        <w:keepLines w:val="0"/>
        <w:numPr>
          <w:ilvl w:val="0"/>
          <w:numId w:val="0"/>
        </w:numPr>
        <w:spacing w:before="120" w:after="240"/>
        <w:ind w:left="-445"/>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接入协议</w:t>
      </w:r>
    </w:p>
    <w:p>
      <w:pPr>
        <w:pStyle w:val="110"/>
        <w:rPr>
          <w:rFonts w:ascii="仿宋" w:hAnsi="仿宋" w:eastAsia="仿宋"/>
        </w:rPr>
      </w:pPr>
      <w:r>
        <w:rPr>
          <w:rFonts w:hint="eastAsia" w:ascii="仿宋" w:hAnsi="仿宋" w:eastAsia="仿宋"/>
        </w:rPr>
        <w:t>本次项目系统应支持国标28181协议对接，支持各主流厂商的设备对接，支持主流监控协议如ovif、rtsp等协议。</w:t>
      </w:r>
    </w:p>
    <w:p>
      <w:pPr>
        <w:pStyle w:val="12"/>
        <w:keepNext w:val="0"/>
        <w:keepLines w:val="0"/>
        <w:numPr>
          <w:ilvl w:val="0"/>
          <w:numId w:val="0"/>
        </w:numPr>
        <w:spacing w:before="120" w:after="240"/>
        <w:ind w:left="-445"/>
        <w:rPr>
          <w:rFonts w:ascii="仿宋" w:hAnsi="仿宋" w:eastAsia="仿宋"/>
          <w:b w:val="0"/>
          <w:bCs w:val="0"/>
          <w:i/>
          <w:iCs/>
          <w:sz w:val="32"/>
          <w:szCs w:val="32"/>
        </w:rPr>
      </w:pPr>
      <w:r>
        <w:rPr>
          <w:rFonts w:hint="eastAsia" w:ascii="仿宋" w:hAnsi="仿宋" w:eastAsia="仿宋"/>
          <w:sz w:val="32"/>
          <w:szCs w:val="32"/>
        </w:rPr>
        <w:tab/>
      </w:r>
      <w:r>
        <w:rPr>
          <w:rFonts w:hint="eastAsia" w:ascii="仿宋" w:hAnsi="仿宋" w:eastAsia="仿宋"/>
          <w:sz w:val="32"/>
          <w:szCs w:val="32"/>
        </w:rPr>
        <w:t>接入方式</w:t>
      </w:r>
    </w:p>
    <w:p>
      <w:pPr>
        <w:pStyle w:val="110"/>
        <w:rPr>
          <w:rFonts w:ascii="仿宋" w:hAnsi="仿宋" w:eastAsia="仿宋"/>
        </w:rPr>
      </w:pPr>
      <w:r>
        <w:rPr>
          <w:rFonts w:hint="eastAsia" w:ascii="仿宋" w:hAnsi="仿宋" w:eastAsia="仿宋"/>
        </w:rPr>
        <w:t>系统除支持实时视频流接入外，还应支持离线录像、离线图片的接入，并能够对离线录像、离线图片进行分析处理。</w:t>
      </w:r>
    </w:p>
    <w:p>
      <w:pPr>
        <w:pStyle w:val="11"/>
        <w:numPr>
          <w:ilvl w:val="0"/>
          <w:numId w:val="0"/>
        </w:numPr>
        <w:rPr>
          <w:rFonts w:ascii="仿宋" w:hAnsi="仿宋" w:eastAsia="仿宋"/>
          <w:sz w:val="28"/>
          <w:szCs w:val="28"/>
        </w:rPr>
      </w:pPr>
      <w:bookmarkStart w:id="37" w:name="_Toc525725198"/>
      <w:bookmarkStart w:id="38" w:name="_Toc525638220"/>
      <w:bookmarkStart w:id="39" w:name="_Toc525306087"/>
      <w:r>
        <w:rPr>
          <w:rFonts w:hint="eastAsia" w:ascii="仿宋" w:hAnsi="仿宋" w:eastAsia="仿宋"/>
          <w:sz w:val="28"/>
          <w:szCs w:val="28"/>
        </w:rPr>
        <w:t>4.1.2、数据处理建设</w:t>
      </w:r>
      <w:bookmarkEnd w:id="37"/>
      <w:bookmarkEnd w:id="38"/>
      <w:bookmarkEnd w:id="39"/>
    </w:p>
    <w:p>
      <w:pPr>
        <w:pStyle w:val="12"/>
        <w:keepNext w:val="0"/>
        <w:keepLines w:val="0"/>
        <w:numPr>
          <w:ilvl w:val="0"/>
          <w:numId w:val="0"/>
        </w:numPr>
        <w:spacing w:before="120" w:after="240"/>
        <w:ind w:left="-445"/>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高并发实时计算</w:t>
      </w:r>
    </w:p>
    <w:p>
      <w:pPr>
        <w:spacing w:line="360" w:lineRule="auto"/>
        <w:ind w:firstLine="420"/>
        <w:rPr>
          <w:rFonts w:ascii="仿宋" w:hAnsi="仿宋" w:eastAsia="仿宋"/>
        </w:rPr>
      </w:pPr>
      <w:r>
        <w:rPr>
          <w:rStyle w:val="109"/>
          <w:rFonts w:ascii="仿宋" w:hAnsi="仿宋" w:eastAsia="仿宋"/>
        </w:rPr>
        <w:t>编写业务代码，将功能代码打包后通过平台功能页面或开发接口将任务文件发送到计算平台，实现最终的多任务的并行离线计算</w:t>
      </w:r>
      <w:r>
        <w:rPr>
          <w:rFonts w:hint="eastAsia" w:ascii="仿宋" w:hAnsi="仿宋" w:eastAsia="仿宋"/>
        </w:rPr>
        <w:t>。</w:t>
      </w:r>
    </w:p>
    <w:p>
      <w:pPr>
        <w:pStyle w:val="3"/>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根据此次项目的接入需求，开发业务代码，实现将2000路视频资源同时接入系统中，进行实时处理，实现多任务、多模型的在线、离线计算，同时将计算结果提供给业务系统或第三方系统进行整合。</w:t>
      </w:r>
    </w:p>
    <w:p>
      <w:pPr>
        <w:pStyle w:val="12"/>
        <w:keepNext w:val="0"/>
        <w:keepLines w:val="0"/>
        <w:numPr>
          <w:ilvl w:val="0"/>
          <w:numId w:val="0"/>
        </w:numPr>
        <w:spacing w:before="120" w:after="240"/>
        <w:ind w:left="-445"/>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业务数据交互</w:t>
      </w:r>
    </w:p>
    <w:p>
      <w:pPr>
        <w:pStyle w:val="110"/>
        <w:rPr>
          <w:rFonts w:ascii="仿宋" w:hAnsi="仿宋" w:eastAsia="仿宋"/>
        </w:rPr>
      </w:pPr>
      <w:r>
        <w:t>通过平台了解所能访问的数据目录权限，并且可以通过数据检索语句直接调用数据仓库的数据，进行应用平台的开发</w:t>
      </w:r>
      <w:r>
        <w:rPr>
          <w:rFonts w:hint="eastAsia" w:ascii="仿宋" w:hAnsi="仿宋" w:eastAsia="仿宋"/>
        </w:rPr>
        <w:t>。</w:t>
      </w:r>
    </w:p>
    <w:p>
      <w:pPr>
        <w:pStyle w:val="110"/>
        <w:rPr>
          <w:rFonts w:ascii="仿宋" w:hAnsi="仿宋" w:eastAsia="仿宋"/>
        </w:rPr>
      </w:pPr>
      <w:r>
        <w:rPr>
          <w:rFonts w:hint="eastAsia" w:ascii="仿宋" w:hAnsi="仿宋" w:eastAsia="仿宋"/>
        </w:rPr>
        <w:t xml:space="preserve"> </w:t>
      </w:r>
      <w:r>
        <w:rPr>
          <w:rFonts w:ascii="仿宋" w:hAnsi="仿宋" w:eastAsia="仿宋"/>
        </w:rPr>
        <w:t xml:space="preserve">  </w:t>
      </w:r>
      <w:r>
        <w:rPr>
          <w:rFonts w:hint="eastAsia" w:ascii="仿宋" w:hAnsi="仿宋" w:eastAsia="仿宋"/>
        </w:rPr>
        <w:t>根据平阳公安的实际业务需求，开发系统业务代码，通过系统对接具有相应访问权限的数据资源，可通过数据检索等功能，读取和使用对应所需的数据资源，进行数据碰撞交互，将碰撞交互结果上报到系统平台，以供业务部门使用。</w:t>
      </w:r>
    </w:p>
    <w:p>
      <w:pPr>
        <w:pStyle w:val="12"/>
        <w:keepNext w:val="0"/>
        <w:keepLines w:val="0"/>
        <w:numPr>
          <w:ilvl w:val="0"/>
          <w:numId w:val="0"/>
        </w:numPr>
        <w:spacing w:before="120" w:after="240"/>
        <w:ind w:left="-445"/>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rPr>
        <w:t>数据信息挖掘</w:t>
      </w:r>
    </w:p>
    <w:p>
      <w:pPr>
        <w:pStyle w:val="110"/>
        <w:rPr>
          <w:rFonts w:ascii="仿宋" w:hAnsi="仿宋" w:eastAsia="仿宋"/>
        </w:rPr>
      </w:pPr>
      <w:r>
        <w:rPr>
          <w:rFonts w:hint="eastAsia" w:ascii="仿宋" w:hAnsi="仿宋" w:eastAsia="仿宋"/>
        </w:rPr>
        <w:t>系统能够根据所配置接入的各数据信息，以及根据需求接入的公安各业务库，实现结构化数据与非结构化数据的混合分析处理，结合平阳公安各业务部门实际的业务需求进行相应数据整理，从而实现多源数据的信息挖掘，提供有价值的线索或信息。</w:t>
      </w:r>
    </w:p>
    <w:p>
      <w:pPr>
        <w:pStyle w:val="11"/>
        <w:numPr>
          <w:ilvl w:val="0"/>
          <w:numId w:val="0"/>
        </w:numPr>
        <w:rPr>
          <w:rFonts w:ascii="仿宋" w:hAnsi="仿宋" w:eastAsia="仿宋"/>
          <w:sz w:val="28"/>
          <w:szCs w:val="28"/>
        </w:rPr>
      </w:pPr>
      <w:r>
        <w:rPr>
          <w:rFonts w:hint="eastAsia" w:ascii="仿宋" w:hAnsi="仿宋" w:eastAsia="仿宋"/>
          <w:sz w:val="28"/>
          <w:szCs w:val="28"/>
        </w:rPr>
        <w:tab/>
      </w:r>
      <w:r>
        <w:rPr>
          <w:rFonts w:hint="eastAsia" w:ascii="仿宋" w:hAnsi="仿宋" w:eastAsia="仿宋"/>
          <w:sz w:val="28"/>
          <w:szCs w:val="28"/>
        </w:rPr>
        <w:t>其它资源或平台接入</w:t>
      </w:r>
    </w:p>
    <w:p>
      <w:pPr>
        <w:pStyle w:val="110"/>
        <w:ind w:firstLine="400" w:firstLineChars="200"/>
        <w:rPr>
          <w:rFonts w:ascii="仿宋" w:hAnsi="仿宋" w:eastAsia="仿宋"/>
        </w:rPr>
      </w:pPr>
      <w:r>
        <w:rPr>
          <w:rFonts w:hint="eastAsia" w:ascii="仿宋" w:hAnsi="仿宋" w:eastAsia="仿宋"/>
        </w:rPr>
        <w:t>此次项目建设中，系统应能够具备与目前已有公安内部各业务平台对接能力，实现各信息的综合应用。</w:t>
      </w:r>
    </w:p>
    <w:p>
      <w:pPr>
        <w:pStyle w:val="110"/>
        <w:rPr>
          <w:rFonts w:ascii="仿宋" w:hAnsi="仿宋" w:eastAsia="仿宋"/>
        </w:rPr>
      </w:pPr>
      <w:r>
        <w:rPr>
          <w:rFonts w:hint="eastAsia" w:ascii="仿宋" w:hAnsi="仿宋" w:eastAsia="仿宋"/>
        </w:rPr>
        <w:t>针对接入的资源、平台及数据等，系统应能够实时进行系统更新，对各业务模块提供最新数据信息。</w:t>
      </w:r>
    </w:p>
    <w:p>
      <w:pPr>
        <w:pStyle w:val="11"/>
        <w:numPr>
          <w:ilvl w:val="0"/>
          <w:numId w:val="0"/>
        </w:numPr>
        <w:ind w:firstLine="586" w:firstLineChars="200"/>
        <w:rPr>
          <w:rFonts w:ascii="仿宋" w:hAnsi="仿宋" w:eastAsia="仿宋"/>
          <w:sz w:val="28"/>
          <w:szCs w:val="28"/>
        </w:rPr>
      </w:pPr>
      <w:r>
        <w:rPr>
          <w:rFonts w:hint="eastAsia" w:ascii="仿宋" w:hAnsi="仿宋" w:eastAsia="仿宋"/>
          <w:sz w:val="28"/>
          <w:szCs w:val="28"/>
        </w:rPr>
        <w:t>基础服务建设</w:t>
      </w:r>
    </w:p>
    <w:p>
      <w:pPr>
        <w:pStyle w:val="12"/>
        <w:keepNext w:val="0"/>
        <w:keepLines w:val="0"/>
        <w:numPr>
          <w:ilvl w:val="0"/>
          <w:numId w:val="0"/>
        </w:numPr>
        <w:spacing w:before="120" w:after="240"/>
        <w:ind w:left="-445" w:firstLine="1000" w:firstLineChars="300"/>
        <w:rPr>
          <w:rFonts w:ascii="仿宋" w:hAnsi="仿宋" w:eastAsia="仿宋"/>
          <w:sz w:val="32"/>
          <w:szCs w:val="32"/>
        </w:rPr>
      </w:pPr>
      <w:r>
        <w:rPr>
          <w:rFonts w:hint="eastAsia" w:ascii="仿宋" w:hAnsi="仿宋" w:eastAsia="仿宋"/>
          <w:sz w:val="32"/>
          <w:szCs w:val="32"/>
          <w:lang w:eastAsia="zh-CN"/>
        </w:rPr>
        <w:t>地图</w:t>
      </w:r>
      <w:r>
        <w:rPr>
          <w:rFonts w:hint="eastAsia" w:ascii="仿宋" w:hAnsi="仿宋" w:eastAsia="仿宋"/>
          <w:sz w:val="32"/>
          <w:szCs w:val="32"/>
        </w:rPr>
        <w:t>服务对接</w:t>
      </w:r>
    </w:p>
    <w:p>
      <w:pPr>
        <w:pStyle w:val="110"/>
        <w:ind w:firstLine="400" w:firstLineChars="200"/>
        <w:rPr>
          <w:rFonts w:ascii="仿宋" w:hAnsi="仿宋" w:eastAsia="仿宋"/>
        </w:rPr>
      </w:pPr>
      <w:r>
        <w:rPr>
          <w:rFonts w:hint="eastAsia" w:ascii="仿宋" w:hAnsi="仿宋" w:eastAsia="仿宋"/>
        </w:rPr>
        <w:t>将地理信息资源发布为服务使该资源可供系统内各权限用户使用。根据资源类型的不同，资源会被发布成不同类型的服务，各种客户端通过服务实现对地图服务资源的访问和管理。</w:t>
      </w:r>
    </w:p>
    <w:p>
      <w:pPr>
        <w:pStyle w:val="12"/>
        <w:keepNext w:val="0"/>
        <w:keepLines w:val="0"/>
        <w:numPr>
          <w:ilvl w:val="0"/>
          <w:numId w:val="0"/>
        </w:numPr>
        <w:spacing w:before="120" w:after="240"/>
        <w:ind w:left="-445" w:firstLine="1000" w:firstLineChars="300"/>
        <w:rPr>
          <w:rFonts w:ascii="仿宋" w:hAnsi="仿宋" w:eastAsia="仿宋"/>
          <w:sz w:val="32"/>
          <w:szCs w:val="32"/>
        </w:rPr>
      </w:pPr>
      <w:r>
        <w:rPr>
          <w:rFonts w:hint="eastAsia" w:ascii="仿宋" w:hAnsi="仿宋" w:eastAsia="仿宋"/>
          <w:sz w:val="32"/>
          <w:szCs w:val="32"/>
        </w:rPr>
        <w:t>特征提取服务</w:t>
      </w:r>
    </w:p>
    <w:p>
      <w:pPr>
        <w:pStyle w:val="110"/>
        <w:rPr>
          <w:rFonts w:ascii="仿宋" w:hAnsi="仿宋" w:eastAsia="仿宋"/>
        </w:rPr>
      </w:pPr>
      <w:r>
        <w:rPr>
          <w:rFonts w:hint="eastAsia" w:ascii="仿宋" w:hAnsi="仿宋" w:eastAsia="仿宋"/>
        </w:rPr>
        <w:t>采用人工智能及深度学习等先进技术，对接入实时、离线等视频资源进行自动解析，将视频中的目标动态特征进行实时提取处理，对目标的姿态、运动轨迹，包括时间、空间、行为特征等进行归一化描述，提供目标特征视频信息的定位与管理、简化快速搜索，基础布控及预置信息提前判断预警等信息。</w:t>
      </w:r>
    </w:p>
    <w:p>
      <w:pPr>
        <w:pStyle w:val="110"/>
        <w:rPr>
          <w:rFonts w:ascii="仿宋" w:hAnsi="仿宋" w:eastAsia="仿宋"/>
        </w:rPr>
      </w:pPr>
      <w:r>
        <w:rPr>
          <w:rFonts w:hint="eastAsia" w:ascii="仿宋" w:hAnsi="仿宋" w:eastAsia="仿宋"/>
        </w:rPr>
        <w:t>系统充分利用计算资源对所接入视频资源中的人脸、车辆、人体、物体等目标类型进行检测与特征提取，将视频中的目标数据与背景图像进行分析提取，同时将目标数据与相对应视频图像分别进行标准化封装与存储，并提供给系统各上层业务应用模块予以调用，上层各业务应用子系统将处理分析结果结合业务规则予以呈现。</w:t>
      </w:r>
    </w:p>
    <w:p>
      <w:pPr>
        <w:pStyle w:val="12"/>
        <w:keepNext w:val="0"/>
        <w:keepLines w:val="0"/>
        <w:numPr>
          <w:ilvl w:val="0"/>
          <w:numId w:val="0"/>
        </w:numPr>
        <w:spacing w:before="120" w:after="240"/>
        <w:ind w:left="-445" w:firstLine="667" w:firstLineChars="200"/>
        <w:rPr>
          <w:rFonts w:ascii="仿宋" w:hAnsi="仿宋" w:eastAsia="仿宋"/>
          <w:sz w:val="32"/>
          <w:szCs w:val="32"/>
        </w:rPr>
      </w:pPr>
      <w:r>
        <w:rPr>
          <w:rFonts w:hint="eastAsia" w:ascii="仿宋" w:hAnsi="仿宋" w:eastAsia="仿宋"/>
          <w:sz w:val="32"/>
          <w:szCs w:val="32"/>
        </w:rPr>
        <w:t>存储服务</w:t>
      </w:r>
    </w:p>
    <w:p>
      <w:pPr>
        <w:pStyle w:val="110"/>
        <w:rPr>
          <w:rFonts w:ascii="仿宋" w:hAnsi="仿宋" w:eastAsia="仿宋"/>
        </w:rPr>
      </w:pPr>
      <w:r>
        <w:rPr>
          <w:rFonts w:hint="eastAsia" w:ascii="仿宋" w:hAnsi="仿宋" w:eastAsia="仿宋"/>
        </w:rPr>
        <w:t>作为此次项目中重要的建设部分，存储服务建设应满足2000路视频产生的各类结构化、非结构化等数据90天的存储需要。应采用分布式的存储架构，提供稳定、高性能、高可用的全天候服务，可应对海量的、可伸缩性的存储业务需求，同时支持分布式云存储系统、分布式对象存储系统、分布式块存储系统，支持横向与线性扩展，支持多客户端访问P</w:t>
      </w:r>
      <w:r>
        <w:rPr>
          <w:rFonts w:ascii="仿宋" w:hAnsi="仿宋" w:eastAsia="仿宋"/>
        </w:rPr>
        <w:t>B</w:t>
      </w:r>
      <w:r>
        <w:rPr>
          <w:rFonts w:hint="eastAsia" w:ascii="仿宋" w:hAnsi="仿宋" w:eastAsia="仿宋"/>
        </w:rPr>
        <w:t>级数据。</w:t>
      </w:r>
    </w:p>
    <w:p>
      <w:pPr>
        <w:pStyle w:val="14"/>
        <w:ind w:firstLine="400"/>
        <w:rPr>
          <w:rFonts w:ascii="仿宋" w:hAnsi="仿宋" w:eastAsia="仿宋"/>
        </w:rPr>
      </w:pPr>
    </w:p>
    <w:p>
      <w:pPr>
        <w:pStyle w:val="12"/>
        <w:keepNext w:val="0"/>
        <w:keepLines w:val="0"/>
        <w:numPr>
          <w:ilvl w:val="0"/>
          <w:numId w:val="0"/>
        </w:numPr>
        <w:spacing w:before="120" w:after="240"/>
        <w:ind w:left="-445" w:firstLine="667" w:firstLineChars="200"/>
        <w:rPr>
          <w:rFonts w:ascii="仿宋" w:hAnsi="仿宋" w:eastAsia="仿宋"/>
          <w:sz w:val="32"/>
          <w:szCs w:val="32"/>
        </w:rPr>
      </w:pPr>
      <w:r>
        <w:rPr>
          <w:rFonts w:hint="eastAsia" w:ascii="仿宋" w:hAnsi="仿宋" w:eastAsia="仿宋"/>
          <w:sz w:val="32"/>
          <w:szCs w:val="32"/>
        </w:rPr>
        <w:t>数据融合</w:t>
      </w:r>
    </w:p>
    <w:p>
      <w:pPr>
        <w:pStyle w:val="110"/>
        <w:rPr>
          <w:rFonts w:ascii="仿宋" w:hAnsi="仿宋" w:eastAsia="仿宋"/>
          <w:szCs w:val="20"/>
        </w:rPr>
      </w:pPr>
      <w:r>
        <w:rPr>
          <w:rFonts w:hint="eastAsia" w:ascii="仿宋" w:hAnsi="仿宋" w:eastAsia="仿宋"/>
          <w:szCs w:val="20"/>
        </w:rPr>
        <w:t>在本次系统建设中，应充分考虑到多源感知的系统数据融合建设，通过对各相关业务数据进行汇聚、分析、挖掘和碰撞，采用人工智能与大数据建模等技术，形成标准化的数据融合服务，对业务应用层或业务使用者提供服务。</w:t>
      </w:r>
    </w:p>
    <w:p>
      <w:pPr>
        <w:pStyle w:val="12"/>
        <w:keepNext w:val="0"/>
        <w:keepLines w:val="0"/>
        <w:numPr>
          <w:ilvl w:val="0"/>
          <w:numId w:val="0"/>
        </w:numPr>
        <w:spacing w:before="120" w:after="240"/>
        <w:ind w:left="-445" w:firstLine="667" w:firstLineChars="200"/>
        <w:rPr>
          <w:rFonts w:ascii="仿宋" w:hAnsi="仿宋" w:eastAsia="仿宋"/>
          <w:sz w:val="32"/>
          <w:szCs w:val="32"/>
        </w:rPr>
      </w:pPr>
      <w:r>
        <w:rPr>
          <w:rFonts w:hint="eastAsia" w:ascii="仿宋" w:hAnsi="仿宋" w:eastAsia="仿宋"/>
          <w:sz w:val="32"/>
          <w:szCs w:val="32"/>
        </w:rPr>
        <w:t>检索服务</w:t>
      </w:r>
    </w:p>
    <w:p>
      <w:pPr>
        <w:pStyle w:val="110"/>
        <w:rPr>
          <w:rFonts w:ascii="仿宋" w:hAnsi="仿宋" w:eastAsia="仿宋"/>
        </w:rPr>
      </w:pPr>
      <w:r>
        <w:rPr>
          <w:rFonts w:hint="eastAsia" w:ascii="仿宋" w:hAnsi="仿宋" w:eastAsia="仿宋"/>
        </w:rPr>
        <w:t>检索服务是按照全文检索理论建立起来的用于提供全文检索服务的软件系统。一般来说，全文检索需要具备建立索引和提供查询的基本功能，此外现代的全文检索系统还需要具有方便的用户接口、面向</w:t>
      </w:r>
      <w:r>
        <w:rPr>
          <w:rFonts w:ascii="仿宋" w:hAnsi="仿宋" w:eastAsia="仿宋"/>
        </w:rPr>
        <w:t>WWW</w:t>
      </w:r>
      <w:r>
        <w:rPr>
          <w:rFonts w:hint="eastAsia" w:ascii="仿宋" w:hAnsi="仿宋" w:eastAsia="仿宋"/>
        </w:rPr>
        <w:t>的开发接口、二次应用开发接口等。</w:t>
      </w:r>
    </w:p>
    <w:p>
      <w:pPr>
        <w:pStyle w:val="12"/>
        <w:keepNext w:val="0"/>
        <w:keepLines w:val="0"/>
        <w:numPr>
          <w:ilvl w:val="0"/>
          <w:numId w:val="0"/>
        </w:numPr>
        <w:spacing w:before="120" w:after="240"/>
        <w:ind w:left="-445" w:firstLine="667" w:firstLineChars="200"/>
        <w:rPr>
          <w:rFonts w:ascii="仿宋" w:hAnsi="仿宋" w:eastAsia="仿宋"/>
          <w:sz w:val="32"/>
          <w:szCs w:val="32"/>
        </w:rPr>
      </w:pPr>
      <w:r>
        <w:rPr>
          <w:rFonts w:hint="eastAsia" w:ascii="仿宋" w:hAnsi="仿宋" w:eastAsia="仿宋"/>
          <w:sz w:val="32"/>
          <w:szCs w:val="32"/>
        </w:rPr>
        <w:t>布控服务</w:t>
      </w:r>
    </w:p>
    <w:p>
      <w:pPr>
        <w:pStyle w:val="110"/>
        <w:rPr>
          <w:rFonts w:ascii="仿宋" w:hAnsi="仿宋" w:eastAsia="仿宋"/>
        </w:rPr>
      </w:pPr>
      <w:r>
        <w:rPr>
          <w:rFonts w:hint="eastAsia" w:ascii="仿宋" w:hAnsi="仿宋" w:eastAsia="仿宋"/>
          <w:lang w:val="en-US"/>
        </w:rPr>
        <w:t>布控及消息服务</w:t>
      </w:r>
      <w:r>
        <w:rPr>
          <w:rFonts w:hint="eastAsia" w:ascii="仿宋" w:hAnsi="仿宋" w:eastAsia="仿宋"/>
        </w:rPr>
        <w:t>为各业务在用户等建立统一的信息交互的平台，提供消息通知、用户点对点通信、多屏交互式消息业务提供了能力支撑，支持文字、音频和视频等消息的即时传输，以及点对点的数据交换。同时结合内存加速、负载均衡、本地处理，以提供高效的数据分析和挖掘能力。</w:t>
      </w:r>
    </w:p>
    <w:p>
      <w:pPr>
        <w:pStyle w:val="10"/>
        <w:ind w:firstLine="281" w:firstLineChars="100"/>
        <w:rPr>
          <w:rFonts w:ascii="仿宋" w:hAnsi="仿宋" w:eastAsia="仿宋"/>
        </w:rPr>
      </w:pPr>
      <w:bookmarkStart w:id="40" w:name="_Toc524681805"/>
      <w:bookmarkEnd w:id="40"/>
      <w:bookmarkStart w:id="41" w:name="_Toc525722879"/>
      <w:bookmarkEnd w:id="41"/>
      <w:bookmarkStart w:id="42" w:name="_Toc524451607"/>
      <w:bookmarkEnd w:id="42"/>
      <w:bookmarkStart w:id="43" w:name="_Toc524337572"/>
      <w:bookmarkEnd w:id="43"/>
      <w:bookmarkStart w:id="44" w:name="_Toc523323100"/>
      <w:bookmarkEnd w:id="44"/>
      <w:bookmarkStart w:id="45" w:name="_Toc524342099"/>
      <w:bookmarkEnd w:id="45"/>
      <w:bookmarkStart w:id="46" w:name="_Toc524451763"/>
      <w:bookmarkEnd w:id="46"/>
      <w:bookmarkStart w:id="47" w:name="_Toc524681788"/>
      <w:bookmarkEnd w:id="47"/>
      <w:bookmarkStart w:id="48" w:name="_Toc525306094"/>
      <w:bookmarkEnd w:id="48"/>
      <w:bookmarkStart w:id="49" w:name="_Toc523323519"/>
      <w:bookmarkEnd w:id="49"/>
      <w:bookmarkStart w:id="50" w:name="_Toc525638227"/>
      <w:bookmarkEnd w:id="50"/>
      <w:bookmarkStart w:id="51" w:name="_Toc523323099"/>
      <w:bookmarkEnd w:id="51"/>
      <w:bookmarkStart w:id="52" w:name="_Toc525723065"/>
      <w:bookmarkEnd w:id="52"/>
      <w:bookmarkStart w:id="53" w:name="_Toc525725216"/>
      <w:bookmarkEnd w:id="53"/>
      <w:bookmarkStart w:id="54" w:name="_Toc524337573"/>
      <w:bookmarkEnd w:id="54"/>
      <w:bookmarkStart w:id="55" w:name="_Toc523323110"/>
      <w:bookmarkEnd w:id="55"/>
      <w:bookmarkStart w:id="56" w:name="_Toc524362369"/>
      <w:bookmarkEnd w:id="56"/>
      <w:bookmarkStart w:id="57" w:name="_Toc525722878"/>
      <w:bookmarkEnd w:id="57"/>
      <w:bookmarkStart w:id="58" w:name="_Toc523323520"/>
      <w:bookmarkEnd w:id="58"/>
      <w:bookmarkStart w:id="59" w:name="_Toc524680958"/>
      <w:bookmarkEnd w:id="59"/>
      <w:bookmarkStart w:id="60" w:name="_Toc525725205"/>
      <w:bookmarkEnd w:id="60"/>
      <w:bookmarkStart w:id="61" w:name="_Toc525638228"/>
      <w:bookmarkEnd w:id="61"/>
      <w:bookmarkStart w:id="62" w:name="_Toc524362446"/>
      <w:bookmarkEnd w:id="62"/>
      <w:bookmarkStart w:id="63" w:name="_Toc524342174"/>
      <w:bookmarkEnd w:id="63"/>
      <w:bookmarkStart w:id="64" w:name="_Toc523323379"/>
      <w:bookmarkEnd w:id="64"/>
      <w:bookmarkStart w:id="65" w:name="_Toc524681791"/>
      <w:bookmarkEnd w:id="65"/>
      <w:bookmarkStart w:id="66" w:name="_Toc524362372"/>
      <w:bookmarkEnd w:id="66"/>
      <w:bookmarkStart w:id="67" w:name="_Toc524342173"/>
      <w:bookmarkEnd w:id="67"/>
      <w:bookmarkStart w:id="68" w:name="_Toc524680962"/>
      <w:bookmarkEnd w:id="68"/>
      <w:bookmarkStart w:id="69" w:name="_Toc525723067"/>
      <w:bookmarkEnd w:id="69"/>
      <w:bookmarkStart w:id="70" w:name="_Toc525722950"/>
      <w:bookmarkEnd w:id="70"/>
      <w:bookmarkStart w:id="71" w:name="_Toc524451766"/>
      <w:bookmarkEnd w:id="71"/>
      <w:bookmarkStart w:id="72" w:name="_Toc524362371"/>
      <w:bookmarkEnd w:id="72"/>
      <w:bookmarkStart w:id="73" w:name="_Toc524362445"/>
      <w:bookmarkEnd w:id="73"/>
      <w:bookmarkStart w:id="74" w:name="_Toc524342104"/>
      <w:bookmarkEnd w:id="74"/>
      <w:bookmarkStart w:id="75" w:name="_Toc524451611"/>
      <w:bookmarkEnd w:id="75"/>
      <w:bookmarkStart w:id="76" w:name="_Toc523323523"/>
      <w:bookmarkEnd w:id="76"/>
      <w:bookmarkStart w:id="77" w:name="_Toc525638231"/>
      <w:bookmarkEnd w:id="77"/>
      <w:bookmarkStart w:id="78" w:name="_Toc525306098"/>
      <w:bookmarkEnd w:id="78"/>
      <w:bookmarkStart w:id="79" w:name="_Toc525725209"/>
      <w:bookmarkEnd w:id="79"/>
      <w:bookmarkStart w:id="80" w:name="_Toc523323380"/>
      <w:bookmarkEnd w:id="80"/>
      <w:bookmarkStart w:id="81" w:name="_Toc523323524"/>
      <w:bookmarkEnd w:id="81"/>
      <w:bookmarkStart w:id="82" w:name="_Toc525722882"/>
      <w:bookmarkEnd w:id="82"/>
      <w:bookmarkStart w:id="83" w:name="_Toc523323104"/>
      <w:bookmarkEnd w:id="83"/>
      <w:bookmarkStart w:id="84" w:name="_Toc524342103"/>
      <w:bookmarkEnd w:id="84"/>
      <w:bookmarkStart w:id="85" w:name="_Toc524337577"/>
      <w:bookmarkEnd w:id="85"/>
      <w:bookmarkStart w:id="86" w:name="_Toc525638232"/>
      <w:bookmarkEnd w:id="86"/>
      <w:bookmarkStart w:id="87" w:name="_Toc523323381"/>
      <w:bookmarkEnd w:id="87"/>
      <w:bookmarkStart w:id="88" w:name="_Toc523323525"/>
      <w:bookmarkEnd w:id="88"/>
      <w:bookmarkStart w:id="89" w:name="_Toc524337576"/>
      <w:bookmarkEnd w:id="89"/>
      <w:bookmarkStart w:id="90" w:name="_Toc525723069"/>
      <w:bookmarkEnd w:id="90"/>
      <w:bookmarkStart w:id="91" w:name="_Toc524337579"/>
      <w:bookmarkEnd w:id="91"/>
      <w:bookmarkStart w:id="92" w:name="_Toc525306100"/>
      <w:bookmarkEnd w:id="92"/>
      <w:bookmarkStart w:id="93" w:name="_Toc525722883"/>
      <w:bookmarkEnd w:id="93"/>
      <w:bookmarkStart w:id="94" w:name="_Toc525306099"/>
      <w:bookmarkEnd w:id="94"/>
      <w:bookmarkStart w:id="95" w:name="_Toc524342105"/>
      <w:bookmarkEnd w:id="95"/>
      <w:bookmarkStart w:id="96" w:name="_Toc524451768"/>
      <w:bookmarkEnd w:id="96"/>
      <w:bookmarkStart w:id="97" w:name="_Toc525725210"/>
      <w:bookmarkEnd w:id="97"/>
      <w:bookmarkStart w:id="98" w:name="_Toc523323105"/>
      <w:bookmarkEnd w:id="98"/>
      <w:bookmarkStart w:id="99" w:name="_Toc523323526"/>
      <w:bookmarkEnd w:id="99"/>
      <w:bookmarkStart w:id="100" w:name="_Toc524681792"/>
      <w:bookmarkEnd w:id="100"/>
      <w:bookmarkStart w:id="101" w:name="_Toc524451767"/>
      <w:bookmarkEnd w:id="101"/>
      <w:bookmarkStart w:id="102" w:name="_Toc525638233"/>
      <w:bookmarkEnd w:id="102"/>
      <w:bookmarkStart w:id="103" w:name="_Toc523323382"/>
      <w:bookmarkEnd w:id="103"/>
      <w:bookmarkStart w:id="104" w:name="_Toc523323106"/>
      <w:bookmarkEnd w:id="104"/>
      <w:bookmarkStart w:id="105" w:name="_Toc524680963"/>
      <w:bookmarkEnd w:id="105"/>
      <w:bookmarkStart w:id="106" w:name="_Toc524362374"/>
      <w:bookmarkEnd w:id="106"/>
      <w:bookmarkStart w:id="107" w:name="_Toc524681793"/>
      <w:bookmarkEnd w:id="107"/>
      <w:bookmarkStart w:id="108" w:name="_Toc525725211"/>
      <w:bookmarkEnd w:id="108"/>
      <w:bookmarkStart w:id="109" w:name="_Toc525722952"/>
      <w:bookmarkEnd w:id="109"/>
      <w:bookmarkStart w:id="110" w:name="_Toc525723068"/>
      <w:bookmarkEnd w:id="110"/>
      <w:bookmarkStart w:id="111" w:name="_Toc524342176"/>
      <w:bookmarkEnd w:id="111"/>
      <w:bookmarkStart w:id="112" w:name="_Toc524451613"/>
      <w:bookmarkEnd w:id="112"/>
      <w:bookmarkStart w:id="113" w:name="_Toc524337578"/>
      <w:bookmarkEnd w:id="113"/>
      <w:bookmarkStart w:id="114" w:name="_Toc524362448"/>
      <w:bookmarkEnd w:id="114"/>
      <w:bookmarkStart w:id="115" w:name="_Toc524362447"/>
      <w:bookmarkEnd w:id="115"/>
      <w:bookmarkStart w:id="116" w:name="_Toc525722951"/>
      <w:bookmarkEnd w:id="116"/>
      <w:bookmarkStart w:id="117" w:name="_Toc524451612"/>
      <w:bookmarkEnd w:id="117"/>
      <w:bookmarkStart w:id="118" w:name="_Toc525725212"/>
      <w:bookmarkEnd w:id="118"/>
      <w:bookmarkStart w:id="119" w:name="_Toc524342106"/>
      <w:bookmarkEnd w:id="119"/>
      <w:bookmarkStart w:id="120" w:name="_Toc524451769"/>
      <w:bookmarkEnd w:id="120"/>
      <w:bookmarkStart w:id="121" w:name="_Toc524451623"/>
      <w:bookmarkEnd w:id="121"/>
      <w:bookmarkStart w:id="122" w:name="_Toc525722885"/>
      <w:bookmarkEnd w:id="122"/>
      <w:bookmarkStart w:id="123" w:name="_Toc524451622"/>
      <w:bookmarkEnd w:id="123"/>
      <w:bookmarkStart w:id="124" w:name="_Toc525725213"/>
      <w:bookmarkEnd w:id="124"/>
      <w:bookmarkStart w:id="125" w:name="_Toc525722886"/>
      <w:bookmarkEnd w:id="125"/>
      <w:bookmarkStart w:id="126" w:name="_Toc524342107"/>
      <w:bookmarkEnd w:id="126"/>
      <w:bookmarkStart w:id="127" w:name="_Toc524451770"/>
      <w:bookmarkEnd w:id="127"/>
      <w:bookmarkStart w:id="128" w:name="_Toc524342175"/>
      <w:bookmarkEnd w:id="128"/>
      <w:bookmarkStart w:id="129" w:name="_Toc525722884"/>
      <w:bookmarkEnd w:id="129"/>
      <w:bookmarkStart w:id="130" w:name="_Toc524362373"/>
      <w:bookmarkEnd w:id="130"/>
      <w:bookmarkStart w:id="131" w:name="_Toc525306101"/>
      <w:bookmarkEnd w:id="131"/>
      <w:bookmarkStart w:id="132" w:name="_Toc523323107"/>
      <w:bookmarkEnd w:id="132"/>
      <w:bookmarkStart w:id="133" w:name="_Toc524681795"/>
      <w:bookmarkEnd w:id="133"/>
      <w:bookmarkStart w:id="134" w:name="_Toc525638235"/>
      <w:bookmarkEnd w:id="134"/>
      <w:bookmarkStart w:id="135" w:name="_Toc524681794"/>
      <w:bookmarkEnd w:id="135"/>
      <w:bookmarkStart w:id="136" w:name="_Toc525722953"/>
      <w:bookmarkEnd w:id="136"/>
      <w:bookmarkStart w:id="137" w:name="_Toc523323527"/>
      <w:bookmarkEnd w:id="137"/>
      <w:bookmarkStart w:id="138" w:name="_Toc524680965"/>
      <w:bookmarkEnd w:id="138"/>
      <w:bookmarkStart w:id="139" w:name="_Toc524680966"/>
      <w:bookmarkEnd w:id="139"/>
      <w:bookmarkStart w:id="140" w:name="_Toc523323383"/>
      <w:bookmarkEnd w:id="140"/>
      <w:bookmarkStart w:id="141" w:name="_Toc524680964"/>
      <w:bookmarkEnd w:id="141"/>
      <w:bookmarkStart w:id="142" w:name="_Toc524337580"/>
      <w:bookmarkEnd w:id="142"/>
      <w:bookmarkStart w:id="143" w:name="_Toc525722954"/>
      <w:bookmarkEnd w:id="143"/>
      <w:bookmarkStart w:id="144" w:name="_Toc525723071"/>
      <w:bookmarkEnd w:id="144"/>
      <w:bookmarkStart w:id="145" w:name="_Toc524451615"/>
      <w:bookmarkEnd w:id="145"/>
      <w:bookmarkStart w:id="146" w:name="_Toc524342179"/>
      <w:bookmarkEnd w:id="146"/>
      <w:bookmarkStart w:id="147" w:name="_Toc524451772"/>
      <w:bookmarkEnd w:id="147"/>
      <w:bookmarkStart w:id="148" w:name="_Toc524362375"/>
      <w:bookmarkEnd w:id="148"/>
      <w:bookmarkStart w:id="149" w:name="_Toc525723070"/>
      <w:bookmarkEnd w:id="149"/>
      <w:bookmarkStart w:id="150" w:name="_Toc524451614"/>
      <w:bookmarkEnd w:id="150"/>
      <w:bookmarkStart w:id="151" w:name="_Toc524342177"/>
      <w:bookmarkEnd w:id="151"/>
      <w:bookmarkStart w:id="152" w:name="_Toc524451617"/>
      <w:bookmarkEnd w:id="152"/>
      <w:bookmarkStart w:id="153" w:name="_Toc524451624"/>
      <w:bookmarkEnd w:id="153"/>
      <w:bookmarkStart w:id="154" w:name="_Toc525638237"/>
      <w:bookmarkEnd w:id="154"/>
      <w:bookmarkStart w:id="155" w:name="_Toc524451771"/>
      <w:bookmarkEnd w:id="155"/>
      <w:bookmarkStart w:id="156" w:name="_Toc525722889"/>
      <w:bookmarkEnd w:id="156"/>
      <w:bookmarkStart w:id="157" w:name="_Toc524337581"/>
      <w:bookmarkEnd w:id="157"/>
      <w:bookmarkStart w:id="158" w:name="_Toc524337582"/>
      <w:bookmarkEnd w:id="158"/>
      <w:bookmarkStart w:id="159" w:name="_Toc525306102"/>
      <w:bookmarkEnd w:id="159"/>
      <w:bookmarkStart w:id="160" w:name="_Toc525306104"/>
      <w:bookmarkEnd w:id="160"/>
      <w:bookmarkStart w:id="161" w:name="_Toc525725215"/>
      <w:bookmarkEnd w:id="161"/>
      <w:bookmarkStart w:id="162" w:name="_Toc525306105"/>
      <w:bookmarkEnd w:id="162"/>
      <w:bookmarkStart w:id="163" w:name="_Toc524680968"/>
      <w:bookmarkEnd w:id="163"/>
      <w:bookmarkStart w:id="164" w:name="_Toc524451616"/>
      <w:bookmarkEnd w:id="164"/>
      <w:bookmarkStart w:id="165" w:name="_Toc524362451"/>
      <w:bookmarkEnd w:id="165"/>
      <w:bookmarkStart w:id="166" w:name="_Toc523323386"/>
      <w:bookmarkEnd w:id="166"/>
      <w:bookmarkStart w:id="167" w:name="_Toc525722956"/>
      <w:bookmarkEnd w:id="167"/>
      <w:bookmarkStart w:id="168" w:name="_Toc524451630"/>
      <w:bookmarkEnd w:id="168"/>
      <w:bookmarkStart w:id="169" w:name="_Toc525638238"/>
      <w:bookmarkEnd w:id="169"/>
      <w:bookmarkStart w:id="170" w:name="_Toc525723073"/>
      <w:bookmarkEnd w:id="170"/>
      <w:bookmarkStart w:id="171" w:name="_Toc524362377"/>
      <w:bookmarkEnd w:id="171"/>
      <w:bookmarkStart w:id="172" w:name="_Toc524342109"/>
      <w:bookmarkEnd w:id="172"/>
      <w:bookmarkStart w:id="173" w:name="_Toc523323529"/>
      <w:bookmarkEnd w:id="173"/>
      <w:bookmarkStart w:id="174" w:name="_Toc524681804"/>
      <w:bookmarkEnd w:id="174"/>
      <w:bookmarkStart w:id="175" w:name="_Toc524342170"/>
      <w:bookmarkEnd w:id="175"/>
      <w:bookmarkStart w:id="176" w:name="_Toc525722957"/>
      <w:bookmarkEnd w:id="176"/>
      <w:bookmarkStart w:id="177" w:name="_Toc524362450"/>
      <w:bookmarkEnd w:id="177"/>
      <w:bookmarkStart w:id="178" w:name="_Toc524680969"/>
      <w:bookmarkEnd w:id="178"/>
      <w:bookmarkStart w:id="179" w:name="_Toc524342178"/>
      <w:bookmarkEnd w:id="179"/>
      <w:bookmarkStart w:id="180" w:name="_Toc524362449"/>
      <w:bookmarkEnd w:id="180"/>
      <w:bookmarkStart w:id="181" w:name="_Toc525638234"/>
      <w:bookmarkEnd w:id="181"/>
      <w:bookmarkStart w:id="182" w:name="_Toc524342108"/>
      <w:bookmarkEnd w:id="182"/>
      <w:bookmarkStart w:id="183" w:name="_Toc524362376"/>
      <w:bookmarkEnd w:id="183"/>
      <w:bookmarkStart w:id="184" w:name="_Toc523323530"/>
      <w:bookmarkEnd w:id="184"/>
      <w:bookmarkStart w:id="185" w:name="_Toc525723074"/>
      <w:bookmarkEnd w:id="185"/>
      <w:bookmarkStart w:id="186" w:name="_Toc525722946"/>
      <w:bookmarkEnd w:id="186"/>
      <w:bookmarkStart w:id="187" w:name="_Toc525722888"/>
      <w:bookmarkEnd w:id="187"/>
      <w:bookmarkStart w:id="188" w:name="_Toc523323376"/>
      <w:bookmarkEnd w:id="188"/>
      <w:bookmarkStart w:id="189" w:name="_Toc524342169"/>
      <w:bookmarkEnd w:id="189"/>
      <w:bookmarkStart w:id="190" w:name="_Toc523323375"/>
      <w:bookmarkEnd w:id="190"/>
      <w:bookmarkStart w:id="191" w:name="_Toc525306095"/>
      <w:bookmarkEnd w:id="191"/>
      <w:bookmarkStart w:id="192" w:name="_Toc524362367"/>
      <w:bookmarkEnd w:id="192"/>
      <w:bookmarkStart w:id="193" w:name="_Toc524451762"/>
      <w:bookmarkEnd w:id="193"/>
      <w:bookmarkStart w:id="194" w:name="_Toc524681787"/>
      <w:bookmarkEnd w:id="194"/>
      <w:bookmarkStart w:id="195" w:name="_Toc525722880"/>
      <w:bookmarkEnd w:id="195"/>
      <w:bookmarkStart w:id="196" w:name="_Toc524362441"/>
      <w:bookmarkEnd w:id="196"/>
      <w:bookmarkStart w:id="197" w:name="_Toc523323521"/>
      <w:bookmarkEnd w:id="197"/>
      <w:bookmarkStart w:id="198" w:name="_Toc524680960"/>
      <w:bookmarkEnd w:id="198"/>
      <w:bookmarkStart w:id="199" w:name="_Toc524451608"/>
      <w:bookmarkEnd w:id="199"/>
      <w:bookmarkStart w:id="200" w:name="_Toc524680959"/>
      <w:bookmarkEnd w:id="200"/>
      <w:bookmarkStart w:id="201" w:name="_Toc524681789"/>
      <w:bookmarkEnd w:id="201"/>
      <w:bookmarkStart w:id="202" w:name="_Toc524451609"/>
      <w:bookmarkEnd w:id="202"/>
      <w:bookmarkStart w:id="203" w:name="_Toc525306096"/>
      <w:bookmarkEnd w:id="203"/>
      <w:bookmarkStart w:id="204" w:name="_Toc524342102"/>
      <w:bookmarkEnd w:id="204"/>
      <w:bookmarkStart w:id="205" w:name="_Toc524342172"/>
      <w:bookmarkEnd w:id="205"/>
      <w:bookmarkStart w:id="206" w:name="_Toc525723063"/>
      <w:bookmarkEnd w:id="206"/>
      <w:bookmarkStart w:id="207" w:name="_Toc523323522"/>
      <w:bookmarkEnd w:id="207"/>
      <w:bookmarkStart w:id="208" w:name="_Toc524362368"/>
      <w:bookmarkEnd w:id="208"/>
      <w:bookmarkStart w:id="209" w:name="_Toc524342100"/>
      <w:bookmarkEnd w:id="209"/>
      <w:bookmarkStart w:id="210" w:name="_Toc524451764"/>
      <w:bookmarkEnd w:id="210"/>
      <w:bookmarkStart w:id="211" w:name="_Toc524362370"/>
      <w:bookmarkEnd w:id="211"/>
      <w:bookmarkStart w:id="212" w:name="_Toc525725206"/>
      <w:bookmarkEnd w:id="212"/>
      <w:bookmarkStart w:id="213" w:name="_Toc524362442"/>
      <w:bookmarkEnd w:id="213"/>
      <w:bookmarkStart w:id="214" w:name="_Toc525638229"/>
      <w:bookmarkEnd w:id="214"/>
      <w:bookmarkStart w:id="215" w:name="_Toc523323102"/>
      <w:bookmarkEnd w:id="215"/>
      <w:bookmarkStart w:id="216" w:name="_Toc524362444"/>
      <w:bookmarkEnd w:id="216"/>
      <w:bookmarkStart w:id="217" w:name="_Toc523323378"/>
      <w:bookmarkEnd w:id="217"/>
      <w:bookmarkStart w:id="218" w:name="_Toc525725207"/>
      <w:bookmarkEnd w:id="218"/>
      <w:bookmarkStart w:id="219" w:name="_Toc525723064"/>
      <w:bookmarkEnd w:id="219"/>
      <w:bookmarkStart w:id="220" w:name="_Toc524337574"/>
      <w:bookmarkEnd w:id="220"/>
      <w:bookmarkStart w:id="221" w:name="_Toc525722949"/>
      <w:bookmarkEnd w:id="221"/>
      <w:bookmarkStart w:id="222" w:name="_Toc525722947"/>
      <w:bookmarkEnd w:id="222"/>
      <w:bookmarkStart w:id="223" w:name="_Toc525722948"/>
      <w:bookmarkEnd w:id="223"/>
      <w:bookmarkStart w:id="224" w:name="_Toc523323377"/>
      <w:bookmarkEnd w:id="224"/>
      <w:bookmarkStart w:id="225" w:name="_Toc524337575"/>
      <w:bookmarkEnd w:id="225"/>
      <w:bookmarkStart w:id="226" w:name="_Toc524362443"/>
      <w:bookmarkEnd w:id="226"/>
      <w:bookmarkStart w:id="227" w:name="_Toc523323103"/>
      <w:bookmarkEnd w:id="227"/>
      <w:bookmarkStart w:id="228" w:name="_Toc525723066"/>
      <w:bookmarkEnd w:id="228"/>
      <w:bookmarkStart w:id="229" w:name="_Toc525306097"/>
      <w:bookmarkEnd w:id="229"/>
      <w:bookmarkStart w:id="230" w:name="_Toc524342171"/>
      <w:bookmarkEnd w:id="230"/>
      <w:bookmarkStart w:id="231" w:name="_Toc525638230"/>
      <w:bookmarkEnd w:id="231"/>
      <w:bookmarkStart w:id="232" w:name="_Toc524342101"/>
      <w:bookmarkEnd w:id="232"/>
      <w:bookmarkStart w:id="233" w:name="_Toc525725208"/>
      <w:bookmarkEnd w:id="233"/>
      <w:bookmarkStart w:id="234" w:name="_Toc524451765"/>
      <w:bookmarkEnd w:id="234"/>
      <w:bookmarkStart w:id="235" w:name="_Toc523323385"/>
      <w:bookmarkEnd w:id="235"/>
      <w:bookmarkStart w:id="236" w:name="_Toc524451610"/>
      <w:bookmarkEnd w:id="236"/>
      <w:bookmarkStart w:id="237" w:name="_Toc524680961"/>
      <w:bookmarkEnd w:id="237"/>
      <w:bookmarkStart w:id="238" w:name="_Toc524681790"/>
      <w:bookmarkEnd w:id="238"/>
      <w:bookmarkStart w:id="239" w:name="_Toc525722881"/>
      <w:bookmarkEnd w:id="239"/>
      <w:bookmarkStart w:id="240" w:name="_Toc523323101"/>
      <w:bookmarkEnd w:id="240"/>
      <w:bookmarkStart w:id="241" w:name="_Toc523323109"/>
      <w:bookmarkEnd w:id="241"/>
      <w:bookmarkStart w:id="242" w:name="_Toc525638240"/>
      <w:bookmarkStart w:id="243" w:name="_Toc525725218"/>
      <w:bookmarkStart w:id="244" w:name="_Toc525306107"/>
      <w:r>
        <w:rPr>
          <w:rFonts w:hint="eastAsia" w:ascii="仿宋" w:hAnsi="仿宋" w:eastAsia="仿宋"/>
        </w:rPr>
        <w:t>4.2、业务系统</w:t>
      </w:r>
      <w:bookmarkEnd w:id="242"/>
      <w:bookmarkEnd w:id="243"/>
      <w:bookmarkEnd w:id="244"/>
      <w:r>
        <w:rPr>
          <w:rFonts w:hint="eastAsia" w:ascii="仿宋" w:hAnsi="仿宋" w:eastAsia="仿宋"/>
        </w:rPr>
        <w:t>建设</w:t>
      </w:r>
    </w:p>
    <w:p>
      <w:pPr>
        <w:pStyle w:val="110"/>
        <w:rPr>
          <w:rFonts w:ascii="仿宋" w:hAnsi="仿宋" w:eastAsia="仿宋"/>
        </w:rPr>
      </w:pPr>
      <w:r>
        <w:rPr>
          <w:rFonts w:hint="eastAsia" w:ascii="仿宋" w:hAnsi="仿宋" w:eastAsia="仿宋"/>
        </w:rPr>
        <w:t>本次招标涉及业务系统开发部分采用定制开发方式，主要包含人体特征业务、人脸特征业务、车辆特征业务(含非机动车</w:t>
      </w:r>
      <w:r>
        <w:rPr>
          <w:rFonts w:ascii="仿宋" w:hAnsi="仿宋" w:eastAsia="仿宋"/>
        </w:rPr>
        <w:t>)</w:t>
      </w:r>
      <w:r>
        <w:rPr>
          <w:rFonts w:hint="eastAsia" w:ascii="仿宋" w:hAnsi="仿宋" w:eastAsia="仿宋"/>
        </w:rPr>
        <w:t>、大数据碰撞系统及综合布控业务五大业务模块，各业务模块定制需满足平阳公安实际使用需求。</w:t>
      </w:r>
    </w:p>
    <w:p>
      <w:pPr>
        <w:pStyle w:val="11"/>
        <w:numPr>
          <w:ilvl w:val="0"/>
          <w:numId w:val="0"/>
        </w:numPr>
        <w:ind w:firstLine="293" w:firstLineChars="100"/>
        <w:rPr>
          <w:rFonts w:ascii="仿宋" w:hAnsi="仿宋" w:eastAsia="仿宋"/>
          <w:sz w:val="28"/>
          <w:szCs w:val="28"/>
        </w:rPr>
      </w:pPr>
      <w:r>
        <w:rPr>
          <w:rFonts w:hint="eastAsia" w:ascii="仿宋" w:hAnsi="仿宋" w:eastAsia="仿宋"/>
          <w:sz w:val="28"/>
          <w:szCs w:val="28"/>
        </w:rPr>
        <w:t>人体特征业务</w:t>
      </w:r>
    </w:p>
    <w:p>
      <w:pPr>
        <w:pStyle w:val="110"/>
        <w:rPr>
          <w:rFonts w:ascii="仿宋" w:hAnsi="仿宋" w:eastAsia="仿宋"/>
        </w:rPr>
      </w:pPr>
      <w:r>
        <w:rPr>
          <w:rFonts w:hint="eastAsia" w:ascii="仿宋" w:hAnsi="仿宋" w:eastAsia="仿宋"/>
        </w:rPr>
        <w:t xml:space="preserve">系统基于接入的视频流中的行人步行姿态、轨迹等进行实时分析与识别，采用非人脸检测方式获取行人的动态特征、姿态及轨迹等有价值信息。 </w:t>
      </w:r>
    </w:p>
    <w:p>
      <w:pPr>
        <w:pStyle w:val="110"/>
        <w:rPr>
          <w:rFonts w:ascii="仿宋" w:hAnsi="仿宋" w:eastAsia="仿宋"/>
        </w:rPr>
      </w:pPr>
      <w:r>
        <w:rPr>
          <w:rFonts w:hint="eastAsia" w:ascii="仿宋" w:hAnsi="仿宋" w:eastAsia="仿宋"/>
        </w:rPr>
        <w:t>在提取人体动态特征基础上，根据平阳县公安业务部门的要求进行相应的业务功能开发，满足实战需求。</w:t>
      </w:r>
    </w:p>
    <w:p>
      <w:pPr>
        <w:pStyle w:val="3"/>
        <w:ind w:firstLine="480" w:firstLineChars="200"/>
        <w:rPr>
          <w:rFonts w:ascii="仿宋" w:hAnsi="仿宋" w:eastAsia="仿宋"/>
          <w:kern w:val="2"/>
          <w:szCs w:val="22"/>
          <w:lang w:val="zh-CN"/>
        </w:rPr>
      </w:pPr>
    </w:p>
    <w:p>
      <w:pPr>
        <w:pStyle w:val="11"/>
        <w:numPr>
          <w:ilvl w:val="0"/>
          <w:numId w:val="0"/>
        </w:numPr>
        <w:ind w:firstLine="293" w:firstLineChars="100"/>
        <w:rPr>
          <w:rFonts w:ascii="仿宋" w:hAnsi="仿宋" w:eastAsia="仿宋"/>
          <w:sz w:val="28"/>
          <w:szCs w:val="28"/>
        </w:rPr>
      </w:pPr>
      <w:r>
        <w:rPr>
          <w:rFonts w:hint="eastAsia" w:ascii="仿宋" w:hAnsi="仿宋" w:eastAsia="仿宋"/>
          <w:sz w:val="28"/>
          <w:szCs w:val="28"/>
        </w:rPr>
        <w:t>人脸特征业务</w:t>
      </w:r>
    </w:p>
    <w:p>
      <w:pPr>
        <w:pStyle w:val="110"/>
        <w:rPr>
          <w:rFonts w:ascii="仿宋" w:hAnsi="仿宋" w:eastAsia="仿宋"/>
        </w:rPr>
      </w:pPr>
      <w:r>
        <w:rPr>
          <w:rFonts w:hint="eastAsia" w:ascii="仿宋" w:hAnsi="仿宋" w:eastAsia="仿宋"/>
        </w:rPr>
        <w:t>系统从接入的视频流中对行人面部信息进行实时分析与识别，包括行人面部检测、行人抓拍，提取有价值的人脸特征信息。</w:t>
      </w:r>
    </w:p>
    <w:p>
      <w:pPr>
        <w:pStyle w:val="110"/>
        <w:ind w:firstLine="400" w:firstLineChars="200"/>
        <w:rPr>
          <w:rFonts w:ascii="仿宋" w:hAnsi="仿宋" w:eastAsia="仿宋"/>
        </w:rPr>
      </w:pPr>
      <w:r>
        <w:rPr>
          <w:rFonts w:hint="eastAsia" w:ascii="仿宋" w:hAnsi="仿宋" w:eastAsia="仿宋"/>
        </w:rPr>
        <w:t>在提取人脸特征的基础上，根据平阳县公安各部门的要求进行相应的业务功能开发，满足实战需求。</w:t>
      </w:r>
    </w:p>
    <w:p>
      <w:pPr>
        <w:rPr>
          <w:rFonts w:ascii="仿宋" w:hAnsi="仿宋" w:eastAsia="仿宋"/>
          <w:lang w:val="zh-CN"/>
        </w:rPr>
      </w:pPr>
    </w:p>
    <w:p>
      <w:pPr>
        <w:pStyle w:val="11"/>
        <w:numPr>
          <w:ilvl w:val="0"/>
          <w:numId w:val="0"/>
        </w:numPr>
        <w:ind w:firstLine="586" w:firstLineChars="200"/>
        <w:rPr>
          <w:rFonts w:ascii="仿宋" w:hAnsi="仿宋" w:eastAsia="仿宋"/>
          <w:sz w:val="28"/>
          <w:szCs w:val="28"/>
        </w:rPr>
      </w:pPr>
      <w:r>
        <w:rPr>
          <w:rFonts w:hint="eastAsia" w:ascii="仿宋" w:hAnsi="仿宋" w:eastAsia="仿宋"/>
          <w:sz w:val="28"/>
          <w:szCs w:val="28"/>
        </w:rPr>
        <w:t>车辆特征业务</w:t>
      </w:r>
    </w:p>
    <w:p>
      <w:pPr>
        <w:pStyle w:val="110"/>
        <w:rPr>
          <w:rFonts w:ascii="仿宋" w:hAnsi="仿宋" w:eastAsia="仿宋"/>
        </w:rPr>
      </w:pPr>
      <w:r>
        <w:rPr>
          <w:rFonts w:hint="eastAsia" w:ascii="仿宋" w:hAnsi="仿宋" w:eastAsia="仿宋"/>
        </w:rPr>
        <w:t>系统从接入的视频流中对车辆信息进行实时分析识别并提取特征信息，包括车辆行驶方向、经过时间、地点、号牌及车身颜色等信息。</w:t>
      </w:r>
    </w:p>
    <w:p>
      <w:pPr>
        <w:pStyle w:val="110"/>
        <w:rPr>
          <w:rFonts w:ascii="仿宋" w:hAnsi="仿宋" w:eastAsia="仿宋"/>
        </w:rPr>
      </w:pPr>
      <w:r>
        <w:rPr>
          <w:rFonts w:hint="eastAsia" w:ascii="仿宋" w:hAnsi="仿宋" w:eastAsia="仿宋"/>
        </w:rPr>
        <w:t>在提取车辆信息特征的基础上，根据平阳县公安各部门的要求进行相应业务功能开发，满足实战要求。</w:t>
      </w:r>
    </w:p>
    <w:p>
      <w:pPr>
        <w:pStyle w:val="11"/>
        <w:numPr>
          <w:ilvl w:val="0"/>
          <w:numId w:val="0"/>
        </w:numPr>
        <w:ind w:firstLine="293" w:firstLineChars="100"/>
        <w:rPr>
          <w:rFonts w:ascii="仿宋" w:hAnsi="仿宋" w:eastAsia="仿宋"/>
          <w:sz w:val="28"/>
          <w:szCs w:val="28"/>
        </w:rPr>
      </w:pPr>
      <w:r>
        <w:rPr>
          <w:rFonts w:hint="eastAsia" w:ascii="仿宋" w:hAnsi="仿宋" w:eastAsia="仿宋"/>
          <w:sz w:val="28"/>
          <w:szCs w:val="28"/>
        </w:rPr>
        <w:t>大数据分析系统</w:t>
      </w:r>
    </w:p>
    <w:p>
      <w:pPr>
        <w:pStyle w:val="110"/>
        <w:rPr>
          <w:rFonts w:ascii="仿宋" w:hAnsi="仿宋" w:eastAsia="仿宋"/>
        </w:rPr>
      </w:pPr>
      <w:r>
        <w:rPr>
          <w:rFonts w:hint="eastAsia" w:ascii="仿宋" w:hAnsi="仿宋" w:eastAsia="仿宋"/>
        </w:rPr>
        <w:t>系统基于视频产生的各种数据，与接入的公安各业务系统进行数据碰撞，将原有关联性不强的各类数据在多个维度进行分析、碰撞，提供自定义模型，为平阳县公安各警种进行专项应用。</w:t>
      </w:r>
    </w:p>
    <w:p>
      <w:pPr>
        <w:pStyle w:val="11"/>
        <w:numPr>
          <w:ilvl w:val="0"/>
          <w:numId w:val="0"/>
        </w:numPr>
        <w:ind w:firstLine="293" w:firstLineChars="100"/>
        <w:rPr>
          <w:rFonts w:ascii="仿宋" w:hAnsi="仿宋" w:eastAsia="仿宋"/>
          <w:sz w:val="28"/>
          <w:szCs w:val="28"/>
        </w:rPr>
      </w:pPr>
      <w:r>
        <w:rPr>
          <w:rFonts w:hint="eastAsia" w:ascii="仿宋" w:hAnsi="仿宋" w:eastAsia="仿宋"/>
          <w:sz w:val="28"/>
          <w:szCs w:val="28"/>
        </w:rPr>
        <w:t>综合布控业务</w:t>
      </w:r>
    </w:p>
    <w:p>
      <w:pPr>
        <w:pStyle w:val="110"/>
        <w:rPr>
          <w:rFonts w:ascii="仿宋" w:hAnsi="仿宋" w:eastAsia="仿宋"/>
          <w:lang w:val="en-US"/>
        </w:rPr>
      </w:pPr>
      <w:r>
        <w:rPr>
          <w:rFonts w:hint="eastAsia" w:ascii="仿宋" w:hAnsi="仿宋" w:eastAsia="仿宋"/>
          <w:lang w:val="en-US"/>
        </w:rPr>
        <w:t>根据业务系统产生的数据信息或外部输入的布控条件，例如：行人照片、人脸照片、姓名、身份证号、车牌号、手机号等，系统进行目标信息的检索，将相关信息进行展现，可按照时间、范围等进行布控，当检测到触发布控条件时，系统进行自动告警，从而实现一键布控、智能预警的业务目标。</w:t>
      </w:r>
    </w:p>
    <w:p>
      <w:pPr>
        <w:pStyle w:val="3"/>
        <w:rPr>
          <w:rFonts w:ascii="仿宋" w:hAnsi="仿宋" w:eastAsia="仿宋"/>
        </w:rPr>
      </w:pPr>
    </w:p>
    <w:p>
      <w:pPr>
        <w:pStyle w:val="9"/>
        <w:numPr>
          <w:ilvl w:val="0"/>
          <w:numId w:val="6"/>
        </w:numPr>
        <w:rPr>
          <w:rFonts w:hint="eastAsia"/>
          <w:lang w:eastAsia="zh-CN"/>
        </w:rPr>
      </w:pPr>
      <w:r>
        <w:rPr>
          <w:rFonts w:ascii="仿宋" w:hAnsi="仿宋" w:eastAsia="仿宋"/>
        </w:rPr>
        <w:t>硬件设备要求</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shd w:val="clear" w:color="000000" w:fill="FFFFFF"/>
            <w:noWrap w:val="0"/>
            <w:vAlign w:val="center"/>
          </w:tcPr>
          <w:p>
            <w:pPr>
              <w:rPr>
                <w:rFonts w:ascii="仿宋" w:hAnsi="仿宋" w:eastAsia="仿宋"/>
                <w:b/>
                <w:bCs/>
                <w:szCs w:val="21"/>
              </w:rPr>
            </w:pPr>
            <w:r>
              <w:rPr>
                <w:rFonts w:hint="eastAsia" w:ascii="仿宋" w:hAnsi="仿宋" w:eastAsia="仿宋"/>
                <w:b/>
                <w:bCs/>
                <w:szCs w:val="21"/>
              </w:rPr>
              <w:t>设备名称</w:t>
            </w:r>
          </w:p>
        </w:tc>
        <w:tc>
          <w:tcPr>
            <w:tcW w:w="5887" w:type="dxa"/>
            <w:shd w:val="clear" w:color="000000" w:fill="FFFFFF"/>
            <w:noWrap w:val="0"/>
            <w:vAlign w:val="center"/>
          </w:tcPr>
          <w:p>
            <w:pPr>
              <w:jc w:val="center"/>
              <w:rPr>
                <w:rFonts w:ascii="仿宋" w:hAnsi="仿宋" w:eastAsia="仿宋"/>
                <w:b/>
                <w:bCs/>
                <w:szCs w:val="21"/>
              </w:rPr>
            </w:pPr>
            <w:r>
              <w:rPr>
                <w:rFonts w:hint="eastAsia" w:ascii="仿宋" w:hAnsi="仿宋" w:eastAsia="仿宋"/>
                <w:b/>
                <w:bCs/>
                <w:szCs w:val="21"/>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shd w:val="clear" w:color="000000" w:fill="FFFFFF"/>
            <w:noWrap w:val="0"/>
            <w:vAlign w:val="center"/>
          </w:tcPr>
          <w:p>
            <w:pPr>
              <w:jc w:val="center"/>
              <w:rPr>
                <w:rFonts w:ascii="仿宋" w:hAnsi="仿宋" w:eastAsia="仿宋"/>
              </w:rPr>
            </w:pPr>
            <w:r>
              <w:rPr>
                <w:rFonts w:hint="eastAsia" w:ascii="仿宋" w:hAnsi="仿宋" w:eastAsia="仿宋"/>
              </w:rPr>
              <w:t>管理</w:t>
            </w:r>
          </w:p>
          <w:p>
            <w:pPr>
              <w:jc w:val="center"/>
              <w:rPr>
                <w:rFonts w:ascii="仿宋" w:hAnsi="仿宋" w:eastAsia="仿宋"/>
                <w:bCs/>
                <w:szCs w:val="21"/>
              </w:rPr>
            </w:pPr>
            <w:r>
              <w:rPr>
                <w:rFonts w:hint="eastAsia" w:ascii="仿宋" w:hAnsi="仿宋" w:eastAsia="仿宋"/>
              </w:rPr>
              <w:t>服务器</w:t>
            </w:r>
          </w:p>
        </w:tc>
        <w:tc>
          <w:tcPr>
            <w:tcW w:w="5887" w:type="dxa"/>
            <w:shd w:val="clear" w:color="000000" w:fill="FFFFFF"/>
            <w:noWrap w:val="0"/>
            <w:vAlign w:val="center"/>
          </w:tcPr>
          <w:p>
            <w:pPr>
              <w:spacing w:line="360" w:lineRule="auto"/>
              <w:rPr>
                <w:rFonts w:hint="eastAsia" w:ascii="仿宋" w:hAnsi="仿宋"/>
                <w:bCs/>
                <w:color w:val="FF0000"/>
                <w:szCs w:val="21"/>
              </w:rPr>
            </w:pPr>
            <w:r>
              <w:rPr>
                <w:rFonts w:hint="eastAsia" w:ascii="仿宋" w:hAnsi="仿宋" w:eastAsia="仿宋"/>
                <w:bCs/>
                <w:szCs w:val="21"/>
              </w:rPr>
              <w:t>1、国内自主品牌服务器，非OEM产品。</w:t>
            </w:r>
          </w:p>
          <w:p>
            <w:pPr>
              <w:spacing w:line="360" w:lineRule="auto"/>
              <w:rPr>
                <w:rFonts w:ascii="仿宋" w:hAnsi="仿宋" w:eastAsia="仿宋"/>
                <w:bCs/>
                <w:szCs w:val="21"/>
              </w:rPr>
            </w:pPr>
            <w:r>
              <w:rPr>
                <w:rFonts w:hint="eastAsia" w:ascii="仿宋" w:hAnsi="仿宋" w:eastAsia="仿宋"/>
                <w:bCs/>
                <w:szCs w:val="21"/>
              </w:rPr>
              <w:t>2、标准2U机架式服务器，配置安装导轨；</w:t>
            </w:r>
          </w:p>
          <w:p>
            <w:pPr>
              <w:spacing w:line="360" w:lineRule="auto"/>
              <w:rPr>
                <w:rFonts w:ascii="仿宋" w:hAnsi="仿宋" w:eastAsia="仿宋"/>
                <w:bCs/>
                <w:szCs w:val="21"/>
              </w:rPr>
            </w:pPr>
            <w:r>
              <w:rPr>
                <w:rFonts w:hint="eastAsia" w:ascii="仿宋" w:hAnsi="仿宋" w:eastAsia="仿宋"/>
                <w:bCs/>
                <w:szCs w:val="21"/>
              </w:rPr>
              <w:t>3、支持两颗英特尔</w:t>
            </w:r>
            <w:r>
              <w:rPr>
                <w:rFonts w:ascii="Calibri" w:eastAsia="仿宋" w:cs="Calibri"/>
                <w:bCs/>
                <w:szCs w:val="21"/>
              </w:rPr>
              <w:t>®</w:t>
            </w:r>
            <w:r>
              <w:rPr>
                <w:rFonts w:ascii="仿宋" w:hAnsi="仿宋" w:eastAsia="仿宋"/>
                <w:bCs/>
                <w:szCs w:val="21"/>
              </w:rPr>
              <w:t xml:space="preserve"> </w:t>
            </w:r>
            <w:r>
              <w:rPr>
                <w:rFonts w:hint="eastAsia" w:ascii="仿宋" w:hAnsi="仿宋" w:eastAsia="仿宋"/>
                <w:bCs/>
                <w:szCs w:val="21"/>
              </w:rPr>
              <w:t>至强</w:t>
            </w:r>
            <w:r>
              <w:rPr>
                <w:rFonts w:ascii="Calibri" w:eastAsia="仿宋" w:cs="Calibri"/>
                <w:bCs/>
                <w:szCs w:val="21"/>
              </w:rPr>
              <w:t>®</w:t>
            </w:r>
            <w:r>
              <w:rPr>
                <w:rFonts w:ascii="仿宋" w:hAnsi="仿宋" w:eastAsia="仿宋"/>
                <w:bCs/>
                <w:szCs w:val="21"/>
              </w:rPr>
              <w:t xml:space="preserve"> </w:t>
            </w:r>
            <w:r>
              <w:rPr>
                <w:rFonts w:hint="eastAsia" w:ascii="仿宋" w:hAnsi="仿宋" w:eastAsia="仿宋"/>
                <w:bCs/>
                <w:szCs w:val="21"/>
              </w:rPr>
              <w:t>可扩展系列处理器；</w:t>
            </w:r>
          </w:p>
          <w:p>
            <w:pPr>
              <w:spacing w:line="360" w:lineRule="auto"/>
              <w:ind w:firstLine="240" w:firstLineChars="100"/>
              <w:rPr>
                <w:rFonts w:ascii="仿宋" w:hAnsi="仿宋" w:eastAsia="仿宋"/>
                <w:bCs/>
                <w:szCs w:val="21"/>
              </w:rPr>
            </w:pPr>
            <w:r>
              <w:rPr>
                <w:rFonts w:hint="eastAsia" w:ascii="仿宋" w:hAnsi="仿宋" w:eastAsia="仿宋"/>
                <w:bCs/>
                <w:szCs w:val="21"/>
              </w:rPr>
              <w:t>配置2颗</w:t>
            </w:r>
            <w:r>
              <w:rPr>
                <w:rFonts w:ascii="仿宋" w:hAnsi="仿宋" w:eastAsia="仿宋"/>
                <w:bCs/>
                <w:szCs w:val="21"/>
              </w:rPr>
              <w:t>Intel XEON Silver 4114 10C/20T 2.2GHz 13.75M 85W</w:t>
            </w:r>
            <w:r>
              <w:rPr>
                <w:rFonts w:hint="eastAsia" w:ascii="仿宋" w:hAnsi="仿宋" w:eastAsia="仿宋"/>
                <w:bCs/>
                <w:szCs w:val="21"/>
              </w:rPr>
              <w:t>处理器。</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 xml:space="preserve">4、最大支持8 DIMM插槽, </w:t>
            </w:r>
            <w:r>
              <w:rPr>
                <w:rFonts w:hint="eastAsia" w:ascii="仿宋" w:hAnsi="仿宋" w:eastAsia="仿宋"/>
                <w:szCs w:val="21"/>
              </w:rPr>
              <w:t>支持2666MHz DDR4的RDIMM内存 ，最大支持1 TB</w:t>
            </w:r>
            <w:r>
              <w:rPr>
                <w:rFonts w:hint="eastAsia" w:ascii="仿宋" w:hAnsi="仿宋" w:eastAsia="仿宋"/>
                <w:bCs/>
                <w:szCs w:val="21"/>
              </w:rPr>
              <w:t>；</w:t>
            </w:r>
          </w:p>
          <w:p>
            <w:pPr>
              <w:spacing w:line="360" w:lineRule="auto"/>
              <w:ind w:firstLine="240" w:firstLineChars="100"/>
              <w:rPr>
                <w:rFonts w:ascii="仿宋" w:hAnsi="仿宋" w:eastAsia="仿宋"/>
                <w:bCs/>
                <w:szCs w:val="21"/>
              </w:rPr>
            </w:pPr>
            <w:r>
              <w:rPr>
                <w:rFonts w:hint="eastAsia" w:ascii="仿宋" w:hAnsi="仿宋" w:eastAsia="仿宋"/>
                <w:bCs/>
                <w:szCs w:val="21"/>
              </w:rPr>
              <w:t>配置8条16GB/DDR4/2666 MHz/ECC/REG内存</w:t>
            </w:r>
          </w:p>
          <w:p>
            <w:pPr>
              <w:spacing w:line="360" w:lineRule="auto"/>
              <w:ind w:left="600" w:hanging="600" w:hangingChars="250"/>
              <w:rPr>
                <w:rFonts w:ascii="仿宋" w:hAnsi="仿宋" w:eastAsia="仿宋"/>
                <w:szCs w:val="21"/>
              </w:rPr>
            </w:pPr>
            <w:r>
              <w:rPr>
                <w:rFonts w:hint="eastAsia" w:ascii="仿宋" w:hAnsi="仿宋" w:eastAsia="仿宋"/>
                <w:bCs/>
                <w:szCs w:val="21"/>
              </w:rPr>
              <w:t>5、硬盘位扩展：</w:t>
            </w:r>
            <w:r>
              <w:rPr>
                <w:rFonts w:hint="eastAsia" w:ascii="仿宋" w:hAnsi="仿宋" w:eastAsia="仿宋"/>
                <w:szCs w:val="21"/>
              </w:rPr>
              <w:t>支持</w:t>
            </w:r>
            <w:r>
              <w:rPr>
                <w:rFonts w:ascii="仿宋" w:hAnsi="仿宋" w:eastAsia="仿宋"/>
                <w:szCs w:val="21"/>
              </w:rPr>
              <w:t>8</w:t>
            </w:r>
            <w:r>
              <w:rPr>
                <w:rFonts w:hint="eastAsia" w:ascii="仿宋" w:hAnsi="仿宋" w:eastAsia="仿宋"/>
                <w:szCs w:val="21"/>
              </w:rPr>
              <w:t>个</w:t>
            </w:r>
            <w:r>
              <w:rPr>
                <w:rFonts w:ascii="仿宋" w:hAnsi="仿宋" w:eastAsia="仿宋"/>
                <w:szCs w:val="21"/>
              </w:rPr>
              <w:t>3.5</w:t>
            </w:r>
            <w:r>
              <w:rPr>
                <w:rFonts w:hint="eastAsia" w:ascii="仿宋" w:hAnsi="仿宋" w:eastAsia="仿宋"/>
                <w:szCs w:val="21"/>
              </w:rPr>
              <w:t>”</w:t>
            </w:r>
            <w:r>
              <w:rPr>
                <w:rFonts w:ascii="仿宋" w:hAnsi="仿宋" w:eastAsia="仿宋"/>
                <w:szCs w:val="21"/>
              </w:rPr>
              <w:t>/2.5</w:t>
            </w:r>
            <w:r>
              <w:rPr>
                <w:rFonts w:hint="eastAsia" w:ascii="仿宋" w:hAnsi="仿宋" w:eastAsia="仿宋"/>
                <w:szCs w:val="21"/>
              </w:rPr>
              <w:t>”</w:t>
            </w:r>
            <w:r>
              <w:rPr>
                <w:rFonts w:ascii="仿宋" w:hAnsi="仿宋" w:eastAsia="仿宋"/>
                <w:szCs w:val="21"/>
              </w:rPr>
              <w:t xml:space="preserve"> SATA/SAS/SSD</w:t>
            </w:r>
            <w:r>
              <w:rPr>
                <w:rFonts w:hint="eastAsia" w:ascii="仿宋" w:hAnsi="仿宋" w:eastAsia="仿宋"/>
                <w:szCs w:val="21"/>
              </w:rPr>
              <w:t>硬盘，可内置两个</w:t>
            </w:r>
            <w:r>
              <w:rPr>
                <w:rFonts w:ascii="仿宋" w:hAnsi="仿宋" w:eastAsia="仿宋"/>
                <w:szCs w:val="21"/>
              </w:rPr>
              <w:t>2.5</w:t>
            </w:r>
            <w:r>
              <w:rPr>
                <w:rFonts w:hint="eastAsia" w:ascii="仿宋" w:hAnsi="仿宋" w:eastAsia="仿宋"/>
                <w:szCs w:val="21"/>
              </w:rPr>
              <w:t>”</w:t>
            </w:r>
            <w:r>
              <w:rPr>
                <w:rFonts w:ascii="仿宋" w:hAnsi="仿宋" w:eastAsia="仿宋"/>
                <w:szCs w:val="21"/>
              </w:rPr>
              <w:t xml:space="preserve"> SATA/SAS/SSD</w:t>
            </w:r>
            <w:r>
              <w:rPr>
                <w:rFonts w:hint="eastAsia" w:ascii="仿宋" w:hAnsi="仿宋" w:eastAsia="仿宋"/>
                <w:szCs w:val="21"/>
              </w:rPr>
              <w:t>硬盘，最大支持存储容量68</w:t>
            </w:r>
            <w:r>
              <w:rPr>
                <w:rFonts w:ascii="仿宋" w:hAnsi="仿宋" w:eastAsia="仿宋"/>
                <w:szCs w:val="21"/>
              </w:rPr>
              <w:t>TB，</w:t>
            </w:r>
            <w:r>
              <w:rPr>
                <w:rFonts w:hint="eastAsia" w:ascii="仿宋" w:hAnsi="仿宋" w:eastAsia="仿宋"/>
                <w:szCs w:val="21"/>
              </w:rPr>
              <w:t>支持1个PCI-E</w:t>
            </w:r>
            <w:r>
              <w:rPr>
                <w:rFonts w:ascii="仿宋" w:hAnsi="仿宋" w:eastAsia="仿宋"/>
                <w:szCs w:val="21"/>
              </w:rPr>
              <w:t xml:space="preserve"> M.2 SSD</w:t>
            </w:r>
            <w:r>
              <w:rPr>
                <w:rFonts w:hint="eastAsia" w:ascii="仿宋" w:hAnsi="仿宋" w:eastAsia="仿宋"/>
                <w:szCs w:val="21"/>
              </w:rPr>
              <w:t>；</w:t>
            </w:r>
          </w:p>
          <w:p>
            <w:pPr>
              <w:spacing w:line="360" w:lineRule="auto"/>
              <w:ind w:firstLine="240" w:firstLineChars="100"/>
              <w:rPr>
                <w:rFonts w:ascii="仿宋" w:hAnsi="仿宋" w:eastAsia="仿宋"/>
                <w:bCs/>
                <w:szCs w:val="21"/>
              </w:rPr>
            </w:pPr>
            <w:r>
              <w:rPr>
                <w:rFonts w:hint="eastAsia" w:ascii="仿宋" w:hAnsi="仿宋" w:eastAsia="仿宋"/>
                <w:bCs/>
                <w:szCs w:val="21"/>
              </w:rPr>
              <w:t xml:space="preserve">配置2块Intel/SSD/DC/S4600/S4610 Series(960GB,2.5寸 SATA 6Gb/s ,3D Nand,TLC)                                          </w:t>
            </w:r>
          </w:p>
          <w:p>
            <w:pPr>
              <w:spacing w:line="360" w:lineRule="auto"/>
              <w:rPr>
                <w:rFonts w:ascii="仿宋" w:hAnsi="仿宋" w:eastAsia="仿宋"/>
                <w:szCs w:val="21"/>
              </w:rPr>
            </w:pPr>
            <w:r>
              <w:rPr>
                <w:rFonts w:hint="eastAsia" w:ascii="仿宋" w:hAnsi="仿宋" w:eastAsia="仿宋"/>
                <w:bCs/>
                <w:szCs w:val="21"/>
              </w:rPr>
              <w:t>6、</w:t>
            </w:r>
            <w:r>
              <w:rPr>
                <w:rFonts w:hint="eastAsia" w:ascii="仿宋" w:hAnsi="仿宋" w:eastAsia="仿宋"/>
                <w:szCs w:val="21"/>
              </w:rPr>
              <w:t>支持SATA RAID0、1、10、5，可选配支持SAS RAID0、1、10、5、50、6、60等，RAID 无缓存/1GB/2GB缓存，可选缓存掉电保护；</w:t>
            </w:r>
          </w:p>
          <w:p>
            <w:pPr>
              <w:spacing w:line="360" w:lineRule="auto"/>
              <w:rPr>
                <w:rFonts w:ascii="仿宋" w:hAnsi="仿宋" w:eastAsia="仿宋"/>
                <w:bCs/>
                <w:szCs w:val="21"/>
              </w:rPr>
            </w:pPr>
            <w:r>
              <w:rPr>
                <w:rFonts w:hint="eastAsia" w:ascii="仿宋" w:hAnsi="仿宋" w:eastAsia="仿宋"/>
                <w:bCs/>
                <w:szCs w:val="21"/>
              </w:rPr>
              <w:t>配置1块riad卡/3008IMR芯片/支持</w:t>
            </w:r>
            <w:r>
              <w:rPr>
                <w:rFonts w:ascii="仿宋" w:hAnsi="仿宋" w:eastAsia="仿宋"/>
                <w:bCs/>
                <w:szCs w:val="21"/>
              </w:rPr>
              <w:t>RAID 0,1,5,10,50,JBOD</w:t>
            </w:r>
          </w:p>
          <w:p>
            <w:pPr>
              <w:spacing w:line="360" w:lineRule="auto"/>
              <w:rPr>
                <w:rFonts w:ascii="仿宋" w:hAnsi="仿宋" w:eastAsia="仿宋"/>
                <w:szCs w:val="21"/>
              </w:rPr>
            </w:pPr>
            <w:r>
              <w:rPr>
                <w:rFonts w:hint="eastAsia" w:ascii="仿宋" w:hAnsi="仿宋" w:eastAsia="仿宋"/>
                <w:bCs/>
                <w:szCs w:val="21"/>
              </w:rPr>
              <w:t>7、扩展性：</w:t>
            </w:r>
            <w:r>
              <w:rPr>
                <w:rFonts w:hint="eastAsia" w:ascii="仿宋" w:hAnsi="仿宋" w:eastAsia="仿宋"/>
                <w:szCs w:val="21"/>
              </w:rPr>
              <w:t>提供6个PCI-E 扩展插槽（3*PCI-E3.0x8， 2*PCI-E 3.0x16， 1*PCI-E 3.0x4(inx8)）；</w:t>
            </w:r>
          </w:p>
          <w:p>
            <w:pPr>
              <w:spacing w:line="360" w:lineRule="auto"/>
              <w:rPr>
                <w:rFonts w:ascii="仿宋" w:hAnsi="仿宋" w:eastAsia="仿宋"/>
                <w:bCs/>
                <w:szCs w:val="21"/>
              </w:rPr>
            </w:pPr>
            <w:r>
              <w:rPr>
                <w:rFonts w:hint="eastAsia" w:ascii="仿宋" w:hAnsi="仿宋" w:eastAsia="仿宋"/>
                <w:bCs/>
                <w:szCs w:val="21"/>
              </w:rPr>
              <w:t>8、网卡控制器：集成2个千兆</w:t>
            </w:r>
            <w:r>
              <w:rPr>
                <w:rFonts w:ascii="仿宋" w:hAnsi="仿宋" w:eastAsia="仿宋"/>
                <w:bCs/>
                <w:szCs w:val="21"/>
              </w:rPr>
              <w:t>RJ45</w:t>
            </w:r>
            <w:r>
              <w:rPr>
                <w:rFonts w:hint="eastAsia" w:ascii="仿宋" w:hAnsi="仿宋" w:eastAsia="仿宋"/>
                <w:bCs/>
                <w:szCs w:val="21"/>
              </w:rPr>
              <w:t>网口；支持外接千兆及万兆网卡/FC卡、IB卡;</w:t>
            </w:r>
          </w:p>
          <w:p>
            <w:pPr>
              <w:spacing w:line="360" w:lineRule="auto"/>
              <w:rPr>
                <w:rFonts w:ascii="仿宋" w:hAnsi="仿宋" w:eastAsia="仿宋"/>
                <w:bCs/>
                <w:szCs w:val="21"/>
              </w:rPr>
            </w:pPr>
            <w:r>
              <w:rPr>
                <w:rFonts w:hint="eastAsia" w:ascii="仿宋" w:hAnsi="仿宋" w:eastAsia="仿宋"/>
                <w:bCs/>
                <w:szCs w:val="21"/>
              </w:rPr>
              <w:t>9、电源：</w:t>
            </w:r>
            <w:r>
              <w:rPr>
                <w:rFonts w:hint="eastAsia" w:ascii="仿宋" w:hAnsi="仿宋" w:eastAsia="仿宋"/>
                <w:szCs w:val="21"/>
              </w:rPr>
              <w:t>配备550W 1+1冗余电源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接口，5个USB接口</w:t>
            </w:r>
            <w:r>
              <w:rPr>
                <w:rFonts w:ascii="仿宋" w:hAnsi="仿宋" w:eastAsia="仿宋"/>
                <w:bCs/>
                <w:szCs w:val="21"/>
              </w:rPr>
              <w:t>（</w:t>
            </w:r>
            <w:r>
              <w:rPr>
                <w:rFonts w:hint="eastAsia" w:ascii="仿宋" w:hAnsi="仿宋" w:eastAsia="仿宋"/>
                <w:bCs/>
                <w:szCs w:val="21"/>
              </w:rPr>
              <w:t>2个USB2.0</w:t>
            </w:r>
            <w:r>
              <w:rPr>
                <w:rFonts w:ascii="仿宋" w:hAnsi="仿宋" w:eastAsia="仿宋"/>
                <w:bCs/>
                <w:szCs w:val="21"/>
              </w:rPr>
              <w:t>，3</w:t>
            </w:r>
            <w:r>
              <w:rPr>
                <w:rFonts w:hint="eastAsia" w:ascii="仿宋" w:hAnsi="仿宋" w:eastAsia="仿宋"/>
                <w:bCs/>
                <w:szCs w:val="21"/>
              </w:rPr>
              <w:t>个USB3.0</w:t>
            </w:r>
            <w:r>
              <w:rPr>
                <w:rFonts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Windows Server 2012 R2</w:t>
            </w:r>
            <w:r>
              <w:rPr>
                <w:rFonts w:hint="eastAsia" w:ascii="仿宋" w:hAnsi="仿宋" w:eastAsia="仿宋"/>
                <w:bCs/>
                <w:szCs w:val="21"/>
              </w:rPr>
              <w:t>/</w:t>
            </w:r>
            <w:r>
              <w:rPr>
                <w:rFonts w:ascii="仿宋" w:hAnsi="仿宋" w:eastAsia="仿宋"/>
                <w:szCs w:val="21"/>
              </w:rPr>
              <w:t>Red Hat* Enterprise Advanced Server 7.3</w:t>
            </w:r>
            <w:r>
              <w:rPr>
                <w:rFonts w:hint="eastAsia" w:ascii="仿宋" w:hAnsi="仿宋" w:eastAsia="仿宋"/>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ascii="仿宋" w:hAnsi="仿宋" w:eastAsia="仿宋"/>
                <w:bCs/>
                <w:szCs w:val="21"/>
              </w:rPr>
              <w:t>15</w:t>
            </w:r>
            <w:r>
              <w:rPr>
                <w:rFonts w:hint="eastAsia" w:ascii="仿宋" w:hAnsi="仿宋" w:eastAsia="仿宋"/>
                <w:bCs/>
                <w:szCs w:val="21"/>
              </w:rPr>
              <w:t>、</w:t>
            </w:r>
            <w:r>
              <w:rPr>
                <w:rFonts w:ascii="仿宋" w:hAnsi="仿宋" w:eastAsia="仿宋"/>
                <w:bCs/>
                <w:szCs w:val="21"/>
              </w:rPr>
              <w:t>支持智能调频功能，降低系统能耗，</w:t>
            </w:r>
            <w:r>
              <w:rPr>
                <w:rFonts w:hint="eastAsia" w:ascii="仿宋" w:hAnsi="仿宋" w:eastAsia="仿宋"/>
                <w:bCs/>
                <w:szCs w:val="21"/>
              </w:rPr>
              <w:t>据热关键器件温度综合调节风扇转速，支持</w:t>
            </w:r>
            <w:r>
              <w:rPr>
                <w:rFonts w:ascii="仿宋" w:hAnsi="仿宋" w:eastAsia="仿宋"/>
                <w:bCs/>
                <w:szCs w:val="21"/>
              </w:rPr>
              <w:t>PDCM v2.0(能效</w:t>
            </w:r>
            <w:r>
              <w:rPr>
                <w:rFonts w:hint="eastAsia" w:ascii="仿宋" w:hAnsi="仿宋" w:eastAsia="仿宋"/>
                <w:bCs/>
                <w:szCs w:val="21"/>
              </w:rPr>
              <w:t>管理器</w:t>
            </w:r>
            <w:r>
              <w:rPr>
                <w:rFonts w:ascii="仿宋" w:hAnsi="仿宋" w:eastAsia="仿宋"/>
                <w:bCs/>
                <w:szCs w:val="21"/>
              </w:rPr>
              <w:t>),</w:t>
            </w:r>
            <w:r>
              <w:rPr>
                <w:rFonts w:hint="eastAsia" w:ascii="仿宋" w:hAnsi="仿宋" w:eastAsia="仿宋"/>
                <w:bCs/>
                <w:szCs w:val="21"/>
              </w:rPr>
              <w:t>提供自动化服务器功耗控制，有助于以更少的资源完成更多任务；</w:t>
            </w:r>
          </w:p>
          <w:p>
            <w:pPr>
              <w:spacing w:line="360" w:lineRule="auto"/>
              <w:rPr>
                <w:rFonts w:ascii="仿宋" w:hAnsi="仿宋" w:eastAsia="仿宋"/>
                <w:bCs/>
                <w:szCs w:val="21"/>
              </w:rPr>
            </w:pPr>
            <w:r>
              <w:rPr>
                <w:rFonts w:hint="eastAsia" w:ascii="仿宋" w:hAnsi="仿宋" w:eastAsia="仿宋"/>
                <w:bCs/>
                <w:szCs w:val="21"/>
              </w:rPr>
              <w:t>16、认证：CCC、ISO 14001环境管理体系认证、ISO 9001质量管理体系认证、信息技术服务管理体系认证、ISO27001信息安全证书、OHSAS18001职业健康安全管理体系认证、中国环境标志产品认证证书；</w:t>
            </w:r>
          </w:p>
          <w:p>
            <w:pPr>
              <w:spacing w:line="360" w:lineRule="auto"/>
              <w:rPr>
                <w:rFonts w:ascii="仿宋" w:hAnsi="仿宋" w:eastAsia="仿宋"/>
                <w:bCs/>
                <w:szCs w:val="21"/>
              </w:rPr>
            </w:pPr>
            <w:r>
              <w:rPr>
                <w:rFonts w:ascii="仿宋" w:hAnsi="仿宋" w:eastAsia="仿宋"/>
                <w:bCs/>
                <w:szCs w:val="21"/>
              </w:rPr>
              <w:t>17</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特征提取服务器</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1、国内自主品牌服务器，非OEM产品，</w:t>
            </w:r>
            <w:r>
              <w:rPr>
                <w:rFonts w:ascii="仿宋" w:hAnsi="仿宋" w:eastAsia="仿宋"/>
                <w:bCs/>
                <w:szCs w:val="21"/>
              </w:rPr>
              <w:t xml:space="preserve"> </w:t>
            </w:r>
          </w:p>
          <w:p>
            <w:pPr>
              <w:spacing w:line="360" w:lineRule="auto"/>
              <w:rPr>
                <w:rFonts w:ascii="仿宋" w:hAnsi="仿宋" w:eastAsia="仿宋"/>
                <w:bCs/>
                <w:szCs w:val="21"/>
              </w:rPr>
            </w:pPr>
            <w:r>
              <w:rPr>
                <w:rFonts w:hint="eastAsia" w:ascii="仿宋" w:hAnsi="仿宋" w:eastAsia="仿宋"/>
                <w:bCs/>
                <w:szCs w:val="21"/>
              </w:rPr>
              <w:t>2、标准4U 双路机架式加速计算服务器，配置安装导轨；</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3、Intel C621高性能芯片组，支持两颗Intel</w:t>
            </w:r>
            <w:r>
              <w:rPr>
                <w:rFonts w:ascii="Calibri" w:eastAsia="仿宋" w:cs="Calibri"/>
                <w:bCs/>
                <w:szCs w:val="21"/>
              </w:rPr>
              <w:t>®</w:t>
            </w:r>
            <w:r>
              <w:rPr>
                <w:rFonts w:hint="eastAsia" w:ascii="仿宋" w:hAnsi="仿宋" w:eastAsia="仿宋"/>
                <w:bCs/>
                <w:szCs w:val="21"/>
              </w:rPr>
              <w:t xml:space="preserve"> Xeon</w:t>
            </w:r>
            <w:r>
              <w:rPr>
                <w:rFonts w:ascii="Calibri" w:eastAsia="仿宋" w:cs="Calibri"/>
                <w:bCs/>
                <w:szCs w:val="21"/>
              </w:rPr>
              <w:t>®</w:t>
            </w:r>
            <w:r>
              <w:rPr>
                <w:rFonts w:hint="eastAsia" w:ascii="仿宋" w:hAnsi="仿宋" w:eastAsia="仿宋"/>
                <w:bCs/>
                <w:szCs w:val="21"/>
              </w:rPr>
              <w:t xml:space="preserve"> Processor Scalable 可扩展家族CPU；配置2颗</w:t>
            </w:r>
            <w:r>
              <w:rPr>
                <w:rFonts w:ascii="仿宋" w:hAnsi="仿宋" w:eastAsia="仿宋"/>
                <w:bCs/>
                <w:szCs w:val="21"/>
              </w:rPr>
              <w:t>Intel XEON Gold 5118 12C/24T 2.3GHz 16.5M 105W</w:t>
            </w:r>
          </w:p>
          <w:p>
            <w:pPr>
              <w:spacing w:line="360" w:lineRule="auto"/>
              <w:rPr>
                <w:rFonts w:ascii="仿宋" w:hAnsi="仿宋" w:eastAsia="仿宋"/>
                <w:bCs/>
                <w:szCs w:val="21"/>
              </w:rPr>
            </w:pPr>
            <w:r>
              <w:rPr>
                <w:rFonts w:hint="eastAsia" w:ascii="仿宋" w:hAnsi="仿宋" w:eastAsia="仿宋"/>
                <w:bCs/>
                <w:szCs w:val="21"/>
              </w:rPr>
              <w:t>4、最大支持24DIMM插槽,支持</w:t>
            </w:r>
            <w:r>
              <w:rPr>
                <w:rFonts w:ascii="仿宋" w:hAnsi="仿宋" w:eastAsia="仿宋"/>
                <w:bCs/>
                <w:szCs w:val="21"/>
              </w:rPr>
              <w:t>2666/2400/2133MHz ECC DDR4 SDRAM</w:t>
            </w:r>
            <w:r>
              <w:rPr>
                <w:rFonts w:hint="eastAsia" w:ascii="仿宋" w:hAnsi="仿宋" w:eastAsia="仿宋"/>
                <w:bCs/>
                <w:szCs w:val="21"/>
              </w:rPr>
              <w:t>，最大支持3TB；</w:t>
            </w:r>
          </w:p>
          <w:p>
            <w:pPr>
              <w:spacing w:line="360" w:lineRule="auto"/>
              <w:rPr>
                <w:rFonts w:ascii="仿宋" w:hAnsi="仿宋" w:eastAsia="仿宋"/>
                <w:bCs/>
                <w:szCs w:val="21"/>
              </w:rPr>
            </w:pPr>
            <w:r>
              <w:rPr>
                <w:rFonts w:hint="eastAsia" w:ascii="仿宋" w:hAnsi="仿宋" w:eastAsia="仿宋"/>
                <w:bCs/>
                <w:szCs w:val="21"/>
              </w:rPr>
              <w:t>配置8条</w:t>
            </w:r>
            <w:r>
              <w:rPr>
                <w:rFonts w:ascii="仿宋" w:hAnsi="仿宋" w:eastAsia="仿宋"/>
                <w:bCs/>
                <w:szCs w:val="21"/>
              </w:rPr>
              <w:t>32GB/DDR4/2</w:t>
            </w:r>
            <w:r>
              <w:rPr>
                <w:rFonts w:hint="eastAsia" w:ascii="仿宋" w:hAnsi="仿宋" w:eastAsia="仿宋"/>
                <w:bCs/>
                <w:szCs w:val="21"/>
              </w:rPr>
              <w:t>666</w:t>
            </w:r>
            <w:r>
              <w:rPr>
                <w:rFonts w:ascii="仿宋" w:hAnsi="仿宋" w:eastAsia="仿宋"/>
                <w:bCs/>
                <w:szCs w:val="21"/>
              </w:rPr>
              <w:t>MHz/ECC/REG</w:t>
            </w:r>
            <w:r>
              <w:rPr>
                <w:rFonts w:hint="eastAsia" w:ascii="仿宋" w:hAnsi="仿宋" w:eastAsia="仿宋"/>
                <w:bCs/>
                <w:szCs w:val="21"/>
              </w:rPr>
              <w:t>内存</w:t>
            </w:r>
          </w:p>
          <w:p>
            <w:pPr>
              <w:spacing w:line="360" w:lineRule="auto"/>
              <w:rPr>
                <w:rFonts w:ascii="仿宋" w:hAnsi="仿宋" w:eastAsia="仿宋"/>
                <w:bCs/>
                <w:szCs w:val="21"/>
              </w:rPr>
            </w:pPr>
            <w:r>
              <w:rPr>
                <w:rFonts w:hint="eastAsia" w:ascii="仿宋" w:hAnsi="仿宋" w:eastAsia="仿宋"/>
                <w:bCs/>
                <w:szCs w:val="21"/>
              </w:rPr>
              <w:t xml:space="preserve">5、硬盘位扩展：最大支持24块2.5英寸热插拔SAS/SATA硬盘，板载 SATA 控制器，提供 10 个 SATA3 (6Gbps) ports；配置12块2TB/SATA/7200RPM/2.5寸/企业级硬盘                                              </w:t>
            </w:r>
          </w:p>
          <w:p>
            <w:pPr>
              <w:spacing w:line="360" w:lineRule="auto"/>
              <w:rPr>
                <w:rFonts w:ascii="仿宋" w:hAnsi="仿宋" w:eastAsia="仿宋"/>
                <w:bCs/>
                <w:szCs w:val="21"/>
              </w:rPr>
            </w:pPr>
            <w:r>
              <w:rPr>
                <w:rFonts w:hint="eastAsia" w:ascii="仿宋" w:hAnsi="仿宋" w:eastAsia="仿宋"/>
                <w:bCs/>
                <w:szCs w:val="21"/>
              </w:rPr>
              <w:t>6、支持SATA RAID0、1、10、5，10可选配支持SAS RAID0、1、10、5、50、6、60等，RAID 无缓存/1GB/2GB缓存，可选缓存掉电保护；</w:t>
            </w:r>
          </w:p>
          <w:p>
            <w:pPr>
              <w:spacing w:line="360" w:lineRule="auto"/>
              <w:rPr>
                <w:rFonts w:ascii="仿宋" w:hAnsi="仿宋" w:eastAsia="仿宋"/>
                <w:bCs/>
                <w:szCs w:val="21"/>
              </w:rPr>
            </w:pPr>
            <w:r>
              <w:rPr>
                <w:rFonts w:hint="eastAsia" w:ascii="仿宋" w:hAnsi="仿宋" w:eastAsia="仿宋"/>
                <w:bCs/>
                <w:szCs w:val="21"/>
              </w:rPr>
              <w:t>配置1块raid卡/2GB缓存/支持</w:t>
            </w:r>
            <w:r>
              <w:rPr>
                <w:rFonts w:ascii="仿宋" w:hAnsi="仿宋" w:eastAsia="仿宋"/>
                <w:bCs/>
                <w:szCs w:val="21"/>
              </w:rPr>
              <w:t>RAID 0,1,5,6，10,50,JBOD</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7、扩展性：不少于8个PCI-E 3.0×16速率（x16 英寸，双宽插槽），</w:t>
            </w:r>
            <w:r>
              <w:rPr>
                <w:rFonts w:ascii="仿宋" w:hAnsi="仿宋" w:eastAsia="仿宋"/>
                <w:bCs/>
                <w:szCs w:val="21"/>
              </w:rPr>
              <w:t>2</w:t>
            </w:r>
            <w:r>
              <w:rPr>
                <w:rFonts w:hint="eastAsia" w:ascii="仿宋" w:hAnsi="仿宋" w:eastAsia="仿宋"/>
                <w:bCs/>
                <w:szCs w:val="21"/>
              </w:rPr>
              <w:t>个 PCI-E 3.0 ×8 速率（x8英寸），1个  PCI-E 2.0  ×4 速率，最大支持8张专业图形卡或加速卡；加速卡</w:t>
            </w:r>
            <w:r>
              <w:rPr>
                <w:rFonts w:ascii="仿宋" w:hAnsi="仿宋" w:eastAsia="仿宋"/>
                <w:bCs/>
                <w:szCs w:val="21"/>
              </w:rPr>
              <w:t>：</w:t>
            </w:r>
            <w:r>
              <w:rPr>
                <w:rFonts w:hint="eastAsia" w:ascii="仿宋" w:hAnsi="仿宋" w:eastAsia="仿宋"/>
                <w:bCs/>
                <w:szCs w:val="21"/>
              </w:rPr>
              <w:t>支持NVIDIA Quadro 系列显卡、NVIDIA Tesla 系列加速卡、 NVIDIA Grid 虚拟化授权、Intel Phi等；本次需出厂配备8块NVIDIA RTX2080 Ti显卡</w:t>
            </w:r>
          </w:p>
          <w:p>
            <w:pPr>
              <w:rPr>
                <w:rFonts w:ascii="仿宋" w:hAnsi="仿宋" w:eastAsia="仿宋"/>
                <w:bCs/>
                <w:szCs w:val="21"/>
              </w:rPr>
            </w:pPr>
            <w:r>
              <w:rPr>
                <w:rFonts w:hint="eastAsia" w:ascii="仿宋" w:hAnsi="仿宋" w:eastAsia="仿宋"/>
                <w:bCs/>
                <w:szCs w:val="21"/>
              </w:rPr>
              <w:t>8、网卡控制器：后</w:t>
            </w:r>
            <w:r>
              <w:rPr>
                <w:rFonts w:ascii="仿宋" w:hAnsi="仿宋" w:eastAsia="仿宋"/>
                <w:bCs/>
                <w:szCs w:val="21"/>
              </w:rPr>
              <w:t>置</w:t>
            </w:r>
            <w:r>
              <w:rPr>
                <w:rFonts w:hint="eastAsia" w:ascii="仿宋" w:hAnsi="仿宋" w:eastAsia="仿宋"/>
                <w:bCs/>
                <w:szCs w:val="21"/>
              </w:rPr>
              <w:t>2个万兆RJ45网口：兼容千兆、百兆网络；配置1块双口万兆网卡含双多模SFP+模块</w:t>
            </w:r>
          </w:p>
          <w:p>
            <w:pPr>
              <w:spacing w:line="360" w:lineRule="auto"/>
              <w:rPr>
                <w:rFonts w:ascii="仿宋" w:hAnsi="仿宋" w:eastAsia="仿宋"/>
                <w:bCs/>
                <w:szCs w:val="21"/>
              </w:rPr>
            </w:pPr>
            <w:r>
              <w:rPr>
                <w:rFonts w:hint="eastAsia" w:ascii="仿宋" w:hAnsi="仿宋" w:eastAsia="仿宋"/>
                <w:bCs/>
                <w:szCs w:val="21"/>
              </w:rPr>
              <w:t>9、电源： 2000W 2+2 高效冗余电源；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hint="eastAsia"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接口，集成</w:t>
            </w:r>
            <w:r>
              <w:rPr>
                <w:rFonts w:ascii="仿宋" w:hAnsi="仿宋" w:eastAsia="仿宋"/>
                <w:bCs/>
                <w:szCs w:val="21"/>
              </w:rPr>
              <w:t xml:space="preserve">  ASPEED AST2400</w:t>
            </w:r>
            <w:r>
              <w:rPr>
                <w:rFonts w:hint="eastAsia" w:ascii="仿宋" w:hAnsi="仿宋" w:eastAsia="仿宋"/>
                <w:bCs/>
                <w:szCs w:val="21"/>
              </w:rPr>
              <w:t>，</w:t>
            </w:r>
            <w:r>
              <w:rPr>
                <w:rFonts w:ascii="仿宋" w:hAnsi="仿宋" w:eastAsia="仿宋"/>
                <w:bCs/>
                <w:szCs w:val="21"/>
              </w:rPr>
              <w:t>4</w:t>
            </w:r>
            <w:r>
              <w:rPr>
                <w:rFonts w:hint="eastAsia" w:ascii="仿宋" w:hAnsi="仿宋" w:eastAsia="仿宋"/>
                <w:bCs/>
                <w:szCs w:val="21"/>
              </w:rPr>
              <w:t>个USB接口</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Windows Server  2016</w:t>
            </w:r>
            <w:r>
              <w:rPr>
                <w:rFonts w:hint="eastAsia" w:ascii="仿宋" w:hAnsi="仿宋" w:eastAsia="仿宋"/>
                <w:bCs/>
                <w:szCs w:val="21"/>
              </w:rPr>
              <w:t>/</w:t>
            </w:r>
            <w:r>
              <w:rPr>
                <w:rFonts w:ascii="仿宋" w:hAnsi="仿宋" w:eastAsia="仿宋"/>
                <w:bCs/>
                <w:szCs w:val="21"/>
              </w:rPr>
              <w:t>Red Hat* Enterprise Advanced Server 7.3</w:t>
            </w:r>
            <w:r>
              <w:rPr>
                <w:rFonts w:hint="eastAsia" w:ascii="仿宋" w:hAnsi="仿宋" w:eastAsia="仿宋"/>
                <w:bCs/>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hint="eastAsia" w:ascii="仿宋" w:hAnsi="仿宋" w:eastAsia="仿宋"/>
                <w:bCs/>
                <w:szCs w:val="21"/>
              </w:rPr>
              <w:t>15、认证：CCC、ISO 14001环境管理体系认证、ISO 9001质量管理体系认证、信息技术服务管理体系认证、ISO27001信息安全证书、OHSAS18001职业健康安全管理体系认证、中国环境标志产品认证证书；</w:t>
            </w:r>
          </w:p>
          <w:p>
            <w:pPr>
              <w:spacing w:line="360" w:lineRule="auto"/>
              <w:rPr>
                <w:rFonts w:ascii="仿宋" w:hAnsi="仿宋" w:eastAsia="仿宋"/>
                <w:bCs/>
                <w:szCs w:val="21"/>
              </w:rPr>
            </w:pPr>
            <w:r>
              <w:rPr>
                <w:rFonts w:ascii="仿宋" w:hAnsi="仿宋" w:eastAsia="仿宋"/>
                <w:bCs/>
                <w:szCs w:val="21"/>
              </w:rPr>
              <w:t>16</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检索与存储服务器</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1、国内自主品牌服务器；</w:t>
            </w:r>
          </w:p>
          <w:p>
            <w:pPr>
              <w:spacing w:line="360" w:lineRule="auto"/>
              <w:rPr>
                <w:rFonts w:ascii="仿宋" w:hAnsi="仿宋" w:eastAsia="仿宋"/>
                <w:bCs/>
                <w:szCs w:val="21"/>
              </w:rPr>
            </w:pPr>
            <w:r>
              <w:rPr>
                <w:rFonts w:hint="eastAsia" w:ascii="仿宋" w:hAnsi="仿宋" w:eastAsia="仿宋"/>
                <w:bCs/>
                <w:szCs w:val="21"/>
              </w:rPr>
              <w:t>2、标准4U机架式服务器，配置安装导轨；</w:t>
            </w:r>
          </w:p>
          <w:p>
            <w:pPr>
              <w:spacing w:line="360" w:lineRule="auto"/>
              <w:rPr>
                <w:rFonts w:ascii="仿宋" w:hAnsi="仿宋" w:eastAsia="仿宋"/>
                <w:bCs/>
                <w:szCs w:val="21"/>
              </w:rPr>
            </w:pPr>
            <w:r>
              <w:rPr>
                <w:rFonts w:hint="eastAsia" w:ascii="仿宋" w:hAnsi="仿宋" w:eastAsia="仿宋"/>
                <w:bCs/>
                <w:szCs w:val="21"/>
              </w:rPr>
              <w:t>3、支持两颗</w:t>
            </w:r>
            <w:r>
              <w:rPr>
                <w:rFonts w:ascii="仿宋" w:hAnsi="仿宋" w:eastAsia="仿宋"/>
                <w:bCs/>
                <w:szCs w:val="21"/>
              </w:rPr>
              <w:t xml:space="preserve"> Intel Xeon E5-2600 V3/V4</w:t>
            </w:r>
            <w:r>
              <w:rPr>
                <w:rFonts w:hint="eastAsia" w:ascii="仿宋" w:hAnsi="仿宋" w:eastAsia="仿宋"/>
                <w:bCs/>
                <w:szCs w:val="21"/>
              </w:rPr>
              <w:t>系列处理器；</w:t>
            </w:r>
          </w:p>
          <w:p>
            <w:pPr>
              <w:spacing w:line="360" w:lineRule="auto"/>
              <w:rPr>
                <w:rFonts w:ascii="仿宋" w:hAnsi="仿宋" w:eastAsia="仿宋"/>
                <w:bCs/>
                <w:szCs w:val="21"/>
              </w:rPr>
            </w:pPr>
            <w:r>
              <w:rPr>
                <w:rFonts w:hint="eastAsia" w:ascii="仿宋" w:hAnsi="仿宋" w:eastAsia="仿宋"/>
                <w:bCs/>
                <w:szCs w:val="21"/>
              </w:rPr>
              <w:t>配置2颗</w:t>
            </w:r>
            <w:r>
              <w:rPr>
                <w:rFonts w:ascii="仿宋" w:hAnsi="仿宋" w:eastAsia="仿宋"/>
                <w:bCs/>
                <w:szCs w:val="21"/>
              </w:rPr>
              <w:t>Intel Xeon Processor E5-2630V4 10C/20T 2.2GHz 25M 8.0GT/s 85W</w:t>
            </w:r>
          </w:p>
          <w:p>
            <w:pPr>
              <w:spacing w:line="360" w:lineRule="auto"/>
              <w:rPr>
                <w:rFonts w:ascii="仿宋" w:hAnsi="仿宋" w:eastAsia="仿宋"/>
                <w:bCs/>
                <w:szCs w:val="21"/>
              </w:rPr>
            </w:pPr>
            <w:r>
              <w:rPr>
                <w:rFonts w:hint="eastAsia" w:ascii="仿宋" w:hAnsi="仿宋" w:eastAsia="仿宋"/>
                <w:bCs/>
                <w:szCs w:val="21"/>
              </w:rPr>
              <w:t>4、最大支持16DIMM插槽,支持2133/2400</w:t>
            </w:r>
            <w:r>
              <w:rPr>
                <w:rFonts w:ascii="仿宋" w:hAnsi="仿宋" w:eastAsia="仿宋"/>
                <w:bCs/>
                <w:szCs w:val="21"/>
              </w:rPr>
              <w:t>DDR</w:t>
            </w:r>
            <w:r>
              <w:rPr>
                <w:rFonts w:hint="eastAsia" w:ascii="仿宋" w:hAnsi="仿宋" w:eastAsia="仿宋"/>
                <w:bCs/>
                <w:szCs w:val="21"/>
              </w:rPr>
              <w:t>4的</w:t>
            </w:r>
            <w:r>
              <w:rPr>
                <w:rFonts w:ascii="仿宋" w:hAnsi="仿宋" w:eastAsia="仿宋"/>
                <w:bCs/>
                <w:szCs w:val="21"/>
              </w:rPr>
              <w:t>RDIMM</w:t>
            </w:r>
            <w:r>
              <w:rPr>
                <w:rFonts w:hint="eastAsia" w:ascii="仿宋" w:hAnsi="仿宋" w:eastAsia="仿宋"/>
                <w:bCs/>
                <w:szCs w:val="21"/>
              </w:rPr>
              <w:t>内存，最大支持1TB；</w:t>
            </w:r>
          </w:p>
          <w:p>
            <w:pPr>
              <w:spacing w:line="360" w:lineRule="auto"/>
              <w:rPr>
                <w:rFonts w:ascii="仿宋" w:hAnsi="仿宋" w:eastAsia="仿宋"/>
                <w:bCs/>
                <w:szCs w:val="21"/>
              </w:rPr>
            </w:pPr>
            <w:r>
              <w:rPr>
                <w:rFonts w:hint="eastAsia" w:ascii="仿宋" w:hAnsi="仿宋" w:eastAsia="仿宋"/>
                <w:bCs/>
                <w:szCs w:val="21"/>
              </w:rPr>
              <w:t>配置4条</w:t>
            </w:r>
            <w:r>
              <w:rPr>
                <w:rFonts w:ascii="仿宋" w:hAnsi="仿宋" w:eastAsia="仿宋"/>
                <w:bCs/>
                <w:szCs w:val="21"/>
              </w:rPr>
              <w:t>16GB/DDR4/2</w:t>
            </w:r>
            <w:r>
              <w:rPr>
                <w:rFonts w:hint="eastAsia" w:ascii="仿宋" w:hAnsi="仿宋" w:eastAsia="仿宋"/>
                <w:bCs/>
                <w:szCs w:val="21"/>
              </w:rPr>
              <w:t>666</w:t>
            </w:r>
            <w:r>
              <w:rPr>
                <w:rFonts w:ascii="仿宋" w:hAnsi="仿宋" w:eastAsia="仿宋"/>
                <w:bCs/>
                <w:szCs w:val="21"/>
              </w:rPr>
              <w:t>MHz/ECC/REG</w:t>
            </w:r>
            <w:r>
              <w:rPr>
                <w:rFonts w:hint="eastAsia" w:ascii="仿宋" w:hAnsi="仿宋" w:eastAsia="仿宋"/>
                <w:bCs/>
                <w:szCs w:val="21"/>
              </w:rPr>
              <w:t>内存</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5、硬盘位扩展：支持</w:t>
            </w:r>
            <w:r>
              <w:rPr>
                <w:rFonts w:ascii="仿宋" w:hAnsi="仿宋" w:eastAsia="仿宋"/>
                <w:bCs/>
                <w:szCs w:val="21"/>
              </w:rPr>
              <w:t>36</w:t>
            </w:r>
            <w:r>
              <w:rPr>
                <w:rFonts w:hint="eastAsia" w:ascii="仿宋" w:hAnsi="仿宋" w:eastAsia="仿宋"/>
                <w:bCs/>
                <w:szCs w:val="21"/>
              </w:rPr>
              <w:t>个</w:t>
            </w:r>
            <w:r>
              <w:rPr>
                <w:rFonts w:ascii="仿宋" w:hAnsi="仿宋" w:eastAsia="仿宋"/>
                <w:bCs/>
                <w:szCs w:val="21"/>
              </w:rPr>
              <w:t>3.5</w:t>
            </w:r>
            <w:r>
              <w:rPr>
                <w:rFonts w:hint="eastAsia" w:ascii="仿宋" w:hAnsi="仿宋" w:eastAsia="仿宋"/>
                <w:bCs/>
                <w:szCs w:val="21"/>
              </w:rPr>
              <w:t>”</w:t>
            </w:r>
            <w:r>
              <w:rPr>
                <w:rFonts w:ascii="仿宋" w:hAnsi="仿宋" w:eastAsia="仿宋"/>
                <w:bCs/>
                <w:szCs w:val="21"/>
              </w:rPr>
              <w:t xml:space="preserve"> SATA/SAS/SSD</w:t>
            </w:r>
            <w:r>
              <w:rPr>
                <w:rFonts w:hint="eastAsia" w:ascii="仿宋" w:hAnsi="仿宋" w:eastAsia="仿宋"/>
                <w:bCs/>
                <w:szCs w:val="21"/>
              </w:rPr>
              <w:t>硬盘，可内置两个</w:t>
            </w:r>
            <w:r>
              <w:rPr>
                <w:rFonts w:ascii="仿宋" w:hAnsi="仿宋" w:eastAsia="仿宋"/>
                <w:bCs/>
                <w:szCs w:val="21"/>
              </w:rPr>
              <w:t>2.5</w:t>
            </w:r>
            <w:r>
              <w:rPr>
                <w:rFonts w:hint="eastAsia" w:ascii="仿宋" w:hAnsi="仿宋" w:eastAsia="仿宋"/>
                <w:bCs/>
                <w:szCs w:val="21"/>
              </w:rPr>
              <w:t>”</w:t>
            </w:r>
            <w:r>
              <w:rPr>
                <w:rFonts w:ascii="仿宋" w:hAnsi="仿宋" w:eastAsia="仿宋"/>
                <w:bCs/>
                <w:szCs w:val="21"/>
              </w:rPr>
              <w:t xml:space="preserve"> SATA/SAS/SSD</w:t>
            </w:r>
            <w:r>
              <w:rPr>
                <w:rFonts w:hint="eastAsia" w:ascii="仿宋" w:hAnsi="仿宋" w:eastAsia="仿宋"/>
                <w:bCs/>
                <w:szCs w:val="21"/>
              </w:rPr>
              <w:t>硬盘</w:t>
            </w:r>
          </w:p>
          <w:p>
            <w:pPr>
              <w:spacing w:line="360" w:lineRule="auto"/>
              <w:rPr>
                <w:rFonts w:ascii="仿宋" w:hAnsi="仿宋" w:eastAsia="仿宋"/>
                <w:bCs/>
                <w:szCs w:val="21"/>
              </w:rPr>
            </w:pPr>
            <w:r>
              <w:rPr>
                <w:rFonts w:hint="eastAsia" w:ascii="仿宋" w:hAnsi="仿宋" w:eastAsia="仿宋"/>
                <w:bCs/>
                <w:szCs w:val="21"/>
              </w:rPr>
              <w:t xml:space="preserve">配置34块8TB/SATA/7200RPM/3.5寸/企业级硬盘+2块300GB/SAS/10000RPM/2.5寸/企业级硬盘+2块Intel/SSD/DC/S4600/S4610 Series(960GB,2.5寸 SATA 6Gb/s ,3D Nand,TLC)硬盘                                            </w:t>
            </w:r>
          </w:p>
          <w:p>
            <w:pPr>
              <w:spacing w:line="360" w:lineRule="auto"/>
              <w:rPr>
                <w:rFonts w:ascii="仿宋" w:hAnsi="仿宋" w:eastAsia="仿宋"/>
                <w:bCs/>
                <w:szCs w:val="21"/>
              </w:rPr>
            </w:pPr>
            <w:r>
              <w:rPr>
                <w:rFonts w:hint="eastAsia" w:ascii="仿宋" w:hAnsi="仿宋" w:eastAsia="仿宋"/>
                <w:bCs/>
                <w:szCs w:val="21"/>
              </w:rPr>
              <w:t xml:space="preserve">6、板载支持软SATA RAID0、1、10、5，可选配支持SAS </w:t>
            </w:r>
            <w:r>
              <w:rPr>
                <w:rFonts w:ascii="仿宋" w:hAnsi="仿宋" w:eastAsia="仿宋"/>
                <w:bCs/>
                <w:szCs w:val="21"/>
              </w:rPr>
              <w:t>RAID0</w:t>
            </w:r>
            <w:r>
              <w:rPr>
                <w:rFonts w:hint="eastAsia" w:ascii="仿宋" w:hAnsi="仿宋" w:eastAsia="仿宋"/>
                <w:bCs/>
                <w:szCs w:val="21"/>
              </w:rPr>
              <w:t>、</w:t>
            </w:r>
            <w:r>
              <w:rPr>
                <w:rFonts w:ascii="仿宋" w:hAnsi="仿宋" w:eastAsia="仿宋"/>
                <w:bCs/>
                <w:szCs w:val="21"/>
              </w:rPr>
              <w:t>1</w:t>
            </w:r>
            <w:r>
              <w:rPr>
                <w:rFonts w:hint="eastAsia" w:ascii="仿宋" w:hAnsi="仿宋" w:eastAsia="仿宋"/>
                <w:bCs/>
                <w:szCs w:val="21"/>
              </w:rPr>
              <w:t>、</w:t>
            </w:r>
            <w:r>
              <w:rPr>
                <w:rFonts w:ascii="仿宋" w:hAnsi="仿宋" w:eastAsia="仿宋"/>
                <w:bCs/>
                <w:szCs w:val="21"/>
              </w:rPr>
              <w:t>10</w:t>
            </w:r>
            <w:r>
              <w:rPr>
                <w:rFonts w:hint="eastAsia" w:ascii="仿宋" w:hAnsi="仿宋" w:eastAsia="仿宋"/>
                <w:bCs/>
                <w:szCs w:val="21"/>
              </w:rPr>
              <w:t>、</w:t>
            </w:r>
            <w:r>
              <w:rPr>
                <w:rFonts w:ascii="仿宋" w:hAnsi="仿宋" w:eastAsia="仿宋"/>
                <w:bCs/>
                <w:szCs w:val="21"/>
              </w:rPr>
              <w:t>5</w:t>
            </w:r>
            <w:r>
              <w:rPr>
                <w:rFonts w:hint="eastAsia" w:ascii="仿宋" w:hAnsi="仿宋" w:eastAsia="仿宋"/>
                <w:bCs/>
                <w:szCs w:val="21"/>
              </w:rPr>
              <w:t>、</w:t>
            </w:r>
            <w:r>
              <w:rPr>
                <w:rFonts w:ascii="仿宋" w:hAnsi="仿宋" w:eastAsia="仿宋"/>
                <w:bCs/>
                <w:szCs w:val="21"/>
              </w:rPr>
              <w:t>50</w:t>
            </w:r>
            <w:r>
              <w:rPr>
                <w:rFonts w:hint="eastAsia" w:ascii="仿宋" w:hAnsi="仿宋" w:eastAsia="仿宋"/>
                <w:bCs/>
                <w:szCs w:val="21"/>
              </w:rPr>
              <w:t>、</w:t>
            </w:r>
            <w:r>
              <w:rPr>
                <w:rFonts w:ascii="仿宋" w:hAnsi="仿宋" w:eastAsia="仿宋"/>
                <w:bCs/>
                <w:szCs w:val="21"/>
              </w:rPr>
              <w:t>6</w:t>
            </w:r>
            <w:r>
              <w:rPr>
                <w:rFonts w:hint="eastAsia" w:ascii="仿宋" w:hAnsi="仿宋" w:eastAsia="仿宋"/>
                <w:bCs/>
                <w:szCs w:val="21"/>
              </w:rPr>
              <w:t>、</w:t>
            </w:r>
            <w:r>
              <w:rPr>
                <w:rFonts w:ascii="仿宋" w:hAnsi="仿宋" w:eastAsia="仿宋"/>
                <w:bCs/>
                <w:szCs w:val="21"/>
              </w:rPr>
              <w:t>60</w:t>
            </w:r>
            <w:r>
              <w:rPr>
                <w:rFonts w:hint="eastAsia" w:ascii="仿宋" w:hAnsi="仿宋" w:eastAsia="仿宋"/>
                <w:bCs/>
                <w:szCs w:val="21"/>
              </w:rPr>
              <w:t>等，</w:t>
            </w:r>
            <w:r>
              <w:rPr>
                <w:rFonts w:ascii="仿宋" w:hAnsi="仿宋" w:eastAsia="仿宋"/>
                <w:bCs/>
                <w:szCs w:val="21"/>
              </w:rPr>
              <w:t>RAID 1GB</w:t>
            </w:r>
            <w:r>
              <w:rPr>
                <w:rFonts w:hint="eastAsia" w:ascii="仿宋" w:hAnsi="仿宋" w:eastAsia="仿宋"/>
                <w:bCs/>
                <w:szCs w:val="21"/>
              </w:rPr>
              <w:t>/2GB</w:t>
            </w:r>
            <w:r>
              <w:rPr>
                <w:rFonts w:ascii="仿宋" w:hAnsi="仿宋" w:eastAsia="仿宋"/>
                <w:bCs/>
                <w:szCs w:val="21"/>
              </w:rPr>
              <w:t xml:space="preserve"> Cache</w:t>
            </w:r>
            <w:r>
              <w:rPr>
                <w:rFonts w:hint="eastAsia" w:ascii="仿宋" w:hAnsi="仿宋" w:eastAsia="仿宋"/>
                <w:bCs/>
                <w:szCs w:val="21"/>
              </w:rPr>
              <w:t>，支持Cache超级电容保护；</w:t>
            </w:r>
          </w:p>
          <w:p>
            <w:pPr>
              <w:spacing w:line="360" w:lineRule="auto"/>
              <w:rPr>
                <w:rFonts w:ascii="仿宋" w:hAnsi="仿宋" w:eastAsia="仿宋"/>
                <w:bCs/>
                <w:szCs w:val="21"/>
              </w:rPr>
            </w:pPr>
            <w:r>
              <w:rPr>
                <w:rFonts w:hint="eastAsia" w:ascii="仿宋" w:hAnsi="仿宋" w:eastAsia="仿宋"/>
                <w:bCs/>
                <w:szCs w:val="21"/>
              </w:rPr>
              <w:t>配置1块raid卡/2G缓存/支持</w:t>
            </w:r>
            <w:r>
              <w:rPr>
                <w:rFonts w:ascii="仿宋" w:hAnsi="仿宋" w:eastAsia="仿宋"/>
                <w:bCs/>
                <w:szCs w:val="21"/>
              </w:rPr>
              <w:t>RAID 0,1,5,6,10,50,60,JBOD</w:t>
            </w:r>
          </w:p>
          <w:p>
            <w:pPr>
              <w:spacing w:line="360" w:lineRule="auto"/>
              <w:rPr>
                <w:rFonts w:ascii="仿宋" w:hAnsi="仿宋" w:eastAsia="仿宋"/>
                <w:bCs/>
                <w:szCs w:val="21"/>
              </w:rPr>
            </w:pPr>
            <w:r>
              <w:rPr>
                <w:rFonts w:hint="eastAsia" w:ascii="仿宋" w:hAnsi="仿宋" w:eastAsia="仿宋"/>
                <w:bCs/>
                <w:szCs w:val="21"/>
              </w:rPr>
              <w:t>7、扩展性：提供6个</w:t>
            </w:r>
            <w:r>
              <w:rPr>
                <w:rFonts w:ascii="仿宋" w:hAnsi="仿宋" w:eastAsia="仿宋"/>
                <w:bCs/>
                <w:szCs w:val="21"/>
              </w:rPr>
              <w:t xml:space="preserve">PCI-E3.0 </w:t>
            </w:r>
            <w:r>
              <w:rPr>
                <w:rFonts w:hint="eastAsia" w:ascii="仿宋" w:hAnsi="仿宋" w:eastAsia="仿宋"/>
                <w:bCs/>
                <w:szCs w:val="21"/>
              </w:rPr>
              <w:t>扩展插槽（3*</w:t>
            </w:r>
            <w:r>
              <w:rPr>
                <w:rFonts w:ascii="仿宋" w:hAnsi="仿宋" w:eastAsia="仿宋"/>
                <w:bCs/>
                <w:szCs w:val="21"/>
              </w:rPr>
              <w:t>PCI-E3.0</w:t>
            </w:r>
            <w:r>
              <w:rPr>
                <w:rFonts w:hint="eastAsia" w:ascii="仿宋" w:hAnsi="仿宋" w:eastAsia="仿宋"/>
                <w:bCs/>
                <w:szCs w:val="21"/>
              </w:rPr>
              <w:t>x16，3*</w:t>
            </w:r>
            <w:r>
              <w:rPr>
                <w:rFonts w:ascii="仿宋" w:hAnsi="仿宋" w:eastAsia="仿宋"/>
                <w:bCs/>
                <w:szCs w:val="21"/>
              </w:rPr>
              <w:t>PCI-E3.0</w:t>
            </w:r>
            <w:r>
              <w:rPr>
                <w:rFonts w:hint="eastAsia" w:ascii="仿宋" w:hAnsi="仿宋" w:eastAsia="仿宋"/>
                <w:bCs/>
                <w:szCs w:val="21"/>
              </w:rPr>
              <w:t>x8）</w:t>
            </w:r>
          </w:p>
          <w:p>
            <w:pPr>
              <w:spacing w:line="360" w:lineRule="auto"/>
              <w:rPr>
                <w:rFonts w:ascii="仿宋" w:hAnsi="仿宋" w:eastAsia="仿宋"/>
                <w:bCs/>
                <w:szCs w:val="21"/>
              </w:rPr>
            </w:pPr>
            <w:r>
              <w:rPr>
                <w:rFonts w:hint="eastAsia" w:ascii="仿宋" w:hAnsi="仿宋" w:eastAsia="仿宋"/>
                <w:bCs/>
                <w:szCs w:val="21"/>
              </w:rPr>
              <w:t>出厂配置1块NVIDIA Tesla P4 GDDR5 8GB PCIe 单宽 75W 被动散热</w:t>
            </w:r>
          </w:p>
          <w:p>
            <w:pPr>
              <w:spacing w:line="360" w:lineRule="auto"/>
              <w:rPr>
                <w:rFonts w:ascii="仿宋" w:hAnsi="仿宋" w:eastAsia="仿宋"/>
                <w:bCs/>
                <w:szCs w:val="21"/>
              </w:rPr>
            </w:pPr>
            <w:r>
              <w:rPr>
                <w:rFonts w:ascii="仿宋" w:hAnsi="仿宋" w:eastAsia="仿宋"/>
                <w:bCs/>
                <w:szCs w:val="21"/>
              </w:rPr>
              <w:t>8</w:t>
            </w:r>
            <w:r>
              <w:rPr>
                <w:rFonts w:hint="eastAsia" w:ascii="仿宋" w:hAnsi="仿宋" w:eastAsia="仿宋"/>
                <w:bCs/>
                <w:szCs w:val="21"/>
              </w:rPr>
              <w:t>、网卡控制器：集成2个Intel i350千兆</w:t>
            </w:r>
            <w:r>
              <w:rPr>
                <w:rFonts w:ascii="仿宋" w:hAnsi="仿宋" w:eastAsia="仿宋"/>
                <w:bCs/>
                <w:szCs w:val="21"/>
              </w:rPr>
              <w:t>GE</w:t>
            </w:r>
            <w:r>
              <w:rPr>
                <w:rFonts w:hint="eastAsia" w:ascii="仿宋" w:hAnsi="仿宋" w:eastAsia="仿宋"/>
                <w:bCs/>
                <w:szCs w:val="21"/>
              </w:rPr>
              <w:t>网口；可选配外接千兆及万兆网卡</w:t>
            </w:r>
          </w:p>
          <w:p>
            <w:pPr>
              <w:rPr>
                <w:rFonts w:ascii="仿宋" w:hAnsi="仿宋" w:eastAsia="仿宋"/>
                <w:bCs/>
                <w:szCs w:val="21"/>
              </w:rPr>
            </w:pPr>
            <w:r>
              <w:rPr>
                <w:rFonts w:hint="eastAsia" w:ascii="仿宋" w:hAnsi="仿宋" w:eastAsia="仿宋"/>
                <w:bCs/>
                <w:szCs w:val="21"/>
              </w:rPr>
              <w:t>配置1块双口万兆网卡含双多模SFP+模块</w:t>
            </w:r>
          </w:p>
          <w:p>
            <w:pPr>
              <w:rPr>
                <w:rFonts w:ascii="仿宋" w:hAnsi="仿宋" w:eastAsia="仿宋"/>
                <w:bCs/>
                <w:szCs w:val="21"/>
              </w:rPr>
            </w:pPr>
            <w:r>
              <w:rPr>
                <w:rFonts w:hint="eastAsia" w:ascii="仿宋" w:hAnsi="仿宋" w:eastAsia="仿宋"/>
                <w:bCs/>
                <w:szCs w:val="21"/>
              </w:rPr>
              <w:t>9、电源：标配1400W 1+1 80 PLUS金牌高效热插拔冗余电源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接口，集成</w:t>
            </w:r>
            <w:r>
              <w:rPr>
                <w:rFonts w:ascii="仿宋" w:hAnsi="仿宋" w:eastAsia="仿宋"/>
                <w:bCs/>
                <w:szCs w:val="21"/>
              </w:rPr>
              <w:t xml:space="preserve"> 4</w:t>
            </w:r>
            <w:r>
              <w:rPr>
                <w:rFonts w:hint="eastAsia" w:ascii="仿宋" w:hAnsi="仿宋" w:eastAsia="仿宋"/>
                <w:bCs/>
                <w:szCs w:val="21"/>
              </w:rPr>
              <w:t>个USB</w:t>
            </w:r>
            <w:r>
              <w:rPr>
                <w:rFonts w:ascii="仿宋" w:hAnsi="仿宋" w:eastAsia="仿宋"/>
                <w:bCs/>
                <w:szCs w:val="21"/>
              </w:rPr>
              <w:t>3.0</w:t>
            </w:r>
            <w:r>
              <w:rPr>
                <w:rFonts w:hint="eastAsia" w:ascii="仿宋" w:hAnsi="仿宋" w:eastAsia="仿宋"/>
                <w:bCs/>
                <w:szCs w:val="21"/>
              </w:rPr>
              <w:t>接口</w:t>
            </w:r>
            <w:r>
              <w:rPr>
                <w:rFonts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 xml:space="preserve"> Windows Server </w:t>
            </w:r>
            <w:r>
              <w:rPr>
                <w:rFonts w:hint="eastAsia" w:ascii="仿宋" w:hAnsi="仿宋" w:eastAsia="仿宋"/>
                <w:bCs/>
                <w:szCs w:val="21"/>
              </w:rPr>
              <w:t xml:space="preserve"> </w:t>
            </w:r>
            <w:r>
              <w:rPr>
                <w:rFonts w:ascii="仿宋" w:hAnsi="仿宋" w:eastAsia="仿宋"/>
                <w:bCs/>
                <w:szCs w:val="21"/>
              </w:rPr>
              <w:t xml:space="preserve">2012 </w:t>
            </w:r>
            <w:r>
              <w:rPr>
                <w:rFonts w:hint="eastAsia" w:ascii="仿宋" w:hAnsi="仿宋" w:eastAsia="仿宋"/>
                <w:bCs/>
                <w:szCs w:val="21"/>
              </w:rPr>
              <w:t>、</w:t>
            </w:r>
            <w:r>
              <w:rPr>
                <w:rFonts w:ascii="仿宋" w:hAnsi="仿宋" w:eastAsia="仿宋"/>
                <w:bCs/>
                <w:szCs w:val="21"/>
              </w:rPr>
              <w:t>中标麒麟高级服务器操作系统V6.0 Update5</w:t>
            </w:r>
            <w:r>
              <w:rPr>
                <w:rFonts w:ascii="Calibri" w:eastAsia="仿宋" w:cs="Calibri"/>
                <w:bCs/>
                <w:szCs w:val="21"/>
              </w:rPr>
              <w:t> </w:t>
            </w:r>
            <w:r>
              <w:rPr>
                <w:rFonts w:ascii="仿宋" w:hAnsi="仿宋" w:eastAsia="仿宋"/>
                <w:bCs/>
                <w:szCs w:val="21"/>
              </w:rPr>
              <w:t>，</w:t>
            </w:r>
          </w:p>
          <w:p>
            <w:pPr>
              <w:spacing w:line="360" w:lineRule="auto"/>
              <w:rPr>
                <w:rFonts w:ascii="仿宋" w:hAnsi="仿宋" w:eastAsia="仿宋"/>
                <w:bCs/>
                <w:szCs w:val="21"/>
              </w:rPr>
            </w:pPr>
            <w:r>
              <w:rPr>
                <w:rFonts w:ascii="仿宋" w:hAnsi="仿宋" w:eastAsia="仿宋"/>
                <w:bCs/>
                <w:szCs w:val="21"/>
              </w:rPr>
              <w:t>Red Hat* Enterprise Advanced Server 6.5</w:t>
            </w:r>
            <w:r>
              <w:rPr>
                <w:rFonts w:hint="eastAsia" w:ascii="仿宋" w:hAnsi="仿宋" w:eastAsia="仿宋"/>
                <w:bCs/>
                <w:szCs w:val="21"/>
              </w:rPr>
              <w:t>，</w:t>
            </w:r>
            <w:r>
              <w:rPr>
                <w:rFonts w:ascii="仿宋" w:hAnsi="仿宋" w:eastAsia="仿宋"/>
                <w:bCs/>
                <w:szCs w:val="21"/>
              </w:rPr>
              <w:t xml:space="preserve"> Ubuntu 14.04</w:t>
            </w:r>
            <w:r>
              <w:rPr>
                <w:rFonts w:hint="eastAsia" w:ascii="仿宋" w:hAnsi="仿宋" w:eastAsia="仿宋"/>
                <w:bCs/>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hint="eastAsia" w:ascii="仿宋" w:hAnsi="仿宋" w:eastAsia="仿宋"/>
                <w:bCs/>
                <w:szCs w:val="21"/>
              </w:rPr>
              <w:t>15、认证：CCC、ISO 14001环境管理体系认证、ISO 9001质量管理体系认证、信息技术服务管理体系认证、ISO27001信息安全证书、OHSAS18001职业健康安全管理体系认证、中国环境标志产品认证证书、NETC国家数字电子产品质检检验报告；</w:t>
            </w:r>
          </w:p>
          <w:p>
            <w:pPr>
              <w:spacing w:line="360" w:lineRule="auto"/>
              <w:rPr>
                <w:rFonts w:ascii="仿宋" w:hAnsi="仿宋" w:eastAsia="仿宋"/>
                <w:bCs/>
                <w:szCs w:val="21"/>
              </w:rPr>
            </w:pPr>
            <w:r>
              <w:rPr>
                <w:rFonts w:ascii="仿宋" w:hAnsi="仿宋" w:eastAsia="仿宋"/>
                <w:bCs/>
                <w:szCs w:val="21"/>
              </w:rPr>
              <w:t>16</w:t>
            </w:r>
            <w:r>
              <w:rPr>
                <w:rFonts w:hint="eastAsia" w:ascii="仿宋" w:hAnsi="仿宋" w:eastAsia="仿宋"/>
                <w:bCs/>
                <w:szCs w:val="21"/>
              </w:rPr>
              <w:t>、</w:t>
            </w:r>
            <w:r>
              <w:rPr>
                <w:rFonts w:ascii="仿宋" w:hAnsi="仿宋" w:eastAsia="仿宋"/>
                <w:bCs/>
                <w:szCs w:val="21"/>
              </w:rPr>
              <w:t>支持智能调频功能，降低系统能耗，</w:t>
            </w:r>
            <w:r>
              <w:rPr>
                <w:rFonts w:hint="eastAsia" w:ascii="仿宋" w:hAnsi="仿宋" w:eastAsia="仿宋"/>
                <w:bCs/>
                <w:szCs w:val="21"/>
              </w:rPr>
              <w:t>据热关键器件温度综合调节风扇转速，支持</w:t>
            </w:r>
            <w:r>
              <w:rPr>
                <w:rFonts w:ascii="仿宋" w:hAnsi="仿宋" w:eastAsia="仿宋"/>
                <w:bCs/>
                <w:szCs w:val="21"/>
              </w:rPr>
              <w:t>PDCM v2.0(能效</w:t>
            </w:r>
            <w:r>
              <w:rPr>
                <w:rFonts w:hint="eastAsia" w:ascii="仿宋" w:hAnsi="仿宋" w:eastAsia="仿宋"/>
                <w:bCs/>
                <w:szCs w:val="21"/>
              </w:rPr>
              <w:t>管理器</w:t>
            </w:r>
            <w:r>
              <w:rPr>
                <w:rFonts w:ascii="仿宋" w:hAnsi="仿宋" w:eastAsia="仿宋"/>
                <w:bCs/>
                <w:szCs w:val="21"/>
              </w:rPr>
              <w:t>),</w:t>
            </w:r>
            <w:r>
              <w:rPr>
                <w:rFonts w:hint="eastAsia" w:ascii="仿宋" w:hAnsi="仿宋" w:eastAsia="仿宋"/>
                <w:bCs/>
                <w:szCs w:val="21"/>
              </w:rPr>
              <w:t>提供自动化服务器功耗控制，有助于以更少的资源完成更多任务；</w:t>
            </w:r>
          </w:p>
          <w:p>
            <w:pPr>
              <w:spacing w:line="360" w:lineRule="auto"/>
              <w:rPr>
                <w:rFonts w:ascii="仿宋" w:hAnsi="仿宋" w:eastAsia="仿宋"/>
                <w:bCs/>
                <w:szCs w:val="21"/>
              </w:rPr>
            </w:pPr>
            <w:r>
              <w:rPr>
                <w:rFonts w:ascii="仿宋" w:hAnsi="仿宋" w:eastAsia="仿宋"/>
                <w:bCs/>
                <w:szCs w:val="21"/>
              </w:rPr>
              <w:t>17</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裸光纤</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至四大运营商和公安局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核心交换机</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交换容量</w:t>
            </w:r>
            <w:r>
              <w:rPr>
                <w:rFonts w:ascii="Arial" w:hAnsi="Arial" w:eastAsia="仿宋" w:cs="Arial"/>
                <w:bCs/>
                <w:szCs w:val="21"/>
              </w:rPr>
              <w:t>≥</w:t>
            </w:r>
            <w:r>
              <w:rPr>
                <w:rFonts w:hint="eastAsia" w:ascii="仿宋" w:hAnsi="仿宋" w:eastAsia="仿宋"/>
                <w:bCs/>
                <w:szCs w:val="21"/>
              </w:rPr>
              <w:t>2Tbit/s、背板容量</w:t>
            </w:r>
            <w:r>
              <w:rPr>
                <w:rFonts w:ascii="Arial" w:hAnsi="Arial" w:eastAsia="仿宋" w:cs="Arial"/>
                <w:bCs/>
                <w:szCs w:val="21"/>
              </w:rPr>
              <w:t>≥</w:t>
            </w:r>
            <w:r>
              <w:rPr>
                <w:rFonts w:hint="eastAsia" w:ascii="Arial" w:hAnsi="Arial" w:eastAsia="仿宋" w:cs="Arial"/>
                <w:bCs/>
                <w:szCs w:val="21"/>
              </w:rPr>
              <w:t>6Tbit/s、转发能力</w:t>
            </w:r>
            <w:r>
              <w:rPr>
                <w:rFonts w:ascii="Arial" w:hAnsi="Arial" w:eastAsia="仿宋" w:cs="Arial"/>
                <w:bCs/>
                <w:szCs w:val="21"/>
              </w:rPr>
              <w:t>≥</w:t>
            </w:r>
            <w:r>
              <w:rPr>
                <w:rFonts w:hint="eastAsia" w:ascii="Arial" w:hAnsi="Arial" w:eastAsia="仿宋" w:cs="Arial"/>
                <w:bCs/>
                <w:szCs w:val="21"/>
              </w:rPr>
              <w:t>1152Mpps、业务槽位</w:t>
            </w:r>
            <w:r>
              <w:rPr>
                <w:rFonts w:ascii="Arial" w:hAnsi="Arial" w:eastAsia="仿宋" w:cs="Arial"/>
                <w:bCs/>
                <w:szCs w:val="21"/>
              </w:rPr>
              <w:t>≥</w:t>
            </w:r>
            <w:r>
              <w:rPr>
                <w:rFonts w:hint="eastAsia" w:ascii="Arial" w:hAnsi="Arial" w:eastAsia="仿宋" w:cs="Arial"/>
                <w:bCs/>
                <w:szCs w:val="21"/>
              </w:rPr>
              <w:t>6</w:t>
            </w:r>
            <w:r>
              <w:rPr>
                <w:rFonts w:hint="eastAsia" w:ascii="仿宋" w:hAnsi="仿宋" w:eastAsia="仿宋"/>
                <w:bCs/>
                <w:szCs w:val="21"/>
              </w:rPr>
              <w:t>、800W交流电源模块2块 、主控处理单元2块 、32端口万兆以太网光接口板(X2S,SFP+)一块、4端口万兆光接口和24端口百兆/千兆光接口和8端口十兆/百兆/千兆combo电接口板(X1C,RJ45/SFP/SFP+)一块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光模块1</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ascii="仿宋" w:hAnsi="仿宋" w:eastAsia="仿宋"/>
                <w:bCs/>
                <w:szCs w:val="21"/>
              </w:rPr>
            </w:pPr>
            <w:r>
              <w:rPr>
                <w:rFonts w:hint="eastAsia" w:ascii="仿宋" w:hAnsi="仿宋" w:eastAsia="仿宋"/>
                <w:bCs/>
                <w:szCs w:val="21"/>
              </w:rPr>
              <w:t>光模块-SFP+-10G-多模模块(850nm,0.3km,LC)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光模块2</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ascii="仿宋" w:hAnsi="仿宋" w:eastAsia="仿宋"/>
                <w:bCs/>
                <w:szCs w:val="21"/>
              </w:rPr>
            </w:pPr>
            <w:r>
              <w:rPr>
                <w:rFonts w:hint="eastAsia" w:ascii="仿宋" w:hAnsi="仿宋" w:eastAsia="仿宋"/>
                <w:bCs/>
                <w:szCs w:val="21"/>
              </w:rPr>
              <w:t>光模块-SFP+-10G-单模模块(1310nm,10km,LC)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尾纤</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项目配套尾纤</w:t>
            </w:r>
          </w:p>
        </w:tc>
      </w:tr>
    </w:tbl>
    <w:p>
      <w:pPr>
        <w:rPr>
          <w:rFonts w:ascii="仿宋" w:hAnsi="仿宋" w:eastAsia="仿宋"/>
        </w:rPr>
      </w:pPr>
    </w:p>
    <w:p>
      <w:pPr>
        <w:pStyle w:val="3"/>
        <w:rPr>
          <w:rFonts w:ascii="仿宋" w:hAnsi="仿宋" w:eastAsia="仿宋"/>
        </w:rPr>
      </w:pPr>
    </w:p>
    <w:p>
      <w:pPr>
        <w:pStyle w:val="9"/>
        <w:numPr>
          <w:ilvl w:val="0"/>
          <w:numId w:val="7"/>
        </w:numPr>
        <w:rPr>
          <w:rFonts w:hint="eastAsia" w:ascii="仿宋" w:hAnsi="仿宋" w:eastAsia="仿宋"/>
        </w:rPr>
      </w:pPr>
      <w:r>
        <w:rPr>
          <w:rFonts w:hint="eastAsia" w:ascii="仿宋" w:hAnsi="仿宋" w:eastAsia="仿宋"/>
        </w:rPr>
        <w:t>系统软件技术要求</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275"/>
        <w:gridCol w:w="1678"/>
        <w:gridCol w:w="2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1042" w:type="dxa"/>
            <w:noWrap w:val="0"/>
            <w:vAlign w:val="top"/>
          </w:tcPr>
          <w:p>
            <w:pPr>
              <w:pStyle w:val="310"/>
              <w:spacing w:before="4"/>
              <w:rPr>
                <w:sz w:val="24"/>
                <w:szCs w:val="24"/>
              </w:rPr>
            </w:pPr>
          </w:p>
          <w:p>
            <w:pPr>
              <w:pStyle w:val="310"/>
              <w:ind w:left="158"/>
              <w:rPr>
                <w:sz w:val="24"/>
                <w:szCs w:val="24"/>
              </w:rPr>
            </w:pPr>
            <w:r>
              <w:rPr>
                <w:sz w:val="24"/>
                <w:szCs w:val="24"/>
              </w:rPr>
              <w:t>建设内容</w:t>
            </w:r>
          </w:p>
        </w:tc>
        <w:tc>
          <w:tcPr>
            <w:tcW w:w="1275" w:type="dxa"/>
            <w:noWrap w:val="0"/>
            <w:vAlign w:val="top"/>
          </w:tcPr>
          <w:p>
            <w:pPr>
              <w:pStyle w:val="310"/>
              <w:spacing w:before="4"/>
              <w:rPr>
                <w:sz w:val="24"/>
                <w:szCs w:val="24"/>
              </w:rPr>
            </w:pPr>
          </w:p>
          <w:p>
            <w:pPr>
              <w:pStyle w:val="310"/>
              <w:ind w:left="275"/>
              <w:rPr>
                <w:sz w:val="24"/>
                <w:szCs w:val="24"/>
              </w:rPr>
            </w:pPr>
            <w:r>
              <w:rPr>
                <w:sz w:val="24"/>
                <w:szCs w:val="24"/>
              </w:rPr>
              <w:t>建设大类</w:t>
            </w:r>
          </w:p>
        </w:tc>
        <w:tc>
          <w:tcPr>
            <w:tcW w:w="1678" w:type="dxa"/>
            <w:noWrap w:val="0"/>
            <w:vAlign w:val="top"/>
          </w:tcPr>
          <w:p>
            <w:pPr>
              <w:pStyle w:val="310"/>
              <w:spacing w:before="4"/>
              <w:rPr>
                <w:sz w:val="24"/>
                <w:szCs w:val="24"/>
              </w:rPr>
            </w:pPr>
          </w:p>
          <w:p>
            <w:pPr>
              <w:pStyle w:val="310"/>
              <w:ind w:left="220"/>
              <w:rPr>
                <w:sz w:val="24"/>
                <w:szCs w:val="24"/>
              </w:rPr>
            </w:pPr>
            <w:r>
              <w:rPr>
                <w:sz w:val="24"/>
                <w:szCs w:val="24"/>
              </w:rPr>
              <w:t>二级建设种类</w:t>
            </w:r>
          </w:p>
        </w:tc>
        <w:tc>
          <w:tcPr>
            <w:tcW w:w="2897" w:type="dxa"/>
            <w:noWrap w:val="0"/>
            <w:vAlign w:val="top"/>
          </w:tcPr>
          <w:p>
            <w:pPr>
              <w:pStyle w:val="310"/>
              <w:spacing w:before="4"/>
              <w:rPr>
                <w:sz w:val="24"/>
                <w:szCs w:val="24"/>
              </w:rPr>
            </w:pPr>
          </w:p>
          <w:p>
            <w:pPr>
              <w:pStyle w:val="310"/>
              <w:ind w:left="764" w:right="748"/>
              <w:jc w:val="center"/>
              <w:rPr>
                <w:sz w:val="24"/>
                <w:szCs w:val="24"/>
              </w:rPr>
            </w:pPr>
            <w:r>
              <w:rPr>
                <w:sz w:val="24"/>
                <w:szCs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42" w:type="dxa"/>
            <w:vMerge w:val="restart"/>
            <w:noWrap w:val="0"/>
            <w:vAlign w:val="top"/>
          </w:tcPr>
          <w:p>
            <w:pPr>
              <w:pStyle w:val="310"/>
              <w:spacing w:before="40" w:line="324" w:lineRule="auto"/>
              <w:ind w:right="58"/>
              <w:rPr>
                <w:sz w:val="24"/>
                <w:szCs w:val="24"/>
              </w:rPr>
            </w:pPr>
            <w:r>
              <w:rPr>
                <w:sz w:val="24"/>
                <w:szCs w:val="24"/>
              </w:rPr>
              <w:t>基础数据与服务</w:t>
            </w:r>
          </w:p>
        </w:tc>
        <w:tc>
          <w:tcPr>
            <w:tcW w:w="1275" w:type="dxa"/>
            <w:vMerge w:val="restart"/>
            <w:noWrap w:val="0"/>
            <w:vAlign w:val="top"/>
          </w:tcPr>
          <w:p>
            <w:pPr>
              <w:pStyle w:val="310"/>
              <w:spacing w:before="40" w:line="324" w:lineRule="auto"/>
              <w:ind w:right="99"/>
              <w:rPr>
                <w:sz w:val="24"/>
                <w:szCs w:val="24"/>
              </w:rPr>
            </w:pPr>
            <w:r>
              <w:rPr>
                <w:sz w:val="24"/>
                <w:szCs w:val="24"/>
              </w:rPr>
              <w:t>基础数据整合建设</w:t>
            </w:r>
          </w:p>
        </w:tc>
        <w:tc>
          <w:tcPr>
            <w:tcW w:w="1678" w:type="dxa"/>
            <w:noWrap w:val="0"/>
            <w:vAlign w:val="top"/>
          </w:tcPr>
          <w:p>
            <w:pPr>
              <w:pStyle w:val="310"/>
              <w:spacing w:before="40"/>
              <w:rPr>
                <w:sz w:val="24"/>
                <w:szCs w:val="24"/>
              </w:rPr>
            </w:pPr>
            <w:r>
              <w:rPr>
                <w:sz w:val="24"/>
                <w:szCs w:val="24"/>
              </w:rPr>
              <w:t>数据整合</w:t>
            </w:r>
          </w:p>
        </w:tc>
        <w:tc>
          <w:tcPr>
            <w:tcW w:w="2897" w:type="dxa"/>
            <w:noWrap w:val="0"/>
            <w:vAlign w:val="top"/>
          </w:tcPr>
          <w:p>
            <w:pPr>
              <w:pStyle w:val="310"/>
              <w:spacing w:before="40"/>
              <w:ind w:left="109"/>
              <w:rPr>
                <w:sz w:val="24"/>
                <w:szCs w:val="24"/>
              </w:rPr>
            </w:pPr>
            <w:r>
              <w:rPr>
                <w:sz w:val="24"/>
                <w:szCs w:val="24"/>
              </w:rPr>
              <w:t>包含指定数据的分析评估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数据处理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数据流控</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流程管理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调度服务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基础标准规范建设</w:t>
            </w:r>
          </w:p>
        </w:tc>
        <w:tc>
          <w:tcPr>
            <w:tcW w:w="1678" w:type="dxa"/>
            <w:noWrap w:val="0"/>
            <w:vAlign w:val="top"/>
          </w:tcPr>
          <w:p>
            <w:pPr>
              <w:pStyle w:val="310"/>
              <w:rPr>
                <w:sz w:val="24"/>
                <w:szCs w:val="24"/>
              </w:rPr>
            </w:pPr>
            <w:r>
              <w:rPr>
                <w:sz w:val="24"/>
                <w:szCs w:val="24"/>
              </w:rPr>
              <w:t>数据规范设计</w:t>
            </w:r>
          </w:p>
        </w:tc>
        <w:tc>
          <w:tcPr>
            <w:tcW w:w="2897" w:type="dxa"/>
            <w:noWrap w:val="0"/>
            <w:vAlign w:val="top"/>
          </w:tcPr>
          <w:p>
            <w:pPr>
              <w:pStyle w:val="310"/>
              <w:ind w:left="109"/>
              <w:rPr>
                <w:sz w:val="24"/>
                <w:szCs w:val="24"/>
              </w:rPr>
            </w:pPr>
            <w:r>
              <w:rPr>
                <w:sz w:val="24"/>
                <w:szCs w:val="24"/>
              </w:rPr>
              <w:t>包含数据规范调研、分析及异构数据冗余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融合数据库</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数据字典建设</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数据透视建表</w:t>
            </w:r>
          </w:p>
        </w:tc>
        <w:tc>
          <w:tcPr>
            <w:tcW w:w="2897" w:type="dxa"/>
            <w:noWrap w:val="0"/>
            <w:vAlign w:val="top"/>
          </w:tcPr>
          <w:p>
            <w:pPr>
              <w:pStyle w:val="310"/>
              <w:ind w:left="109"/>
              <w:rPr>
                <w:sz w:val="24"/>
                <w:szCs w:val="24"/>
              </w:rPr>
            </w:pPr>
            <w:r>
              <w:rPr>
                <w:sz w:val="24"/>
                <w:szCs w:val="24"/>
              </w:rPr>
              <w:t>根据实际需要建设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基础大数据交互建设</w:t>
            </w:r>
          </w:p>
        </w:tc>
        <w:tc>
          <w:tcPr>
            <w:tcW w:w="1678" w:type="dxa"/>
            <w:noWrap w:val="0"/>
            <w:vAlign w:val="top"/>
          </w:tcPr>
          <w:p>
            <w:pPr>
              <w:pStyle w:val="310"/>
              <w:rPr>
                <w:sz w:val="24"/>
                <w:szCs w:val="24"/>
              </w:rPr>
            </w:pPr>
            <w:r>
              <w:rPr>
                <w:sz w:val="24"/>
                <w:szCs w:val="24"/>
              </w:rPr>
              <w:t>高密度接入设计</w:t>
            </w:r>
          </w:p>
        </w:tc>
        <w:tc>
          <w:tcPr>
            <w:tcW w:w="2897" w:type="dxa"/>
            <w:noWrap w:val="0"/>
            <w:vAlign w:val="top"/>
          </w:tcPr>
          <w:p>
            <w:pPr>
              <w:pStyle w:val="310"/>
              <w:ind w:left="109"/>
              <w:rPr>
                <w:sz w:val="24"/>
                <w:szCs w:val="24"/>
              </w:rPr>
            </w:pPr>
            <w:r>
              <w:rPr>
                <w:sz w:val="24"/>
                <w:szCs w:val="24"/>
              </w:rPr>
              <w:t>按照 1 万路接入规模设计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高密高速实时处理模块</w:t>
            </w:r>
          </w:p>
        </w:tc>
        <w:tc>
          <w:tcPr>
            <w:tcW w:w="2897" w:type="dxa"/>
            <w:noWrap w:val="0"/>
            <w:vAlign w:val="top"/>
          </w:tcPr>
          <w:p>
            <w:pPr>
              <w:pStyle w:val="310"/>
              <w:ind w:left="109"/>
              <w:rPr>
                <w:sz w:val="24"/>
                <w:szCs w:val="24"/>
              </w:rPr>
            </w:pPr>
            <w:r>
              <w:rPr>
                <w:sz w:val="24"/>
                <w:szCs w:val="24"/>
              </w:rPr>
              <w:t>按照 2000 路规模实时处理设计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自然语义模块</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1"/>
              <w:rPr>
                <w:sz w:val="24"/>
                <w:szCs w:val="24"/>
              </w:rPr>
            </w:pPr>
            <w:r>
              <w:rPr>
                <w:sz w:val="24"/>
                <w:szCs w:val="24"/>
              </w:rPr>
              <w:t>数据信息挖掘</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基础数服务建设</w:t>
            </w:r>
          </w:p>
        </w:tc>
        <w:tc>
          <w:tcPr>
            <w:tcW w:w="1678" w:type="dxa"/>
            <w:noWrap w:val="0"/>
            <w:vAlign w:val="top"/>
          </w:tcPr>
          <w:p>
            <w:pPr>
              <w:pStyle w:val="310"/>
              <w:rPr>
                <w:sz w:val="24"/>
                <w:szCs w:val="24"/>
              </w:rPr>
            </w:pPr>
            <w:r>
              <w:rPr>
                <w:sz w:val="24"/>
                <w:szCs w:val="24"/>
              </w:rPr>
              <w:t>特征提取服务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存储服务</w:t>
            </w:r>
          </w:p>
        </w:tc>
        <w:tc>
          <w:tcPr>
            <w:tcW w:w="2897" w:type="dxa"/>
            <w:noWrap w:val="0"/>
            <w:vAlign w:val="top"/>
          </w:tcPr>
          <w:p>
            <w:pPr>
              <w:pStyle w:val="310"/>
              <w:ind w:left="109"/>
              <w:rPr>
                <w:sz w:val="24"/>
                <w:szCs w:val="24"/>
              </w:rPr>
            </w:pPr>
            <w:r>
              <w:rPr>
                <w:sz w:val="24"/>
                <w:szCs w:val="24"/>
              </w:rPr>
              <w:t>按照 2000 路 90 天特征提取数据存储设计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数据融合</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检索服务</w:t>
            </w:r>
          </w:p>
        </w:tc>
        <w:tc>
          <w:tcPr>
            <w:tcW w:w="2897" w:type="dxa"/>
            <w:noWrap w:val="0"/>
            <w:vAlign w:val="top"/>
          </w:tcPr>
          <w:p>
            <w:pPr>
              <w:pStyle w:val="310"/>
              <w:ind w:left="291"/>
              <w:rPr>
                <w:sz w:val="24"/>
                <w:szCs w:val="24"/>
              </w:rPr>
            </w:pPr>
            <w:r>
              <w:rPr>
                <w:sz w:val="24"/>
                <w:szCs w:val="24"/>
              </w:rPr>
              <w:t>10 亿/秒检索速度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布控服务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before="40" w:line="324" w:lineRule="auto"/>
              <w:ind w:right="99"/>
              <w:rPr>
                <w:sz w:val="24"/>
                <w:szCs w:val="24"/>
              </w:rPr>
            </w:pPr>
            <w:r>
              <w:rPr>
                <w:sz w:val="24"/>
                <w:szCs w:val="24"/>
              </w:rPr>
              <w:t>服务与搜索引擎建设</w:t>
            </w:r>
          </w:p>
        </w:tc>
        <w:tc>
          <w:tcPr>
            <w:tcW w:w="1678" w:type="dxa"/>
            <w:noWrap w:val="0"/>
            <w:vAlign w:val="top"/>
          </w:tcPr>
          <w:p>
            <w:pPr>
              <w:pStyle w:val="310"/>
              <w:spacing w:before="40"/>
              <w:rPr>
                <w:sz w:val="24"/>
                <w:szCs w:val="24"/>
              </w:rPr>
            </w:pPr>
            <w:r>
              <w:rPr>
                <w:sz w:val="24"/>
                <w:szCs w:val="24"/>
              </w:rPr>
              <w:t>GIS 信息分发服务引擎</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分布式消息引擎</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混合数据源检索引擎</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多业务服务管理</w:t>
            </w:r>
          </w:p>
          <w:p>
            <w:pPr>
              <w:pStyle w:val="310"/>
              <w:spacing w:before="81"/>
              <w:rPr>
                <w:sz w:val="24"/>
                <w:szCs w:val="24"/>
              </w:rPr>
            </w:pPr>
            <w:r>
              <w:rPr>
                <w:sz w:val="24"/>
                <w:szCs w:val="24"/>
              </w:rPr>
              <w:t>引擎</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公安业务平台接入</w:t>
            </w:r>
          </w:p>
        </w:tc>
        <w:tc>
          <w:tcPr>
            <w:tcW w:w="1678" w:type="dxa"/>
            <w:noWrap w:val="0"/>
            <w:vAlign w:val="top"/>
          </w:tcPr>
          <w:p>
            <w:pPr>
              <w:pStyle w:val="310"/>
              <w:rPr>
                <w:sz w:val="24"/>
                <w:szCs w:val="24"/>
              </w:rPr>
            </w:pPr>
            <w:r>
              <w:rPr>
                <w:sz w:val="24"/>
                <w:szCs w:val="24"/>
              </w:rPr>
              <w:t>人脸库接入</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指定库接入</w:t>
            </w:r>
          </w:p>
        </w:tc>
        <w:tc>
          <w:tcPr>
            <w:tcW w:w="2897" w:type="dxa"/>
            <w:noWrap w:val="0"/>
            <w:vAlign w:val="top"/>
          </w:tcPr>
          <w:p>
            <w:pPr>
              <w:pStyle w:val="310"/>
              <w:ind w:left="109"/>
              <w:rPr>
                <w:sz w:val="24"/>
                <w:szCs w:val="24"/>
              </w:rPr>
            </w:pPr>
            <w:r>
              <w:rPr>
                <w:sz w:val="24"/>
                <w:szCs w:val="24"/>
              </w:rPr>
              <w:t>根据业主指定的公安业务平台进行接入开发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042" w:type="dxa"/>
            <w:vMerge w:val="continue"/>
            <w:tcBorders>
              <w:top w:val="nil"/>
            </w:tcBorders>
            <w:noWrap w:val="0"/>
            <w:vAlign w:val="top"/>
          </w:tcPr>
          <w:p/>
        </w:tc>
        <w:tc>
          <w:tcPr>
            <w:tcW w:w="1275" w:type="dxa"/>
            <w:noWrap w:val="0"/>
            <w:vAlign w:val="top"/>
          </w:tcPr>
          <w:p>
            <w:pPr>
              <w:pStyle w:val="310"/>
              <w:spacing w:before="40"/>
              <w:rPr>
                <w:sz w:val="24"/>
                <w:szCs w:val="24"/>
              </w:rPr>
            </w:pPr>
            <w:r>
              <w:rPr>
                <w:sz w:val="24"/>
                <w:szCs w:val="24"/>
              </w:rPr>
              <w:t>第三方业务</w:t>
            </w:r>
          </w:p>
          <w:p>
            <w:pPr>
              <w:pStyle w:val="310"/>
              <w:spacing w:before="82"/>
              <w:rPr>
                <w:sz w:val="24"/>
                <w:szCs w:val="24"/>
              </w:rPr>
            </w:pPr>
            <w:r>
              <w:rPr>
                <w:sz w:val="24"/>
                <w:szCs w:val="24"/>
              </w:rPr>
              <w:t>平台接入</w:t>
            </w:r>
          </w:p>
        </w:tc>
        <w:tc>
          <w:tcPr>
            <w:tcW w:w="1678" w:type="dxa"/>
            <w:noWrap w:val="0"/>
            <w:vAlign w:val="top"/>
          </w:tcPr>
          <w:p>
            <w:pPr>
              <w:pStyle w:val="310"/>
              <w:spacing w:before="40"/>
              <w:rPr>
                <w:sz w:val="24"/>
                <w:szCs w:val="24"/>
              </w:rPr>
            </w:pPr>
            <w:r>
              <w:rPr>
                <w:sz w:val="24"/>
                <w:szCs w:val="24"/>
              </w:rPr>
              <w:t>按业主单位实际</w:t>
            </w:r>
          </w:p>
          <w:p>
            <w:pPr>
              <w:pStyle w:val="310"/>
              <w:spacing w:before="82"/>
              <w:rPr>
                <w:sz w:val="24"/>
                <w:szCs w:val="24"/>
              </w:rPr>
            </w:pPr>
            <w:r>
              <w:rPr>
                <w:sz w:val="24"/>
                <w:szCs w:val="24"/>
              </w:rPr>
              <w:t>需求</w:t>
            </w:r>
          </w:p>
        </w:tc>
        <w:tc>
          <w:tcPr>
            <w:tcW w:w="2897" w:type="dxa"/>
            <w:noWrap w:val="0"/>
            <w:vAlign w:val="top"/>
          </w:tcPr>
          <w:p>
            <w:pPr>
              <w:pStyle w:val="310"/>
              <w:spacing w:before="40"/>
              <w:ind w:left="109"/>
              <w:rPr>
                <w:sz w:val="24"/>
                <w:szCs w:val="24"/>
              </w:rPr>
            </w:pPr>
            <w:r>
              <w:rPr>
                <w:sz w:val="24"/>
                <w:szCs w:val="24"/>
              </w:rPr>
              <w:t>根据业主指定的第三方平台进行接入开发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42" w:type="dxa"/>
            <w:vMerge w:val="restart"/>
            <w:noWrap w:val="0"/>
            <w:vAlign w:val="top"/>
          </w:tcPr>
          <w:p>
            <w:pPr>
              <w:pStyle w:val="310"/>
              <w:rPr>
                <w:rFonts w:ascii="Times New Roman"/>
                <w:sz w:val="24"/>
                <w:szCs w:val="24"/>
              </w:rPr>
            </w:pPr>
          </w:p>
        </w:tc>
        <w:tc>
          <w:tcPr>
            <w:tcW w:w="1275" w:type="dxa"/>
            <w:vMerge w:val="restart"/>
            <w:noWrap w:val="0"/>
            <w:vAlign w:val="top"/>
          </w:tcPr>
          <w:p>
            <w:pPr>
              <w:pStyle w:val="310"/>
              <w:spacing w:line="324" w:lineRule="auto"/>
              <w:ind w:right="99"/>
              <w:rPr>
                <w:sz w:val="24"/>
                <w:szCs w:val="24"/>
              </w:rPr>
            </w:pPr>
            <w:r>
              <w:rPr>
                <w:sz w:val="24"/>
                <w:szCs w:val="24"/>
              </w:rPr>
              <w:t>基础算法库建设</w:t>
            </w:r>
          </w:p>
        </w:tc>
        <w:tc>
          <w:tcPr>
            <w:tcW w:w="1678" w:type="dxa"/>
            <w:noWrap w:val="0"/>
            <w:vAlign w:val="top"/>
          </w:tcPr>
          <w:p>
            <w:pPr>
              <w:pStyle w:val="310"/>
              <w:rPr>
                <w:sz w:val="24"/>
                <w:szCs w:val="24"/>
              </w:rPr>
            </w:pPr>
            <w:r>
              <w:rPr>
                <w:sz w:val="24"/>
                <w:szCs w:val="24"/>
              </w:rPr>
              <w:t>算法管理引擎</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动态算法库扩展</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算法模型在线更</w:t>
            </w:r>
          </w:p>
          <w:p>
            <w:pPr>
              <w:pStyle w:val="310"/>
              <w:spacing w:before="81"/>
              <w:rPr>
                <w:sz w:val="24"/>
                <w:szCs w:val="24"/>
              </w:rPr>
            </w:pPr>
            <w:r>
              <w:rPr>
                <w:sz w:val="24"/>
                <w:szCs w:val="24"/>
              </w:rPr>
              <w:t>新服务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算法生命周期管理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算法模型本地化</w:t>
            </w:r>
          </w:p>
          <w:p>
            <w:pPr>
              <w:pStyle w:val="310"/>
              <w:spacing w:before="81"/>
              <w:rPr>
                <w:sz w:val="24"/>
                <w:szCs w:val="24"/>
              </w:rPr>
            </w:pPr>
            <w:r>
              <w:rPr>
                <w:sz w:val="24"/>
                <w:szCs w:val="24"/>
              </w:rPr>
              <w:t>服务</w:t>
            </w:r>
          </w:p>
        </w:tc>
        <w:tc>
          <w:tcPr>
            <w:tcW w:w="2897" w:type="dxa"/>
            <w:noWrap w:val="0"/>
            <w:vAlign w:val="top"/>
          </w:tcPr>
          <w:p>
            <w:pPr>
              <w:pStyle w:val="310"/>
              <w:ind w:left="109"/>
              <w:rPr>
                <w:sz w:val="24"/>
                <w:szCs w:val="24"/>
              </w:rPr>
            </w:pPr>
            <w:r>
              <w:rPr>
                <w:sz w:val="24"/>
                <w:szCs w:val="24"/>
              </w:rPr>
              <w:t>针对本地数据进行算法优化与模型更新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restart"/>
            <w:noWrap w:val="0"/>
            <w:vAlign w:val="top"/>
          </w:tcPr>
          <w:p>
            <w:pPr>
              <w:pStyle w:val="310"/>
              <w:spacing w:line="324" w:lineRule="auto"/>
              <w:ind w:right="58"/>
              <w:rPr>
                <w:sz w:val="24"/>
                <w:szCs w:val="24"/>
              </w:rPr>
            </w:pPr>
            <w:r>
              <w:rPr>
                <w:sz w:val="24"/>
                <w:szCs w:val="24"/>
              </w:rPr>
              <w:t>业务系统建设</w:t>
            </w:r>
          </w:p>
        </w:tc>
        <w:tc>
          <w:tcPr>
            <w:tcW w:w="1275" w:type="dxa"/>
            <w:vMerge w:val="restart"/>
            <w:noWrap w:val="0"/>
            <w:vAlign w:val="top"/>
          </w:tcPr>
          <w:p>
            <w:pPr>
              <w:pStyle w:val="310"/>
              <w:spacing w:line="324" w:lineRule="auto"/>
              <w:ind w:right="99"/>
              <w:rPr>
                <w:sz w:val="24"/>
                <w:szCs w:val="24"/>
              </w:rPr>
            </w:pPr>
            <w:r>
              <w:rPr>
                <w:sz w:val="24"/>
                <w:szCs w:val="24"/>
              </w:rPr>
              <w:t>应用基础业务</w:t>
            </w:r>
          </w:p>
        </w:tc>
        <w:tc>
          <w:tcPr>
            <w:tcW w:w="1678" w:type="dxa"/>
            <w:noWrap w:val="0"/>
            <w:vAlign w:val="top"/>
          </w:tcPr>
          <w:p>
            <w:pPr>
              <w:pStyle w:val="310"/>
              <w:rPr>
                <w:sz w:val="24"/>
                <w:szCs w:val="24"/>
              </w:rPr>
            </w:pPr>
            <w:r>
              <w:rPr>
                <w:sz w:val="24"/>
                <w:szCs w:val="24"/>
              </w:rPr>
              <w:t>视频结构化提取服务</w:t>
            </w:r>
          </w:p>
        </w:tc>
        <w:tc>
          <w:tcPr>
            <w:tcW w:w="2897" w:type="dxa"/>
            <w:noWrap w:val="0"/>
            <w:vAlign w:val="top"/>
          </w:tcPr>
          <w:p>
            <w:pPr>
              <w:pStyle w:val="310"/>
              <w:ind w:left="109"/>
              <w:rPr>
                <w:sz w:val="24"/>
                <w:szCs w:val="24"/>
              </w:rPr>
            </w:pPr>
            <w:r>
              <w:rPr>
                <w:sz w:val="24"/>
                <w:szCs w:val="24"/>
              </w:rPr>
              <w:t>按照 2000 路规模设计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视图资源整合服务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图片分析服务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非结构化数据检索服务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before="40" w:line="324" w:lineRule="auto"/>
              <w:ind w:right="99"/>
              <w:rPr>
                <w:sz w:val="24"/>
                <w:szCs w:val="24"/>
              </w:rPr>
            </w:pPr>
            <w:r>
              <w:rPr>
                <w:sz w:val="24"/>
                <w:szCs w:val="24"/>
              </w:rPr>
              <w:t>人体特征业务</w:t>
            </w:r>
          </w:p>
        </w:tc>
        <w:tc>
          <w:tcPr>
            <w:tcW w:w="1678" w:type="dxa"/>
            <w:noWrap w:val="0"/>
            <w:vAlign w:val="top"/>
          </w:tcPr>
          <w:p>
            <w:pPr>
              <w:pStyle w:val="310"/>
              <w:spacing w:before="40"/>
              <w:rPr>
                <w:sz w:val="24"/>
                <w:szCs w:val="24"/>
              </w:rPr>
            </w:pPr>
            <w:r>
              <w:rPr>
                <w:sz w:val="24"/>
                <w:szCs w:val="24"/>
              </w:rPr>
              <w:t>人体轨迹分析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同行/ 尾随人员分析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频次分析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落脚点分析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人员卡口</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人体布控库</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before="40" w:line="324" w:lineRule="auto"/>
              <w:ind w:right="99"/>
              <w:rPr>
                <w:sz w:val="24"/>
                <w:szCs w:val="24"/>
              </w:rPr>
            </w:pPr>
            <w:r>
              <w:rPr>
                <w:sz w:val="24"/>
                <w:szCs w:val="24"/>
              </w:rPr>
              <w:t>人脸特征业务</w:t>
            </w:r>
          </w:p>
        </w:tc>
        <w:tc>
          <w:tcPr>
            <w:tcW w:w="1678" w:type="dxa"/>
            <w:noWrap w:val="0"/>
            <w:vAlign w:val="top"/>
          </w:tcPr>
          <w:p>
            <w:pPr>
              <w:pStyle w:val="310"/>
              <w:spacing w:before="40"/>
              <w:rPr>
                <w:sz w:val="24"/>
                <w:szCs w:val="24"/>
              </w:rPr>
            </w:pPr>
            <w:r>
              <w:rPr>
                <w:sz w:val="24"/>
                <w:szCs w:val="24"/>
              </w:rPr>
              <w:t>轨迹分析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人脸技战法服务</w:t>
            </w:r>
          </w:p>
        </w:tc>
        <w:tc>
          <w:tcPr>
            <w:tcW w:w="2897" w:type="dxa"/>
            <w:noWrap w:val="0"/>
            <w:vAlign w:val="top"/>
          </w:tcPr>
          <w:p>
            <w:pPr>
              <w:pStyle w:val="310"/>
              <w:ind w:left="109"/>
              <w:rPr>
                <w:sz w:val="24"/>
                <w:szCs w:val="24"/>
              </w:rPr>
            </w:pPr>
            <w:r>
              <w:rPr>
                <w:sz w:val="24"/>
                <w:szCs w:val="24"/>
              </w:rPr>
              <w:t>包含以脸搜脸、人脸查重、人脸 1V1 比对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人脸碰撞</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布控服务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车辆特征业务</w:t>
            </w:r>
          </w:p>
        </w:tc>
        <w:tc>
          <w:tcPr>
            <w:tcW w:w="1678" w:type="dxa"/>
            <w:noWrap w:val="0"/>
            <w:vAlign w:val="top"/>
          </w:tcPr>
          <w:p>
            <w:pPr>
              <w:pStyle w:val="310"/>
              <w:rPr>
                <w:sz w:val="24"/>
                <w:szCs w:val="24"/>
              </w:rPr>
            </w:pPr>
            <w:r>
              <w:rPr>
                <w:sz w:val="24"/>
                <w:szCs w:val="24"/>
              </w:rPr>
              <w:t>套牌遮牌分析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车辆技战法服务</w:t>
            </w:r>
          </w:p>
        </w:tc>
        <w:tc>
          <w:tcPr>
            <w:tcW w:w="2897" w:type="dxa"/>
            <w:noWrap w:val="0"/>
            <w:vAlign w:val="top"/>
          </w:tcPr>
          <w:p>
            <w:pPr>
              <w:pStyle w:val="310"/>
              <w:spacing w:line="324" w:lineRule="auto"/>
              <w:ind w:left="109" w:right="9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区域碰撞分析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非结构化搜索</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车辆布控</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大数据分析系统</w:t>
            </w:r>
          </w:p>
        </w:tc>
        <w:tc>
          <w:tcPr>
            <w:tcW w:w="1678" w:type="dxa"/>
            <w:noWrap w:val="0"/>
            <w:vAlign w:val="top"/>
          </w:tcPr>
          <w:p>
            <w:pPr>
              <w:pStyle w:val="310"/>
              <w:rPr>
                <w:sz w:val="24"/>
                <w:szCs w:val="24"/>
              </w:rPr>
            </w:pPr>
            <w:r>
              <w:rPr>
                <w:sz w:val="24"/>
                <w:szCs w:val="24"/>
              </w:rPr>
              <w:t>自然语义检索服务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自然语义解析服务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数据碰撞对比服务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关联关系图谱服务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42" w:type="dxa"/>
            <w:vMerge w:val="restart"/>
            <w:noWrap w:val="0"/>
            <w:vAlign w:val="top"/>
          </w:tcPr>
          <w:p>
            <w:pPr>
              <w:pStyle w:val="310"/>
              <w:rPr>
                <w:rFonts w:ascii="Times New Roman"/>
                <w:sz w:val="24"/>
                <w:szCs w:val="24"/>
              </w:rPr>
            </w:pPr>
          </w:p>
        </w:tc>
        <w:tc>
          <w:tcPr>
            <w:tcW w:w="1275" w:type="dxa"/>
            <w:noWrap w:val="0"/>
            <w:vAlign w:val="top"/>
          </w:tcPr>
          <w:p>
            <w:pPr>
              <w:pStyle w:val="310"/>
              <w:rPr>
                <w:rFonts w:ascii="Times New Roman"/>
                <w:sz w:val="24"/>
                <w:szCs w:val="24"/>
              </w:rPr>
            </w:pPr>
          </w:p>
        </w:tc>
        <w:tc>
          <w:tcPr>
            <w:tcW w:w="1678" w:type="dxa"/>
            <w:noWrap w:val="0"/>
            <w:vAlign w:val="top"/>
          </w:tcPr>
          <w:p>
            <w:pPr>
              <w:pStyle w:val="310"/>
              <w:rPr>
                <w:sz w:val="24"/>
                <w:szCs w:val="24"/>
              </w:rPr>
            </w:pP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42" w:type="dxa"/>
            <w:vMerge w:val="continue"/>
            <w:tcBorders>
              <w:top w:val="nil"/>
            </w:tcBorders>
            <w:noWrap w:val="0"/>
            <w:vAlign w:val="top"/>
          </w:tcPr>
          <w:p/>
        </w:tc>
        <w:tc>
          <w:tcPr>
            <w:tcW w:w="1275" w:type="dxa"/>
            <w:vMerge w:val="restart"/>
            <w:noWrap w:val="0"/>
            <w:vAlign w:val="top"/>
          </w:tcPr>
          <w:p>
            <w:pPr>
              <w:pStyle w:val="310"/>
              <w:spacing w:line="324" w:lineRule="auto"/>
              <w:ind w:right="99"/>
              <w:rPr>
                <w:sz w:val="24"/>
                <w:szCs w:val="24"/>
              </w:rPr>
            </w:pPr>
            <w:r>
              <w:rPr>
                <w:sz w:val="24"/>
                <w:szCs w:val="24"/>
              </w:rPr>
              <w:t>综合布控业务</w:t>
            </w:r>
          </w:p>
        </w:tc>
        <w:tc>
          <w:tcPr>
            <w:tcW w:w="1678" w:type="dxa"/>
            <w:noWrap w:val="0"/>
            <w:vAlign w:val="top"/>
          </w:tcPr>
          <w:p>
            <w:pPr>
              <w:pStyle w:val="310"/>
              <w:rPr>
                <w:sz w:val="24"/>
                <w:szCs w:val="24"/>
              </w:rPr>
            </w:pPr>
            <w:r>
              <w:rPr>
                <w:sz w:val="24"/>
                <w:szCs w:val="24"/>
              </w:rPr>
              <w:t>一键综合布控功能</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布控 AI 分析</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智能消息推送</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任务配置管理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restart"/>
            <w:noWrap w:val="0"/>
            <w:vAlign w:val="top"/>
          </w:tcPr>
          <w:p>
            <w:pPr>
              <w:pStyle w:val="310"/>
              <w:rPr>
                <w:sz w:val="24"/>
                <w:szCs w:val="24"/>
              </w:rPr>
            </w:pPr>
            <w:r>
              <w:rPr>
                <w:sz w:val="24"/>
                <w:szCs w:val="24"/>
              </w:rPr>
              <w:t>运维系统</w:t>
            </w:r>
          </w:p>
        </w:tc>
        <w:tc>
          <w:tcPr>
            <w:tcW w:w="1678" w:type="dxa"/>
            <w:noWrap w:val="0"/>
            <w:vAlign w:val="top"/>
          </w:tcPr>
          <w:p>
            <w:pPr>
              <w:pStyle w:val="310"/>
              <w:rPr>
                <w:sz w:val="24"/>
                <w:szCs w:val="24"/>
              </w:rPr>
            </w:pPr>
            <w:r>
              <w:rPr>
                <w:sz w:val="24"/>
                <w:szCs w:val="24"/>
              </w:rPr>
              <w:t>分级权限管理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系统服务管理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系统日志监控</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系统性能监控</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系统健康检测</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异常报警服务</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restart"/>
            <w:noWrap w:val="0"/>
            <w:vAlign w:val="top"/>
          </w:tcPr>
          <w:p>
            <w:pPr>
              <w:pStyle w:val="310"/>
              <w:rPr>
                <w:sz w:val="24"/>
                <w:szCs w:val="24"/>
              </w:rPr>
            </w:pPr>
            <w:r>
              <w:rPr>
                <w:sz w:val="24"/>
                <w:szCs w:val="24"/>
              </w:rPr>
              <w:t>安全保障</w:t>
            </w:r>
          </w:p>
        </w:tc>
        <w:tc>
          <w:tcPr>
            <w:tcW w:w="1678" w:type="dxa"/>
            <w:noWrap w:val="0"/>
            <w:vAlign w:val="top"/>
          </w:tcPr>
          <w:p>
            <w:pPr>
              <w:pStyle w:val="310"/>
              <w:rPr>
                <w:sz w:val="24"/>
                <w:szCs w:val="24"/>
              </w:rPr>
            </w:pPr>
            <w:r>
              <w:rPr>
                <w:sz w:val="24"/>
                <w:szCs w:val="24"/>
              </w:rPr>
              <w:t>密码管理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动态验证</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异常登陆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访问控制</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spacing w:before="40"/>
              <w:rPr>
                <w:sz w:val="24"/>
                <w:szCs w:val="24"/>
              </w:rPr>
            </w:pPr>
            <w:r>
              <w:rPr>
                <w:sz w:val="24"/>
                <w:szCs w:val="24"/>
              </w:rPr>
              <w:t>入侵防范</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042" w:type="dxa"/>
            <w:vMerge w:val="continue"/>
            <w:tcBorders>
              <w:top w:val="nil"/>
            </w:tcBorders>
            <w:noWrap w:val="0"/>
            <w:vAlign w:val="top"/>
          </w:tcPr>
          <w:p/>
        </w:tc>
        <w:tc>
          <w:tcPr>
            <w:tcW w:w="1275" w:type="dxa"/>
            <w:vMerge w:val="continue"/>
            <w:tcBorders>
              <w:top w:val="nil"/>
            </w:tcBorders>
            <w:noWrap w:val="0"/>
            <w:vAlign w:val="top"/>
          </w:tcPr>
          <w:p/>
        </w:tc>
        <w:tc>
          <w:tcPr>
            <w:tcW w:w="1678" w:type="dxa"/>
            <w:noWrap w:val="0"/>
            <w:vAlign w:val="top"/>
          </w:tcPr>
          <w:p>
            <w:pPr>
              <w:pStyle w:val="310"/>
              <w:rPr>
                <w:sz w:val="24"/>
                <w:szCs w:val="24"/>
              </w:rPr>
            </w:pPr>
            <w:r>
              <w:rPr>
                <w:sz w:val="24"/>
                <w:szCs w:val="24"/>
              </w:rPr>
              <w:t>权限管理</w:t>
            </w:r>
          </w:p>
        </w:tc>
        <w:tc>
          <w:tcPr>
            <w:tcW w:w="2897"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1042" w:type="dxa"/>
            <w:noWrap w:val="0"/>
            <w:vAlign w:val="top"/>
          </w:tcPr>
          <w:p>
            <w:pPr>
              <w:pStyle w:val="310"/>
              <w:rPr>
                <w:rFonts w:hint="eastAsia"/>
                <w:sz w:val="24"/>
                <w:szCs w:val="24"/>
              </w:rPr>
            </w:pPr>
            <w:r>
              <w:rPr>
                <w:sz w:val="24"/>
                <w:szCs w:val="24"/>
              </w:rPr>
              <w:t>驻场</w:t>
            </w:r>
            <w:r>
              <w:rPr>
                <w:rFonts w:hint="eastAsia"/>
                <w:sz w:val="24"/>
                <w:szCs w:val="24"/>
              </w:rPr>
              <w:t>人员</w:t>
            </w:r>
          </w:p>
        </w:tc>
        <w:tc>
          <w:tcPr>
            <w:tcW w:w="1275" w:type="dxa"/>
            <w:noWrap w:val="0"/>
            <w:vAlign w:val="top"/>
          </w:tcPr>
          <w:p>
            <w:pPr>
              <w:pStyle w:val="310"/>
              <w:rPr>
                <w:rFonts w:hint="eastAsia"/>
                <w:sz w:val="24"/>
                <w:szCs w:val="24"/>
              </w:rPr>
            </w:pPr>
            <w:r>
              <w:rPr>
                <w:sz w:val="24"/>
                <w:szCs w:val="24"/>
              </w:rPr>
              <w:t>系统</w:t>
            </w:r>
            <w:r>
              <w:rPr>
                <w:rFonts w:hint="eastAsia"/>
                <w:sz w:val="24"/>
                <w:szCs w:val="24"/>
              </w:rPr>
              <w:t>维护</w:t>
            </w:r>
          </w:p>
        </w:tc>
        <w:tc>
          <w:tcPr>
            <w:tcW w:w="1678" w:type="dxa"/>
            <w:noWrap w:val="0"/>
            <w:vAlign w:val="top"/>
          </w:tcPr>
          <w:p>
            <w:pPr>
              <w:pStyle w:val="310"/>
              <w:rPr>
                <w:sz w:val="24"/>
                <w:szCs w:val="24"/>
              </w:rPr>
            </w:pPr>
            <w:r>
              <w:rPr>
                <w:sz w:val="24"/>
                <w:szCs w:val="24"/>
              </w:rPr>
              <w:t>根据业主实际需求</w:t>
            </w:r>
          </w:p>
        </w:tc>
        <w:tc>
          <w:tcPr>
            <w:tcW w:w="2897" w:type="dxa"/>
            <w:noWrap w:val="0"/>
            <w:vAlign w:val="top"/>
          </w:tcPr>
          <w:p>
            <w:pPr>
              <w:pStyle w:val="310"/>
              <w:ind w:left="109"/>
              <w:rPr>
                <w:rFonts w:hint="eastAsia"/>
                <w:sz w:val="24"/>
                <w:szCs w:val="24"/>
                <w:lang w:val="en-US"/>
              </w:rPr>
            </w:pPr>
            <w:r>
              <w:rPr>
                <w:rFonts w:hint="eastAsia"/>
                <w:sz w:val="24"/>
                <w:szCs w:val="24"/>
              </w:rPr>
              <w:t>驻场人员不少于</w:t>
            </w:r>
            <w:r>
              <w:rPr>
                <w:rFonts w:hint="eastAsia"/>
                <w:sz w:val="24"/>
                <w:szCs w:val="24"/>
                <w:lang w:val="en-US"/>
              </w:rPr>
              <w:t>4人，期限5年</w:t>
            </w:r>
          </w:p>
        </w:tc>
      </w:tr>
    </w:tbl>
    <w:p/>
    <w:p>
      <w:pPr>
        <w:pStyle w:val="7"/>
      </w:pPr>
      <w:bookmarkStart w:id="245" w:name="_Toc7753405"/>
      <w:r>
        <w:rPr>
          <w:rFonts w:hint="eastAsia"/>
        </w:rPr>
        <w:t>5.1</w:t>
      </w:r>
      <w:r>
        <w:t>研发人员配置说明</w:t>
      </w:r>
    </w:p>
    <w:p>
      <w:pPr>
        <w:pStyle w:val="3"/>
        <w:ind w:firstLine="480" w:firstLineChars="200"/>
        <w:rPr>
          <w:rFonts w:ascii="宋体" w:hAnsi="宋体" w:cs="宋体"/>
          <w:bCs w:val="0"/>
          <w:lang w:val="zh-CN" w:eastAsia="zh-CN" w:bidi="zh-CN"/>
        </w:rPr>
      </w:pPr>
      <w:r>
        <w:rPr>
          <w:rFonts w:ascii="宋体" w:hAnsi="宋体" w:cs="宋体"/>
          <w:bCs w:val="0"/>
          <w:lang w:val="zh-CN" w:eastAsia="zh-CN" w:bidi="zh-CN"/>
        </w:rPr>
        <w:t>考虑到此次定制系统的业务先进性与复杂性，特对研发人员配置等</w:t>
      </w:r>
      <w:r>
        <w:rPr>
          <w:rFonts w:hint="eastAsia" w:ascii="宋体" w:hAnsi="宋体" w:cs="宋体"/>
          <w:bCs w:val="0"/>
          <w:lang w:val="zh-CN" w:eastAsia="zh-CN" w:bidi="zh-CN"/>
        </w:rPr>
        <w:t>应达到</w:t>
      </w:r>
      <w:r>
        <w:rPr>
          <w:rFonts w:ascii="宋体" w:hAnsi="宋体" w:cs="宋体"/>
          <w:bCs w:val="0"/>
          <w:lang w:val="zh-CN" w:eastAsia="zh-CN" w:bidi="zh-CN"/>
        </w:rPr>
        <w:t>如下要求：</w:t>
      </w:r>
    </w:p>
    <w:p>
      <w:pPr>
        <w:pStyle w:val="298"/>
        <w:tabs>
          <w:tab w:val="left" w:pos="540"/>
          <w:tab w:val="left" w:pos="541"/>
        </w:tabs>
        <w:spacing w:line="417" w:lineRule="auto"/>
        <w:ind w:right="105" w:firstLine="720" w:firstLineChars="300"/>
        <w:rPr>
          <w:rFonts w:cs="宋体"/>
          <w:lang w:val="zh-CN" w:bidi="zh-CN"/>
        </w:rPr>
      </w:pPr>
      <w:r>
        <w:rPr>
          <w:rFonts w:hint="eastAsia" w:cs="宋体"/>
          <w:lang w:val="zh-CN" w:bidi="zh-CN"/>
        </w:rPr>
        <w:t>1）</w:t>
      </w:r>
      <w:r>
        <w:rPr>
          <w:rFonts w:cs="宋体"/>
          <w:lang w:val="zh-CN" w:bidi="zh-CN"/>
        </w:rPr>
        <w:t>技术带头人应为博导教授以上职称、研究方向为计算机、信息工程或人工智能相关领域， 并在国际顶级期刊或顶级会议中有若干重要论文成果发表，人数一人</w:t>
      </w:r>
      <w:r>
        <w:rPr>
          <w:rFonts w:hint="eastAsia" w:cs="宋体"/>
          <w:lang w:val="zh-CN" w:bidi="zh-CN"/>
        </w:rPr>
        <w:t>，提供</w:t>
      </w:r>
      <w:r>
        <w:rPr>
          <w:rFonts w:cs="宋体"/>
          <w:lang w:val="zh-CN" w:bidi="zh-CN"/>
        </w:rPr>
        <w:t>相关证明</w:t>
      </w:r>
      <w:r>
        <w:rPr>
          <w:rFonts w:hint="eastAsia" w:cs="宋体"/>
          <w:lang w:val="zh-CN" w:bidi="zh-CN"/>
        </w:rPr>
        <w:t>备查</w:t>
      </w:r>
      <w:r>
        <w:rPr>
          <w:rFonts w:cs="宋体"/>
          <w:lang w:val="zh-CN" w:bidi="zh-CN"/>
        </w:rPr>
        <w:t>。</w:t>
      </w:r>
    </w:p>
    <w:p>
      <w:pPr>
        <w:pStyle w:val="298"/>
        <w:tabs>
          <w:tab w:val="left" w:pos="540"/>
          <w:tab w:val="left" w:pos="541"/>
        </w:tabs>
        <w:spacing w:line="417" w:lineRule="auto"/>
        <w:ind w:right="105" w:firstLine="720" w:firstLineChars="300"/>
        <w:rPr>
          <w:rFonts w:cs="宋体"/>
          <w:lang w:val="zh-CN" w:bidi="zh-CN"/>
        </w:rPr>
      </w:pPr>
      <w:r>
        <w:rPr>
          <w:rFonts w:hint="eastAsia" w:cs="宋体"/>
          <w:lang w:val="zh-CN" w:bidi="zh-CN"/>
        </w:rPr>
        <w:t>2）</w:t>
      </w:r>
      <w:r>
        <w:rPr>
          <w:rFonts w:cs="宋体"/>
          <w:lang w:val="zh-CN" w:bidi="zh-CN"/>
        </w:rPr>
        <w:t>基础算法模型开发人员应具有博士学位，且专业为为计算机、信息工程或人工智能相关理工科领域，人数不少于三人，</w:t>
      </w:r>
      <w:r>
        <w:rPr>
          <w:rFonts w:hint="eastAsia" w:cs="宋体"/>
          <w:lang w:val="zh-CN" w:bidi="zh-CN"/>
        </w:rPr>
        <w:t>提供</w:t>
      </w:r>
      <w:r>
        <w:rPr>
          <w:rFonts w:cs="宋体"/>
          <w:lang w:val="zh-CN" w:bidi="zh-CN"/>
        </w:rPr>
        <w:t>相关证明</w:t>
      </w:r>
      <w:r>
        <w:rPr>
          <w:rFonts w:hint="eastAsia" w:cs="宋体"/>
          <w:lang w:val="zh-CN" w:bidi="zh-CN"/>
        </w:rPr>
        <w:t>原件备查</w:t>
      </w:r>
      <w:r>
        <w:rPr>
          <w:rFonts w:cs="宋体"/>
          <w:lang w:val="zh-CN" w:bidi="zh-CN"/>
        </w:rPr>
        <w:t>。</w:t>
      </w:r>
    </w:p>
    <w:p>
      <w:pPr>
        <w:pStyle w:val="298"/>
        <w:tabs>
          <w:tab w:val="left" w:pos="540"/>
          <w:tab w:val="left" w:pos="541"/>
        </w:tabs>
        <w:spacing w:line="417" w:lineRule="auto"/>
        <w:ind w:right="105" w:firstLine="720" w:firstLineChars="300"/>
        <w:rPr>
          <w:rFonts w:cs="宋体"/>
          <w:lang w:val="zh-CN" w:bidi="zh-CN"/>
        </w:rPr>
      </w:pPr>
      <w:r>
        <w:rPr>
          <w:rFonts w:hint="eastAsia" w:cs="宋体"/>
          <w:lang w:val="zh-CN" w:bidi="zh-CN"/>
        </w:rPr>
        <w:t>3）</w:t>
      </w:r>
      <w:r>
        <w:rPr>
          <w:rFonts w:cs="宋体"/>
          <w:lang w:val="zh-CN" w:bidi="zh-CN"/>
        </w:rPr>
        <w:t>业务开发人员应具有硕士以上学位，且专业为计算机、信息工程或人工智能相关理工科领域，人数不少于五人人，</w:t>
      </w:r>
      <w:r>
        <w:rPr>
          <w:rFonts w:hint="eastAsia" w:cs="宋体"/>
          <w:lang w:val="zh-CN" w:bidi="zh-CN"/>
        </w:rPr>
        <w:t>提供</w:t>
      </w:r>
      <w:r>
        <w:rPr>
          <w:rFonts w:cs="宋体"/>
          <w:lang w:val="zh-CN" w:bidi="zh-CN"/>
        </w:rPr>
        <w:t>相关证明</w:t>
      </w:r>
      <w:r>
        <w:rPr>
          <w:rFonts w:hint="eastAsia" w:cs="宋体"/>
          <w:lang w:val="zh-CN" w:bidi="zh-CN"/>
        </w:rPr>
        <w:t>原件备查</w:t>
      </w:r>
      <w:r>
        <w:rPr>
          <w:rFonts w:cs="宋体"/>
          <w:lang w:val="zh-CN" w:bidi="zh-CN"/>
        </w:rPr>
        <w:t>。</w:t>
      </w:r>
    </w:p>
    <w:p>
      <w:pPr>
        <w:spacing w:line="417" w:lineRule="auto"/>
        <w:rPr>
          <w:sz w:val="21"/>
        </w:rPr>
        <w:sectPr>
          <w:pgSz w:w="11910" w:h="16840"/>
          <w:pgMar w:top="1420" w:right="1580" w:bottom="280" w:left="1680" w:header="720" w:footer="720" w:gutter="0"/>
          <w:cols w:space="720" w:num="1"/>
        </w:sectPr>
      </w:pPr>
    </w:p>
    <w:p>
      <w:pPr>
        <w:pStyle w:val="7"/>
      </w:pPr>
      <w:r>
        <w:rPr>
          <w:rFonts w:hint="eastAsia"/>
        </w:rPr>
        <w:t>5.2</w:t>
      </w:r>
      <w:r>
        <w:t>开发环境及工具要求</w:t>
      </w:r>
    </w:p>
    <w:p>
      <w:pPr>
        <w:pStyle w:val="3"/>
        <w:ind w:left="540"/>
      </w:pPr>
      <w:r>
        <w:t>为确保整个开发过程安全可控，对开发环境及工具做如下要求：</w:t>
      </w:r>
    </w:p>
    <w:p>
      <w:pPr>
        <w:pStyle w:val="7"/>
        <w:tabs>
          <w:tab w:val="left" w:pos="1111"/>
          <w:tab w:val="left" w:pos="1112"/>
        </w:tabs>
        <w:spacing w:before="0" w:after="0" w:line="240" w:lineRule="auto"/>
      </w:pPr>
      <w:r>
        <w:rPr>
          <w:rFonts w:hint="eastAsia" w:eastAsia="宋体"/>
        </w:rPr>
        <w:t>5.2.1</w:t>
      </w:r>
      <w:r>
        <w:t>系统环境</w:t>
      </w:r>
    </w:p>
    <w:p>
      <w:pPr>
        <w:pStyle w:val="3"/>
        <w:spacing w:before="169"/>
        <w:ind w:firstLine="480" w:firstLineChars="200"/>
      </w:pPr>
      <w:r>
        <w:t>所有开发环境均基于 linux 系统，推荐 Ubuntu 16.04.5</w:t>
      </w:r>
    </w:p>
    <w:p>
      <w:pPr>
        <w:pStyle w:val="7"/>
        <w:tabs>
          <w:tab w:val="left" w:pos="1111"/>
          <w:tab w:val="left" w:pos="1112"/>
        </w:tabs>
        <w:spacing w:before="0" w:after="0" w:line="240" w:lineRule="auto"/>
      </w:pPr>
      <w:r>
        <w:rPr>
          <w:rFonts w:hint="eastAsia" w:eastAsia="宋体"/>
        </w:rPr>
        <w:t>5.2.2</w:t>
      </w:r>
      <w:r>
        <w:t>开发环境</w:t>
      </w:r>
    </w:p>
    <w:p>
      <w:pPr>
        <w:pStyle w:val="3"/>
        <w:spacing w:before="1"/>
        <w:ind w:firstLine="480" w:firstLineChars="200"/>
      </w:pPr>
      <w:r>
        <w:t>系统开发环境应采用以下工具或技术</w:t>
      </w:r>
    </w:p>
    <w:p>
      <w:pPr>
        <w:pStyle w:val="298"/>
        <w:numPr>
          <w:ilvl w:val="0"/>
          <w:numId w:val="8"/>
        </w:numPr>
        <w:tabs>
          <w:tab w:val="left" w:pos="1800"/>
          <w:tab w:val="left" w:pos="1801"/>
        </w:tabs>
        <w:spacing w:before="43"/>
        <w:ind w:firstLine="420"/>
        <w:rPr>
          <w:sz w:val="21"/>
        </w:rPr>
      </w:pPr>
      <w:r>
        <w:rPr>
          <w:sz w:val="21"/>
        </w:rPr>
        <w:t>node.js</w:t>
      </w:r>
    </w:p>
    <w:p>
      <w:pPr>
        <w:pStyle w:val="298"/>
        <w:numPr>
          <w:ilvl w:val="0"/>
          <w:numId w:val="8"/>
        </w:numPr>
        <w:tabs>
          <w:tab w:val="left" w:pos="1800"/>
          <w:tab w:val="left" w:pos="1801"/>
        </w:tabs>
        <w:spacing w:before="42"/>
        <w:ind w:firstLine="420"/>
        <w:rPr>
          <w:sz w:val="21"/>
        </w:rPr>
      </w:pPr>
      <w:r>
        <w:rPr>
          <w:sz w:val="21"/>
        </w:rPr>
        <w:t>kafka</w:t>
      </w:r>
    </w:p>
    <w:p>
      <w:pPr>
        <w:pStyle w:val="298"/>
        <w:numPr>
          <w:ilvl w:val="0"/>
          <w:numId w:val="8"/>
        </w:numPr>
        <w:tabs>
          <w:tab w:val="left" w:pos="1800"/>
          <w:tab w:val="left" w:pos="1801"/>
        </w:tabs>
        <w:spacing w:before="43"/>
        <w:ind w:firstLine="420"/>
        <w:rPr>
          <w:sz w:val="21"/>
        </w:rPr>
      </w:pPr>
      <w:r>
        <w:rPr>
          <w:sz w:val="21"/>
        </w:rPr>
        <w:t>zookeeper</w:t>
      </w:r>
    </w:p>
    <w:p>
      <w:pPr>
        <w:pStyle w:val="298"/>
        <w:numPr>
          <w:ilvl w:val="0"/>
          <w:numId w:val="8"/>
        </w:numPr>
        <w:tabs>
          <w:tab w:val="left" w:pos="1800"/>
          <w:tab w:val="left" w:pos="1801"/>
        </w:tabs>
        <w:spacing w:before="43"/>
        <w:ind w:firstLine="420"/>
        <w:rPr>
          <w:sz w:val="21"/>
        </w:rPr>
      </w:pPr>
      <w:r>
        <w:rPr>
          <w:sz w:val="21"/>
        </w:rPr>
        <w:t>jdk-8u192-linux-x64</w:t>
      </w:r>
    </w:p>
    <w:p>
      <w:pPr>
        <w:pStyle w:val="7"/>
        <w:tabs>
          <w:tab w:val="left" w:pos="1111"/>
          <w:tab w:val="left" w:pos="1112"/>
        </w:tabs>
        <w:spacing w:before="141" w:after="0" w:line="240" w:lineRule="auto"/>
      </w:pPr>
      <w:r>
        <w:rPr>
          <w:rFonts w:hint="eastAsia" w:eastAsia="宋体"/>
        </w:rPr>
        <w:t>5.2.3</w:t>
      </w:r>
      <w:r>
        <w:t>系统框架</w:t>
      </w:r>
    </w:p>
    <w:p>
      <w:pPr>
        <w:pStyle w:val="3"/>
        <w:ind w:firstLine="480" w:firstLineChars="200"/>
      </w:pPr>
      <w:r>
        <w:t>系统开发框架应采用以下工具或技术</w:t>
      </w:r>
    </w:p>
    <w:p>
      <w:pPr>
        <w:pStyle w:val="298"/>
        <w:numPr>
          <w:ilvl w:val="0"/>
          <w:numId w:val="9"/>
        </w:numPr>
        <w:tabs>
          <w:tab w:val="left" w:pos="1800"/>
          <w:tab w:val="left" w:pos="1801"/>
        </w:tabs>
        <w:spacing w:before="43"/>
        <w:ind w:firstLine="420"/>
        <w:rPr>
          <w:sz w:val="21"/>
        </w:rPr>
      </w:pPr>
      <w:r>
        <w:rPr>
          <w:sz w:val="21"/>
        </w:rPr>
        <w:t>vue.js</w:t>
      </w:r>
    </w:p>
    <w:p>
      <w:pPr>
        <w:pStyle w:val="298"/>
        <w:numPr>
          <w:ilvl w:val="0"/>
          <w:numId w:val="9"/>
        </w:numPr>
        <w:tabs>
          <w:tab w:val="left" w:pos="1800"/>
          <w:tab w:val="left" w:pos="1801"/>
        </w:tabs>
        <w:spacing w:before="43"/>
        <w:ind w:firstLine="420"/>
        <w:rPr>
          <w:sz w:val="21"/>
        </w:rPr>
      </w:pPr>
      <w:r>
        <w:rPr>
          <w:sz w:val="21"/>
        </w:rPr>
        <w:t>Maven</w:t>
      </w:r>
    </w:p>
    <w:p>
      <w:pPr>
        <w:pStyle w:val="298"/>
        <w:numPr>
          <w:ilvl w:val="0"/>
          <w:numId w:val="9"/>
        </w:numPr>
        <w:tabs>
          <w:tab w:val="left" w:pos="1800"/>
          <w:tab w:val="left" w:pos="1801"/>
        </w:tabs>
        <w:spacing w:before="43"/>
        <w:ind w:firstLine="420"/>
        <w:rPr>
          <w:sz w:val="21"/>
        </w:rPr>
      </w:pPr>
      <w:r>
        <w:rPr>
          <w:sz w:val="21"/>
        </w:rPr>
        <w:t>Springboot</w:t>
      </w:r>
    </w:p>
    <w:p>
      <w:pPr>
        <w:pStyle w:val="298"/>
        <w:numPr>
          <w:ilvl w:val="0"/>
          <w:numId w:val="9"/>
        </w:numPr>
        <w:tabs>
          <w:tab w:val="left" w:pos="1800"/>
          <w:tab w:val="left" w:pos="1801"/>
        </w:tabs>
        <w:spacing w:before="43"/>
        <w:ind w:firstLine="420"/>
        <w:rPr>
          <w:sz w:val="21"/>
        </w:rPr>
      </w:pPr>
      <w:r>
        <w:rPr>
          <w:sz w:val="21"/>
        </w:rPr>
        <w:t>Mybatis</w:t>
      </w:r>
    </w:p>
    <w:p>
      <w:pPr>
        <w:pStyle w:val="298"/>
        <w:numPr>
          <w:ilvl w:val="0"/>
          <w:numId w:val="9"/>
        </w:numPr>
        <w:tabs>
          <w:tab w:val="left" w:pos="1800"/>
          <w:tab w:val="left" w:pos="1801"/>
        </w:tabs>
        <w:spacing w:before="43"/>
        <w:ind w:firstLine="420"/>
        <w:rPr>
          <w:sz w:val="21"/>
        </w:rPr>
      </w:pPr>
      <w:r>
        <w:rPr>
          <w:sz w:val="21"/>
        </w:rPr>
        <w:t>Elasticsearch</w:t>
      </w:r>
    </w:p>
    <w:p>
      <w:pPr>
        <w:pStyle w:val="298"/>
        <w:numPr>
          <w:ilvl w:val="0"/>
          <w:numId w:val="9"/>
        </w:numPr>
        <w:tabs>
          <w:tab w:val="left" w:pos="1800"/>
          <w:tab w:val="left" w:pos="1801"/>
        </w:tabs>
        <w:spacing w:before="43"/>
        <w:ind w:firstLine="420"/>
        <w:rPr>
          <w:sz w:val="21"/>
        </w:rPr>
      </w:pPr>
      <w:r>
        <w:rPr>
          <w:sz w:val="21"/>
        </w:rPr>
        <w:t>Shiro</w:t>
      </w:r>
    </w:p>
    <w:p>
      <w:pPr>
        <w:pStyle w:val="298"/>
        <w:numPr>
          <w:ilvl w:val="0"/>
          <w:numId w:val="9"/>
        </w:numPr>
        <w:tabs>
          <w:tab w:val="left" w:pos="1800"/>
          <w:tab w:val="left" w:pos="1801"/>
        </w:tabs>
        <w:spacing w:before="43"/>
        <w:ind w:firstLine="420"/>
        <w:rPr>
          <w:sz w:val="21"/>
        </w:rPr>
      </w:pPr>
      <w:r>
        <w:rPr>
          <w:sz w:val="21"/>
        </w:rPr>
        <w:t>Opencv</w:t>
      </w:r>
    </w:p>
    <w:p>
      <w:pPr>
        <w:pStyle w:val="298"/>
        <w:numPr>
          <w:ilvl w:val="0"/>
          <w:numId w:val="9"/>
        </w:numPr>
        <w:tabs>
          <w:tab w:val="left" w:pos="1800"/>
          <w:tab w:val="left" w:pos="1801"/>
        </w:tabs>
        <w:spacing w:before="43"/>
        <w:ind w:firstLine="420"/>
        <w:rPr>
          <w:sz w:val="21"/>
        </w:rPr>
      </w:pPr>
      <w:r>
        <w:rPr>
          <w:sz w:val="21"/>
        </w:rPr>
        <w:t>Pytorch</w:t>
      </w:r>
    </w:p>
    <w:p>
      <w:pPr>
        <w:pStyle w:val="298"/>
        <w:numPr>
          <w:ilvl w:val="0"/>
          <w:numId w:val="9"/>
        </w:numPr>
        <w:tabs>
          <w:tab w:val="left" w:pos="1800"/>
          <w:tab w:val="left" w:pos="1801"/>
        </w:tabs>
        <w:spacing w:before="43"/>
        <w:ind w:firstLine="420"/>
        <w:rPr>
          <w:rFonts w:ascii="Times New Roman"/>
          <w:sz w:val="21"/>
        </w:rPr>
      </w:pPr>
      <w:r>
        <w:rPr>
          <w:sz w:val="21"/>
        </w:rPr>
        <w:t>Faiss</w:t>
      </w:r>
    </w:p>
    <w:p>
      <w:pPr>
        <w:pStyle w:val="7"/>
        <w:tabs>
          <w:tab w:val="left" w:pos="1111"/>
          <w:tab w:val="left" w:pos="1112"/>
        </w:tabs>
        <w:spacing w:before="0" w:after="0" w:line="240" w:lineRule="auto"/>
      </w:pPr>
      <w:r>
        <w:rPr>
          <w:rFonts w:hint="eastAsia" w:eastAsia="宋体"/>
        </w:rPr>
        <w:t>5.2.4</w:t>
      </w:r>
      <w:r>
        <w:t>数据库</w:t>
      </w:r>
    </w:p>
    <w:p>
      <w:pPr>
        <w:pStyle w:val="3"/>
        <w:spacing w:line="278" w:lineRule="auto"/>
        <w:ind w:right="182" w:firstLine="480" w:firstLineChars="200"/>
      </w:pPr>
      <w:r>
        <w:t>数据库应选用符合本次项目建设需要并考虑后期海量数据扩容的相关产品，推荐选用 Mongodb.</w:t>
      </w:r>
    </w:p>
    <w:p>
      <w:pPr>
        <w:pStyle w:val="7"/>
        <w:tabs>
          <w:tab w:val="left" w:pos="1111"/>
          <w:tab w:val="left" w:pos="1112"/>
        </w:tabs>
        <w:spacing w:before="154" w:after="0" w:line="240" w:lineRule="auto"/>
      </w:pPr>
      <w:r>
        <w:rPr>
          <w:rFonts w:hint="eastAsia" w:eastAsia="宋体"/>
        </w:rPr>
        <w:t>5.2.5</w:t>
      </w:r>
      <w:r>
        <w:t>开发工具</w:t>
      </w:r>
    </w:p>
    <w:p>
      <w:pPr>
        <w:pStyle w:val="3"/>
        <w:spacing w:line="278" w:lineRule="auto"/>
        <w:ind w:right="213" w:firstLine="452" w:firstLineChars="200"/>
      </w:pPr>
      <w:r>
        <w:rPr>
          <w:spacing w:val="-7"/>
        </w:rPr>
        <w:t xml:space="preserve">所有开发工作均应在 </w:t>
      </w:r>
      <w:r>
        <w:t>linux</w:t>
      </w:r>
      <w:r>
        <w:rPr>
          <w:spacing w:val="-13"/>
        </w:rPr>
        <w:t xml:space="preserve"> 环境下进行，开发工具采用商业化或开源工具，不得</w:t>
      </w:r>
      <w:r>
        <w:rPr>
          <w:spacing w:val="-6"/>
        </w:rPr>
        <w:t>使用非法授权工具。</w:t>
      </w:r>
    </w:p>
    <w:p>
      <w:pPr>
        <w:spacing w:line="278" w:lineRule="auto"/>
        <w:sectPr>
          <w:pgSz w:w="11910" w:h="16840"/>
          <w:pgMar w:top="1580" w:right="1580" w:bottom="280" w:left="1680" w:header="720" w:footer="720" w:gutter="0"/>
          <w:cols w:space="720" w:num="1"/>
        </w:sectPr>
      </w:pPr>
    </w:p>
    <w:p>
      <w:pPr>
        <w:pStyle w:val="7"/>
      </w:pPr>
      <w:r>
        <w:rPr>
          <w:rFonts w:hint="eastAsia"/>
        </w:rPr>
        <w:t>5.3</w:t>
      </w:r>
      <w:r>
        <w:t>版权说明</w:t>
      </w:r>
    </w:p>
    <w:p>
      <w:pPr>
        <w:pStyle w:val="3"/>
        <w:widowControl w:val="0"/>
        <w:spacing w:line="360" w:lineRule="auto"/>
        <w:ind w:left="539"/>
        <w:rPr>
          <w:rFonts w:hint="eastAsia"/>
        </w:rPr>
      </w:pPr>
      <w:r>
        <w:t>针对定制开发的软件及其成果，做如下约定</w:t>
      </w:r>
      <w:r>
        <w:rPr>
          <w:rFonts w:hint="eastAsia"/>
        </w:rPr>
        <w:t>：</w:t>
      </w:r>
    </w:p>
    <w:p>
      <w:pPr>
        <w:pStyle w:val="298"/>
        <w:widowControl w:val="0"/>
        <w:tabs>
          <w:tab w:val="left" w:pos="540"/>
          <w:tab w:val="left" w:pos="541"/>
        </w:tabs>
        <w:spacing w:line="360" w:lineRule="auto"/>
        <w:ind w:left="480" w:leftChars="200" w:firstLine="0" w:firstLineChars="0"/>
      </w:pPr>
      <w:r>
        <w:rPr>
          <w:rFonts w:hint="eastAsia"/>
          <w:spacing w:val="-3"/>
        </w:rPr>
        <w:t>1）</w:t>
      </w:r>
      <w:r>
        <w:rPr>
          <w:spacing w:val="-3"/>
        </w:rPr>
        <w:t>系统开发及应用期间的数据需严格管理，严禁流出及扩散。</w:t>
      </w:r>
    </w:p>
    <w:p>
      <w:pPr>
        <w:pStyle w:val="298"/>
        <w:widowControl w:val="0"/>
        <w:tabs>
          <w:tab w:val="left" w:pos="540"/>
          <w:tab w:val="left" w:pos="541"/>
        </w:tabs>
        <w:spacing w:before="1" w:line="360" w:lineRule="auto"/>
        <w:ind w:left="480" w:leftChars="200" w:firstLine="0" w:firstLineChars="0"/>
      </w:pPr>
      <w:r>
        <w:rPr>
          <w:rFonts w:hint="eastAsia"/>
          <w:spacing w:val="-3"/>
        </w:rPr>
        <w:t>2）</w:t>
      </w:r>
      <w:r>
        <w:rPr>
          <w:spacing w:val="-3"/>
        </w:rPr>
        <w:t>系统算法及代码版权归建设方所有，使用权为平阳公安所有</w:t>
      </w:r>
      <w:r>
        <w:rPr>
          <w:rFonts w:hint="eastAsia"/>
          <w:spacing w:val="-3"/>
        </w:rPr>
        <w:t>。</w:t>
      </w:r>
    </w:p>
    <w:p>
      <w:pPr>
        <w:pStyle w:val="7"/>
      </w:pPr>
      <w:r>
        <w:rPr>
          <w:rFonts w:hint="eastAsia"/>
        </w:rPr>
        <w:t>5.4</w:t>
      </w:r>
      <w:r>
        <w:t>代码审计与安全</w:t>
      </w:r>
    </w:p>
    <w:p>
      <w:pPr>
        <w:pStyle w:val="298"/>
        <w:tabs>
          <w:tab w:val="left" w:pos="540"/>
          <w:tab w:val="left" w:pos="541"/>
        </w:tabs>
        <w:spacing w:line="417" w:lineRule="auto"/>
        <w:ind w:right="211" w:firstLine="444"/>
      </w:pPr>
      <w:r>
        <w:rPr>
          <w:rFonts w:hint="eastAsia"/>
          <w:spacing w:val="-9"/>
        </w:rPr>
        <w:t>1）</w:t>
      </w:r>
      <w:r>
        <w:rPr>
          <w:spacing w:val="-9"/>
        </w:rPr>
        <w:t>为确保系统及代码的稳定性，在项目建设和维护期间，建设方应在业主方设立的代码托</w:t>
      </w:r>
      <w:r>
        <w:rPr>
          <w:spacing w:val="-5"/>
        </w:rPr>
        <w:t>管服务器上存放项目相应代码，托管服务器的使用归建设方单独所有。</w:t>
      </w:r>
    </w:p>
    <w:p>
      <w:pPr>
        <w:pStyle w:val="298"/>
        <w:tabs>
          <w:tab w:val="left" w:pos="540"/>
          <w:tab w:val="left" w:pos="541"/>
        </w:tabs>
        <w:spacing w:line="417" w:lineRule="auto"/>
        <w:ind w:right="211" w:firstLine="440"/>
      </w:pPr>
      <w:r>
        <w:rPr>
          <w:rFonts w:hint="eastAsia"/>
          <w:spacing w:val="-10"/>
        </w:rPr>
        <w:t>2）</w:t>
      </w:r>
      <w:r>
        <w:rPr>
          <w:spacing w:val="-10"/>
        </w:rPr>
        <w:t>在项目建设和维护期间，业主方因安全检查及审计原因需要进行代码检查时，建设方应</w:t>
      </w:r>
      <w:r>
        <w:rPr>
          <w:spacing w:val="-32"/>
        </w:rPr>
        <w:t xml:space="preserve">在 </w:t>
      </w:r>
      <w:r>
        <w:t>2</w:t>
      </w:r>
      <w:r>
        <w:rPr>
          <w:spacing w:val="-9"/>
        </w:rPr>
        <w:t xml:space="preserve"> 小时内到达现场进行配合。</w:t>
      </w:r>
    </w:p>
    <w:p>
      <w:pPr>
        <w:pStyle w:val="298"/>
        <w:tabs>
          <w:tab w:val="left" w:pos="540"/>
          <w:tab w:val="left" w:pos="541"/>
        </w:tabs>
        <w:spacing w:line="417" w:lineRule="auto"/>
        <w:ind w:right="211" w:firstLine="448"/>
      </w:pPr>
      <w:r>
        <w:rPr>
          <w:rFonts w:hint="eastAsia"/>
          <w:spacing w:val="-8"/>
        </w:rPr>
        <w:t>3）</w:t>
      </w:r>
      <w:r>
        <w:rPr>
          <w:spacing w:val="-8"/>
        </w:rPr>
        <w:t>业主方所有代码检查及审计工作，均在代码托管服务器上单独完成，在此期间除重大安</w:t>
      </w:r>
      <w:r>
        <w:rPr>
          <w:spacing w:val="-5"/>
        </w:rPr>
        <w:t>全或有明确问题需解决外，现场所有人员不得记录、复制、拍摄相关工作内容。</w:t>
      </w:r>
    </w:p>
    <w:p>
      <w:pPr>
        <w:pStyle w:val="298"/>
        <w:tabs>
          <w:tab w:val="left" w:pos="541"/>
        </w:tabs>
        <w:spacing w:line="417" w:lineRule="auto"/>
        <w:ind w:right="211" w:firstLine="444"/>
        <w:jc w:val="both"/>
      </w:pPr>
      <w:r>
        <w:rPr>
          <w:rFonts w:hint="eastAsia"/>
          <w:spacing w:val="-9"/>
        </w:rPr>
        <w:t>4）</w:t>
      </w:r>
      <w:r>
        <w:rPr>
          <w:spacing w:val="-9"/>
        </w:rPr>
        <w:t>托管服务器应进行物理隔离，不得接入任何有线、无线网络，不得接入任何存储设备或</w:t>
      </w:r>
      <w:r>
        <w:rPr>
          <w:spacing w:val="-12"/>
        </w:rPr>
        <w:t>服务，非建设方负责人和业主方负责人共同允许，任何人不得在托管服务器内安装任何</w:t>
      </w:r>
      <w:r>
        <w:rPr>
          <w:spacing w:val="-6"/>
        </w:rPr>
        <w:t>硬件及软件。</w:t>
      </w:r>
    </w:p>
    <w:p>
      <w:pPr>
        <w:pStyle w:val="7"/>
        <w:rPr>
          <w:rFonts w:hint="eastAsia"/>
        </w:rPr>
      </w:pPr>
      <w:r>
        <w:rPr>
          <w:rFonts w:hint="eastAsia"/>
        </w:rPr>
        <w:t>5.5系统软件要求</w:t>
      </w:r>
    </w:p>
    <w:p>
      <w:pPr>
        <w:spacing w:line="360" w:lineRule="auto"/>
        <w:ind w:left="360" w:firstLine="480" w:firstLineChars="200"/>
        <w:jc w:val="both"/>
        <w:textAlignment w:val="baseline"/>
        <w:rPr>
          <w:rFonts w:ascii="仿宋" w:hAnsi="仿宋" w:eastAsia="仿宋"/>
          <w:color w:val="000000"/>
        </w:rPr>
      </w:pPr>
      <w:r>
        <w:rPr>
          <w:rFonts w:hint="eastAsia" w:ascii="仿宋" w:hAnsi="仿宋" w:eastAsia="仿宋"/>
          <w:color w:val="000000"/>
        </w:rPr>
        <w:t>1）</w:t>
      </w:r>
      <w:r>
        <w:rPr>
          <w:rFonts w:ascii="仿宋" w:hAnsi="仿宋" w:eastAsia="仿宋"/>
          <w:color w:val="000000"/>
        </w:rPr>
        <w:t>满足操作上的方便性、维护上的简便性和使用上的灵活高效性。</w:t>
      </w:r>
    </w:p>
    <w:p>
      <w:pPr>
        <w:spacing w:line="360" w:lineRule="auto"/>
        <w:ind w:left="360" w:firstLine="480" w:firstLineChars="200"/>
        <w:jc w:val="both"/>
        <w:textAlignment w:val="baseline"/>
        <w:rPr>
          <w:rFonts w:ascii="仿宋" w:hAnsi="仿宋" w:eastAsia="仿宋"/>
          <w:color w:val="000000"/>
        </w:rPr>
      </w:pPr>
      <w:bookmarkStart w:id="246" w:name="_Toc395338482"/>
      <w:bookmarkStart w:id="247" w:name="_Toc395338208"/>
      <w:bookmarkStart w:id="248" w:name="_Toc395338394"/>
      <w:r>
        <w:rPr>
          <w:rFonts w:hint="eastAsia" w:ascii="仿宋" w:hAnsi="仿宋" w:eastAsia="仿宋"/>
          <w:color w:val="000000"/>
        </w:rPr>
        <w:t>2）</w:t>
      </w:r>
      <w:r>
        <w:rPr>
          <w:rFonts w:ascii="仿宋" w:hAnsi="仿宋" w:eastAsia="仿宋"/>
          <w:color w:val="000000"/>
        </w:rPr>
        <w:t>能够对安全事件进行详细的记录，并根据需要随时进行查阅。系统能够及时发现系统的安全隐患，并据此提供必要的解决方案。</w:t>
      </w:r>
    </w:p>
    <w:p>
      <w:pPr>
        <w:spacing w:line="360" w:lineRule="auto"/>
        <w:ind w:left="360" w:firstLine="480" w:firstLineChars="200"/>
        <w:jc w:val="both"/>
        <w:textAlignment w:val="baseline"/>
        <w:rPr>
          <w:rFonts w:ascii="仿宋" w:hAnsi="仿宋" w:eastAsia="仿宋"/>
          <w:color w:val="000000"/>
        </w:rPr>
      </w:pPr>
      <w:r>
        <w:rPr>
          <w:rFonts w:hint="eastAsia" w:ascii="仿宋" w:hAnsi="仿宋" w:eastAsia="仿宋"/>
          <w:color w:val="000000"/>
        </w:rPr>
        <w:t>3）系统软件各业务子系统呈现页面</w:t>
      </w:r>
      <w:r>
        <w:rPr>
          <w:rFonts w:ascii="仿宋" w:hAnsi="仿宋" w:eastAsia="仿宋"/>
          <w:color w:val="000000"/>
        </w:rPr>
        <w:t>应有一致的格式和布局</w:t>
      </w:r>
      <w:r>
        <w:rPr>
          <w:rFonts w:hint="eastAsia" w:ascii="仿宋" w:hAnsi="仿宋" w:eastAsia="仿宋"/>
          <w:color w:val="000000"/>
        </w:rPr>
        <w:t>，</w:t>
      </w:r>
      <w:r>
        <w:rPr>
          <w:rFonts w:ascii="仿宋" w:hAnsi="仿宋" w:eastAsia="仿宋"/>
          <w:color w:val="000000"/>
        </w:rPr>
        <w:t>用户界面应该是友好的，</w:t>
      </w:r>
      <w:r>
        <w:rPr>
          <w:rFonts w:hint="eastAsia" w:ascii="仿宋" w:hAnsi="仿宋" w:eastAsia="仿宋"/>
          <w:color w:val="000000"/>
        </w:rPr>
        <w:t>具备</w:t>
      </w:r>
      <w:r>
        <w:rPr>
          <w:rFonts w:ascii="仿宋" w:hAnsi="仿宋" w:eastAsia="仿宋"/>
          <w:color w:val="000000"/>
        </w:rPr>
        <w:t>多种的导入导出输出格式。</w:t>
      </w:r>
    </w:p>
    <w:p>
      <w:pPr>
        <w:spacing w:line="360" w:lineRule="auto"/>
        <w:ind w:left="360" w:firstLine="480" w:firstLineChars="200"/>
        <w:jc w:val="both"/>
        <w:textAlignment w:val="baseline"/>
        <w:rPr>
          <w:rFonts w:ascii="仿宋" w:hAnsi="仿宋" w:eastAsia="仿宋"/>
          <w:color w:val="000000"/>
        </w:rPr>
      </w:pPr>
      <w:r>
        <w:rPr>
          <w:rFonts w:hint="eastAsia" w:ascii="仿宋" w:hAnsi="仿宋" w:eastAsia="仿宋"/>
          <w:color w:val="000000"/>
        </w:rPr>
        <w:t>4）系统软件应</w:t>
      </w:r>
      <w:r>
        <w:rPr>
          <w:rFonts w:ascii="仿宋" w:hAnsi="仿宋" w:eastAsia="仿宋"/>
          <w:color w:val="000000"/>
        </w:rPr>
        <w:t>有较快的响应速度。</w:t>
      </w:r>
    </w:p>
    <w:p>
      <w:pPr>
        <w:spacing w:line="360" w:lineRule="auto"/>
        <w:ind w:left="360" w:firstLine="480" w:firstLineChars="200"/>
        <w:jc w:val="both"/>
        <w:textAlignment w:val="baseline"/>
        <w:rPr>
          <w:rFonts w:ascii="仿宋" w:hAnsi="仿宋" w:eastAsia="仿宋"/>
          <w:color w:val="000000"/>
        </w:rPr>
      </w:pPr>
      <w:r>
        <w:rPr>
          <w:rFonts w:hint="eastAsia" w:ascii="仿宋" w:hAnsi="仿宋" w:eastAsia="仿宋"/>
          <w:color w:val="000000"/>
        </w:rPr>
        <w:t>5）系统软件</w:t>
      </w:r>
      <w:r>
        <w:rPr>
          <w:rFonts w:ascii="仿宋" w:hAnsi="仿宋" w:eastAsia="仿宋"/>
          <w:color w:val="000000"/>
        </w:rPr>
        <w:t>应该具有很好的操作度，统一界面下应具有统一操作方法、录入的各类信息可以在系统中充分共享等。</w:t>
      </w:r>
    </w:p>
    <w:p>
      <w:pPr>
        <w:spacing w:line="360" w:lineRule="auto"/>
        <w:ind w:left="360" w:firstLine="480" w:firstLineChars="200"/>
        <w:jc w:val="both"/>
        <w:textAlignment w:val="baseline"/>
        <w:rPr>
          <w:rFonts w:ascii="仿宋" w:hAnsi="仿宋" w:eastAsia="仿宋"/>
          <w:color w:val="000000"/>
        </w:rPr>
      </w:pPr>
      <w:r>
        <w:rPr>
          <w:rFonts w:hint="eastAsia" w:ascii="仿宋" w:hAnsi="仿宋" w:eastAsia="仿宋"/>
          <w:color w:val="000000"/>
        </w:rPr>
        <w:t>6）</w:t>
      </w:r>
      <w:r>
        <w:rPr>
          <w:rFonts w:ascii="仿宋" w:hAnsi="仿宋" w:eastAsia="仿宋"/>
          <w:color w:val="000000"/>
        </w:rPr>
        <w:t>系统软件应该具有高可靠性，主要包括以下几个方面：</w:t>
      </w:r>
    </w:p>
    <w:bookmarkEnd w:id="246"/>
    <w:bookmarkEnd w:id="247"/>
    <w:bookmarkEnd w:id="248"/>
    <w:p>
      <w:pPr>
        <w:numPr>
          <w:ilvl w:val="0"/>
          <w:numId w:val="10"/>
        </w:numPr>
        <w:spacing w:line="360" w:lineRule="auto"/>
        <w:jc w:val="both"/>
        <w:rPr>
          <w:rFonts w:ascii="仿宋" w:hAnsi="仿宋" w:eastAsia="仿宋"/>
          <w:color w:val="000000"/>
        </w:rPr>
      </w:pPr>
      <w:r>
        <w:rPr>
          <w:rFonts w:ascii="仿宋" w:hAnsi="仿宋" w:eastAsia="仿宋"/>
          <w:color w:val="000000"/>
        </w:rPr>
        <w:t>软件系统必须保证质量，并在</w:t>
      </w:r>
      <w:r>
        <w:rPr>
          <w:rFonts w:hint="eastAsia" w:ascii="仿宋" w:hAnsi="仿宋" w:eastAsia="仿宋"/>
          <w:color w:val="000000"/>
        </w:rPr>
        <w:t>正式上线</w:t>
      </w:r>
      <w:r>
        <w:rPr>
          <w:rFonts w:ascii="仿宋" w:hAnsi="仿宋" w:eastAsia="仿宋"/>
          <w:color w:val="000000"/>
        </w:rPr>
        <w:t>前经过完全测试。</w:t>
      </w:r>
    </w:p>
    <w:p>
      <w:pPr>
        <w:numPr>
          <w:ilvl w:val="0"/>
          <w:numId w:val="10"/>
        </w:numPr>
        <w:spacing w:line="360" w:lineRule="auto"/>
        <w:jc w:val="both"/>
        <w:rPr>
          <w:rFonts w:ascii="仿宋" w:hAnsi="仿宋" w:eastAsia="仿宋"/>
          <w:color w:val="000000"/>
        </w:rPr>
      </w:pPr>
      <w:r>
        <w:rPr>
          <w:rFonts w:ascii="仿宋" w:hAnsi="仿宋" w:eastAsia="仿宋"/>
          <w:color w:val="000000"/>
        </w:rPr>
        <w:t>采用可靠性高的数据库操作平台，确保事务处理和数据库的完整性。</w:t>
      </w:r>
    </w:p>
    <w:p>
      <w:pPr>
        <w:numPr>
          <w:ilvl w:val="0"/>
          <w:numId w:val="10"/>
        </w:numPr>
        <w:spacing w:line="360" w:lineRule="auto"/>
        <w:jc w:val="both"/>
        <w:rPr>
          <w:rFonts w:ascii="仿宋" w:hAnsi="仿宋" w:eastAsia="仿宋"/>
          <w:color w:val="000000"/>
        </w:rPr>
      </w:pPr>
      <w:r>
        <w:rPr>
          <w:rFonts w:ascii="仿宋" w:hAnsi="仿宋" w:eastAsia="仿宋"/>
          <w:color w:val="000000"/>
        </w:rPr>
        <w:t>系统应具备自动报警功能，以提醒系统管理员避免出现系统崩溃等严重事件。</w:t>
      </w:r>
    </w:p>
    <w:p>
      <w:pPr>
        <w:numPr>
          <w:ilvl w:val="0"/>
          <w:numId w:val="10"/>
        </w:numPr>
        <w:spacing w:line="360" w:lineRule="auto"/>
        <w:jc w:val="both"/>
        <w:rPr>
          <w:rFonts w:ascii="仿宋" w:hAnsi="仿宋" w:eastAsia="仿宋"/>
          <w:color w:val="000000"/>
        </w:rPr>
      </w:pPr>
      <w:r>
        <w:rPr>
          <w:rFonts w:ascii="仿宋" w:hAnsi="仿宋" w:eastAsia="仿宋"/>
          <w:color w:val="000000"/>
        </w:rPr>
        <w:t>系统没有明显和可能导致严重后果的错误。</w:t>
      </w:r>
    </w:p>
    <w:p>
      <w:pPr>
        <w:numPr>
          <w:ilvl w:val="0"/>
          <w:numId w:val="10"/>
        </w:numPr>
        <w:spacing w:line="360" w:lineRule="auto"/>
        <w:jc w:val="both"/>
        <w:rPr>
          <w:rFonts w:ascii="仿宋" w:hAnsi="仿宋" w:eastAsia="仿宋"/>
          <w:color w:val="000000"/>
        </w:rPr>
      </w:pPr>
      <w:r>
        <w:rPr>
          <w:rFonts w:ascii="仿宋" w:hAnsi="仿宋" w:eastAsia="仿宋"/>
          <w:color w:val="000000"/>
        </w:rPr>
        <w:t>系统应可长期稳定运行，不会因长期使用或负载过高导致系统故障。</w:t>
      </w:r>
      <w:bookmarkEnd w:id="245"/>
    </w:p>
    <w:p>
      <w:pPr>
        <w:rPr>
          <w:rFonts w:ascii="仿宋" w:hAnsi="仿宋" w:eastAsia="仿宋"/>
        </w:rPr>
      </w:pPr>
    </w:p>
    <w:p>
      <w:pPr>
        <w:widowControl w:val="0"/>
        <w:numPr>
          <w:ilvl w:val="0"/>
          <w:numId w:val="11"/>
        </w:numPr>
        <w:tabs>
          <w:tab w:val="left" w:pos="360"/>
        </w:tabs>
        <w:spacing w:line="460" w:lineRule="exact"/>
        <w:jc w:val="both"/>
        <w:rPr>
          <w:rFonts w:hint="eastAsia" w:ascii="新宋体" w:hAnsi="新宋体" w:eastAsia="新宋体" w:cs="新宋体"/>
          <w:b/>
          <w:sz w:val="22"/>
          <w:szCs w:val="22"/>
          <w:u w:val="single"/>
        </w:rPr>
      </w:pPr>
      <w:r>
        <w:rPr>
          <w:rFonts w:hint="eastAsia" w:ascii="新宋体" w:hAnsi="新宋体" w:eastAsia="新宋体" w:cs="新宋体"/>
          <w:b/>
          <w:sz w:val="22"/>
          <w:szCs w:val="22"/>
        </w:rPr>
        <w:t>总体要求</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1、投标人必须具备整体系统的设计能力，在审核招标文件过程中发现设备数量、参数指标不匹配或无法达到招标文件的总体要求，必须以书面形式向招标人提出合理化建议。本招标文件所列设备清单为基准清单，投标人中标后要根据实际点位环境、系统要求、所投设备的性能指标配合招标人作进一步的细化设计，细化设计与基准清单不符的，以细化设计为准并按照规定要求办理变更手续，以确保整体系统效果能符合实际需求。</w:t>
      </w:r>
    </w:p>
    <w:p>
      <w:pPr>
        <w:spacing w:line="460" w:lineRule="exact"/>
        <w:ind w:firstLine="539" w:firstLineChars="245"/>
        <w:rPr>
          <w:rFonts w:hint="eastAsia" w:ascii="新宋体" w:hAnsi="新宋体" w:eastAsia="新宋体" w:cs="新宋体"/>
          <w:b/>
          <w:sz w:val="22"/>
          <w:szCs w:val="22"/>
          <w:u w:val="single"/>
        </w:rPr>
      </w:pPr>
      <w:r>
        <w:rPr>
          <w:rFonts w:hint="eastAsia" w:ascii="新宋体" w:hAnsi="新宋体" w:eastAsia="新宋体" w:cs="新宋体"/>
          <w:bCs/>
          <w:sz w:val="22"/>
          <w:szCs w:val="22"/>
        </w:rPr>
        <w:t>2、招标的设备所涉及的产品标准、规范，验收标准、规范，应符合国家有关条例及规范，如：如有新的标准应采纳新标准，如是国外相应标准应征得采购人认可。</w:t>
      </w:r>
      <w:r>
        <w:rPr>
          <w:rFonts w:hint="eastAsia" w:ascii="新宋体" w:hAnsi="新宋体" w:eastAsia="新宋体" w:cs="新宋体"/>
          <w:b/>
          <w:sz w:val="22"/>
          <w:szCs w:val="22"/>
          <w:u w:val="single"/>
        </w:rPr>
        <w:t>必须兼容平阳县公安局现有视频监控系统及设备，必须符合《温州市安全防范视频监控联网系统信息传输交换控制技术要求》，能够与平阳县公安局视频监控平台无缝对接，平台对接若遇所有有技术性和费用问题由中标方自行解决。</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3、所投产品的应详细列明投标设备的所有技术指标（包括所投产品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4、投标人应根据招标文件所提出的技术规格、参数、数量和服务要求，综合考虑货物的适应性，选择具有最佳性能价格比的货物前来报价。希望投标人以精良的货物、优良的服务和优惠的价格，充分显示自身的竞争实力。</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5、投标人所投产品及主要部件的名称、品牌、型号、技术参数、性能、数量、单价、合价、厂商、产地、质保期等应在投标文件中明确，对招标文件的技术条款及要求应予以实质性响应，如有偏离应在偏离表中注明。对于设备列表中所列的设备指标与服务说明均为基本、关键性指标，所有指标必须为实标参数，支持随时随机抽检。如在查阅招标文件发现因目前技术限制无法满足或者严重偏离客观实际的，必须向招标人提出质疑，不得以任何行业规则、惯例、成本等原因不实质响应招标文件内容或者为响应招标文件虚标设备参数，对于认为文字描述不够具体或者意思表达不是很清楚的可以向招标人咨询，对于所提供产品的实际技术指标不确定的，中标人必须先自行检测。</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7、如招标文件中遗漏了必须具备的设备、配件或服务，请投标人在投标文件中指出，并提出解决方案供采购人、采购机构参考；中标人有义务保证采购人系统的完整性，如项目实施过程中因缺少设备、配件或服务导致采购人系统无法正常运行，中标人须承诺免费提供。</w:t>
      </w:r>
    </w:p>
    <w:p>
      <w:pPr>
        <w:spacing w:line="460" w:lineRule="exact"/>
        <w:ind w:firstLine="539" w:firstLineChars="245"/>
        <w:rPr>
          <w:rFonts w:hint="eastAsia" w:ascii="新宋体" w:hAnsi="新宋体" w:eastAsia="新宋体" w:cs="新宋体"/>
          <w:bCs/>
          <w:sz w:val="22"/>
          <w:szCs w:val="22"/>
        </w:rPr>
      </w:pPr>
      <w:r>
        <w:rPr>
          <w:rFonts w:hint="eastAsia" w:ascii="新宋体" w:hAnsi="新宋体" w:eastAsia="新宋体" w:cs="新宋体"/>
          <w:bCs/>
          <w:sz w:val="22"/>
          <w:szCs w:val="22"/>
        </w:rPr>
        <w:t>8、此项目整体（包括所有设备及服务）保修5年，投标人在保修期间应严格按照相关标准及双方的约定做好维保服务工作，如服务未能达到考核要求，招标人有权要求投标人更换维保人员并接受由招标人选择维保人员。</w:t>
      </w:r>
    </w:p>
    <w:p>
      <w:pPr>
        <w:spacing w:line="460" w:lineRule="exact"/>
        <w:ind w:firstLine="541" w:firstLineChars="245"/>
        <w:rPr>
          <w:rFonts w:hint="eastAsia" w:ascii="新宋体" w:hAnsi="新宋体" w:eastAsia="新宋体" w:cs="新宋体"/>
          <w:bCs/>
          <w:sz w:val="22"/>
          <w:szCs w:val="22"/>
        </w:rPr>
      </w:pPr>
      <w:r>
        <w:rPr>
          <w:rFonts w:hint="eastAsia" w:ascii="新宋体" w:hAnsi="新宋体" w:eastAsia="新宋体" w:cs="新宋体"/>
          <w:b/>
          <w:sz w:val="22"/>
          <w:szCs w:val="22"/>
          <w:u w:val="single"/>
        </w:rPr>
        <w:t>10、在商务标中必须明确列出产品、维保等费用的详细报价。</w:t>
      </w:r>
    </w:p>
    <w:p>
      <w:pPr>
        <w:spacing w:line="460" w:lineRule="exact"/>
        <w:ind w:firstLine="539" w:firstLineChars="245"/>
        <w:rPr>
          <w:rFonts w:hint="eastAsia" w:ascii="新宋体" w:hAnsi="新宋体" w:eastAsia="新宋体" w:cs="新宋体"/>
          <w:b/>
          <w:sz w:val="22"/>
          <w:szCs w:val="22"/>
          <w:u w:val="single"/>
        </w:rPr>
      </w:pPr>
      <w:r>
        <w:rPr>
          <w:rFonts w:hint="eastAsia" w:ascii="新宋体" w:hAnsi="新宋体" w:eastAsia="新宋体" w:cs="新宋体"/>
          <w:bCs/>
          <w:sz w:val="22"/>
          <w:szCs w:val="22"/>
        </w:rPr>
        <w:t xml:space="preserve"> </w:t>
      </w:r>
      <w:r>
        <w:rPr>
          <w:rFonts w:hint="eastAsia" w:ascii="新宋体" w:hAnsi="新宋体" w:eastAsia="新宋体" w:cs="新宋体"/>
          <w:b/>
          <w:sz w:val="22"/>
          <w:szCs w:val="22"/>
          <w:u w:val="single"/>
        </w:rPr>
        <w:t>投标人的报价明显高于其市场报价或低于成本价的，应要求该投标人书面说明并提供相关证明材料。该投标人不能合理说明原因并提供证明材料的，评审小组应将该投标人的采购响应文件作无效处理。</w:t>
      </w:r>
    </w:p>
    <w:p>
      <w:pPr>
        <w:spacing w:line="480" w:lineRule="auto"/>
        <w:ind w:firstLine="660" w:firstLineChars="300"/>
        <w:rPr>
          <w:rFonts w:hint="eastAsia" w:ascii="新宋体" w:hAnsi="新宋体" w:eastAsia="新宋体" w:cs="新宋体"/>
          <w:bCs/>
          <w:sz w:val="22"/>
          <w:szCs w:val="22"/>
        </w:rPr>
      </w:pPr>
      <w:r>
        <w:rPr>
          <w:rFonts w:hint="eastAsia" w:ascii="新宋体" w:hAnsi="新宋体" w:eastAsia="新宋体" w:cs="新宋体"/>
          <w:bCs/>
          <w:sz w:val="22"/>
          <w:szCs w:val="22"/>
        </w:rPr>
        <w:t>11.采购清单1</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887"/>
        <w:gridCol w:w="818"/>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shd w:val="clear" w:color="000000" w:fill="FFFFFF"/>
            <w:noWrap w:val="0"/>
            <w:vAlign w:val="center"/>
          </w:tcPr>
          <w:p>
            <w:pPr>
              <w:rPr>
                <w:rFonts w:ascii="仿宋" w:hAnsi="仿宋" w:eastAsia="仿宋"/>
                <w:b/>
                <w:bCs/>
                <w:szCs w:val="21"/>
              </w:rPr>
            </w:pPr>
            <w:r>
              <w:rPr>
                <w:rFonts w:hint="eastAsia" w:ascii="仿宋" w:hAnsi="仿宋" w:eastAsia="仿宋"/>
                <w:b/>
                <w:bCs/>
                <w:szCs w:val="21"/>
              </w:rPr>
              <w:t>设备名称</w:t>
            </w:r>
          </w:p>
        </w:tc>
        <w:tc>
          <w:tcPr>
            <w:tcW w:w="5887" w:type="dxa"/>
            <w:shd w:val="clear" w:color="000000" w:fill="FFFFFF"/>
            <w:noWrap w:val="0"/>
            <w:vAlign w:val="center"/>
          </w:tcPr>
          <w:p>
            <w:pPr>
              <w:jc w:val="center"/>
              <w:rPr>
                <w:rFonts w:ascii="仿宋" w:hAnsi="仿宋" w:eastAsia="仿宋"/>
                <w:b/>
                <w:bCs/>
                <w:szCs w:val="21"/>
              </w:rPr>
            </w:pPr>
            <w:r>
              <w:rPr>
                <w:rFonts w:hint="eastAsia" w:ascii="仿宋" w:hAnsi="仿宋" w:eastAsia="仿宋"/>
                <w:b/>
                <w:bCs/>
                <w:szCs w:val="21"/>
              </w:rPr>
              <w:t>主要参数</w:t>
            </w:r>
          </w:p>
        </w:tc>
        <w:tc>
          <w:tcPr>
            <w:tcW w:w="818" w:type="dxa"/>
            <w:shd w:val="clear" w:color="000000" w:fill="FFFFFF"/>
            <w:noWrap w:val="0"/>
            <w:vAlign w:val="top"/>
          </w:tcPr>
          <w:p>
            <w:pPr>
              <w:jc w:val="center"/>
              <w:rPr>
                <w:rFonts w:ascii="仿宋" w:hAnsi="仿宋" w:eastAsia="仿宋"/>
                <w:b/>
                <w:bCs/>
                <w:szCs w:val="21"/>
              </w:rPr>
            </w:pPr>
            <w:r>
              <w:rPr>
                <w:rFonts w:hint="eastAsia" w:ascii="仿宋" w:hAnsi="仿宋" w:eastAsia="仿宋"/>
                <w:b/>
                <w:bCs/>
                <w:szCs w:val="21"/>
              </w:rPr>
              <w:t>数量</w:t>
            </w:r>
          </w:p>
        </w:tc>
        <w:tc>
          <w:tcPr>
            <w:tcW w:w="818" w:type="dxa"/>
            <w:shd w:val="clear" w:color="000000" w:fill="FFFFFF"/>
            <w:noWrap w:val="0"/>
            <w:vAlign w:val="top"/>
          </w:tcPr>
          <w:p>
            <w:pPr>
              <w:jc w:val="center"/>
              <w:rPr>
                <w:rFonts w:ascii="仿宋" w:hAnsi="仿宋" w:eastAsia="仿宋"/>
                <w:b/>
                <w:bCs/>
                <w:szCs w:val="21"/>
              </w:rPr>
            </w:pPr>
            <w:r>
              <w:rPr>
                <w:rFonts w:hint="eastAsia" w:ascii="仿宋" w:hAnsi="仿宋" w:eastAsia="仿宋"/>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shd w:val="clear" w:color="000000" w:fill="FFFFFF"/>
            <w:noWrap w:val="0"/>
            <w:vAlign w:val="center"/>
          </w:tcPr>
          <w:p>
            <w:pPr>
              <w:jc w:val="center"/>
              <w:rPr>
                <w:rFonts w:ascii="仿宋" w:hAnsi="仿宋" w:eastAsia="仿宋"/>
              </w:rPr>
            </w:pPr>
            <w:r>
              <w:rPr>
                <w:rFonts w:hint="eastAsia" w:ascii="仿宋" w:hAnsi="仿宋" w:eastAsia="仿宋"/>
              </w:rPr>
              <w:t>管理</w:t>
            </w:r>
          </w:p>
          <w:p>
            <w:pPr>
              <w:jc w:val="center"/>
              <w:rPr>
                <w:rFonts w:ascii="仿宋" w:hAnsi="仿宋" w:eastAsia="仿宋"/>
                <w:bCs/>
                <w:szCs w:val="21"/>
              </w:rPr>
            </w:pPr>
            <w:r>
              <w:rPr>
                <w:rFonts w:hint="eastAsia" w:ascii="仿宋" w:hAnsi="仿宋" w:eastAsia="仿宋"/>
              </w:rPr>
              <w:t>服务器</w:t>
            </w:r>
          </w:p>
        </w:tc>
        <w:tc>
          <w:tcPr>
            <w:tcW w:w="5887" w:type="dxa"/>
            <w:shd w:val="clear" w:color="000000" w:fill="FFFFFF"/>
            <w:noWrap w:val="0"/>
            <w:vAlign w:val="center"/>
          </w:tcPr>
          <w:p>
            <w:pPr>
              <w:spacing w:line="360" w:lineRule="auto"/>
              <w:rPr>
                <w:rFonts w:ascii="仿宋" w:hAnsi="仿宋"/>
                <w:bCs/>
                <w:szCs w:val="21"/>
              </w:rPr>
            </w:pPr>
            <w:r>
              <w:rPr>
                <w:rFonts w:hint="eastAsia" w:ascii="仿宋" w:hAnsi="仿宋" w:eastAsia="仿宋"/>
                <w:bCs/>
                <w:szCs w:val="21"/>
              </w:rPr>
              <w:t>1、国内自主品牌服务器，非OEM产品。</w:t>
            </w:r>
          </w:p>
          <w:p>
            <w:pPr>
              <w:spacing w:line="360" w:lineRule="auto"/>
              <w:rPr>
                <w:rFonts w:ascii="仿宋" w:hAnsi="仿宋" w:eastAsia="仿宋"/>
                <w:bCs/>
                <w:szCs w:val="21"/>
              </w:rPr>
            </w:pPr>
            <w:r>
              <w:rPr>
                <w:rFonts w:hint="eastAsia" w:ascii="仿宋" w:hAnsi="仿宋" w:eastAsia="仿宋"/>
                <w:bCs/>
                <w:szCs w:val="21"/>
              </w:rPr>
              <w:t>2、标准2U机架式服务器，配置安装导轨；</w:t>
            </w:r>
          </w:p>
          <w:p>
            <w:pPr>
              <w:spacing w:line="360" w:lineRule="auto"/>
              <w:rPr>
                <w:rFonts w:ascii="仿宋" w:hAnsi="仿宋" w:eastAsia="仿宋"/>
                <w:bCs/>
                <w:szCs w:val="21"/>
              </w:rPr>
            </w:pPr>
            <w:r>
              <w:rPr>
                <w:rFonts w:hint="eastAsia" w:ascii="仿宋" w:hAnsi="仿宋" w:eastAsia="仿宋"/>
                <w:bCs/>
                <w:szCs w:val="21"/>
              </w:rPr>
              <w:t>3、支持两颗英特尔</w:t>
            </w:r>
            <w:r>
              <w:rPr>
                <w:rFonts w:ascii="Calibri" w:eastAsia="仿宋" w:cs="Calibri"/>
                <w:bCs/>
                <w:szCs w:val="21"/>
              </w:rPr>
              <w:t>®</w:t>
            </w:r>
            <w:r>
              <w:rPr>
                <w:rFonts w:ascii="仿宋" w:hAnsi="仿宋" w:eastAsia="仿宋"/>
                <w:bCs/>
                <w:szCs w:val="21"/>
              </w:rPr>
              <w:t xml:space="preserve"> </w:t>
            </w:r>
            <w:r>
              <w:rPr>
                <w:rFonts w:hint="eastAsia" w:ascii="仿宋" w:hAnsi="仿宋" w:eastAsia="仿宋"/>
                <w:bCs/>
                <w:szCs w:val="21"/>
              </w:rPr>
              <w:t>至强</w:t>
            </w:r>
            <w:r>
              <w:rPr>
                <w:rFonts w:ascii="Calibri" w:eastAsia="仿宋" w:cs="Calibri"/>
                <w:bCs/>
                <w:szCs w:val="21"/>
              </w:rPr>
              <w:t>®</w:t>
            </w:r>
            <w:r>
              <w:rPr>
                <w:rFonts w:ascii="仿宋" w:hAnsi="仿宋" w:eastAsia="仿宋"/>
                <w:bCs/>
                <w:szCs w:val="21"/>
              </w:rPr>
              <w:t xml:space="preserve"> </w:t>
            </w:r>
            <w:r>
              <w:rPr>
                <w:rFonts w:hint="eastAsia" w:ascii="仿宋" w:hAnsi="仿宋" w:eastAsia="仿宋"/>
                <w:bCs/>
                <w:szCs w:val="21"/>
              </w:rPr>
              <w:t>可扩展系列处理器；</w:t>
            </w:r>
          </w:p>
          <w:p>
            <w:pPr>
              <w:spacing w:line="360" w:lineRule="auto"/>
              <w:ind w:firstLine="240" w:firstLineChars="100"/>
              <w:rPr>
                <w:rFonts w:ascii="仿宋" w:hAnsi="仿宋" w:eastAsia="仿宋"/>
                <w:bCs/>
                <w:szCs w:val="21"/>
              </w:rPr>
            </w:pPr>
            <w:r>
              <w:rPr>
                <w:rFonts w:hint="eastAsia" w:ascii="仿宋" w:hAnsi="仿宋" w:eastAsia="仿宋"/>
                <w:bCs/>
                <w:szCs w:val="21"/>
              </w:rPr>
              <w:t>配置2颗</w:t>
            </w:r>
            <w:r>
              <w:rPr>
                <w:rFonts w:ascii="仿宋" w:hAnsi="仿宋" w:eastAsia="仿宋"/>
                <w:bCs/>
                <w:szCs w:val="21"/>
              </w:rPr>
              <w:t>Intel XEON Silver 4114 10C/20T 2.2GHz 13.75M 85W</w:t>
            </w:r>
            <w:r>
              <w:rPr>
                <w:rFonts w:hint="eastAsia" w:ascii="仿宋" w:hAnsi="仿宋" w:eastAsia="仿宋"/>
                <w:bCs/>
                <w:szCs w:val="21"/>
              </w:rPr>
              <w:t>处理器。</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 xml:space="preserve">4、最大支持8 DIMM插槽, </w:t>
            </w:r>
            <w:r>
              <w:rPr>
                <w:rFonts w:hint="eastAsia" w:ascii="仿宋" w:hAnsi="仿宋" w:eastAsia="仿宋"/>
                <w:szCs w:val="21"/>
              </w:rPr>
              <w:t>支持2666MHz DDR4的RDIMM内存 ，最大支持1 TB</w:t>
            </w:r>
            <w:r>
              <w:rPr>
                <w:rFonts w:hint="eastAsia" w:ascii="仿宋" w:hAnsi="仿宋" w:eastAsia="仿宋"/>
                <w:bCs/>
                <w:szCs w:val="21"/>
              </w:rPr>
              <w:t>；</w:t>
            </w:r>
          </w:p>
          <w:p>
            <w:pPr>
              <w:spacing w:line="360" w:lineRule="auto"/>
              <w:ind w:firstLine="240" w:firstLineChars="100"/>
              <w:rPr>
                <w:rFonts w:ascii="仿宋" w:hAnsi="仿宋" w:eastAsia="仿宋"/>
                <w:bCs/>
                <w:szCs w:val="21"/>
              </w:rPr>
            </w:pPr>
            <w:r>
              <w:rPr>
                <w:rFonts w:hint="eastAsia" w:ascii="仿宋" w:hAnsi="仿宋" w:eastAsia="仿宋"/>
                <w:bCs/>
                <w:szCs w:val="21"/>
              </w:rPr>
              <w:t>配置8条16GB/DDR4/2666 MHz/ECC/REG内存</w:t>
            </w:r>
          </w:p>
          <w:p>
            <w:pPr>
              <w:spacing w:line="360" w:lineRule="auto"/>
              <w:ind w:left="600" w:hanging="600" w:hangingChars="250"/>
              <w:rPr>
                <w:rFonts w:ascii="仿宋" w:hAnsi="仿宋" w:eastAsia="仿宋"/>
                <w:szCs w:val="21"/>
              </w:rPr>
            </w:pPr>
            <w:r>
              <w:rPr>
                <w:rFonts w:hint="eastAsia" w:ascii="仿宋" w:hAnsi="仿宋" w:eastAsia="仿宋"/>
                <w:bCs/>
                <w:szCs w:val="21"/>
              </w:rPr>
              <w:t>5、硬盘位扩展：</w:t>
            </w:r>
            <w:r>
              <w:rPr>
                <w:rFonts w:hint="eastAsia" w:ascii="仿宋" w:hAnsi="仿宋" w:eastAsia="仿宋"/>
                <w:szCs w:val="21"/>
              </w:rPr>
              <w:t>支持</w:t>
            </w:r>
            <w:r>
              <w:rPr>
                <w:rFonts w:ascii="仿宋" w:hAnsi="仿宋" w:eastAsia="仿宋"/>
                <w:szCs w:val="21"/>
              </w:rPr>
              <w:t>8</w:t>
            </w:r>
            <w:r>
              <w:rPr>
                <w:rFonts w:hint="eastAsia" w:ascii="仿宋" w:hAnsi="仿宋" w:eastAsia="仿宋"/>
                <w:szCs w:val="21"/>
              </w:rPr>
              <w:t>个</w:t>
            </w:r>
            <w:r>
              <w:rPr>
                <w:rFonts w:ascii="仿宋" w:hAnsi="仿宋" w:eastAsia="仿宋"/>
                <w:szCs w:val="21"/>
              </w:rPr>
              <w:t>3.5</w:t>
            </w:r>
            <w:r>
              <w:rPr>
                <w:rFonts w:hint="eastAsia" w:ascii="仿宋" w:hAnsi="仿宋" w:eastAsia="仿宋"/>
                <w:szCs w:val="21"/>
              </w:rPr>
              <w:t>”</w:t>
            </w:r>
            <w:r>
              <w:rPr>
                <w:rFonts w:ascii="仿宋" w:hAnsi="仿宋" w:eastAsia="仿宋"/>
                <w:szCs w:val="21"/>
              </w:rPr>
              <w:t>/2.5</w:t>
            </w:r>
            <w:r>
              <w:rPr>
                <w:rFonts w:hint="eastAsia" w:ascii="仿宋" w:hAnsi="仿宋" w:eastAsia="仿宋"/>
                <w:szCs w:val="21"/>
              </w:rPr>
              <w:t>”</w:t>
            </w:r>
            <w:r>
              <w:rPr>
                <w:rFonts w:ascii="仿宋" w:hAnsi="仿宋" w:eastAsia="仿宋"/>
                <w:szCs w:val="21"/>
              </w:rPr>
              <w:t xml:space="preserve"> SATA/SAS/SSD</w:t>
            </w:r>
            <w:r>
              <w:rPr>
                <w:rFonts w:hint="eastAsia" w:ascii="仿宋" w:hAnsi="仿宋" w:eastAsia="仿宋"/>
                <w:szCs w:val="21"/>
              </w:rPr>
              <w:t>硬盘，可内置两个</w:t>
            </w:r>
            <w:r>
              <w:rPr>
                <w:rFonts w:ascii="仿宋" w:hAnsi="仿宋" w:eastAsia="仿宋"/>
                <w:szCs w:val="21"/>
              </w:rPr>
              <w:t>2.5</w:t>
            </w:r>
            <w:r>
              <w:rPr>
                <w:rFonts w:hint="eastAsia" w:ascii="仿宋" w:hAnsi="仿宋" w:eastAsia="仿宋"/>
                <w:szCs w:val="21"/>
              </w:rPr>
              <w:t>”</w:t>
            </w:r>
            <w:r>
              <w:rPr>
                <w:rFonts w:ascii="仿宋" w:hAnsi="仿宋" w:eastAsia="仿宋"/>
                <w:szCs w:val="21"/>
              </w:rPr>
              <w:t xml:space="preserve"> SATA/SAS/SSD</w:t>
            </w:r>
            <w:r>
              <w:rPr>
                <w:rFonts w:hint="eastAsia" w:ascii="仿宋" w:hAnsi="仿宋" w:eastAsia="仿宋"/>
                <w:szCs w:val="21"/>
              </w:rPr>
              <w:t>硬盘，最大支持存储容量68</w:t>
            </w:r>
            <w:r>
              <w:rPr>
                <w:rFonts w:ascii="仿宋" w:hAnsi="仿宋" w:eastAsia="仿宋"/>
                <w:szCs w:val="21"/>
              </w:rPr>
              <w:t>TB，</w:t>
            </w:r>
            <w:r>
              <w:rPr>
                <w:rFonts w:hint="eastAsia" w:ascii="仿宋" w:hAnsi="仿宋" w:eastAsia="仿宋"/>
                <w:szCs w:val="21"/>
              </w:rPr>
              <w:t>支持1个PCI-E</w:t>
            </w:r>
            <w:r>
              <w:rPr>
                <w:rFonts w:ascii="仿宋" w:hAnsi="仿宋" w:eastAsia="仿宋"/>
                <w:szCs w:val="21"/>
              </w:rPr>
              <w:t xml:space="preserve"> M.2 SSD</w:t>
            </w:r>
            <w:r>
              <w:rPr>
                <w:rFonts w:hint="eastAsia" w:ascii="仿宋" w:hAnsi="仿宋" w:eastAsia="仿宋"/>
                <w:szCs w:val="21"/>
              </w:rPr>
              <w:t>；</w:t>
            </w:r>
          </w:p>
          <w:p>
            <w:pPr>
              <w:spacing w:line="360" w:lineRule="auto"/>
              <w:ind w:firstLine="240" w:firstLineChars="100"/>
              <w:rPr>
                <w:rFonts w:ascii="仿宋" w:hAnsi="仿宋" w:eastAsia="仿宋"/>
                <w:bCs/>
                <w:szCs w:val="21"/>
              </w:rPr>
            </w:pPr>
            <w:r>
              <w:rPr>
                <w:rFonts w:hint="eastAsia" w:ascii="仿宋" w:hAnsi="仿宋" w:eastAsia="仿宋"/>
                <w:bCs/>
                <w:szCs w:val="21"/>
              </w:rPr>
              <w:t xml:space="preserve">配置2块Intel/SSD/DC/S4600/S4610 Series(960GB,2.5寸 SATA 6Gb/s ,3D Nand,TLC)                                          </w:t>
            </w:r>
          </w:p>
          <w:p>
            <w:pPr>
              <w:spacing w:line="360" w:lineRule="auto"/>
              <w:rPr>
                <w:rFonts w:ascii="仿宋" w:hAnsi="仿宋" w:eastAsia="仿宋"/>
                <w:szCs w:val="21"/>
              </w:rPr>
            </w:pPr>
            <w:r>
              <w:rPr>
                <w:rFonts w:hint="eastAsia" w:ascii="仿宋" w:hAnsi="仿宋" w:eastAsia="仿宋"/>
                <w:bCs/>
                <w:szCs w:val="21"/>
              </w:rPr>
              <w:t>6、</w:t>
            </w:r>
            <w:r>
              <w:rPr>
                <w:rFonts w:hint="eastAsia" w:ascii="仿宋" w:hAnsi="仿宋" w:eastAsia="仿宋"/>
                <w:szCs w:val="21"/>
              </w:rPr>
              <w:t>支持SATA RAID0、1、10、5，可选配支持SAS RAID0、1、10、5、50、6、60等，RAID 无缓存/1GB/2GB缓存，可选缓存掉电保护；</w:t>
            </w:r>
          </w:p>
          <w:p>
            <w:pPr>
              <w:spacing w:line="360" w:lineRule="auto"/>
              <w:rPr>
                <w:rFonts w:ascii="仿宋" w:hAnsi="仿宋" w:eastAsia="仿宋"/>
                <w:bCs/>
                <w:szCs w:val="21"/>
              </w:rPr>
            </w:pPr>
            <w:r>
              <w:rPr>
                <w:rFonts w:hint="eastAsia" w:ascii="仿宋" w:hAnsi="仿宋" w:eastAsia="仿宋"/>
                <w:bCs/>
                <w:szCs w:val="21"/>
              </w:rPr>
              <w:t>配置1块riad卡/3008IMR芯片/支持</w:t>
            </w:r>
            <w:r>
              <w:rPr>
                <w:rFonts w:ascii="仿宋" w:hAnsi="仿宋" w:eastAsia="仿宋"/>
                <w:bCs/>
                <w:szCs w:val="21"/>
              </w:rPr>
              <w:t>RAID 0,1,5,10,50,JBOD</w:t>
            </w:r>
          </w:p>
          <w:p>
            <w:pPr>
              <w:spacing w:line="360" w:lineRule="auto"/>
              <w:rPr>
                <w:rFonts w:ascii="仿宋" w:hAnsi="仿宋" w:eastAsia="仿宋"/>
                <w:szCs w:val="21"/>
              </w:rPr>
            </w:pPr>
            <w:r>
              <w:rPr>
                <w:rFonts w:hint="eastAsia" w:ascii="仿宋" w:hAnsi="仿宋" w:eastAsia="仿宋"/>
                <w:bCs/>
                <w:szCs w:val="21"/>
              </w:rPr>
              <w:t>7、扩展性：</w:t>
            </w:r>
            <w:r>
              <w:rPr>
                <w:rFonts w:hint="eastAsia" w:ascii="仿宋" w:hAnsi="仿宋" w:eastAsia="仿宋"/>
                <w:szCs w:val="21"/>
              </w:rPr>
              <w:t>提供6个PCI-E 扩展插槽（3*PCI-E3.0x8， 2*PCI-E 3.0x16， 1*PCI-E 3.0x4(inx8)）；</w:t>
            </w:r>
          </w:p>
          <w:p>
            <w:pPr>
              <w:spacing w:line="360" w:lineRule="auto"/>
              <w:rPr>
                <w:rFonts w:ascii="仿宋" w:hAnsi="仿宋" w:eastAsia="仿宋"/>
                <w:bCs/>
                <w:szCs w:val="21"/>
              </w:rPr>
            </w:pPr>
            <w:r>
              <w:rPr>
                <w:rFonts w:hint="eastAsia" w:ascii="仿宋" w:hAnsi="仿宋" w:eastAsia="仿宋"/>
                <w:bCs/>
                <w:szCs w:val="21"/>
              </w:rPr>
              <w:t>8、网卡控制器：集成2个千兆</w:t>
            </w:r>
            <w:r>
              <w:rPr>
                <w:rFonts w:ascii="仿宋" w:hAnsi="仿宋" w:eastAsia="仿宋"/>
                <w:bCs/>
                <w:szCs w:val="21"/>
              </w:rPr>
              <w:t>RJ45</w:t>
            </w:r>
            <w:r>
              <w:rPr>
                <w:rFonts w:hint="eastAsia" w:ascii="仿宋" w:hAnsi="仿宋" w:eastAsia="仿宋"/>
                <w:bCs/>
                <w:szCs w:val="21"/>
              </w:rPr>
              <w:t>网口；支持外接千兆及万兆网卡/FC卡、IB卡;</w:t>
            </w:r>
          </w:p>
          <w:p>
            <w:pPr>
              <w:spacing w:line="360" w:lineRule="auto"/>
              <w:rPr>
                <w:rFonts w:ascii="仿宋" w:hAnsi="仿宋" w:eastAsia="仿宋"/>
                <w:bCs/>
                <w:szCs w:val="21"/>
              </w:rPr>
            </w:pPr>
            <w:r>
              <w:rPr>
                <w:rFonts w:hint="eastAsia" w:ascii="仿宋" w:hAnsi="仿宋" w:eastAsia="仿宋"/>
                <w:bCs/>
                <w:szCs w:val="21"/>
              </w:rPr>
              <w:t>9、电源：</w:t>
            </w:r>
            <w:r>
              <w:rPr>
                <w:rFonts w:hint="eastAsia" w:ascii="仿宋" w:hAnsi="仿宋" w:eastAsia="仿宋"/>
                <w:szCs w:val="21"/>
              </w:rPr>
              <w:t>配备550W 1+1冗余电源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接口，5个USB接口</w:t>
            </w:r>
            <w:r>
              <w:rPr>
                <w:rFonts w:ascii="仿宋" w:hAnsi="仿宋" w:eastAsia="仿宋"/>
                <w:bCs/>
                <w:szCs w:val="21"/>
              </w:rPr>
              <w:t>（</w:t>
            </w:r>
            <w:r>
              <w:rPr>
                <w:rFonts w:hint="eastAsia" w:ascii="仿宋" w:hAnsi="仿宋" w:eastAsia="仿宋"/>
                <w:bCs/>
                <w:szCs w:val="21"/>
              </w:rPr>
              <w:t>2个USB2.0</w:t>
            </w:r>
            <w:r>
              <w:rPr>
                <w:rFonts w:ascii="仿宋" w:hAnsi="仿宋" w:eastAsia="仿宋"/>
                <w:bCs/>
                <w:szCs w:val="21"/>
              </w:rPr>
              <w:t>，3</w:t>
            </w:r>
            <w:r>
              <w:rPr>
                <w:rFonts w:hint="eastAsia" w:ascii="仿宋" w:hAnsi="仿宋" w:eastAsia="仿宋"/>
                <w:bCs/>
                <w:szCs w:val="21"/>
              </w:rPr>
              <w:t>个USB3.0</w:t>
            </w:r>
            <w:r>
              <w:rPr>
                <w:rFonts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Windows Server 2012 R2</w:t>
            </w:r>
            <w:r>
              <w:rPr>
                <w:rFonts w:hint="eastAsia" w:ascii="仿宋" w:hAnsi="仿宋" w:eastAsia="仿宋"/>
                <w:bCs/>
                <w:szCs w:val="21"/>
              </w:rPr>
              <w:t>/</w:t>
            </w:r>
            <w:r>
              <w:rPr>
                <w:rFonts w:ascii="仿宋" w:hAnsi="仿宋" w:eastAsia="仿宋"/>
                <w:szCs w:val="21"/>
              </w:rPr>
              <w:t>Red Hat* Enterprise Advanced Server 7.3</w:t>
            </w:r>
            <w:r>
              <w:rPr>
                <w:rFonts w:hint="eastAsia" w:ascii="仿宋" w:hAnsi="仿宋" w:eastAsia="仿宋"/>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ascii="仿宋" w:hAnsi="仿宋" w:eastAsia="仿宋"/>
                <w:bCs/>
                <w:szCs w:val="21"/>
              </w:rPr>
              <w:t>15</w:t>
            </w:r>
            <w:r>
              <w:rPr>
                <w:rFonts w:hint="eastAsia" w:ascii="仿宋" w:hAnsi="仿宋" w:eastAsia="仿宋"/>
                <w:bCs/>
                <w:szCs w:val="21"/>
              </w:rPr>
              <w:t>、</w:t>
            </w:r>
            <w:r>
              <w:rPr>
                <w:rFonts w:ascii="仿宋" w:hAnsi="仿宋" w:eastAsia="仿宋"/>
                <w:bCs/>
                <w:szCs w:val="21"/>
              </w:rPr>
              <w:t>支持智能调频功能，降低系统能耗，</w:t>
            </w:r>
            <w:r>
              <w:rPr>
                <w:rFonts w:hint="eastAsia" w:ascii="仿宋" w:hAnsi="仿宋" w:eastAsia="仿宋"/>
                <w:bCs/>
                <w:szCs w:val="21"/>
              </w:rPr>
              <w:t>据热关键器件温度综合调节风扇转速，支持</w:t>
            </w:r>
            <w:r>
              <w:rPr>
                <w:rFonts w:ascii="仿宋" w:hAnsi="仿宋" w:eastAsia="仿宋"/>
                <w:bCs/>
                <w:szCs w:val="21"/>
              </w:rPr>
              <w:t>PDCM v2.0(能效</w:t>
            </w:r>
            <w:r>
              <w:rPr>
                <w:rFonts w:hint="eastAsia" w:ascii="仿宋" w:hAnsi="仿宋" w:eastAsia="仿宋"/>
                <w:bCs/>
                <w:szCs w:val="21"/>
              </w:rPr>
              <w:t>管理器</w:t>
            </w:r>
            <w:r>
              <w:rPr>
                <w:rFonts w:ascii="仿宋" w:hAnsi="仿宋" w:eastAsia="仿宋"/>
                <w:bCs/>
                <w:szCs w:val="21"/>
              </w:rPr>
              <w:t>),</w:t>
            </w:r>
            <w:r>
              <w:rPr>
                <w:rFonts w:hint="eastAsia" w:ascii="仿宋" w:hAnsi="仿宋" w:eastAsia="仿宋"/>
                <w:bCs/>
                <w:szCs w:val="21"/>
              </w:rPr>
              <w:t>提供自动化服务器功耗控制，有助于以更少的资源完成更多任务；</w:t>
            </w:r>
          </w:p>
          <w:p>
            <w:pPr>
              <w:spacing w:line="360" w:lineRule="auto"/>
              <w:rPr>
                <w:rFonts w:ascii="仿宋" w:hAnsi="仿宋" w:eastAsia="仿宋"/>
                <w:bCs/>
                <w:szCs w:val="21"/>
              </w:rPr>
            </w:pPr>
            <w:r>
              <w:rPr>
                <w:rFonts w:hint="eastAsia" w:ascii="仿宋" w:hAnsi="仿宋" w:eastAsia="仿宋"/>
                <w:bCs/>
                <w:szCs w:val="21"/>
              </w:rPr>
              <w:t>16、认证：CCC、ISO 14001环境管理体系认证、ISO 9001质量管理体系认证、信息技术服务管理体系认证、ISO27001信息安全证书、OHSAS18001职业健康安全管理体系认证、中国环境标志产品认证证书；</w:t>
            </w:r>
          </w:p>
          <w:p>
            <w:pPr>
              <w:spacing w:line="360" w:lineRule="auto"/>
              <w:rPr>
                <w:rFonts w:ascii="仿宋" w:hAnsi="仿宋" w:eastAsia="仿宋"/>
                <w:bCs/>
                <w:szCs w:val="21"/>
              </w:rPr>
            </w:pPr>
            <w:r>
              <w:rPr>
                <w:rFonts w:ascii="仿宋" w:hAnsi="仿宋" w:eastAsia="仿宋"/>
                <w:bCs/>
                <w:szCs w:val="21"/>
              </w:rPr>
              <w:t>17</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c>
          <w:tcPr>
            <w:tcW w:w="818" w:type="dxa"/>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4</w:t>
            </w:r>
          </w:p>
        </w:tc>
        <w:tc>
          <w:tcPr>
            <w:tcW w:w="818" w:type="dxa"/>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特征提取服务器</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color w:val="FF0000"/>
                <w:szCs w:val="21"/>
              </w:rPr>
            </w:pPr>
            <w:r>
              <w:rPr>
                <w:rFonts w:hint="eastAsia" w:ascii="仿宋" w:hAnsi="仿宋" w:eastAsia="仿宋"/>
                <w:bCs/>
                <w:szCs w:val="21"/>
              </w:rPr>
              <w:t>1、国内自主品牌服务器，非OEM产品，</w:t>
            </w:r>
            <w:r>
              <w:rPr>
                <w:rFonts w:ascii="仿宋" w:hAnsi="仿宋" w:eastAsia="仿宋"/>
                <w:bCs/>
                <w:color w:val="FF0000"/>
                <w:szCs w:val="21"/>
              </w:rPr>
              <w:t xml:space="preserve"> </w:t>
            </w:r>
          </w:p>
          <w:p>
            <w:pPr>
              <w:spacing w:line="360" w:lineRule="auto"/>
              <w:rPr>
                <w:rFonts w:ascii="仿宋" w:hAnsi="仿宋" w:eastAsia="仿宋"/>
                <w:bCs/>
                <w:szCs w:val="21"/>
              </w:rPr>
            </w:pPr>
            <w:r>
              <w:rPr>
                <w:rFonts w:hint="eastAsia" w:ascii="仿宋" w:hAnsi="仿宋" w:eastAsia="仿宋"/>
                <w:bCs/>
                <w:szCs w:val="21"/>
              </w:rPr>
              <w:t>2、标准4U 双路机架式加速计算服务器，配置安装导轨；</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3、Intel C621高性能芯片组，支持两颗Intel</w:t>
            </w:r>
            <w:r>
              <w:rPr>
                <w:rFonts w:ascii="Calibri" w:eastAsia="仿宋" w:cs="Calibri"/>
                <w:bCs/>
                <w:szCs w:val="21"/>
              </w:rPr>
              <w:t>®</w:t>
            </w:r>
            <w:r>
              <w:rPr>
                <w:rFonts w:hint="eastAsia" w:ascii="仿宋" w:hAnsi="仿宋" w:eastAsia="仿宋"/>
                <w:bCs/>
                <w:szCs w:val="21"/>
              </w:rPr>
              <w:t xml:space="preserve"> Xeon</w:t>
            </w:r>
            <w:r>
              <w:rPr>
                <w:rFonts w:ascii="Calibri" w:eastAsia="仿宋" w:cs="Calibri"/>
                <w:bCs/>
                <w:szCs w:val="21"/>
              </w:rPr>
              <w:t>®</w:t>
            </w:r>
            <w:r>
              <w:rPr>
                <w:rFonts w:hint="eastAsia" w:ascii="仿宋" w:hAnsi="仿宋" w:eastAsia="仿宋"/>
                <w:bCs/>
                <w:szCs w:val="21"/>
              </w:rPr>
              <w:t xml:space="preserve"> Processor Scalable 可扩展家族CPU；配置2颗</w:t>
            </w:r>
            <w:r>
              <w:rPr>
                <w:rFonts w:ascii="仿宋" w:hAnsi="仿宋" w:eastAsia="仿宋"/>
                <w:bCs/>
                <w:szCs w:val="21"/>
              </w:rPr>
              <w:t>Intel XEON Gold 5118 12C/24T 2.3GHz 16.5M 105W</w:t>
            </w:r>
          </w:p>
          <w:p>
            <w:pPr>
              <w:spacing w:line="360" w:lineRule="auto"/>
              <w:rPr>
                <w:rFonts w:ascii="仿宋" w:hAnsi="仿宋" w:eastAsia="仿宋"/>
                <w:bCs/>
                <w:szCs w:val="21"/>
              </w:rPr>
            </w:pPr>
            <w:r>
              <w:rPr>
                <w:rFonts w:hint="eastAsia" w:ascii="仿宋" w:hAnsi="仿宋" w:eastAsia="仿宋"/>
                <w:bCs/>
                <w:szCs w:val="21"/>
              </w:rPr>
              <w:t>4、最大支持24DIMM插槽,支持</w:t>
            </w:r>
            <w:r>
              <w:rPr>
                <w:rFonts w:ascii="仿宋" w:hAnsi="仿宋" w:eastAsia="仿宋"/>
                <w:bCs/>
                <w:szCs w:val="21"/>
              </w:rPr>
              <w:t>2666/2400/2133MHz ECC DDR4 SDRAM</w:t>
            </w:r>
            <w:r>
              <w:rPr>
                <w:rFonts w:hint="eastAsia" w:ascii="仿宋" w:hAnsi="仿宋" w:eastAsia="仿宋"/>
                <w:bCs/>
                <w:szCs w:val="21"/>
              </w:rPr>
              <w:t>，最大支持3TB；</w:t>
            </w:r>
          </w:p>
          <w:p>
            <w:pPr>
              <w:spacing w:line="360" w:lineRule="auto"/>
              <w:rPr>
                <w:rFonts w:ascii="仿宋" w:hAnsi="仿宋" w:eastAsia="仿宋"/>
                <w:bCs/>
                <w:szCs w:val="21"/>
              </w:rPr>
            </w:pPr>
            <w:r>
              <w:rPr>
                <w:rFonts w:hint="eastAsia" w:ascii="仿宋" w:hAnsi="仿宋" w:eastAsia="仿宋"/>
                <w:bCs/>
                <w:szCs w:val="21"/>
              </w:rPr>
              <w:t>配置8条</w:t>
            </w:r>
            <w:r>
              <w:rPr>
                <w:rFonts w:ascii="仿宋" w:hAnsi="仿宋" w:eastAsia="仿宋"/>
                <w:bCs/>
                <w:szCs w:val="21"/>
              </w:rPr>
              <w:t>32GB/DDR4/2</w:t>
            </w:r>
            <w:r>
              <w:rPr>
                <w:rFonts w:hint="eastAsia" w:ascii="仿宋" w:hAnsi="仿宋" w:eastAsia="仿宋"/>
                <w:bCs/>
                <w:szCs w:val="21"/>
              </w:rPr>
              <w:t>666</w:t>
            </w:r>
            <w:r>
              <w:rPr>
                <w:rFonts w:ascii="仿宋" w:hAnsi="仿宋" w:eastAsia="仿宋"/>
                <w:bCs/>
                <w:szCs w:val="21"/>
              </w:rPr>
              <w:t>MHz/ECC/REG</w:t>
            </w:r>
            <w:r>
              <w:rPr>
                <w:rFonts w:hint="eastAsia" w:ascii="仿宋" w:hAnsi="仿宋" w:eastAsia="仿宋"/>
                <w:bCs/>
                <w:szCs w:val="21"/>
              </w:rPr>
              <w:t>内存</w:t>
            </w:r>
          </w:p>
          <w:p>
            <w:pPr>
              <w:spacing w:line="360" w:lineRule="auto"/>
              <w:rPr>
                <w:rFonts w:ascii="仿宋" w:hAnsi="仿宋" w:eastAsia="仿宋"/>
                <w:bCs/>
                <w:szCs w:val="21"/>
              </w:rPr>
            </w:pPr>
            <w:r>
              <w:rPr>
                <w:rFonts w:hint="eastAsia" w:ascii="仿宋" w:hAnsi="仿宋" w:eastAsia="仿宋"/>
                <w:bCs/>
                <w:szCs w:val="21"/>
              </w:rPr>
              <w:t xml:space="preserve">5、硬盘位扩展：最大支持24块2.5英寸热插拔SAS/SATA硬盘，板载 SATA 控制器，提供 10 个 SATA3 (6Gbps) ports；配置12块2TB/SATA/7200RPM/2.5寸/企业级硬盘                                              </w:t>
            </w:r>
          </w:p>
          <w:p>
            <w:pPr>
              <w:spacing w:line="360" w:lineRule="auto"/>
              <w:rPr>
                <w:rFonts w:ascii="仿宋" w:hAnsi="仿宋" w:eastAsia="仿宋"/>
                <w:bCs/>
                <w:szCs w:val="21"/>
              </w:rPr>
            </w:pPr>
            <w:r>
              <w:rPr>
                <w:rFonts w:hint="eastAsia" w:ascii="仿宋" w:hAnsi="仿宋" w:eastAsia="仿宋"/>
                <w:bCs/>
                <w:szCs w:val="21"/>
              </w:rPr>
              <w:t>6、支持SATA RAID0、1、10、5，10可选配支持SAS RAID0、1、10、5、50、6、60等，RAID 无缓存/1GB/2GB缓存，可选缓存掉电保护；</w:t>
            </w:r>
          </w:p>
          <w:p>
            <w:pPr>
              <w:spacing w:line="360" w:lineRule="auto"/>
              <w:rPr>
                <w:rFonts w:ascii="仿宋" w:hAnsi="仿宋" w:eastAsia="仿宋"/>
                <w:bCs/>
                <w:szCs w:val="21"/>
              </w:rPr>
            </w:pPr>
            <w:r>
              <w:rPr>
                <w:rFonts w:hint="eastAsia" w:ascii="仿宋" w:hAnsi="仿宋" w:eastAsia="仿宋"/>
                <w:bCs/>
                <w:szCs w:val="21"/>
              </w:rPr>
              <w:t>配置1块raid卡/2GB缓存/支持</w:t>
            </w:r>
            <w:r>
              <w:rPr>
                <w:rFonts w:ascii="仿宋" w:hAnsi="仿宋" w:eastAsia="仿宋"/>
                <w:bCs/>
                <w:szCs w:val="21"/>
              </w:rPr>
              <w:t>RAID 0,1,5,6，10,50,JBOD</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7、扩展性：不少于8个PCI-E 3.0×16速率（x16 英寸，双宽插槽），</w:t>
            </w:r>
            <w:r>
              <w:rPr>
                <w:rFonts w:ascii="仿宋" w:hAnsi="仿宋" w:eastAsia="仿宋"/>
                <w:bCs/>
                <w:szCs w:val="21"/>
              </w:rPr>
              <w:t>2</w:t>
            </w:r>
            <w:r>
              <w:rPr>
                <w:rFonts w:hint="eastAsia" w:ascii="仿宋" w:hAnsi="仿宋" w:eastAsia="仿宋"/>
                <w:bCs/>
                <w:szCs w:val="21"/>
              </w:rPr>
              <w:t>个 PCI-E 3.0 ×8 速率（x8英寸），1个  PCI-E 2.0  ×4 速率，最大支持8张专业图形卡或加速卡；加速卡</w:t>
            </w:r>
            <w:r>
              <w:rPr>
                <w:rFonts w:ascii="仿宋" w:hAnsi="仿宋" w:eastAsia="仿宋"/>
                <w:bCs/>
                <w:szCs w:val="21"/>
              </w:rPr>
              <w:t>：</w:t>
            </w:r>
            <w:r>
              <w:rPr>
                <w:rFonts w:hint="eastAsia" w:ascii="仿宋" w:hAnsi="仿宋" w:eastAsia="仿宋"/>
                <w:bCs/>
                <w:szCs w:val="21"/>
              </w:rPr>
              <w:t>支持NVIDIA Quadro 系列显卡、NVIDIA Tesla 系列加速卡、 NVIDIA Grid 虚拟化授权、Intel Phi等；本次需出厂配备8块NVIDIA RTX2080 Ti显卡</w:t>
            </w:r>
          </w:p>
          <w:p>
            <w:pPr>
              <w:rPr>
                <w:rFonts w:ascii="仿宋" w:hAnsi="仿宋" w:eastAsia="仿宋"/>
                <w:bCs/>
                <w:szCs w:val="21"/>
              </w:rPr>
            </w:pPr>
            <w:r>
              <w:rPr>
                <w:rFonts w:hint="eastAsia" w:ascii="仿宋" w:hAnsi="仿宋" w:eastAsia="仿宋"/>
                <w:bCs/>
                <w:szCs w:val="21"/>
              </w:rPr>
              <w:t>8、网卡控制器：后</w:t>
            </w:r>
            <w:r>
              <w:rPr>
                <w:rFonts w:ascii="仿宋" w:hAnsi="仿宋" w:eastAsia="仿宋"/>
                <w:bCs/>
                <w:szCs w:val="21"/>
              </w:rPr>
              <w:t>置</w:t>
            </w:r>
            <w:r>
              <w:rPr>
                <w:rFonts w:hint="eastAsia" w:ascii="仿宋" w:hAnsi="仿宋" w:eastAsia="仿宋"/>
                <w:bCs/>
                <w:szCs w:val="21"/>
              </w:rPr>
              <w:t>2个万兆RJ45网口：兼容千兆、百兆网络；配置1块双口万兆网卡含双多模SFP+模块</w:t>
            </w:r>
          </w:p>
          <w:p>
            <w:pPr>
              <w:spacing w:line="360" w:lineRule="auto"/>
              <w:rPr>
                <w:rFonts w:ascii="仿宋" w:hAnsi="仿宋" w:eastAsia="仿宋"/>
                <w:bCs/>
                <w:szCs w:val="21"/>
              </w:rPr>
            </w:pPr>
            <w:r>
              <w:rPr>
                <w:rFonts w:hint="eastAsia" w:ascii="仿宋" w:hAnsi="仿宋" w:eastAsia="仿宋"/>
                <w:bCs/>
                <w:szCs w:val="21"/>
              </w:rPr>
              <w:t>9、电源： 2000W 2+2 高效冗余电源；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hint="eastAsia"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接口，集成</w:t>
            </w:r>
            <w:r>
              <w:rPr>
                <w:rFonts w:ascii="仿宋" w:hAnsi="仿宋" w:eastAsia="仿宋"/>
                <w:bCs/>
                <w:szCs w:val="21"/>
              </w:rPr>
              <w:t xml:space="preserve">  ASPEED AST2400</w:t>
            </w:r>
            <w:r>
              <w:rPr>
                <w:rFonts w:hint="eastAsia" w:ascii="仿宋" w:hAnsi="仿宋" w:eastAsia="仿宋"/>
                <w:bCs/>
                <w:szCs w:val="21"/>
              </w:rPr>
              <w:t>，</w:t>
            </w:r>
            <w:r>
              <w:rPr>
                <w:rFonts w:ascii="仿宋" w:hAnsi="仿宋" w:eastAsia="仿宋"/>
                <w:bCs/>
                <w:szCs w:val="21"/>
              </w:rPr>
              <w:t>4</w:t>
            </w:r>
            <w:r>
              <w:rPr>
                <w:rFonts w:hint="eastAsia" w:ascii="仿宋" w:hAnsi="仿宋" w:eastAsia="仿宋"/>
                <w:bCs/>
                <w:szCs w:val="21"/>
              </w:rPr>
              <w:t>个USB接口</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Windows Server  2016</w:t>
            </w:r>
            <w:r>
              <w:rPr>
                <w:rFonts w:hint="eastAsia" w:ascii="仿宋" w:hAnsi="仿宋" w:eastAsia="仿宋"/>
                <w:bCs/>
                <w:szCs w:val="21"/>
              </w:rPr>
              <w:t>/</w:t>
            </w:r>
            <w:r>
              <w:rPr>
                <w:rFonts w:ascii="仿宋" w:hAnsi="仿宋" w:eastAsia="仿宋"/>
                <w:bCs/>
                <w:szCs w:val="21"/>
              </w:rPr>
              <w:t>Red Hat* Enterprise Advanced Server 7.3</w:t>
            </w:r>
            <w:r>
              <w:rPr>
                <w:rFonts w:hint="eastAsia" w:ascii="仿宋" w:hAnsi="仿宋" w:eastAsia="仿宋"/>
                <w:bCs/>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hint="eastAsia" w:ascii="仿宋" w:hAnsi="仿宋" w:eastAsia="仿宋"/>
                <w:bCs/>
                <w:szCs w:val="21"/>
              </w:rPr>
              <w:t>15、认证：CCC、ISO 14001环境管理体系认证、ISO 9001质量管理体系认证、信息技术服务管理体系认证、ISO27001信息安全证书、OHSAS18001职业健康安全管理体系认证、中国环境标志产品认证证书；</w:t>
            </w:r>
          </w:p>
          <w:p>
            <w:pPr>
              <w:spacing w:line="360" w:lineRule="auto"/>
              <w:rPr>
                <w:rFonts w:ascii="仿宋" w:hAnsi="仿宋" w:eastAsia="仿宋"/>
                <w:bCs/>
                <w:szCs w:val="21"/>
              </w:rPr>
            </w:pPr>
            <w:r>
              <w:rPr>
                <w:rFonts w:ascii="仿宋" w:hAnsi="仿宋" w:eastAsia="仿宋"/>
                <w:bCs/>
                <w:szCs w:val="21"/>
              </w:rPr>
              <w:t>16</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13</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检索与存储服务器</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1、国内自主品牌服务器；</w:t>
            </w:r>
          </w:p>
          <w:p>
            <w:pPr>
              <w:spacing w:line="360" w:lineRule="auto"/>
              <w:rPr>
                <w:rFonts w:ascii="仿宋" w:hAnsi="仿宋" w:eastAsia="仿宋"/>
                <w:bCs/>
                <w:szCs w:val="21"/>
              </w:rPr>
            </w:pPr>
            <w:r>
              <w:rPr>
                <w:rFonts w:hint="eastAsia" w:ascii="仿宋" w:hAnsi="仿宋" w:eastAsia="仿宋"/>
                <w:bCs/>
                <w:szCs w:val="21"/>
              </w:rPr>
              <w:t>2、标准4U机架式服务器，配置安装导轨；</w:t>
            </w:r>
          </w:p>
          <w:p>
            <w:pPr>
              <w:spacing w:line="360" w:lineRule="auto"/>
              <w:rPr>
                <w:rFonts w:ascii="仿宋" w:hAnsi="仿宋" w:eastAsia="仿宋"/>
                <w:bCs/>
                <w:szCs w:val="21"/>
              </w:rPr>
            </w:pPr>
            <w:r>
              <w:rPr>
                <w:rFonts w:hint="eastAsia" w:ascii="仿宋" w:hAnsi="仿宋" w:eastAsia="仿宋"/>
                <w:bCs/>
                <w:szCs w:val="21"/>
              </w:rPr>
              <w:t>3、支持两颗</w:t>
            </w:r>
            <w:r>
              <w:rPr>
                <w:rFonts w:ascii="仿宋" w:hAnsi="仿宋" w:eastAsia="仿宋"/>
                <w:bCs/>
                <w:szCs w:val="21"/>
              </w:rPr>
              <w:t xml:space="preserve"> Intel Xeon E5-2600 V3/V4</w:t>
            </w:r>
            <w:r>
              <w:rPr>
                <w:rFonts w:hint="eastAsia" w:ascii="仿宋" w:hAnsi="仿宋" w:eastAsia="仿宋"/>
                <w:bCs/>
                <w:szCs w:val="21"/>
              </w:rPr>
              <w:t>系列处理器；</w:t>
            </w:r>
          </w:p>
          <w:p>
            <w:pPr>
              <w:spacing w:line="360" w:lineRule="auto"/>
              <w:rPr>
                <w:rFonts w:ascii="仿宋" w:hAnsi="仿宋" w:eastAsia="仿宋"/>
                <w:bCs/>
                <w:szCs w:val="21"/>
              </w:rPr>
            </w:pPr>
            <w:r>
              <w:rPr>
                <w:rFonts w:hint="eastAsia" w:ascii="仿宋" w:hAnsi="仿宋" w:eastAsia="仿宋"/>
                <w:bCs/>
                <w:szCs w:val="21"/>
              </w:rPr>
              <w:t>配置2颗</w:t>
            </w:r>
            <w:r>
              <w:rPr>
                <w:rFonts w:ascii="仿宋" w:hAnsi="仿宋" w:eastAsia="仿宋"/>
                <w:bCs/>
                <w:szCs w:val="21"/>
              </w:rPr>
              <w:t>Intel Xeon Processor E5-2630V4 10C/20T 2.2GHz 25M 8.0GT/s 85W</w:t>
            </w:r>
          </w:p>
          <w:p>
            <w:pPr>
              <w:spacing w:line="360" w:lineRule="auto"/>
              <w:rPr>
                <w:rFonts w:ascii="仿宋" w:hAnsi="仿宋" w:eastAsia="仿宋"/>
                <w:bCs/>
                <w:szCs w:val="21"/>
              </w:rPr>
            </w:pPr>
            <w:r>
              <w:rPr>
                <w:rFonts w:hint="eastAsia" w:ascii="仿宋" w:hAnsi="仿宋" w:eastAsia="仿宋"/>
                <w:bCs/>
                <w:szCs w:val="21"/>
              </w:rPr>
              <w:t>4、最大支持16DIMM插槽,支持2133/2400</w:t>
            </w:r>
            <w:r>
              <w:rPr>
                <w:rFonts w:ascii="仿宋" w:hAnsi="仿宋" w:eastAsia="仿宋"/>
                <w:bCs/>
                <w:szCs w:val="21"/>
              </w:rPr>
              <w:t>DDR</w:t>
            </w:r>
            <w:r>
              <w:rPr>
                <w:rFonts w:hint="eastAsia" w:ascii="仿宋" w:hAnsi="仿宋" w:eastAsia="仿宋"/>
                <w:bCs/>
                <w:szCs w:val="21"/>
              </w:rPr>
              <w:t>4的</w:t>
            </w:r>
            <w:r>
              <w:rPr>
                <w:rFonts w:ascii="仿宋" w:hAnsi="仿宋" w:eastAsia="仿宋"/>
                <w:bCs/>
                <w:szCs w:val="21"/>
              </w:rPr>
              <w:t>RDIMM</w:t>
            </w:r>
            <w:r>
              <w:rPr>
                <w:rFonts w:hint="eastAsia" w:ascii="仿宋" w:hAnsi="仿宋" w:eastAsia="仿宋"/>
                <w:bCs/>
                <w:szCs w:val="21"/>
              </w:rPr>
              <w:t>内存，最大支持1TB；</w:t>
            </w:r>
          </w:p>
          <w:p>
            <w:pPr>
              <w:spacing w:line="360" w:lineRule="auto"/>
              <w:rPr>
                <w:rFonts w:ascii="仿宋" w:hAnsi="仿宋" w:eastAsia="仿宋"/>
                <w:bCs/>
                <w:szCs w:val="21"/>
              </w:rPr>
            </w:pPr>
            <w:r>
              <w:rPr>
                <w:rFonts w:hint="eastAsia" w:ascii="仿宋" w:hAnsi="仿宋" w:eastAsia="仿宋"/>
                <w:bCs/>
                <w:szCs w:val="21"/>
              </w:rPr>
              <w:t>配置4条</w:t>
            </w:r>
            <w:r>
              <w:rPr>
                <w:rFonts w:ascii="仿宋" w:hAnsi="仿宋" w:eastAsia="仿宋"/>
                <w:bCs/>
                <w:szCs w:val="21"/>
              </w:rPr>
              <w:t>16GB/DDR4/2</w:t>
            </w:r>
            <w:r>
              <w:rPr>
                <w:rFonts w:hint="eastAsia" w:ascii="仿宋" w:hAnsi="仿宋" w:eastAsia="仿宋"/>
                <w:bCs/>
                <w:szCs w:val="21"/>
              </w:rPr>
              <w:t>666</w:t>
            </w:r>
            <w:r>
              <w:rPr>
                <w:rFonts w:ascii="仿宋" w:hAnsi="仿宋" w:eastAsia="仿宋"/>
                <w:bCs/>
                <w:szCs w:val="21"/>
              </w:rPr>
              <w:t>MHz/ECC/REG</w:t>
            </w:r>
            <w:r>
              <w:rPr>
                <w:rFonts w:hint="eastAsia" w:ascii="仿宋" w:hAnsi="仿宋" w:eastAsia="仿宋"/>
                <w:bCs/>
                <w:szCs w:val="21"/>
              </w:rPr>
              <w:t>内存</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5、硬盘位扩展：支持</w:t>
            </w:r>
            <w:r>
              <w:rPr>
                <w:rFonts w:ascii="仿宋" w:hAnsi="仿宋" w:eastAsia="仿宋"/>
                <w:bCs/>
                <w:szCs w:val="21"/>
              </w:rPr>
              <w:t>36</w:t>
            </w:r>
            <w:r>
              <w:rPr>
                <w:rFonts w:hint="eastAsia" w:ascii="仿宋" w:hAnsi="仿宋" w:eastAsia="仿宋"/>
                <w:bCs/>
                <w:szCs w:val="21"/>
              </w:rPr>
              <w:t>个</w:t>
            </w:r>
            <w:r>
              <w:rPr>
                <w:rFonts w:ascii="仿宋" w:hAnsi="仿宋" w:eastAsia="仿宋"/>
                <w:bCs/>
                <w:szCs w:val="21"/>
              </w:rPr>
              <w:t>3.5</w:t>
            </w:r>
            <w:r>
              <w:rPr>
                <w:rFonts w:hint="eastAsia" w:ascii="仿宋" w:hAnsi="仿宋" w:eastAsia="仿宋"/>
                <w:bCs/>
                <w:szCs w:val="21"/>
              </w:rPr>
              <w:t>”</w:t>
            </w:r>
            <w:r>
              <w:rPr>
                <w:rFonts w:ascii="仿宋" w:hAnsi="仿宋" w:eastAsia="仿宋"/>
                <w:bCs/>
                <w:szCs w:val="21"/>
              </w:rPr>
              <w:t xml:space="preserve"> SATA/SAS/SSD</w:t>
            </w:r>
            <w:r>
              <w:rPr>
                <w:rFonts w:hint="eastAsia" w:ascii="仿宋" w:hAnsi="仿宋" w:eastAsia="仿宋"/>
                <w:bCs/>
                <w:szCs w:val="21"/>
              </w:rPr>
              <w:t>硬盘，可内置两个</w:t>
            </w:r>
            <w:r>
              <w:rPr>
                <w:rFonts w:ascii="仿宋" w:hAnsi="仿宋" w:eastAsia="仿宋"/>
                <w:bCs/>
                <w:szCs w:val="21"/>
              </w:rPr>
              <w:t>2.5</w:t>
            </w:r>
            <w:r>
              <w:rPr>
                <w:rFonts w:hint="eastAsia" w:ascii="仿宋" w:hAnsi="仿宋" w:eastAsia="仿宋"/>
                <w:bCs/>
                <w:szCs w:val="21"/>
              </w:rPr>
              <w:t>”</w:t>
            </w:r>
            <w:r>
              <w:rPr>
                <w:rFonts w:ascii="仿宋" w:hAnsi="仿宋" w:eastAsia="仿宋"/>
                <w:bCs/>
                <w:szCs w:val="21"/>
              </w:rPr>
              <w:t xml:space="preserve"> SATA/SAS/SSD</w:t>
            </w:r>
            <w:r>
              <w:rPr>
                <w:rFonts w:hint="eastAsia" w:ascii="仿宋" w:hAnsi="仿宋" w:eastAsia="仿宋"/>
                <w:bCs/>
                <w:szCs w:val="21"/>
              </w:rPr>
              <w:t>硬盘</w:t>
            </w:r>
          </w:p>
          <w:p>
            <w:pPr>
              <w:spacing w:line="360" w:lineRule="auto"/>
              <w:rPr>
                <w:rFonts w:ascii="仿宋" w:hAnsi="仿宋" w:eastAsia="仿宋"/>
                <w:bCs/>
                <w:szCs w:val="21"/>
              </w:rPr>
            </w:pPr>
            <w:r>
              <w:rPr>
                <w:rFonts w:hint="eastAsia" w:ascii="仿宋" w:hAnsi="仿宋" w:eastAsia="仿宋"/>
                <w:bCs/>
                <w:szCs w:val="21"/>
              </w:rPr>
              <w:t xml:space="preserve">配置34块8TB/SATA/7200RPM/3.5寸/企业级硬盘+2块300GB/SAS/10000RPM/2.5寸/企业级硬盘+2块Intel/SSD/DC/S4600/S4610 Series(960GB,2.5寸 SATA 6Gb/s ,3D Nand,TLC)硬盘                                            </w:t>
            </w:r>
          </w:p>
          <w:p>
            <w:pPr>
              <w:spacing w:line="360" w:lineRule="auto"/>
              <w:rPr>
                <w:rFonts w:ascii="仿宋" w:hAnsi="仿宋" w:eastAsia="仿宋"/>
                <w:bCs/>
                <w:szCs w:val="21"/>
              </w:rPr>
            </w:pPr>
            <w:r>
              <w:rPr>
                <w:rFonts w:hint="eastAsia" w:ascii="仿宋" w:hAnsi="仿宋" w:eastAsia="仿宋"/>
                <w:bCs/>
                <w:szCs w:val="21"/>
              </w:rPr>
              <w:t xml:space="preserve">6、板载支持软SATA RAID0、1、10、5，可选配支持SAS </w:t>
            </w:r>
            <w:r>
              <w:rPr>
                <w:rFonts w:ascii="仿宋" w:hAnsi="仿宋" w:eastAsia="仿宋"/>
                <w:bCs/>
                <w:szCs w:val="21"/>
              </w:rPr>
              <w:t>RAID0</w:t>
            </w:r>
            <w:r>
              <w:rPr>
                <w:rFonts w:hint="eastAsia" w:ascii="仿宋" w:hAnsi="仿宋" w:eastAsia="仿宋"/>
                <w:bCs/>
                <w:szCs w:val="21"/>
              </w:rPr>
              <w:t>、</w:t>
            </w:r>
            <w:r>
              <w:rPr>
                <w:rFonts w:ascii="仿宋" w:hAnsi="仿宋" w:eastAsia="仿宋"/>
                <w:bCs/>
                <w:szCs w:val="21"/>
              </w:rPr>
              <w:t>1</w:t>
            </w:r>
            <w:r>
              <w:rPr>
                <w:rFonts w:hint="eastAsia" w:ascii="仿宋" w:hAnsi="仿宋" w:eastAsia="仿宋"/>
                <w:bCs/>
                <w:szCs w:val="21"/>
              </w:rPr>
              <w:t>、</w:t>
            </w:r>
            <w:r>
              <w:rPr>
                <w:rFonts w:ascii="仿宋" w:hAnsi="仿宋" w:eastAsia="仿宋"/>
                <w:bCs/>
                <w:szCs w:val="21"/>
              </w:rPr>
              <w:t>10</w:t>
            </w:r>
            <w:r>
              <w:rPr>
                <w:rFonts w:hint="eastAsia" w:ascii="仿宋" w:hAnsi="仿宋" w:eastAsia="仿宋"/>
                <w:bCs/>
                <w:szCs w:val="21"/>
              </w:rPr>
              <w:t>、</w:t>
            </w:r>
            <w:r>
              <w:rPr>
                <w:rFonts w:ascii="仿宋" w:hAnsi="仿宋" w:eastAsia="仿宋"/>
                <w:bCs/>
                <w:szCs w:val="21"/>
              </w:rPr>
              <w:t>5</w:t>
            </w:r>
            <w:r>
              <w:rPr>
                <w:rFonts w:hint="eastAsia" w:ascii="仿宋" w:hAnsi="仿宋" w:eastAsia="仿宋"/>
                <w:bCs/>
                <w:szCs w:val="21"/>
              </w:rPr>
              <w:t>、</w:t>
            </w:r>
            <w:r>
              <w:rPr>
                <w:rFonts w:ascii="仿宋" w:hAnsi="仿宋" w:eastAsia="仿宋"/>
                <w:bCs/>
                <w:szCs w:val="21"/>
              </w:rPr>
              <w:t>50</w:t>
            </w:r>
            <w:r>
              <w:rPr>
                <w:rFonts w:hint="eastAsia" w:ascii="仿宋" w:hAnsi="仿宋" w:eastAsia="仿宋"/>
                <w:bCs/>
                <w:szCs w:val="21"/>
              </w:rPr>
              <w:t>、</w:t>
            </w:r>
            <w:r>
              <w:rPr>
                <w:rFonts w:ascii="仿宋" w:hAnsi="仿宋" w:eastAsia="仿宋"/>
                <w:bCs/>
                <w:szCs w:val="21"/>
              </w:rPr>
              <w:t>6</w:t>
            </w:r>
            <w:r>
              <w:rPr>
                <w:rFonts w:hint="eastAsia" w:ascii="仿宋" w:hAnsi="仿宋" w:eastAsia="仿宋"/>
                <w:bCs/>
                <w:szCs w:val="21"/>
              </w:rPr>
              <w:t>、</w:t>
            </w:r>
            <w:r>
              <w:rPr>
                <w:rFonts w:ascii="仿宋" w:hAnsi="仿宋" w:eastAsia="仿宋"/>
                <w:bCs/>
                <w:szCs w:val="21"/>
              </w:rPr>
              <w:t>60</w:t>
            </w:r>
            <w:r>
              <w:rPr>
                <w:rFonts w:hint="eastAsia" w:ascii="仿宋" w:hAnsi="仿宋" w:eastAsia="仿宋"/>
                <w:bCs/>
                <w:szCs w:val="21"/>
              </w:rPr>
              <w:t>等，</w:t>
            </w:r>
            <w:r>
              <w:rPr>
                <w:rFonts w:ascii="仿宋" w:hAnsi="仿宋" w:eastAsia="仿宋"/>
                <w:bCs/>
                <w:szCs w:val="21"/>
              </w:rPr>
              <w:t>RAID 1GB</w:t>
            </w:r>
            <w:r>
              <w:rPr>
                <w:rFonts w:hint="eastAsia" w:ascii="仿宋" w:hAnsi="仿宋" w:eastAsia="仿宋"/>
                <w:bCs/>
                <w:szCs w:val="21"/>
              </w:rPr>
              <w:t>/2GB</w:t>
            </w:r>
            <w:r>
              <w:rPr>
                <w:rFonts w:ascii="仿宋" w:hAnsi="仿宋" w:eastAsia="仿宋"/>
                <w:bCs/>
                <w:szCs w:val="21"/>
              </w:rPr>
              <w:t xml:space="preserve"> Cache</w:t>
            </w:r>
            <w:r>
              <w:rPr>
                <w:rFonts w:hint="eastAsia" w:ascii="仿宋" w:hAnsi="仿宋" w:eastAsia="仿宋"/>
                <w:bCs/>
                <w:szCs w:val="21"/>
              </w:rPr>
              <w:t>，支持Cache超级电容保护；</w:t>
            </w:r>
          </w:p>
          <w:p>
            <w:pPr>
              <w:spacing w:line="360" w:lineRule="auto"/>
              <w:rPr>
                <w:rFonts w:ascii="仿宋" w:hAnsi="仿宋" w:eastAsia="仿宋"/>
                <w:bCs/>
                <w:szCs w:val="21"/>
              </w:rPr>
            </w:pPr>
            <w:r>
              <w:rPr>
                <w:rFonts w:hint="eastAsia" w:ascii="仿宋" w:hAnsi="仿宋" w:eastAsia="仿宋"/>
                <w:bCs/>
                <w:szCs w:val="21"/>
              </w:rPr>
              <w:t>配置1块raid卡/2G缓存/支持</w:t>
            </w:r>
            <w:r>
              <w:rPr>
                <w:rFonts w:ascii="仿宋" w:hAnsi="仿宋" w:eastAsia="仿宋"/>
                <w:bCs/>
                <w:szCs w:val="21"/>
              </w:rPr>
              <w:t>RAID 0,1,5,6,10,50,60,JBOD</w:t>
            </w:r>
          </w:p>
          <w:p>
            <w:pPr>
              <w:spacing w:line="360" w:lineRule="auto"/>
              <w:rPr>
                <w:rFonts w:ascii="仿宋" w:hAnsi="仿宋" w:eastAsia="仿宋"/>
                <w:bCs/>
                <w:szCs w:val="21"/>
              </w:rPr>
            </w:pPr>
            <w:r>
              <w:rPr>
                <w:rFonts w:hint="eastAsia" w:ascii="仿宋" w:hAnsi="仿宋" w:eastAsia="仿宋"/>
                <w:bCs/>
                <w:szCs w:val="21"/>
              </w:rPr>
              <w:t>7、扩展性：提供6个</w:t>
            </w:r>
            <w:r>
              <w:rPr>
                <w:rFonts w:ascii="仿宋" w:hAnsi="仿宋" w:eastAsia="仿宋"/>
                <w:bCs/>
                <w:szCs w:val="21"/>
              </w:rPr>
              <w:t xml:space="preserve">PCI-E3.0 </w:t>
            </w:r>
            <w:r>
              <w:rPr>
                <w:rFonts w:hint="eastAsia" w:ascii="仿宋" w:hAnsi="仿宋" w:eastAsia="仿宋"/>
                <w:bCs/>
                <w:szCs w:val="21"/>
              </w:rPr>
              <w:t>扩展插槽（3*</w:t>
            </w:r>
            <w:r>
              <w:rPr>
                <w:rFonts w:ascii="仿宋" w:hAnsi="仿宋" w:eastAsia="仿宋"/>
                <w:bCs/>
                <w:szCs w:val="21"/>
              </w:rPr>
              <w:t>PCI-E3.0</w:t>
            </w:r>
            <w:r>
              <w:rPr>
                <w:rFonts w:hint="eastAsia" w:ascii="仿宋" w:hAnsi="仿宋" w:eastAsia="仿宋"/>
                <w:bCs/>
                <w:szCs w:val="21"/>
              </w:rPr>
              <w:t>x16，3*</w:t>
            </w:r>
            <w:r>
              <w:rPr>
                <w:rFonts w:ascii="仿宋" w:hAnsi="仿宋" w:eastAsia="仿宋"/>
                <w:bCs/>
                <w:szCs w:val="21"/>
              </w:rPr>
              <w:t>PCI-E3.0</w:t>
            </w:r>
            <w:r>
              <w:rPr>
                <w:rFonts w:hint="eastAsia" w:ascii="仿宋" w:hAnsi="仿宋" w:eastAsia="仿宋"/>
                <w:bCs/>
                <w:szCs w:val="21"/>
              </w:rPr>
              <w:t>x8）</w:t>
            </w:r>
          </w:p>
          <w:p>
            <w:pPr>
              <w:spacing w:line="360" w:lineRule="auto"/>
              <w:rPr>
                <w:rFonts w:ascii="仿宋" w:hAnsi="仿宋" w:eastAsia="仿宋"/>
                <w:bCs/>
                <w:szCs w:val="21"/>
              </w:rPr>
            </w:pPr>
            <w:r>
              <w:rPr>
                <w:rFonts w:hint="eastAsia" w:ascii="仿宋" w:hAnsi="仿宋" w:eastAsia="仿宋"/>
                <w:bCs/>
                <w:szCs w:val="21"/>
              </w:rPr>
              <w:t>出厂配置1块NVIDIA Tesla P4 GDDR5 8GB PCIe 单宽 75W 被动散热</w:t>
            </w:r>
          </w:p>
          <w:p>
            <w:pPr>
              <w:spacing w:line="360" w:lineRule="auto"/>
              <w:rPr>
                <w:rFonts w:ascii="仿宋" w:hAnsi="仿宋" w:eastAsia="仿宋"/>
                <w:bCs/>
                <w:szCs w:val="21"/>
              </w:rPr>
            </w:pPr>
            <w:r>
              <w:rPr>
                <w:rFonts w:ascii="仿宋" w:hAnsi="仿宋" w:eastAsia="仿宋"/>
                <w:bCs/>
                <w:szCs w:val="21"/>
              </w:rPr>
              <w:t>8</w:t>
            </w:r>
            <w:r>
              <w:rPr>
                <w:rFonts w:hint="eastAsia" w:ascii="仿宋" w:hAnsi="仿宋" w:eastAsia="仿宋"/>
                <w:bCs/>
                <w:szCs w:val="21"/>
              </w:rPr>
              <w:t>、网卡控制器：集成2个Intel i350千兆</w:t>
            </w:r>
            <w:r>
              <w:rPr>
                <w:rFonts w:ascii="仿宋" w:hAnsi="仿宋" w:eastAsia="仿宋"/>
                <w:bCs/>
                <w:szCs w:val="21"/>
              </w:rPr>
              <w:t>GE</w:t>
            </w:r>
            <w:r>
              <w:rPr>
                <w:rFonts w:hint="eastAsia" w:ascii="仿宋" w:hAnsi="仿宋" w:eastAsia="仿宋"/>
                <w:bCs/>
                <w:szCs w:val="21"/>
              </w:rPr>
              <w:t>网口；可选配外接千兆及万兆网卡</w:t>
            </w:r>
          </w:p>
          <w:p>
            <w:pPr>
              <w:rPr>
                <w:rFonts w:ascii="仿宋" w:hAnsi="仿宋" w:eastAsia="仿宋"/>
                <w:bCs/>
                <w:szCs w:val="21"/>
              </w:rPr>
            </w:pPr>
            <w:r>
              <w:rPr>
                <w:rFonts w:hint="eastAsia" w:ascii="仿宋" w:hAnsi="仿宋" w:eastAsia="仿宋"/>
                <w:bCs/>
                <w:szCs w:val="21"/>
              </w:rPr>
              <w:t>配置1块双口万兆网卡含双多模SFP+模块</w:t>
            </w:r>
          </w:p>
          <w:p>
            <w:pPr>
              <w:rPr>
                <w:rFonts w:ascii="仿宋" w:hAnsi="仿宋" w:eastAsia="仿宋"/>
                <w:bCs/>
                <w:szCs w:val="21"/>
              </w:rPr>
            </w:pPr>
            <w:r>
              <w:rPr>
                <w:rFonts w:hint="eastAsia" w:ascii="仿宋" w:hAnsi="仿宋" w:eastAsia="仿宋"/>
                <w:bCs/>
                <w:szCs w:val="21"/>
              </w:rPr>
              <w:t>9、电源：标配1400W 1+1 80 PLUS金牌高效热插拔冗余电源</w:t>
            </w:r>
          </w:p>
          <w:p>
            <w:pPr>
              <w:spacing w:line="360" w:lineRule="auto"/>
              <w:rPr>
                <w:rFonts w:ascii="仿宋" w:hAnsi="仿宋" w:eastAsia="仿宋"/>
                <w:bCs/>
                <w:szCs w:val="21"/>
              </w:rPr>
            </w:pPr>
            <w:r>
              <w:rPr>
                <w:rFonts w:hint="eastAsia" w:ascii="仿宋" w:hAnsi="仿宋" w:eastAsia="仿宋"/>
                <w:bCs/>
                <w:szCs w:val="21"/>
              </w:rPr>
              <w:t>10、管理功能：支持IPMI2.0，对外提供1个100/1000 Mbps RJ45管理网口，集成iKVM，支持远程管理</w:t>
            </w:r>
          </w:p>
          <w:p>
            <w:pPr>
              <w:spacing w:line="360" w:lineRule="auto"/>
              <w:rPr>
                <w:rFonts w:ascii="仿宋" w:hAnsi="仿宋" w:eastAsia="仿宋"/>
                <w:bCs/>
                <w:szCs w:val="21"/>
              </w:rPr>
            </w:pPr>
            <w:r>
              <w:rPr>
                <w:rFonts w:hint="eastAsia" w:ascii="仿宋" w:hAnsi="仿宋" w:eastAsia="仿宋"/>
                <w:bCs/>
                <w:szCs w:val="21"/>
              </w:rPr>
              <w:t>11、支持显示集成</w:t>
            </w:r>
            <w:r>
              <w:rPr>
                <w:rFonts w:ascii="仿宋" w:hAnsi="仿宋" w:eastAsia="仿宋"/>
                <w:bCs/>
                <w:szCs w:val="21"/>
              </w:rPr>
              <w:t>VGA</w:t>
            </w:r>
            <w:r>
              <w:rPr>
                <w:rFonts w:hint="eastAsia" w:ascii="仿宋" w:hAnsi="仿宋" w:eastAsia="仿宋"/>
                <w:bCs/>
                <w:szCs w:val="21"/>
              </w:rPr>
              <w:t>接口，集成</w:t>
            </w:r>
            <w:r>
              <w:rPr>
                <w:rFonts w:ascii="仿宋" w:hAnsi="仿宋" w:eastAsia="仿宋"/>
                <w:bCs/>
                <w:szCs w:val="21"/>
              </w:rPr>
              <w:t xml:space="preserve"> 4</w:t>
            </w:r>
            <w:r>
              <w:rPr>
                <w:rFonts w:hint="eastAsia" w:ascii="仿宋" w:hAnsi="仿宋" w:eastAsia="仿宋"/>
                <w:bCs/>
                <w:szCs w:val="21"/>
              </w:rPr>
              <w:t>个USB</w:t>
            </w:r>
            <w:r>
              <w:rPr>
                <w:rFonts w:ascii="仿宋" w:hAnsi="仿宋" w:eastAsia="仿宋"/>
                <w:bCs/>
                <w:szCs w:val="21"/>
              </w:rPr>
              <w:t>3.0</w:t>
            </w:r>
            <w:r>
              <w:rPr>
                <w:rFonts w:hint="eastAsia" w:ascii="仿宋" w:hAnsi="仿宋" w:eastAsia="仿宋"/>
                <w:bCs/>
                <w:szCs w:val="21"/>
              </w:rPr>
              <w:t>接口</w:t>
            </w:r>
            <w:r>
              <w:rPr>
                <w:rFonts w:ascii="仿宋" w:hAnsi="仿宋" w:eastAsia="仿宋"/>
                <w:bCs/>
                <w:szCs w:val="21"/>
              </w:rPr>
              <w:t>；</w:t>
            </w:r>
          </w:p>
          <w:p>
            <w:pPr>
              <w:spacing w:line="360" w:lineRule="auto"/>
              <w:rPr>
                <w:rFonts w:ascii="仿宋" w:hAnsi="仿宋" w:eastAsia="仿宋"/>
                <w:bCs/>
                <w:szCs w:val="21"/>
              </w:rPr>
            </w:pPr>
            <w:r>
              <w:rPr>
                <w:rFonts w:hint="eastAsia" w:ascii="仿宋" w:hAnsi="仿宋" w:eastAsia="仿宋"/>
                <w:bCs/>
                <w:szCs w:val="21"/>
              </w:rPr>
              <w:t>12、远程管理功能：标配远程管理功能，可实现与操作系统无关的远程对服务器的完全控制，功能包括:</w:t>
            </w:r>
          </w:p>
          <w:p>
            <w:pPr>
              <w:spacing w:line="360" w:lineRule="auto"/>
              <w:rPr>
                <w:rFonts w:ascii="仿宋" w:hAnsi="仿宋" w:eastAsia="仿宋"/>
                <w:bCs/>
                <w:szCs w:val="21"/>
              </w:rPr>
            </w:pPr>
            <w:r>
              <w:rPr>
                <w:rFonts w:hint="eastAsia" w:ascii="仿宋" w:hAnsi="仿宋" w:eastAsia="仿宋"/>
                <w:bCs/>
                <w:szCs w:val="21"/>
              </w:rPr>
              <w:t>（1）虚拟电源可远程开机、重启、关机；</w:t>
            </w:r>
          </w:p>
          <w:p>
            <w:pPr>
              <w:spacing w:line="360" w:lineRule="auto"/>
              <w:rPr>
                <w:rFonts w:ascii="仿宋" w:hAnsi="仿宋" w:eastAsia="仿宋"/>
                <w:bCs/>
                <w:szCs w:val="21"/>
              </w:rPr>
            </w:pPr>
            <w:r>
              <w:rPr>
                <w:rFonts w:hint="eastAsia" w:ascii="仿宋" w:hAnsi="仿宋" w:eastAsia="仿宋"/>
                <w:bCs/>
                <w:szCs w:val="21"/>
              </w:rPr>
              <w:t>（2）更新Firmware;支持远程故障现象重现；</w:t>
            </w:r>
          </w:p>
          <w:p>
            <w:pPr>
              <w:spacing w:line="360" w:lineRule="auto"/>
              <w:rPr>
                <w:rFonts w:ascii="仿宋" w:hAnsi="仿宋" w:eastAsia="仿宋"/>
                <w:bCs/>
                <w:szCs w:val="21"/>
              </w:rPr>
            </w:pPr>
            <w:r>
              <w:rPr>
                <w:rFonts w:hint="eastAsia" w:ascii="仿宋" w:hAnsi="仿宋" w:eastAsia="仿宋"/>
                <w:bCs/>
                <w:szCs w:val="21"/>
              </w:rPr>
              <w:t>（3）虚拟控制台可远程监控图形界面，可远程从本地软盘和光盘或其影像启动安装、操作Windows,Linux等软件（虚拟软驱、虚拟光驱、虚拟目录和虚拟U盘）；</w:t>
            </w:r>
          </w:p>
          <w:p>
            <w:pPr>
              <w:spacing w:line="360" w:lineRule="auto"/>
              <w:rPr>
                <w:rFonts w:ascii="仿宋" w:hAnsi="仿宋" w:eastAsia="仿宋"/>
                <w:bCs/>
                <w:szCs w:val="21"/>
              </w:rPr>
            </w:pPr>
            <w:r>
              <w:rPr>
                <w:rFonts w:hint="eastAsia" w:ascii="仿宋" w:hAnsi="仿宋" w:eastAsia="仿宋"/>
                <w:bCs/>
                <w:szCs w:val="21"/>
              </w:rPr>
              <w:t>（4）主板集成iBMC，可实现远程iKVM；</w:t>
            </w:r>
          </w:p>
          <w:p>
            <w:pPr>
              <w:spacing w:line="360" w:lineRule="auto"/>
              <w:rPr>
                <w:rFonts w:ascii="仿宋" w:hAnsi="仿宋" w:eastAsia="仿宋"/>
                <w:bCs/>
                <w:szCs w:val="21"/>
              </w:rPr>
            </w:pPr>
            <w:r>
              <w:rPr>
                <w:rFonts w:hint="eastAsia" w:ascii="仿宋" w:hAnsi="仿宋" w:eastAsia="仿宋"/>
                <w:bCs/>
                <w:szCs w:val="21"/>
              </w:rPr>
              <w:t>13、操作系统支持:</w:t>
            </w:r>
            <w:r>
              <w:rPr>
                <w:rFonts w:ascii="仿宋" w:hAnsi="仿宋" w:eastAsia="仿宋"/>
                <w:bCs/>
                <w:szCs w:val="21"/>
              </w:rPr>
              <w:t xml:space="preserve"> Windows Server </w:t>
            </w:r>
            <w:r>
              <w:rPr>
                <w:rFonts w:hint="eastAsia" w:ascii="仿宋" w:hAnsi="仿宋" w:eastAsia="仿宋"/>
                <w:bCs/>
                <w:szCs w:val="21"/>
              </w:rPr>
              <w:t xml:space="preserve"> </w:t>
            </w:r>
            <w:r>
              <w:rPr>
                <w:rFonts w:ascii="仿宋" w:hAnsi="仿宋" w:eastAsia="仿宋"/>
                <w:bCs/>
                <w:szCs w:val="21"/>
              </w:rPr>
              <w:t xml:space="preserve">2012 </w:t>
            </w:r>
            <w:r>
              <w:rPr>
                <w:rFonts w:hint="eastAsia" w:ascii="仿宋" w:hAnsi="仿宋" w:eastAsia="仿宋"/>
                <w:bCs/>
                <w:szCs w:val="21"/>
              </w:rPr>
              <w:t>、</w:t>
            </w:r>
            <w:r>
              <w:rPr>
                <w:rFonts w:ascii="仿宋" w:hAnsi="仿宋" w:eastAsia="仿宋"/>
                <w:bCs/>
                <w:szCs w:val="21"/>
              </w:rPr>
              <w:t>中标麒麟高级服务器操作系统V6.0 Update5</w:t>
            </w:r>
            <w:r>
              <w:rPr>
                <w:rFonts w:ascii="Calibri" w:eastAsia="仿宋" w:cs="Calibri"/>
                <w:bCs/>
                <w:szCs w:val="21"/>
              </w:rPr>
              <w:t> </w:t>
            </w:r>
            <w:r>
              <w:rPr>
                <w:rFonts w:ascii="仿宋" w:hAnsi="仿宋" w:eastAsia="仿宋"/>
                <w:bCs/>
                <w:szCs w:val="21"/>
              </w:rPr>
              <w:t>，</w:t>
            </w:r>
          </w:p>
          <w:p>
            <w:pPr>
              <w:spacing w:line="360" w:lineRule="auto"/>
              <w:rPr>
                <w:rFonts w:ascii="仿宋" w:hAnsi="仿宋" w:eastAsia="仿宋"/>
                <w:bCs/>
                <w:szCs w:val="21"/>
              </w:rPr>
            </w:pPr>
            <w:r>
              <w:rPr>
                <w:rFonts w:ascii="仿宋" w:hAnsi="仿宋" w:eastAsia="仿宋"/>
                <w:bCs/>
                <w:szCs w:val="21"/>
              </w:rPr>
              <w:t>Red Hat* Enterprise Advanced Server 6.5</w:t>
            </w:r>
            <w:r>
              <w:rPr>
                <w:rFonts w:hint="eastAsia" w:ascii="仿宋" w:hAnsi="仿宋" w:eastAsia="仿宋"/>
                <w:bCs/>
                <w:szCs w:val="21"/>
              </w:rPr>
              <w:t>，</w:t>
            </w:r>
            <w:r>
              <w:rPr>
                <w:rFonts w:ascii="仿宋" w:hAnsi="仿宋" w:eastAsia="仿宋"/>
                <w:bCs/>
                <w:szCs w:val="21"/>
              </w:rPr>
              <w:t xml:space="preserve"> Ubuntu 14.04</w:t>
            </w:r>
            <w:r>
              <w:rPr>
                <w:rFonts w:hint="eastAsia" w:ascii="仿宋" w:hAnsi="仿宋" w:eastAsia="仿宋"/>
                <w:bCs/>
                <w:szCs w:val="21"/>
              </w:rPr>
              <w:t>等</w:t>
            </w:r>
          </w:p>
          <w:p>
            <w:pPr>
              <w:spacing w:line="360" w:lineRule="auto"/>
              <w:rPr>
                <w:rFonts w:ascii="仿宋" w:hAnsi="仿宋" w:eastAsia="仿宋"/>
                <w:bCs/>
                <w:szCs w:val="21"/>
              </w:rPr>
            </w:pPr>
            <w:r>
              <w:rPr>
                <w:rFonts w:hint="eastAsia"/>
                <w:b/>
                <w:sz w:val="22"/>
                <w:szCs w:val="22"/>
              </w:rPr>
              <w:t>▲</w:t>
            </w:r>
            <w:r>
              <w:rPr>
                <w:rFonts w:hint="eastAsia" w:ascii="仿宋" w:hAnsi="仿宋" w:eastAsia="仿宋"/>
                <w:bCs/>
                <w:szCs w:val="21"/>
              </w:rPr>
              <w:t>14、保修：原厂整机出货，原厂商</w:t>
            </w:r>
            <w:r>
              <w:rPr>
                <w:rFonts w:ascii="仿宋" w:hAnsi="仿宋" w:eastAsia="仿宋"/>
                <w:bCs/>
                <w:szCs w:val="21"/>
              </w:rPr>
              <w:t>5</w:t>
            </w:r>
            <w:r>
              <w:rPr>
                <w:rFonts w:hint="eastAsia" w:ascii="仿宋" w:hAnsi="仿宋" w:eastAsia="仿宋"/>
                <w:bCs/>
                <w:szCs w:val="21"/>
              </w:rPr>
              <w:t>年有限保修及上门服务，原厂</w:t>
            </w:r>
            <w:r>
              <w:rPr>
                <w:rFonts w:ascii="仿宋" w:hAnsi="仿宋" w:eastAsia="仿宋"/>
                <w:bCs/>
                <w:szCs w:val="21"/>
              </w:rPr>
              <w:t>5</w:t>
            </w:r>
            <w:r>
              <w:rPr>
                <w:rFonts w:hint="eastAsia" w:ascii="仿宋" w:hAnsi="仿宋" w:eastAsia="仿宋"/>
                <w:bCs/>
                <w:szCs w:val="21"/>
              </w:rPr>
              <w:t>年7*24小时电话支持服务，电话支持服务无法解决问题的需24小时内到达现场解决。</w:t>
            </w:r>
          </w:p>
          <w:p>
            <w:pPr>
              <w:spacing w:line="360" w:lineRule="auto"/>
              <w:rPr>
                <w:rFonts w:ascii="仿宋" w:hAnsi="仿宋" w:eastAsia="仿宋"/>
                <w:bCs/>
                <w:szCs w:val="21"/>
              </w:rPr>
            </w:pPr>
            <w:r>
              <w:rPr>
                <w:rFonts w:hint="eastAsia" w:ascii="仿宋" w:hAnsi="仿宋" w:eastAsia="仿宋"/>
                <w:bCs/>
                <w:szCs w:val="21"/>
              </w:rPr>
              <w:t>15、认证：CCC、ISO 14001环境管理体系认证、ISO 9001质量管理体系认证、信息技术服务管理体系认证、ISO27001信息安全证书、OHSAS18001职业健康安全管理体系认证、中国环境标志产品认证证书、NETC国家数字电子产品质检检验报告；</w:t>
            </w:r>
          </w:p>
          <w:p>
            <w:pPr>
              <w:spacing w:line="360" w:lineRule="auto"/>
              <w:rPr>
                <w:rFonts w:ascii="仿宋" w:hAnsi="仿宋" w:eastAsia="仿宋"/>
                <w:bCs/>
                <w:szCs w:val="21"/>
              </w:rPr>
            </w:pPr>
            <w:r>
              <w:rPr>
                <w:rFonts w:ascii="仿宋" w:hAnsi="仿宋" w:eastAsia="仿宋"/>
                <w:bCs/>
                <w:szCs w:val="21"/>
              </w:rPr>
              <w:t>16</w:t>
            </w:r>
            <w:r>
              <w:rPr>
                <w:rFonts w:hint="eastAsia" w:ascii="仿宋" w:hAnsi="仿宋" w:eastAsia="仿宋"/>
                <w:bCs/>
                <w:szCs w:val="21"/>
              </w:rPr>
              <w:t>、</w:t>
            </w:r>
            <w:r>
              <w:rPr>
                <w:rFonts w:ascii="仿宋" w:hAnsi="仿宋" w:eastAsia="仿宋"/>
                <w:bCs/>
                <w:szCs w:val="21"/>
              </w:rPr>
              <w:t>支持智能调频功能，降低系统能耗，</w:t>
            </w:r>
            <w:r>
              <w:rPr>
                <w:rFonts w:hint="eastAsia" w:ascii="仿宋" w:hAnsi="仿宋" w:eastAsia="仿宋"/>
                <w:bCs/>
                <w:szCs w:val="21"/>
              </w:rPr>
              <w:t>据热关键器件温度综合调节风扇转速，支持</w:t>
            </w:r>
            <w:r>
              <w:rPr>
                <w:rFonts w:ascii="仿宋" w:hAnsi="仿宋" w:eastAsia="仿宋"/>
                <w:bCs/>
                <w:szCs w:val="21"/>
              </w:rPr>
              <w:t>PDCM v2.0(能效</w:t>
            </w:r>
            <w:r>
              <w:rPr>
                <w:rFonts w:hint="eastAsia" w:ascii="仿宋" w:hAnsi="仿宋" w:eastAsia="仿宋"/>
                <w:bCs/>
                <w:szCs w:val="21"/>
              </w:rPr>
              <w:t>管理器</w:t>
            </w:r>
            <w:r>
              <w:rPr>
                <w:rFonts w:ascii="仿宋" w:hAnsi="仿宋" w:eastAsia="仿宋"/>
                <w:bCs/>
                <w:szCs w:val="21"/>
              </w:rPr>
              <w:t>),</w:t>
            </w:r>
            <w:r>
              <w:rPr>
                <w:rFonts w:hint="eastAsia" w:ascii="仿宋" w:hAnsi="仿宋" w:eastAsia="仿宋"/>
                <w:bCs/>
                <w:szCs w:val="21"/>
              </w:rPr>
              <w:t>提供自动化服务器功耗控制，有助于以更少的资源完成更多任务；</w:t>
            </w:r>
          </w:p>
          <w:p>
            <w:pPr>
              <w:spacing w:line="360" w:lineRule="auto"/>
              <w:rPr>
                <w:rFonts w:ascii="仿宋" w:hAnsi="仿宋" w:eastAsia="仿宋"/>
                <w:bCs/>
                <w:szCs w:val="21"/>
              </w:rPr>
            </w:pPr>
            <w:r>
              <w:rPr>
                <w:rFonts w:ascii="仿宋" w:hAnsi="仿宋" w:eastAsia="仿宋"/>
                <w:bCs/>
                <w:szCs w:val="21"/>
              </w:rPr>
              <w:t>17</w:t>
            </w:r>
            <w:r>
              <w:rPr>
                <w:rFonts w:hint="eastAsia" w:ascii="仿宋" w:hAnsi="仿宋" w:eastAsia="仿宋"/>
                <w:bCs/>
                <w:szCs w:val="21"/>
              </w:rPr>
              <w:t>、虚拟化功能：含企业版虚拟化软件，可出厂预装，随机含安装介质。自带虚拟软件，支持物理主机HA功能，当集群中的主机硬件发生故障时，该主机上的虚拟机可以在集群之内的其它主机上自动重启；通过实时监控主机的CPU、内存利用率，并根据配置的规则策略，根据主机负载状况在集群中自动均衡虚拟机的分布；对重要业务虚机的重启、删除等操作，需输入管理员密码才可重启、删除等操作，有效防止误操作。</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13</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裸光纤</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四大运营商各一条，至公安局二条</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hint="eastAsia" w:ascii="仿宋" w:hAnsi="仿宋" w:eastAsia="仿宋"/>
                <w:bCs/>
                <w:szCs w:val="21"/>
              </w:rPr>
            </w:pPr>
            <w:r>
              <w:rPr>
                <w:rFonts w:hint="eastAsia" w:ascii="仿宋" w:hAnsi="仿宋" w:eastAsia="仿宋"/>
                <w:bCs/>
                <w:szCs w:val="21"/>
              </w:rPr>
              <w:t>6</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hint="eastAsia" w:ascii="仿宋" w:hAnsi="仿宋" w:eastAsia="仿宋"/>
                <w:bCs/>
                <w:szCs w:val="21"/>
              </w:rPr>
            </w:pPr>
            <w:r>
              <w:rPr>
                <w:rFonts w:hint="eastAsia" w:ascii="仿宋" w:hAnsi="仿宋" w:eastAsia="仿宋"/>
                <w:bCs/>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核心交换机</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交换容量</w:t>
            </w:r>
            <w:r>
              <w:rPr>
                <w:rFonts w:ascii="Arial" w:hAnsi="Arial" w:eastAsia="仿宋" w:cs="Arial"/>
                <w:bCs/>
                <w:szCs w:val="21"/>
              </w:rPr>
              <w:t>≥</w:t>
            </w:r>
            <w:r>
              <w:rPr>
                <w:rFonts w:hint="eastAsia" w:ascii="仿宋" w:hAnsi="仿宋" w:eastAsia="仿宋"/>
                <w:bCs/>
                <w:szCs w:val="21"/>
              </w:rPr>
              <w:t>2Tbit/s、背板容量</w:t>
            </w:r>
            <w:r>
              <w:rPr>
                <w:rFonts w:ascii="Arial" w:hAnsi="Arial" w:eastAsia="仿宋" w:cs="Arial"/>
                <w:bCs/>
                <w:szCs w:val="21"/>
              </w:rPr>
              <w:t>≥</w:t>
            </w:r>
            <w:r>
              <w:rPr>
                <w:rFonts w:hint="eastAsia" w:ascii="Arial" w:hAnsi="Arial" w:eastAsia="仿宋" w:cs="Arial"/>
                <w:bCs/>
                <w:szCs w:val="21"/>
              </w:rPr>
              <w:t>6Tbit/s、转发能力</w:t>
            </w:r>
            <w:r>
              <w:rPr>
                <w:rFonts w:ascii="Arial" w:hAnsi="Arial" w:eastAsia="仿宋" w:cs="Arial"/>
                <w:bCs/>
                <w:szCs w:val="21"/>
              </w:rPr>
              <w:t>≥</w:t>
            </w:r>
            <w:r>
              <w:rPr>
                <w:rFonts w:hint="eastAsia" w:ascii="Arial" w:hAnsi="Arial" w:eastAsia="仿宋" w:cs="Arial"/>
                <w:bCs/>
                <w:szCs w:val="21"/>
              </w:rPr>
              <w:t>1152Mpps、业务槽位</w:t>
            </w:r>
            <w:r>
              <w:rPr>
                <w:rFonts w:ascii="Arial" w:hAnsi="Arial" w:eastAsia="仿宋" w:cs="Arial"/>
                <w:bCs/>
                <w:szCs w:val="21"/>
              </w:rPr>
              <w:t>≥</w:t>
            </w:r>
            <w:r>
              <w:rPr>
                <w:rFonts w:hint="eastAsia" w:ascii="Arial" w:hAnsi="Arial" w:eastAsia="仿宋" w:cs="Arial"/>
                <w:bCs/>
                <w:szCs w:val="21"/>
              </w:rPr>
              <w:t>6</w:t>
            </w:r>
            <w:r>
              <w:rPr>
                <w:rFonts w:hint="eastAsia" w:ascii="仿宋" w:hAnsi="仿宋" w:eastAsia="仿宋"/>
                <w:bCs/>
                <w:szCs w:val="21"/>
              </w:rPr>
              <w:t>、800W交流电源模块2块 、主控处理单元2块 、32端口万兆以太网光接口板(X2S,SFP+)一块、4端口万兆光接口和24端口百兆/千兆光接口和8端口十兆/百兆/千兆combo电接口板(X1C,RJ45/SFP/SFP+)一块</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hint="eastAsia" w:ascii="仿宋" w:hAnsi="仿宋" w:eastAsia="仿宋"/>
                <w:bCs/>
                <w:szCs w:val="21"/>
              </w:rPr>
            </w:pPr>
            <w:r>
              <w:rPr>
                <w:rFonts w:hint="eastAsia" w:ascii="仿宋" w:hAnsi="仿宋" w:eastAsia="仿宋"/>
                <w:bCs/>
                <w:szCs w:val="21"/>
              </w:rPr>
              <w:t>2</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hint="eastAsia" w:ascii="仿宋" w:hAnsi="仿宋" w:eastAsia="仿宋"/>
                <w:bCs/>
                <w:szCs w:val="21"/>
              </w:rPr>
            </w:pPr>
            <w:r>
              <w:rPr>
                <w:rFonts w:hint="eastAsia" w:ascii="仿宋" w:hAnsi="仿宋" w:eastAsia="仿宋"/>
                <w:bCs/>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光模块1</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ascii="仿宋" w:hAnsi="仿宋" w:eastAsia="仿宋"/>
                <w:bCs/>
                <w:szCs w:val="21"/>
              </w:rPr>
            </w:pPr>
            <w:r>
              <w:rPr>
                <w:rFonts w:hint="eastAsia" w:ascii="仿宋" w:hAnsi="仿宋" w:eastAsia="仿宋"/>
                <w:bCs/>
                <w:szCs w:val="21"/>
              </w:rPr>
              <w:t>光模块-SFP+-10G-多模模块(850nm,0.3km,LC)</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60</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光模块2</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hint="eastAsia" w:ascii="仿宋" w:hAnsi="仿宋" w:eastAsia="仿宋"/>
                <w:bCs/>
                <w:szCs w:val="21"/>
              </w:rPr>
            </w:pPr>
            <w:r>
              <w:rPr>
                <w:rFonts w:hint="eastAsia" w:ascii="仿宋" w:hAnsi="仿宋" w:eastAsia="仿宋"/>
                <w:bCs/>
                <w:szCs w:val="21"/>
              </w:rPr>
              <w:t>光模块-SFP+-10G-单模模块(1310nm,10km,LC)</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12</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rPr>
            </w:pPr>
            <w:r>
              <w:rPr>
                <w:rFonts w:hint="eastAsia" w:ascii="仿宋" w:hAnsi="仿宋" w:eastAsia="仿宋"/>
              </w:rPr>
              <w:t>尾纤</w:t>
            </w:r>
          </w:p>
        </w:tc>
        <w:tc>
          <w:tcPr>
            <w:tcW w:w="588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auto"/>
              <w:rPr>
                <w:rFonts w:ascii="仿宋" w:hAnsi="仿宋" w:eastAsia="仿宋"/>
                <w:bCs/>
                <w:szCs w:val="21"/>
              </w:rPr>
            </w:pPr>
            <w:r>
              <w:rPr>
                <w:rFonts w:hint="eastAsia" w:ascii="仿宋" w:hAnsi="仿宋" w:eastAsia="仿宋"/>
                <w:bCs/>
                <w:szCs w:val="21"/>
              </w:rPr>
              <w:t>项目配套尾纤</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120</w:t>
            </w:r>
          </w:p>
        </w:tc>
        <w:tc>
          <w:tcPr>
            <w:tcW w:w="818" w:type="dxa"/>
            <w:tcBorders>
              <w:top w:val="single" w:color="auto" w:sz="4" w:space="0"/>
              <w:left w:val="single" w:color="auto" w:sz="4" w:space="0"/>
              <w:bottom w:val="single" w:color="auto" w:sz="4" w:space="0"/>
              <w:right w:val="single" w:color="auto" w:sz="4" w:space="0"/>
            </w:tcBorders>
            <w:shd w:val="clear" w:color="000000" w:fill="FFFFFF"/>
            <w:noWrap w:val="0"/>
            <w:vAlign w:val="top"/>
          </w:tcPr>
          <w:p>
            <w:pPr>
              <w:spacing w:line="360" w:lineRule="auto"/>
              <w:rPr>
                <w:rFonts w:ascii="仿宋" w:hAnsi="仿宋" w:eastAsia="仿宋"/>
                <w:bCs/>
                <w:szCs w:val="21"/>
              </w:rPr>
            </w:pPr>
            <w:r>
              <w:rPr>
                <w:rFonts w:hint="eastAsia" w:ascii="仿宋" w:hAnsi="仿宋" w:eastAsia="仿宋"/>
                <w:bCs/>
                <w:szCs w:val="21"/>
              </w:rPr>
              <w:t>条</w:t>
            </w:r>
          </w:p>
        </w:tc>
      </w:tr>
    </w:tbl>
    <w:p>
      <w:pPr>
        <w:spacing w:line="480" w:lineRule="auto"/>
        <w:ind w:firstLine="420"/>
        <w:rPr>
          <w:rFonts w:hint="eastAsia" w:ascii="新宋体" w:hAnsi="新宋体" w:eastAsia="新宋体" w:cs="新宋体"/>
          <w:bCs/>
          <w:sz w:val="22"/>
          <w:szCs w:val="22"/>
        </w:rPr>
      </w:pPr>
      <w:r>
        <w:rPr>
          <w:rFonts w:hint="eastAsia" w:ascii="新宋体" w:hAnsi="新宋体" w:eastAsia="新宋体" w:cs="新宋体"/>
          <w:bCs/>
          <w:sz w:val="22"/>
          <w:szCs w:val="22"/>
        </w:rPr>
        <w:t>采购清单2</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6"/>
        <w:gridCol w:w="1311"/>
        <w:gridCol w:w="3956"/>
        <w:gridCol w:w="90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1646" w:type="dxa"/>
            <w:noWrap w:val="0"/>
            <w:vAlign w:val="top"/>
          </w:tcPr>
          <w:p>
            <w:pPr>
              <w:pStyle w:val="310"/>
              <w:rPr>
                <w:sz w:val="24"/>
                <w:szCs w:val="24"/>
              </w:rPr>
            </w:pPr>
            <w:r>
              <w:rPr>
                <w:sz w:val="24"/>
                <w:szCs w:val="24"/>
              </w:rPr>
              <w:t>建设内容</w:t>
            </w:r>
          </w:p>
        </w:tc>
        <w:tc>
          <w:tcPr>
            <w:tcW w:w="1311" w:type="dxa"/>
            <w:noWrap w:val="0"/>
            <w:vAlign w:val="top"/>
          </w:tcPr>
          <w:p>
            <w:pPr>
              <w:pStyle w:val="310"/>
              <w:rPr>
                <w:sz w:val="24"/>
                <w:szCs w:val="24"/>
              </w:rPr>
            </w:pPr>
            <w:r>
              <w:rPr>
                <w:sz w:val="24"/>
                <w:szCs w:val="24"/>
              </w:rPr>
              <w:t>建设大类</w:t>
            </w:r>
          </w:p>
        </w:tc>
        <w:tc>
          <w:tcPr>
            <w:tcW w:w="3956" w:type="dxa"/>
            <w:noWrap w:val="0"/>
            <w:vAlign w:val="top"/>
          </w:tcPr>
          <w:p>
            <w:pPr>
              <w:pStyle w:val="310"/>
              <w:rPr>
                <w:sz w:val="24"/>
                <w:szCs w:val="24"/>
              </w:rPr>
            </w:pPr>
            <w:r>
              <w:rPr>
                <w:sz w:val="24"/>
                <w:szCs w:val="24"/>
              </w:rPr>
              <w:t>二级建设种类</w:t>
            </w:r>
          </w:p>
        </w:tc>
        <w:tc>
          <w:tcPr>
            <w:tcW w:w="905" w:type="dxa"/>
            <w:noWrap w:val="0"/>
            <w:vAlign w:val="top"/>
          </w:tcPr>
          <w:p>
            <w:pPr>
              <w:pStyle w:val="310"/>
              <w:spacing w:line="324" w:lineRule="auto"/>
              <w:ind w:left="191" w:right="182"/>
              <w:rPr>
                <w:sz w:val="24"/>
                <w:szCs w:val="24"/>
              </w:rPr>
            </w:pPr>
            <w:r>
              <w:rPr>
                <w:sz w:val="24"/>
                <w:szCs w:val="24"/>
              </w:rPr>
              <w:t>数量</w:t>
            </w:r>
          </w:p>
        </w:tc>
        <w:tc>
          <w:tcPr>
            <w:tcW w:w="900" w:type="dxa"/>
            <w:noWrap w:val="0"/>
            <w:vAlign w:val="top"/>
          </w:tcPr>
          <w:p>
            <w:pPr>
              <w:pStyle w:val="310"/>
              <w:spacing w:line="324" w:lineRule="auto"/>
              <w:ind w:left="122" w:right="109"/>
              <w:rPr>
                <w:sz w:val="24"/>
                <w:szCs w:val="24"/>
              </w:rPr>
            </w:pPr>
            <w:r>
              <w:rPr>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646" w:type="dxa"/>
            <w:vMerge w:val="restart"/>
            <w:noWrap w:val="0"/>
            <w:vAlign w:val="top"/>
          </w:tcPr>
          <w:p>
            <w:pPr>
              <w:pStyle w:val="310"/>
              <w:spacing w:before="40" w:line="324" w:lineRule="auto"/>
              <w:ind w:right="58"/>
              <w:rPr>
                <w:sz w:val="24"/>
                <w:szCs w:val="24"/>
              </w:rPr>
            </w:pPr>
            <w:r>
              <w:rPr>
                <w:sz w:val="24"/>
                <w:szCs w:val="24"/>
              </w:rPr>
              <w:t>基础数据与服务</w:t>
            </w:r>
          </w:p>
        </w:tc>
        <w:tc>
          <w:tcPr>
            <w:tcW w:w="1311" w:type="dxa"/>
            <w:vMerge w:val="restart"/>
            <w:noWrap w:val="0"/>
            <w:vAlign w:val="top"/>
          </w:tcPr>
          <w:p>
            <w:pPr>
              <w:pStyle w:val="310"/>
              <w:spacing w:before="40" w:line="324" w:lineRule="auto"/>
              <w:ind w:right="99"/>
              <w:rPr>
                <w:sz w:val="24"/>
                <w:szCs w:val="24"/>
              </w:rPr>
            </w:pPr>
            <w:r>
              <w:rPr>
                <w:sz w:val="24"/>
                <w:szCs w:val="24"/>
              </w:rPr>
              <w:t>基础数据整合建设</w:t>
            </w:r>
          </w:p>
        </w:tc>
        <w:tc>
          <w:tcPr>
            <w:tcW w:w="3956" w:type="dxa"/>
            <w:noWrap w:val="0"/>
            <w:vAlign w:val="top"/>
          </w:tcPr>
          <w:p>
            <w:pPr>
              <w:pStyle w:val="310"/>
              <w:spacing w:before="40"/>
              <w:rPr>
                <w:sz w:val="24"/>
                <w:szCs w:val="24"/>
              </w:rPr>
            </w:pPr>
            <w:r>
              <w:rPr>
                <w:sz w:val="24"/>
                <w:szCs w:val="24"/>
              </w:rPr>
              <w:t>数据整合</w:t>
            </w:r>
          </w:p>
        </w:tc>
        <w:tc>
          <w:tcPr>
            <w:tcW w:w="905" w:type="dxa"/>
            <w:vMerge w:val="restart"/>
            <w:noWrap w:val="0"/>
            <w:vAlign w:val="top"/>
          </w:tcPr>
          <w:p>
            <w:pPr>
              <w:pStyle w:val="310"/>
              <w:spacing w:before="40"/>
              <w:rPr>
                <w:sz w:val="24"/>
                <w:szCs w:val="24"/>
              </w:rPr>
            </w:pPr>
            <w:r>
              <w:rPr>
                <w:sz w:val="24"/>
                <w:szCs w:val="24"/>
              </w:rPr>
              <w:t>1</w:t>
            </w:r>
          </w:p>
        </w:tc>
        <w:tc>
          <w:tcPr>
            <w:tcW w:w="900" w:type="dxa"/>
            <w:vMerge w:val="restart"/>
            <w:noWrap w:val="0"/>
            <w:vAlign w:val="top"/>
          </w:tcPr>
          <w:p>
            <w:pPr>
              <w:pStyle w:val="310"/>
              <w:spacing w:before="4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数据处理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数据流控</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流程管理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调度服务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基础标准规范建设</w:t>
            </w:r>
          </w:p>
        </w:tc>
        <w:tc>
          <w:tcPr>
            <w:tcW w:w="3956" w:type="dxa"/>
            <w:noWrap w:val="0"/>
            <w:vAlign w:val="top"/>
          </w:tcPr>
          <w:p>
            <w:pPr>
              <w:pStyle w:val="310"/>
              <w:rPr>
                <w:sz w:val="24"/>
                <w:szCs w:val="24"/>
              </w:rPr>
            </w:pPr>
            <w:r>
              <w:rPr>
                <w:sz w:val="24"/>
                <w:szCs w:val="24"/>
              </w:rPr>
              <w:t>数据规范设计</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融合数据库</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数据字典建设</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数据透视建表</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基础大数据交互建设</w:t>
            </w:r>
          </w:p>
        </w:tc>
        <w:tc>
          <w:tcPr>
            <w:tcW w:w="3956" w:type="dxa"/>
            <w:noWrap w:val="0"/>
            <w:vAlign w:val="top"/>
          </w:tcPr>
          <w:p>
            <w:pPr>
              <w:pStyle w:val="310"/>
              <w:rPr>
                <w:sz w:val="24"/>
                <w:szCs w:val="24"/>
              </w:rPr>
            </w:pPr>
            <w:r>
              <w:rPr>
                <w:sz w:val="24"/>
                <w:szCs w:val="24"/>
              </w:rPr>
              <w:t>高密度接入设计</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高密高速实时处理模块</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自然语义模块</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14"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1"/>
              <w:rPr>
                <w:sz w:val="24"/>
                <w:szCs w:val="24"/>
              </w:rPr>
            </w:pPr>
            <w:r>
              <w:rPr>
                <w:sz w:val="24"/>
                <w:szCs w:val="24"/>
              </w:rPr>
              <w:t>数据信息挖掘</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基础数服务建设</w:t>
            </w:r>
          </w:p>
        </w:tc>
        <w:tc>
          <w:tcPr>
            <w:tcW w:w="3956" w:type="dxa"/>
            <w:noWrap w:val="0"/>
            <w:vAlign w:val="top"/>
          </w:tcPr>
          <w:p>
            <w:pPr>
              <w:pStyle w:val="310"/>
              <w:rPr>
                <w:sz w:val="24"/>
                <w:szCs w:val="24"/>
              </w:rPr>
            </w:pPr>
            <w:r>
              <w:rPr>
                <w:sz w:val="24"/>
                <w:szCs w:val="24"/>
              </w:rPr>
              <w:t>特征提取服务</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存储服务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数据融合</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检索服务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布控服务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before="40" w:line="324" w:lineRule="auto"/>
              <w:ind w:right="99"/>
              <w:rPr>
                <w:sz w:val="24"/>
                <w:szCs w:val="24"/>
              </w:rPr>
            </w:pPr>
            <w:r>
              <w:rPr>
                <w:sz w:val="24"/>
                <w:szCs w:val="24"/>
              </w:rPr>
              <w:t>服务与搜索引擎建设</w:t>
            </w:r>
          </w:p>
        </w:tc>
        <w:tc>
          <w:tcPr>
            <w:tcW w:w="3956" w:type="dxa"/>
            <w:noWrap w:val="0"/>
            <w:vAlign w:val="top"/>
          </w:tcPr>
          <w:p>
            <w:pPr>
              <w:pStyle w:val="310"/>
              <w:spacing w:before="40"/>
              <w:rPr>
                <w:sz w:val="24"/>
                <w:szCs w:val="24"/>
              </w:rPr>
            </w:pPr>
            <w:r>
              <w:rPr>
                <w:sz w:val="24"/>
                <w:szCs w:val="24"/>
              </w:rPr>
              <w:t>GIS 信息分发服务引擎</w:t>
            </w:r>
          </w:p>
        </w:tc>
        <w:tc>
          <w:tcPr>
            <w:tcW w:w="905" w:type="dxa"/>
            <w:vMerge w:val="restart"/>
            <w:noWrap w:val="0"/>
            <w:vAlign w:val="top"/>
          </w:tcPr>
          <w:p>
            <w:pPr>
              <w:pStyle w:val="310"/>
              <w:spacing w:before="40"/>
              <w:rPr>
                <w:sz w:val="24"/>
                <w:szCs w:val="24"/>
              </w:rPr>
            </w:pPr>
            <w:r>
              <w:rPr>
                <w:sz w:val="24"/>
                <w:szCs w:val="24"/>
              </w:rPr>
              <w:t>1</w:t>
            </w:r>
          </w:p>
        </w:tc>
        <w:tc>
          <w:tcPr>
            <w:tcW w:w="900" w:type="dxa"/>
            <w:vMerge w:val="restart"/>
            <w:noWrap w:val="0"/>
            <w:vAlign w:val="top"/>
          </w:tcPr>
          <w:p>
            <w:pPr>
              <w:pStyle w:val="310"/>
              <w:spacing w:before="4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分布式消息引擎</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混合数据源检索引擎</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多业务服务管理</w:t>
            </w:r>
          </w:p>
          <w:p>
            <w:pPr>
              <w:pStyle w:val="310"/>
              <w:spacing w:before="81"/>
              <w:rPr>
                <w:sz w:val="24"/>
                <w:szCs w:val="24"/>
              </w:rPr>
            </w:pPr>
            <w:r>
              <w:rPr>
                <w:sz w:val="24"/>
                <w:szCs w:val="24"/>
              </w:rPr>
              <w:t>引擎</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公安业务平台接入</w:t>
            </w:r>
          </w:p>
        </w:tc>
        <w:tc>
          <w:tcPr>
            <w:tcW w:w="3956" w:type="dxa"/>
            <w:noWrap w:val="0"/>
            <w:vAlign w:val="top"/>
          </w:tcPr>
          <w:p>
            <w:pPr>
              <w:pStyle w:val="310"/>
              <w:rPr>
                <w:sz w:val="24"/>
                <w:szCs w:val="24"/>
              </w:rPr>
            </w:pPr>
            <w:r>
              <w:rPr>
                <w:sz w:val="24"/>
                <w:szCs w:val="24"/>
              </w:rPr>
              <w:t>人脸库接入</w:t>
            </w:r>
          </w:p>
        </w:tc>
        <w:tc>
          <w:tcPr>
            <w:tcW w:w="905" w:type="dxa"/>
            <w:noWrap w:val="0"/>
            <w:vAlign w:val="top"/>
          </w:tcPr>
          <w:p>
            <w:pPr>
              <w:pStyle w:val="310"/>
              <w:rPr>
                <w:sz w:val="24"/>
                <w:szCs w:val="24"/>
              </w:rPr>
            </w:pPr>
            <w:r>
              <w:rPr>
                <w:sz w:val="24"/>
                <w:szCs w:val="24"/>
              </w:rPr>
              <w:t>1</w:t>
            </w:r>
          </w:p>
        </w:tc>
        <w:tc>
          <w:tcPr>
            <w:tcW w:w="900" w:type="dxa"/>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指定库接入</w:t>
            </w:r>
          </w:p>
        </w:tc>
        <w:tc>
          <w:tcPr>
            <w:tcW w:w="905" w:type="dxa"/>
            <w:noWrap w:val="0"/>
            <w:vAlign w:val="top"/>
          </w:tcPr>
          <w:p>
            <w:pPr>
              <w:pStyle w:val="310"/>
              <w:rPr>
                <w:rFonts w:ascii="Times New Roman"/>
                <w:sz w:val="24"/>
                <w:szCs w:val="24"/>
              </w:rPr>
            </w:pPr>
          </w:p>
        </w:tc>
        <w:tc>
          <w:tcPr>
            <w:tcW w:w="900"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1646" w:type="dxa"/>
            <w:vMerge w:val="continue"/>
            <w:tcBorders>
              <w:top w:val="nil"/>
            </w:tcBorders>
            <w:noWrap w:val="0"/>
            <w:vAlign w:val="top"/>
          </w:tcPr>
          <w:p/>
        </w:tc>
        <w:tc>
          <w:tcPr>
            <w:tcW w:w="1311" w:type="dxa"/>
            <w:noWrap w:val="0"/>
            <w:vAlign w:val="top"/>
          </w:tcPr>
          <w:p>
            <w:pPr>
              <w:pStyle w:val="310"/>
              <w:spacing w:before="40"/>
              <w:rPr>
                <w:sz w:val="24"/>
                <w:szCs w:val="24"/>
              </w:rPr>
            </w:pPr>
            <w:r>
              <w:rPr>
                <w:sz w:val="24"/>
                <w:szCs w:val="24"/>
              </w:rPr>
              <w:t>第三方业务</w:t>
            </w:r>
          </w:p>
          <w:p>
            <w:pPr>
              <w:pStyle w:val="310"/>
              <w:spacing w:before="82"/>
              <w:rPr>
                <w:sz w:val="24"/>
                <w:szCs w:val="24"/>
              </w:rPr>
            </w:pPr>
            <w:r>
              <w:rPr>
                <w:sz w:val="24"/>
                <w:szCs w:val="24"/>
              </w:rPr>
              <w:t>平台接入</w:t>
            </w:r>
          </w:p>
        </w:tc>
        <w:tc>
          <w:tcPr>
            <w:tcW w:w="3956" w:type="dxa"/>
            <w:noWrap w:val="0"/>
            <w:vAlign w:val="top"/>
          </w:tcPr>
          <w:p>
            <w:pPr>
              <w:pStyle w:val="310"/>
              <w:spacing w:before="40"/>
              <w:rPr>
                <w:sz w:val="24"/>
                <w:szCs w:val="24"/>
              </w:rPr>
            </w:pPr>
            <w:r>
              <w:rPr>
                <w:sz w:val="24"/>
                <w:szCs w:val="24"/>
              </w:rPr>
              <w:t>按业主单位实际</w:t>
            </w:r>
          </w:p>
          <w:p>
            <w:pPr>
              <w:pStyle w:val="310"/>
              <w:spacing w:before="82"/>
              <w:rPr>
                <w:sz w:val="24"/>
                <w:szCs w:val="24"/>
              </w:rPr>
            </w:pPr>
            <w:r>
              <w:rPr>
                <w:sz w:val="24"/>
                <w:szCs w:val="24"/>
              </w:rPr>
              <w:t>需求</w:t>
            </w:r>
          </w:p>
        </w:tc>
        <w:tc>
          <w:tcPr>
            <w:tcW w:w="905" w:type="dxa"/>
            <w:noWrap w:val="0"/>
            <w:vAlign w:val="top"/>
          </w:tcPr>
          <w:p>
            <w:pPr>
              <w:pStyle w:val="310"/>
              <w:rPr>
                <w:rFonts w:ascii="Times New Roman"/>
                <w:sz w:val="24"/>
                <w:szCs w:val="24"/>
              </w:rPr>
            </w:pPr>
          </w:p>
        </w:tc>
        <w:tc>
          <w:tcPr>
            <w:tcW w:w="900"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46" w:type="dxa"/>
            <w:vMerge w:val="restart"/>
            <w:noWrap w:val="0"/>
            <w:vAlign w:val="top"/>
          </w:tcPr>
          <w:p>
            <w:pPr>
              <w:pStyle w:val="310"/>
              <w:rPr>
                <w:rFonts w:ascii="Times New Roman"/>
                <w:sz w:val="24"/>
                <w:szCs w:val="24"/>
              </w:rPr>
            </w:pPr>
          </w:p>
        </w:tc>
        <w:tc>
          <w:tcPr>
            <w:tcW w:w="1311" w:type="dxa"/>
            <w:vMerge w:val="restart"/>
            <w:noWrap w:val="0"/>
            <w:vAlign w:val="top"/>
          </w:tcPr>
          <w:p>
            <w:pPr>
              <w:pStyle w:val="310"/>
              <w:spacing w:line="324" w:lineRule="auto"/>
              <w:ind w:right="99"/>
              <w:rPr>
                <w:sz w:val="24"/>
                <w:szCs w:val="24"/>
              </w:rPr>
            </w:pPr>
            <w:r>
              <w:rPr>
                <w:sz w:val="24"/>
                <w:szCs w:val="24"/>
              </w:rPr>
              <w:t>基础算法库建设</w:t>
            </w:r>
          </w:p>
        </w:tc>
        <w:tc>
          <w:tcPr>
            <w:tcW w:w="3956" w:type="dxa"/>
            <w:noWrap w:val="0"/>
            <w:vAlign w:val="top"/>
          </w:tcPr>
          <w:p>
            <w:pPr>
              <w:pStyle w:val="310"/>
              <w:rPr>
                <w:sz w:val="24"/>
                <w:szCs w:val="24"/>
              </w:rPr>
            </w:pPr>
            <w:r>
              <w:rPr>
                <w:sz w:val="24"/>
                <w:szCs w:val="24"/>
              </w:rPr>
              <w:t>算法管理引擎</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动态算法库扩展</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算法模型在线更</w:t>
            </w:r>
          </w:p>
          <w:p>
            <w:pPr>
              <w:pStyle w:val="310"/>
              <w:spacing w:before="81"/>
              <w:rPr>
                <w:sz w:val="24"/>
                <w:szCs w:val="24"/>
              </w:rPr>
            </w:pPr>
            <w:r>
              <w:rPr>
                <w:sz w:val="24"/>
                <w:szCs w:val="24"/>
              </w:rPr>
              <w:t>新服务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算法生命周期管理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算法模型本地化</w:t>
            </w:r>
          </w:p>
          <w:p>
            <w:pPr>
              <w:pStyle w:val="310"/>
              <w:spacing w:before="81"/>
              <w:rPr>
                <w:sz w:val="24"/>
                <w:szCs w:val="24"/>
              </w:rPr>
            </w:pPr>
            <w:r>
              <w:rPr>
                <w:sz w:val="24"/>
                <w:szCs w:val="24"/>
              </w:rPr>
              <w:t>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restart"/>
            <w:noWrap w:val="0"/>
            <w:vAlign w:val="top"/>
          </w:tcPr>
          <w:p>
            <w:pPr>
              <w:pStyle w:val="310"/>
              <w:spacing w:line="324" w:lineRule="auto"/>
              <w:ind w:right="58"/>
              <w:rPr>
                <w:sz w:val="24"/>
                <w:szCs w:val="24"/>
              </w:rPr>
            </w:pPr>
            <w:r>
              <w:rPr>
                <w:sz w:val="24"/>
                <w:szCs w:val="24"/>
              </w:rPr>
              <w:t>业务系统建设</w:t>
            </w:r>
          </w:p>
        </w:tc>
        <w:tc>
          <w:tcPr>
            <w:tcW w:w="1311" w:type="dxa"/>
            <w:vMerge w:val="restart"/>
            <w:noWrap w:val="0"/>
            <w:vAlign w:val="top"/>
          </w:tcPr>
          <w:p>
            <w:pPr>
              <w:pStyle w:val="310"/>
              <w:spacing w:line="324" w:lineRule="auto"/>
              <w:ind w:right="99"/>
              <w:rPr>
                <w:sz w:val="24"/>
                <w:szCs w:val="24"/>
              </w:rPr>
            </w:pPr>
            <w:r>
              <w:rPr>
                <w:sz w:val="24"/>
                <w:szCs w:val="24"/>
              </w:rPr>
              <w:t>应用基础业务</w:t>
            </w:r>
          </w:p>
        </w:tc>
        <w:tc>
          <w:tcPr>
            <w:tcW w:w="3956" w:type="dxa"/>
            <w:noWrap w:val="0"/>
            <w:vAlign w:val="top"/>
          </w:tcPr>
          <w:p>
            <w:pPr>
              <w:pStyle w:val="310"/>
              <w:rPr>
                <w:sz w:val="24"/>
                <w:szCs w:val="24"/>
              </w:rPr>
            </w:pPr>
            <w:r>
              <w:rPr>
                <w:sz w:val="24"/>
                <w:szCs w:val="24"/>
              </w:rPr>
              <w:t>视频结构化提取服务</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视图资源整合服务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图片分析服务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非结构化数据检索服务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14"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before="40" w:line="324" w:lineRule="auto"/>
              <w:ind w:right="99"/>
              <w:rPr>
                <w:sz w:val="24"/>
                <w:szCs w:val="24"/>
              </w:rPr>
            </w:pPr>
            <w:r>
              <w:rPr>
                <w:sz w:val="24"/>
                <w:szCs w:val="24"/>
              </w:rPr>
              <w:t>人体特征业务</w:t>
            </w:r>
          </w:p>
        </w:tc>
        <w:tc>
          <w:tcPr>
            <w:tcW w:w="3956" w:type="dxa"/>
            <w:noWrap w:val="0"/>
            <w:vAlign w:val="top"/>
          </w:tcPr>
          <w:p>
            <w:pPr>
              <w:pStyle w:val="310"/>
              <w:spacing w:before="40"/>
              <w:rPr>
                <w:sz w:val="24"/>
                <w:szCs w:val="24"/>
              </w:rPr>
            </w:pPr>
            <w:r>
              <w:rPr>
                <w:sz w:val="24"/>
                <w:szCs w:val="24"/>
              </w:rPr>
              <w:t>人体轨迹分析</w:t>
            </w:r>
          </w:p>
        </w:tc>
        <w:tc>
          <w:tcPr>
            <w:tcW w:w="905" w:type="dxa"/>
            <w:vMerge w:val="restart"/>
            <w:noWrap w:val="0"/>
            <w:vAlign w:val="top"/>
          </w:tcPr>
          <w:p>
            <w:pPr>
              <w:pStyle w:val="310"/>
              <w:spacing w:before="40"/>
              <w:rPr>
                <w:sz w:val="24"/>
                <w:szCs w:val="24"/>
              </w:rPr>
            </w:pPr>
            <w:r>
              <w:rPr>
                <w:sz w:val="24"/>
                <w:szCs w:val="24"/>
              </w:rPr>
              <w:t>1</w:t>
            </w:r>
          </w:p>
        </w:tc>
        <w:tc>
          <w:tcPr>
            <w:tcW w:w="900" w:type="dxa"/>
            <w:vMerge w:val="restart"/>
            <w:noWrap w:val="0"/>
            <w:vAlign w:val="top"/>
          </w:tcPr>
          <w:p>
            <w:pPr>
              <w:pStyle w:val="310"/>
              <w:spacing w:before="4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同行/ 尾随人员分析</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频次分析</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落脚点分析</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人员卡口</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人体布控库</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before="40" w:line="324" w:lineRule="auto"/>
              <w:ind w:right="99"/>
              <w:rPr>
                <w:sz w:val="24"/>
                <w:szCs w:val="24"/>
              </w:rPr>
            </w:pPr>
            <w:r>
              <w:rPr>
                <w:sz w:val="24"/>
                <w:szCs w:val="24"/>
              </w:rPr>
              <w:t>人脸特征业务</w:t>
            </w:r>
          </w:p>
        </w:tc>
        <w:tc>
          <w:tcPr>
            <w:tcW w:w="3956" w:type="dxa"/>
            <w:noWrap w:val="0"/>
            <w:vAlign w:val="top"/>
          </w:tcPr>
          <w:p>
            <w:pPr>
              <w:pStyle w:val="310"/>
              <w:spacing w:before="40"/>
              <w:rPr>
                <w:sz w:val="24"/>
                <w:szCs w:val="24"/>
              </w:rPr>
            </w:pPr>
            <w:r>
              <w:rPr>
                <w:sz w:val="24"/>
                <w:szCs w:val="24"/>
              </w:rPr>
              <w:t>轨迹分析</w:t>
            </w:r>
          </w:p>
        </w:tc>
        <w:tc>
          <w:tcPr>
            <w:tcW w:w="905" w:type="dxa"/>
            <w:vMerge w:val="restart"/>
            <w:noWrap w:val="0"/>
            <w:vAlign w:val="top"/>
          </w:tcPr>
          <w:p>
            <w:pPr>
              <w:pStyle w:val="310"/>
              <w:spacing w:before="40"/>
              <w:rPr>
                <w:sz w:val="24"/>
                <w:szCs w:val="24"/>
              </w:rPr>
            </w:pPr>
            <w:r>
              <w:rPr>
                <w:sz w:val="24"/>
                <w:szCs w:val="24"/>
              </w:rPr>
              <w:t>1</w:t>
            </w:r>
          </w:p>
        </w:tc>
        <w:tc>
          <w:tcPr>
            <w:tcW w:w="900" w:type="dxa"/>
            <w:vMerge w:val="restart"/>
            <w:noWrap w:val="0"/>
            <w:vAlign w:val="top"/>
          </w:tcPr>
          <w:p>
            <w:pPr>
              <w:pStyle w:val="310"/>
              <w:spacing w:before="4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人脸技战法服务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人脸碰撞</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布控服务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车辆特征业务</w:t>
            </w:r>
          </w:p>
        </w:tc>
        <w:tc>
          <w:tcPr>
            <w:tcW w:w="3956" w:type="dxa"/>
            <w:noWrap w:val="0"/>
            <w:vAlign w:val="top"/>
          </w:tcPr>
          <w:p>
            <w:pPr>
              <w:pStyle w:val="310"/>
              <w:rPr>
                <w:sz w:val="24"/>
                <w:szCs w:val="24"/>
              </w:rPr>
            </w:pPr>
            <w:r>
              <w:rPr>
                <w:sz w:val="24"/>
                <w:szCs w:val="24"/>
              </w:rPr>
              <w:t>套牌遮牌分析</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车辆技战法服务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区域碰撞分析</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非结构化搜索</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车辆布控</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大数据分析系统</w:t>
            </w:r>
          </w:p>
        </w:tc>
        <w:tc>
          <w:tcPr>
            <w:tcW w:w="3956" w:type="dxa"/>
            <w:noWrap w:val="0"/>
            <w:vAlign w:val="top"/>
          </w:tcPr>
          <w:p>
            <w:pPr>
              <w:pStyle w:val="310"/>
              <w:rPr>
                <w:sz w:val="24"/>
                <w:szCs w:val="24"/>
              </w:rPr>
            </w:pPr>
            <w:r>
              <w:rPr>
                <w:sz w:val="24"/>
                <w:szCs w:val="24"/>
              </w:rPr>
              <w:t>自然语义检索服务</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自然语义解析服务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68"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数据碰撞对比服务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关联关系图谱服务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46" w:type="dxa"/>
            <w:vMerge w:val="restart"/>
            <w:noWrap w:val="0"/>
            <w:vAlign w:val="top"/>
          </w:tcPr>
          <w:p>
            <w:pPr>
              <w:pStyle w:val="310"/>
              <w:rPr>
                <w:rFonts w:ascii="Times New Roman"/>
                <w:sz w:val="24"/>
                <w:szCs w:val="24"/>
              </w:rPr>
            </w:pPr>
          </w:p>
        </w:tc>
        <w:tc>
          <w:tcPr>
            <w:tcW w:w="1311" w:type="dxa"/>
            <w:noWrap w:val="0"/>
            <w:vAlign w:val="top"/>
          </w:tcPr>
          <w:p>
            <w:pPr>
              <w:pStyle w:val="310"/>
              <w:rPr>
                <w:rFonts w:ascii="Times New Roman"/>
                <w:sz w:val="24"/>
                <w:szCs w:val="24"/>
              </w:rPr>
            </w:pPr>
          </w:p>
        </w:tc>
        <w:tc>
          <w:tcPr>
            <w:tcW w:w="3956" w:type="dxa"/>
            <w:noWrap w:val="0"/>
            <w:vAlign w:val="top"/>
          </w:tcPr>
          <w:p>
            <w:pPr>
              <w:pStyle w:val="310"/>
              <w:rPr>
                <w:sz w:val="24"/>
                <w:szCs w:val="24"/>
              </w:rPr>
            </w:pPr>
          </w:p>
        </w:tc>
        <w:tc>
          <w:tcPr>
            <w:tcW w:w="905" w:type="dxa"/>
            <w:noWrap w:val="0"/>
            <w:vAlign w:val="top"/>
          </w:tcPr>
          <w:p>
            <w:pPr>
              <w:pStyle w:val="310"/>
              <w:rPr>
                <w:rFonts w:ascii="Times New Roman"/>
                <w:sz w:val="24"/>
                <w:szCs w:val="24"/>
              </w:rPr>
            </w:pPr>
          </w:p>
        </w:tc>
        <w:tc>
          <w:tcPr>
            <w:tcW w:w="900" w:type="dxa"/>
            <w:noWrap w:val="0"/>
            <w:vAlign w:val="top"/>
          </w:tcPr>
          <w:p>
            <w:pPr>
              <w:pStyle w:val="310"/>
              <w:rPr>
                <w:rFonts w:asci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646" w:type="dxa"/>
            <w:vMerge w:val="continue"/>
            <w:tcBorders>
              <w:top w:val="nil"/>
            </w:tcBorders>
            <w:noWrap w:val="0"/>
            <w:vAlign w:val="top"/>
          </w:tcPr>
          <w:p/>
        </w:tc>
        <w:tc>
          <w:tcPr>
            <w:tcW w:w="1311" w:type="dxa"/>
            <w:vMerge w:val="restart"/>
            <w:noWrap w:val="0"/>
            <w:vAlign w:val="top"/>
          </w:tcPr>
          <w:p>
            <w:pPr>
              <w:pStyle w:val="310"/>
              <w:spacing w:line="324" w:lineRule="auto"/>
              <w:ind w:right="99"/>
              <w:rPr>
                <w:sz w:val="24"/>
                <w:szCs w:val="24"/>
              </w:rPr>
            </w:pPr>
            <w:r>
              <w:rPr>
                <w:sz w:val="24"/>
                <w:szCs w:val="24"/>
              </w:rPr>
              <w:t>综合布控业务</w:t>
            </w:r>
          </w:p>
        </w:tc>
        <w:tc>
          <w:tcPr>
            <w:tcW w:w="3956" w:type="dxa"/>
            <w:noWrap w:val="0"/>
            <w:vAlign w:val="top"/>
          </w:tcPr>
          <w:p>
            <w:pPr>
              <w:pStyle w:val="310"/>
              <w:rPr>
                <w:sz w:val="24"/>
                <w:szCs w:val="24"/>
              </w:rPr>
            </w:pPr>
            <w:r>
              <w:rPr>
                <w:sz w:val="24"/>
                <w:szCs w:val="24"/>
              </w:rPr>
              <w:t>一键综合布控功能</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布控 AI 分析</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智能消息推送</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任务配置管理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restart"/>
            <w:noWrap w:val="0"/>
            <w:vAlign w:val="top"/>
          </w:tcPr>
          <w:p>
            <w:pPr>
              <w:pStyle w:val="310"/>
              <w:rPr>
                <w:sz w:val="24"/>
                <w:szCs w:val="24"/>
              </w:rPr>
            </w:pPr>
            <w:r>
              <w:rPr>
                <w:sz w:val="24"/>
                <w:szCs w:val="24"/>
              </w:rPr>
              <w:t>运维系统</w:t>
            </w:r>
          </w:p>
        </w:tc>
        <w:tc>
          <w:tcPr>
            <w:tcW w:w="3956" w:type="dxa"/>
            <w:noWrap w:val="0"/>
            <w:vAlign w:val="top"/>
          </w:tcPr>
          <w:p>
            <w:pPr>
              <w:pStyle w:val="310"/>
              <w:rPr>
                <w:sz w:val="24"/>
                <w:szCs w:val="24"/>
              </w:rPr>
            </w:pPr>
            <w:r>
              <w:rPr>
                <w:sz w:val="24"/>
                <w:szCs w:val="24"/>
              </w:rPr>
              <w:t>分级权限管理</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系统服务管理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系统日志监控</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系统性能监控</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系统健康检测</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异常报警服务</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restart"/>
            <w:noWrap w:val="0"/>
            <w:vAlign w:val="top"/>
          </w:tcPr>
          <w:p>
            <w:pPr>
              <w:pStyle w:val="310"/>
              <w:rPr>
                <w:sz w:val="24"/>
                <w:szCs w:val="24"/>
              </w:rPr>
            </w:pPr>
            <w:r>
              <w:rPr>
                <w:sz w:val="24"/>
                <w:szCs w:val="24"/>
              </w:rPr>
              <w:t>安全保障</w:t>
            </w:r>
          </w:p>
        </w:tc>
        <w:tc>
          <w:tcPr>
            <w:tcW w:w="3956" w:type="dxa"/>
            <w:noWrap w:val="0"/>
            <w:vAlign w:val="top"/>
          </w:tcPr>
          <w:p>
            <w:pPr>
              <w:pStyle w:val="310"/>
              <w:rPr>
                <w:sz w:val="24"/>
                <w:szCs w:val="24"/>
              </w:rPr>
            </w:pPr>
            <w:r>
              <w:rPr>
                <w:sz w:val="24"/>
                <w:szCs w:val="24"/>
              </w:rPr>
              <w:t>密码管理</w:t>
            </w:r>
          </w:p>
        </w:tc>
        <w:tc>
          <w:tcPr>
            <w:tcW w:w="905" w:type="dxa"/>
            <w:vMerge w:val="restart"/>
            <w:noWrap w:val="0"/>
            <w:vAlign w:val="top"/>
          </w:tcPr>
          <w:p>
            <w:pPr>
              <w:pStyle w:val="310"/>
              <w:rPr>
                <w:sz w:val="24"/>
                <w:szCs w:val="24"/>
              </w:rPr>
            </w:pPr>
            <w:r>
              <w:rPr>
                <w:sz w:val="24"/>
                <w:szCs w:val="24"/>
              </w:rPr>
              <w:t>1</w:t>
            </w:r>
          </w:p>
        </w:tc>
        <w:tc>
          <w:tcPr>
            <w:tcW w:w="900" w:type="dxa"/>
            <w:vMerge w:val="restart"/>
            <w:noWrap w:val="0"/>
            <w:vAlign w:val="top"/>
          </w:tcPr>
          <w:p>
            <w:pPr>
              <w:pStyle w:val="310"/>
              <w:ind w:left="108"/>
              <w:rPr>
                <w:sz w:val="24"/>
                <w:szCs w:val="24"/>
              </w:rPr>
            </w:pPr>
            <w:r>
              <w:rPr>
                <w:sz w:val="24"/>
                <w:szCs w:val="24"/>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动态验证</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异常登陆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访问控制</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spacing w:before="40"/>
              <w:rPr>
                <w:sz w:val="24"/>
                <w:szCs w:val="24"/>
              </w:rPr>
            </w:pPr>
            <w:r>
              <w:rPr>
                <w:sz w:val="24"/>
                <w:szCs w:val="24"/>
              </w:rPr>
              <w:t>入侵防范</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646" w:type="dxa"/>
            <w:vMerge w:val="continue"/>
            <w:tcBorders>
              <w:top w:val="nil"/>
            </w:tcBorders>
            <w:noWrap w:val="0"/>
            <w:vAlign w:val="top"/>
          </w:tcPr>
          <w:p/>
        </w:tc>
        <w:tc>
          <w:tcPr>
            <w:tcW w:w="1311" w:type="dxa"/>
            <w:vMerge w:val="continue"/>
            <w:tcBorders>
              <w:top w:val="nil"/>
            </w:tcBorders>
            <w:noWrap w:val="0"/>
            <w:vAlign w:val="top"/>
          </w:tcPr>
          <w:p/>
        </w:tc>
        <w:tc>
          <w:tcPr>
            <w:tcW w:w="3956" w:type="dxa"/>
            <w:noWrap w:val="0"/>
            <w:vAlign w:val="top"/>
          </w:tcPr>
          <w:p>
            <w:pPr>
              <w:pStyle w:val="310"/>
              <w:rPr>
                <w:sz w:val="24"/>
                <w:szCs w:val="24"/>
              </w:rPr>
            </w:pPr>
            <w:r>
              <w:rPr>
                <w:sz w:val="24"/>
                <w:szCs w:val="24"/>
              </w:rPr>
              <w:t>权限管理</w:t>
            </w:r>
          </w:p>
        </w:tc>
        <w:tc>
          <w:tcPr>
            <w:tcW w:w="905" w:type="dxa"/>
            <w:vMerge w:val="continue"/>
            <w:tcBorders>
              <w:top w:val="nil"/>
            </w:tcBorders>
            <w:noWrap w:val="0"/>
            <w:vAlign w:val="top"/>
          </w:tcPr>
          <w:p/>
        </w:tc>
        <w:tc>
          <w:tcPr>
            <w:tcW w:w="900" w:type="dxa"/>
            <w:vMerge w:val="continue"/>
            <w:tcBorders>
              <w:top w:val="nil"/>
            </w:tcBorders>
            <w:noWrap w:val="0"/>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1646" w:type="dxa"/>
            <w:noWrap w:val="0"/>
            <w:vAlign w:val="top"/>
          </w:tcPr>
          <w:p>
            <w:pPr>
              <w:pStyle w:val="310"/>
              <w:rPr>
                <w:rFonts w:hint="eastAsia"/>
                <w:sz w:val="24"/>
                <w:szCs w:val="24"/>
              </w:rPr>
            </w:pPr>
            <w:r>
              <w:rPr>
                <w:sz w:val="24"/>
                <w:szCs w:val="24"/>
              </w:rPr>
              <w:t>驻场</w:t>
            </w:r>
            <w:r>
              <w:rPr>
                <w:rFonts w:hint="eastAsia"/>
                <w:sz w:val="24"/>
                <w:szCs w:val="24"/>
              </w:rPr>
              <w:t>人员</w:t>
            </w:r>
          </w:p>
        </w:tc>
        <w:tc>
          <w:tcPr>
            <w:tcW w:w="1311" w:type="dxa"/>
            <w:noWrap w:val="0"/>
            <w:vAlign w:val="top"/>
          </w:tcPr>
          <w:p>
            <w:pPr>
              <w:pStyle w:val="310"/>
              <w:rPr>
                <w:rFonts w:hint="eastAsia"/>
                <w:sz w:val="24"/>
                <w:szCs w:val="24"/>
              </w:rPr>
            </w:pPr>
            <w:r>
              <w:rPr>
                <w:sz w:val="24"/>
                <w:szCs w:val="24"/>
              </w:rPr>
              <w:t>系统</w:t>
            </w:r>
            <w:r>
              <w:rPr>
                <w:rFonts w:hint="eastAsia"/>
                <w:sz w:val="24"/>
                <w:szCs w:val="24"/>
              </w:rPr>
              <w:t>维护</w:t>
            </w:r>
          </w:p>
        </w:tc>
        <w:tc>
          <w:tcPr>
            <w:tcW w:w="3956" w:type="dxa"/>
            <w:noWrap w:val="0"/>
            <w:vAlign w:val="top"/>
          </w:tcPr>
          <w:p>
            <w:pPr>
              <w:pStyle w:val="310"/>
              <w:rPr>
                <w:sz w:val="24"/>
                <w:szCs w:val="24"/>
                <w:lang w:val="en-US"/>
              </w:rPr>
            </w:pPr>
            <w:r>
              <w:rPr>
                <w:rFonts w:hint="eastAsia"/>
                <w:sz w:val="24"/>
                <w:szCs w:val="24"/>
                <w:lang w:val="en-US"/>
              </w:rPr>
              <w:t>驻场人员学历最低为研究生</w:t>
            </w:r>
          </w:p>
        </w:tc>
        <w:tc>
          <w:tcPr>
            <w:tcW w:w="905" w:type="dxa"/>
            <w:noWrap w:val="0"/>
            <w:vAlign w:val="top"/>
          </w:tcPr>
          <w:p>
            <w:pPr>
              <w:pStyle w:val="310"/>
              <w:rPr>
                <w:sz w:val="24"/>
                <w:szCs w:val="24"/>
              </w:rPr>
            </w:pPr>
            <w:r>
              <w:rPr>
                <w:sz w:val="24"/>
                <w:szCs w:val="24"/>
              </w:rPr>
              <w:t>4</w:t>
            </w:r>
          </w:p>
        </w:tc>
        <w:tc>
          <w:tcPr>
            <w:tcW w:w="900" w:type="dxa"/>
            <w:noWrap w:val="0"/>
            <w:vAlign w:val="top"/>
          </w:tcPr>
          <w:p>
            <w:pPr>
              <w:pStyle w:val="310"/>
              <w:rPr>
                <w:sz w:val="24"/>
                <w:szCs w:val="24"/>
              </w:rPr>
            </w:pPr>
            <w:r>
              <w:rPr>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1646" w:type="dxa"/>
            <w:noWrap w:val="0"/>
            <w:vAlign w:val="top"/>
          </w:tcPr>
          <w:p>
            <w:pPr>
              <w:pStyle w:val="310"/>
              <w:rPr>
                <w:sz w:val="24"/>
                <w:szCs w:val="24"/>
                <w:lang w:val="en-US"/>
              </w:rPr>
            </w:pPr>
            <w:r>
              <w:rPr>
                <w:rFonts w:hint="eastAsia"/>
                <w:sz w:val="24"/>
                <w:szCs w:val="24"/>
                <w:lang w:val="en-US"/>
              </w:rPr>
              <w:t>授权</w:t>
            </w:r>
          </w:p>
        </w:tc>
        <w:tc>
          <w:tcPr>
            <w:tcW w:w="1311" w:type="dxa"/>
            <w:noWrap w:val="0"/>
            <w:vAlign w:val="top"/>
          </w:tcPr>
          <w:p>
            <w:pPr>
              <w:pStyle w:val="310"/>
              <w:rPr>
                <w:sz w:val="24"/>
                <w:szCs w:val="24"/>
                <w:lang w:val="en-US"/>
              </w:rPr>
            </w:pPr>
            <w:r>
              <w:rPr>
                <w:rFonts w:hint="eastAsia"/>
                <w:sz w:val="24"/>
                <w:szCs w:val="24"/>
                <w:lang w:val="en-US"/>
              </w:rPr>
              <w:t>软件授权</w:t>
            </w:r>
          </w:p>
        </w:tc>
        <w:tc>
          <w:tcPr>
            <w:tcW w:w="3956" w:type="dxa"/>
            <w:noWrap w:val="0"/>
            <w:vAlign w:val="top"/>
          </w:tcPr>
          <w:p>
            <w:pPr>
              <w:pStyle w:val="310"/>
              <w:rPr>
                <w:rFonts w:hint="eastAsia"/>
                <w:sz w:val="24"/>
                <w:szCs w:val="24"/>
                <w:lang w:val="en-US"/>
              </w:rPr>
            </w:pPr>
            <w:r>
              <w:rPr>
                <w:rFonts w:hint="eastAsia"/>
                <w:sz w:val="24"/>
                <w:szCs w:val="24"/>
                <w:lang w:val="en-US"/>
              </w:rPr>
              <w:t>前端设备接入授权(含人脸、车辆、人体）</w:t>
            </w:r>
          </w:p>
        </w:tc>
        <w:tc>
          <w:tcPr>
            <w:tcW w:w="905" w:type="dxa"/>
            <w:noWrap w:val="0"/>
            <w:vAlign w:val="top"/>
          </w:tcPr>
          <w:p>
            <w:pPr>
              <w:pStyle w:val="310"/>
              <w:rPr>
                <w:sz w:val="24"/>
                <w:szCs w:val="24"/>
                <w:lang w:val="en-US"/>
              </w:rPr>
            </w:pPr>
            <w:r>
              <w:rPr>
                <w:rFonts w:hint="eastAsia"/>
                <w:sz w:val="24"/>
                <w:szCs w:val="24"/>
                <w:lang w:val="en-US"/>
              </w:rPr>
              <w:t>2000</w:t>
            </w:r>
          </w:p>
        </w:tc>
        <w:tc>
          <w:tcPr>
            <w:tcW w:w="900" w:type="dxa"/>
            <w:noWrap w:val="0"/>
            <w:vAlign w:val="top"/>
          </w:tcPr>
          <w:p>
            <w:pPr>
              <w:pStyle w:val="310"/>
              <w:rPr>
                <w:rFonts w:hint="eastAsia"/>
                <w:sz w:val="24"/>
                <w:szCs w:val="24"/>
                <w:lang w:val="en-US"/>
              </w:rPr>
            </w:pPr>
            <w:r>
              <w:rPr>
                <w:rFonts w:hint="eastAsia"/>
                <w:sz w:val="24"/>
                <w:szCs w:val="24"/>
                <w:lang w:val="en-US"/>
              </w:rPr>
              <w:t>个</w:t>
            </w:r>
          </w:p>
        </w:tc>
      </w:tr>
    </w:tbl>
    <w:p>
      <w:pPr>
        <w:pStyle w:val="3"/>
        <w:rPr>
          <w:rFonts w:hint="eastAsia"/>
        </w:rPr>
      </w:pPr>
    </w:p>
    <w:p>
      <w:pPr>
        <w:widowControl w:val="0"/>
        <w:tabs>
          <w:tab w:val="left" w:pos="360"/>
        </w:tabs>
        <w:spacing w:line="460" w:lineRule="exact"/>
        <w:jc w:val="both"/>
        <w:rPr>
          <w:rFonts w:hint="eastAsia" w:ascii="新宋体" w:hAnsi="新宋体" w:eastAsia="新宋体" w:cs="新宋体"/>
          <w:b/>
          <w:sz w:val="22"/>
          <w:szCs w:val="22"/>
        </w:rPr>
      </w:pPr>
      <w:bookmarkStart w:id="249" w:name="_Toc273259713"/>
      <w:bookmarkStart w:id="250" w:name="_Toc277602807"/>
      <w:bookmarkStart w:id="251" w:name="_Toc266962022"/>
      <w:r>
        <w:rPr>
          <w:rFonts w:hint="eastAsia" w:ascii="新宋体" w:hAnsi="新宋体" w:eastAsia="新宋体" w:cs="新宋体"/>
          <w:b/>
          <w:sz w:val="22"/>
          <w:szCs w:val="22"/>
        </w:rPr>
        <w:t>（三</w:t>
      </w:r>
      <w:r>
        <w:rPr>
          <w:rFonts w:ascii="新宋体" w:hAnsi="新宋体" w:eastAsia="新宋体" w:cs="新宋体"/>
          <w:b/>
          <w:sz w:val="22"/>
          <w:szCs w:val="22"/>
        </w:rPr>
        <w:t>）</w:t>
      </w:r>
      <w:r>
        <w:rPr>
          <w:rFonts w:hint="eastAsia" w:ascii="新宋体" w:hAnsi="新宋体" w:eastAsia="新宋体" w:cs="新宋体"/>
          <w:b/>
          <w:sz w:val="22"/>
          <w:szCs w:val="22"/>
        </w:rPr>
        <w:t>分项要求</w:t>
      </w:r>
    </w:p>
    <w:p>
      <w:pPr>
        <w:widowControl w:val="0"/>
        <w:tabs>
          <w:tab w:val="left" w:pos="360"/>
        </w:tabs>
        <w:spacing w:line="460" w:lineRule="exact"/>
        <w:jc w:val="both"/>
        <w:rPr>
          <w:rFonts w:hint="eastAsia" w:ascii="新宋体" w:hAnsi="新宋体" w:eastAsia="新宋体" w:cs="新宋体"/>
          <w:b/>
          <w:sz w:val="22"/>
          <w:szCs w:val="22"/>
        </w:rPr>
      </w:pPr>
      <w:r>
        <w:rPr>
          <w:rFonts w:hint="eastAsia" w:ascii="新宋体" w:hAnsi="新宋体" w:eastAsia="新宋体"/>
          <w:sz w:val="22"/>
          <w:szCs w:val="22"/>
        </w:rPr>
        <w:t>1、传输网络</w:t>
      </w:r>
      <w:bookmarkEnd w:id="249"/>
      <w:bookmarkEnd w:id="250"/>
      <w:bookmarkEnd w:id="251"/>
    </w:p>
    <w:p>
      <w:pPr>
        <w:spacing w:line="460" w:lineRule="exact"/>
        <w:ind w:firstLine="539" w:firstLineChars="245"/>
        <w:rPr>
          <w:rFonts w:ascii="新宋体" w:hAnsi="新宋体" w:eastAsia="新宋体"/>
          <w:sz w:val="22"/>
          <w:szCs w:val="22"/>
        </w:rPr>
      </w:pPr>
      <w:r>
        <w:rPr>
          <w:rFonts w:hint="eastAsia" w:ascii="新宋体" w:hAnsi="新宋体" w:eastAsia="新宋体"/>
          <w:sz w:val="22"/>
          <w:szCs w:val="22"/>
        </w:rPr>
        <w:t>本项目运行于公安视频专网和公安专网</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4、维保要求</w:t>
      </w:r>
    </w:p>
    <w:p>
      <w:pPr>
        <w:spacing w:line="460" w:lineRule="exact"/>
        <w:ind w:firstLine="539" w:firstLineChars="245"/>
        <w:rPr>
          <w:rFonts w:hint="eastAsia" w:ascii="新宋体" w:hAnsi="新宋体" w:eastAsia="新宋体" w:cs="新宋体"/>
          <w:sz w:val="22"/>
          <w:szCs w:val="22"/>
        </w:rPr>
      </w:pPr>
      <w:r>
        <w:rPr>
          <w:rFonts w:hint="eastAsia" w:ascii="新宋体" w:hAnsi="新宋体" w:eastAsia="新宋体"/>
          <w:sz w:val="22"/>
          <w:szCs w:val="22"/>
        </w:rPr>
        <w:t>系统建设完成通过验收后进入为期5年的质保期，</w:t>
      </w:r>
      <w:r>
        <w:rPr>
          <w:rFonts w:hint="eastAsia" w:ascii="新宋体" w:hAnsi="新宋体" w:eastAsia="新宋体" w:cs="新宋体"/>
          <w:sz w:val="22"/>
          <w:szCs w:val="22"/>
        </w:rPr>
        <w:t>故障恢复时间：对故障在30分钟内响应，4小时以内到现场，8小时以内解决问题；不能当场修复的，必须采取提供备品、备件或备机等措施，12小时内保证系统投入正常使用。</w:t>
      </w:r>
    </w:p>
    <w:p>
      <w:pPr>
        <w:spacing w:line="460" w:lineRule="exact"/>
        <w:ind w:firstLine="420"/>
        <w:rPr>
          <w:rFonts w:hint="eastAsia" w:ascii="新宋体" w:hAnsi="新宋体" w:eastAsia="新宋体" w:cs="新宋体"/>
          <w:sz w:val="22"/>
          <w:szCs w:val="22"/>
        </w:rPr>
      </w:pPr>
      <w:r>
        <w:rPr>
          <w:rFonts w:hint="eastAsia" w:ascii="新宋体" w:hAnsi="新宋体" w:eastAsia="新宋体" w:cs="新宋体"/>
          <w:sz w:val="22"/>
          <w:szCs w:val="22"/>
        </w:rPr>
        <w:t>维护单位建立详实可行运维方案、制度以及应急措施。维护单位建立专业治安监控运维团队。每天中心针对各前端设备巡检，并建立巡检台帐。每季度各前端巡检和卫生清理、系统微调一次。每半年对各前端系统进行一次全系统调试。建立运行维护汇报制度，每月形成治安监控运维月报和每年形成治安监控运维年报。</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（2）设备的到货、安装、调试、验收</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1）所供设备在现场进行到货验收时,由中标供应商负责，采购人派员参加,如发现问题应及时处理直至使采购人满意,其中费用由中标供应商负、设备的存放点由采购人提供、中标供应商负责保管。</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2）安装范围包括设备本身及整个系统的安装，安装必须符合有关标准和规范，安装过程中采购人和有关部门共同对设备及系统的安装质量进行监理。</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3）安装完毕后，采购人可以要求中标供应商或具有检测资质的第三方用专用仪器进行测试，中标供应商应负责测试和调试所需的人员、工具、材料、仪器及一切费用，并填写测试报告交由采购人存档。</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 xml:space="preserve">4）设备经过试运行后达到并符合合同要求，其中故障和隐患均已排除或解决，并使采购人满意，所有的技术资料和图纸均已向采购人移交并被接受，验收视为合格，由双方签署验收证书后，设备才视为接受。  </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2、质量保证</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（1）需要制定服务计划的，中标供应商要制订计划并将服务计划送采购人确认；具体服务内容按照经确认的计划进行；</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（2） 技术服务工程师到达用户现场后，向采购人提交本次技术服务内容清单，交用户确认；</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（3）服务过程中形成的服务记录须提交采购人签字确认；</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（4）服务完毕，技术服务工程师离开用户之前，必须将本次服务内容完成情况的书面材料交采购人签字确认，在采购人未签字之前不得擅离服务现场；</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（5）中标供应商质检部门应不定期对技术服务工程师的服务水平、服务态度和服务效果及采购人满意度进行调查，以便及时发现服务过程中存在的问题并及时解决；</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（6）中标供应商要设立专门电话，采购人随时可就技术服务工程师的服务情况向中标供应商进行投诉。</w:t>
      </w:r>
    </w:p>
    <w:p>
      <w:pPr>
        <w:spacing w:line="460" w:lineRule="exact"/>
        <w:ind w:firstLine="539" w:firstLineChars="245"/>
        <w:rPr>
          <w:rFonts w:hint="eastAsia" w:ascii="新宋体" w:hAnsi="新宋体" w:eastAsia="新宋体"/>
          <w:sz w:val="22"/>
          <w:szCs w:val="22"/>
        </w:rPr>
      </w:pPr>
      <w:r>
        <w:rPr>
          <w:rFonts w:hint="eastAsia" w:ascii="新宋体" w:hAnsi="新宋体" w:eastAsia="新宋体"/>
          <w:sz w:val="22"/>
          <w:szCs w:val="22"/>
        </w:rPr>
        <w:t>3、售后服务网点</w:t>
      </w:r>
    </w:p>
    <w:p>
      <w:pPr>
        <w:spacing w:line="360" w:lineRule="auto"/>
        <w:ind w:firstLine="539" w:firstLineChars="245"/>
        <w:rPr>
          <w:rFonts w:hint="eastAsia" w:ascii="新宋体" w:hAnsi="新宋体" w:eastAsia="新宋体"/>
          <w:sz w:val="22"/>
          <w:szCs w:val="22"/>
        </w:rPr>
      </w:pPr>
      <w:r>
        <w:rPr>
          <w:rFonts w:hint="eastAsia" w:ascii="新宋体" w:hAnsi="新宋体" w:eastAsia="新宋体"/>
          <w:sz w:val="22"/>
          <w:szCs w:val="22"/>
        </w:rPr>
        <w:t>（1） 中标供应商应有完整的售后服务网点，确保采购人能及时得到满意的售后服务和相应的技术支持。在质保期满后能够方便地购买到所需的备品备件和及时的技术服务。</w:t>
      </w:r>
    </w:p>
    <w:p>
      <w:pPr>
        <w:spacing w:line="360" w:lineRule="auto"/>
        <w:ind w:firstLine="440" w:firstLineChars="200"/>
        <w:rPr>
          <w:rFonts w:hint="eastAsia" w:ascii="新宋体" w:hAnsi="新宋体" w:eastAsia="新宋体"/>
          <w:sz w:val="22"/>
          <w:szCs w:val="22"/>
        </w:rPr>
      </w:pPr>
      <w:r>
        <w:rPr>
          <w:rFonts w:hint="eastAsia" w:ascii="新宋体" w:hAnsi="新宋体" w:eastAsia="新宋体"/>
          <w:sz w:val="22"/>
          <w:szCs w:val="22"/>
        </w:rPr>
        <w:t>（2）中标供应商在投标文件中应详细介绍售后服务网点情况。</w:t>
      </w:r>
    </w:p>
    <w:p>
      <w:pPr>
        <w:widowControl w:val="0"/>
        <w:tabs>
          <w:tab w:val="left" w:pos="360"/>
        </w:tabs>
        <w:spacing w:line="360" w:lineRule="auto"/>
        <w:ind w:left="420"/>
        <w:jc w:val="both"/>
        <w:rPr>
          <w:rFonts w:hint="eastAsia" w:ascii="新宋体" w:hAnsi="新宋体" w:eastAsia="新宋体" w:cs="新宋体"/>
          <w:b/>
          <w:sz w:val="22"/>
          <w:szCs w:val="22"/>
        </w:rPr>
      </w:pPr>
      <w:bookmarkStart w:id="252" w:name="_Toc526001972"/>
      <w:r>
        <w:rPr>
          <w:rFonts w:hint="eastAsia" w:ascii="新宋体" w:hAnsi="新宋体" w:eastAsia="新宋体" w:cs="新宋体"/>
          <w:b/>
          <w:sz w:val="22"/>
          <w:szCs w:val="22"/>
        </w:rPr>
        <w:t>（六）设计依据</w:t>
      </w:r>
      <w:bookmarkEnd w:id="252"/>
    </w:p>
    <w:p>
      <w:pPr>
        <w:pStyle w:val="299"/>
        <w:ind w:firstLine="420"/>
        <w:rPr>
          <w:rFonts w:hint="eastAsia" w:ascii="新宋体" w:hAnsi="新宋体" w:eastAsia="新宋体" w:cs="Times New Roman"/>
          <w:sz w:val="21"/>
          <w:szCs w:val="21"/>
        </w:rPr>
      </w:pPr>
      <w:r>
        <w:rPr>
          <w:rFonts w:hint="eastAsia" w:ascii="新宋体" w:hAnsi="新宋体" w:eastAsia="新宋体" w:cs="Times New Roman"/>
          <w:sz w:val="21"/>
          <w:szCs w:val="21"/>
        </w:rPr>
        <w:t>本系统的建设严格遵循以下标准规范和文件要求：</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《中华人民共和国国民经济和社会发展第十三个五年规划纲要》；</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《国家创新驱动发展战略纲要》（中发【2016】4号）；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《中共中央关于全面深化改革若干重大问题的决定》；</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《关于加强社会治安防控体系建设的意见》（中办发【2014】69号）；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《关于加强雪亮工程视频监控系统建设联网应用工作的若干意见》，发改高技〔2015〕996号；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关于批准发布《社会治安综合治理 综治中心建设与管理规范》国家标准的公告（2016年第16号）；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《雪亮工程视频监控建设联网应用“十三五”规划方案》，中综委密电〔2016〕182号；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《浙江省雪亮工程视频监控系统建设联网应用工作实施方案（2016-2020年）》（浙综委办〔2016〕11号）；</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（2）技术标准规范</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《浙江省安全技术防范系统建设技术规范》，DB3311/T768；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《安全防范视频监控联网系统信息传输、交换、控制技术要求》，GB/T28181-2016；《跨区域视频监控联网共享技术规范》，DB33/T 629-2011；</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《社会治安综合治理基础数据规范》，GB/T 31000-2015；</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《综治中心建设标准与规范》，GB/T33200-2016；</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《安全防范工程技术规范》，GB 50348-2004；</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《视频安防监控系统工程设计规范》，GB 50395-2007；</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《视频安防监控系统技术要求》，GA/T367－2001；</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《安全防范系统验收规则》，GA308－2001；</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《安全防范工程程序与要求》，GA/T75－94；</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《城市监控报警联网系统技术标准》GA/T669.1～10-2009；</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《城市监控报警联网系统管理标准》GA/T792.1-2008；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《城市监控报警联网系统合格评定》GA 793.1～3-2008；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《城市警用地理信息系统建设规范》GA/T493-2004；</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《机动车号牌图像自动识别技术规范》GA/T833-2016；</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《交通电视监视系统工程验收规范》（GA/T514-2004）；</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《信息安全技术信息系统安全等级保护基本要求》（GB/T22239-2008）；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《安全防范监控数字视音频编解码技术要求》GB/T25724-2010；</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《治安视频监控卡口数据传输技术规范》DB3311/T32-2014；</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《公安视频图像分析系统技术要求》GA/T 1399-2017；</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《公安视频图像信息应用系统技术要求》GA/T 1400-2017；</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《公安视频图像信息联网与应用标准体系表》。</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（3）机房设计及环保标准</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《电磁辐射环境保护管理办法》，1997年3月25日，国家环保局第十八号局令发布；</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《电子信息系统机房设计规范》，GB50174-2017；</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《通信机房静电防护通则》，YD/T 754-1995；</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《大气污染物综合排放标准》，GBl6297—1996；</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《工业企业厂界环境噪声排放标准（GB12348—2008）》；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《污水综合排放标准》，GB8978—1996；</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《生活垃圾填埋场污染控制标准GB16889—2008》；</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《民用建筑电器设计规范》，JGB/T16-92；</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《电子计算机场地通用规范》，GB/T2887－2000；</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《智能建筑设计标准》，GB/T50314-2006；</w:t>
      </w:r>
    </w:p>
    <w:p>
      <w:pPr>
        <w:pStyle w:val="414"/>
        <w:spacing w:line="360" w:lineRule="auto"/>
        <w:ind w:firstLine="420" w:firstLineChars="200"/>
        <w:rPr>
          <w:rFonts w:hint="eastAsia" w:ascii="新宋体" w:hAnsi="新宋体" w:eastAsia="新宋体" w:cs="Times New Roman"/>
          <w:kern w:val="2"/>
          <w:sz w:val="21"/>
          <w:szCs w:val="21"/>
        </w:rPr>
      </w:pPr>
      <w:r>
        <w:rPr>
          <w:rFonts w:hint="eastAsia" w:ascii="新宋体" w:hAnsi="新宋体" w:eastAsia="新宋体" w:cs="Times New Roman"/>
          <w:kern w:val="2"/>
          <w:sz w:val="21"/>
          <w:szCs w:val="21"/>
        </w:rPr>
        <w:t>《安全防范工程技术规范》，GB50348-2004；</w:t>
      </w:r>
    </w:p>
    <w:p>
      <w:pPr>
        <w:adjustRightInd w:val="0"/>
        <w:snapToGrid w:val="0"/>
        <w:spacing w:line="460" w:lineRule="exact"/>
        <w:outlineLvl w:val="0"/>
        <w:rPr>
          <w:rFonts w:hint="eastAsia"/>
          <w:bCs/>
          <w:sz w:val="22"/>
          <w:szCs w:val="22"/>
        </w:rPr>
      </w:pPr>
      <w:r>
        <w:rPr>
          <w:rFonts w:hint="eastAsia"/>
          <w:bCs/>
          <w:sz w:val="22"/>
          <w:szCs w:val="22"/>
        </w:rPr>
        <w:t>三、商务条款</w:t>
      </w:r>
    </w:p>
    <w:p>
      <w:pPr>
        <w:tabs>
          <w:tab w:val="left" w:pos="540"/>
        </w:tabs>
        <w:autoSpaceDE w:val="0"/>
        <w:autoSpaceDN w:val="0"/>
        <w:adjustRightInd w:val="0"/>
        <w:snapToGrid w:val="0"/>
        <w:spacing w:line="460" w:lineRule="exact"/>
        <w:ind w:firstLine="220" w:firstLineChars="100"/>
        <w:textAlignment w:val="bottom"/>
        <w:rPr>
          <w:rFonts w:hint="eastAsia"/>
          <w:sz w:val="22"/>
          <w:szCs w:val="22"/>
        </w:rPr>
      </w:pPr>
      <w:r>
        <w:rPr>
          <w:rFonts w:hint="eastAsia"/>
          <w:sz w:val="22"/>
          <w:szCs w:val="22"/>
        </w:rPr>
        <w:t>1、质保期</w:t>
      </w:r>
    </w:p>
    <w:p>
      <w:pPr>
        <w:autoSpaceDE w:val="0"/>
        <w:autoSpaceDN w:val="0"/>
        <w:adjustRightInd w:val="0"/>
        <w:snapToGrid w:val="0"/>
        <w:spacing w:line="460" w:lineRule="exact"/>
        <w:ind w:firstLine="220" w:firstLineChars="100"/>
        <w:textAlignment w:val="bottom"/>
        <w:rPr>
          <w:rFonts w:hint="eastAsia"/>
          <w:sz w:val="22"/>
          <w:szCs w:val="22"/>
        </w:rPr>
      </w:pPr>
      <w:r>
        <w:rPr>
          <w:rFonts w:hint="eastAsia"/>
          <w:bCs/>
          <w:sz w:val="22"/>
          <w:szCs w:val="22"/>
        </w:rPr>
        <w:t>1.1、</w:t>
      </w:r>
      <w:r>
        <w:rPr>
          <w:rFonts w:hint="eastAsia"/>
          <w:color w:val="000000"/>
          <w:sz w:val="22"/>
          <w:szCs w:val="22"/>
        </w:rPr>
        <w:t>▲质量保证期至</w:t>
      </w:r>
      <w:r>
        <w:rPr>
          <w:rFonts w:hint="eastAsia"/>
          <w:sz w:val="22"/>
          <w:szCs w:val="22"/>
        </w:rPr>
        <w:t>少5年</w:t>
      </w:r>
      <w:r>
        <w:rPr>
          <w:rFonts w:hint="eastAsia"/>
          <w:b/>
          <w:color w:val="000000"/>
          <w:sz w:val="22"/>
          <w:szCs w:val="22"/>
        </w:rPr>
        <w:t>（设备技术参数中有明确的除外）</w:t>
      </w:r>
      <w:r>
        <w:rPr>
          <w:rFonts w:hint="eastAsia"/>
          <w:sz w:val="22"/>
          <w:szCs w:val="22"/>
        </w:rPr>
        <w:t>。</w:t>
      </w:r>
    </w:p>
    <w:p>
      <w:pPr>
        <w:autoSpaceDE w:val="0"/>
        <w:autoSpaceDN w:val="0"/>
        <w:adjustRightInd w:val="0"/>
        <w:snapToGrid w:val="0"/>
        <w:spacing w:line="460" w:lineRule="exact"/>
        <w:ind w:firstLine="220" w:firstLineChars="100"/>
        <w:textAlignment w:val="bottom"/>
        <w:rPr>
          <w:rFonts w:hint="eastAsia"/>
          <w:sz w:val="22"/>
          <w:szCs w:val="22"/>
        </w:rPr>
      </w:pPr>
      <w:r>
        <w:rPr>
          <w:rFonts w:hint="eastAsia"/>
          <w:sz w:val="22"/>
          <w:szCs w:val="22"/>
        </w:rPr>
        <w:t>1.2、质保期内因设备本身缺陷造成各种故障应由中标供应商免费技术服务和维修。</w:t>
      </w:r>
    </w:p>
    <w:p>
      <w:pPr>
        <w:autoSpaceDE w:val="0"/>
        <w:autoSpaceDN w:val="0"/>
        <w:adjustRightInd w:val="0"/>
        <w:snapToGrid w:val="0"/>
        <w:spacing w:line="460" w:lineRule="exact"/>
        <w:ind w:firstLine="220" w:firstLineChars="100"/>
        <w:textAlignment w:val="bottom"/>
        <w:rPr>
          <w:rFonts w:hint="eastAsia"/>
          <w:sz w:val="22"/>
          <w:szCs w:val="22"/>
        </w:rPr>
      </w:pPr>
      <w:r>
        <w:rPr>
          <w:rFonts w:hint="eastAsia"/>
          <w:sz w:val="22"/>
          <w:szCs w:val="22"/>
        </w:rPr>
        <w:t>1.3、投标供应商在投标文件中说明质保期内提供的服务计划。</w:t>
      </w:r>
    </w:p>
    <w:p>
      <w:pPr>
        <w:spacing w:line="620" w:lineRule="exact"/>
        <w:ind w:firstLine="431" w:firstLineChars="196"/>
        <w:rPr>
          <w:rFonts w:hint="eastAsia"/>
          <w:b/>
          <w:color w:val="000000"/>
          <w:sz w:val="22"/>
          <w:szCs w:val="22"/>
        </w:rPr>
      </w:pPr>
      <w:r>
        <w:rPr>
          <w:rFonts w:hint="eastAsia"/>
          <w:color w:val="000000"/>
          <w:sz w:val="22"/>
          <w:szCs w:val="22"/>
        </w:rPr>
        <w:t>2、付款方式：▲</w:t>
      </w:r>
      <w:r>
        <w:rPr>
          <w:rFonts w:hint="eastAsia"/>
          <w:b/>
          <w:color w:val="000000"/>
          <w:sz w:val="22"/>
          <w:u w:val="single"/>
        </w:rPr>
        <w:t>在合同签订后中标供应商应向采购人提供合同总金额5%的履约保证金，</w:t>
      </w:r>
      <w:r>
        <w:rPr>
          <w:rFonts w:hint="eastAsia"/>
          <w:b/>
          <w:color w:val="000000"/>
          <w:sz w:val="22"/>
          <w:szCs w:val="22"/>
        </w:rPr>
        <w:t>合同签订货物到达采购人指定地点后，产品安装完毕验收合格后采购人退还5%的履约保证金，系统搭建完毕验收合格后支付总价款的</w:t>
      </w:r>
      <w:r>
        <w:rPr>
          <w:b/>
          <w:color w:val="000000"/>
          <w:sz w:val="22"/>
          <w:szCs w:val="22"/>
        </w:rPr>
        <w:t>95%</w:t>
      </w:r>
      <w:r>
        <w:rPr>
          <w:rFonts w:hint="eastAsia"/>
          <w:b/>
          <w:color w:val="000000"/>
          <w:sz w:val="22"/>
          <w:szCs w:val="22"/>
        </w:rPr>
        <w:t>，质保期（5年）满后支付5%。</w:t>
      </w:r>
    </w:p>
    <w:p>
      <w:pPr>
        <w:autoSpaceDE w:val="0"/>
        <w:autoSpaceDN w:val="0"/>
        <w:adjustRightInd w:val="0"/>
        <w:snapToGrid w:val="0"/>
        <w:spacing w:line="420" w:lineRule="exact"/>
        <w:ind w:firstLine="330" w:firstLineChars="150"/>
        <w:textAlignment w:val="bottom"/>
        <w:outlineLvl w:val="0"/>
        <w:rPr>
          <w:rFonts w:hint="eastAsia" w:cs="仿宋_GB2312"/>
          <w:sz w:val="22"/>
          <w:szCs w:val="22"/>
          <w:lang w:val="zh-CN"/>
        </w:rPr>
      </w:pPr>
      <w:r>
        <w:rPr>
          <w:rFonts w:hint="eastAsia" w:cs="仿宋_GB2312"/>
          <w:sz w:val="22"/>
          <w:szCs w:val="22"/>
          <w:lang w:val="zh-CN"/>
        </w:rPr>
        <w:t>3、技术服务及培训</w:t>
      </w:r>
    </w:p>
    <w:p>
      <w:pPr>
        <w:snapToGrid w:val="0"/>
        <w:spacing w:line="420" w:lineRule="exact"/>
        <w:ind w:firstLine="440" w:firstLineChars="200"/>
        <w:rPr>
          <w:sz w:val="22"/>
          <w:szCs w:val="22"/>
        </w:rPr>
      </w:pPr>
      <w:r>
        <w:rPr>
          <w:sz w:val="22"/>
          <w:szCs w:val="22"/>
        </w:rPr>
        <w:t>3.1</w:t>
      </w:r>
      <w:bookmarkStart w:id="253" w:name="_Toc97030438"/>
      <w:bookmarkStart w:id="254" w:name="_Toc68486212"/>
      <w:bookmarkStart w:id="255" w:name="_Toc67987718"/>
      <w:r>
        <w:rPr>
          <w:sz w:val="22"/>
          <w:szCs w:val="22"/>
        </w:rPr>
        <w:t>系统定期测试维护服务</w:t>
      </w:r>
      <w:bookmarkEnd w:id="253"/>
      <w:bookmarkEnd w:id="254"/>
      <w:bookmarkEnd w:id="255"/>
    </w:p>
    <w:p>
      <w:pPr>
        <w:snapToGrid w:val="0"/>
        <w:spacing w:line="420" w:lineRule="exact"/>
        <w:ind w:left="1" w:firstLine="440" w:firstLineChars="200"/>
        <w:rPr>
          <w:sz w:val="22"/>
          <w:szCs w:val="22"/>
        </w:rPr>
      </w:pPr>
      <w:r>
        <w:rPr>
          <w:sz w:val="22"/>
          <w:szCs w:val="22"/>
        </w:rPr>
        <w:t>为了预防系统出现故障，对系统进行全面的检查，确认设备运行状态，检查系统错误日志，排除潜在隐患，以确保系统正常稳定的运行。检查内容主要包括：</w:t>
      </w:r>
    </w:p>
    <w:p>
      <w:pPr>
        <w:snapToGrid w:val="0"/>
        <w:spacing w:line="420" w:lineRule="exact"/>
        <w:ind w:firstLine="330" w:firstLineChars="150"/>
        <w:rPr>
          <w:sz w:val="22"/>
          <w:szCs w:val="22"/>
        </w:rPr>
      </w:pPr>
      <w:r>
        <w:rPr>
          <w:sz w:val="22"/>
          <w:szCs w:val="22"/>
        </w:rPr>
        <w:t>(1)  硬件运行情况</w:t>
      </w:r>
    </w:p>
    <w:p>
      <w:pPr>
        <w:snapToGrid w:val="0"/>
        <w:spacing w:line="420" w:lineRule="exact"/>
        <w:ind w:firstLine="330" w:firstLineChars="150"/>
        <w:rPr>
          <w:sz w:val="22"/>
          <w:szCs w:val="22"/>
        </w:rPr>
      </w:pPr>
      <w:r>
        <w:rPr>
          <w:sz w:val="22"/>
          <w:szCs w:val="22"/>
        </w:rPr>
        <w:t>(2)  软件运行情况</w:t>
      </w:r>
    </w:p>
    <w:p>
      <w:pPr>
        <w:snapToGrid w:val="0"/>
        <w:spacing w:line="420" w:lineRule="exact"/>
        <w:ind w:firstLine="330" w:firstLineChars="150"/>
        <w:rPr>
          <w:sz w:val="22"/>
          <w:szCs w:val="22"/>
        </w:rPr>
      </w:pPr>
      <w:r>
        <w:rPr>
          <w:sz w:val="22"/>
          <w:szCs w:val="22"/>
        </w:rPr>
        <w:t>(3)  各功能的实现是否正常</w:t>
      </w:r>
    </w:p>
    <w:p>
      <w:pPr>
        <w:snapToGrid w:val="0"/>
        <w:spacing w:line="420" w:lineRule="exact"/>
        <w:ind w:firstLine="330" w:firstLineChars="150"/>
        <w:rPr>
          <w:sz w:val="22"/>
          <w:szCs w:val="22"/>
        </w:rPr>
      </w:pPr>
      <w:r>
        <w:rPr>
          <w:sz w:val="22"/>
          <w:szCs w:val="22"/>
        </w:rPr>
        <w:t>(4)  各功能的运行参数是否正常</w:t>
      </w:r>
    </w:p>
    <w:p>
      <w:pPr>
        <w:snapToGrid w:val="0"/>
        <w:spacing w:line="420" w:lineRule="exact"/>
        <w:ind w:firstLine="440" w:firstLineChars="200"/>
        <w:rPr>
          <w:sz w:val="22"/>
          <w:szCs w:val="22"/>
        </w:rPr>
      </w:pPr>
      <w:r>
        <w:rPr>
          <w:sz w:val="22"/>
          <w:szCs w:val="22"/>
        </w:rPr>
        <w:t>除此外，中标供应商技术中心（行使售后服务工作的部门）工程师应经常主动与用户相关管理部门及操作人员联系，及时了解系统的运行情况，解决发现的问题，防止意外事件的发生。</w:t>
      </w:r>
    </w:p>
    <w:p>
      <w:pPr>
        <w:snapToGrid w:val="0"/>
        <w:spacing w:line="420" w:lineRule="exact"/>
        <w:ind w:firstLine="440" w:firstLineChars="200"/>
        <w:rPr>
          <w:bCs/>
          <w:sz w:val="22"/>
          <w:szCs w:val="22"/>
        </w:rPr>
      </w:pPr>
      <w:r>
        <w:rPr>
          <w:sz w:val="22"/>
          <w:szCs w:val="22"/>
        </w:rPr>
        <w:t>3.2</w:t>
      </w:r>
      <w:r>
        <w:rPr>
          <w:bCs/>
          <w:sz w:val="22"/>
          <w:szCs w:val="22"/>
        </w:rPr>
        <w:t>对系统运行维护人员技术培训服务</w:t>
      </w:r>
    </w:p>
    <w:p>
      <w:pPr>
        <w:snapToGrid w:val="0"/>
        <w:spacing w:line="420" w:lineRule="exact"/>
        <w:ind w:firstLine="440" w:firstLineChars="200"/>
        <w:rPr>
          <w:sz w:val="22"/>
          <w:szCs w:val="22"/>
        </w:rPr>
      </w:pPr>
      <w:r>
        <w:rPr>
          <w:sz w:val="22"/>
          <w:szCs w:val="22"/>
        </w:rPr>
        <w:t>中标供应商应为系统提供全面的人员技术培训服务</w:t>
      </w:r>
      <w:r>
        <w:rPr>
          <w:rFonts w:hint="eastAsia"/>
          <w:sz w:val="22"/>
          <w:szCs w:val="22"/>
        </w:rPr>
        <w:t>（费用包含在投标总价中）</w:t>
      </w:r>
      <w:r>
        <w:rPr>
          <w:sz w:val="22"/>
          <w:szCs w:val="22"/>
        </w:rPr>
        <w:t>。</w:t>
      </w:r>
    </w:p>
    <w:p>
      <w:pPr>
        <w:snapToGrid w:val="0"/>
        <w:spacing w:line="420" w:lineRule="exact"/>
        <w:ind w:firstLine="440" w:firstLineChars="200"/>
        <w:rPr>
          <w:sz w:val="22"/>
          <w:szCs w:val="22"/>
        </w:rPr>
      </w:pPr>
      <w:r>
        <w:rPr>
          <w:sz w:val="22"/>
          <w:szCs w:val="22"/>
        </w:rPr>
        <w:t>根据采购人实际情况和提出的相关需求，经过双方充分协商，确定培训时间、地点和培训对象，在规定的时间和地点完成对相关人员的培训，并形成经用户方确认的培训记录。</w:t>
      </w:r>
    </w:p>
    <w:p>
      <w:pPr>
        <w:snapToGrid w:val="0"/>
        <w:spacing w:line="420" w:lineRule="exact"/>
        <w:ind w:firstLine="440" w:firstLineChars="200"/>
        <w:rPr>
          <w:sz w:val="22"/>
          <w:szCs w:val="22"/>
        </w:rPr>
      </w:pPr>
      <w:r>
        <w:rPr>
          <w:sz w:val="22"/>
          <w:szCs w:val="22"/>
        </w:rPr>
        <w:t>中标供应商在投标文件中应提出具体的培训计划（如：培训师资、教材、课程安排、培训人数、时间地点、日程、交通、食宿等）并报价，计入投标总价中，如果免费培训请在投标文件中注明。</w:t>
      </w:r>
    </w:p>
    <w:p>
      <w:pPr>
        <w:snapToGrid w:val="0"/>
        <w:spacing w:line="420" w:lineRule="exact"/>
        <w:ind w:firstLine="440" w:firstLineChars="200"/>
        <w:rPr>
          <w:bCs/>
          <w:sz w:val="22"/>
          <w:szCs w:val="22"/>
        </w:rPr>
      </w:pPr>
      <w:r>
        <w:rPr>
          <w:sz w:val="22"/>
          <w:szCs w:val="22"/>
        </w:rPr>
        <w:t>3.3</w:t>
      </w:r>
      <w:r>
        <w:rPr>
          <w:bCs/>
          <w:sz w:val="22"/>
          <w:szCs w:val="22"/>
        </w:rPr>
        <w:t>技术支持服务</w:t>
      </w:r>
    </w:p>
    <w:p>
      <w:pPr>
        <w:snapToGrid w:val="0"/>
        <w:spacing w:line="420" w:lineRule="exact"/>
        <w:ind w:firstLine="440" w:firstLineChars="200"/>
        <w:rPr>
          <w:sz w:val="22"/>
          <w:szCs w:val="22"/>
        </w:rPr>
      </w:pPr>
      <w:r>
        <w:rPr>
          <w:sz w:val="22"/>
          <w:szCs w:val="22"/>
        </w:rPr>
        <w:t>技术支持服务包括但不限于：</w:t>
      </w:r>
    </w:p>
    <w:p>
      <w:pPr>
        <w:snapToGrid w:val="0"/>
        <w:spacing w:line="420" w:lineRule="exact"/>
        <w:ind w:firstLine="110" w:firstLineChars="50"/>
        <w:rPr>
          <w:sz w:val="22"/>
          <w:szCs w:val="22"/>
        </w:rPr>
      </w:pPr>
      <w:r>
        <w:rPr>
          <w:sz w:val="22"/>
          <w:szCs w:val="22"/>
        </w:rPr>
        <w:t>（1） 提供场地及设备服务（如迁移、改造、升级、重装等）；</w:t>
      </w:r>
    </w:p>
    <w:p>
      <w:pPr>
        <w:snapToGrid w:val="0"/>
        <w:spacing w:line="420" w:lineRule="exact"/>
        <w:ind w:firstLine="110" w:firstLineChars="50"/>
        <w:outlineLvl w:val="0"/>
        <w:rPr>
          <w:sz w:val="22"/>
          <w:szCs w:val="22"/>
        </w:rPr>
      </w:pPr>
      <w:r>
        <w:rPr>
          <w:sz w:val="22"/>
          <w:szCs w:val="22"/>
        </w:rPr>
        <w:t>（2） 各种参数、数据备份与恢复服务、业务恢复服务；</w:t>
      </w:r>
    </w:p>
    <w:p>
      <w:pPr>
        <w:snapToGrid w:val="0"/>
        <w:spacing w:line="420" w:lineRule="exact"/>
        <w:ind w:firstLine="110" w:firstLineChars="50"/>
        <w:rPr>
          <w:sz w:val="22"/>
          <w:szCs w:val="22"/>
        </w:rPr>
      </w:pPr>
      <w:r>
        <w:rPr>
          <w:sz w:val="22"/>
          <w:szCs w:val="22"/>
        </w:rPr>
        <w:t>（3） 系统软件改版升级服务，应用软件维护、升级、开发和功能扩充服务；</w:t>
      </w:r>
    </w:p>
    <w:p>
      <w:pPr>
        <w:snapToGrid w:val="0"/>
        <w:spacing w:line="420" w:lineRule="exact"/>
        <w:ind w:firstLine="110" w:firstLineChars="50"/>
        <w:rPr>
          <w:sz w:val="22"/>
          <w:szCs w:val="22"/>
        </w:rPr>
      </w:pPr>
      <w:r>
        <w:rPr>
          <w:sz w:val="22"/>
          <w:szCs w:val="22"/>
        </w:rPr>
        <w:t>（4） 在出现紧急情况下迅速解决故障预案的现场服务；</w:t>
      </w:r>
    </w:p>
    <w:p>
      <w:pPr>
        <w:snapToGrid w:val="0"/>
        <w:spacing w:line="420" w:lineRule="exact"/>
        <w:ind w:firstLine="110" w:firstLineChars="50"/>
        <w:rPr>
          <w:sz w:val="22"/>
          <w:szCs w:val="22"/>
        </w:rPr>
      </w:pPr>
      <w:r>
        <w:rPr>
          <w:sz w:val="22"/>
          <w:szCs w:val="22"/>
        </w:rPr>
        <w:t>（5） 整体系统改造、更新、维护服务。</w:t>
      </w:r>
    </w:p>
    <w:p>
      <w:pPr>
        <w:snapToGrid w:val="0"/>
        <w:spacing w:line="420" w:lineRule="exact"/>
        <w:ind w:firstLine="442" w:firstLineChars="200"/>
        <w:rPr>
          <w:rFonts w:hint="eastAsia"/>
          <w:b/>
          <w:color w:val="000000"/>
          <w:sz w:val="22"/>
          <w:szCs w:val="22"/>
        </w:rPr>
      </w:pPr>
      <w:r>
        <w:rPr>
          <w:b/>
          <w:color w:val="000000"/>
          <w:sz w:val="22"/>
          <w:szCs w:val="22"/>
        </w:rPr>
        <w:t>中标供应商在接到采购人通知后，在一小时内给予回复，</w:t>
      </w:r>
      <w:r>
        <w:rPr>
          <w:rFonts w:hint="eastAsia"/>
          <w:b/>
          <w:color w:val="000000"/>
          <w:sz w:val="22"/>
          <w:szCs w:val="22"/>
        </w:rPr>
        <w:t>四</w:t>
      </w:r>
      <w:r>
        <w:rPr>
          <w:b/>
          <w:color w:val="000000"/>
          <w:sz w:val="22"/>
          <w:szCs w:val="22"/>
        </w:rPr>
        <w:t>小时赶到现场协助用户解决问题</w:t>
      </w:r>
      <w:r>
        <w:rPr>
          <w:rFonts w:hint="eastAsia"/>
          <w:b/>
          <w:color w:val="000000"/>
          <w:sz w:val="22"/>
          <w:szCs w:val="22"/>
        </w:rPr>
        <w:t>。</w:t>
      </w:r>
    </w:p>
    <w:p>
      <w:pPr>
        <w:snapToGrid w:val="0"/>
        <w:spacing w:line="420" w:lineRule="exact"/>
        <w:ind w:firstLine="440" w:firstLineChars="200"/>
        <w:rPr>
          <w:bCs/>
          <w:sz w:val="22"/>
          <w:szCs w:val="22"/>
        </w:rPr>
      </w:pPr>
      <w:r>
        <w:rPr>
          <w:sz w:val="22"/>
          <w:szCs w:val="22"/>
        </w:rPr>
        <w:t>3.4</w:t>
      </w:r>
      <w:r>
        <w:rPr>
          <w:bCs/>
          <w:sz w:val="22"/>
          <w:szCs w:val="22"/>
        </w:rPr>
        <w:t>技术咨询服务</w:t>
      </w:r>
    </w:p>
    <w:p>
      <w:pPr>
        <w:snapToGrid w:val="0"/>
        <w:spacing w:line="420" w:lineRule="exact"/>
        <w:ind w:firstLine="220" w:firstLineChars="100"/>
        <w:rPr>
          <w:sz w:val="22"/>
          <w:szCs w:val="22"/>
        </w:rPr>
      </w:pPr>
      <w:r>
        <w:rPr>
          <w:sz w:val="22"/>
          <w:szCs w:val="22"/>
        </w:rPr>
        <w:t>（1）中标供应商技术专家应为采购人提供全年7*24小时全天候的系统产品或技术方面的电话咨询服务。</w:t>
      </w:r>
    </w:p>
    <w:p>
      <w:pPr>
        <w:snapToGrid w:val="0"/>
        <w:spacing w:line="420" w:lineRule="exact"/>
        <w:ind w:left="2" w:firstLine="250" w:firstLineChars="114"/>
        <w:rPr>
          <w:sz w:val="22"/>
          <w:szCs w:val="22"/>
        </w:rPr>
      </w:pPr>
      <w:r>
        <w:rPr>
          <w:sz w:val="22"/>
          <w:szCs w:val="22"/>
        </w:rPr>
        <w:t>（2）根据采购人要求、帮助采购人解决实际应用问题，并负责解释造成这种问题的主要原因及如何避免此类问题的再次发生。中标供应商须提供专用的售后服务电话，责任工程师的手机、电子邮件地址等通讯方式，以确保7×24小时内随时可以联系到解决问题的责任人。</w:t>
      </w:r>
    </w:p>
    <w:p>
      <w:pPr>
        <w:snapToGrid w:val="0"/>
        <w:spacing w:line="420" w:lineRule="exact"/>
        <w:ind w:firstLine="440" w:firstLineChars="200"/>
        <w:rPr>
          <w:sz w:val="22"/>
          <w:szCs w:val="22"/>
        </w:rPr>
      </w:pPr>
      <w:r>
        <w:rPr>
          <w:sz w:val="22"/>
          <w:szCs w:val="22"/>
        </w:rPr>
        <w:t>3.5售后技术服务流程</w:t>
      </w:r>
    </w:p>
    <w:p>
      <w:pPr>
        <w:snapToGrid w:val="0"/>
        <w:spacing w:line="420" w:lineRule="exact"/>
        <w:ind w:left="1" w:firstLine="440" w:firstLineChars="200"/>
        <w:rPr>
          <w:sz w:val="22"/>
          <w:szCs w:val="22"/>
        </w:rPr>
      </w:pPr>
      <w:r>
        <w:rPr>
          <w:sz w:val="22"/>
          <w:szCs w:val="22"/>
        </w:rPr>
        <w:t>中标供应商技术中心作为采购人提供技术支持的专职部门，应为采购人提供在维护合同中指定的维护服务包括：</w:t>
      </w:r>
    </w:p>
    <w:p>
      <w:pPr>
        <w:snapToGrid w:val="0"/>
        <w:spacing w:line="420" w:lineRule="exact"/>
        <w:ind w:left="598" w:leftChars="249" w:firstLine="215" w:firstLineChars="98"/>
        <w:rPr>
          <w:sz w:val="22"/>
          <w:szCs w:val="22"/>
        </w:rPr>
      </w:pPr>
      <w:r>
        <w:rPr>
          <w:sz w:val="22"/>
          <w:szCs w:val="22"/>
        </w:rPr>
        <w:t>一级服务：负责处理采购人一天24小时内的所有技术问题。</w:t>
      </w:r>
    </w:p>
    <w:p>
      <w:pPr>
        <w:snapToGrid w:val="0"/>
        <w:spacing w:line="420" w:lineRule="exact"/>
        <w:ind w:firstLine="748" w:firstLineChars="340"/>
        <w:rPr>
          <w:sz w:val="22"/>
          <w:szCs w:val="22"/>
        </w:rPr>
      </w:pPr>
      <w:r>
        <w:rPr>
          <w:sz w:val="22"/>
          <w:szCs w:val="22"/>
        </w:rPr>
        <w:t>二级服务：处理一线工程师不能解决的疑难问题。如果问题不能在限定时间内解决，应上报，由资深工程师协助处理。如果问题仍然无法解决，则由厂家处理直至故障排除。</w:t>
      </w:r>
    </w:p>
    <w:p>
      <w:pPr>
        <w:snapToGrid w:val="0"/>
        <w:spacing w:line="420" w:lineRule="exact"/>
        <w:ind w:firstLine="440" w:firstLineChars="200"/>
        <w:rPr>
          <w:sz w:val="22"/>
          <w:szCs w:val="22"/>
        </w:rPr>
      </w:pPr>
      <w:r>
        <w:rPr>
          <w:sz w:val="22"/>
          <w:szCs w:val="22"/>
        </w:rPr>
        <w:t>3.6系统故障处理</w:t>
      </w:r>
    </w:p>
    <w:p>
      <w:pPr>
        <w:snapToGrid w:val="0"/>
        <w:spacing w:line="420" w:lineRule="exact"/>
        <w:ind w:firstLine="110" w:firstLineChars="50"/>
        <w:rPr>
          <w:sz w:val="22"/>
          <w:szCs w:val="22"/>
        </w:rPr>
      </w:pPr>
      <w:r>
        <w:rPr>
          <w:sz w:val="22"/>
          <w:szCs w:val="22"/>
        </w:rPr>
        <w:t>（1）系统出现警告，不影响系统运行；7×24小时电话咨询，48小时内到达现场。</w:t>
      </w:r>
    </w:p>
    <w:p>
      <w:pPr>
        <w:snapToGrid w:val="0"/>
        <w:spacing w:line="420" w:lineRule="exact"/>
        <w:ind w:firstLine="110" w:firstLineChars="50"/>
        <w:rPr>
          <w:sz w:val="22"/>
          <w:szCs w:val="22"/>
        </w:rPr>
      </w:pPr>
      <w:r>
        <w:rPr>
          <w:sz w:val="22"/>
          <w:szCs w:val="22"/>
        </w:rPr>
        <w:t>（2）出现部分设备损坏，系统正常运行；7×24小时电话咨询，12小时内到达现场。</w:t>
      </w:r>
    </w:p>
    <w:p>
      <w:pPr>
        <w:snapToGrid w:val="0"/>
        <w:spacing w:line="420" w:lineRule="exact"/>
        <w:ind w:firstLine="110" w:firstLineChars="50"/>
        <w:rPr>
          <w:sz w:val="22"/>
          <w:szCs w:val="22"/>
        </w:rPr>
      </w:pPr>
      <w:r>
        <w:rPr>
          <w:sz w:val="22"/>
          <w:szCs w:val="22"/>
        </w:rPr>
        <w:t>（3）系统崩溃；7×24小时电话咨询，</w:t>
      </w:r>
      <w:r>
        <w:rPr>
          <w:rFonts w:hint="eastAsia"/>
          <w:sz w:val="22"/>
          <w:szCs w:val="22"/>
        </w:rPr>
        <w:t>2</w:t>
      </w:r>
      <w:r>
        <w:rPr>
          <w:sz w:val="22"/>
          <w:szCs w:val="22"/>
        </w:rPr>
        <w:t>小时内到达现场。</w:t>
      </w:r>
    </w:p>
    <w:p>
      <w:pPr>
        <w:autoSpaceDE w:val="0"/>
        <w:autoSpaceDN w:val="0"/>
        <w:adjustRightInd w:val="0"/>
        <w:snapToGrid w:val="0"/>
        <w:spacing w:line="420" w:lineRule="exact"/>
        <w:ind w:firstLine="110" w:firstLineChars="50"/>
        <w:textAlignment w:val="bottom"/>
        <w:rPr>
          <w:rFonts w:hint="eastAsia" w:cs="仿宋_GB2312"/>
          <w:sz w:val="22"/>
          <w:szCs w:val="22"/>
          <w:lang w:val="zh-CN"/>
        </w:rPr>
      </w:pPr>
      <w:r>
        <w:rPr>
          <w:sz w:val="22"/>
          <w:szCs w:val="22"/>
        </w:rPr>
        <w:t>（4）到现场后，二天内无法解决问题须提供同档次机器供用户备用，7天内无法解决问题须调换</w:t>
      </w:r>
      <w:r>
        <w:rPr>
          <w:rFonts w:hint="eastAsia"/>
          <w:sz w:val="22"/>
          <w:szCs w:val="22"/>
        </w:rPr>
        <w:t>设备</w:t>
      </w:r>
      <w:r>
        <w:rPr>
          <w:sz w:val="22"/>
          <w:szCs w:val="22"/>
        </w:rPr>
        <w:t>。</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4、安装调试</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4.1.安装地点：按采购人要求。</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4.2.安装标准：符合我国国家有关技术规范要求和技术标准。</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4.3.安装过程中发生的费用由中标供应商负责。</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4.4.供应商应在投标文件中提出其安装调试过程中使用单位需配合的内容。</w:t>
      </w:r>
    </w:p>
    <w:p>
      <w:pPr>
        <w:snapToGrid w:val="0"/>
        <w:spacing w:line="420" w:lineRule="exact"/>
        <w:ind w:left="-204" w:leftChars="-85"/>
        <w:rPr>
          <w:sz w:val="22"/>
          <w:szCs w:val="22"/>
        </w:rPr>
      </w:pPr>
      <w:r>
        <w:rPr>
          <w:sz w:val="22"/>
          <w:szCs w:val="22"/>
        </w:rPr>
        <w:t xml:space="preserve">  </w:t>
      </w:r>
      <w:r>
        <w:rPr>
          <w:rFonts w:hint="eastAsia"/>
          <w:sz w:val="22"/>
          <w:szCs w:val="22"/>
        </w:rPr>
        <w:t xml:space="preserve">   4.5.</w:t>
      </w:r>
      <w:r>
        <w:rPr>
          <w:sz w:val="22"/>
          <w:szCs w:val="22"/>
        </w:rPr>
        <w:t>设备的安装、调试和验收</w:t>
      </w:r>
    </w:p>
    <w:p>
      <w:pPr>
        <w:snapToGrid w:val="0"/>
        <w:spacing w:line="420" w:lineRule="exact"/>
        <w:ind w:firstLine="391" w:firstLineChars="178"/>
        <w:rPr>
          <w:sz w:val="22"/>
          <w:szCs w:val="22"/>
        </w:rPr>
      </w:pPr>
      <w:r>
        <w:rPr>
          <w:rFonts w:hint="eastAsia"/>
          <w:sz w:val="22"/>
          <w:szCs w:val="22"/>
        </w:rPr>
        <w:t>4.5</w:t>
      </w:r>
      <w:r>
        <w:rPr>
          <w:sz w:val="22"/>
          <w:szCs w:val="22"/>
        </w:rPr>
        <w:t>.1</w:t>
      </w:r>
      <w:r>
        <w:rPr>
          <w:rFonts w:hint="eastAsia"/>
          <w:sz w:val="22"/>
          <w:szCs w:val="22"/>
        </w:rPr>
        <w:t>．</w:t>
      </w:r>
      <w:r>
        <w:rPr>
          <w:sz w:val="22"/>
          <w:szCs w:val="22"/>
        </w:rPr>
        <w:t>安装调试时间</w:t>
      </w:r>
    </w:p>
    <w:p>
      <w:pPr>
        <w:snapToGrid w:val="0"/>
        <w:spacing w:line="420" w:lineRule="exact"/>
        <w:ind w:left="1"/>
        <w:rPr>
          <w:sz w:val="22"/>
          <w:szCs w:val="22"/>
        </w:rPr>
      </w:pPr>
      <w:r>
        <w:rPr>
          <w:sz w:val="22"/>
          <w:szCs w:val="22"/>
        </w:rPr>
        <w:t xml:space="preserve">    供应商必须在合同规定的</w:t>
      </w:r>
      <w:r>
        <w:rPr>
          <w:rFonts w:hint="eastAsia"/>
          <w:sz w:val="22"/>
          <w:szCs w:val="22"/>
        </w:rPr>
        <w:t>时间内</w:t>
      </w:r>
      <w:r>
        <w:rPr>
          <w:sz w:val="22"/>
          <w:szCs w:val="22"/>
        </w:rPr>
        <w:t>完成设备供货、安装、调试工作，并确保系统的正常运行。</w:t>
      </w:r>
    </w:p>
    <w:p>
      <w:pPr>
        <w:snapToGrid w:val="0"/>
        <w:spacing w:line="420" w:lineRule="exact"/>
        <w:ind w:firstLine="440" w:firstLineChars="200"/>
        <w:outlineLvl w:val="0"/>
        <w:rPr>
          <w:sz w:val="22"/>
          <w:szCs w:val="22"/>
        </w:rPr>
      </w:pPr>
      <w:r>
        <w:rPr>
          <w:rFonts w:hint="eastAsia"/>
          <w:sz w:val="22"/>
          <w:szCs w:val="22"/>
        </w:rPr>
        <w:t>4.5</w:t>
      </w:r>
      <w:r>
        <w:rPr>
          <w:sz w:val="22"/>
          <w:szCs w:val="22"/>
        </w:rPr>
        <w:t>.2.  设备的到货、安装、调试、验收</w:t>
      </w:r>
    </w:p>
    <w:p>
      <w:pPr>
        <w:snapToGrid w:val="0"/>
        <w:spacing w:line="420" w:lineRule="exact"/>
        <w:ind w:left="1" w:firstLine="256" w:firstLineChars="116"/>
        <w:rPr>
          <w:b/>
          <w:sz w:val="22"/>
          <w:szCs w:val="22"/>
        </w:rPr>
      </w:pPr>
      <w:r>
        <w:rPr>
          <w:b/>
          <w:sz w:val="22"/>
          <w:szCs w:val="22"/>
        </w:rPr>
        <w:t>（1</w:t>
      </w:r>
      <w:r>
        <w:rPr>
          <w:b/>
          <w:spacing w:val="20"/>
          <w:sz w:val="22"/>
          <w:szCs w:val="22"/>
        </w:rPr>
        <w:t>）</w:t>
      </w:r>
      <w:r>
        <w:rPr>
          <w:b/>
          <w:sz w:val="22"/>
          <w:szCs w:val="22"/>
        </w:rPr>
        <w:t>所供设备在现场进行到货</w:t>
      </w:r>
      <w:r>
        <w:rPr>
          <w:rFonts w:hint="eastAsia"/>
          <w:b/>
          <w:sz w:val="22"/>
          <w:szCs w:val="22"/>
        </w:rPr>
        <w:t>初步</w:t>
      </w:r>
      <w:r>
        <w:rPr>
          <w:b/>
          <w:sz w:val="22"/>
          <w:szCs w:val="22"/>
        </w:rPr>
        <w:t>验收时,由中标供应商负责</w:t>
      </w:r>
      <w:r>
        <w:rPr>
          <w:rFonts w:hint="eastAsia"/>
          <w:b/>
          <w:sz w:val="22"/>
          <w:szCs w:val="22"/>
        </w:rPr>
        <w:t>提交验收资料（包括合格证、原厂证明与质保函）</w:t>
      </w:r>
      <w:r>
        <w:rPr>
          <w:b/>
          <w:sz w:val="22"/>
          <w:szCs w:val="22"/>
        </w:rPr>
        <w:t>，采购人派员参加,如发现问题应及时处理直至使采购人满意,其中费用由中标供应商</w:t>
      </w:r>
      <w:r>
        <w:rPr>
          <w:rFonts w:hint="eastAsia"/>
          <w:b/>
          <w:sz w:val="22"/>
          <w:szCs w:val="22"/>
        </w:rPr>
        <w:t>支付</w:t>
      </w:r>
      <w:r>
        <w:rPr>
          <w:b/>
          <w:sz w:val="22"/>
          <w:szCs w:val="22"/>
        </w:rPr>
        <w:t>、设备的存放点由采购人提供、中标供应商负责保管。</w:t>
      </w:r>
    </w:p>
    <w:p>
      <w:pPr>
        <w:snapToGrid w:val="0"/>
        <w:spacing w:line="420" w:lineRule="exact"/>
        <w:ind w:left="2" w:leftChars="1" w:firstLine="330" w:firstLineChars="150"/>
        <w:rPr>
          <w:sz w:val="22"/>
          <w:szCs w:val="22"/>
        </w:rPr>
      </w:pPr>
      <w:r>
        <w:rPr>
          <w:sz w:val="22"/>
          <w:szCs w:val="22"/>
        </w:rPr>
        <w:t>（2）安装范围包括设备本身及整个系统的安装。安装必须符合有关标准和规范。安装过程中采购人和有关部门共同对设备及系统的安装质量进行监理。</w:t>
      </w:r>
    </w:p>
    <w:p>
      <w:pPr>
        <w:snapToGrid w:val="0"/>
        <w:spacing w:line="420" w:lineRule="exact"/>
        <w:ind w:left="2" w:leftChars="1" w:firstLine="327" w:firstLineChars="149"/>
        <w:rPr>
          <w:sz w:val="22"/>
          <w:szCs w:val="22"/>
        </w:rPr>
      </w:pPr>
      <w:r>
        <w:rPr>
          <w:sz w:val="22"/>
          <w:szCs w:val="22"/>
        </w:rPr>
        <w:t>（3）安装完毕后，中标供应商应派遣有经验的工程技术人员进行设备的调试及试运行，采购人可以要求中标供应商或具有检测资质的第三方用专用仪器进行测试，中标供应商应负责测试和调试所需的人员、工具、材料、仪器及一切费用，并填写测试报告交由采购人存档。如需采购人派有关人员配合，中标供应商应在设备安装调试前一周提出需配合工作人员的工种、人数等计划书交与采购人，以便采购人提前作好准备，确保整个工程顺利进行。</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sz w:val="22"/>
          <w:szCs w:val="22"/>
        </w:rPr>
        <w:t xml:space="preserve">（4）设备经过试运行后达到并符合合同要求，其中故障和隐患均已排除或解决，并使采购人满意，所有的资料和图纸均已向采购人移交并被接受，验收视为合格，由双方签署验收证书后，设备才视为接受。  </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5、完工期</w:t>
      </w:r>
    </w:p>
    <w:p>
      <w:pPr>
        <w:autoSpaceDE w:val="0"/>
        <w:autoSpaceDN w:val="0"/>
        <w:adjustRightInd w:val="0"/>
        <w:snapToGrid w:val="0"/>
        <w:spacing w:line="420" w:lineRule="exact"/>
        <w:ind w:firstLine="442" w:firstLineChars="200"/>
        <w:textAlignment w:val="bottom"/>
        <w:outlineLvl w:val="0"/>
        <w:rPr>
          <w:rFonts w:hint="eastAsia" w:cs="仿宋_GB2312"/>
          <w:b/>
          <w:sz w:val="22"/>
          <w:szCs w:val="22"/>
          <w:lang w:val="zh-CN"/>
        </w:rPr>
      </w:pPr>
      <w:r>
        <w:rPr>
          <w:rFonts w:hint="eastAsia" w:cs="仿宋_GB2312"/>
          <w:b/>
          <w:sz w:val="22"/>
          <w:szCs w:val="22"/>
          <w:u w:val="single"/>
          <w:lang w:val="zh-CN"/>
        </w:rPr>
        <w:t>供应商提供最短的完工期（签订合同后，最长不得超出</w:t>
      </w:r>
      <w:r>
        <w:rPr>
          <w:rFonts w:hint="eastAsia" w:cs="仿宋_GB2312"/>
          <w:b/>
          <w:sz w:val="22"/>
          <w:szCs w:val="22"/>
          <w:u w:val="single"/>
        </w:rPr>
        <w:t>120</w:t>
      </w:r>
      <w:r>
        <w:rPr>
          <w:rFonts w:hint="eastAsia" w:cs="仿宋_GB2312"/>
          <w:b/>
          <w:sz w:val="22"/>
          <w:szCs w:val="22"/>
          <w:u w:val="single"/>
          <w:lang w:val="zh-CN"/>
        </w:rPr>
        <w:t>日历天）</w:t>
      </w:r>
      <w:r>
        <w:rPr>
          <w:rFonts w:hint="eastAsia" w:cs="仿宋_GB2312"/>
          <w:b/>
          <w:sz w:val="22"/>
          <w:szCs w:val="22"/>
          <w:lang w:val="zh-CN"/>
        </w:rPr>
        <w:t>。</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bookmarkStart w:id="256" w:name="_Toc157410887"/>
      <w:r>
        <w:rPr>
          <w:rFonts w:hint="eastAsia" w:cs="仿宋_GB2312"/>
          <w:sz w:val="22"/>
          <w:szCs w:val="22"/>
          <w:lang w:val="zh-CN"/>
        </w:rPr>
        <w:t>6、工作范围：</w:t>
      </w:r>
      <w:bookmarkEnd w:id="256"/>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根据招标文件，各供应商须按国家有关标准及规范完成下列工作：</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1.提供完整成套的智能化系统需配备的全部软硬件。</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2.产品及相关附件的提供、运输、装卸、就位、安装、调试、检验检测、通过验收；</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3.完成各项调试、检验、测试工作，并在采购人的配合下通过的验收；提供各种数据资料；直至通过验收。包括所涉及的软硬件系统调整、配置和调试、维护。</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4.对最终使用单位的操作人员及维修人员进行技术培训；</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5.质保期内系统的维保及维修及质保期后终身维修；</w:t>
      </w:r>
    </w:p>
    <w:p>
      <w:pPr>
        <w:autoSpaceDE w:val="0"/>
        <w:autoSpaceDN w:val="0"/>
        <w:adjustRightInd w:val="0"/>
        <w:snapToGrid w:val="0"/>
        <w:spacing w:line="420" w:lineRule="exact"/>
        <w:ind w:firstLine="411" w:firstLineChars="187"/>
        <w:textAlignment w:val="bottom"/>
        <w:rPr>
          <w:rFonts w:hint="eastAsia" w:cs="仿宋_GB2312"/>
          <w:sz w:val="22"/>
          <w:szCs w:val="22"/>
          <w:lang w:val="zh-CN"/>
        </w:rPr>
      </w:pPr>
      <w:r>
        <w:rPr>
          <w:rFonts w:hint="eastAsia" w:cs="仿宋_GB2312"/>
          <w:sz w:val="22"/>
          <w:szCs w:val="22"/>
          <w:lang w:val="zh-CN"/>
        </w:rPr>
        <w:t>6.售后服务的措施及承诺。</w:t>
      </w:r>
    </w:p>
    <w:p>
      <w:pPr>
        <w:adjustRightInd w:val="0"/>
        <w:snapToGrid w:val="0"/>
        <w:spacing w:line="420" w:lineRule="exact"/>
        <w:ind w:firstLine="440" w:firstLineChars="200"/>
        <w:rPr>
          <w:rFonts w:hint="eastAsia"/>
          <w:sz w:val="22"/>
          <w:szCs w:val="22"/>
        </w:rPr>
      </w:pPr>
      <w:r>
        <w:rPr>
          <w:rFonts w:hint="eastAsia" w:cs="仿宋_GB2312"/>
          <w:sz w:val="22"/>
          <w:szCs w:val="22"/>
          <w:u w:val="single"/>
          <w:lang w:val="zh-CN"/>
        </w:rPr>
        <w:t>以上工作内容的费用均包含在报价总价中。</w:t>
      </w:r>
    </w:p>
    <w:p>
      <w:pPr>
        <w:autoSpaceDE w:val="0"/>
        <w:autoSpaceDN w:val="0"/>
        <w:adjustRightInd w:val="0"/>
        <w:snapToGrid w:val="0"/>
        <w:spacing w:line="460" w:lineRule="atLeast"/>
        <w:ind w:firstLine="440" w:firstLineChars="200"/>
        <w:textAlignment w:val="bottom"/>
        <w:rPr>
          <w:rFonts w:hint="eastAsia"/>
          <w:sz w:val="22"/>
          <w:szCs w:val="22"/>
        </w:rPr>
      </w:pPr>
    </w:p>
    <w:p>
      <w:pPr>
        <w:adjustRightInd w:val="0"/>
        <w:snapToGrid w:val="0"/>
        <w:spacing w:line="460" w:lineRule="exact"/>
        <w:jc w:val="center"/>
        <w:rPr>
          <w:rFonts w:hint="eastAsia"/>
          <w:sz w:val="36"/>
        </w:rPr>
      </w:pPr>
      <w:r>
        <w:rPr>
          <w:rFonts w:hint="eastAsia"/>
          <w:sz w:val="36"/>
        </w:rPr>
        <w:t>第三部分   供应商须知</w:t>
      </w:r>
    </w:p>
    <w:p>
      <w:pPr>
        <w:autoSpaceDE w:val="0"/>
        <w:autoSpaceDN w:val="0"/>
        <w:adjustRightInd w:val="0"/>
        <w:snapToGrid w:val="0"/>
        <w:spacing w:line="400" w:lineRule="exact"/>
        <w:textAlignment w:val="bottom"/>
        <w:rPr>
          <w:rFonts w:hint="eastAsia"/>
          <w:sz w:val="22"/>
          <w:szCs w:val="22"/>
        </w:rPr>
      </w:pPr>
      <w:r>
        <w:rPr>
          <w:rFonts w:hint="eastAsia"/>
          <w:sz w:val="22"/>
          <w:szCs w:val="22"/>
        </w:rPr>
        <w:t>一、说明</w:t>
      </w:r>
    </w:p>
    <w:p>
      <w:pPr>
        <w:autoSpaceDE w:val="0"/>
        <w:autoSpaceDN w:val="0"/>
        <w:adjustRightInd w:val="0"/>
        <w:snapToGrid w:val="0"/>
        <w:spacing w:line="400" w:lineRule="exact"/>
        <w:ind w:firstLine="431" w:firstLineChars="196"/>
        <w:textAlignment w:val="bottom"/>
        <w:rPr>
          <w:rFonts w:hint="eastAsia"/>
          <w:sz w:val="22"/>
          <w:szCs w:val="22"/>
        </w:rPr>
      </w:pPr>
      <w:r>
        <w:rPr>
          <w:rFonts w:hint="eastAsia"/>
          <w:sz w:val="22"/>
          <w:szCs w:val="22"/>
        </w:rPr>
        <w:t>1、本次招标工作是按照《中华人民共和国政府采购法》、《政府采购货物和服务招标投标管理办法》、《</w:t>
      </w:r>
      <w:r>
        <w:rPr>
          <w:rFonts w:hint="eastAsia"/>
          <w:bCs/>
          <w:sz w:val="22"/>
          <w:szCs w:val="22"/>
        </w:rPr>
        <w:t>浙江省财政厅、省监察厅关于进一步规范政府采购活动的若干意见</w:t>
      </w:r>
      <w:r>
        <w:rPr>
          <w:rFonts w:hint="eastAsia"/>
          <w:sz w:val="22"/>
          <w:szCs w:val="22"/>
        </w:rPr>
        <w:t>》及相关法律法规规章组织和实施。</w:t>
      </w:r>
    </w:p>
    <w:p>
      <w:pPr>
        <w:snapToGrid w:val="0"/>
        <w:spacing w:line="400" w:lineRule="exact"/>
        <w:ind w:firstLine="431" w:firstLineChars="196"/>
        <w:rPr>
          <w:rFonts w:hint="eastAsia"/>
          <w:sz w:val="22"/>
          <w:szCs w:val="22"/>
        </w:rPr>
      </w:pPr>
      <w:r>
        <w:rPr>
          <w:rFonts w:hint="eastAsia" w:cs="’Times New Roman’"/>
          <w:sz w:val="22"/>
          <w:szCs w:val="22"/>
        </w:rPr>
        <w:t>2、</w:t>
      </w:r>
      <w:r>
        <w:rPr>
          <w:rFonts w:hint="eastAsia"/>
          <w:sz w:val="22"/>
          <w:szCs w:val="22"/>
        </w:rPr>
        <w:t>无论投标过程中的作法和结果如何，供应商自行承担投标活动中所发生的全部费用。</w:t>
      </w:r>
    </w:p>
    <w:p>
      <w:pPr>
        <w:autoSpaceDE w:val="0"/>
        <w:autoSpaceDN w:val="0"/>
        <w:adjustRightInd w:val="0"/>
        <w:snapToGrid w:val="0"/>
        <w:spacing w:line="400" w:lineRule="exact"/>
        <w:ind w:firstLine="431" w:firstLineChars="196"/>
        <w:textAlignment w:val="bottom"/>
        <w:rPr>
          <w:rFonts w:hint="eastAsia"/>
          <w:sz w:val="22"/>
          <w:szCs w:val="22"/>
        </w:rPr>
      </w:pPr>
      <w:r>
        <w:rPr>
          <w:rFonts w:hint="eastAsia"/>
          <w:sz w:val="22"/>
          <w:szCs w:val="22"/>
        </w:rPr>
        <w:t>3、</w:t>
      </w:r>
      <w:r>
        <w:rPr>
          <w:rFonts w:hint="eastAsia"/>
          <w:b/>
          <w:sz w:val="22"/>
          <w:szCs w:val="22"/>
          <w:u w:val="single"/>
        </w:rPr>
        <w:t>供应商可以选择标段投标，但对所投标段必须投全部货物及服务，否则按无效投标处理。</w:t>
      </w:r>
    </w:p>
    <w:p>
      <w:pPr>
        <w:autoSpaceDE w:val="0"/>
        <w:autoSpaceDN w:val="0"/>
        <w:adjustRightInd w:val="0"/>
        <w:snapToGrid w:val="0"/>
        <w:spacing w:line="400" w:lineRule="exact"/>
        <w:ind w:firstLine="446" w:firstLineChars="203"/>
        <w:textAlignment w:val="bottom"/>
        <w:rPr>
          <w:rFonts w:hint="eastAsia"/>
          <w:sz w:val="22"/>
        </w:rPr>
      </w:pPr>
      <w:r>
        <w:rPr>
          <w:rFonts w:hint="eastAsia"/>
          <w:sz w:val="22"/>
        </w:rPr>
        <w:t>4、本次采购商务报价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pPr>
        <w:autoSpaceDE w:val="0"/>
        <w:autoSpaceDN w:val="0"/>
        <w:adjustRightInd w:val="0"/>
        <w:snapToGrid w:val="0"/>
        <w:spacing w:line="400" w:lineRule="exact"/>
        <w:ind w:firstLine="420" w:firstLineChars="190"/>
        <w:textAlignment w:val="bottom"/>
        <w:rPr>
          <w:rFonts w:hint="eastAsia"/>
          <w:b/>
          <w:sz w:val="22"/>
          <w:szCs w:val="22"/>
          <w:u w:val="single"/>
        </w:rPr>
      </w:pPr>
      <w:r>
        <w:rPr>
          <w:rFonts w:hint="eastAsia"/>
          <w:b/>
          <w:sz w:val="22"/>
          <w:szCs w:val="22"/>
        </w:rPr>
        <w:t>5、供应商须自行现场勘察，以求得准确的报价依据。供应商须自行考虑投标报价的风险。</w:t>
      </w:r>
    </w:p>
    <w:p>
      <w:pPr>
        <w:snapToGrid w:val="0"/>
        <w:spacing w:line="400" w:lineRule="exact"/>
        <w:ind w:firstLine="420" w:firstLineChars="190"/>
        <w:rPr>
          <w:rFonts w:hint="eastAsia"/>
          <w:sz w:val="22"/>
          <w:szCs w:val="22"/>
        </w:rPr>
      </w:pPr>
      <w:r>
        <w:rPr>
          <w:rFonts w:hint="eastAsia"/>
          <w:b/>
          <w:sz w:val="22"/>
          <w:lang w:val="zh-CN"/>
        </w:rPr>
        <w:t>6、招标文件中货物需要原厂商提供质保或服务的，中标供应商应按招标文件要求在到货时提供货物制造商质保证明。如原厂商无故不予授权证明，在中标供应商作出保证产品质量和售后服务的承诺后，可以不需授权文件，但对此应在合同的验收、结算和违约责任中补充增加相应的制约性条款（如供应商某项设备不能取得制造商授权或质保证明原件的。</w:t>
      </w:r>
    </w:p>
    <w:p>
      <w:pPr>
        <w:snapToGrid w:val="0"/>
        <w:spacing w:line="400" w:lineRule="exact"/>
        <w:ind w:firstLine="418" w:firstLineChars="190"/>
        <w:rPr>
          <w:rFonts w:hint="eastAsia"/>
          <w:sz w:val="22"/>
          <w:lang w:val="zh-CN"/>
        </w:rPr>
      </w:pPr>
      <w:r>
        <w:rPr>
          <w:rFonts w:hint="eastAsia"/>
          <w:sz w:val="22"/>
          <w:lang w:val="zh-CN"/>
        </w:rPr>
        <w:t>7、本项目如涉及国家规定强制认证的，供应商所投标设备均应符合工业品生产许可证，3C认证，环保设备认证等强制认证规定。且中标供应商须在采购人对本项目验收时提供相关证书证明资料，否则做验收不能通过处理，并对中标供应商处以合同总金额10%的违约金罚款。</w:t>
      </w:r>
    </w:p>
    <w:p>
      <w:pPr>
        <w:snapToGrid w:val="0"/>
        <w:spacing w:line="400" w:lineRule="exact"/>
        <w:ind w:firstLine="420" w:firstLineChars="190"/>
        <w:rPr>
          <w:b/>
          <w:color w:val="000000"/>
          <w:sz w:val="22"/>
          <w:szCs w:val="22"/>
          <w:lang w:val="zh-CN"/>
        </w:rPr>
      </w:pPr>
      <w:r>
        <w:rPr>
          <w:rFonts w:hint="eastAsia"/>
          <w:b/>
          <w:color w:val="000000"/>
          <w:sz w:val="22"/>
          <w:szCs w:val="22"/>
          <w:lang w:val="zh-CN"/>
        </w:rPr>
        <w:t>8、</w:t>
      </w:r>
      <w:r>
        <w:rPr>
          <w:b/>
          <w:color w:val="000000"/>
          <w:sz w:val="22"/>
          <w:szCs w:val="22"/>
          <w:lang w:val="zh-CN"/>
        </w:rPr>
        <w:t>采用最低评标价法的采购项目，提供相同品牌产品的不同投标供应商参加同一合同项下投标的，以其中通过资格审查、符合性审查且报价最低的参加评标；报价相同的，采取随机抽取方式确定，其他投标无效。</w:t>
      </w:r>
    </w:p>
    <w:p>
      <w:pPr>
        <w:snapToGrid w:val="0"/>
        <w:spacing w:line="400" w:lineRule="exact"/>
        <w:ind w:firstLine="420" w:firstLineChars="190"/>
        <w:rPr>
          <w:b/>
          <w:color w:val="000000"/>
          <w:sz w:val="22"/>
          <w:szCs w:val="22"/>
          <w:lang w:val="zh-CN"/>
        </w:rPr>
      </w:pPr>
      <w:r>
        <w:rPr>
          <w:b/>
          <w:color w:val="000000"/>
          <w:sz w:val="22"/>
          <w:szCs w:val="22"/>
          <w:lang w:val="zh-CN"/>
        </w:rPr>
        <w:t>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djustRightInd w:val="0"/>
        <w:spacing w:line="440" w:lineRule="atLeast"/>
        <w:ind w:firstLine="433" w:firstLineChars="196"/>
        <w:rPr>
          <w:b/>
          <w:color w:val="000000"/>
          <w:sz w:val="22"/>
          <w:szCs w:val="22"/>
        </w:rPr>
      </w:pPr>
      <w:r>
        <w:rPr>
          <w:b/>
          <w:color w:val="000000"/>
          <w:sz w:val="22"/>
          <w:szCs w:val="22"/>
          <w:lang w:val="zh-CN"/>
        </w:rPr>
        <w:t>非单一产品采购项目，</w:t>
      </w:r>
      <w:r>
        <w:rPr>
          <w:rFonts w:hint="eastAsia"/>
          <w:b/>
          <w:color w:val="000000"/>
          <w:sz w:val="22"/>
          <w:szCs w:val="22"/>
          <w:lang w:val="zh-CN"/>
        </w:rPr>
        <w:t>单项</w:t>
      </w:r>
      <w:r>
        <w:rPr>
          <w:b/>
          <w:color w:val="000000"/>
          <w:sz w:val="22"/>
          <w:szCs w:val="22"/>
          <w:lang w:val="zh-CN"/>
        </w:rPr>
        <w:t>产品</w:t>
      </w:r>
      <w:r>
        <w:rPr>
          <w:rFonts w:hint="eastAsia"/>
          <w:b/>
          <w:color w:val="000000"/>
          <w:sz w:val="22"/>
          <w:szCs w:val="22"/>
          <w:lang w:val="zh-CN"/>
        </w:rPr>
        <w:t>投标</w:t>
      </w:r>
      <w:r>
        <w:rPr>
          <w:b/>
          <w:color w:val="000000"/>
          <w:sz w:val="22"/>
          <w:szCs w:val="22"/>
          <w:lang w:val="zh-CN"/>
        </w:rPr>
        <w:t>价格比重</w:t>
      </w:r>
      <w:r>
        <w:rPr>
          <w:rFonts w:hint="eastAsia"/>
          <w:b/>
          <w:color w:val="000000"/>
          <w:sz w:val="22"/>
          <w:szCs w:val="22"/>
          <w:lang w:val="zh-CN"/>
        </w:rPr>
        <w:t>占总投标价50%及以上的认定为</w:t>
      </w:r>
      <w:r>
        <w:rPr>
          <w:b/>
          <w:color w:val="000000"/>
          <w:sz w:val="22"/>
          <w:szCs w:val="22"/>
          <w:lang w:val="zh-CN"/>
        </w:rPr>
        <w:t>核心产品</w:t>
      </w:r>
      <w:r>
        <w:rPr>
          <w:rFonts w:hint="eastAsia"/>
          <w:b/>
          <w:color w:val="000000"/>
          <w:sz w:val="22"/>
          <w:szCs w:val="22"/>
          <w:lang w:val="zh-CN"/>
        </w:rPr>
        <w:t>（有效投标供应商中一家供应商该项投标价格占总投标价50%级以上即认定），</w:t>
      </w:r>
      <w:r>
        <w:rPr>
          <w:b/>
          <w:color w:val="000000"/>
          <w:sz w:val="22"/>
          <w:szCs w:val="22"/>
          <w:lang w:val="zh-CN"/>
        </w:rPr>
        <w:t>多家投标供应商提供的核心产品品牌相同的，按前款规定处理</w:t>
      </w:r>
      <w:r>
        <w:rPr>
          <w:b/>
          <w:sz w:val="22"/>
          <w:lang w:val="zh-CN"/>
        </w:rPr>
        <w:t>。</w:t>
      </w:r>
    </w:p>
    <w:p>
      <w:pPr>
        <w:snapToGrid w:val="0"/>
        <w:spacing w:line="400" w:lineRule="exact"/>
        <w:ind w:firstLine="420" w:firstLineChars="190"/>
        <w:rPr>
          <w:rFonts w:hint="eastAsia"/>
          <w:sz w:val="22"/>
          <w:lang w:val="zh-CN"/>
        </w:rPr>
      </w:pPr>
      <w:r>
        <w:rPr>
          <w:rFonts w:hint="eastAsia"/>
          <w:b/>
          <w:sz w:val="22"/>
          <w:szCs w:val="22"/>
          <w:u w:val="single"/>
        </w:rPr>
        <w:t>9、本次招标文件中，带有“▲”或“</w:t>
      </w:r>
      <w:r>
        <w:rPr>
          <w:rFonts w:hint="eastAsia"/>
          <w:sz w:val="22"/>
          <w:szCs w:val="22"/>
        </w:rPr>
        <w:t>★</w:t>
      </w:r>
      <w:r>
        <w:rPr>
          <w:rFonts w:hint="eastAsia"/>
          <w:b/>
          <w:sz w:val="22"/>
          <w:szCs w:val="22"/>
          <w:u w:val="single"/>
        </w:rPr>
        <w:t>”标注的有关技术和商务条款要求供应商做实质性响应，供应商要特别加以注意，必须对此回答并完全满足这些要求。否则若有一项“▲”或“</w:t>
      </w:r>
      <w:r>
        <w:rPr>
          <w:rFonts w:hint="eastAsia"/>
          <w:sz w:val="22"/>
          <w:szCs w:val="22"/>
        </w:rPr>
        <w:t>★</w:t>
      </w:r>
      <w:r>
        <w:rPr>
          <w:rFonts w:hint="eastAsia"/>
          <w:b/>
          <w:sz w:val="22"/>
          <w:szCs w:val="22"/>
          <w:u w:val="single"/>
        </w:rPr>
        <w:t>”的指标未响应或不满足，将按投标无效处理。</w:t>
      </w:r>
    </w:p>
    <w:p>
      <w:pPr>
        <w:pStyle w:val="14"/>
        <w:adjustRightInd w:val="0"/>
        <w:snapToGrid w:val="0"/>
        <w:spacing w:line="400" w:lineRule="exact"/>
        <w:ind w:firstLine="442"/>
        <w:rPr>
          <w:rFonts w:hint="eastAsia" w:ascii="Arial" w:hAnsi="Arial" w:eastAsia="仿宋_GB2312" w:cs="Arial"/>
          <w:b/>
          <w:sz w:val="24"/>
        </w:rPr>
      </w:pPr>
      <w:r>
        <w:rPr>
          <w:rFonts w:hint="eastAsia"/>
          <w:b/>
          <w:sz w:val="22"/>
          <w:szCs w:val="22"/>
        </w:rPr>
        <w:t>10、</w:t>
      </w:r>
      <w:r>
        <w:rPr>
          <w:rFonts w:ascii="Arial" w:hAnsi="Arial" w:cs="Arial"/>
          <w:b/>
          <w:sz w:val="22"/>
          <w:szCs w:val="22"/>
        </w:rPr>
        <w:t>本项目采购预算详见采购公告；供应商投标报价超出采购预算的，该供应商投标按无效投标处理。如有分项预算的，供应商明细报价中各分项报价也不得超过各分项预算。</w:t>
      </w:r>
    </w:p>
    <w:p>
      <w:pPr>
        <w:autoSpaceDE w:val="0"/>
        <w:autoSpaceDN w:val="0"/>
        <w:adjustRightInd w:val="0"/>
        <w:snapToGrid w:val="0"/>
        <w:spacing w:line="460" w:lineRule="exact"/>
        <w:ind w:firstLine="431" w:firstLineChars="196"/>
        <w:textAlignment w:val="bottom"/>
        <w:rPr>
          <w:rFonts w:ascii="Arial" w:hAnsi="Arial" w:cs="Arial"/>
          <w:b/>
          <w:sz w:val="22"/>
          <w:szCs w:val="22"/>
        </w:rPr>
      </w:pPr>
      <w:r>
        <w:rPr>
          <w:rFonts w:hint="eastAsia"/>
          <w:sz w:val="22"/>
          <w:szCs w:val="22"/>
        </w:rPr>
        <w:t>▲</w:t>
      </w:r>
      <w:r>
        <w:rPr>
          <w:rFonts w:hint="eastAsia"/>
          <w:b/>
          <w:sz w:val="22"/>
          <w:szCs w:val="22"/>
        </w:rPr>
        <w:t>11、</w:t>
      </w:r>
      <w:r>
        <w:rPr>
          <w:rFonts w:ascii="Arial" w:hAnsi="Arial" w:cs="Arial"/>
          <w:b/>
          <w:sz w:val="22"/>
          <w:szCs w:val="22"/>
        </w:rPr>
        <w:t>本次招标采用资格后审，供应商只需在网上下载招标文件，不接受现场报名。</w:t>
      </w:r>
    </w:p>
    <w:p>
      <w:pPr>
        <w:numPr>
          <w:ilvl w:val="0"/>
          <w:numId w:val="12"/>
        </w:numPr>
        <w:autoSpaceDE w:val="0"/>
        <w:autoSpaceDN w:val="0"/>
        <w:adjustRightInd w:val="0"/>
        <w:snapToGrid w:val="0"/>
        <w:spacing w:line="460" w:lineRule="exact"/>
        <w:ind w:firstLine="433" w:firstLineChars="196"/>
        <w:textAlignment w:val="bottom"/>
        <w:rPr>
          <w:rFonts w:hint="eastAsia"/>
        </w:rPr>
      </w:pPr>
      <w:r>
        <w:rPr>
          <w:rFonts w:hint="eastAsia"/>
          <w:b/>
          <w:color w:val="000000"/>
          <w:sz w:val="22"/>
          <w:szCs w:val="22"/>
          <w:u w:val="single"/>
        </w:rPr>
        <w:t>为保证供应商顺利投标，供应商须在投标截止日前自行登录平阳县公共资源交易中心网站或浙江省政府采购网（</w:t>
      </w:r>
      <w:r>
        <w:rPr>
          <w:b/>
          <w:color w:val="000000"/>
          <w:sz w:val="22"/>
          <w:szCs w:val="22"/>
          <w:u w:val="single"/>
        </w:rPr>
        <w:t>http:// www.pyztb.com /</w:t>
      </w:r>
      <w:r>
        <w:rPr>
          <w:rFonts w:hint="eastAsia"/>
          <w:b/>
          <w:color w:val="000000"/>
          <w:sz w:val="22"/>
          <w:szCs w:val="22"/>
          <w:u w:val="single"/>
        </w:rPr>
        <w:t>或http://www.zjzfcg.gov.cn），查看是否有补充更正公告文件。如供应商未按补充更正公告文件进行投标的，责任自负。</w:t>
      </w:r>
    </w:p>
    <w:p>
      <w:pPr>
        <w:autoSpaceDE w:val="0"/>
        <w:autoSpaceDN w:val="0"/>
        <w:adjustRightInd w:val="0"/>
        <w:snapToGrid w:val="0"/>
        <w:spacing w:line="460" w:lineRule="exact"/>
        <w:ind w:firstLine="440" w:firstLineChars="200"/>
        <w:textAlignment w:val="bottom"/>
        <w:rPr>
          <w:rFonts w:hint="eastAsia"/>
          <w:b/>
          <w:bCs/>
        </w:rPr>
      </w:pPr>
      <w:r>
        <w:rPr>
          <w:rFonts w:hint="eastAsia"/>
          <w:sz w:val="22"/>
          <w:szCs w:val="22"/>
        </w:rPr>
        <w:t>▲13、</w:t>
      </w:r>
      <w:r>
        <w:rPr>
          <w:rFonts w:hint="eastAsia"/>
          <w:b/>
          <w:bCs/>
        </w:rPr>
        <w:t>因项目的特殊性此次采购硬件设备质保期5年，硬盘损坏更换不返回</w:t>
      </w:r>
    </w:p>
    <w:p>
      <w:pPr>
        <w:spacing w:line="360" w:lineRule="auto"/>
        <w:ind w:firstLine="442" w:firstLineChars="200"/>
        <w:rPr>
          <w:rFonts w:ascii="仿宋" w:hAnsi="仿宋" w:eastAsia="仿宋"/>
          <w:b/>
          <w:bCs/>
          <w:szCs w:val="21"/>
        </w:rPr>
      </w:pPr>
      <w:r>
        <w:rPr>
          <w:rFonts w:hint="eastAsia"/>
          <w:b/>
          <w:bCs/>
          <w:sz w:val="22"/>
          <w:szCs w:val="22"/>
        </w:rPr>
        <w:t>▲14、 本项目采购需为</w:t>
      </w:r>
      <w:r>
        <w:rPr>
          <w:rFonts w:hint="eastAsia" w:ascii="仿宋" w:hAnsi="仿宋" w:eastAsia="仿宋"/>
          <w:b/>
          <w:bCs/>
          <w:szCs w:val="21"/>
        </w:rPr>
        <w:t>国内自主品牌服务器，非OEM产品。</w:t>
      </w:r>
    </w:p>
    <w:p>
      <w:pPr>
        <w:pStyle w:val="4"/>
        <w:ind w:firstLine="200"/>
        <w:rPr>
          <w:rFonts w:hint="eastAsia"/>
        </w:rPr>
      </w:pPr>
    </w:p>
    <w:p>
      <w:pPr>
        <w:snapToGrid w:val="0"/>
        <w:spacing w:line="420" w:lineRule="exact"/>
        <w:rPr>
          <w:rFonts w:hint="eastAsia"/>
          <w:sz w:val="22"/>
          <w:szCs w:val="22"/>
        </w:rPr>
      </w:pPr>
      <w:r>
        <w:rPr>
          <w:rFonts w:hint="eastAsia"/>
          <w:sz w:val="22"/>
          <w:szCs w:val="22"/>
        </w:rPr>
        <w:t>二、供应商资格要求</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按招标公告要求</w:t>
      </w:r>
    </w:p>
    <w:p>
      <w:pPr>
        <w:autoSpaceDE w:val="0"/>
        <w:autoSpaceDN w:val="0"/>
        <w:adjustRightInd w:val="0"/>
        <w:snapToGrid w:val="0"/>
        <w:spacing w:line="420" w:lineRule="exact"/>
        <w:textAlignment w:val="bottom"/>
        <w:outlineLvl w:val="0"/>
        <w:rPr>
          <w:rFonts w:hint="eastAsia"/>
          <w:sz w:val="22"/>
          <w:szCs w:val="22"/>
        </w:rPr>
      </w:pPr>
      <w:r>
        <w:rPr>
          <w:rFonts w:hint="eastAsia"/>
          <w:sz w:val="22"/>
          <w:szCs w:val="22"/>
        </w:rPr>
        <w:t>三、招标文件</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1、招标文件</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1.1招标文件约束力</w:t>
      </w:r>
    </w:p>
    <w:p>
      <w:pPr>
        <w:autoSpaceDE w:val="0"/>
        <w:autoSpaceDN w:val="0"/>
        <w:adjustRightInd w:val="0"/>
        <w:snapToGrid w:val="0"/>
        <w:spacing w:line="420" w:lineRule="exact"/>
        <w:ind w:firstLine="431" w:firstLineChars="196"/>
        <w:textAlignment w:val="bottom"/>
        <w:rPr>
          <w:rFonts w:hint="eastAsia"/>
          <w:sz w:val="22"/>
          <w:szCs w:val="22"/>
          <w:u w:val="single"/>
        </w:rPr>
      </w:pPr>
      <w:r>
        <w:rPr>
          <w:rFonts w:hint="eastAsia"/>
          <w:sz w:val="22"/>
          <w:szCs w:val="22"/>
        </w:rPr>
        <w:t>▲</w:t>
      </w:r>
      <w:r>
        <w:rPr>
          <w:rFonts w:hint="eastAsia"/>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1.2招标文件的组成</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2、招标文件的澄清</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供应商对招标文件如有疑点要求澄清，可用书面形式（包括信函、传真，下同）通知</w:t>
      </w:r>
      <w:r>
        <w:rPr>
          <w:rFonts w:hint="eastAsia"/>
          <w:sz w:val="22"/>
          <w:szCs w:val="22"/>
          <w:u w:val="single"/>
        </w:rPr>
        <w:t>采购机构</w:t>
      </w:r>
      <w:r>
        <w:rPr>
          <w:rFonts w:hint="eastAsia"/>
          <w:sz w:val="22"/>
          <w:szCs w:val="22"/>
        </w:rPr>
        <w:t>，但通知不得迟于规定的质疑时间前使采购机构收到，采购机构将采用网上答疑形式予以答复。</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3、招标文件的修改</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3.1 在投标截止时间前，采购人有权修改招标文件，并在网上发布更正公告。补充文件作为招标文件的补充和组成部分，对所有供应商均有约束力。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3.2 为使供应商有足够的时间按招标文件要求修正投标文件，采购人可酌情推迟投标截止时间和开标时间，并将此变更网上告知。</w:t>
      </w:r>
    </w:p>
    <w:p>
      <w:pPr>
        <w:autoSpaceDE w:val="0"/>
        <w:autoSpaceDN w:val="0"/>
        <w:adjustRightInd w:val="0"/>
        <w:snapToGrid w:val="0"/>
        <w:spacing w:line="420" w:lineRule="exact"/>
        <w:textAlignment w:val="bottom"/>
        <w:outlineLvl w:val="0"/>
        <w:rPr>
          <w:rFonts w:hint="eastAsia"/>
          <w:sz w:val="22"/>
          <w:szCs w:val="22"/>
        </w:rPr>
      </w:pPr>
      <w:r>
        <w:rPr>
          <w:rFonts w:hint="eastAsia"/>
          <w:sz w:val="22"/>
          <w:szCs w:val="22"/>
        </w:rPr>
        <w:t>四、投标文件</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sz w:val="22"/>
          <w:szCs w:val="22"/>
        </w:rPr>
        <w:t>1、投标文件</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仿宋_GB2312"/>
          <w:sz w:val="22"/>
          <w:szCs w:val="22"/>
          <w:lang w:val="zh-CN"/>
        </w:rPr>
        <w:t>1.1</w:t>
      </w:r>
      <w:r>
        <w:rPr>
          <w:rFonts w:hint="eastAsia" w:cs="Arial"/>
          <w:sz w:val="22"/>
          <w:szCs w:val="22"/>
        </w:rPr>
        <w:t>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仿宋_GB2312"/>
          <w:sz w:val="22"/>
          <w:szCs w:val="22"/>
          <w:lang w:val="zh-CN"/>
        </w:rPr>
        <w:t>1.2</w:t>
      </w:r>
      <w:r>
        <w:rPr>
          <w:rFonts w:hint="eastAsia" w:cs="Arial"/>
          <w:sz w:val="22"/>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hint="eastAsia"/>
          <w:sz w:val="22"/>
          <w:szCs w:val="22"/>
        </w:rPr>
      </w:pPr>
      <w:r>
        <w:rPr>
          <w:rFonts w:hint="eastAsia" w:cs="仿宋_GB2312"/>
          <w:sz w:val="22"/>
          <w:szCs w:val="22"/>
          <w:lang w:val="zh-CN"/>
        </w:rPr>
        <w:t>1.3供应商应仔细阅读招标文件中的所有内容，按照招标文件要求，详细编制投标文件，所有文件资料必须是针对本次投标。不按招标文件的要求提供的投标文件可能导致被拒绝。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420" w:lineRule="exact"/>
        <w:ind w:firstLine="442" w:firstLineChars="200"/>
        <w:rPr>
          <w:rFonts w:hint="eastAsia"/>
          <w:b/>
          <w:sz w:val="22"/>
          <w:szCs w:val="22"/>
          <w:lang w:val="zh-CN"/>
        </w:rPr>
      </w:pPr>
      <w:r>
        <w:rPr>
          <w:rFonts w:hint="eastAsia"/>
          <w:b/>
          <w:sz w:val="22"/>
          <w:szCs w:val="22"/>
          <w:lang w:val="zh-CN"/>
        </w:rPr>
        <w:t>2、投标文件的组成</w:t>
      </w:r>
    </w:p>
    <w:p>
      <w:pPr>
        <w:autoSpaceDE w:val="0"/>
        <w:autoSpaceDN w:val="0"/>
        <w:adjustRightInd w:val="0"/>
        <w:snapToGrid w:val="0"/>
        <w:spacing w:line="420" w:lineRule="exact"/>
        <w:ind w:firstLine="442" w:firstLineChars="200"/>
        <w:rPr>
          <w:rFonts w:hint="eastAsia"/>
          <w:b/>
          <w:sz w:val="22"/>
          <w:szCs w:val="22"/>
          <w:lang w:val="zh-CN"/>
        </w:rPr>
      </w:pPr>
      <w:r>
        <w:rPr>
          <w:rFonts w:hint="eastAsia"/>
          <w:b/>
          <w:sz w:val="22"/>
          <w:szCs w:val="22"/>
          <w:u w:val="single"/>
        </w:rPr>
        <w:t>投标文件由商务报价部分和技术资信部分、资格审核资料及证书原件三部分组成，须分别装订成册，分别密封。技术资信部分（含资信与服务）不得含报价，否则投标将被拒绝。</w:t>
      </w:r>
    </w:p>
    <w:p>
      <w:pPr>
        <w:autoSpaceDE w:val="0"/>
        <w:autoSpaceDN w:val="0"/>
        <w:adjustRightInd w:val="0"/>
        <w:snapToGrid w:val="0"/>
        <w:spacing w:line="400" w:lineRule="exact"/>
        <w:ind w:firstLine="440" w:firstLineChars="200"/>
        <w:rPr>
          <w:rFonts w:hint="eastAsia" w:cs="仿宋_GB2312"/>
          <w:sz w:val="22"/>
          <w:szCs w:val="22"/>
          <w:lang w:val="zh-CN"/>
        </w:rPr>
      </w:pPr>
      <w:r>
        <w:rPr>
          <w:rFonts w:hint="eastAsia" w:cs="仿宋_GB2312"/>
          <w:sz w:val="22"/>
          <w:szCs w:val="22"/>
          <w:lang w:val="zh-CN"/>
        </w:rPr>
        <w:t>2.1</w:t>
      </w:r>
      <w:r>
        <w:rPr>
          <w:rFonts w:hint="eastAsia" w:cs="Arial"/>
          <w:bCs/>
          <w:sz w:val="22"/>
          <w:szCs w:val="22"/>
          <w:u w:val="single"/>
        </w:rPr>
        <w:t>商务报价部分</w:t>
      </w:r>
      <w:r>
        <w:rPr>
          <w:rFonts w:hint="eastAsia" w:cs="仿宋_GB2312"/>
          <w:sz w:val="22"/>
          <w:szCs w:val="22"/>
          <w:u w:val="single"/>
          <w:lang w:val="zh-CN"/>
        </w:rPr>
        <w:t>组成</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1）开标一览表（附件二（一））</w:t>
      </w:r>
    </w:p>
    <w:p>
      <w:pPr>
        <w:autoSpaceDE w:val="0"/>
        <w:autoSpaceDN w:val="0"/>
        <w:adjustRightInd w:val="0"/>
        <w:snapToGrid w:val="0"/>
        <w:spacing w:line="400" w:lineRule="exact"/>
        <w:ind w:firstLine="440" w:firstLineChars="200"/>
        <w:textAlignment w:val="bottom"/>
        <w:rPr>
          <w:rFonts w:hint="eastAsia"/>
          <w:bCs/>
          <w:sz w:val="22"/>
          <w:szCs w:val="22"/>
          <w:u w:val="thick"/>
        </w:rPr>
      </w:pPr>
      <w:r>
        <w:rPr>
          <w:rFonts w:hint="eastAsia"/>
          <w:sz w:val="22"/>
          <w:szCs w:val="22"/>
        </w:rPr>
        <w:t>2）投标产品数量、价格表（附件二（二））</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3）随机备品备件及专用工具清单（附件六）</w:t>
      </w:r>
    </w:p>
    <w:p>
      <w:pPr>
        <w:autoSpaceDE w:val="0"/>
        <w:autoSpaceDN w:val="0"/>
        <w:adjustRightInd w:val="0"/>
        <w:snapToGrid w:val="0"/>
        <w:spacing w:line="400" w:lineRule="exact"/>
        <w:ind w:firstLine="440" w:firstLineChars="200"/>
        <w:textAlignment w:val="bottom"/>
        <w:rPr>
          <w:rFonts w:hint="eastAsia"/>
          <w:b/>
          <w:sz w:val="22"/>
        </w:rPr>
      </w:pPr>
      <w:r>
        <w:rPr>
          <w:rFonts w:hint="eastAsia"/>
          <w:sz w:val="22"/>
        </w:rPr>
        <w:t>4）产品零件、易损件、备品备件报价表（附件七）</w:t>
      </w:r>
    </w:p>
    <w:p>
      <w:pPr>
        <w:autoSpaceDE w:val="0"/>
        <w:autoSpaceDN w:val="0"/>
        <w:adjustRightInd w:val="0"/>
        <w:snapToGrid w:val="0"/>
        <w:spacing w:line="400" w:lineRule="exact"/>
        <w:ind w:firstLine="440" w:firstLineChars="200"/>
        <w:textAlignment w:val="bottom"/>
        <w:rPr>
          <w:rFonts w:hint="eastAsia"/>
          <w:bCs/>
          <w:sz w:val="22"/>
          <w:szCs w:val="22"/>
          <w:u w:val="single"/>
        </w:rPr>
      </w:pPr>
      <w:r>
        <w:rPr>
          <w:rFonts w:hint="eastAsia"/>
          <w:sz w:val="22"/>
          <w:szCs w:val="22"/>
        </w:rPr>
        <w:t>2.2、</w:t>
      </w:r>
      <w:r>
        <w:rPr>
          <w:rFonts w:hint="eastAsia" w:cs="Arial"/>
          <w:bCs/>
          <w:sz w:val="22"/>
          <w:szCs w:val="22"/>
          <w:u w:val="single"/>
        </w:rPr>
        <w:t>技术资信部分</w:t>
      </w:r>
      <w:r>
        <w:rPr>
          <w:rFonts w:hint="eastAsia"/>
          <w:bCs/>
          <w:sz w:val="22"/>
          <w:szCs w:val="22"/>
          <w:u w:val="single"/>
        </w:rPr>
        <w:t>组成</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1) 投标函（附件一）；</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2）法定代表人授权书（附件四、一）；</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3）投标产品的数量、</w:t>
      </w:r>
      <w:r>
        <w:rPr>
          <w:rFonts w:hint="eastAsia"/>
          <w:spacing w:val="20"/>
          <w:sz w:val="22"/>
          <w:szCs w:val="22"/>
        </w:rPr>
        <w:t>配置及主要技术参数表</w:t>
      </w:r>
      <w:r>
        <w:rPr>
          <w:rFonts w:hint="eastAsia"/>
          <w:sz w:val="22"/>
          <w:szCs w:val="22"/>
        </w:rPr>
        <w:t>（附件二（三））；</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4）投标产品的主要技术、配置、性能、特点和质量水平的详细描述及产品样本图册</w:t>
      </w:r>
      <w:r>
        <w:rPr>
          <w:rFonts w:hint="eastAsia"/>
          <w:sz w:val="22"/>
          <w:szCs w:val="22"/>
          <w:u w:val="thick"/>
        </w:rPr>
        <w:t>（包括配置、部件来源说明等）</w:t>
      </w:r>
      <w:r>
        <w:rPr>
          <w:rFonts w:hint="eastAsia"/>
          <w:sz w:val="22"/>
          <w:szCs w:val="22"/>
        </w:rPr>
        <w:t>（</w:t>
      </w:r>
      <w:r>
        <w:rPr>
          <w:rFonts w:hint="eastAsia"/>
          <w:b/>
          <w:sz w:val="22"/>
          <w:szCs w:val="22"/>
          <w:u w:val="thick"/>
        </w:rPr>
        <w:t>如果资料提供不全或完全抄袭招标文件，可能导致对供应商不利的评定</w:t>
      </w:r>
      <w:r>
        <w:rPr>
          <w:rFonts w:hint="eastAsia"/>
          <w:sz w:val="22"/>
          <w:szCs w:val="22"/>
        </w:rPr>
        <w:t>）；</w:t>
      </w:r>
    </w:p>
    <w:p>
      <w:pPr>
        <w:autoSpaceDE w:val="0"/>
        <w:autoSpaceDN w:val="0"/>
        <w:adjustRightInd w:val="0"/>
        <w:snapToGrid w:val="0"/>
        <w:spacing w:line="400" w:lineRule="exact"/>
        <w:ind w:firstLine="440" w:firstLineChars="200"/>
        <w:textAlignment w:val="bottom"/>
        <w:rPr>
          <w:rFonts w:hint="eastAsia"/>
          <w:color w:val="FF0000"/>
          <w:sz w:val="22"/>
          <w:szCs w:val="22"/>
        </w:rPr>
      </w:pPr>
      <w:r>
        <w:rPr>
          <w:rFonts w:hint="eastAsia"/>
          <w:sz w:val="22"/>
          <w:szCs w:val="22"/>
        </w:rPr>
        <w:t>5）商务响应表（附件三（一））、技术响应表（</w:t>
      </w:r>
      <w:r>
        <w:rPr>
          <w:rFonts w:hint="eastAsia"/>
          <w:sz w:val="22"/>
          <w:szCs w:val="22"/>
          <w:u w:val="single"/>
        </w:rPr>
        <w:t>如有偏离须明确列出</w:t>
      </w:r>
      <w:r>
        <w:rPr>
          <w:rFonts w:hint="eastAsia"/>
          <w:sz w:val="22"/>
          <w:szCs w:val="22"/>
        </w:rPr>
        <w:t>）（附件三（二））；</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6）投标供应商情况声明（见附件四（二））；供应商财务报表、依法缴纳税收的证明材料、依法缴纳社保的证明材料。</w:t>
      </w:r>
      <w:r>
        <w:rPr>
          <w:rFonts w:hint="eastAsia"/>
          <w:b/>
          <w:sz w:val="22"/>
          <w:szCs w:val="22"/>
        </w:rPr>
        <w:t>供应商提供供应商</w:t>
      </w:r>
      <w:r>
        <w:rPr>
          <w:b/>
          <w:sz w:val="22"/>
          <w:szCs w:val="22"/>
        </w:rPr>
        <w:t>“信用中国”(</w:t>
      </w:r>
      <w:r>
        <w:rPr>
          <w:b/>
          <w:sz w:val="22"/>
          <w:szCs w:val="22"/>
        </w:rPr>
        <w:fldChar w:fldCharType="begin"/>
      </w:r>
      <w:r>
        <w:rPr>
          <w:b/>
          <w:sz w:val="22"/>
          <w:szCs w:val="22"/>
        </w:rPr>
        <w:instrText xml:space="preserve"> HYPERLINK "http://www.creditchina.gov.cn" </w:instrText>
      </w:r>
      <w:r>
        <w:rPr>
          <w:b/>
          <w:sz w:val="22"/>
          <w:szCs w:val="22"/>
        </w:rPr>
        <w:fldChar w:fldCharType="separate"/>
      </w:r>
      <w:r>
        <w:rPr>
          <w:b/>
          <w:sz w:val="22"/>
          <w:szCs w:val="22"/>
        </w:rPr>
        <w:t>www.creditchina.gov.cn</w:t>
      </w:r>
      <w:r>
        <w:rPr>
          <w:b/>
          <w:sz w:val="22"/>
          <w:szCs w:val="22"/>
        </w:rPr>
        <w:fldChar w:fldCharType="end"/>
      </w:r>
      <w:r>
        <w:rPr>
          <w:b/>
          <w:sz w:val="22"/>
          <w:szCs w:val="22"/>
        </w:rPr>
        <w:t>)</w:t>
      </w:r>
      <w:r>
        <w:rPr>
          <w:rFonts w:hint="eastAsia"/>
          <w:b/>
          <w:sz w:val="22"/>
          <w:szCs w:val="22"/>
        </w:rPr>
        <w:t>；“中国政府采购网”（</w:t>
      </w:r>
      <w:r>
        <w:rPr>
          <w:b/>
          <w:sz w:val="22"/>
          <w:szCs w:val="22"/>
        </w:rPr>
        <w:t>http://www.ccgp.gov.cn/</w:t>
      </w:r>
      <w:r>
        <w:rPr>
          <w:rFonts w:hint="eastAsia"/>
          <w:b/>
          <w:sz w:val="22"/>
          <w:szCs w:val="22"/>
        </w:rPr>
        <w:t>）信用记录网页截图（招标公告发布之日至投标截止时间前）。</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7）供应商营业执照（复印件加盖有效公章）；</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8) 供应商（制造商）质量体系认证证书、供应商相关资质、资信或信用证书（如有则提供，复印件加盖有效公章）；</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9）供应商资格要求中要求的各种资质证书、节能产品认证证书、相关投标产品的工业品生产许可证、3C认证、检测报告等技术要求中要求的各种资格证书（如有则提供，复印件加盖投标供应商有效公章）；</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2015年以来已完成验收的视频监控类项目业绩（合同或验收证明）（复印件加盖公章，原件备查）（附件八）</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10）施工组织设计：工程的主要施工方法，设备材料技术描述；拟投入的主要施工机械设备情况、主要施工机械进场计划；劳动力安排计划；确保工程质量的技术组织措施；确保安全生产的技术组织措施；确保文明施工的技术组织措施；确保工期的技术组织措施；有必要说明的其他内容。</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11）驻现场项目部的工程技术、管理人员一览表；（包括各类人员相关职称及相关证书；复印件加盖公章）</w:t>
      </w:r>
    </w:p>
    <w:p>
      <w:pPr>
        <w:spacing w:line="460" w:lineRule="exact"/>
        <w:ind w:firstLine="440" w:firstLineChars="200"/>
        <w:rPr>
          <w:rFonts w:hint="eastAsia"/>
          <w:sz w:val="22"/>
          <w:szCs w:val="22"/>
        </w:rPr>
      </w:pPr>
      <w:r>
        <w:rPr>
          <w:rFonts w:hint="eastAsia"/>
          <w:sz w:val="22"/>
          <w:szCs w:val="22"/>
        </w:rPr>
        <w:t>12）售后服务详细的计划方案说明与承诺、产品的质量保证期，距离采购人最近的售后服务机构的详细介绍、服务机构总负责人，电话，地址，技术力量配置等；质保期外服务收费内容及保证措施。</w:t>
      </w:r>
    </w:p>
    <w:p>
      <w:pPr>
        <w:autoSpaceDE w:val="0"/>
        <w:autoSpaceDN w:val="0"/>
        <w:adjustRightInd w:val="0"/>
        <w:snapToGrid w:val="0"/>
        <w:spacing w:line="400" w:lineRule="exact"/>
        <w:ind w:firstLine="440" w:firstLineChars="200"/>
        <w:textAlignment w:val="bottom"/>
        <w:outlineLvl w:val="0"/>
        <w:rPr>
          <w:rFonts w:hint="eastAsia"/>
          <w:sz w:val="22"/>
          <w:szCs w:val="22"/>
        </w:rPr>
      </w:pPr>
      <w:r>
        <w:rPr>
          <w:rFonts w:hint="eastAsia"/>
          <w:sz w:val="22"/>
          <w:szCs w:val="22"/>
        </w:rPr>
        <w:t>13) 优惠条件</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供应商承诺给予用户的其他优惠条件，包括技术培训、售后服务、质量保证期等；</w:t>
      </w:r>
    </w:p>
    <w:p>
      <w:pPr>
        <w:autoSpaceDE w:val="0"/>
        <w:autoSpaceDN w:val="0"/>
        <w:adjustRightInd w:val="0"/>
        <w:snapToGrid w:val="0"/>
        <w:spacing w:line="400" w:lineRule="exact"/>
        <w:ind w:firstLine="440" w:firstLineChars="200"/>
        <w:textAlignment w:val="bottom"/>
        <w:rPr>
          <w:rFonts w:hint="eastAsia"/>
          <w:sz w:val="22"/>
          <w:szCs w:val="22"/>
        </w:rPr>
      </w:pPr>
      <w:r>
        <w:rPr>
          <w:rFonts w:hint="eastAsia"/>
          <w:sz w:val="22"/>
          <w:szCs w:val="22"/>
        </w:rPr>
        <w:t>14）根据招标文件中的采购内容与技术要求及评审办法等，需要提供的其它文件和资料；</w:t>
      </w:r>
    </w:p>
    <w:p>
      <w:pPr>
        <w:autoSpaceDE w:val="0"/>
        <w:autoSpaceDN w:val="0"/>
        <w:adjustRightInd w:val="0"/>
        <w:snapToGrid w:val="0"/>
        <w:spacing w:line="420" w:lineRule="exact"/>
        <w:ind w:firstLine="433" w:firstLineChars="196"/>
        <w:textAlignment w:val="bottom"/>
        <w:outlineLvl w:val="0"/>
        <w:rPr>
          <w:rFonts w:hint="eastAsia"/>
          <w:b/>
          <w:sz w:val="22"/>
          <w:szCs w:val="22"/>
        </w:rPr>
      </w:pPr>
      <w:r>
        <w:rPr>
          <w:rFonts w:hint="eastAsia"/>
          <w:b/>
          <w:sz w:val="22"/>
          <w:szCs w:val="22"/>
        </w:rPr>
        <w:t>2.3、资格审核资料及证书原件部分（单独包装密封）</w:t>
      </w:r>
    </w:p>
    <w:p>
      <w:pPr>
        <w:autoSpaceDE w:val="0"/>
        <w:autoSpaceDN w:val="0"/>
        <w:adjustRightInd w:val="0"/>
        <w:snapToGrid w:val="0"/>
        <w:spacing w:line="400" w:lineRule="exact"/>
        <w:ind w:firstLine="433" w:firstLineChars="196"/>
        <w:textAlignment w:val="bottom"/>
        <w:outlineLvl w:val="0"/>
        <w:rPr>
          <w:rFonts w:hint="eastAsia"/>
          <w:b/>
          <w:bCs/>
          <w:sz w:val="22"/>
          <w:szCs w:val="22"/>
        </w:rPr>
      </w:pPr>
      <w:r>
        <w:rPr>
          <w:rFonts w:hint="eastAsia"/>
          <w:b/>
          <w:bCs/>
          <w:sz w:val="22"/>
          <w:szCs w:val="22"/>
        </w:rPr>
        <w:t>1）供应商的《营业执照》原件；</w:t>
      </w:r>
    </w:p>
    <w:p>
      <w:pPr>
        <w:autoSpaceDE w:val="0"/>
        <w:autoSpaceDN w:val="0"/>
        <w:adjustRightInd w:val="0"/>
        <w:snapToGrid w:val="0"/>
        <w:spacing w:line="400" w:lineRule="exact"/>
        <w:ind w:firstLine="433" w:firstLineChars="196"/>
        <w:textAlignment w:val="bottom"/>
        <w:outlineLvl w:val="0"/>
        <w:rPr>
          <w:rFonts w:hint="eastAsia"/>
          <w:b/>
          <w:bCs/>
          <w:sz w:val="22"/>
          <w:szCs w:val="22"/>
        </w:rPr>
      </w:pPr>
      <w:r>
        <w:rPr>
          <w:rFonts w:hint="eastAsia"/>
          <w:b/>
          <w:bCs/>
          <w:sz w:val="22"/>
          <w:szCs w:val="22"/>
        </w:rPr>
        <w:t>2）法定代表人授权书原件。</w:t>
      </w:r>
    </w:p>
    <w:p>
      <w:pPr>
        <w:autoSpaceDE w:val="0"/>
        <w:autoSpaceDN w:val="0"/>
        <w:adjustRightInd w:val="0"/>
        <w:snapToGrid w:val="0"/>
        <w:spacing w:line="420" w:lineRule="exact"/>
        <w:ind w:firstLine="431" w:firstLineChars="196"/>
        <w:textAlignment w:val="bottom"/>
        <w:outlineLvl w:val="0"/>
        <w:rPr>
          <w:rFonts w:hint="eastAsia"/>
          <w:b/>
          <w:bCs/>
          <w:sz w:val="22"/>
          <w:szCs w:val="22"/>
          <w:u w:val="single"/>
        </w:rPr>
      </w:pPr>
      <w:r>
        <w:rPr>
          <w:rFonts w:hint="eastAsia"/>
          <w:sz w:val="22"/>
          <w:szCs w:val="22"/>
        </w:rPr>
        <w:t>▲</w:t>
      </w:r>
      <w:r>
        <w:rPr>
          <w:rFonts w:hint="eastAsia"/>
          <w:b/>
          <w:bCs/>
          <w:sz w:val="22"/>
          <w:szCs w:val="22"/>
          <w:u w:val="single"/>
        </w:rPr>
        <w:t>上述资料单独进行密封，并内附清单一览表(格式自拟)。如有遗漏或原件与清单不符，后果由供应商自负。</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sz w:val="22"/>
          <w:szCs w:val="22"/>
        </w:rPr>
        <w:t xml:space="preserve"> </w:t>
      </w:r>
      <w:bookmarkStart w:id="257" w:name="_Toc132125574"/>
      <w:bookmarkStart w:id="258" w:name="_Toc132125983"/>
      <w:bookmarkStart w:id="259" w:name="_Toc132125037"/>
      <w:bookmarkStart w:id="260" w:name="_Toc132123838"/>
      <w:bookmarkStart w:id="261" w:name="_Toc132123547"/>
      <w:bookmarkStart w:id="262" w:name="_Toc132124594"/>
      <w:bookmarkStart w:id="263" w:name="_Toc132122119"/>
      <w:bookmarkStart w:id="264" w:name="_Toc132655776"/>
      <w:bookmarkStart w:id="265" w:name="_Toc132125151"/>
      <w:bookmarkStart w:id="266" w:name="_Toc132126154"/>
      <w:bookmarkStart w:id="267" w:name="_Toc132122416"/>
      <w:bookmarkStart w:id="268" w:name="_Toc132125095"/>
      <w:bookmarkStart w:id="269" w:name="_Toc132123439"/>
      <w:bookmarkStart w:id="270" w:name="_Toc132123881"/>
      <w:bookmarkStart w:id="271" w:name="_Toc132123634"/>
      <w:r>
        <w:rPr>
          <w:rFonts w:hint="eastAsia" w:cs="Arial"/>
          <w:sz w:val="22"/>
          <w:szCs w:val="22"/>
        </w:rPr>
        <w:t>3、投标内容填写说明</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Arial"/>
          <w:sz w:val="22"/>
          <w:szCs w:val="22"/>
        </w:rPr>
        <w:t>3.1、投标文件格式</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Arial"/>
          <w:sz w:val="22"/>
          <w:szCs w:val="22"/>
        </w:rPr>
        <w:t>供应商应按照第2条所列出的内容及格式组成投标文件并装订成册。</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Arial"/>
          <w:sz w:val="22"/>
          <w:szCs w:val="22"/>
        </w:rPr>
        <w:t>3.2、《开标一览表》为在开标仪式上唱标的内容，供应商需按格式填写，统一规格，不得自行增减内容。</w:t>
      </w:r>
    </w:p>
    <w:p>
      <w:pPr>
        <w:autoSpaceDE w:val="0"/>
        <w:autoSpaceDN w:val="0"/>
        <w:adjustRightInd w:val="0"/>
        <w:snapToGrid w:val="0"/>
        <w:spacing w:line="420" w:lineRule="exact"/>
        <w:textAlignment w:val="bottom"/>
        <w:rPr>
          <w:rFonts w:hint="eastAsia" w:cs="Arial"/>
          <w:sz w:val="22"/>
          <w:szCs w:val="22"/>
        </w:rPr>
      </w:pPr>
      <w:r>
        <w:rPr>
          <w:rFonts w:hint="eastAsia" w:cs="Arial"/>
          <w:sz w:val="22"/>
          <w:szCs w:val="22"/>
        </w:rPr>
        <w:t xml:space="preserve">    </w:t>
      </w:r>
      <w:bookmarkStart w:id="272" w:name="_Toc132122412"/>
      <w:bookmarkStart w:id="273" w:name="_Toc132122115"/>
      <w:r>
        <w:rPr>
          <w:rFonts w:hint="eastAsia" w:cs="Arial"/>
          <w:sz w:val="22"/>
          <w:szCs w:val="22"/>
        </w:rPr>
        <w:t>4、投标报价</w:t>
      </w:r>
      <w:bookmarkEnd w:id="272"/>
      <w:bookmarkEnd w:id="273"/>
    </w:p>
    <w:p>
      <w:pPr>
        <w:autoSpaceDE w:val="0"/>
        <w:autoSpaceDN w:val="0"/>
        <w:adjustRightInd w:val="0"/>
        <w:snapToGrid w:val="0"/>
        <w:spacing w:line="420" w:lineRule="exact"/>
        <w:textAlignment w:val="bottom"/>
        <w:rPr>
          <w:rFonts w:hint="eastAsia" w:cs="Arial"/>
          <w:sz w:val="22"/>
          <w:szCs w:val="22"/>
        </w:rPr>
      </w:pPr>
      <w:r>
        <w:rPr>
          <w:rFonts w:hint="eastAsia" w:cs="Arial"/>
          <w:sz w:val="22"/>
          <w:szCs w:val="22"/>
        </w:rPr>
        <w:t xml:space="preserve">    4.1、供应商应按招标文件中《投标产品数量、价格表》填写投标货物数量、价格（附件二（二））。</w:t>
      </w:r>
    </w:p>
    <w:p>
      <w:pPr>
        <w:autoSpaceDE w:val="0"/>
        <w:autoSpaceDN w:val="0"/>
        <w:adjustRightInd w:val="0"/>
        <w:snapToGrid w:val="0"/>
        <w:spacing w:line="420" w:lineRule="exact"/>
        <w:ind w:firstLine="440" w:firstLineChars="200"/>
        <w:textAlignment w:val="bottom"/>
        <w:rPr>
          <w:rFonts w:hint="eastAsia" w:cs="Arial"/>
          <w:bCs/>
          <w:sz w:val="22"/>
          <w:szCs w:val="22"/>
        </w:rPr>
      </w:pPr>
      <w:r>
        <w:rPr>
          <w:rFonts w:hint="eastAsia" w:cs="Arial"/>
          <w:bCs/>
          <w:sz w:val="22"/>
          <w:szCs w:val="22"/>
        </w:rPr>
        <w:t>4.2、本次招标只允许有一个报价，有选择的报价将不予接受。</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Arial"/>
          <w:sz w:val="22"/>
          <w:szCs w:val="22"/>
        </w:rPr>
        <w:t>4.3、本次招标只有一次投标报价的机会，投标报价为到货并送到最终用户安装调试验收合格后的全部费用。供应商应在各自技术和商务占优势的基础上并充分考虑本项目的重要性，提供对采购人最优惠的投标报价。</w:t>
      </w:r>
    </w:p>
    <w:p>
      <w:pPr>
        <w:autoSpaceDE w:val="0"/>
        <w:autoSpaceDN w:val="0"/>
        <w:adjustRightInd w:val="0"/>
        <w:snapToGrid w:val="0"/>
        <w:spacing w:line="420" w:lineRule="exact"/>
        <w:ind w:firstLine="440" w:firstLineChars="200"/>
        <w:textAlignment w:val="bottom"/>
        <w:rPr>
          <w:rFonts w:hint="eastAsia" w:cs="Arial"/>
          <w:sz w:val="22"/>
          <w:szCs w:val="22"/>
        </w:rPr>
      </w:pPr>
      <w:r>
        <w:rPr>
          <w:rFonts w:hint="eastAsia" w:cs="Arial"/>
          <w:sz w:val="22"/>
          <w:szCs w:val="22"/>
        </w:rPr>
        <w:t>4.4、投标报价应包含以下费用。</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产品价格</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关税、增值税等其它税（包括产品报关、商检等），须将税费及税率单列</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随机特殊工具、随机配件、易损件费（计入产品价格，单列报价清单）</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国内外运杂费（包括产品到最终用户的装货、卸车、就位费等）</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国内外运输保险费（保险由供应商负责）</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产品安装费、调试、检测及验收费（包括安装调试人员的食宿、交通等）</w:t>
      </w:r>
    </w:p>
    <w:p>
      <w:pPr>
        <w:widowControl w:val="0"/>
        <w:numPr>
          <w:ilvl w:val="0"/>
          <w:numId w:val="13"/>
        </w:numPr>
        <w:tabs>
          <w:tab w:val="left" w:pos="1025"/>
        </w:tabs>
        <w:adjustRightInd w:val="0"/>
        <w:snapToGrid w:val="0"/>
        <w:spacing w:line="420" w:lineRule="exact"/>
        <w:ind w:left="720" w:leftChars="300" w:firstLine="0"/>
        <w:jc w:val="both"/>
        <w:rPr>
          <w:rFonts w:hint="eastAsia" w:cs="Arial"/>
          <w:sz w:val="22"/>
          <w:szCs w:val="22"/>
        </w:rPr>
      </w:pPr>
      <w:r>
        <w:rPr>
          <w:rFonts w:hint="eastAsia" w:cs="Arial"/>
          <w:sz w:val="22"/>
          <w:szCs w:val="22"/>
        </w:rPr>
        <w:t>培训费及质量保证期服务</w:t>
      </w:r>
    </w:p>
    <w:p>
      <w:pPr>
        <w:widowControl w:val="0"/>
        <w:numPr>
          <w:ilvl w:val="0"/>
          <w:numId w:val="13"/>
        </w:numPr>
        <w:tabs>
          <w:tab w:val="left" w:pos="1025"/>
        </w:tabs>
        <w:adjustRightInd w:val="0"/>
        <w:snapToGrid w:val="0"/>
        <w:spacing w:line="420" w:lineRule="exact"/>
        <w:ind w:left="720" w:leftChars="300" w:firstLine="0"/>
        <w:jc w:val="both"/>
        <w:rPr>
          <w:rFonts w:hint="eastAsia"/>
          <w:sz w:val="22"/>
          <w:szCs w:val="22"/>
        </w:rPr>
      </w:pPr>
      <w:r>
        <w:rPr>
          <w:rFonts w:hint="eastAsia"/>
          <w:sz w:val="22"/>
          <w:szCs w:val="22"/>
        </w:rPr>
        <w:t>其他费用</w:t>
      </w:r>
    </w:p>
    <w:p>
      <w:pPr>
        <w:autoSpaceDE w:val="0"/>
        <w:autoSpaceDN w:val="0"/>
        <w:adjustRightInd w:val="0"/>
        <w:snapToGrid w:val="0"/>
        <w:spacing w:line="420" w:lineRule="exact"/>
        <w:ind w:firstLine="431" w:firstLineChars="196"/>
        <w:textAlignment w:val="bottom"/>
        <w:rPr>
          <w:rFonts w:hint="eastAsia" w:cs="Arial"/>
          <w:sz w:val="22"/>
          <w:szCs w:val="22"/>
          <w:u w:val="single"/>
        </w:rPr>
      </w:pPr>
      <w:r>
        <w:rPr>
          <w:rFonts w:hint="eastAsia"/>
          <w:sz w:val="22"/>
          <w:szCs w:val="22"/>
        </w:rPr>
        <w:t>▲</w:t>
      </w:r>
      <w:r>
        <w:rPr>
          <w:rFonts w:hint="eastAsia" w:cs="Arial"/>
          <w:sz w:val="22"/>
          <w:szCs w:val="22"/>
          <w:u w:val="single"/>
        </w:rPr>
        <w:t>本项目总价包干，供应商在投标报价中应充分考虑所有可能发生的费用，否则采购人将视投标总价中已包括所有费用。</w:t>
      </w:r>
    </w:p>
    <w:p>
      <w:pPr>
        <w:autoSpaceDE w:val="0"/>
        <w:autoSpaceDN w:val="0"/>
        <w:adjustRightInd w:val="0"/>
        <w:snapToGrid w:val="0"/>
        <w:spacing w:line="420" w:lineRule="exact"/>
        <w:ind w:firstLine="440" w:firstLineChars="200"/>
        <w:textAlignment w:val="bottom"/>
        <w:rPr>
          <w:rFonts w:hint="eastAsia" w:cs="Arial"/>
          <w:sz w:val="22"/>
          <w:szCs w:val="22"/>
          <w:u w:val="single"/>
        </w:rPr>
      </w:pPr>
      <w:r>
        <w:rPr>
          <w:rFonts w:hint="eastAsia"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420" w:lineRule="exact"/>
        <w:ind w:firstLine="431" w:firstLineChars="196"/>
        <w:textAlignment w:val="bottom"/>
        <w:rPr>
          <w:rFonts w:hint="eastAsia" w:cs="仿宋_GB2312"/>
          <w:sz w:val="22"/>
          <w:szCs w:val="22"/>
          <w:lang w:val="zh-CN"/>
        </w:rPr>
      </w:pPr>
      <w:r>
        <w:rPr>
          <w:rFonts w:hint="eastAsia" w:cs="Arial"/>
          <w:bCs/>
          <w:sz w:val="22"/>
          <w:szCs w:val="22"/>
        </w:rPr>
        <w:t>填写报价表格时，各项费用应如实填写。</w:t>
      </w:r>
      <w:r>
        <w:rPr>
          <w:rFonts w:hint="eastAsia"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420" w:lineRule="exact"/>
        <w:ind w:firstLine="431" w:firstLineChars="196"/>
        <w:rPr>
          <w:rFonts w:hint="eastAsia" w:cs="仿宋_GB2312"/>
          <w:sz w:val="22"/>
          <w:szCs w:val="22"/>
          <w:lang w:val="zh-CN"/>
        </w:rPr>
      </w:pPr>
      <w:r>
        <w:rPr>
          <w:rFonts w:hint="eastAsia" w:cs="仿宋_GB2312"/>
          <w:sz w:val="22"/>
          <w:szCs w:val="22"/>
          <w:lang w:val="zh-CN"/>
        </w:rPr>
        <w:t>5、投标</w:t>
      </w:r>
    </w:p>
    <w:p>
      <w:pPr>
        <w:autoSpaceDE w:val="0"/>
        <w:autoSpaceDN w:val="0"/>
        <w:adjustRightInd w:val="0"/>
        <w:snapToGrid w:val="0"/>
        <w:spacing w:line="420" w:lineRule="exact"/>
        <w:ind w:firstLine="440" w:firstLineChars="200"/>
        <w:rPr>
          <w:rFonts w:hint="eastAsia" w:cs="仿宋_GB2312"/>
          <w:sz w:val="22"/>
          <w:szCs w:val="22"/>
          <w:lang w:val="zh-CN"/>
        </w:rPr>
      </w:pPr>
      <w:r>
        <w:rPr>
          <w:rFonts w:hint="eastAsia" w:cs="仿宋_GB2312"/>
          <w:sz w:val="22"/>
          <w:szCs w:val="22"/>
          <w:lang w:val="zh-CN"/>
        </w:rPr>
        <w:t>5.1投标要求</w:t>
      </w:r>
    </w:p>
    <w:p>
      <w:pPr>
        <w:autoSpaceDE w:val="0"/>
        <w:autoSpaceDN w:val="0"/>
        <w:adjustRightInd w:val="0"/>
        <w:snapToGrid w:val="0"/>
        <w:spacing w:line="420" w:lineRule="exact"/>
        <w:ind w:firstLine="440" w:firstLineChars="200"/>
        <w:rPr>
          <w:rFonts w:hint="eastAsia" w:cs="仿宋_GB2312"/>
          <w:sz w:val="22"/>
          <w:szCs w:val="22"/>
          <w:lang w:val="zh-CN"/>
        </w:rPr>
      </w:pPr>
      <w:r>
        <w:rPr>
          <w:rFonts w:hint="eastAsia" w:cs="仿宋_GB2312"/>
          <w:bCs/>
          <w:sz w:val="22"/>
          <w:szCs w:val="22"/>
          <w:lang w:val="zh-CN"/>
        </w:rPr>
        <w:t>供应商根据招标文件的要求，将供货、通过验收直至交付采购人使用，达到使用要求及质量标准、质保期服务所需的全部费用包含在总价之中。供应商的《开标一览表》应按招标文件要求的格式编制，凡未按招标文件要求编制的投标文件将可能被拒绝。</w:t>
      </w:r>
    </w:p>
    <w:p>
      <w:pPr>
        <w:autoSpaceDE w:val="0"/>
        <w:autoSpaceDN w:val="0"/>
        <w:adjustRightInd w:val="0"/>
        <w:snapToGrid w:val="0"/>
        <w:spacing w:line="420" w:lineRule="exact"/>
        <w:ind w:firstLine="440" w:firstLineChars="200"/>
        <w:rPr>
          <w:rFonts w:hint="eastAsia" w:cs="仿宋_GB2312"/>
          <w:sz w:val="22"/>
          <w:szCs w:val="22"/>
          <w:lang w:val="zh-CN"/>
        </w:rPr>
      </w:pPr>
      <w:r>
        <w:rPr>
          <w:rFonts w:hint="eastAsia" w:cs="仿宋_GB2312"/>
          <w:sz w:val="22"/>
          <w:szCs w:val="22"/>
          <w:lang w:val="zh-CN"/>
        </w:rPr>
        <w:t>5.2 投标价格组成应按不同费用类别分开填写。</w:t>
      </w:r>
    </w:p>
    <w:p>
      <w:pPr>
        <w:autoSpaceDE w:val="0"/>
        <w:autoSpaceDN w:val="0"/>
        <w:adjustRightInd w:val="0"/>
        <w:snapToGrid w:val="0"/>
        <w:spacing w:line="420" w:lineRule="exact"/>
        <w:ind w:firstLine="440" w:firstLineChars="200"/>
        <w:rPr>
          <w:rFonts w:hint="eastAsia" w:cs="仿宋_GB2312"/>
          <w:sz w:val="22"/>
          <w:szCs w:val="22"/>
          <w:lang w:val="zh-CN"/>
        </w:rPr>
      </w:pPr>
      <w:r>
        <w:rPr>
          <w:rFonts w:hint="eastAsia" w:cs="仿宋_GB2312"/>
          <w:sz w:val="22"/>
          <w:szCs w:val="22"/>
          <w:lang w:val="zh-CN"/>
        </w:rPr>
        <w:t>5.3 供应商须提交总投标价及投标报价说明。</w:t>
      </w:r>
    </w:p>
    <w:p>
      <w:pPr>
        <w:pStyle w:val="32"/>
        <w:adjustRightInd w:val="0"/>
        <w:snapToGrid w:val="0"/>
        <w:spacing w:line="420" w:lineRule="exact"/>
        <w:ind w:firstLine="440" w:firstLineChars="200"/>
        <w:rPr>
          <w:rFonts w:hint="eastAsia" w:hAnsi="宋体" w:cs="Arial"/>
          <w:sz w:val="22"/>
          <w:szCs w:val="22"/>
        </w:rPr>
      </w:pPr>
      <w:bookmarkStart w:id="274" w:name="_Toc132122414"/>
      <w:bookmarkStart w:id="275" w:name="_Toc132122117"/>
      <w:r>
        <w:rPr>
          <w:rFonts w:hint="eastAsia" w:hAnsi="宋体" w:cs="Arial"/>
          <w:sz w:val="22"/>
          <w:szCs w:val="22"/>
          <w:lang w:eastAsia="zh-CN"/>
        </w:rPr>
        <w:t>6</w:t>
      </w:r>
      <w:r>
        <w:rPr>
          <w:rFonts w:hint="eastAsia" w:hAnsi="宋体" w:cs="Arial"/>
          <w:sz w:val="22"/>
          <w:szCs w:val="22"/>
        </w:rPr>
        <w:t>、投标文件的有效期</w:t>
      </w:r>
      <w:bookmarkEnd w:id="274"/>
      <w:bookmarkEnd w:id="275"/>
    </w:p>
    <w:p>
      <w:pPr>
        <w:pStyle w:val="32"/>
        <w:adjustRightInd w:val="0"/>
        <w:snapToGrid w:val="0"/>
        <w:spacing w:line="420" w:lineRule="exact"/>
        <w:ind w:firstLine="440" w:firstLineChars="200"/>
        <w:rPr>
          <w:rFonts w:hint="eastAsia" w:hAnsi="宋体" w:cs="Arial"/>
          <w:sz w:val="22"/>
          <w:szCs w:val="22"/>
        </w:rPr>
      </w:pPr>
      <w:r>
        <w:rPr>
          <w:rFonts w:hint="eastAsia" w:hAnsi="宋体" w:cs="Arial"/>
          <w:sz w:val="22"/>
          <w:szCs w:val="22"/>
          <w:lang w:eastAsia="zh-CN"/>
        </w:rPr>
        <w:t>6</w:t>
      </w:r>
      <w:r>
        <w:rPr>
          <w:rFonts w:hint="eastAsia" w:hAnsi="宋体" w:cs="Arial"/>
          <w:sz w:val="22"/>
          <w:szCs w:val="22"/>
        </w:rPr>
        <w:t>.1自开标日起60天内，投标文件应保持有效。有效期短于这个规定期限的投标将被拒绝。</w:t>
      </w:r>
    </w:p>
    <w:p>
      <w:pPr>
        <w:pStyle w:val="32"/>
        <w:adjustRightInd w:val="0"/>
        <w:snapToGrid w:val="0"/>
        <w:spacing w:line="420" w:lineRule="exact"/>
        <w:ind w:firstLine="440" w:firstLineChars="200"/>
        <w:rPr>
          <w:rFonts w:hint="eastAsia" w:hAnsi="宋体" w:cs="Arial"/>
          <w:sz w:val="22"/>
          <w:szCs w:val="22"/>
        </w:rPr>
      </w:pPr>
      <w:r>
        <w:rPr>
          <w:rFonts w:hint="eastAsia" w:hAnsi="宋体" w:cs="Arial"/>
          <w:sz w:val="22"/>
          <w:szCs w:val="22"/>
          <w:lang w:eastAsia="zh-CN"/>
        </w:rPr>
        <w:t>6</w:t>
      </w:r>
      <w:r>
        <w:rPr>
          <w:rFonts w:hint="eastAsia" w:hAnsi="宋体" w:cs="Arial"/>
          <w:sz w:val="22"/>
          <w:szCs w:val="22"/>
        </w:rPr>
        <w:t>.2在特殊情况下，采购人可与供应商协商延长投标文件的有效期，这种要求和答复均应以书面形式进行。</w:t>
      </w:r>
    </w:p>
    <w:p>
      <w:pPr>
        <w:pStyle w:val="32"/>
        <w:adjustRightInd w:val="0"/>
        <w:snapToGrid w:val="0"/>
        <w:spacing w:line="420" w:lineRule="exact"/>
        <w:ind w:firstLine="440" w:firstLineChars="200"/>
        <w:rPr>
          <w:rFonts w:hint="eastAsia" w:hAnsi="宋体" w:cs="Arial"/>
          <w:sz w:val="22"/>
          <w:szCs w:val="22"/>
        </w:rPr>
      </w:pPr>
      <w:r>
        <w:rPr>
          <w:rFonts w:hint="eastAsia" w:hAnsi="宋体" w:cs="Arial"/>
          <w:sz w:val="22"/>
          <w:szCs w:val="22"/>
          <w:lang w:eastAsia="zh-CN"/>
        </w:rPr>
        <w:t>6</w:t>
      </w:r>
      <w:r>
        <w:rPr>
          <w:rFonts w:hint="eastAsia" w:hAnsi="宋体" w:cs="Arial"/>
          <w:sz w:val="22"/>
          <w:szCs w:val="22"/>
        </w:rPr>
        <w:t>.3供应商可拒绝接受延期要求而不会导致投标保证金不予退还。同意延长有效期的供应商不能修改投标文件。</w:t>
      </w:r>
    </w:p>
    <w:p>
      <w:pPr>
        <w:pStyle w:val="32"/>
        <w:adjustRightInd w:val="0"/>
        <w:snapToGrid w:val="0"/>
        <w:spacing w:line="420" w:lineRule="exact"/>
        <w:ind w:firstLine="440" w:firstLineChars="200"/>
        <w:rPr>
          <w:rFonts w:hint="eastAsia" w:hAnsi="宋体" w:cs="Arial"/>
          <w:sz w:val="22"/>
          <w:szCs w:val="22"/>
        </w:rPr>
      </w:pPr>
      <w:r>
        <w:rPr>
          <w:rFonts w:hint="eastAsia" w:hAnsi="宋体" w:cs="Arial"/>
          <w:sz w:val="22"/>
          <w:szCs w:val="22"/>
          <w:lang w:eastAsia="zh-CN"/>
        </w:rPr>
        <w:t>6</w:t>
      </w:r>
      <w:r>
        <w:rPr>
          <w:rFonts w:hint="eastAsia" w:hAnsi="宋体" w:cs="Arial"/>
          <w:sz w:val="22"/>
          <w:szCs w:val="22"/>
        </w:rPr>
        <w:t>.4当正本与副本不一致时，均以正本为准。当供应商投标文件未注明正本与副本且出现不一致时，评标委员会可以认定供应商出现选择性投标而对其投标予以废标。</w:t>
      </w:r>
    </w:p>
    <w:p>
      <w:pPr>
        <w:pStyle w:val="32"/>
        <w:adjustRightInd w:val="0"/>
        <w:snapToGrid w:val="0"/>
        <w:spacing w:line="420" w:lineRule="exact"/>
        <w:outlineLvl w:val="0"/>
        <w:rPr>
          <w:rFonts w:hint="eastAsia" w:hAnsi="宋体" w:cs="Arial"/>
          <w:sz w:val="22"/>
          <w:szCs w:val="22"/>
        </w:rPr>
      </w:pPr>
      <w:r>
        <w:rPr>
          <w:rFonts w:hint="eastAsia" w:hAnsi="宋体" w:cs="Arial"/>
          <w:sz w:val="22"/>
          <w:szCs w:val="22"/>
        </w:rPr>
        <w:t xml:space="preserve">    </w:t>
      </w:r>
      <w:bookmarkStart w:id="276" w:name="_Toc132122415"/>
      <w:bookmarkStart w:id="277" w:name="_Toc132122118"/>
      <w:r>
        <w:rPr>
          <w:rFonts w:hint="eastAsia" w:hAnsi="宋体" w:cs="Arial"/>
          <w:sz w:val="22"/>
          <w:szCs w:val="22"/>
          <w:lang w:eastAsia="zh-CN"/>
        </w:rPr>
        <w:t>7</w:t>
      </w:r>
      <w:r>
        <w:rPr>
          <w:rFonts w:hint="eastAsia" w:hAnsi="宋体" w:cs="Arial"/>
          <w:sz w:val="22"/>
          <w:szCs w:val="22"/>
        </w:rPr>
        <w:t>、投标文件的签署和份数</w:t>
      </w:r>
      <w:bookmarkEnd w:id="276"/>
      <w:bookmarkEnd w:id="277"/>
    </w:p>
    <w:p>
      <w:pPr>
        <w:pStyle w:val="32"/>
        <w:adjustRightInd w:val="0"/>
        <w:snapToGrid w:val="0"/>
        <w:spacing w:line="420" w:lineRule="exact"/>
        <w:ind w:firstLine="480"/>
        <w:rPr>
          <w:rFonts w:hint="eastAsia" w:hAnsi="宋体" w:cs="Arial"/>
          <w:sz w:val="22"/>
          <w:szCs w:val="22"/>
        </w:rPr>
      </w:pPr>
      <w:r>
        <w:rPr>
          <w:rFonts w:hint="eastAsia" w:hAnsi="宋体" w:cs="Arial"/>
          <w:sz w:val="22"/>
          <w:szCs w:val="22"/>
          <w:lang w:eastAsia="zh-CN"/>
        </w:rPr>
        <w:t>7</w:t>
      </w:r>
      <w:r>
        <w:rPr>
          <w:rFonts w:hint="eastAsia" w:hAnsi="宋体" w:cs="Arial"/>
          <w:sz w:val="22"/>
          <w:szCs w:val="22"/>
        </w:rPr>
        <w:t>.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pPr>
        <w:pStyle w:val="32"/>
        <w:adjustRightInd w:val="0"/>
        <w:snapToGrid w:val="0"/>
        <w:spacing w:line="420" w:lineRule="exact"/>
        <w:rPr>
          <w:rFonts w:hint="eastAsia" w:hAnsi="宋体" w:cs="Arial"/>
          <w:sz w:val="22"/>
          <w:szCs w:val="22"/>
        </w:rPr>
      </w:pPr>
      <w:r>
        <w:rPr>
          <w:rFonts w:hint="eastAsia" w:hAnsi="宋体" w:cs="Arial"/>
          <w:sz w:val="22"/>
          <w:szCs w:val="22"/>
        </w:rPr>
        <w:t xml:space="preserve">   </w:t>
      </w:r>
      <w:r>
        <w:rPr>
          <w:rFonts w:hint="eastAsia" w:hAnsi="宋体" w:cs="Arial"/>
          <w:sz w:val="22"/>
          <w:szCs w:val="22"/>
          <w:lang w:eastAsia="zh-CN"/>
        </w:rPr>
        <w:t>7</w:t>
      </w:r>
      <w:r>
        <w:rPr>
          <w:rFonts w:hint="eastAsia" w:hAnsi="宋体" w:cs="Arial"/>
          <w:sz w:val="22"/>
          <w:szCs w:val="22"/>
        </w:rPr>
        <w:t>.2投标文件须由供应商盖章并由法定代表人或法定代表人授权代表签署，供应商应写全称。</w:t>
      </w:r>
    </w:p>
    <w:p>
      <w:pPr>
        <w:snapToGrid w:val="0"/>
        <w:spacing w:line="420" w:lineRule="exact"/>
        <w:ind w:firstLine="527"/>
        <w:rPr>
          <w:rFonts w:hint="eastAsia" w:cs="Arial"/>
          <w:sz w:val="22"/>
          <w:szCs w:val="22"/>
        </w:rPr>
      </w:pPr>
      <w:r>
        <w:rPr>
          <w:rFonts w:hint="eastAsia" w:cs="Arial"/>
          <w:b/>
          <w:sz w:val="22"/>
          <w:szCs w:val="22"/>
          <w:u w:val="single"/>
        </w:rPr>
        <w:t>7.3投标文件的份数：按招标文件第三部分第四条第2款要求提供的各种文件，商务报价部分投标文件、技术资信部分投标文件均提供一式七份，其中正本一份，副本陆份。(商务报价部分投标文件、技术资信部分投标文件、资格审核资料及证书原件部分均分开装订，分别</w:t>
      </w:r>
      <w:r>
        <w:rPr>
          <w:rFonts w:hint="eastAsia"/>
          <w:b/>
          <w:sz w:val="22"/>
          <w:szCs w:val="22"/>
          <w:u w:val="single"/>
        </w:rPr>
        <w:t>密封</w:t>
      </w:r>
      <w:r>
        <w:rPr>
          <w:rFonts w:hint="eastAsia" w:cs="Arial"/>
          <w:b/>
          <w:sz w:val="22"/>
          <w:szCs w:val="22"/>
          <w:u w:val="single"/>
        </w:rPr>
        <w:t>)</w:t>
      </w:r>
      <w:r>
        <w:rPr>
          <w:rFonts w:hint="eastAsia"/>
          <w:b/>
          <w:sz w:val="22"/>
          <w:szCs w:val="22"/>
          <w:u w:val="single"/>
        </w:rPr>
        <w:t>。</w:t>
      </w:r>
      <w:r>
        <w:rPr>
          <w:rFonts w:hint="eastAsia" w:cs="Arial"/>
          <w:bCs/>
          <w:sz w:val="22"/>
          <w:szCs w:val="22"/>
          <w:u w:val="single"/>
        </w:rPr>
        <w:t xml:space="preserve"> </w:t>
      </w:r>
      <w:r>
        <w:rPr>
          <w:rFonts w:hint="eastAsia" w:cs="Arial"/>
          <w:bCs/>
          <w:sz w:val="22"/>
          <w:szCs w:val="22"/>
        </w:rPr>
        <w:t xml:space="preserve"> </w:t>
      </w:r>
    </w:p>
    <w:p>
      <w:pPr>
        <w:snapToGrid w:val="0"/>
        <w:spacing w:line="420" w:lineRule="exact"/>
        <w:ind w:firstLine="527"/>
        <w:outlineLvl w:val="0"/>
        <w:rPr>
          <w:rFonts w:hint="eastAsia" w:cs="Arial"/>
          <w:b/>
          <w:sz w:val="22"/>
          <w:szCs w:val="22"/>
        </w:rPr>
      </w:pPr>
      <w:r>
        <w:rPr>
          <w:rFonts w:hint="eastAsia" w:cs="Arial"/>
          <w:b/>
          <w:sz w:val="22"/>
          <w:szCs w:val="22"/>
        </w:rPr>
        <w:t>五、投标文件的密封与递交</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napToGrid w:val="0"/>
        <w:spacing w:line="420" w:lineRule="exact"/>
        <w:ind w:firstLine="527"/>
        <w:rPr>
          <w:rFonts w:hint="eastAsia" w:cs="Arial"/>
          <w:b/>
          <w:sz w:val="22"/>
          <w:szCs w:val="22"/>
        </w:rPr>
      </w:pPr>
      <w:r>
        <w:rPr>
          <w:rFonts w:hint="eastAsia" w:cs="Arial"/>
          <w:b/>
          <w:sz w:val="22"/>
          <w:szCs w:val="22"/>
        </w:rPr>
        <w:t>1、投标文件的密封及标记</w:t>
      </w:r>
    </w:p>
    <w:p>
      <w:pPr>
        <w:snapToGrid w:val="0"/>
        <w:spacing w:line="420" w:lineRule="exact"/>
        <w:ind w:firstLine="527"/>
        <w:rPr>
          <w:rFonts w:hint="eastAsia" w:cs="Arial"/>
          <w:b/>
          <w:sz w:val="22"/>
          <w:szCs w:val="22"/>
        </w:rPr>
      </w:pPr>
      <w:r>
        <w:rPr>
          <w:rFonts w:hint="eastAsia" w:cs="Arial"/>
          <w:b/>
          <w:sz w:val="22"/>
          <w:szCs w:val="22"/>
        </w:rPr>
        <w:t>1.1投标文件应按以下方法装袋密封</w:t>
      </w:r>
    </w:p>
    <w:p>
      <w:pPr>
        <w:snapToGrid w:val="0"/>
        <w:spacing w:line="420" w:lineRule="exact"/>
        <w:ind w:firstLine="527"/>
        <w:rPr>
          <w:rFonts w:hint="eastAsia" w:cs="Arial"/>
          <w:sz w:val="22"/>
          <w:szCs w:val="22"/>
        </w:rPr>
      </w:pPr>
      <w:r>
        <w:rPr>
          <w:rFonts w:hint="eastAsia"/>
          <w:sz w:val="22"/>
          <w:szCs w:val="22"/>
        </w:rPr>
        <w:t>▲</w:t>
      </w:r>
      <w:r>
        <w:rPr>
          <w:rFonts w:hint="eastAsia"/>
          <w:sz w:val="22"/>
          <w:szCs w:val="22"/>
          <w:u w:val="single"/>
        </w:rPr>
        <w:t>商务部分正本、副本密封；技术资信部分正本与副本密封；资格审核资料及证书原件单独密封。</w:t>
      </w:r>
      <w:r>
        <w:rPr>
          <w:rFonts w:hint="eastAsia" w:cs="Arial"/>
          <w:sz w:val="22"/>
          <w:szCs w:val="22"/>
        </w:rPr>
        <w:t>所有投标文件资料</w:t>
      </w:r>
      <w:r>
        <w:rPr>
          <w:rFonts w:hint="eastAsia" w:cs="Arial"/>
          <w:sz w:val="22"/>
          <w:szCs w:val="22"/>
          <w:u w:val="single"/>
        </w:rPr>
        <w:t>按第三部分第四条第2款所列顺序</w:t>
      </w:r>
      <w:r>
        <w:rPr>
          <w:rFonts w:hint="eastAsia" w:cs="Arial"/>
          <w:sz w:val="22"/>
          <w:szCs w:val="22"/>
        </w:rPr>
        <w:t>装订成册，并注明正、副本字样后装入密封袋内，密封袋上应有供应商公章及投标授权代表签字。封皮上写明</w:t>
      </w:r>
      <w:r>
        <w:rPr>
          <w:rFonts w:hint="eastAsia"/>
          <w:bCs/>
          <w:sz w:val="22"/>
          <w:szCs w:val="22"/>
          <w:u w:val="single"/>
        </w:rPr>
        <w:t>采购人名称，招标编号、招标项目名称、供应商名称</w:t>
      </w:r>
      <w:r>
        <w:rPr>
          <w:rFonts w:hint="eastAsia" w:cs="Arial"/>
          <w:sz w:val="22"/>
          <w:szCs w:val="22"/>
        </w:rPr>
        <w:t>。</w:t>
      </w:r>
      <w:r>
        <w:rPr>
          <w:rFonts w:hint="eastAsia" w:cs="Arial"/>
          <w:sz w:val="22"/>
          <w:szCs w:val="22"/>
          <w:u w:val="single"/>
        </w:rPr>
        <w:t>并分别注明“商务报价投标文件”、“技术资信投标文件”、“</w:t>
      </w:r>
      <w:r>
        <w:rPr>
          <w:rFonts w:hint="eastAsia"/>
          <w:sz w:val="22"/>
          <w:szCs w:val="22"/>
          <w:u w:val="single"/>
        </w:rPr>
        <w:t>资格审核资料及证书原件</w:t>
      </w:r>
      <w:r>
        <w:rPr>
          <w:rFonts w:hint="eastAsia" w:cs="Arial"/>
          <w:sz w:val="22"/>
          <w:szCs w:val="22"/>
          <w:u w:val="single"/>
        </w:rPr>
        <w:t>”、“开标时启封”字样。</w:t>
      </w:r>
    </w:p>
    <w:p>
      <w:pPr>
        <w:snapToGrid w:val="0"/>
        <w:spacing w:line="420" w:lineRule="exact"/>
        <w:ind w:firstLine="527"/>
        <w:rPr>
          <w:rFonts w:hint="eastAsia" w:cs="Arial"/>
          <w:b/>
          <w:sz w:val="22"/>
          <w:szCs w:val="22"/>
        </w:rPr>
      </w:pPr>
      <w:r>
        <w:rPr>
          <w:rFonts w:hint="eastAsia" w:cs="Arial"/>
          <w:sz w:val="22"/>
          <w:szCs w:val="22"/>
        </w:rPr>
        <w:t>1.2如果供应商未按上述要求密封及加写标记，由此引起的后果由供应商负责。</w:t>
      </w:r>
    </w:p>
    <w:p>
      <w:pPr>
        <w:snapToGrid w:val="0"/>
        <w:spacing w:line="420" w:lineRule="exact"/>
        <w:ind w:firstLine="527"/>
        <w:rPr>
          <w:rFonts w:hint="eastAsia" w:cs="Arial"/>
          <w:b/>
          <w:sz w:val="22"/>
          <w:szCs w:val="22"/>
        </w:rPr>
      </w:pPr>
      <w:r>
        <w:rPr>
          <w:rFonts w:hint="eastAsia" w:cs="Arial"/>
          <w:b/>
          <w:sz w:val="22"/>
          <w:szCs w:val="22"/>
        </w:rPr>
        <w:t>2、投标截止时间</w:t>
      </w:r>
    </w:p>
    <w:p>
      <w:pPr>
        <w:snapToGrid w:val="0"/>
        <w:spacing w:line="420" w:lineRule="exact"/>
        <w:ind w:firstLine="527"/>
        <w:rPr>
          <w:rFonts w:hint="eastAsia" w:cs="Arial"/>
          <w:sz w:val="22"/>
          <w:szCs w:val="22"/>
        </w:rPr>
      </w:pPr>
      <w:r>
        <w:rPr>
          <w:rFonts w:hint="eastAsia" w:cs="Arial"/>
          <w:sz w:val="22"/>
          <w:szCs w:val="22"/>
        </w:rPr>
        <w:t>2.1投标文件必须在投标文件递交截止时间前送达指定的投标地点。</w:t>
      </w:r>
    </w:p>
    <w:p>
      <w:pPr>
        <w:snapToGrid w:val="0"/>
        <w:spacing w:line="420" w:lineRule="exact"/>
        <w:ind w:firstLine="527"/>
        <w:rPr>
          <w:rFonts w:hint="eastAsia" w:cs="Arial"/>
          <w:b/>
          <w:sz w:val="22"/>
          <w:szCs w:val="22"/>
          <w:u w:val="single"/>
        </w:rPr>
      </w:pPr>
      <w:r>
        <w:rPr>
          <w:rFonts w:hint="eastAsia" w:cs="Arial"/>
          <w:b/>
          <w:sz w:val="22"/>
          <w:szCs w:val="22"/>
          <w:u w:val="single"/>
        </w:rPr>
        <w:t>2.2采购机构如因故推迟投标截止时间，将以网上发布公告的形式通知。在这种情况下，供应商的权利和义务将受到新的截止时间的约束。</w:t>
      </w:r>
      <w:r>
        <w:rPr>
          <w:rFonts w:hint="eastAsia"/>
          <w:sz w:val="22"/>
          <w:szCs w:val="22"/>
        </w:rPr>
        <w:t>▲</w:t>
      </w:r>
    </w:p>
    <w:p>
      <w:pPr>
        <w:snapToGrid w:val="0"/>
        <w:spacing w:line="420" w:lineRule="exact"/>
        <w:ind w:firstLine="527"/>
        <w:rPr>
          <w:rFonts w:hint="eastAsia" w:cs="Arial"/>
          <w:sz w:val="22"/>
          <w:szCs w:val="22"/>
        </w:rPr>
      </w:pPr>
      <w:r>
        <w:rPr>
          <w:rFonts w:hint="eastAsia" w:cs="Arial"/>
          <w:sz w:val="22"/>
          <w:szCs w:val="22"/>
        </w:rPr>
        <w:t>3、投标文件的修改和撤回</w:t>
      </w:r>
    </w:p>
    <w:p>
      <w:pPr>
        <w:snapToGrid w:val="0"/>
        <w:spacing w:line="420" w:lineRule="exact"/>
        <w:ind w:firstLine="527"/>
        <w:rPr>
          <w:rFonts w:hint="eastAsia" w:cs="Arial"/>
          <w:sz w:val="22"/>
          <w:szCs w:val="22"/>
        </w:rPr>
      </w:pPr>
      <w:r>
        <w:rPr>
          <w:rFonts w:hint="eastAsia" w:cs="Arial"/>
          <w:sz w:val="22"/>
          <w:szCs w:val="22"/>
        </w:rPr>
        <w:t>3.1供应商在投标文件送达以后如必须修改或撤回投标文件，必须在投标截止时间以前将书面的投标修改文件或撤标通知送达采购机构处。</w:t>
      </w:r>
    </w:p>
    <w:p>
      <w:pPr>
        <w:snapToGrid w:val="0"/>
        <w:spacing w:line="420" w:lineRule="exact"/>
        <w:ind w:firstLine="527"/>
        <w:rPr>
          <w:rFonts w:hint="eastAsia" w:cs="Arial"/>
          <w:sz w:val="22"/>
          <w:szCs w:val="22"/>
        </w:rPr>
      </w:pPr>
      <w:r>
        <w:rPr>
          <w:rFonts w:hint="eastAsia" w:cs="Arial"/>
          <w:sz w:val="22"/>
          <w:szCs w:val="22"/>
        </w:rPr>
        <w:t>3.2投标修改文件必须密封完整。</w:t>
      </w:r>
    </w:p>
    <w:p>
      <w:pPr>
        <w:snapToGrid w:val="0"/>
        <w:spacing w:line="420" w:lineRule="exact"/>
        <w:ind w:firstLine="527"/>
        <w:rPr>
          <w:rFonts w:hint="eastAsia"/>
          <w:sz w:val="22"/>
          <w:szCs w:val="22"/>
        </w:rPr>
      </w:pPr>
      <w:r>
        <w:rPr>
          <w:rFonts w:hint="eastAsia" w:cs="Arial"/>
          <w:sz w:val="22"/>
          <w:szCs w:val="22"/>
        </w:rPr>
        <w:t>3.3供应商在投标截止时间以前以传真形式通知采购机构撤标时，必须在投标截止时间以前补充有法定代表人或法定代表人授权代表签署的正式文件。</w:t>
      </w:r>
      <w:r>
        <w:rPr>
          <w:rFonts w:hint="eastAsia"/>
          <w:sz w:val="22"/>
          <w:szCs w:val="22"/>
        </w:rPr>
        <w:t>。</w:t>
      </w:r>
    </w:p>
    <w:p>
      <w:pPr>
        <w:snapToGrid w:val="0"/>
        <w:spacing w:line="420" w:lineRule="exact"/>
        <w:ind w:firstLine="527"/>
        <w:rPr>
          <w:rFonts w:hint="eastAsia"/>
          <w:sz w:val="22"/>
          <w:szCs w:val="22"/>
        </w:rPr>
      </w:pPr>
      <w:r>
        <w:rPr>
          <w:rFonts w:hint="eastAsia"/>
          <w:sz w:val="22"/>
          <w:szCs w:val="22"/>
        </w:rPr>
        <w:t>4、投标文件的递交</w:t>
      </w:r>
    </w:p>
    <w:p>
      <w:pPr>
        <w:snapToGrid w:val="0"/>
        <w:spacing w:line="420" w:lineRule="exact"/>
        <w:ind w:firstLine="527"/>
        <w:rPr>
          <w:rFonts w:hint="eastAsia"/>
          <w:sz w:val="22"/>
          <w:szCs w:val="22"/>
        </w:rPr>
      </w:pPr>
      <w:r>
        <w:rPr>
          <w:rFonts w:hint="eastAsia"/>
          <w:b/>
          <w:bCs/>
          <w:sz w:val="22"/>
          <w:szCs w:val="22"/>
          <w:u w:val="single"/>
        </w:rPr>
        <w:t>投标文件必须在规定的投标截止时间前送达到指定的收标地点，并同时递交法定代表人授权书原件（法定代表人委托书原件密封在资格审核资料及证书原件部分的投标文件也有效）、供应商有效身份证件（原件）；由评标委员会确认投标资格。</w:t>
      </w:r>
    </w:p>
    <w:p>
      <w:pPr>
        <w:snapToGrid w:val="0"/>
        <w:spacing w:line="420" w:lineRule="exact"/>
        <w:ind w:firstLine="527"/>
        <w:rPr>
          <w:rFonts w:hint="eastAsia" w:cs="Arial"/>
          <w:sz w:val="22"/>
          <w:szCs w:val="22"/>
        </w:rPr>
      </w:pPr>
      <w:r>
        <w:rPr>
          <w:rFonts w:hint="eastAsia"/>
          <w:sz w:val="22"/>
          <w:szCs w:val="22"/>
        </w:rPr>
        <w:t>▲</w:t>
      </w:r>
      <w:r>
        <w:rPr>
          <w:rFonts w:hint="eastAsia" w:cs="Arial"/>
          <w:sz w:val="22"/>
          <w:szCs w:val="22"/>
        </w:rPr>
        <w:t>有下列情形之一的投标文件将被拒绝接受：</w:t>
      </w:r>
    </w:p>
    <w:p>
      <w:pPr>
        <w:snapToGrid w:val="0"/>
        <w:spacing w:line="420" w:lineRule="exact"/>
        <w:ind w:firstLine="527"/>
        <w:rPr>
          <w:rFonts w:hint="eastAsia" w:cs="Arial"/>
          <w:sz w:val="22"/>
          <w:szCs w:val="22"/>
        </w:rPr>
      </w:pPr>
      <w:r>
        <w:rPr>
          <w:rFonts w:hint="eastAsia" w:cs="Arial"/>
          <w:sz w:val="22"/>
          <w:szCs w:val="22"/>
        </w:rPr>
        <w:t>1）在投标截止时间以后送达的投标文件；</w:t>
      </w:r>
    </w:p>
    <w:p>
      <w:pPr>
        <w:snapToGrid w:val="0"/>
        <w:spacing w:line="420" w:lineRule="exact"/>
        <w:ind w:firstLine="527"/>
        <w:rPr>
          <w:rFonts w:hint="eastAsia" w:cs="Arial"/>
          <w:sz w:val="22"/>
          <w:szCs w:val="22"/>
        </w:rPr>
      </w:pPr>
      <w:r>
        <w:rPr>
          <w:rFonts w:hint="eastAsia" w:cs="Arial"/>
          <w:sz w:val="22"/>
          <w:szCs w:val="22"/>
        </w:rPr>
        <w:t>2）未密封的投标文件；</w:t>
      </w:r>
    </w:p>
    <w:p>
      <w:pPr>
        <w:snapToGrid w:val="0"/>
        <w:spacing w:line="420" w:lineRule="exact"/>
        <w:ind w:firstLine="527"/>
        <w:rPr>
          <w:rFonts w:hint="eastAsia" w:cs="Arial"/>
          <w:sz w:val="22"/>
          <w:szCs w:val="22"/>
        </w:rPr>
      </w:pPr>
      <w:r>
        <w:rPr>
          <w:rFonts w:hint="eastAsia" w:cs="Arial"/>
          <w:sz w:val="22"/>
          <w:szCs w:val="22"/>
        </w:rPr>
        <w:t>3）由于包装不妥在途中严重破损或失散的投标文件；</w:t>
      </w:r>
    </w:p>
    <w:p>
      <w:pPr>
        <w:snapToGrid w:val="0"/>
        <w:spacing w:line="420" w:lineRule="exact"/>
        <w:ind w:firstLine="527"/>
        <w:rPr>
          <w:rFonts w:hint="eastAsia" w:cs="Arial"/>
          <w:sz w:val="22"/>
          <w:szCs w:val="22"/>
        </w:rPr>
      </w:pPr>
      <w:r>
        <w:rPr>
          <w:rFonts w:hint="eastAsia" w:cs="Arial"/>
          <w:sz w:val="22"/>
          <w:szCs w:val="22"/>
        </w:rPr>
        <w:t>4）法定代表人（或其授权代表）未参加开标会议；</w:t>
      </w:r>
    </w:p>
    <w:p>
      <w:pPr>
        <w:snapToGrid w:val="0"/>
        <w:spacing w:line="420" w:lineRule="exact"/>
        <w:ind w:firstLine="527"/>
        <w:outlineLvl w:val="0"/>
        <w:rPr>
          <w:rFonts w:hint="eastAsia"/>
          <w:sz w:val="22"/>
          <w:szCs w:val="22"/>
        </w:rPr>
      </w:pPr>
      <w:r>
        <w:rPr>
          <w:rFonts w:hint="eastAsia"/>
          <w:sz w:val="22"/>
          <w:szCs w:val="22"/>
        </w:rPr>
        <w:t>六、开标和评标</w:t>
      </w:r>
    </w:p>
    <w:p>
      <w:pPr>
        <w:snapToGrid w:val="0"/>
        <w:spacing w:line="420" w:lineRule="exact"/>
        <w:ind w:firstLine="527"/>
        <w:rPr>
          <w:rFonts w:hint="eastAsia"/>
          <w:b/>
          <w:sz w:val="22"/>
          <w:szCs w:val="22"/>
        </w:rPr>
      </w:pPr>
      <w:r>
        <w:rPr>
          <w:rFonts w:hint="eastAsia"/>
          <w:b/>
          <w:sz w:val="22"/>
          <w:szCs w:val="22"/>
        </w:rPr>
        <w:t>1.1、开启资格审核资料及证书原件部分投标文件，同时开启技术资信部分投标文件</w:t>
      </w:r>
    </w:p>
    <w:p>
      <w:pPr>
        <w:snapToGrid w:val="0"/>
        <w:spacing w:line="420" w:lineRule="exact"/>
        <w:ind w:firstLine="527"/>
        <w:rPr>
          <w:rFonts w:hint="eastAsia"/>
          <w:b/>
          <w:bCs/>
          <w:sz w:val="22"/>
          <w:szCs w:val="22"/>
          <w:u w:val="single"/>
        </w:rPr>
      </w:pPr>
      <w:r>
        <w:rPr>
          <w:rFonts w:hint="eastAsia"/>
          <w:sz w:val="22"/>
          <w:szCs w:val="22"/>
        </w:rPr>
        <w:t>▲</w:t>
      </w:r>
      <w:r>
        <w:rPr>
          <w:rFonts w:hint="eastAsia"/>
          <w:b/>
          <w:sz w:val="22"/>
          <w:szCs w:val="22"/>
        </w:rPr>
        <w:t>按招标文件规定的时间、地点开启“资格审核资料及证书原件部分”及“技术资信部分”投标文件。开标前，首先检查投标文件的密封情况，确认无误后当众开启供应商的“资格审核资料及证书原件部分”及“技术资信部分”投标文件；然后由评标委员会对各投标供应商的投标资格进行审核，并对审核通过的进行综合评审，审核未通过的给予退还“资格审核资料及证书原件部分投标文件”及</w:t>
      </w:r>
      <w:r>
        <w:rPr>
          <w:rFonts w:hint="eastAsia"/>
          <w:b/>
          <w:bCs/>
          <w:sz w:val="22"/>
          <w:szCs w:val="22"/>
        </w:rPr>
        <w:t>商务报价部分投标文件</w:t>
      </w:r>
      <w:r>
        <w:rPr>
          <w:rFonts w:hint="eastAsia"/>
          <w:b/>
          <w:sz w:val="22"/>
          <w:szCs w:val="22"/>
        </w:rPr>
        <w:t>；</w:t>
      </w:r>
    </w:p>
    <w:p>
      <w:pPr>
        <w:snapToGrid w:val="0"/>
        <w:spacing w:line="420" w:lineRule="exact"/>
        <w:ind w:firstLine="527"/>
        <w:rPr>
          <w:rFonts w:hint="eastAsia"/>
          <w:b/>
          <w:sz w:val="22"/>
          <w:szCs w:val="22"/>
        </w:rPr>
      </w:pPr>
      <w:r>
        <w:rPr>
          <w:rFonts w:hint="eastAsia"/>
          <w:sz w:val="22"/>
          <w:szCs w:val="22"/>
        </w:rPr>
        <w:t>▲</w:t>
      </w:r>
      <w:r>
        <w:rPr>
          <w:rFonts w:hint="eastAsia"/>
          <w:b/>
          <w:sz w:val="22"/>
          <w:szCs w:val="22"/>
        </w:rPr>
        <w:t>有下列情形之一的供应商将按资格审核未通过处理：</w:t>
      </w:r>
    </w:p>
    <w:p>
      <w:pPr>
        <w:snapToGrid w:val="0"/>
        <w:spacing w:line="420" w:lineRule="exact"/>
        <w:ind w:firstLine="527"/>
        <w:rPr>
          <w:rFonts w:hint="eastAsia"/>
          <w:b/>
          <w:bCs/>
          <w:sz w:val="22"/>
          <w:szCs w:val="22"/>
        </w:rPr>
      </w:pPr>
      <w:r>
        <w:rPr>
          <w:rFonts w:hint="eastAsia"/>
          <w:b/>
          <w:sz w:val="22"/>
          <w:szCs w:val="22"/>
        </w:rPr>
        <w:t>1）未提供</w:t>
      </w:r>
      <w:r>
        <w:rPr>
          <w:rFonts w:hint="eastAsia"/>
          <w:b/>
          <w:bCs/>
          <w:sz w:val="22"/>
          <w:szCs w:val="22"/>
        </w:rPr>
        <w:t xml:space="preserve">供应商有效的营业执照原件的； </w:t>
      </w:r>
    </w:p>
    <w:p>
      <w:pPr>
        <w:snapToGrid w:val="0"/>
        <w:spacing w:line="420" w:lineRule="exact"/>
        <w:ind w:firstLine="527"/>
        <w:rPr>
          <w:rFonts w:hint="eastAsia"/>
          <w:b/>
          <w:sz w:val="22"/>
          <w:szCs w:val="22"/>
        </w:rPr>
      </w:pPr>
      <w:r>
        <w:rPr>
          <w:rFonts w:hint="eastAsia"/>
          <w:b/>
          <w:bCs/>
          <w:sz w:val="22"/>
          <w:szCs w:val="22"/>
        </w:rPr>
        <w:t>2）供应商授权代表不能提供法定代表人授权书及授权人有效身份证件的（或法人出席采购会议，法人未提供有效身份证件的）；</w:t>
      </w:r>
    </w:p>
    <w:p>
      <w:pPr>
        <w:spacing w:line="420" w:lineRule="exact"/>
        <w:ind w:left="682" w:leftChars="54" w:hanging="552" w:hangingChars="250"/>
        <w:rPr>
          <w:rFonts w:hint="eastAsia"/>
          <w:b/>
          <w:bCs/>
          <w:sz w:val="22"/>
          <w:szCs w:val="22"/>
        </w:rPr>
      </w:pPr>
      <w:r>
        <w:rPr>
          <w:rFonts w:hint="eastAsia"/>
          <w:b/>
          <w:bCs/>
          <w:sz w:val="22"/>
          <w:szCs w:val="22"/>
        </w:rPr>
        <w:t>1.2  开启商务报价部分投标文件</w:t>
      </w:r>
    </w:p>
    <w:p>
      <w:pPr>
        <w:spacing w:line="420" w:lineRule="exact"/>
        <w:ind w:left="680" w:leftChars="54" w:hanging="550" w:hangingChars="250"/>
        <w:rPr>
          <w:rFonts w:hint="eastAsia"/>
          <w:bCs/>
          <w:sz w:val="22"/>
          <w:szCs w:val="22"/>
        </w:rPr>
      </w:pPr>
      <w:r>
        <w:rPr>
          <w:rFonts w:hint="eastAsia"/>
          <w:bCs/>
          <w:sz w:val="22"/>
          <w:szCs w:val="22"/>
        </w:rPr>
        <w:t>（1）开商务标时邀请所有供应商代表参加，参加开标的代表应准时出席并签名报到以证明其出席。供应商代表未参加开标会的，事后不得对开标过程和开标结果提出异议。</w:t>
      </w:r>
    </w:p>
    <w:p>
      <w:pPr>
        <w:spacing w:line="420" w:lineRule="exact"/>
        <w:ind w:firstLine="110" w:firstLineChars="50"/>
        <w:rPr>
          <w:rFonts w:hint="eastAsia"/>
          <w:bCs/>
          <w:sz w:val="22"/>
          <w:szCs w:val="22"/>
        </w:rPr>
      </w:pPr>
      <w:r>
        <w:rPr>
          <w:rFonts w:hint="eastAsia"/>
          <w:bCs/>
          <w:sz w:val="22"/>
          <w:szCs w:val="22"/>
        </w:rPr>
        <w:t>（2）宣布对各供应商有效身份证件、投标保证金等资格审查结果和技术、资信标得分情况。</w:t>
      </w:r>
    </w:p>
    <w:p>
      <w:pPr>
        <w:spacing w:line="420" w:lineRule="exact"/>
        <w:ind w:left="680" w:leftChars="54" w:hanging="550" w:hangingChars="250"/>
        <w:rPr>
          <w:rFonts w:hint="eastAsia"/>
          <w:b/>
          <w:bCs/>
          <w:sz w:val="22"/>
          <w:szCs w:val="22"/>
        </w:rPr>
      </w:pPr>
      <w:r>
        <w:rPr>
          <w:rFonts w:hint="eastAsia"/>
          <w:bCs/>
          <w:sz w:val="22"/>
          <w:szCs w:val="22"/>
        </w:rPr>
        <w:t>（3）检查有效供应商“商务标”的密封情况，确认无误后开启“商务标”，唱读“开标一览表”全部内容。</w:t>
      </w:r>
      <w:r>
        <w:rPr>
          <w:rFonts w:hint="eastAsia"/>
          <w:b/>
          <w:bCs/>
          <w:sz w:val="22"/>
          <w:szCs w:val="22"/>
        </w:rPr>
        <w:t>唱读结束后，供应商代表应对唱读内容及记录结果当场进行校核和签字确认，如有异议应当场提出，否则视为默许同意。</w:t>
      </w:r>
    </w:p>
    <w:p>
      <w:pPr>
        <w:spacing w:line="420" w:lineRule="exact"/>
        <w:ind w:firstLine="110" w:firstLineChars="50"/>
        <w:rPr>
          <w:rFonts w:hint="eastAsia"/>
          <w:bCs/>
          <w:sz w:val="22"/>
          <w:szCs w:val="22"/>
        </w:rPr>
      </w:pPr>
      <w:r>
        <w:rPr>
          <w:rFonts w:hint="eastAsia"/>
          <w:bCs/>
          <w:sz w:val="22"/>
          <w:szCs w:val="22"/>
        </w:rPr>
        <w:t>（4）开标时没有启封和宣读的投标文件，原封退回给供应商。</w:t>
      </w:r>
    </w:p>
    <w:p>
      <w:pPr>
        <w:spacing w:line="420" w:lineRule="exact"/>
        <w:ind w:firstLine="110" w:firstLineChars="50"/>
        <w:rPr>
          <w:rFonts w:hint="eastAsia"/>
          <w:bCs/>
          <w:sz w:val="22"/>
          <w:szCs w:val="22"/>
        </w:rPr>
      </w:pPr>
      <w:r>
        <w:rPr>
          <w:rFonts w:hint="eastAsia"/>
          <w:bCs/>
          <w:sz w:val="22"/>
          <w:szCs w:val="22"/>
        </w:rPr>
        <w:t>（5）开商务标时，采购人指定专人作好记录，存档备查。</w:t>
      </w:r>
    </w:p>
    <w:p>
      <w:pPr>
        <w:pStyle w:val="32"/>
        <w:adjustRightInd w:val="0"/>
        <w:snapToGrid w:val="0"/>
        <w:spacing w:line="420" w:lineRule="exact"/>
        <w:ind w:firstLine="440" w:firstLineChars="200"/>
        <w:rPr>
          <w:rFonts w:hint="eastAsia" w:hAnsi="宋体"/>
          <w:sz w:val="22"/>
          <w:szCs w:val="22"/>
        </w:rPr>
      </w:pPr>
      <w:r>
        <w:rPr>
          <w:rFonts w:hint="eastAsia" w:hAnsi="宋体"/>
          <w:sz w:val="22"/>
          <w:szCs w:val="22"/>
        </w:rPr>
        <w:t>1.3开启商务标时，投标文件中《开标一览表》(报价表)内容与投标文件中明细表内容不一致的，以开标一览表(报价表)为准。</w:t>
      </w:r>
    </w:p>
    <w:p>
      <w:pPr>
        <w:snapToGrid w:val="0"/>
        <w:spacing w:line="420" w:lineRule="exact"/>
        <w:ind w:firstLine="527"/>
        <w:rPr>
          <w:rFonts w:hint="eastAsia" w:cs="Arial"/>
          <w:sz w:val="22"/>
          <w:szCs w:val="22"/>
        </w:rPr>
      </w:pPr>
      <w:r>
        <w:rPr>
          <w:rFonts w:hint="eastAsia"/>
          <w:sz w:val="22"/>
          <w:szCs w:val="22"/>
        </w:rPr>
        <w:t>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w:t>
      </w:r>
    </w:p>
    <w:p>
      <w:pPr>
        <w:snapToGrid w:val="0"/>
        <w:spacing w:line="420" w:lineRule="exact"/>
        <w:ind w:firstLine="527"/>
        <w:rPr>
          <w:rFonts w:hint="eastAsia" w:cs="Arial"/>
          <w:sz w:val="22"/>
          <w:szCs w:val="22"/>
        </w:rPr>
      </w:pPr>
      <w:r>
        <w:rPr>
          <w:rFonts w:hint="eastAsia" w:cs="Arial"/>
          <w:sz w:val="22"/>
          <w:szCs w:val="22"/>
        </w:rPr>
        <w:t>2、评标</w:t>
      </w:r>
    </w:p>
    <w:p>
      <w:pPr>
        <w:snapToGrid w:val="0"/>
        <w:spacing w:line="420" w:lineRule="exact"/>
        <w:ind w:firstLine="527"/>
        <w:rPr>
          <w:rFonts w:hint="eastAsia" w:cs="Arial"/>
          <w:sz w:val="22"/>
          <w:szCs w:val="22"/>
        </w:rPr>
      </w:pPr>
      <w:r>
        <w:rPr>
          <w:rFonts w:hint="eastAsia" w:cs="Arial"/>
          <w:sz w:val="22"/>
          <w:szCs w:val="22"/>
        </w:rPr>
        <w:t>2.1评标由采购人依法组建的评标委员会负责</w:t>
      </w:r>
      <w:r>
        <w:rPr>
          <w:rFonts w:hint="eastAsia"/>
          <w:sz w:val="22"/>
          <w:szCs w:val="22"/>
        </w:rPr>
        <w:t>，并独立履行下列职责：</w:t>
      </w:r>
    </w:p>
    <w:p>
      <w:pPr>
        <w:snapToGrid w:val="0"/>
        <w:spacing w:line="420" w:lineRule="exact"/>
        <w:ind w:firstLine="527"/>
        <w:rPr>
          <w:rFonts w:hint="eastAsia"/>
          <w:sz w:val="22"/>
          <w:szCs w:val="22"/>
        </w:rPr>
      </w:pPr>
      <w:r>
        <w:rPr>
          <w:rFonts w:hint="eastAsia"/>
          <w:sz w:val="22"/>
          <w:szCs w:val="22"/>
        </w:rPr>
        <w:t>1）审查投标文件是否符合招标文件要求，并作出评价；</w:t>
      </w:r>
    </w:p>
    <w:p>
      <w:pPr>
        <w:snapToGrid w:val="0"/>
        <w:spacing w:line="420" w:lineRule="exact"/>
        <w:ind w:firstLine="527"/>
        <w:rPr>
          <w:rFonts w:hint="eastAsia"/>
          <w:sz w:val="22"/>
          <w:szCs w:val="22"/>
        </w:rPr>
      </w:pPr>
      <w:r>
        <w:rPr>
          <w:rFonts w:hint="eastAsia"/>
          <w:sz w:val="22"/>
          <w:szCs w:val="22"/>
        </w:rPr>
        <w:t>2）要求投标供应商对投标文件有关事项作出解释或者澄清；</w:t>
      </w:r>
    </w:p>
    <w:p>
      <w:pPr>
        <w:snapToGrid w:val="0"/>
        <w:spacing w:line="420" w:lineRule="exact"/>
        <w:ind w:firstLine="527"/>
        <w:rPr>
          <w:rFonts w:hint="eastAsia"/>
          <w:sz w:val="22"/>
          <w:szCs w:val="22"/>
        </w:rPr>
      </w:pPr>
      <w:r>
        <w:rPr>
          <w:rFonts w:hint="eastAsia"/>
          <w:sz w:val="22"/>
          <w:szCs w:val="22"/>
        </w:rPr>
        <w:t>3）根据采购人授权确定中标供应商名单；</w:t>
      </w:r>
    </w:p>
    <w:p>
      <w:pPr>
        <w:snapToGrid w:val="0"/>
        <w:spacing w:line="420" w:lineRule="exact"/>
        <w:ind w:firstLine="527"/>
        <w:rPr>
          <w:rFonts w:hint="eastAsia"/>
          <w:sz w:val="22"/>
          <w:szCs w:val="22"/>
        </w:rPr>
      </w:pPr>
      <w:r>
        <w:rPr>
          <w:rFonts w:hint="eastAsia"/>
          <w:sz w:val="22"/>
          <w:szCs w:val="22"/>
        </w:rPr>
        <w:t>4）向采购机构或者有关部门报告非法干预评标工作的行为。</w:t>
      </w:r>
    </w:p>
    <w:p>
      <w:pPr>
        <w:snapToGrid w:val="0"/>
        <w:spacing w:line="420" w:lineRule="exact"/>
        <w:ind w:firstLine="527"/>
        <w:rPr>
          <w:rFonts w:hint="eastAsia"/>
          <w:sz w:val="22"/>
          <w:szCs w:val="22"/>
        </w:rPr>
      </w:pPr>
      <w:r>
        <w:rPr>
          <w:rFonts w:hint="eastAsia"/>
          <w:sz w:val="22"/>
          <w:szCs w:val="22"/>
        </w:rPr>
        <w:t>2.2评标应当遵循下列工作程序：</w:t>
      </w:r>
    </w:p>
    <w:p>
      <w:pPr>
        <w:snapToGrid w:val="0"/>
        <w:spacing w:line="420" w:lineRule="exact"/>
        <w:ind w:firstLine="527"/>
        <w:rPr>
          <w:rFonts w:hint="eastAsia"/>
          <w:sz w:val="22"/>
          <w:szCs w:val="22"/>
        </w:rPr>
      </w:pPr>
      <w:r>
        <w:rPr>
          <w:rFonts w:hint="eastAsia"/>
          <w:sz w:val="22"/>
          <w:szCs w:val="22"/>
        </w:rPr>
        <w:t>1）投标文件初审。初审分为资格性检查和符合性检查。</w:t>
      </w:r>
    </w:p>
    <w:p>
      <w:pPr>
        <w:snapToGrid w:val="0"/>
        <w:spacing w:line="420" w:lineRule="exact"/>
        <w:ind w:firstLine="435" w:firstLineChars="198"/>
        <w:rPr>
          <w:rFonts w:hint="eastAsia"/>
          <w:sz w:val="22"/>
          <w:szCs w:val="22"/>
        </w:rPr>
      </w:pPr>
      <w:r>
        <w:rPr>
          <w:rFonts w:hint="eastAsia"/>
          <w:sz w:val="22"/>
          <w:szCs w:val="22"/>
        </w:rPr>
        <w:t>（1)资格性检查。依据法律法规和招标文件的规定，对投标文件中的资格证明、证书资料等进行审查，以确定投标供应商是否具备投标资格。</w:t>
      </w:r>
    </w:p>
    <w:p>
      <w:pPr>
        <w:snapToGrid w:val="0"/>
        <w:spacing w:line="420" w:lineRule="exact"/>
        <w:ind w:firstLine="435" w:firstLineChars="198"/>
        <w:rPr>
          <w:rFonts w:hint="eastAsia"/>
          <w:sz w:val="22"/>
          <w:szCs w:val="22"/>
        </w:rPr>
      </w:pPr>
      <w:r>
        <w:rPr>
          <w:rFonts w:hint="eastAsia"/>
          <w:sz w:val="22"/>
          <w:szCs w:val="22"/>
        </w:rPr>
        <w:t>（2)符合性检查。依据招标文件的规定，从投标文件的有效性、完整性和对招标文件的响应程度进行审查，以确定是否对招标文件的实质性要求作出响应。</w:t>
      </w:r>
    </w:p>
    <w:p>
      <w:pPr>
        <w:snapToGrid w:val="0"/>
        <w:spacing w:line="420" w:lineRule="exact"/>
        <w:ind w:firstLine="435" w:firstLineChars="198"/>
        <w:rPr>
          <w:rFonts w:hint="eastAsia"/>
          <w:sz w:val="22"/>
          <w:szCs w:val="22"/>
        </w:rPr>
      </w:pPr>
      <w:r>
        <w:rPr>
          <w:rFonts w:hint="eastAsia"/>
          <w:sz w:val="22"/>
          <w:szCs w:val="22"/>
        </w:rPr>
        <w:t xml:space="preserve"> 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pPr>
        <w:snapToGrid w:val="0"/>
        <w:spacing w:line="420" w:lineRule="exact"/>
        <w:ind w:firstLine="435" w:firstLineChars="198"/>
        <w:rPr>
          <w:rFonts w:hint="eastAsia"/>
          <w:sz w:val="22"/>
          <w:szCs w:val="22"/>
        </w:rPr>
      </w:pPr>
      <w:r>
        <w:rPr>
          <w:rFonts w:hint="eastAsia"/>
          <w:sz w:val="22"/>
          <w:szCs w:val="22"/>
        </w:rPr>
        <w:t xml:space="preserve"> 3）比较与评价。按招标文件中规定的评标方法和标准，对资格性检查和符合性检查合格的投标文件进行商务和技术评估，综合比较与评价。</w:t>
      </w:r>
    </w:p>
    <w:p>
      <w:pPr>
        <w:snapToGrid w:val="0"/>
        <w:spacing w:line="420" w:lineRule="exact"/>
        <w:ind w:firstLine="527"/>
        <w:rPr>
          <w:rFonts w:hint="eastAsia" w:cs="Arial"/>
          <w:b/>
          <w:sz w:val="22"/>
          <w:szCs w:val="22"/>
          <w:u w:val="single"/>
        </w:rPr>
      </w:pPr>
      <w:r>
        <w:rPr>
          <w:rFonts w:hint="eastAsia" w:cs="Arial"/>
          <w:b/>
          <w:sz w:val="22"/>
          <w:szCs w:val="22"/>
        </w:rPr>
        <w:t>2.3、</w:t>
      </w:r>
      <w:r>
        <w:rPr>
          <w:rFonts w:hint="eastAsia"/>
          <w:b/>
          <w:sz w:val="22"/>
          <w:szCs w:val="22"/>
          <w:u w:val="single"/>
        </w:rPr>
        <w:t>▲</w:t>
      </w:r>
      <w:r>
        <w:rPr>
          <w:rFonts w:hint="eastAsia" w:cs="Arial"/>
          <w:b/>
          <w:sz w:val="22"/>
          <w:szCs w:val="22"/>
          <w:u w:val="single"/>
        </w:rPr>
        <w:t>评标委员会发现投标文件有下列情形之一的属于重大偏差(评标委员会按少数服从多数原则认定),按照无效投标处理：</w:t>
      </w:r>
    </w:p>
    <w:p>
      <w:pPr>
        <w:snapToGrid w:val="0"/>
        <w:spacing w:line="420" w:lineRule="exact"/>
        <w:ind w:firstLine="527"/>
        <w:rPr>
          <w:rFonts w:hint="eastAsia" w:cs="Arial"/>
          <w:sz w:val="22"/>
          <w:szCs w:val="22"/>
        </w:rPr>
      </w:pPr>
      <w:r>
        <w:rPr>
          <w:rFonts w:hint="eastAsia" w:cs="Arial"/>
          <w:sz w:val="22"/>
          <w:szCs w:val="22"/>
        </w:rPr>
        <w:t>1）未按招标文件要求编制或字迹模糊、辨认不清的投标文件；</w:t>
      </w:r>
    </w:p>
    <w:p>
      <w:pPr>
        <w:snapToGrid w:val="0"/>
        <w:spacing w:line="420" w:lineRule="exact"/>
        <w:ind w:firstLine="527"/>
        <w:rPr>
          <w:rFonts w:hint="eastAsia" w:cs="Arial"/>
          <w:sz w:val="22"/>
          <w:szCs w:val="22"/>
        </w:rPr>
      </w:pPr>
      <w:r>
        <w:rPr>
          <w:rFonts w:hint="eastAsia" w:cs="Arial"/>
          <w:sz w:val="22"/>
          <w:szCs w:val="22"/>
        </w:rPr>
        <w:t>2）供应商递交两份或两份以上内容不同的投标文件，未声明哪一份有效的；供应商付款方式、完工期出现负偏差的；</w:t>
      </w:r>
    </w:p>
    <w:p>
      <w:pPr>
        <w:snapToGrid w:val="0"/>
        <w:spacing w:line="420" w:lineRule="exact"/>
        <w:ind w:firstLine="527"/>
        <w:rPr>
          <w:rFonts w:hint="eastAsia" w:cs="Arial"/>
          <w:sz w:val="22"/>
          <w:szCs w:val="22"/>
        </w:rPr>
      </w:pPr>
      <w:r>
        <w:rPr>
          <w:rFonts w:hint="eastAsia" w:cs="Arial"/>
          <w:sz w:val="22"/>
          <w:szCs w:val="22"/>
        </w:rPr>
        <w:t>3）投标函、法人授权委托书、开标一览表没有按招标文件格式要求加盖有效公章；无法定代表人（授权代表）签字（或印章）；</w:t>
      </w:r>
    </w:p>
    <w:p>
      <w:pPr>
        <w:snapToGrid w:val="0"/>
        <w:spacing w:line="420" w:lineRule="exact"/>
        <w:ind w:firstLine="527"/>
        <w:rPr>
          <w:rFonts w:hint="eastAsia" w:cs="Arial"/>
          <w:sz w:val="22"/>
          <w:szCs w:val="22"/>
        </w:rPr>
      </w:pPr>
      <w:r>
        <w:rPr>
          <w:rFonts w:hint="eastAsia" w:cs="Arial"/>
          <w:sz w:val="22"/>
          <w:szCs w:val="22"/>
        </w:rPr>
        <w:t>4）供应商技术资信投标文件中出现投标产品的商务报价；</w:t>
      </w:r>
    </w:p>
    <w:p>
      <w:pPr>
        <w:snapToGrid w:val="0"/>
        <w:spacing w:line="420" w:lineRule="exact"/>
        <w:ind w:firstLine="527"/>
        <w:rPr>
          <w:rFonts w:hint="eastAsia" w:cs="Arial"/>
          <w:sz w:val="22"/>
          <w:szCs w:val="22"/>
        </w:rPr>
      </w:pPr>
      <w:r>
        <w:rPr>
          <w:rFonts w:hint="eastAsia" w:cs="Arial"/>
          <w:sz w:val="22"/>
          <w:szCs w:val="22"/>
        </w:rPr>
        <w:t>5）明显不符合技术要求或</w:t>
      </w:r>
      <w:r>
        <w:rPr>
          <w:rFonts w:hint="eastAsia" w:cs="Arial"/>
          <w:spacing w:val="20"/>
          <w:sz w:val="22"/>
          <w:szCs w:val="22"/>
        </w:rPr>
        <w:t>达不到招标文件参考品牌型号的产品主要参数的投标文件</w:t>
      </w:r>
      <w:r>
        <w:rPr>
          <w:rFonts w:hint="eastAsia" w:cs="Arial"/>
          <w:sz w:val="22"/>
          <w:szCs w:val="22"/>
        </w:rPr>
        <w:t>；</w:t>
      </w:r>
    </w:p>
    <w:p>
      <w:pPr>
        <w:snapToGrid w:val="0"/>
        <w:spacing w:line="420" w:lineRule="exact"/>
        <w:ind w:firstLine="527"/>
        <w:rPr>
          <w:rFonts w:hint="eastAsia" w:cs="Arial"/>
          <w:sz w:val="22"/>
          <w:szCs w:val="22"/>
        </w:rPr>
      </w:pPr>
      <w:r>
        <w:rPr>
          <w:rFonts w:hint="eastAsia" w:cs="Arial"/>
          <w:sz w:val="22"/>
          <w:szCs w:val="22"/>
        </w:rPr>
        <w:t>6）不符合招标文件中规定的实质性要求的投标文件，是否为偏离实质性要求由评标委员会认定。</w:t>
      </w:r>
    </w:p>
    <w:p>
      <w:pPr>
        <w:snapToGrid w:val="0"/>
        <w:spacing w:line="400" w:lineRule="exact"/>
        <w:ind w:firstLine="527"/>
        <w:rPr>
          <w:rFonts w:hint="eastAsia" w:cs="Arial"/>
          <w:sz w:val="22"/>
          <w:szCs w:val="22"/>
        </w:rPr>
      </w:pPr>
      <w:r>
        <w:rPr>
          <w:rFonts w:hint="eastAsia" w:cs="Arial"/>
          <w:sz w:val="22"/>
          <w:szCs w:val="22"/>
        </w:rPr>
        <w:t>7）评审时如发现供应商的报价明显高于其市场报价或低于成本价的，评标委员会可以要求该供应商书面说明并提供相关证明材料。该供应商不能合理说明原因并提供证明材料的，评标委员会可以对该供应商作无效投标处理；</w:t>
      </w:r>
    </w:p>
    <w:p>
      <w:pPr>
        <w:snapToGrid w:val="0"/>
        <w:spacing w:line="400" w:lineRule="exact"/>
        <w:ind w:firstLine="527"/>
        <w:rPr>
          <w:rFonts w:hint="eastAsia" w:cs="Arial"/>
          <w:sz w:val="22"/>
          <w:szCs w:val="22"/>
        </w:rPr>
      </w:pPr>
      <w:r>
        <w:rPr>
          <w:rFonts w:hint="eastAsia" w:cs="Arial"/>
          <w:sz w:val="22"/>
          <w:szCs w:val="22"/>
        </w:rPr>
        <w:t>8）存在串标、抬标或弄虚作假情况的；串标认定按以下情况：</w:t>
      </w:r>
    </w:p>
    <w:p>
      <w:pPr>
        <w:snapToGrid w:val="0"/>
        <w:spacing w:line="400" w:lineRule="exact"/>
        <w:ind w:firstLine="569" w:firstLineChars="259"/>
        <w:rPr>
          <w:rFonts w:hint="eastAsia" w:cs="Arial"/>
          <w:sz w:val="22"/>
          <w:szCs w:val="22"/>
        </w:rPr>
      </w:pPr>
      <w:r>
        <w:rPr>
          <w:rFonts w:hint="eastAsia"/>
          <w:bCs/>
          <w:sz w:val="22"/>
          <w:szCs w:val="22"/>
        </w:rPr>
        <w:t>（1）</w:t>
      </w:r>
      <w:r>
        <w:rPr>
          <w:bCs/>
          <w:sz w:val="22"/>
          <w:szCs w:val="22"/>
        </w:rPr>
        <w:t> 不同</w:t>
      </w:r>
      <w:r>
        <w:rPr>
          <w:rFonts w:hint="eastAsia"/>
          <w:bCs/>
          <w:sz w:val="22"/>
          <w:szCs w:val="22"/>
        </w:rPr>
        <w:t>供应商</w:t>
      </w:r>
      <w:r>
        <w:rPr>
          <w:bCs/>
          <w:sz w:val="22"/>
          <w:szCs w:val="22"/>
        </w:rPr>
        <w:t>的投标文件由同一单位或者个人编制；</w:t>
      </w:r>
      <w:r>
        <w:rPr>
          <w:bCs/>
          <w:sz w:val="22"/>
          <w:szCs w:val="22"/>
        </w:rPr>
        <w:br w:type="textWrapping"/>
      </w:r>
      <w:r>
        <w:rPr>
          <w:bCs/>
          <w:sz w:val="22"/>
          <w:szCs w:val="22"/>
        </w:rPr>
        <w:t>    </w:t>
      </w:r>
      <w:r>
        <w:rPr>
          <w:rFonts w:hint="eastAsia"/>
          <w:bCs/>
          <w:sz w:val="22"/>
          <w:szCs w:val="22"/>
        </w:rPr>
        <w:t xml:space="preserve">   </w:t>
      </w:r>
      <w:r>
        <w:rPr>
          <w:bCs/>
          <w:sz w:val="22"/>
          <w:szCs w:val="22"/>
        </w:rPr>
        <w:t>（</w:t>
      </w:r>
      <w:r>
        <w:rPr>
          <w:rFonts w:hint="eastAsia"/>
          <w:bCs/>
          <w:sz w:val="22"/>
          <w:szCs w:val="22"/>
        </w:rPr>
        <w:t>2</w:t>
      </w:r>
      <w:r>
        <w:rPr>
          <w:bCs/>
          <w:sz w:val="22"/>
          <w:szCs w:val="22"/>
        </w:rPr>
        <w:t>）不同</w:t>
      </w:r>
      <w:r>
        <w:rPr>
          <w:rFonts w:hint="eastAsia"/>
          <w:bCs/>
          <w:sz w:val="22"/>
          <w:szCs w:val="22"/>
        </w:rPr>
        <w:t>供应商</w:t>
      </w:r>
      <w:r>
        <w:rPr>
          <w:bCs/>
          <w:sz w:val="22"/>
          <w:szCs w:val="22"/>
        </w:rPr>
        <w:t>委托同一单位或者个人办理投标事宜；</w:t>
      </w:r>
      <w:r>
        <w:rPr>
          <w:bCs/>
          <w:sz w:val="22"/>
          <w:szCs w:val="22"/>
        </w:rPr>
        <w:br w:type="textWrapping"/>
      </w:r>
      <w:r>
        <w:rPr>
          <w:bCs/>
          <w:sz w:val="22"/>
          <w:szCs w:val="22"/>
        </w:rPr>
        <w:t>    </w:t>
      </w:r>
      <w:r>
        <w:rPr>
          <w:rFonts w:hint="eastAsia"/>
          <w:bCs/>
          <w:sz w:val="22"/>
          <w:szCs w:val="22"/>
        </w:rPr>
        <w:t xml:space="preserve">   </w:t>
      </w:r>
      <w:r>
        <w:rPr>
          <w:bCs/>
          <w:sz w:val="22"/>
          <w:szCs w:val="22"/>
        </w:rPr>
        <w:t>（</w:t>
      </w:r>
      <w:r>
        <w:rPr>
          <w:rFonts w:hint="eastAsia"/>
          <w:bCs/>
          <w:sz w:val="22"/>
          <w:szCs w:val="22"/>
        </w:rPr>
        <w:t>3</w:t>
      </w:r>
      <w:r>
        <w:rPr>
          <w:bCs/>
          <w:sz w:val="22"/>
          <w:szCs w:val="22"/>
        </w:rPr>
        <w:t>）不同</w:t>
      </w:r>
      <w:r>
        <w:rPr>
          <w:rFonts w:hint="eastAsia"/>
          <w:bCs/>
          <w:sz w:val="22"/>
          <w:szCs w:val="22"/>
        </w:rPr>
        <w:t>供应商</w:t>
      </w:r>
      <w:r>
        <w:rPr>
          <w:bCs/>
          <w:sz w:val="22"/>
          <w:szCs w:val="22"/>
        </w:rPr>
        <w:t>的投标文件载明的项目管理成员为同一人；</w:t>
      </w:r>
      <w:r>
        <w:rPr>
          <w:bCs/>
          <w:sz w:val="22"/>
          <w:szCs w:val="22"/>
        </w:rPr>
        <w:br w:type="textWrapping"/>
      </w:r>
      <w:r>
        <w:rPr>
          <w:bCs/>
          <w:sz w:val="22"/>
          <w:szCs w:val="22"/>
        </w:rPr>
        <w:t>    </w:t>
      </w:r>
      <w:r>
        <w:rPr>
          <w:rFonts w:hint="eastAsia"/>
          <w:bCs/>
          <w:sz w:val="22"/>
          <w:szCs w:val="22"/>
        </w:rPr>
        <w:t xml:space="preserve">   </w:t>
      </w:r>
      <w:r>
        <w:rPr>
          <w:bCs/>
          <w:sz w:val="22"/>
          <w:szCs w:val="22"/>
        </w:rPr>
        <w:t>（</w:t>
      </w:r>
      <w:r>
        <w:rPr>
          <w:rFonts w:hint="eastAsia"/>
          <w:bCs/>
          <w:sz w:val="22"/>
          <w:szCs w:val="22"/>
        </w:rPr>
        <w:t>4</w:t>
      </w:r>
      <w:r>
        <w:rPr>
          <w:bCs/>
          <w:sz w:val="22"/>
          <w:szCs w:val="22"/>
        </w:rPr>
        <w:t>）不同</w:t>
      </w:r>
      <w:r>
        <w:rPr>
          <w:rFonts w:hint="eastAsia"/>
          <w:bCs/>
          <w:sz w:val="22"/>
          <w:szCs w:val="22"/>
        </w:rPr>
        <w:t>供应商</w:t>
      </w:r>
      <w:r>
        <w:rPr>
          <w:bCs/>
          <w:sz w:val="22"/>
          <w:szCs w:val="22"/>
        </w:rPr>
        <w:t>的投标文件异常一致或者投标报价呈规律性差异；</w:t>
      </w:r>
      <w:r>
        <w:rPr>
          <w:bCs/>
          <w:sz w:val="22"/>
          <w:szCs w:val="22"/>
        </w:rPr>
        <w:br w:type="textWrapping"/>
      </w:r>
      <w:r>
        <w:rPr>
          <w:bCs/>
          <w:sz w:val="22"/>
          <w:szCs w:val="22"/>
        </w:rPr>
        <w:t>    </w:t>
      </w:r>
      <w:r>
        <w:rPr>
          <w:rFonts w:hint="eastAsia"/>
          <w:bCs/>
          <w:sz w:val="22"/>
          <w:szCs w:val="22"/>
        </w:rPr>
        <w:t xml:space="preserve">   </w:t>
      </w:r>
      <w:r>
        <w:rPr>
          <w:bCs/>
          <w:sz w:val="22"/>
          <w:szCs w:val="22"/>
        </w:rPr>
        <w:t>（</w:t>
      </w:r>
      <w:r>
        <w:rPr>
          <w:rFonts w:hint="eastAsia"/>
          <w:bCs/>
          <w:sz w:val="22"/>
          <w:szCs w:val="22"/>
        </w:rPr>
        <w:t>5</w:t>
      </w:r>
      <w:r>
        <w:rPr>
          <w:bCs/>
          <w:sz w:val="22"/>
          <w:szCs w:val="22"/>
        </w:rPr>
        <w:t>）不同</w:t>
      </w:r>
      <w:r>
        <w:rPr>
          <w:rFonts w:hint="eastAsia"/>
          <w:bCs/>
          <w:sz w:val="22"/>
          <w:szCs w:val="22"/>
        </w:rPr>
        <w:t>供应商</w:t>
      </w:r>
      <w:r>
        <w:rPr>
          <w:bCs/>
          <w:sz w:val="22"/>
          <w:szCs w:val="22"/>
        </w:rPr>
        <w:t>的投标文件相互混装；</w:t>
      </w:r>
      <w:r>
        <w:rPr>
          <w:bCs/>
          <w:sz w:val="22"/>
          <w:szCs w:val="22"/>
        </w:rPr>
        <w:br w:type="textWrapping"/>
      </w:r>
      <w:r>
        <w:rPr>
          <w:bCs/>
          <w:sz w:val="22"/>
          <w:szCs w:val="22"/>
        </w:rPr>
        <w:t>    </w:t>
      </w:r>
      <w:r>
        <w:rPr>
          <w:rFonts w:hint="eastAsia"/>
          <w:bCs/>
          <w:sz w:val="22"/>
          <w:szCs w:val="22"/>
        </w:rPr>
        <w:t xml:space="preserve">   </w:t>
      </w:r>
      <w:r>
        <w:rPr>
          <w:bCs/>
          <w:sz w:val="22"/>
          <w:szCs w:val="22"/>
        </w:rPr>
        <w:t>（</w:t>
      </w:r>
      <w:r>
        <w:rPr>
          <w:rFonts w:hint="eastAsia"/>
          <w:bCs/>
          <w:sz w:val="22"/>
          <w:szCs w:val="22"/>
        </w:rPr>
        <w:t>6</w:t>
      </w:r>
      <w:r>
        <w:rPr>
          <w:bCs/>
          <w:sz w:val="22"/>
          <w:szCs w:val="22"/>
        </w:rPr>
        <w:t>）不同</w:t>
      </w:r>
      <w:r>
        <w:rPr>
          <w:rFonts w:hint="eastAsia"/>
          <w:bCs/>
          <w:sz w:val="22"/>
          <w:szCs w:val="22"/>
        </w:rPr>
        <w:t>供应商</w:t>
      </w:r>
      <w:r>
        <w:rPr>
          <w:bCs/>
          <w:sz w:val="22"/>
          <w:szCs w:val="22"/>
        </w:rPr>
        <w:t>的投标保证金从同一单位或者个人的账户转出。</w:t>
      </w:r>
    </w:p>
    <w:p>
      <w:pPr>
        <w:snapToGrid w:val="0"/>
        <w:spacing w:line="400" w:lineRule="exact"/>
        <w:ind w:firstLine="527"/>
        <w:rPr>
          <w:rFonts w:hint="eastAsia" w:cs="Arial"/>
          <w:sz w:val="22"/>
          <w:szCs w:val="22"/>
          <w:u w:val="single"/>
        </w:rPr>
      </w:pPr>
      <w:r>
        <w:rPr>
          <w:rFonts w:hint="eastAsia" w:cs="Arial"/>
          <w:sz w:val="22"/>
          <w:szCs w:val="22"/>
        </w:rPr>
        <w:t>9）其他经评标委员会认定的未能在实质上响应的或违反国家有关规定的投标文件。</w:t>
      </w:r>
    </w:p>
    <w:p>
      <w:pPr>
        <w:snapToGrid w:val="0"/>
        <w:spacing w:line="400" w:lineRule="exact"/>
        <w:ind w:firstLine="527"/>
        <w:rPr>
          <w:rFonts w:hint="eastAsia"/>
          <w:sz w:val="22"/>
          <w:szCs w:val="22"/>
        </w:rPr>
      </w:pPr>
      <w:r>
        <w:rPr>
          <w:rFonts w:hint="eastAsia"/>
          <w:sz w:val="22"/>
          <w:szCs w:val="22"/>
        </w:rPr>
        <w:t>2.4、实质上没有响应招标文件要求的投标将被拒绝。供应商不得通过修正或撤消不合要求的偏离从而使其投标成为实质上响应的投标。</w:t>
      </w:r>
    </w:p>
    <w:p>
      <w:pPr>
        <w:snapToGrid w:val="0"/>
        <w:spacing w:line="400" w:lineRule="exact"/>
        <w:ind w:firstLine="527"/>
        <w:rPr>
          <w:rFonts w:hint="eastAsia"/>
          <w:sz w:val="22"/>
          <w:szCs w:val="22"/>
        </w:rPr>
      </w:pPr>
      <w:r>
        <w:rPr>
          <w:rFonts w:hint="eastAsia"/>
          <w:sz w:val="22"/>
          <w:szCs w:val="22"/>
        </w:rPr>
        <w:t>2.5、开启供应商商务报价文件后发现价格、数量有误，其投标价将按下述原则处理：</w:t>
      </w:r>
    </w:p>
    <w:p>
      <w:pPr>
        <w:snapToGrid w:val="0"/>
        <w:spacing w:line="400" w:lineRule="exact"/>
        <w:ind w:firstLine="527"/>
        <w:rPr>
          <w:sz w:val="22"/>
          <w:szCs w:val="22"/>
        </w:rPr>
      </w:pPr>
      <w:r>
        <w:rPr>
          <w:sz w:val="22"/>
          <w:szCs w:val="22"/>
        </w:rPr>
        <w:t>1) 任何有漏去一些小项货物或服务的投标将被视为其费用已包含在投标总价中，投标价格不予调整。如果供应商不接受上述处理方式，将做为无效投标。</w:t>
      </w:r>
    </w:p>
    <w:p>
      <w:pPr>
        <w:snapToGrid w:val="0"/>
        <w:spacing w:line="400" w:lineRule="exact"/>
        <w:ind w:firstLine="527"/>
        <w:rPr>
          <w:sz w:val="22"/>
          <w:szCs w:val="22"/>
        </w:rPr>
      </w:pPr>
      <w:r>
        <w:rPr>
          <w:sz w:val="22"/>
          <w:szCs w:val="22"/>
        </w:rPr>
        <w:t>2) 任何有多报一些小项工程或货物的投标其投标价不予调整，如果该供应商中标，则合同价格必须为核减掉多报的一些小项工程或货物后的价格。如果供应商不接受上述处理方式，将做为无效投标。</w:t>
      </w:r>
    </w:p>
    <w:p>
      <w:pPr>
        <w:snapToGrid w:val="0"/>
        <w:spacing w:line="400" w:lineRule="exact"/>
        <w:ind w:firstLine="527"/>
        <w:rPr>
          <w:sz w:val="22"/>
          <w:szCs w:val="22"/>
        </w:rPr>
      </w:pPr>
      <w:r>
        <w:rPr>
          <w:sz w:val="22"/>
          <w:szCs w:val="22"/>
        </w:rPr>
        <w:t>3）</w:t>
      </w:r>
      <w:r>
        <w:rPr>
          <w:rFonts w:hint="eastAsia"/>
          <w:sz w:val="22"/>
          <w:szCs w:val="22"/>
        </w:rPr>
        <w:t>对于计算错误的其投标价不予调整，如果该供应商中标，如其投标价格计算错误导致多报者合同价格予以据实核减，少报者合同价格不予调整。如果供应商不接受上述处理方式，将做为无效投标</w:t>
      </w:r>
      <w:r>
        <w:rPr>
          <w:sz w:val="22"/>
          <w:szCs w:val="22"/>
        </w:rPr>
        <w:t>。</w:t>
      </w:r>
    </w:p>
    <w:p>
      <w:pPr>
        <w:snapToGrid w:val="0"/>
        <w:spacing w:line="400" w:lineRule="exact"/>
        <w:ind w:firstLine="527"/>
        <w:rPr>
          <w:rFonts w:hint="eastAsia"/>
          <w:sz w:val="22"/>
          <w:szCs w:val="22"/>
        </w:rPr>
      </w:pPr>
      <w:r>
        <w:rPr>
          <w:b/>
          <w:sz w:val="22"/>
          <w:u w:val="single"/>
        </w:rPr>
        <w:t>4）对于计算错误，多报或漏报的一些小项工程或货物、服务的仅仅为非实质性重大偏差范围内的偏离，并经过评标委员会按少数服从多数原则认定为细微偏差，评审时其投标价不予调整。</w:t>
      </w:r>
    </w:p>
    <w:p>
      <w:pPr>
        <w:snapToGrid w:val="0"/>
        <w:spacing w:line="400" w:lineRule="exact"/>
        <w:ind w:firstLine="527"/>
        <w:rPr>
          <w:rFonts w:hint="eastAsia" w:cs="Arial"/>
          <w:sz w:val="22"/>
          <w:szCs w:val="22"/>
        </w:rPr>
      </w:pPr>
      <w:r>
        <w:rPr>
          <w:rFonts w:hint="eastAsia" w:cs="Arial"/>
          <w:sz w:val="22"/>
          <w:szCs w:val="22"/>
        </w:rPr>
        <w:t>2.6、评标委员会对投标文件的判定，只依据投标内容本身，不依靠开标后的任何外来证明。</w:t>
      </w:r>
    </w:p>
    <w:p>
      <w:pPr>
        <w:snapToGrid w:val="0"/>
        <w:spacing w:line="400" w:lineRule="exact"/>
        <w:ind w:firstLine="527"/>
        <w:rPr>
          <w:rFonts w:hint="eastAsia" w:cs="Arial"/>
          <w:sz w:val="22"/>
          <w:szCs w:val="22"/>
        </w:rPr>
      </w:pPr>
      <w:r>
        <w:rPr>
          <w:rFonts w:hint="eastAsia" w:cs="Arial"/>
          <w:sz w:val="22"/>
          <w:szCs w:val="22"/>
        </w:rPr>
        <w:t>2.7、评标委员会</w:t>
      </w:r>
      <w:r>
        <w:rPr>
          <w:rFonts w:hint="eastAsia"/>
          <w:sz w:val="22"/>
          <w:szCs w:val="22"/>
        </w:rPr>
        <w:t>在评标中，不得改变招标文件中规定的评标标准、方法和中标条件。</w:t>
      </w:r>
    </w:p>
    <w:p>
      <w:pPr>
        <w:snapToGrid w:val="0"/>
        <w:spacing w:line="400" w:lineRule="exact"/>
        <w:ind w:firstLine="527"/>
        <w:rPr>
          <w:rFonts w:hint="eastAsia" w:cs="Arial"/>
          <w:sz w:val="22"/>
          <w:szCs w:val="22"/>
        </w:rPr>
      </w:pPr>
      <w:r>
        <w:rPr>
          <w:rFonts w:hint="eastAsia" w:cs="Arial"/>
          <w:sz w:val="22"/>
          <w:szCs w:val="22"/>
        </w:rPr>
        <w:t>3、投标文件的澄清</w:t>
      </w:r>
    </w:p>
    <w:p>
      <w:pPr>
        <w:snapToGrid w:val="0"/>
        <w:spacing w:line="400" w:lineRule="exact"/>
        <w:ind w:firstLine="527"/>
        <w:rPr>
          <w:rFonts w:hint="eastAsia" w:cs="Arial"/>
          <w:sz w:val="22"/>
          <w:szCs w:val="22"/>
        </w:rPr>
      </w:pPr>
      <w:r>
        <w:rPr>
          <w:rFonts w:hint="eastAsia" w:cs="Arial"/>
          <w:sz w:val="22"/>
          <w:szCs w:val="22"/>
        </w:rPr>
        <w:t>3.1 为有利于对投标文件的比较和评议，必要时采购人及评标委员会可要求供应商对投标文件及合同条款进行澄清，并做出书面答复。书面答复须有投标授权代表签字并作为投标内容的一部分。</w:t>
      </w:r>
    </w:p>
    <w:p>
      <w:pPr>
        <w:snapToGrid w:val="0"/>
        <w:spacing w:line="400" w:lineRule="exact"/>
        <w:ind w:firstLine="527"/>
        <w:rPr>
          <w:rFonts w:hint="eastAsia" w:cs="Arial"/>
          <w:sz w:val="22"/>
          <w:szCs w:val="22"/>
        </w:rPr>
      </w:pPr>
      <w:r>
        <w:rPr>
          <w:rFonts w:hint="eastAsia" w:cs="Arial"/>
          <w:sz w:val="22"/>
          <w:szCs w:val="22"/>
        </w:rPr>
        <w:t xml:space="preserve">3.2 供应商对投标文件的澄清不得寻求、提供或允许改变投标实质性内容。 </w:t>
      </w:r>
    </w:p>
    <w:p>
      <w:pPr>
        <w:snapToGrid w:val="0"/>
        <w:spacing w:line="400" w:lineRule="exact"/>
        <w:ind w:firstLine="527"/>
        <w:rPr>
          <w:rFonts w:hint="eastAsia" w:cs="Arial"/>
          <w:sz w:val="22"/>
          <w:szCs w:val="22"/>
        </w:rPr>
      </w:pPr>
      <w:r>
        <w:rPr>
          <w:rFonts w:hint="eastAsia" w:cs="Arial"/>
          <w:sz w:val="22"/>
          <w:szCs w:val="22"/>
        </w:rPr>
        <w:t>4、评标原则</w:t>
      </w:r>
    </w:p>
    <w:p>
      <w:pPr>
        <w:snapToGrid w:val="0"/>
        <w:spacing w:line="400" w:lineRule="exact"/>
        <w:ind w:firstLine="527"/>
        <w:rPr>
          <w:rFonts w:hint="eastAsia" w:cs="Arial"/>
          <w:sz w:val="22"/>
          <w:szCs w:val="22"/>
        </w:rPr>
      </w:pPr>
      <w:r>
        <w:rPr>
          <w:rFonts w:hint="eastAsia" w:cs="Arial"/>
          <w:sz w:val="22"/>
          <w:szCs w:val="22"/>
        </w:rPr>
        <w:t>评标委员会按照招标文件的要求和条件对投标文件进行资格、技术和商务评估，综合比较与评价。</w:t>
      </w:r>
    </w:p>
    <w:p>
      <w:pPr>
        <w:snapToGrid w:val="0"/>
        <w:spacing w:line="400" w:lineRule="exact"/>
        <w:ind w:firstLine="527"/>
        <w:rPr>
          <w:rFonts w:hint="eastAsia" w:cs="Arial"/>
          <w:sz w:val="22"/>
          <w:szCs w:val="22"/>
        </w:rPr>
      </w:pPr>
      <w:r>
        <w:rPr>
          <w:rFonts w:hint="eastAsia" w:cs="Arial"/>
          <w:sz w:val="22"/>
          <w:szCs w:val="22"/>
        </w:rPr>
        <w:t>评标办法具体见本招标文件第六部分。</w:t>
      </w:r>
    </w:p>
    <w:p>
      <w:pPr>
        <w:snapToGrid w:val="0"/>
        <w:spacing w:line="400" w:lineRule="exact"/>
        <w:ind w:firstLine="527"/>
        <w:rPr>
          <w:rFonts w:hint="eastAsia" w:cs="Arial"/>
          <w:sz w:val="22"/>
          <w:szCs w:val="22"/>
        </w:rPr>
      </w:pPr>
      <w:r>
        <w:rPr>
          <w:rFonts w:hint="eastAsia" w:cs="Arial"/>
          <w:sz w:val="22"/>
          <w:szCs w:val="22"/>
        </w:rPr>
        <w:t>5、评标过程中遇到特殊情况，由评标委员会遵循公开、公正原则，采取投票方式按照少数服从多数原则决定。</w:t>
      </w:r>
    </w:p>
    <w:p>
      <w:pPr>
        <w:snapToGrid w:val="0"/>
        <w:spacing w:line="400" w:lineRule="exact"/>
        <w:ind w:firstLine="527"/>
        <w:outlineLvl w:val="0"/>
        <w:rPr>
          <w:rFonts w:hint="eastAsia"/>
          <w:sz w:val="22"/>
          <w:szCs w:val="22"/>
        </w:rPr>
      </w:pPr>
      <w:r>
        <w:rPr>
          <w:rFonts w:hint="eastAsia"/>
          <w:sz w:val="22"/>
          <w:szCs w:val="22"/>
        </w:rPr>
        <w:t>七、授予合同</w:t>
      </w:r>
    </w:p>
    <w:p>
      <w:pPr>
        <w:snapToGrid w:val="0"/>
        <w:spacing w:line="400" w:lineRule="exact"/>
        <w:ind w:firstLine="527"/>
        <w:rPr>
          <w:rFonts w:hint="eastAsia"/>
          <w:sz w:val="22"/>
          <w:szCs w:val="22"/>
        </w:rPr>
      </w:pPr>
      <w:r>
        <w:rPr>
          <w:rFonts w:hint="eastAsia"/>
          <w:sz w:val="22"/>
          <w:szCs w:val="22"/>
        </w:rPr>
        <w:t>1、决标</w:t>
      </w:r>
    </w:p>
    <w:p>
      <w:pPr>
        <w:snapToGrid w:val="0"/>
        <w:spacing w:line="400" w:lineRule="exact"/>
        <w:ind w:firstLine="527"/>
        <w:rPr>
          <w:rFonts w:hint="eastAsia"/>
          <w:sz w:val="22"/>
          <w:szCs w:val="22"/>
        </w:rPr>
      </w:pPr>
      <w:r>
        <w:rPr>
          <w:rFonts w:hint="eastAsia"/>
          <w:sz w:val="22"/>
          <w:szCs w:val="22"/>
        </w:rPr>
        <w:t>评标结束后，评标委员会按照招标文件确定的评标办法，根据采购人授权确定中标供应商。</w:t>
      </w:r>
    </w:p>
    <w:p>
      <w:pPr>
        <w:snapToGrid w:val="0"/>
        <w:spacing w:line="400" w:lineRule="exact"/>
        <w:ind w:firstLine="545" w:firstLineChars="248"/>
        <w:rPr>
          <w:rFonts w:hint="eastAsia"/>
          <w:sz w:val="22"/>
          <w:szCs w:val="22"/>
        </w:rPr>
      </w:pPr>
      <w:r>
        <w:rPr>
          <w:rFonts w:hint="eastAsia"/>
          <w:sz w:val="22"/>
          <w:szCs w:val="22"/>
        </w:rPr>
        <w:t>2、中标通知书</w:t>
      </w:r>
    </w:p>
    <w:p>
      <w:pPr>
        <w:snapToGrid w:val="0"/>
        <w:spacing w:line="400" w:lineRule="exact"/>
        <w:ind w:firstLine="527"/>
        <w:rPr>
          <w:rFonts w:hint="eastAsia"/>
          <w:sz w:val="22"/>
          <w:szCs w:val="22"/>
        </w:rPr>
      </w:pPr>
      <w:r>
        <w:rPr>
          <w:rFonts w:hint="eastAsia"/>
          <w:sz w:val="22"/>
          <w:szCs w:val="22"/>
        </w:rPr>
        <w:t>2.1、</w:t>
      </w:r>
      <w:r>
        <w:rPr>
          <w:rFonts w:hint="eastAsia" w:cs="Arial"/>
          <w:sz w:val="22"/>
          <w:szCs w:val="22"/>
        </w:rPr>
        <w:t>招标机构</w:t>
      </w:r>
      <w:r>
        <w:rPr>
          <w:rFonts w:hint="eastAsia"/>
          <w:spacing w:val="10"/>
          <w:sz w:val="22"/>
          <w:szCs w:val="22"/>
        </w:rPr>
        <w:t>在浙江省政府采购网和平阳县公共资源交易中心网站上公告中标结果。</w:t>
      </w:r>
    </w:p>
    <w:p>
      <w:pPr>
        <w:snapToGrid w:val="0"/>
        <w:spacing w:line="400" w:lineRule="exact"/>
        <w:ind w:firstLine="527"/>
        <w:rPr>
          <w:rFonts w:hint="eastAsia"/>
          <w:sz w:val="22"/>
          <w:szCs w:val="22"/>
        </w:rPr>
      </w:pPr>
      <w:r>
        <w:rPr>
          <w:rFonts w:hint="eastAsia"/>
          <w:sz w:val="22"/>
          <w:szCs w:val="22"/>
        </w:rPr>
        <w:t>2.2、中标供应商须在中标结果公告后主动联系采购机构领取中标通知书，中标通知书对采购人和中标供应商具有法律约束力。中标通知书发出后，采购人改变中标结果或者中标供应商放弃中标的，应当承担法律责任。</w:t>
      </w:r>
    </w:p>
    <w:p>
      <w:pPr>
        <w:snapToGrid w:val="0"/>
        <w:spacing w:line="400" w:lineRule="exact"/>
        <w:ind w:firstLine="527"/>
        <w:rPr>
          <w:rFonts w:hint="eastAsia"/>
          <w:sz w:val="22"/>
          <w:szCs w:val="22"/>
        </w:rPr>
      </w:pPr>
      <w:r>
        <w:rPr>
          <w:rFonts w:hint="eastAsia"/>
          <w:sz w:val="22"/>
          <w:szCs w:val="22"/>
        </w:rPr>
        <w:t>3、评标委员会对未中标的供应商不作落标原因解释。</w:t>
      </w:r>
    </w:p>
    <w:p>
      <w:pPr>
        <w:snapToGrid w:val="0"/>
        <w:spacing w:line="400" w:lineRule="exact"/>
        <w:ind w:firstLine="527"/>
        <w:rPr>
          <w:rFonts w:hint="eastAsia"/>
          <w:sz w:val="22"/>
          <w:szCs w:val="22"/>
        </w:rPr>
      </w:pPr>
      <w:r>
        <w:rPr>
          <w:rFonts w:hint="eastAsia"/>
          <w:sz w:val="22"/>
          <w:szCs w:val="22"/>
        </w:rPr>
        <w:t>4、签订合同</w:t>
      </w:r>
    </w:p>
    <w:p>
      <w:pPr>
        <w:snapToGrid w:val="0"/>
        <w:spacing w:line="400" w:lineRule="exact"/>
        <w:ind w:firstLine="527"/>
        <w:rPr>
          <w:rFonts w:hint="eastAsia"/>
          <w:sz w:val="22"/>
          <w:szCs w:val="22"/>
        </w:rPr>
      </w:pPr>
      <w:r>
        <w:rPr>
          <w:rFonts w:hint="eastAsia"/>
          <w:sz w:val="22"/>
          <w:szCs w:val="22"/>
        </w:rPr>
        <w:t>4.1、中标供应商领取中标通知书后到采购人处与采购人签订合同。中标供应商未经采购人许可，在规定时间内（中标公告发出后30日历天）未到采购人处与采购人签订合同，则视为拒签合同。</w:t>
      </w:r>
    </w:p>
    <w:p>
      <w:pPr>
        <w:snapToGrid w:val="0"/>
        <w:spacing w:line="400" w:lineRule="exact"/>
        <w:ind w:firstLine="527"/>
        <w:rPr>
          <w:rFonts w:hint="eastAsia"/>
          <w:sz w:val="22"/>
          <w:szCs w:val="22"/>
        </w:rPr>
      </w:pPr>
      <w:r>
        <w:rPr>
          <w:rFonts w:hint="eastAsia"/>
          <w:sz w:val="22"/>
          <w:szCs w:val="22"/>
        </w:rPr>
        <w:t>4.2、招标文件、中标供应商的投标文件及投标修改文件、评标过程中有关澄清文件及经双方签字的询标纪要（承诺）和中标通知书均作为合同附件。</w:t>
      </w:r>
    </w:p>
    <w:p>
      <w:pPr>
        <w:snapToGrid w:val="0"/>
        <w:spacing w:line="400" w:lineRule="exact"/>
        <w:ind w:firstLine="527"/>
        <w:rPr>
          <w:rFonts w:hint="eastAsia"/>
          <w:sz w:val="22"/>
          <w:szCs w:val="22"/>
        </w:rPr>
      </w:pPr>
      <w:r>
        <w:rPr>
          <w:rFonts w:hint="eastAsia"/>
          <w:sz w:val="22"/>
          <w:szCs w:val="22"/>
        </w:rPr>
        <w:t>4.3 拒签合同的责任</w:t>
      </w:r>
    </w:p>
    <w:p>
      <w:pPr>
        <w:snapToGrid w:val="0"/>
        <w:spacing w:line="400" w:lineRule="exact"/>
        <w:ind w:firstLine="527"/>
        <w:rPr>
          <w:rFonts w:hint="eastAsia"/>
          <w:sz w:val="22"/>
          <w:szCs w:val="22"/>
        </w:rPr>
      </w:pPr>
      <w:r>
        <w:rPr>
          <w:rFonts w:hint="eastAsia"/>
          <w:sz w:val="22"/>
          <w:szCs w:val="22"/>
        </w:rPr>
        <w:t>中标供应商签订合同后拒交履约保证金，以投标违约处理，需赔偿采购人由此造成的直接经济损失；采购人重新组织招标的，所需费用由原中标供应商承担。采购人无故不与供应商签订合同的应当承担相应的法律责任。</w:t>
      </w:r>
    </w:p>
    <w:p>
      <w:pPr>
        <w:autoSpaceDE w:val="0"/>
        <w:autoSpaceDN w:val="0"/>
        <w:adjustRightInd w:val="0"/>
        <w:snapToGrid w:val="0"/>
        <w:spacing w:line="400" w:lineRule="exact"/>
        <w:ind w:firstLine="440" w:firstLineChars="200"/>
        <w:textAlignment w:val="bottom"/>
        <w:rPr>
          <w:rFonts w:hint="eastAsia"/>
          <w:color w:val="000000"/>
          <w:sz w:val="22"/>
          <w:szCs w:val="22"/>
        </w:rPr>
      </w:pPr>
      <w:r>
        <w:rPr>
          <w:rFonts w:hint="eastAsia"/>
          <w:color w:val="000000"/>
          <w:sz w:val="22"/>
          <w:szCs w:val="22"/>
        </w:rPr>
        <w:t>5、履约保证金</w:t>
      </w:r>
    </w:p>
    <w:p>
      <w:pPr>
        <w:autoSpaceDE w:val="0"/>
        <w:autoSpaceDN w:val="0"/>
        <w:adjustRightInd w:val="0"/>
        <w:snapToGrid w:val="0"/>
        <w:spacing w:line="400" w:lineRule="exact"/>
        <w:ind w:firstLine="440" w:firstLineChars="200"/>
        <w:textAlignment w:val="bottom"/>
        <w:rPr>
          <w:rFonts w:hint="eastAsia"/>
          <w:color w:val="000000"/>
          <w:sz w:val="22"/>
          <w:szCs w:val="22"/>
        </w:rPr>
      </w:pPr>
      <w:r>
        <w:rPr>
          <w:rFonts w:hint="eastAsia"/>
          <w:color w:val="000000"/>
          <w:sz w:val="22"/>
          <w:szCs w:val="22"/>
        </w:rPr>
        <w:t>5.1、中标供应商在</w:t>
      </w:r>
      <w:r>
        <w:rPr>
          <w:rFonts w:hint="eastAsia"/>
          <w:sz w:val="22"/>
          <w:szCs w:val="22"/>
        </w:rPr>
        <w:t>签订合同后</w:t>
      </w:r>
      <w:r>
        <w:rPr>
          <w:rFonts w:hint="eastAsia"/>
          <w:color w:val="000000"/>
          <w:sz w:val="22"/>
          <w:szCs w:val="22"/>
        </w:rPr>
        <w:t>5个工作日内，需向采购人提供合同总价5％的履约保证金。履约保证金在中标供应商与采购人签订合同后递交。</w:t>
      </w:r>
    </w:p>
    <w:p>
      <w:pPr>
        <w:autoSpaceDE w:val="0"/>
        <w:autoSpaceDN w:val="0"/>
        <w:adjustRightInd w:val="0"/>
        <w:snapToGrid w:val="0"/>
        <w:spacing w:line="400" w:lineRule="exact"/>
        <w:ind w:firstLine="440" w:firstLineChars="200"/>
        <w:textAlignment w:val="bottom"/>
        <w:rPr>
          <w:rFonts w:hint="eastAsia"/>
          <w:color w:val="000000"/>
          <w:sz w:val="22"/>
          <w:szCs w:val="22"/>
        </w:rPr>
      </w:pPr>
      <w:r>
        <w:rPr>
          <w:rFonts w:hint="eastAsia"/>
          <w:color w:val="000000"/>
          <w:sz w:val="22"/>
          <w:szCs w:val="22"/>
        </w:rPr>
        <w:t>5.2、履约保证金自提交之日起至项目服务期结束前有效。</w:t>
      </w:r>
    </w:p>
    <w:p>
      <w:pPr>
        <w:pStyle w:val="32"/>
        <w:snapToGrid w:val="0"/>
        <w:spacing w:line="400" w:lineRule="exact"/>
        <w:rPr>
          <w:rFonts w:hint="eastAsia" w:hAnsi="宋体"/>
          <w:sz w:val="24"/>
        </w:rPr>
      </w:pPr>
    </w:p>
    <w:p>
      <w:pPr>
        <w:pStyle w:val="32"/>
        <w:snapToGrid w:val="0"/>
        <w:spacing w:line="400" w:lineRule="exact"/>
        <w:rPr>
          <w:rFonts w:hint="eastAsia" w:hAnsi="宋体"/>
          <w:sz w:val="24"/>
        </w:rPr>
      </w:pPr>
    </w:p>
    <w:p>
      <w:pPr>
        <w:pStyle w:val="32"/>
        <w:snapToGrid w:val="0"/>
        <w:spacing w:line="400" w:lineRule="exact"/>
        <w:rPr>
          <w:rFonts w:hint="eastAsia" w:hAnsi="宋体"/>
          <w:sz w:val="24"/>
        </w:rPr>
      </w:pPr>
    </w:p>
    <w:p>
      <w:pPr>
        <w:pStyle w:val="32"/>
        <w:snapToGrid w:val="0"/>
        <w:spacing w:line="400" w:lineRule="exact"/>
        <w:rPr>
          <w:rFonts w:hint="eastAsia" w:hAnsi="宋体"/>
          <w:sz w:val="24"/>
        </w:rPr>
      </w:pPr>
    </w:p>
    <w:p>
      <w:pPr>
        <w:jc w:val="center"/>
        <w:rPr>
          <w:color w:val="000000"/>
          <w:sz w:val="32"/>
          <w:szCs w:val="32"/>
        </w:rPr>
      </w:pPr>
      <w:bookmarkStart w:id="278" w:name="_Toc76955305"/>
      <w:bookmarkStart w:id="279" w:name="_Toc98669374"/>
      <w:bookmarkStart w:id="280" w:name="_Toc98669732"/>
      <w:bookmarkStart w:id="281" w:name="_Toc20821549"/>
      <w:bookmarkStart w:id="282" w:name="_Toc101264858"/>
      <w:r>
        <w:rPr>
          <w:rFonts w:hint="eastAsia"/>
          <w:color w:val="000000"/>
          <w:sz w:val="32"/>
          <w:szCs w:val="32"/>
          <w:lang w:val="zh-CN"/>
        </w:rPr>
        <w:t>第四部分   政府采购政策功能相关说明</w:t>
      </w:r>
    </w:p>
    <w:p>
      <w:pPr>
        <w:rPr>
          <w:color w:val="000000"/>
          <w:sz w:val="22"/>
          <w:szCs w:val="22"/>
        </w:rPr>
      </w:pPr>
    </w:p>
    <w:p>
      <w:pPr>
        <w:rPr>
          <w:color w:val="000000"/>
          <w:sz w:val="22"/>
          <w:szCs w:val="22"/>
        </w:rPr>
      </w:pPr>
      <w:r>
        <w:rPr>
          <w:rFonts w:hint="eastAsia"/>
          <w:color w:val="000000"/>
          <w:sz w:val="22"/>
          <w:szCs w:val="22"/>
        </w:rPr>
        <w:t>一、小、微企业（含监狱企业、残疾人福利性单位）扶持政策说明</w:t>
      </w:r>
    </w:p>
    <w:p>
      <w:pPr>
        <w:spacing w:line="440" w:lineRule="atLeast"/>
        <w:rPr>
          <w:color w:val="000000"/>
          <w:sz w:val="22"/>
          <w:szCs w:val="22"/>
        </w:rPr>
      </w:pPr>
      <w:r>
        <w:rPr>
          <w:rFonts w:hint="eastAsia"/>
          <w:color w:val="000000"/>
          <w:sz w:val="22"/>
          <w:szCs w:val="22"/>
        </w:rPr>
        <w:t>1、文件依据</w:t>
      </w:r>
    </w:p>
    <w:p>
      <w:pPr>
        <w:spacing w:line="440" w:lineRule="atLeast"/>
        <w:rPr>
          <w:color w:val="000000"/>
          <w:sz w:val="22"/>
          <w:szCs w:val="22"/>
        </w:rPr>
      </w:pPr>
      <w:r>
        <w:rPr>
          <w:rFonts w:hint="eastAsia"/>
          <w:color w:val="000000"/>
          <w:sz w:val="22"/>
          <w:szCs w:val="22"/>
        </w:rPr>
        <w:t>（1）关于印发《政府采购促进中小企业发展暂行办法》的通知（财库[2011]181号）</w:t>
      </w:r>
    </w:p>
    <w:p>
      <w:pPr>
        <w:spacing w:line="440" w:lineRule="atLeast"/>
        <w:rPr>
          <w:color w:val="000000"/>
          <w:sz w:val="22"/>
          <w:szCs w:val="22"/>
        </w:rPr>
      </w:pPr>
      <w:r>
        <w:rPr>
          <w:rFonts w:hint="eastAsia"/>
          <w:color w:val="000000"/>
          <w:sz w:val="22"/>
          <w:szCs w:val="22"/>
        </w:rPr>
        <w:t>（2）浙江省财政厅转发财政部 工业和信息化部关于印发《政府采购促进中小企业发展暂行办法》的通知（浙财采监[2012]11号）</w:t>
      </w:r>
    </w:p>
    <w:p>
      <w:pPr>
        <w:spacing w:line="440" w:lineRule="atLeast"/>
        <w:rPr>
          <w:color w:val="000000"/>
          <w:sz w:val="22"/>
          <w:szCs w:val="22"/>
        </w:rPr>
      </w:pPr>
      <w:r>
        <w:rPr>
          <w:rFonts w:hint="eastAsia"/>
          <w:color w:val="000000"/>
          <w:sz w:val="22"/>
          <w:szCs w:val="22"/>
        </w:rPr>
        <w:t>（3）浙江省省财政厅《关于开展政府采购供应商网上注册登记和诚信管理工作的通知》（浙财采监〔2010〕8号)</w:t>
      </w:r>
    </w:p>
    <w:p>
      <w:pPr>
        <w:spacing w:line="440" w:lineRule="atLeast"/>
        <w:rPr>
          <w:color w:val="000000"/>
          <w:sz w:val="22"/>
          <w:szCs w:val="22"/>
        </w:rPr>
      </w:pPr>
      <w:r>
        <w:rPr>
          <w:rFonts w:hint="eastAsia"/>
          <w:color w:val="000000"/>
          <w:sz w:val="22"/>
          <w:szCs w:val="22"/>
        </w:rPr>
        <w:t>（4）《工业和信息化部、国家统计局、国家发展和改革委员会、财政部关于印发中小企业划型标准规定的通知》（</w:t>
      </w:r>
      <w:r>
        <w:rPr>
          <w:color w:val="000000"/>
          <w:sz w:val="22"/>
          <w:szCs w:val="22"/>
        </w:rPr>
        <w:t>工信部联企业[2011]300号</w:t>
      </w:r>
      <w:r>
        <w:rPr>
          <w:rFonts w:hint="eastAsia"/>
          <w:color w:val="000000"/>
          <w:sz w:val="22"/>
          <w:szCs w:val="22"/>
        </w:rPr>
        <w:t>）</w:t>
      </w:r>
    </w:p>
    <w:p>
      <w:pPr>
        <w:spacing w:line="440" w:lineRule="atLeast"/>
        <w:rPr>
          <w:color w:val="000000"/>
          <w:sz w:val="22"/>
          <w:szCs w:val="22"/>
        </w:rPr>
      </w:pPr>
      <w:r>
        <w:rPr>
          <w:rFonts w:hint="eastAsia"/>
          <w:color w:val="000000"/>
          <w:sz w:val="22"/>
          <w:szCs w:val="22"/>
        </w:rPr>
        <w:t>（5）财政部、司法部《关于政府采购支持监狱企业发展有关问题的通知》（财库〔2014〕68号）</w:t>
      </w:r>
    </w:p>
    <w:p>
      <w:pPr>
        <w:spacing w:line="440" w:lineRule="atLeast"/>
        <w:rPr>
          <w:rFonts w:hint="eastAsia"/>
          <w:color w:val="000000"/>
          <w:sz w:val="22"/>
          <w:szCs w:val="22"/>
        </w:rPr>
      </w:pPr>
      <w:r>
        <w:rPr>
          <w:rFonts w:hint="eastAsia"/>
          <w:color w:val="000000"/>
          <w:sz w:val="22"/>
          <w:szCs w:val="22"/>
        </w:rPr>
        <w:t>（6）《财政部 民政部 中国残疾人联合会关于促进残疾人就业政府采购政策的通知》（财库〔2017〕 141号）</w:t>
      </w:r>
    </w:p>
    <w:p>
      <w:pPr>
        <w:spacing w:line="440" w:lineRule="atLeast"/>
        <w:rPr>
          <w:color w:val="000000"/>
          <w:sz w:val="22"/>
          <w:szCs w:val="22"/>
        </w:rPr>
      </w:pPr>
      <w:r>
        <w:rPr>
          <w:rFonts w:hint="eastAsia"/>
          <w:color w:val="000000"/>
          <w:sz w:val="22"/>
          <w:szCs w:val="22"/>
        </w:rPr>
        <w:t>2、享受小微企业价格折扣应具备的条件与价格折扣比例</w:t>
      </w:r>
    </w:p>
    <w:p>
      <w:pPr>
        <w:spacing w:line="440" w:lineRule="atLeast"/>
        <w:rPr>
          <w:color w:val="000000"/>
          <w:sz w:val="22"/>
          <w:szCs w:val="22"/>
        </w:rPr>
      </w:pPr>
      <w:r>
        <w:rPr>
          <w:rFonts w:hint="eastAsia"/>
          <w:color w:val="000000"/>
          <w:sz w:val="22"/>
          <w:szCs w:val="22"/>
        </w:rPr>
        <w:t>（1）符合中小企业划分标准；</w:t>
      </w:r>
      <w:r>
        <w:rPr>
          <w:rFonts w:hint="eastAsia"/>
          <w:color w:val="000000"/>
          <w:sz w:val="22"/>
          <w:szCs w:val="22"/>
        </w:rPr>
        <w:br w:type="textWrapping"/>
      </w:r>
      <w:r>
        <w:rPr>
          <w:rFonts w:hint="eastAsia"/>
          <w:color w:val="000000"/>
          <w:sz w:val="22"/>
          <w:szCs w:val="22"/>
        </w:rPr>
        <w:t>（2）提供本企业制造的货物、承担的工程或者服务，或者提供其他中小企业制造的货物。本项所称货物不包括使用大型企业注册商标的货物。</w:t>
      </w:r>
      <w:r>
        <w:rPr>
          <w:rFonts w:hint="eastAsia"/>
          <w:color w:val="000000"/>
          <w:sz w:val="22"/>
          <w:szCs w:val="22"/>
        </w:rPr>
        <w:br w:type="textWrapping"/>
      </w:r>
      <w:r>
        <w:rPr>
          <w:rFonts w:hint="eastAsia"/>
          <w:color w:val="000000"/>
          <w:sz w:val="22"/>
          <w:szCs w:val="22"/>
        </w:rPr>
        <w:t>  中小企业划分标准，是指国务院有关部门根据企业从业人员、营业收入、资产总额等指标制定的中小企业划型标准。</w:t>
      </w:r>
      <w:r>
        <w:rPr>
          <w:rFonts w:hint="eastAsia"/>
          <w:color w:val="000000"/>
          <w:sz w:val="22"/>
          <w:szCs w:val="22"/>
        </w:rPr>
        <w:br w:type="textWrapping"/>
      </w:r>
      <w:r>
        <w:rPr>
          <w:rFonts w:hint="eastAsia"/>
          <w:color w:val="000000"/>
          <w:sz w:val="22"/>
          <w:szCs w:val="22"/>
        </w:rPr>
        <w:t>  小型、微型企业提供中型企业制造的货物的，视同为中型企业。</w:t>
      </w:r>
    </w:p>
    <w:p>
      <w:pPr>
        <w:spacing w:line="440" w:lineRule="atLeast"/>
        <w:rPr>
          <w:color w:val="000000"/>
          <w:sz w:val="22"/>
          <w:szCs w:val="22"/>
          <w:u w:val="single"/>
        </w:rPr>
      </w:pPr>
      <w:r>
        <w:rPr>
          <w:rFonts w:hint="eastAsia"/>
          <w:color w:val="000000"/>
          <w:sz w:val="22"/>
          <w:szCs w:val="22"/>
          <w:u w:val="single"/>
        </w:rPr>
        <w:t>（3）本项目对小型和微型企业产品的价格给予6%的扣除，用扣除后的价格参与评审。</w:t>
      </w:r>
    </w:p>
    <w:p>
      <w:pPr>
        <w:spacing w:line="440" w:lineRule="atLeast"/>
        <w:rPr>
          <w:color w:val="000000"/>
          <w:sz w:val="22"/>
          <w:szCs w:val="22"/>
        </w:rPr>
      </w:pPr>
      <w:r>
        <w:rPr>
          <w:rFonts w:hint="eastAsia"/>
          <w:color w:val="000000"/>
          <w:sz w:val="22"/>
          <w:szCs w:val="22"/>
          <w:u w:val="single"/>
        </w:rPr>
        <w:t>3、享受小微企业价格折扣应提供以下证明材料（投标文件技术资信标中，缺一不可）</w:t>
      </w:r>
      <w:r>
        <w:rPr>
          <w:rFonts w:hint="eastAsia"/>
          <w:color w:val="000000"/>
          <w:sz w:val="22"/>
          <w:szCs w:val="22"/>
        </w:rPr>
        <w:t>：</w:t>
      </w:r>
    </w:p>
    <w:p>
      <w:pPr>
        <w:spacing w:line="440" w:lineRule="atLeast"/>
        <w:rPr>
          <w:b/>
          <w:color w:val="000000"/>
          <w:sz w:val="22"/>
          <w:szCs w:val="22"/>
        </w:rPr>
      </w:pPr>
      <w:r>
        <w:rPr>
          <w:rFonts w:hint="eastAsia"/>
          <w:b/>
          <w:color w:val="000000"/>
          <w:sz w:val="22"/>
          <w:szCs w:val="22"/>
        </w:rPr>
        <w:t>（1）通过浙江政府采购网申请注册加入政府采购供应商库（不包括公示期内，提供浙江省政府采购网页面截图或其它入库证明材料，加盖供应商公章）</w:t>
      </w:r>
    </w:p>
    <w:p>
      <w:pPr>
        <w:spacing w:line="440" w:lineRule="atLeast"/>
        <w:rPr>
          <w:b/>
          <w:color w:val="000000"/>
          <w:sz w:val="22"/>
          <w:szCs w:val="22"/>
        </w:rPr>
      </w:pPr>
      <w:r>
        <w:rPr>
          <w:rFonts w:hint="eastAsia"/>
          <w:b/>
          <w:color w:val="000000"/>
          <w:sz w:val="22"/>
          <w:szCs w:val="22"/>
        </w:rPr>
        <w:t>（2）《中小企业声明函》（原件，加盖供应商公章，格式见附件）</w:t>
      </w:r>
    </w:p>
    <w:p>
      <w:pPr>
        <w:spacing w:line="440" w:lineRule="atLeast"/>
        <w:rPr>
          <w:b/>
          <w:color w:val="000000"/>
          <w:sz w:val="22"/>
          <w:szCs w:val="22"/>
        </w:rPr>
      </w:pPr>
      <w:r>
        <w:rPr>
          <w:rFonts w:hint="eastAsia"/>
          <w:b/>
          <w:color w:val="000000"/>
          <w:sz w:val="22"/>
          <w:szCs w:val="22"/>
        </w:rPr>
        <w:t>（3）《</w:t>
      </w:r>
      <w:r>
        <w:rPr>
          <w:b/>
          <w:color w:val="000000"/>
          <w:sz w:val="22"/>
          <w:szCs w:val="22"/>
        </w:rPr>
        <w:t>中小企业资格确认意见书</w:t>
      </w:r>
      <w:r>
        <w:rPr>
          <w:rFonts w:hint="eastAsia"/>
          <w:b/>
          <w:color w:val="000000"/>
          <w:sz w:val="22"/>
          <w:szCs w:val="22"/>
        </w:rPr>
        <w:t>》（原件或复印件加盖供应商公章，格式见附件）</w:t>
      </w:r>
    </w:p>
    <w:p>
      <w:pPr>
        <w:spacing w:line="440" w:lineRule="atLeast"/>
        <w:rPr>
          <w:rFonts w:hint="eastAsia"/>
          <w:color w:val="000000"/>
          <w:sz w:val="22"/>
          <w:szCs w:val="22"/>
        </w:rPr>
      </w:pPr>
      <w:r>
        <w:rPr>
          <w:rFonts w:hint="eastAsia"/>
          <w:color w:val="000000"/>
          <w:sz w:val="22"/>
          <w:szCs w:val="22"/>
        </w:rPr>
        <w:t>4、</w:t>
      </w:r>
      <w:r>
        <w:rPr>
          <w:rFonts w:hint="eastAsia"/>
          <w:color w:val="000000"/>
          <w:sz w:val="22"/>
          <w:szCs w:val="22"/>
          <w:u w:val="single"/>
        </w:rPr>
        <w:t>享受监狱企业价格折扣应提供以下证明材料（投标文件技术资信标中，不提供的不享受价格折扣）</w:t>
      </w:r>
      <w:r>
        <w:rPr>
          <w:rFonts w:hint="eastAsia"/>
          <w:color w:val="000000"/>
          <w:sz w:val="22"/>
          <w:szCs w:val="22"/>
        </w:rPr>
        <w:t>：</w:t>
      </w:r>
    </w:p>
    <w:p>
      <w:pPr>
        <w:spacing w:line="440" w:lineRule="atLeast"/>
        <w:rPr>
          <w:color w:val="000000"/>
          <w:sz w:val="22"/>
          <w:szCs w:val="22"/>
        </w:rPr>
      </w:pPr>
      <w:r>
        <w:rPr>
          <w:rFonts w:hint="eastAsia"/>
          <w:color w:val="000000"/>
          <w:sz w:val="22"/>
          <w:szCs w:val="22"/>
        </w:rPr>
        <w:t>（</w:t>
      </w:r>
      <w:r>
        <w:rPr>
          <w:color w:val="000000"/>
          <w:sz w:val="22"/>
          <w:szCs w:val="22"/>
        </w:rPr>
        <w:t>1</w:t>
      </w:r>
      <w:r>
        <w:rPr>
          <w:rFonts w:hint="eastAsia"/>
          <w:color w:val="000000"/>
          <w:sz w:val="22"/>
          <w:szCs w:val="22"/>
        </w:rPr>
        <w:t>）</w:t>
      </w:r>
      <w:r>
        <w:rPr>
          <w:color w:val="000000"/>
          <w:sz w:val="22"/>
          <w:szCs w:val="22"/>
        </w:rPr>
        <w:t>监狱企业参加政府采购活动时，应当提供由省级以上监狱管理局、戒毒管理局(含新疆生产建设兵团)出具的属于监狱企业的证明文件</w:t>
      </w:r>
      <w:r>
        <w:rPr>
          <w:rFonts w:hint="eastAsia"/>
          <w:color w:val="000000"/>
          <w:sz w:val="22"/>
          <w:szCs w:val="22"/>
        </w:rPr>
        <w:t>（原件或复印件加盖公章）</w:t>
      </w:r>
      <w:r>
        <w:rPr>
          <w:color w:val="000000"/>
          <w:sz w:val="22"/>
          <w:szCs w:val="22"/>
        </w:rPr>
        <w:t>。在政府采购活动中，监狱企业视同小型、微型企业，享受评审中价格扣除政策</w:t>
      </w:r>
      <w:r>
        <w:rPr>
          <w:rFonts w:hint="eastAsia"/>
          <w:color w:val="000000"/>
          <w:sz w:val="22"/>
          <w:szCs w:val="22"/>
        </w:rPr>
        <w:t>。</w:t>
      </w:r>
    </w:p>
    <w:p>
      <w:pPr>
        <w:spacing w:line="440" w:lineRule="atLeast"/>
        <w:rPr>
          <w:rFonts w:hint="eastAsia"/>
          <w:color w:val="000000"/>
          <w:sz w:val="22"/>
          <w:szCs w:val="22"/>
        </w:rPr>
      </w:pPr>
      <w:r>
        <w:rPr>
          <w:color w:val="000000"/>
          <w:sz w:val="22"/>
          <w:szCs w:val="22"/>
        </w:rPr>
        <w:t>5</w:t>
      </w:r>
      <w:r>
        <w:rPr>
          <w:rFonts w:hint="eastAsia"/>
          <w:color w:val="000000"/>
          <w:sz w:val="22"/>
          <w:szCs w:val="22"/>
        </w:rPr>
        <w:t>、</w:t>
      </w:r>
      <w:r>
        <w:rPr>
          <w:rFonts w:hint="eastAsia"/>
          <w:color w:val="000000"/>
          <w:sz w:val="22"/>
          <w:szCs w:val="22"/>
          <w:u w:val="single"/>
        </w:rPr>
        <w:t>享受残疾人福利性单位格折扣应提供以下证明材料（投标文件技术资信标中，不提供的不享受价格折扣）</w:t>
      </w:r>
      <w:r>
        <w:rPr>
          <w:rFonts w:hint="eastAsia"/>
          <w:color w:val="000000"/>
          <w:sz w:val="22"/>
          <w:szCs w:val="22"/>
        </w:rPr>
        <w:t>：</w:t>
      </w:r>
    </w:p>
    <w:p>
      <w:pPr>
        <w:spacing w:line="440" w:lineRule="atLeast"/>
        <w:rPr>
          <w:rFonts w:hint="eastAsia"/>
          <w:color w:val="000000"/>
          <w:sz w:val="22"/>
          <w:szCs w:val="22"/>
        </w:rPr>
      </w:pPr>
      <w:r>
        <w:rPr>
          <w:rFonts w:hint="eastAsia"/>
          <w:color w:val="000000"/>
          <w:sz w:val="22"/>
          <w:szCs w:val="22"/>
        </w:rPr>
        <w:t>（</w:t>
      </w:r>
      <w:r>
        <w:rPr>
          <w:color w:val="000000"/>
          <w:sz w:val="22"/>
          <w:szCs w:val="22"/>
        </w:rPr>
        <w:t>1</w:t>
      </w:r>
      <w:r>
        <w:rPr>
          <w:rFonts w:hint="eastAsia"/>
          <w:color w:val="000000"/>
          <w:sz w:val="22"/>
          <w:szCs w:val="22"/>
        </w:rPr>
        <w:t>）残疾人福利性单位声明函；</w:t>
      </w:r>
    </w:p>
    <w:p>
      <w:pPr>
        <w:spacing w:line="440" w:lineRule="atLeast"/>
        <w:rPr>
          <w:color w:val="000000"/>
          <w:sz w:val="22"/>
          <w:szCs w:val="22"/>
        </w:rPr>
      </w:pPr>
      <w:r>
        <w:rPr>
          <w:color w:val="000000"/>
          <w:sz w:val="22"/>
          <w:szCs w:val="22"/>
        </w:rPr>
        <w:t>6</w:t>
      </w:r>
      <w:r>
        <w:rPr>
          <w:rFonts w:hint="eastAsia"/>
          <w:color w:val="000000"/>
          <w:sz w:val="22"/>
          <w:szCs w:val="22"/>
        </w:rPr>
        <w:t>、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pPr>
        <w:spacing w:line="440" w:lineRule="atLeast"/>
        <w:rPr>
          <w:rFonts w:hint="eastAsia"/>
          <w:color w:val="000000"/>
          <w:sz w:val="22"/>
          <w:szCs w:val="22"/>
        </w:rPr>
      </w:pPr>
    </w:p>
    <w:p>
      <w:pPr>
        <w:shd w:val="clear" w:color="auto" w:fill="FDFAF5"/>
        <w:spacing w:before="100" w:beforeAutospacing="1" w:after="100" w:afterAutospacing="1" w:line="440" w:lineRule="atLeast"/>
        <w:jc w:val="center"/>
        <w:rPr>
          <w:color w:val="000000"/>
        </w:rPr>
      </w:pPr>
      <w:bookmarkStart w:id="283" w:name="OLE_LINK14"/>
      <w:bookmarkStart w:id="284" w:name="OLE_LINK13"/>
      <w:r>
        <w:rPr>
          <w:rFonts w:hint="eastAsia"/>
          <w:bCs/>
          <w:color w:val="000000"/>
        </w:rPr>
        <w:t>中小企业声明函</w:t>
      </w:r>
    </w:p>
    <w:p>
      <w:pPr>
        <w:shd w:val="clear" w:color="auto" w:fill="FDFAF5"/>
        <w:spacing w:before="100" w:beforeAutospacing="1" w:after="100" w:afterAutospacing="1" w:line="440" w:lineRule="atLeast"/>
        <w:ind w:firstLine="840"/>
        <w:rPr>
          <w:color w:val="000000"/>
        </w:rPr>
      </w:pPr>
      <w:r>
        <w:rPr>
          <w:rFonts w:hint="eastAsia"/>
          <w:color w:val="000000"/>
        </w:rPr>
        <w:t>本公司郑重声明，根据《政府采购促进中小企业发展暂行办法》（财库[2011]181号）的规定，本公司为______（请填写：中型、小型、微型）企业。即，本公司同时满足以下条件：</w:t>
      </w:r>
      <w:r>
        <w:rPr>
          <w:rFonts w:hint="eastAsia"/>
          <w:color w:val="000000"/>
        </w:rPr>
        <w:br w:type="textWrapping"/>
      </w:r>
      <w:r>
        <w:rPr>
          <w:rFonts w:hint="eastAsia"/>
          <w:color w:val="000000"/>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000000"/>
        </w:rPr>
        <w:br w:type="textWrapping"/>
      </w:r>
      <w:r>
        <w:rPr>
          <w:rFonts w:hint="eastAsia"/>
          <w:color w:val="000000"/>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000000"/>
        </w:rPr>
        <w:br w:type="textWrapping"/>
      </w:r>
      <w:r>
        <w:rPr>
          <w:rFonts w:hint="eastAsia"/>
          <w:color w:val="000000"/>
        </w:rPr>
        <w:t>    本公司对上述声明的真实性负责。如有虚假，将依法承担相应责任。</w:t>
      </w:r>
    </w:p>
    <w:p>
      <w:pPr>
        <w:shd w:val="clear" w:color="auto" w:fill="FDFAF5"/>
        <w:spacing w:before="100" w:beforeAutospacing="1" w:after="100" w:afterAutospacing="1" w:line="440" w:lineRule="atLeast"/>
        <w:rPr>
          <w:color w:val="000000"/>
        </w:rPr>
      </w:pPr>
    </w:p>
    <w:p>
      <w:pPr>
        <w:shd w:val="clear" w:color="auto" w:fill="FDFAF5"/>
        <w:spacing w:before="100" w:beforeAutospacing="1" w:after="100" w:afterAutospacing="1" w:line="440" w:lineRule="atLeast"/>
        <w:rPr>
          <w:rFonts w:hint="eastAsia"/>
          <w:color w:val="000000"/>
        </w:rPr>
      </w:pPr>
      <w:r>
        <w:rPr>
          <w:rFonts w:hint="eastAsia"/>
          <w:color w:val="000000"/>
        </w:rPr>
        <w:t>投标供应商名称（盖章）：                </w:t>
      </w:r>
      <w:r>
        <w:rPr>
          <w:rFonts w:hint="eastAsia"/>
          <w:color w:val="000000"/>
        </w:rPr>
        <w:br w:type="textWrapping"/>
      </w:r>
      <w:r>
        <w:rPr>
          <w:rFonts w:hint="eastAsia"/>
          <w:color w:val="000000"/>
        </w:rPr>
        <w:t>日期：                             　　　　　</w:t>
      </w:r>
    </w:p>
    <w:p>
      <w:pPr>
        <w:spacing w:line="440" w:lineRule="atLeast"/>
        <w:rPr>
          <w:b/>
          <w:color w:val="000000"/>
        </w:rPr>
      </w:pPr>
      <w:r>
        <w:rPr>
          <w:b/>
          <w:color w:val="000000"/>
        </w:rPr>
        <w:t xml:space="preserve">附件   </w:t>
      </w:r>
      <w:r>
        <w:rPr>
          <w:rFonts w:hint="eastAsia"/>
          <w:b/>
          <w:color w:val="000000"/>
          <w:szCs w:val="21"/>
        </w:rPr>
        <w:t>国家企业信用信息公示系统---小微企业名录”页面查询结果参考格式</w:t>
      </w:r>
    </w:p>
    <w:p>
      <w:pPr>
        <w:spacing w:line="440" w:lineRule="atLeast"/>
        <w:rPr>
          <w:color w:val="000000"/>
        </w:rPr>
      </w:pPr>
      <w:r>
        <w:rPr>
          <w:color w:val="000000"/>
          <w:lang/>
        </w:rPr>
        <w:drawing>
          <wp:inline distT="0" distB="0" distL="114300" distR="114300">
            <wp:extent cx="6085205" cy="2275205"/>
            <wp:effectExtent l="0" t="0" r="1079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6085205" cy="2275205"/>
                    </a:xfrm>
                    <a:prstGeom prst="rect">
                      <a:avLst/>
                    </a:prstGeom>
                    <a:noFill/>
                    <a:ln>
                      <a:noFill/>
                    </a:ln>
                  </pic:spPr>
                </pic:pic>
              </a:graphicData>
            </a:graphic>
          </wp:inline>
        </w:drawing>
      </w:r>
    </w:p>
    <w:p>
      <w:pPr>
        <w:spacing w:line="440" w:lineRule="atLeast"/>
        <w:rPr>
          <w:b/>
          <w:color w:val="000000"/>
        </w:rPr>
      </w:pPr>
      <w:r>
        <w:rPr>
          <w:rFonts w:hint="eastAsia"/>
          <w:b/>
          <w:color w:val="000000"/>
        </w:rPr>
        <w:t>投标供应商名称（盖章）：</w:t>
      </w:r>
    </w:p>
    <w:p>
      <w:pPr>
        <w:spacing w:line="440" w:lineRule="atLeast"/>
        <w:rPr>
          <w:b/>
          <w:color w:val="000000"/>
        </w:rPr>
      </w:pPr>
      <w:r>
        <w:rPr>
          <w:rFonts w:hint="eastAsia"/>
          <w:b/>
          <w:color w:val="000000"/>
        </w:rPr>
        <w:t>日期：</w:t>
      </w:r>
    </w:p>
    <w:p>
      <w:pPr>
        <w:spacing w:line="588" w:lineRule="exact"/>
        <w:jc w:val="center"/>
        <w:rPr>
          <w:color w:val="000000"/>
          <w:spacing w:val="6"/>
        </w:rPr>
      </w:pPr>
      <w:r>
        <w:rPr>
          <w:rFonts w:hint="eastAsia"/>
          <w:color w:val="000000"/>
          <w:spacing w:val="6"/>
        </w:rPr>
        <w:t>残疾人福利性单位声明函</w:t>
      </w:r>
    </w:p>
    <w:bookmarkEnd w:id="283"/>
    <w:bookmarkEnd w:id="284"/>
    <w:p>
      <w:pPr>
        <w:spacing w:line="588" w:lineRule="exact"/>
        <w:rPr>
          <w:color w:val="000000"/>
          <w:spacing w:val="6"/>
        </w:rPr>
      </w:pPr>
    </w:p>
    <w:p>
      <w:pPr>
        <w:spacing w:line="588" w:lineRule="exact"/>
        <w:ind w:firstLine="504" w:firstLineChars="200"/>
        <w:rPr>
          <w:color w:val="000000"/>
          <w:spacing w:val="6"/>
        </w:rPr>
      </w:pPr>
      <w:r>
        <w:rPr>
          <w:rFonts w:hint="eastAsia"/>
          <w:color w:val="000000"/>
          <w:spacing w:val="6"/>
        </w:rPr>
        <w:t>本单位郑重声明，根据《财政部 民政部 中国残疾人联合会关于促进残疾人就业政府采购政策的通知》（财库</w:t>
      </w:r>
      <w:r>
        <w:rPr>
          <w:rFonts w:hint="eastAsia"/>
          <w:color w:val="000000"/>
        </w:rPr>
        <w:t>〔2017〕 141</w:t>
      </w:r>
      <w:r>
        <w:rPr>
          <w:rFonts w:hint="eastAsia"/>
          <w:color w:val="000000"/>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color w:val="000000"/>
          <w:spacing w:val="6"/>
        </w:rPr>
      </w:pPr>
      <w:r>
        <w:rPr>
          <w:rFonts w:hint="eastAsia"/>
          <w:color w:val="000000"/>
          <w:spacing w:val="6"/>
        </w:rPr>
        <w:t>本单位对上述声明的真实性负责。如有虚假，将依法承担相应责任。</w:t>
      </w:r>
    </w:p>
    <w:p>
      <w:pPr>
        <w:spacing w:line="588" w:lineRule="exact"/>
        <w:ind w:firstLine="504" w:firstLineChars="200"/>
        <w:rPr>
          <w:color w:val="000000"/>
          <w:spacing w:val="6"/>
        </w:rPr>
      </w:pPr>
    </w:p>
    <w:p>
      <w:pPr>
        <w:spacing w:line="588" w:lineRule="exact"/>
        <w:ind w:firstLine="504" w:firstLineChars="200"/>
        <w:rPr>
          <w:color w:val="000000"/>
          <w:spacing w:val="6"/>
        </w:rPr>
      </w:pPr>
    </w:p>
    <w:p>
      <w:pPr>
        <w:tabs>
          <w:tab w:val="left" w:pos="4860"/>
        </w:tabs>
        <w:spacing w:line="588" w:lineRule="exact"/>
        <w:ind w:right="1560" w:firstLine="504" w:firstLineChars="200"/>
        <w:jc w:val="center"/>
        <w:rPr>
          <w:color w:val="000000"/>
          <w:spacing w:val="6"/>
        </w:rPr>
      </w:pPr>
      <w:r>
        <w:rPr>
          <w:rFonts w:hint="eastAsia"/>
          <w:color w:val="000000"/>
          <w:spacing w:val="6"/>
        </w:rPr>
        <w:t xml:space="preserve">               单位名称（盖章）：</w:t>
      </w:r>
    </w:p>
    <w:p>
      <w:pPr>
        <w:tabs>
          <w:tab w:val="left" w:pos="4860"/>
        </w:tabs>
        <w:spacing w:line="588" w:lineRule="exact"/>
        <w:ind w:right="1560" w:firstLine="504" w:firstLineChars="200"/>
        <w:jc w:val="center"/>
        <w:rPr>
          <w:color w:val="000000"/>
          <w:spacing w:val="6"/>
        </w:rPr>
      </w:pPr>
      <w:r>
        <w:rPr>
          <w:rFonts w:hint="eastAsia"/>
          <w:color w:val="000000"/>
          <w:spacing w:val="6"/>
        </w:rPr>
        <w:t xml:space="preserve">       日  期：</w:t>
      </w:r>
    </w:p>
    <w:p>
      <w:pPr>
        <w:tabs>
          <w:tab w:val="left" w:pos="4860"/>
        </w:tabs>
        <w:spacing w:line="588" w:lineRule="exact"/>
        <w:ind w:right="1560" w:firstLine="504" w:firstLineChars="200"/>
        <w:jc w:val="center"/>
        <w:rPr>
          <w:color w:val="000000"/>
          <w:spacing w:val="6"/>
        </w:rPr>
      </w:pPr>
    </w:p>
    <w:p>
      <w:pPr>
        <w:tabs>
          <w:tab w:val="left" w:pos="4860"/>
        </w:tabs>
        <w:spacing w:line="588" w:lineRule="exact"/>
        <w:ind w:right="1560" w:firstLine="624" w:firstLineChars="200"/>
        <w:jc w:val="center"/>
        <w:rPr>
          <w:color w:val="000000"/>
          <w:spacing w:val="6"/>
          <w:sz w:val="30"/>
          <w:szCs w:val="30"/>
        </w:rPr>
      </w:pPr>
    </w:p>
    <w:p>
      <w:pPr>
        <w:tabs>
          <w:tab w:val="left" w:pos="4860"/>
        </w:tabs>
        <w:spacing w:line="588" w:lineRule="exact"/>
        <w:ind w:right="1560"/>
        <w:rPr>
          <w:color w:val="000000"/>
          <w:sz w:val="22"/>
          <w:szCs w:val="22"/>
        </w:rPr>
      </w:pPr>
      <w:r>
        <w:rPr>
          <w:rFonts w:hint="eastAsia"/>
          <w:color w:val="000000"/>
          <w:sz w:val="22"/>
          <w:szCs w:val="22"/>
        </w:rPr>
        <w:t>备注说明：</w:t>
      </w:r>
    </w:p>
    <w:p>
      <w:pPr>
        <w:tabs>
          <w:tab w:val="left" w:pos="4860"/>
        </w:tabs>
        <w:spacing w:line="588" w:lineRule="exact"/>
        <w:ind w:right="1560"/>
        <w:rPr>
          <w:color w:val="000000"/>
          <w:sz w:val="22"/>
          <w:szCs w:val="22"/>
        </w:rPr>
      </w:pPr>
      <w:r>
        <w:rPr>
          <w:rFonts w:hint="eastAsia"/>
          <w:color w:val="000000"/>
          <w:sz w:val="22"/>
          <w:szCs w:val="22"/>
        </w:rPr>
        <w:t>1、如中标，将在中标公示中将此残疾人福利性单位声明函予以公示，接受社会监督；</w:t>
      </w:r>
    </w:p>
    <w:p>
      <w:pPr>
        <w:tabs>
          <w:tab w:val="left" w:pos="4860"/>
        </w:tabs>
        <w:spacing w:line="588" w:lineRule="exact"/>
        <w:ind w:right="1560"/>
        <w:rPr>
          <w:rFonts w:hint="eastAsia"/>
          <w:color w:val="000000"/>
          <w:spacing w:val="6"/>
          <w:sz w:val="30"/>
          <w:szCs w:val="30"/>
        </w:rPr>
      </w:pPr>
      <w:r>
        <w:rPr>
          <w:color w:val="000000"/>
          <w:sz w:val="22"/>
          <w:szCs w:val="22"/>
        </w:rPr>
        <w:t>2</w:t>
      </w:r>
      <w:r>
        <w:rPr>
          <w:rFonts w:hint="eastAsia"/>
          <w:color w:val="000000"/>
          <w:sz w:val="22"/>
          <w:szCs w:val="22"/>
        </w:rPr>
        <w:t>、供应商提供的《残疾人福利性单位声明函》与事实不符的，依照《政府采购法》第七十七条第一款的规定追究法律责任。</w:t>
      </w:r>
    </w:p>
    <w:p>
      <w:pPr>
        <w:shd w:val="clear" w:color="auto" w:fill="FDFAF5"/>
        <w:spacing w:before="100" w:beforeAutospacing="1" w:after="100" w:afterAutospacing="1" w:line="440" w:lineRule="atLeast"/>
        <w:rPr>
          <w:color w:val="000000"/>
        </w:rPr>
      </w:pPr>
    </w:p>
    <w:p>
      <w:pPr>
        <w:shd w:val="clear" w:color="auto" w:fill="FDFAF5"/>
        <w:spacing w:before="100" w:beforeAutospacing="1" w:after="100" w:afterAutospacing="1" w:line="440" w:lineRule="atLeast"/>
        <w:rPr>
          <w:color w:val="000000"/>
        </w:rPr>
      </w:pPr>
      <w:r>
        <w:rPr>
          <w:rFonts w:hint="eastAsia"/>
          <w:color w:val="000000"/>
        </w:rPr>
        <w:t>二、节能、环保产品优先（强制）采购政策说明</w:t>
      </w:r>
    </w:p>
    <w:p>
      <w:pPr>
        <w:shd w:val="clear" w:color="auto" w:fill="FDFAF5"/>
        <w:spacing w:before="100" w:beforeAutospacing="1" w:after="100" w:afterAutospacing="1" w:line="440" w:lineRule="atLeast"/>
        <w:ind w:firstLine="840"/>
        <w:rPr>
          <w:color w:val="000000"/>
        </w:rPr>
      </w:pPr>
      <w:r>
        <w:rPr>
          <w:rFonts w:hint="eastAsia"/>
          <w:color w:val="000000"/>
        </w:rPr>
        <w:t>1、政策依据</w:t>
      </w:r>
    </w:p>
    <w:p>
      <w:pPr>
        <w:shd w:val="clear" w:color="auto" w:fill="FDFAF5"/>
        <w:spacing w:before="100" w:beforeAutospacing="1" w:after="100" w:afterAutospacing="1" w:line="440" w:lineRule="atLeast"/>
        <w:rPr>
          <w:color w:val="000000"/>
        </w:rPr>
      </w:pPr>
      <w:r>
        <w:rPr>
          <w:rFonts w:hint="eastAsia"/>
          <w:color w:val="000000"/>
        </w:rPr>
        <w:t>（一）《国务院办公厅关于建立政府强制采购节能产品制度的通知》(国办发[2007]51号)</w:t>
      </w:r>
    </w:p>
    <w:p>
      <w:pPr>
        <w:shd w:val="clear" w:color="auto" w:fill="FDFAF5"/>
        <w:spacing w:before="100" w:beforeAutospacing="1" w:after="100" w:afterAutospacing="1" w:line="440" w:lineRule="atLeast"/>
        <w:rPr>
          <w:color w:val="000000"/>
        </w:rPr>
      </w:pPr>
      <w:r>
        <w:rPr>
          <w:rFonts w:hint="eastAsia"/>
          <w:color w:val="000000"/>
        </w:rPr>
        <w:t>（二）财政部、发展改革委发布的《节能产品政府采购实施意见》(财库[2004]185号)</w:t>
      </w:r>
    </w:p>
    <w:p>
      <w:pPr>
        <w:shd w:val="clear" w:color="auto" w:fill="FDFAF5"/>
        <w:spacing w:before="100" w:beforeAutospacing="1" w:after="100" w:afterAutospacing="1" w:line="440" w:lineRule="atLeast"/>
        <w:rPr>
          <w:color w:val="000000"/>
        </w:rPr>
      </w:pPr>
      <w:r>
        <w:rPr>
          <w:rFonts w:hint="eastAsia"/>
          <w:color w:val="000000"/>
        </w:rPr>
        <w:t>（三）财政部、原环保总局印发的《环境标志产品政府采购实施的意见》（财库 [2006]90号）</w:t>
      </w:r>
    </w:p>
    <w:p>
      <w:pPr>
        <w:snapToGrid w:val="0"/>
        <w:spacing w:line="400" w:lineRule="exact"/>
        <w:jc w:val="center"/>
        <w:rPr>
          <w:rFonts w:hint="eastAsia"/>
          <w:color w:val="000000"/>
          <w:sz w:val="36"/>
          <w:szCs w:val="36"/>
        </w:rPr>
      </w:pPr>
      <w:r>
        <w:rPr>
          <w:rFonts w:hint="eastAsia"/>
          <w:color w:val="000000"/>
        </w:rPr>
        <w:t>2、供应商投标货物属于节能、环保优先（强制）采购范围的，须提供相关证明材料。</w:t>
      </w:r>
    </w:p>
    <w:p>
      <w:pPr>
        <w:snapToGrid w:val="0"/>
        <w:spacing w:line="400" w:lineRule="exact"/>
        <w:jc w:val="center"/>
        <w:rPr>
          <w:rFonts w:hint="eastAsia"/>
          <w:color w:val="000000"/>
          <w:sz w:val="36"/>
          <w:szCs w:val="36"/>
        </w:rPr>
      </w:pPr>
    </w:p>
    <w:p>
      <w:pPr>
        <w:snapToGrid w:val="0"/>
        <w:spacing w:line="400" w:lineRule="exact"/>
        <w:jc w:val="center"/>
        <w:rPr>
          <w:rFonts w:hint="eastAsia"/>
          <w:color w:val="000000"/>
          <w:sz w:val="36"/>
          <w:szCs w:val="36"/>
        </w:rPr>
      </w:pPr>
    </w:p>
    <w:p>
      <w:pPr>
        <w:snapToGrid w:val="0"/>
        <w:spacing w:line="400" w:lineRule="exact"/>
        <w:jc w:val="center"/>
        <w:rPr>
          <w:rFonts w:hint="eastAsia"/>
          <w:color w:val="000000"/>
          <w:sz w:val="36"/>
          <w:szCs w:val="36"/>
        </w:rPr>
      </w:pPr>
    </w:p>
    <w:p>
      <w:pPr>
        <w:snapToGrid w:val="0"/>
        <w:spacing w:line="400" w:lineRule="exact"/>
        <w:rPr>
          <w:rFonts w:hint="eastAsia"/>
          <w:color w:val="000000"/>
          <w:sz w:val="36"/>
          <w:szCs w:val="36"/>
        </w:rPr>
      </w:pPr>
    </w:p>
    <w:p>
      <w:pPr>
        <w:snapToGrid w:val="0"/>
        <w:spacing w:line="400" w:lineRule="exact"/>
        <w:rPr>
          <w:rFonts w:hint="eastAsia"/>
          <w:color w:val="000000"/>
          <w:sz w:val="36"/>
          <w:szCs w:val="36"/>
        </w:rPr>
      </w:pPr>
    </w:p>
    <w:p>
      <w:pPr>
        <w:snapToGrid w:val="0"/>
        <w:spacing w:line="400" w:lineRule="exact"/>
        <w:jc w:val="center"/>
        <w:rPr>
          <w:rFonts w:hint="eastAsia"/>
          <w:color w:val="000000"/>
          <w:sz w:val="36"/>
          <w:szCs w:val="36"/>
        </w:rPr>
      </w:pPr>
      <w:r>
        <w:rPr>
          <w:rFonts w:hint="eastAsia"/>
          <w:color w:val="000000"/>
          <w:sz w:val="36"/>
          <w:szCs w:val="36"/>
        </w:rPr>
        <w:t>第五部分   合同格式（供参考）</w:t>
      </w:r>
    </w:p>
    <w:p>
      <w:pPr>
        <w:pStyle w:val="32"/>
        <w:snapToGrid w:val="0"/>
        <w:spacing w:line="400" w:lineRule="exact"/>
        <w:rPr>
          <w:rFonts w:hint="eastAsia" w:hAnsi="宋体"/>
          <w:color w:val="000000"/>
          <w:sz w:val="24"/>
        </w:rPr>
      </w:pPr>
      <w:r>
        <w:rPr>
          <w:rFonts w:hint="eastAsia" w:hAnsi="宋体"/>
          <w:color w:val="000000"/>
          <w:sz w:val="24"/>
        </w:rPr>
        <w:t xml:space="preserve">                                    编号  ：</w:t>
      </w:r>
    </w:p>
    <w:p>
      <w:pPr>
        <w:pStyle w:val="32"/>
        <w:snapToGrid w:val="0"/>
        <w:spacing w:line="400" w:lineRule="exact"/>
        <w:rPr>
          <w:rFonts w:hint="eastAsia" w:hAnsi="宋体"/>
          <w:color w:val="000000"/>
          <w:sz w:val="24"/>
        </w:rPr>
      </w:pPr>
      <w:r>
        <w:rPr>
          <w:rFonts w:hint="eastAsia" w:hAnsi="宋体"/>
          <w:color w:val="000000"/>
          <w:sz w:val="22"/>
          <w:szCs w:val="22"/>
        </w:rPr>
        <w:t>说明：如甲、乙双方同意，合同格式也可以按照其他形式。但合同条款的基本内容应与本合同要求的内容相一致。</w:t>
      </w:r>
    </w:p>
    <w:p>
      <w:pPr>
        <w:pStyle w:val="32"/>
        <w:snapToGrid w:val="0"/>
        <w:spacing w:line="400" w:lineRule="exact"/>
        <w:rPr>
          <w:rFonts w:hint="eastAsia" w:hAnsi="宋体"/>
          <w:sz w:val="22"/>
          <w:szCs w:val="22"/>
        </w:rPr>
      </w:pPr>
      <w:r>
        <w:rPr>
          <w:rFonts w:hint="eastAsia" w:hAnsi="宋体"/>
          <w:sz w:val="22"/>
          <w:szCs w:val="22"/>
        </w:rPr>
        <w:t>采购人：采购人</w:t>
      </w:r>
    </w:p>
    <w:p>
      <w:pPr>
        <w:pStyle w:val="32"/>
        <w:snapToGrid w:val="0"/>
        <w:spacing w:line="400" w:lineRule="exact"/>
        <w:rPr>
          <w:rFonts w:hint="eastAsia" w:hAnsi="宋体"/>
          <w:sz w:val="22"/>
          <w:szCs w:val="22"/>
        </w:rPr>
      </w:pPr>
      <w:r>
        <w:rPr>
          <w:rFonts w:hint="eastAsia" w:hAnsi="宋体"/>
          <w:sz w:val="22"/>
          <w:szCs w:val="22"/>
        </w:rPr>
        <w:t>中标供应商：本次采购的中标供应商</w:t>
      </w:r>
    </w:p>
    <w:p>
      <w:pPr>
        <w:pStyle w:val="32"/>
        <w:snapToGrid w:val="0"/>
        <w:spacing w:line="400" w:lineRule="exact"/>
        <w:ind w:firstLine="570"/>
        <w:rPr>
          <w:rFonts w:hint="eastAsia" w:hAnsi="宋体"/>
          <w:sz w:val="22"/>
          <w:szCs w:val="22"/>
        </w:rPr>
      </w:pPr>
      <w:r>
        <w:rPr>
          <w:rFonts w:hint="eastAsia" w:hAnsi="宋体"/>
          <w:sz w:val="22"/>
          <w:szCs w:val="22"/>
        </w:rPr>
        <w:t>双方经协商，就中标供应商向采购人提供本公司产品以及相关产品的伴随服务事宜达成以下条款：</w:t>
      </w:r>
    </w:p>
    <w:p>
      <w:pPr>
        <w:pStyle w:val="32"/>
        <w:snapToGrid w:val="0"/>
        <w:spacing w:line="400" w:lineRule="exact"/>
        <w:rPr>
          <w:rFonts w:hint="eastAsia" w:hAnsi="宋体"/>
          <w:sz w:val="22"/>
          <w:szCs w:val="22"/>
        </w:rPr>
      </w:pPr>
      <w:r>
        <w:rPr>
          <w:rFonts w:hint="eastAsia" w:hAnsi="宋体"/>
          <w:sz w:val="22"/>
          <w:szCs w:val="22"/>
        </w:rPr>
        <w:t>第一条：采购商品清单</w:t>
      </w:r>
    </w:p>
    <w:p>
      <w:pPr>
        <w:snapToGrid w:val="0"/>
        <w:spacing w:line="400" w:lineRule="exact"/>
        <w:ind w:firstLine="540"/>
        <w:rPr>
          <w:rFonts w:hint="eastAsia"/>
          <w:sz w:val="22"/>
          <w:szCs w:val="22"/>
        </w:rPr>
      </w:pPr>
      <w:r>
        <w:rPr>
          <w:rFonts w:hint="eastAsia"/>
          <w:sz w:val="22"/>
          <w:szCs w:val="22"/>
        </w:rPr>
        <w:t xml:space="preserve">中标供应商保证提供如下内容的合格产品：        </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816"/>
        <w:gridCol w:w="107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5" w:hRule="atLeast"/>
          <w:jc w:val="center"/>
        </w:trPr>
        <w:tc>
          <w:tcPr>
            <w:tcW w:w="2267" w:type="dxa"/>
            <w:noWrap w:val="0"/>
            <w:vAlign w:val="center"/>
          </w:tcPr>
          <w:p>
            <w:pPr>
              <w:snapToGrid w:val="0"/>
              <w:spacing w:line="440" w:lineRule="atLeast"/>
              <w:ind w:firstLine="240"/>
              <w:jc w:val="center"/>
              <w:rPr>
                <w:rFonts w:hint="eastAsia"/>
                <w:sz w:val="22"/>
                <w:szCs w:val="22"/>
              </w:rPr>
            </w:pPr>
            <w:r>
              <w:rPr>
                <w:rFonts w:hint="eastAsia"/>
                <w:sz w:val="22"/>
                <w:szCs w:val="22"/>
              </w:rPr>
              <w:t>采购产品名称</w:t>
            </w:r>
          </w:p>
        </w:tc>
        <w:tc>
          <w:tcPr>
            <w:tcW w:w="2713" w:type="dxa"/>
            <w:noWrap w:val="0"/>
            <w:vAlign w:val="center"/>
          </w:tcPr>
          <w:p>
            <w:pPr>
              <w:snapToGrid w:val="0"/>
              <w:spacing w:line="440" w:lineRule="atLeast"/>
              <w:jc w:val="center"/>
              <w:rPr>
                <w:rFonts w:hint="eastAsia"/>
                <w:sz w:val="22"/>
                <w:szCs w:val="22"/>
              </w:rPr>
            </w:pPr>
            <w:r>
              <w:rPr>
                <w:rFonts w:hint="eastAsia"/>
                <w:sz w:val="22"/>
                <w:szCs w:val="22"/>
              </w:rPr>
              <w:t>品牌型号规格和主要配置</w:t>
            </w:r>
          </w:p>
        </w:tc>
        <w:tc>
          <w:tcPr>
            <w:tcW w:w="816" w:type="dxa"/>
            <w:noWrap w:val="0"/>
            <w:vAlign w:val="center"/>
          </w:tcPr>
          <w:p>
            <w:pPr>
              <w:snapToGrid w:val="0"/>
              <w:spacing w:line="440" w:lineRule="atLeast"/>
              <w:jc w:val="center"/>
              <w:rPr>
                <w:rFonts w:hint="eastAsia"/>
                <w:sz w:val="22"/>
                <w:szCs w:val="22"/>
              </w:rPr>
            </w:pPr>
            <w:r>
              <w:rPr>
                <w:rFonts w:hint="eastAsia"/>
                <w:sz w:val="22"/>
                <w:szCs w:val="22"/>
              </w:rPr>
              <w:t>数量</w:t>
            </w:r>
          </w:p>
        </w:tc>
        <w:tc>
          <w:tcPr>
            <w:tcW w:w="1079" w:type="dxa"/>
            <w:noWrap w:val="0"/>
            <w:vAlign w:val="center"/>
          </w:tcPr>
          <w:p>
            <w:pPr>
              <w:snapToGrid w:val="0"/>
              <w:spacing w:line="440" w:lineRule="atLeast"/>
              <w:jc w:val="center"/>
              <w:rPr>
                <w:rFonts w:hint="eastAsia"/>
                <w:sz w:val="22"/>
                <w:szCs w:val="22"/>
              </w:rPr>
            </w:pPr>
            <w:r>
              <w:rPr>
                <w:rFonts w:hint="eastAsia"/>
                <w:sz w:val="22"/>
                <w:szCs w:val="22"/>
              </w:rPr>
              <w:t>交货期</w:t>
            </w:r>
          </w:p>
        </w:tc>
        <w:tc>
          <w:tcPr>
            <w:tcW w:w="1079" w:type="dxa"/>
            <w:noWrap w:val="0"/>
            <w:vAlign w:val="center"/>
          </w:tcPr>
          <w:p>
            <w:pPr>
              <w:snapToGrid w:val="0"/>
              <w:spacing w:line="440" w:lineRule="atLeast"/>
              <w:jc w:val="center"/>
              <w:rPr>
                <w:rFonts w:hint="eastAsia"/>
                <w:sz w:val="22"/>
                <w:szCs w:val="22"/>
              </w:rPr>
            </w:pPr>
            <w:r>
              <w:rPr>
                <w:rFonts w:hint="eastAsia"/>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2267" w:type="dxa"/>
            <w:noWrap w:val="0"/>
            <w:vAlign w:val="center"/>
          </w:tcPr>
          <w:p>
            <w:pPr>
              <w:snapToGrid w:val="0"/>
              <w:spacing w:line="440" w:lineRule="atLeast"/>
              <w:jc w:val="center"/>
              <w:rPr>
                <w:rFonts w:hint="eastAsia"/>
                <w:sz w:val="22"/>
                <w:szCs w:val="22"/>
              </w:rPr>
            </w:pPr>
          </w:p>
        </w:tc>
        <w:tc>
          <w:tcPr>
            <w:tcW w:w="2713" w:type="dxa"/>
            <w:noWrap w:val="0"/>
            <w:vAlign w:val="center"/>
          </w:tcPr>
          <w:p>
            <w:pPr>
              <w:snapToGrid w:val="0"/>
              <w:spacing w:line="440" w:lineRule="atLeast"/>
              <w:jc w:val="center"/>
              <w:rPr>
                <w:rFonts w:hint="eastAsia"/>
                <w:sz w:val="22"/>
                <w:szCs w:val="22"/>
              </w:rPr>
            </w:pPr>
          </w:p>
        </w:tc>
        <w:tc>
          <w:tcPr>
            <w:tcW w:w="816" w:type="dxa"/>
            <w:noWrap w:val="0"/>
            <w:vAlign w:val="center"/>
          </w:tcPr>
          <w:p>
            <w:pPr>
              <w:snapToGrid w:val="0"/>
              <w:spacing w:line="440" w:lineRule="atLeast"/>
              <w:jc w:val="center"/>
              <w:rPr>
                <w:rFonts w:hint="eastAsia"/>
                <w:sz w:val="22"/>
                <w:szCs w:val="22"/>
              </w:rPr>
            </w:pPr>
          </w:p>
        </w:tc>
        <w:tc>
          <w:tcPr>
            <w:tcW w:w="1079" w:type="dxa"/>
            <w:noWrap w:val="0"/>
            <w:vAlign w:val="center"/>
          </w:tcPr>
          <w:p>
            <w:pPr>
              <w:snapToGrid w:val="0"/>
              <w:spacing w:line="440" w:lineRule="atLeast"/>
              <w:jc w:val="center"/>
              <w:rPr>
                <w:rFonts w:hint="eastAsia"/>
                <w:sz w:val="22"/>
                <w:szCs w:val="22"/>
              </w:rPr>
            </w:pPr>
          </w:p>
        </w:tc>
        <w:tc>
          <w:tcPr>
            <w:tcW w:w="1079" w:type="dxa"/>
            <w:noWrap w:val="0"/>
            <w:vAlign w:val="center"/>
          </w:tcPr>
          <w:p>
            <w:pPr>
              <w:snapToGrid w:val="0"/>
              <w:spacing w:line="440" w:lineRule="atLeast"/>
              <w:jc w:val="cente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5" w:hRule="atLeast"/>
          <w:jc w:val="center"/>
        </w:trPr>
        <w:tc>
          <w:tcPr>
            <w:tcW w:w="2267" w:type="dxa"/>
            <w:noWrap w:val="0"/>
            <w:vAlign w:val="center"/>
          </w:tcPr>
          <w:p>
            <w:pPr>
              <w:snapToGrid w:val="0"/>
              <w:spacing w:line="440" w:lineRule="atLeast"/>
              <w:jc w:val="center"/>
              <w:rPr>
                <w:rFonts w:hint="eastAsia"/>
                <w:sz w:val="22"/>
                <w:szCs w:val="22"/>
              </w:rPr>
            </w:pPr>
          </w:p>
        </w:tc>
        <w:tc>
          <w:tcPr>
            <w:tcW w:w="2713" w:type="dxa"/>
            <w:noWrap w:val="0"/>
            <w:vAlign w:val="center"/>
          </w:tcPr>
          <w:p>
            <w:pPr>
              <w:snapToGrid w:val="0"/>
              <w:spacing w:line="440" w:lineRule="atLeast"/>
              <w:jc w:val="center"/>
              <w:rPr>
                <w:rFonts w:hint="eastAsia"/>
                <w:sz w:val="22"/>
                <w:szCs w:val="22"/>
              </w:rPr>
            </w:pPr>
          </w:p>
        </w:tc>
        <w:tc>
          <w:tcPr>
            <w:tcW w:w="816" w:type="dxa"/>
            <w:noWrap w:val="0"/>
            <w:vAlign w:val="center"/>
          </w:tcPr>
          <w:p>
            <w:pPr>
              <w:snapToGrid w:val="0"/>
              <w:spacing w:line="440" w:lineRule="atLeast"/>
              <w:jc w:val="center"/>
              <w:rPr>
                <w:rFonts w:hint="eastAsia"/>
                <w:sz w:val="22"/>
                <w:szCs w:val="22"/>
              </w:rPr>
            </w:pPr>
          </w:p>
        </w:tc>
        <w:tc>
          <w:tcPr>
            <w:tcW w:w="1079" w:type="dxa"/>
            <w:noWrap w:val="0"/>
            <w:vAlign w:val="center"/>
          </w:tcPr>
          <w:p>
            <w:pPr>
              <w:snapToGrid w:val="0"/>
              <w:spacing w:line="440" w:lineRule="atLeast"/>
              <w:jc w:val="center"/>
              <w:rPr>
                <w:rFonts w:hint="eastAsia"/>
                <w:sz w:val="22"/>
                <w:szCs w:val="22"/>
              </w:rPr>
            </w:pPr>
          </w:p>
        </w:tc>
        <w:tc>
          <w:tcPr>
            <w:tcW w:w="1079" w:type="dxa"/>
            <w:noWrap w:val="0"/>
            <w:vAlign w:val="center"/>
          </w:tcPr>
          <w:p>
            <w:pPr>
              <w:snapToGrid w:val="0"/>
              <w:spacing w:line="440" w:lineRule="atLeast"/>
              <w:jc w:val="center"/>
              <w:rPr>
                <w:rFonts w:hint="eastAsia"/>
                <w:sz w:val="22"/>
                <w:szCs w:val="22"/>
              </w:rPr>
            </w:pPr>
          </w:p>
        </w:tc>
      </w:tr>
    </w:tbl>
    <w:p>
      <w:pPr>
        <w:pStyle w:val="32"/>
        <w:snapToGrid w:val="0"/>
        <w:spacing w:line="400" w:lineRule="exact"/>
        <w:rPr>
          <w:rFonts w:hint="eastAsia" w:hAnsi="宋体"/>
          <w:sz w:val="22"/>
          <w:szCs w:val="22"/>
        </w:rPr>
      </w:pPr>
      <w:r>
        <w:rPr>
          <w:rFonts w:hint="eastAsia" w:hAnsi="宋体"/>
          <w:sz w:val="22"/>
          <w:szCs w:val="22"/>
        </w:rPr>
        <w:t>第二条：质量标准和要求</w:t>
      </w:r>
    </w:p>
    <w:p>
      <w:pPr>
        <w:snapToGrid w:val="0"/>
        <w:spacing w:line="400" w:lineRule="exact"/>
        <w:ind w:firstLine="420"/>
        <w:rPr>
          <w:rFonts w:hint="eastAsia"/>
          <w:sz w:val="22"/>
          <w:szCs w:val="22"/>
        </w:rPr>
      </w:pPr>
      <w:r>
        <w:rPr>
          <w:rFonts w:hint="eastAsia"/>
          <w:sz w:val="22"/>
          <w:szCs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pStyle w:val="32"/>
        <w:snapToGrid w:val="0"/>
        <w:spacing w:line="400" w:lineRule="exact"/>
        <w:ind w:firstLine="480"/>
        <w:rPr>
          <w:rFonts w:hint="eastAsia" w:hAnsi="宋体"/>
          <w:sz w:val="22"/>
          <w:szCs w:val="22"/>
        </w:rPr>
      </w:pPr>
      <w:r>
        <w:rPr>
          <w:rFonts w:hint="eastAsia" w:hAnsi="宋体"/>
          <w:sz w:val="22"/>
          <w:szCs w:val="22"/>
        </w:rPr>
        <w:t>2、中标供应商所出售的货物还应符合国家和浙江省有关安全、环保、卫生之规定。</w:t>
      </w:r>
    </w:p>
    <w:p>
      <w:pPr>
        <w:snapToGrid w:val="0"/>
        <w:spacing w:line="400" w:lineRule="exact"/>
        <w:rPr>
          <w:rFonts w:hint="eastAsia"/>
          <w:sz w:val="22"/>
          <w:szCs w:val="22"/>
        </w:rPr>
      </w:pPr>
      <w:r>
        <w:rPr>
          <w:rFonts w:hint="eastAsia"/>
          <w:sz w:val="22"/>
          <w:szCs w:val="22"/>
          <w:lang/>
        </w:rPr>
        <w:t>第三条：</w:t>
      </w:r>
      <w:r>
        <w:rPr>
          <w:rFonts w:hint="eastAsia"/>
          <w:sz w:val="22"/>
          <w:szCs w:val="22"/>
        </w:rPr>
        <w:t>权利瑕疵担保</w:t>
      </w:r>
    </w:p>
    <w:p>
      <w:pPr>
        <w:snapToGrid w:val="0"/>
        <w:spacing w:line="400" w:lineRule="exact"/>
        <w:ind w:firstLine="420"/>
        <w:rPr>
          <w:rFonts w:hint="eastAsia"/>
          <w:sz w:val="22"/>
          <w:szCs w:val="22"/>
        </w:rPr>
      </w:pPr>
      <w:r>
        <w:rPr>
          <w:rFonts w:hint="eastAsia"/>
          <w:sz w:val="22"/>
          <w:szCs w:val="22"/>
        </w:rPr>
        <w:t>1、中标供应商保证对其出售的货物享有合法的权利。</w:t>
      </w:r>
    </w:p>
    <w:p>
      <w:pPr>
        <w:snapToGrid w:val="0"/>
        <w:spacing w:line="400" w:lineRule="exact"/>
        <w:ind w:firstLine="420"/>
        <w:rPr>
          <w:rFonts w:hint="eastAsia"/>
          <w:sz w:val="22"/>
          <w:szCs w:val="22"/>
        </w:rPr>
      </w:pPr>
      <w:r>
        <w:rPr>
          <w:rFonts w:hint="eastAsia"/>
          <w:sz w:val="22"/>
          <w:szCs w:val="22"/>
        </w:rPr>
        <w:t>2、中标供应商保证在其出售的货物上不存在任何未曾向采购人透露的担保物权，如抵押权、质押权、留置权等。</w:t>
      </w:r>
    </w:p>
    <w:p>
      <w:pPr>
        <w:snapToGrid w:val="0"/>
        <w:spacing w:line="400" w:lineRule="exact"/>
        <w:ind w:firstLine="420"/>
        <w:rPr>
          <w:rFonts w:hint="eastAsia"/>
          <w:sz w:val="22"/>
          <w:szCs w:val="22"/>
        </w:rPr>
      </w:pPr>
      <w:r>
        <w:rPr>
          <w:rFonts w:hint="eastAsia"/>
          <w:sz w:val="22"/>
          <w:szCs w:val="22"/>
        </w:rPr>
        <w:t>3、中标供应商保证其所出售的货物没有侵犯任何第三人的知识产权和商业秘密等权利。</w:t>
      </w:r>
    </w:p>
    <w:p>
      <w:pPr>
        <w:pStyle w:val="32"/>
        <w:snapToGrid w:val="0"/>
        <w:spacing w:line="400" w:lineRule="exact"/>
        <w:ind w:firstLine="330" w:firstLineChars="150"/>
        <w:rPr>
          <w:rFonts w:hint="eastAsia" w:hAnsi="宋体"/>
          <w:sz w:val="22"/>
          <w:szCs w:val="22"/>
        </w:rPr>
      </w:pPr>
      <w:r>
        <w:rPr>
          <w:rFonts w:hint="eastAsia" w:hAnsi="宋体"/>
          <w:sz w:val="22"/>
          <w:szCs w:val="22"/>
        </w:rPr>
        <w:t>4、如采购人使用该货物构成上述侵权的，则由中标供应商承担全部责任。</w:t>
      </w:r>
    </w:p>
    <w:p>
      <w:pPr>
        <w:snapToGrid w:val="0"/>
        <w:spacing w:line="400" w:lineRule="exact"/>
        <w:rPr>
          <w:rFonts w:hint="eastAsia"/>
          <w:sz w:val="22"/>
          <w:szCs w:val="22"/>
        </w:rPr>
      </w:pPr>
      <w:r>
        <w:rPr>
          <w:rFonts w:hint="eastAsia"/>
          <w:sz w:val="22"/>
          <w:szCs w:val="22"/>
        </w:rPr>
        <w:t>第四条：包装要求</w:t>
      </w:r>
    </w:p>
    <w:p>
      <w:pPr>
        <w:snapToGrid w:val="0"/>
        <w:spacing w:line="400" w:lineRule="exact"/>
        <w:rPr>
          <w:rFonts w:hint="eastAsia"/>
          <w:sz w:val="22"/>
          <w:szCs w:val="22"/>
        </w:rPr>
      </w:pPr>
      <w:r>
        <w:rPr>
          <w:rFonts w:hint="eastAsia"/>
          <w:sz w:val="22"/>
          <w:szCs w:val="22"/>
        </w:rPr>
        <w:t xml:space="preserve">    1、中标供应商所出售的全部货物均应按标准保护措施进行包装，这类包装应适应于远距离运输、防潮、防震、防锈和防野蛮装卸等要求，以确保货物安全无损地运抵指定现场。</w:t>
      </w:r>
    </w:p>
    <w:p>
      <w:pPr>
        <w:pStyle w:val="32"/>
        <w:snapToGrid w:val="0"/>
        <w:spacing w:line="400" w:lineRule="exact"/>
        <w:ind w:firstLine="360"/>
        <w:rPr>
          <w:rFonts w:hint="eastAsia" w:hAnsi="宋体"/>
          <w:sz w:val="22"/>
          <w:szCs w:val="22"/>
        </w:rPr>
      </w:pPr>
      <w:r>
        <w:rPr>
          <w:rFonts w:hint="eastAsia" w:hAnsi="宋体"/>
          <w:sz w:val="22"/>
          <w:szCs w:val="22"/>
        </w:rPr>
        <w:t xml:space="preserve"> 2、每一个包装箱内应附一份详细装箱单、质量证书和保修保养证书。</w:t>
      </w:r>
    </w:p>
    <w:p>
      <w:pPr>
        <w:snapToGrid w:val="0"/>
        <w:spacing w:line="400" w:lineRule="exact"/>
        <w:rPr>
          <w:rFonts w:hint="eastAsia"/>
          <w:sz w:val="22"/>
          <w:szCs w:val="22"/>
        </w:rPr>
      </w:pPr>
      <w:r>
        <w:rPr>
          <w:rFonts w:hint="eastAsia"/>
          <w:sz w:val="22"/>
          <w:szCs w:val="22"/>
          <w:lang/>
        </w:rPr>
        <w:t>第五条：完工期限</w:t>
      </w:r>
    </w:p>
    <w:p>
      <w:pPr>
        <w:snapToGrid w:val="0"/>
        <w:spacing w:line="400" w:lineRule="exact"/>
        <w:ind w:firstLine="440" w:firstLineChars="200"/>
        <w:rPr>
          <w:rFonts w:hint="eastAsia"/>
          <w:sz w:val="22"/>
          <w:szCs w:val="22"/>
        </w:rPr>
      </w:pPr>
      <w:r>
        <w:rPr>
          <w:rFonts w:hint="eastAsia" w:cs="仿宋_GB2312"/>
          <w:sz w:val="22"/>
          <w:szCs w:val="22"/>
          <w:u w:val="single"/>
          <w:lang w:val="zh-CN"/>
        </w:rPr>
        <w:t>详见采购文件。</w:t>
      </w:r>
    </w:p>
    <w:p>
      <w:pPr>
        <w:snapToGrid w:val="0"/>
        <w:spacing w:line="400" w:lineRule="exact"/>
        <w:rPr>
          <w:rFonts w:hint="eastAsia"/>
          <w:sz w:val="22"/>
          <w:szCs w:val="22"/>
        </w:rPr>
      </w:pPr>
      <w:r>
        <w:rPr>
          <w:rFonts w:hint="eastAsia"/>
          <w:sz w:val="22"/>
          <w:szCs w:val="22"/>
          <w:lang/>
        </w:rPr>
        <w:t>第六条：供货方式</w:t>
      </w:r>
    </w:p>
    <w:p>
      <w:pPr>
        <w:snapToGrid w:val="0"/>
        <w:spacing w:line="400" w:lineRule="exact"/>
        <w:ind w:firstLine="555"/>
        <w:rPr>
          <w:rFonts w:hint="eastAsia"/>
          <w:sz w:val="22"/>
          <w:szCs w:val="22"/>
        </w:rPr>
      </w:pPr>
      <w:r>
        <w:rPr>
          <w:rFonts w:hint="eastAsia"/>
          <w:sz w:val="22"/>
          <w:szCs w:val="22"/>
          <w:lang/>
        </w:rPr>
        <w:t>在供货期限内，中标供应商在与采购人签署合同后，保证在</w:t>
      </w:r>
      <w:r>
        <w:rPr>
          <w:rFonts w:hint="eastAsia"/>
          <w:sz w:val="22"/>
          <w:szCs w:val="22"/>
          <w:u w:val="single"/>
          <w:lang/>
        </w:rPr>
        <w:t xml:space="preserve">  </w:t>
      </w:r>
      <w:r>
        <w:rPr>
          <w:rFonts w:hint="eastAsia"/>
          <w:sz w:val="22"/>
          <w:szCs w:val="22"/>
          <w:lang/>
        </w:rPr>
        <w:t>个日历天内派人送货至采购人指定地点。</w:t>
      </w:r>
    </w:p>
    <w:p>
      <w:pPr>
        <w:pStyle w:val="32"/>
        <w:snapToGrid w:val="0"/>
        <w:spacing w:line="400" w:lineRule="exact"/>
        <w:rPr>
          <w:rFonts w:hint="eastAsia" w:hAnsi="宋体"/>
          <w:sz w:val="22"/>
          <w:szCs w:val="22"/>
        </w:rPr>
      </w:pPr>
      <w:r>
        <w:rPr>
          <w:rFonts w:hint="eastAsia" w:hAnsi="宋体"/>
          <w:sz w:val="22"/>
          <w:szCs w:val="22"/>
        </w:rPr>
        <w:t>第七条：验收</w:t>
      </w:r>
    </w:p>
    <w:p>
      <w:pPr>
        <w:pStyle w:val="32"/>
        <w:snapToGrid w:val="0"/>
        <w:spacing w:line="400" w:lineRule="exact"/>
        <w:ind w:firstLine="480"/>
        <w:rPr>
          <w:rFonts w:hint="eastAsia" w:hAnsi="宋体"/>
          <w:sz w:val="22"/>
          <w:szCs w:val="22"/>
        </w:rPr>
      </w:pPr>
      <w:r>
        <w:rPr>
          <w:rFonts w:hint="eastAsia" w:hAnsi="宋体"/>
          <w:sz w:val="22"/>
          <w:szCs w:val="22"/>
        </w:rPr>
        <w:t>中标供应商送货至指定地点后，由采购人根据货物的技术规格要求和质量标准，对货物进行检查验收</w:t>
      </w:r>
    </w:p>
    <w:p>
      <w:pPr>
        <w:snapToGrid w:val="0"/>
        <w:spacing w:line="400" w:lineRule="exact"/>
        <w:ind w:firstLine="405"/>
        <w:rPr>
          <w:rFonts w:hint="eastAsia"/>
          <w:sz w:val="22"/>
          <w:szCs w:val="22"/>
        </w:rPr>
      </w:pPr>
      <w:r>
        <w:rPr>
          <w:rFonts w:hint="eastAsia"/>
          <w:sz w:val="22"/>
          <w:szCs w:val="22"/>
        </w:rPr>
        <w:t>货物的数量不足或表面瑕疵，采购人应在验收时当面提出；对质量问题有异议的应在安装调试后10个工作日内提出。</w:t>
      </w:r>
    </w:p>
    <w:p>
      <w:pPr>
        <w:snapToGrid w:val="0"/>
        <w:spacing w:line="400" w:lineRule="exact"/>
        <w:ind w:firstLine="405"/>
        <w:rPr>
          <w:rFonts w:hint="eastAsia"/>
          <w:sz w:val="22"/>
          <w:szCs w:val="22"/>
        </w:rPr>
      </w:pPr>
      <w:r>
        <w:rPr>
          <w:rFonts w:hint="eastAsia"/>
          <w:sz w:val="22"/>
          <w:szCs w:val="22"/>
        </w:rPr>
        <w:t>在验收过程中发现数量不足或有质量、技术等问题，中标供应商应负责按照采购人的要求采取补足、更换或退货等处理措施，并承担由此发生的一切费用和损失。</w:t>
      </w:r>
    </w:p>
    <w:p>
      <w:pPr>
        <w:pStyle w:val="32"/>
        <w:snapToGrid w:val="0"/>
        <w:spacing w:line="400" w:lineRule="exact"/>
        <w:ind w:firstLine="480"/>
        <w:rPr>
          <w:rFonts w:hint="eastAsia" w:hAnsi="宋体"/>
          <w:sz w:val="22"/>
          <w:szCs w:val="22"/>
        </w:rPr>
      </w:pPr>
      <w:r>
        <w:rPr>
          <w:rFonts w:hint="eastAsia" w:hAnsi="宋体"/>
          <w:sz w:val="22"/>
          <w:szCs w:val="22"/>
        </w:rPr>
        <w:t>采购人在中标供应商按合同规定交货和安装、调试后，无正当理由而拖延接收、验收或拒绝接收、验收的，应承担由此而造成的中标供应商直接损失。</w:t>
      </w:r>
    </w:p>
    <w:p>
      <w:pPr>
        <w:autoSpaceDE w:val="0"/>
        <w:autoSpaceDN w:val="0"/>
        <w:adjustRightInd w:val="0"/>
        <w:snapToGrid w:val="0"/>
        <w:spacing w:line="400" w:lineRule="exact"/>
        <w:ind w:firstLine="450"/>
        <w:textAlignment w:val="bottom"/>
        <w:rPr>
          <w:rFonts w:hint="eastAsia"/>
          <w:sz w:val="22"/>
          <w:szCs w:val="22"/>
        </w:rPr>
      </w:pPr>
      <w:r>
        <w:rPr>
          <w:rFonts w:hint="eastAsia"/>
          <w:sz w:val="22"/>
          <w:szCs w:val="22"/>
        </w:rPr>
        <w:t>采购人组织专家组对本项目进行验收（验收标准按招标文件，现行国家标准、现行行业标准执行）。第一次验收在项目安装调试合格后30日历天内完成，如验收不能通过，供应商负责整改至合格；</w:t>
      </w:r>
    </w:p>
    <w:p>
      <w:pPr>
        <w:pStyle w:val="32"/>
        <w:snapToGrid w:val="0"/>
        <w:spacing w:line="400" w:lineRule="exact"/>
        <w:rPr>
          <w:rFonts w:hint="eastAsia" w:hAnsi="宋体"/>
          <w:sz w:val="22"/>
          <w:szCs w:val="22"/>
        </w:rPr>
      </w:pPr>
      <w:r>
        <w:rPr>
          <w:rFonts w:hint="eastAsia" w:hAnsi="宋体"/>
          <w:sz w:val="22"/>
          <w:szCs w:val="22"/>
        </w:rPr>
        <w:t>第八条：售后服务</w:t>
      </w:r>
    </w:p>
    <w:p>
      <w:pPr>
        <w:pStyle w:val="32"/>
        <w:snapToGrid w:val="0"/>
        <w:spacing w:line="400" w:lineRule="exact"/>
        <w:ind w:firstLine="480"/>
        <w:rPr>
          <w:rFonts w:hint="eastAsia" w:hAnsi="宋体"/>
          <w:sz w:val="22"/>
          <w:szCs w:val="22"/>
        </w:rPr>
      </w:pPr>
      <w:r>
        <w:rPr>
          <w:rFonts w:hint="eastAsia" w:hAnsi="宋体"/>
          <w:sz w:val="22"/>
          <w:szCs w:val="22"/>
        </w:rPr>
        <w:t xml:space="preserve"> 中标供应商承诺售后服务按照谈判文件中承诺的服务计划实施，包括培训。</w:t>
      </w:r>
    </w:p>
    <w:p>
      <w:pPr>
        <w:pStyle w:val="32"/>
        <w:snapToGrid w:val="0"/>
        <w:spacing w:line="400" w:lineRule="exact"/>
        <w:rPr>
          <w:rFonts w:hint="eastAsia" w:hAnsi="宋体"/>
          <w:sz w:val="22"/>
          <w:szCs w:val="22"/>
        </w:rPr>
      </w:pPr>
      <w:r>
        <w:rPr>
          <w:rFonts w:hint="eastAsia" w:hAnsi="宋体"/>
          <w:sz w:val="22"/>
          <w:szCs w:val="22"/>
        </w:rPr>
        <w:t>第九条：履约保证金</w:t>
      </w:r>
    </w:p>
    <w:p>
      <w:pPr>
        <w:pStyle w:val="32"/>
        <w:snapToGrid w:val="0"/>
        <w:spacing w:line="400" w:lineRule="exact"/>
        <w:ind w:firstLine="480"/>
        <w:rPr>
          <w:rFonts w:hint="eastAsia" w:hAnsi="宋体"/>
          <w:b/>
          <w:sz w:val="22"/>
          <w:szCs w:val="22"/>
        </w:rPr>
      </w:pPr>
      <w:r>
        <w:rPr>
          <w:rFonts w:hint="eastAsia" w:hAnsi="宋体"/>
          <w:b/>
          <w:sz w:val="22"/>
          <w:szCs w:val="22"/>
          <w:u w:val="single"/>
        </w:rPr>
        <w:t>详见采购文件。</w:t>
      </w:r>
    </w:p>
    <w:p>
      <w:pPr>
        <w:pStyle w:val="32"/>
        <w:snapToGrid w:val="0"/>
        <w:spacing w:line="400" w:lineRule="exact"/>
        <w:rPr>
          <w:rFonts w:hint="eastAsia" w:hAnsi="宋体"/>
          <w:sz w:val="22"/>
          <w:szCs w:val="22"/>
        </w:rPr>
      </w:pPr>
      <w:r>
        <w:rPr>
          <w:rFonts w:hint="eastAsia" w:hAnsi="宋体"/>
          <w:sz w:val="22"/>
          <w:szCs w:val="22"/>
        </w:rPr>
        <w:t>第十条：货款的支付</w:t>
      </w:r>
    </w:p>
    <w:p>
      <w:pPr>
        <w:snapToGrid w:val="0"/>
        <w:spacing w:line="400" w:lineRule="exact"/>
        <w:ind w:firstLine="320" w:firstLineChars="145"/>
        <w:rPr>
          <w:rFonts w:hint="eastAsia"/>
          <w:sz w:val="22"/>
          <w:szCs w:val="22"/>
        </w:rPr>
      </w:pPr>
      <w:r>
        <w:rPr>
          <w:rFonts w:hint="eastAsia"/>
          <w:b/>
          <w:color w:val="000000"/>
          <w:sz w:val="22"/>
          <w:szCs w:val="22"/>
        </w:rPr>
        <w:t>详见招标文件。</w:t>
      </w:r>
    </w:p>
    <w:p>
      <w:pPr>
        <w:pStyle w:val="32"/>
        <w:snapToGrid w:val="0"/>
        <w:spacing w:line="400" w:lineRule="exact"/>
        <w:rPr>
          <w:rFonts w:hint="eastAsia" w:hAnsi="宋体"/>
          <w:sz w:val="22"/>
          <w:szCs w:val="22"/>
        </w:rPr>
      </w:pPr>
      <w:r>
        <w:rPr>
          <w:rFonts w:hint="eastAsia" w:hAnsi="宋体"/>
          <w:sz w:val="22"/>
          <w:szCs w:val="22"/>
        </w:rPr>
        <w:t>第十一条：辅助服务</w:t>
      </w:r>
    </w:p>
    <w:p>
      <w:pPr>
        <w:snapToGrid w:val="0"/>
        <w:spacing w:line="400" w:lineRule="exact"/>
        <w:ind w:firstLine="480"/>
        <w:rPr>
          <w:rFonts w:hint="eastAsia"/>
          <w:sz w:val="22"/>
          <w:szCs w:val="22"/>
        </w:rPr>
      </w:pPr>
      <w:r>
        <w:rPr>
          <w:rFonts w:hint="eastAsia"/>
          <w:sz w:val="22"/>
          <w:szCs w:val="22"/>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line="400" w:lineRule="exact"/>
        <w:rPr>
          <w:rFonts w:hint="eastAsia"/>
          <w:sz w:val="22"/>
          <w:szCs w:val="22"/>
        </w:rPr>
      </w:pPr>
      <w:r>
        <w:rPr>
          <w:rFonts w:hint="eastAsia"/>
          <w:sz w:val="22"/>
          <w:szCs w:val="22"/>
        </w:rPr>
        <w:t xml:space="preserve">     中标供应商还应提供下列服务：</w:t>
      </w:r>
    </w:p>
    <w:p>
      <w:pPr>
        <w:snapToGrid w:val="0"/>
        <w:spacing w:line="400" w:lineRule="exact"/>
        <w:outlineLvl w:val="0"/>
        <w:rPr>
          <w:rFonts w:hint="eastAsia"/>
          <w:sz w:val="22"/>
          <w:szCs w:val="22"/>
        </w:rPr>
      </w:pPr>
      <w:r>
        <w:rPr>
          <w:rFonts w:hint="eastAsia"/>
          <w:sz w:val="22"/>
          <w:szCs w:val="22"/>
        </w:rPr>
        <w:t xml:space="preserve">    （1）货物的现场指导安装、调试、启动监督及技术支持；</w:t>
      </w:r>
    </w:p>
    <w:p>
      <w:pPr>
        <w:snapToGrid w:val="0"/>
        <w:spacing w:line="400" w:lineRule="exact"/>
        <w:rPr>
          <w:rFonts w:hint="eastAsia"/>
          <w:sz w:val="22"/>
          <w:szCs w:val="22"/>
        </w:rPr>
      </w:pPr>
      <w:r>
        <w:rPr>
          <w:rFonts w:hint="eastAsia"/>
          <w:sz w:val="22"/>
          <w:szCs w:val="22"/>
        </w:rPr>
        <w:t xml:space="preserve">    （2）在厂家和/或项目现场就货物的指导安装、启动、运营、维护对采购人操作人员进行培训。辅助服务的费用包含在合同价中，采购人不再另行支付。</w:t>
      </w:r>
    </w:p>
    <w:p>
      <w:pPr>
        <w:snapToGrid w:val="0"/>
        <w:spacing w:line="400" w:lineRule="exact"/>
        <w:ind w:left="-360" w:firstLine="360"/>
        <w:rPr>
          <w:rFonts w:hint="eastAsia"/>
          <w:sz w:val="22"/>
          <w:szCs w:val="22"/>
        </w:rPr>
      </w:pPr>
      <w:r>
        <w:rPr>
          <w:rFonts w:hint="eastAsia"/>
          <w:sz w:val="22"/>
          <w:szCs w:val="22"/>
        </w:rPr>
        <w:t>第十二条：质量保证</w:t>
      </w:r>
    </w:p>
    <w:p>
      <w:pPr>
        <w:snapToGrid w:val="0"/>
        <w:spacing w:line="400" w:lineRule="exact"/>
        <w:rPr>
          <w:rFonts w:hint="eastAsia"/>
          <w:sz w:val="22"/>
          <w:szCs w:val="22"/>
        </w:rPr>
      </w:pPr>
      <w:r>
        <w:rPr>
          <w:rFonts w:hint="eastAsia"/>
          <w:sz w:val="22"/>
          <w:szCs w:val="22"/>
        </w:rPr>
        <w:t xml:space="preserve">    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sz w:val="22"/>
          <w:szCs w:val="22"/>
          <w:u w:val="single"/>
        </w:rPr>
        <w:t xml:space="preserve">  个月</w:t>
      </w:r>
      <w:r>
        <w:rPr>
          <w:rFonts w:hint="eastAsia"/>
          <w:sz w:val="22"/>
          <w:szCs w:val="22"/>
        </w:rPr>
        <w:t>的质量保证期内，中标供应商应对由于设计、工艺或材料的缺陷而产生的故障负责。</w:t>
      </w:r>
    </w:p>
    <w:p>
      <w:pPr>
        <w:snapToGrid w:val="0"/>
        <w:spacing w:line="400" w:lineRule="exact"/>
        <w:ind w:firstLine="385" w:firstLineChars="175"/>
        <w:rPr>
          <w:rFonts w:hint="eastAsia"/>
          <w:sz w:val="22"/>
          <w:szCs w:val="22"/>
        </w:rPr>
      </w:pPr>
      <w:r>
        <w:rPr>
          <w:rFonts w:hint="eastAsia"/>
          <w:sz w:val="22"/>
          <w:szCs w:val="22"/>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napToGrid w:val="0"/>
        <w:spacing w:line="400" w:lineRule="exact"/>
        <w:ind w:firstLine="420"/>
        <w:rPr>
          <w:rFonts w:hint="eastAsia"/>
          <w:sz w:val="22"/>
          <w:szCs w:val="22"/>
        </w:rPr>
      </w:pPr>
      <w:r>
        <w:rPr>
          <w:rFonts w:hint="eastAsia"/>
          <w:sz w:val="22"/>
          <w:szCs w:val="22"/>
        </w:rPr>
        <w:t>中标供应商在约定的时间内未能弥补缺陷，采购人可采取必要的补救措施，但其风险和费用将由中标供应商承担，采购人根据合同规定对中标供应商行使的其他权利不受影响。</w:t>
      </w:r>
    </w:p>
    <w:p>
      <w:pPr>
        <w:snapToGrid w:val="0"/>
        <w:spacing w:line="400" w:lineRule="exact"/>
        <w:rPr>
          <w:rFonts w:hint="eastAsia"/>
          <w:sz w:val="22"/>
          <w:szCs w:val="22"/>
        </w:rPr>
      </w:pPr>
      <w:r>
        <w:rPr>
          <w:rFonts w:hint="eastAsia"/>
          <w:sz w:val="22"/>
          <w:szCs w:val="22"/>
        </w:rPr>
        <w:t>第十三条：补救措施和索赔</w:t>
      </w:r>
    </w:p>
    <w:p>
      <w:pPr>
        <w:snapToGrid w:val="0"/>
        <w:spacing w:line="400" w:lineRule="exact"/>
        <w:ind w:firstLine="420"/>
        <w:rPr>
          <w:rFonts w:hint="eastAsia"/>
          <w:sz w:val="22"/>
          <w:szCs w:val="22"/>
        </w:rPr>
      </w:pPr>
      <w:r>
        <w:rPr>
          <w:rFonts w:hint="eastAsia"/>
          <w:sz w:val="22"/>
          <w:szCs w:val="22"/>
        </w:rPr>
        <w:t>1、采购人有权根据权威质量检测部门出具的检验报告向中标供应商提出索赔。</w:t>
      </w:r>
    </w:p>
    <w:p>
      <w:pPr>
        <w:snapToGrid w:val="0"/>
        <w:spacing w:line="400" w:lineRule="exact"/>
        <w:ind w:firstLine="420"/>
        <w:rPr>
          <w:rFonts w:hint="eastAsia"/>
          <w:sz w:val="22"/>
          <w:szCs w:val="22"/>
        </w:rPr>
      </w:pPr>
      <w:r>
        <w:rPr>
          <w:rFonts w:hint="eastAsia"/>
          <w:sz w:val="22"/>
          <w:szCs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line="400" w:lineRule="exact"/>
        <w:ind w:firstLine="440" w:firstLineChars="200"/>
        <w:rPr>
          <w:rFonts w:hint="eastAsia"/>
          <w:sz w:val="22"/>
          <w:szCs w:val="22"/>
        </w:rPr>
      </w:pPr>
      <w:r>
        <w:rPr>
          <w:rFonts w:hint="eastAsia"/>
          <w:sz w:val="22"/>
          <w:szCs w:val="22"/>
        </w:rPr>
        <w:t>（1） 中标供应商退货并将货款退还给采购人，由此发生的一切费用和损失由中标供应商承担。</w:t>
      </w:r>
    </w:p>
    <w:p>
      <w:pPr>
        <w:snapToGrid w:val="0"/>
        <w:spacing w:line="400" w:lineRule="exact"/>
        <w:ind w:firstLine="440" w:firstLineChars="200"/>
        <w:rPr>
          <w:rFonts w:hint="eastAsia"/>
          <w:sz w:val="22"/>
          <w:szCs w:val="22"/>
        </w:rPr>
      </w:pPr>
      <w:r>
        <w:rPr>
          <w:rFonts w:hint="eastAsia"/>
          <w:sz w:val="22"/>
          <w:szCs w:val="22"/>
        </w:rPr>
        <w:t>（2） 根据货物的质量状况以及采购人所遭受的损失，经过甲乙双方商定降低货物的价格。</w:t>
      </w:r>
    </w:p>
    <w:p>
      <w:pPr>
        <w:snapToGrid w:val="0"/>
        <w:spacing w:line="400" w:lineRule="exact"/>
        <w:ind w:firstLine="440" w:firstLineChars="200"/>
        <w:rPr>
          <w:rFonts w:hint="eastAsia"/>
          <w:sz w:val="22"/>
          <w:szCs w:val="22"/>
        </w:rPr>
      </w:pPr>
      <w:r>
        <w:rPr>
          <w:rFonts w:hint="eastAsia"/>
          <w:sz w:val="22"/>
          <w:szCs w:val="22"/>
        </w:rPr>
        <w:t>（3） 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line="400" w:lineRule="exact"/>
        <w:ind w:firstLine="440" w:firstLineChars="200"/>
        <w:rPr>
          <w:rFonts w:hint="eastAsia"/>
          <w:sz w:val="22"/>
          <w:szCs w:val="22"/>
        </w:rPr>
      </w:pPr>
      <w:r>
        <w:rPr>
          <w:rFonts w:hint="eastAsia"/>
          <w:sz w:val="22"/>
          <w:szCs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line="400" w:lineRule="exact"/>
        <w:rPr>
          <w:rFonts w:hint="eastAsia"/>
          <w:sz w:val="22"/>
          <w:szCs w:val="22"/>
        </w:rPr>
      </w:pPr>
      <w:r>
        <w:rPr>
          <w:rFonts w:hint="eastAsia"/>
          <w:sz w:val="22"/>
          <w:szCs w:val="22"/>
        </w:rPr>
        <w:t>第十四条：履约延误</w:t>
      </w:r>
    </w:p>
    <w:p>
      <w:pPr>
        <w:snapToGrid w:val="0"/>
        <w:spacing w:line="400" w:lineRule="exact"/>
        <w:rPr>
          <w:rFonts w:hint="eastAsia"/>
          <w:sz w:val="22"/>
          <w:szCs w:val="22"/>
        </w:rPr>
      </w:pPr>
      <w:r>
        <w:rPr>
          <w:rFonts w:hint="eastAsia"/>
          <w:sz w:val="22"/>
          <w:szCs w:val="22"/>
        </w:rPr>
        <w:t xml:space="preserve">    1、中标供应商应按照《合同》规定的时间、地点交货和提供服务。</w:t>
      </w:r>
    </w:p>
    <w:p>
      <w:pPr>
        <w:snapToGrid w:val="0"/>
        <w:spacing w:line="400" w:lineRule="exact"/>
        <w:rPr>
          <w:rFonts w:hint="eastAsia"/>
          <w:sz w:val="22"/>
          <w:szCs w:val="22"/>
        </w:rPr>
      </w:pPr>
      <w:r>
        <w:rPr>
          <w:rFonts w:hint="eastAsia"/>
          <w:sz w:val="22"/>
          <w:szCs w:val="22"/>
        </w:rPr>
        <w:t xml:space="preserve">    2、在履行《合同》过程中，如果中标供应商可能遇到妨碍按时交货和提供服务的情况时，应及时将拖延的事实、可能拖延的期限和理由通知采购人。采购人在收到中标供应商供应商通知后，应尽快对情况进行评价，并确定是否同意延长交货时间或延期提供服务。</w:t>
      </w:r>
    </w:p>
    <w:p>
      <w:pPr>
        <w:snapToGrid w:val="0"/>
        <w:spacing w:line="400" w:lineRule="exact"/>
        <w:ind w:firstLine="440" w:firstLineChars="200"/>
        <w:rPr>
          <w:rFonts w:hint="eastAsia"/>
          <w:sz w:val="22"/>
          <w:szCs w:val="22"/>
        </w:rPr>
      </w:pPr>
      <w:r>
        <w:rPr>
          <w:rFonts w:hint="eastAsia"/>
          <w:sz w:val="22"/>
          <w:szCs w:val="22"/>
        </w:rPr>
        <w:t>3、如中标供应商无正当理由而拖延交货，经协商无效,采购人有权追究中标供应商的违约责任。延期交货违约责任按每延期一天罚款2万元处理，如果超出合同规定期限10天不能供货，则采购人可以终止合同，并收取中标供应商合同总价20%的违约金。</w:t>
      </w:r>
    </w:p>
    <w:p>
      <w:pPr>
        <w:snapToGrid w:val="0"/>
        <w:spacing w:line="400" w:lineRule="exact"/>
        <w:rPr>
          <w:rFonts w:hint="eastAsia"/>
          <w:sz w:val="22"/>
          <w:szCs w:val="22"/>
        </w:rPr>
      </w:pPr>
      <w:r>
        <w:rPr>
          <w:rFonts w:hint="eastAsia"/>
          <w:sz w:val="22"/>
          <w:szCs w:val="22"/>
        </w:rPr>
        <w:t xml:space="preserve"> 第十五条：不可抗力</w:t>
      </w:r>
    </w:p>
    <w:p>
      <w:pPr>
        <w:snapToGrid w:val="0"/>
        <w:spacing w:line="400" w:lineRule="exact"/>
        <w:rPr>
          <w:rFonts w:hint="eastAsia"/>
          <w:sz w:val="22"/>
          <w:szCs w:val="22"/>
        </w:rPr>
      </w:pPr>
      <w:r>
        <w:rPr>
          <w:rFonts w:hint="eastAsia"/>
          <w:sz w:val="22"/>
          <w:szCs w:val="22"/>
        </w:rPr>
        <w:t xml:space="preserve">    1、如果合同各方因不可抗力而导致合同实施延误或不能履行合同义务的话，不应该承担误期赔偿或不能履行合同义务的责任。</w:t>
      </w:r>
    </w:p>
    <w:p>
      <w:pPr>
        <w:snapToGrid w:val="0"/>
        <w:spacing w:line="400" w:lineRule="exact"/>
        <w:rPr>
          <w:rFonts w:hint="eastAsia"/>
          <w:sz w:val="22"/>
          <w:szCs w:val="22"/>
        </w:rPr>
      </w:pPr>
      <w:r>
        <w:rPr>
          <w:rFonts w:hint="eastAsia"/>
          <w:sz w:val="22"/>
          <w:szCs w:val="22"/>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400" w:lineRule="exact"/>
        <w:rPr>
          <w:rFonts w:hint="eastAsia"/>
          <w:sz w:val="22"/>
          <w:szCs w:val="22"/>
        </w:rPr>
      </w:pPr>
      <w:r>
        <w:rPr>
          <w:rFonts w:hint="eastAsia"/>
          <w:sz w:val="22"/>
          <w:szCs w:val="22"/>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32"/>
        <w:snapToGrid w:val="0"/>
        <w:spacing w:line="400" w:lineRule="exact"/>
        <w:rPr>
          <w:rFonts w:hint="eastAsia" w:hAnsi="宋体"/>
          <w:sz w:val="22"/>
          <w:szCs w:val="22"/>
        </w:rPr>
      </w:pPr>
      <w:r>
        <w:rPr>
          <w:rFonts w:hint="eastAsia" w:hAnsi="宋体"/>
          <w:sz w:val="22"/>
          <w:szCs w:val="22"/>
        </w:rPr>
        <w:t>第十六条：争议的解决</w:t>
      </w:r>
    </w:p>
    <w:p>
      <w:pPr>
        <w:pStyle w:val="32"/>
        <w:snapToGrid w:val="0"/>
        <w:spacing w:line="400" w:lineRule="exact"/>
        <w:ind w:firstLine="480"/>
        <w:rPr>
          <w:rFonts w:hint="eastAsia" w:hAnsi="宋体"/>
          <w:sz w:val="22"/>
          <w:szCs w:val="22"/>
        </w:rPr>
      </w:pPr>
      <w:r>
        <w:rPr>
          <w:rFonts w:hint="eastAsia" w:hAnsi="宋体"/>
          <w:sz w:val="22"/>
          <w:szCs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400" w:lineRule="exact"/>
        <w:rPr>
          <w:rFonts w:hint="eastAsia"/>
          <w:sz w:val="22"/>
          <w:szCs w:val="22"/>
        </w:rPr>
      </w:pPr>
      <w:r>
        <w:rPr>
          <w:rFonts w:hint="eastAsia"/>
          <w:sz w:val="22"/>
          <w:szCs w:val="22"/>
        </w:rPr>
        <w:t>第十七条：违约处理</w:t>
      </w:r>
    </w:p>
    <w:p>
      <w:pPr>
        <w:snapToGrid w:val="0"/>
        <w:spacing w:line="400" w:lineRule="exact"/>
        <w:rPr>
          <w:rFonts w:hint="eastAsia"/>
          <w:sz w:val="22"/>
          <w:szCs w:val="22"/>
        </w:rPr>
      </w:pPr>
      <w:r>
        <w:rPr>
          <w:rFonts w:hint="eastAsia"/>
          <w:sz w:val="22"/>
          <w:szCs w:val="22"/>
        </w:rPr>
        <w:t xml:space="preserve">    1、在采购人对中标供应商违约而采取的任何补救措施不受影响的情况下，采购人可在下列情况下向中标供应商发出书面通知书，提出终止部分或全部合同。</w:t>
      </w:r>
    </w:p>
    <w:p>
      <w:pPr>
        <w:snapToGrid w:val="0"/>
        <w:spacing w:line="400" w:lineRule="exact"/>
        <w:outlineLvl w:val="0"/>
        <w:rPr>
          <w:rFonts w:hint="eastAsia"/>
          <w:sz w:val="22"/>
          <w:szCs w:val="22"/>
        </w:rPr>
      </w:pPr>
      <w:r>
        <w:rPr>
          <w:rFonts w:hint="eastAsia"/>
          <w:sz w:val="22"/>
          <w:szCs w:val="22"/>
        </w:rPr>
        <w:t xml:space="preserve">   （1）中标供应商提供的产品质量、配置不符合国家规定和承诺的标准；</w:t>
      </w:r>
    </w:p>
    <w:p>
      <w:pPr>
        <w:snapToGrid w:val="0"/>
        <w:spacing w:line="400" w:lineRule="exact"/>
        <w:ind w:firstLine="360"/>
        <w:rPr>
          <w:rFonts w:hint="eastAsia"/>
          <w:sz w:val="22"/>
          <w:szCs w:val="22"/>
        </w:rPr>
      </w:pPr>
      <w:r>
        <w:rPr>
          <w:rFonts w:hint="eastAsia"/>
          <w:sz w:val="22"/>
          <w:szCs w:val="22"/>
        </w:rPr>
        <w:t>（2）中标供应商没有按承诺的时间供货、维修或提供其他服务；</w:t>
      </w:r>
    </w:p>
    <w:p>
      <w:pPr>
        <w:snapToGrid w:val="0"/>
        <w:spacing w:line="400" w:lineRule="exact"/>
        <w:outlineLvl w:val="0"/>
        <w:rPr>
          <w:rFonts w:hint="eastAsia"/>
          <w:sz w:val="22"/>
          <w:szCs w:val="22"/>
        </w:rPr>
      </w:pPr>
      <w:r>
        <w:rPr>
          <w:rFonts w:hint="eastAsia"/>
          <w:sz w:val="22"/>
          <w:szCs w:val="22"/>
        </w:rPr>
        <w:t xml:space="preserve">   （3）中标供应商没有按承诺的价格或优惠率签订合同并供货；</w:t>
      </w:r>
    </w:p>
    <w:p>
      <w:pPr>
        <w:snapToGrid w:val="0"/>
        <w:spacing w:line="400" w:lineRule="exact"/>
        <w:rPr>
          <w:rFonts w:hint="eastAsia"/>
          <w:sz w:val="22"/>
          <w:szCs w:val="22"/>
        </w:rPr>
      </w:pPr>
      <w:r>
        <w:rPr>
          <w:rFonts w:hint="eastAsia"/>
          <w:sz w:val="22"/>
          <w:szCs w:val="22"/>
        </w:rPr>
        <w:t xml:space="preserve">    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line="400" w:lineRule="exact"/>
        <w:rPr>
          <w:rFonts w:hint="eastAsia"/>
          <w:sz w:val="22"/>
          <w:szCs w:val="22"/>
        </w:rPr>
      </w:pPr>
      <w:r>
        <w:rPr>
          <w:rFonts w:hint="eastAsia"/>
          <w:sz w:val="22"/>
          <w:szCs w:val="22"/>
        </w:rPr>
        <w:t>第十八条：合同转让和分包</w:t>
      </w:r>
    </w:p>
    <w:p>
      <w:pPr>
        <w:snapToGrid w:val="0"/>
        <w:spacing w:line="400" w:lineRule="exact"/>
        <w:rPr>
          <w:rFonts w:hint="eastAsia"/>
          <w:sz w:val="22"/>
          <w:szCs w:val="22"/>
        </w:rPr>
      </w:pPr>
      <w:r>
        <w:rPr>
          <w:rFonts w:hint="eastAsia"/>
          <w:sz w:val="22"/>
          <w:szCs w:val="22"/>
        </w:rPr>
        <w:t xml:space="preserve">    除采购人事先书面同意外，中标供应商不得转让和分包其应履行的合同义务。</w:t>
      </w:r>
    </w:p>
    <w:p>
      <w:pPr>
        <w:snapToGrid w:val="0"/>
        <w:spacing w:line="400" w:lineRule="exact"/>
        <w:rPr>
          <w:rFonts w:hint="eastAsia"/>
          <w:sz w:val="22"/>
          <w:szCs w:val="22"/>
        </w:rPr>
      </w:pPr>
      <w:r>
        <w:rPr>
          <w:rFonts w:hint="eastAsia"/>
          <w:sz w:val="22"/>
          <w:szCs w:val="22"/>
        </w:rPr>
        <w:t>第十九条：合同生效</w:t>
      </w:r>
    </w:p>
    <w:p>
      <w:pPr>
        <w:pStyle w:val="32"/>
        <w:snapToGrid w:val="0"/>
        <w:spacing w:line="400" w:lineRule="exact"/>
        <w:ind w:firstLine="482"/>
        <w:rPr>
          <w:rFonts w:hint="eastAsia" w:hAnsi="宋体"/>
          <w:sz w:val="22"/>
          <w:szCs w:val="22"/>
        </w:rPr>
      </w:pPr>
      <w:r>
        <w:rPr>
          <w:rFonts w:hint="eastAsia" w:hAnsi="宋体"/>
          <w:sz w:val="22"/>
          <w:szCs w:val="22"/>
        </w:rPr>
        <w:t>1、如上述文件与本合同有不符之处，以有利于采购人的为准。</w:t>
      </w:r>
    </w:p>
    <w:p>
      <w:pPr>
        <w:pStyle w:val="32"/>
        <w:snapToGrid w:val="0"/>
        <w:spacing w:line="400" w:lineRule="exact"/>
        <w:ind w:firstLine="482"/>
        <w:rPr>
          <w:rFonts w:hint="eastAsia" w:hAnsi="宋体"/>
          <w:sz w:val="22"/>
          <w:szCs w:val="22"/>
          <w:u w:val="single"/>
        </w:rPr>
      </w:pPr>
      <w:r>
        <w:rPr>
          <w:rFonts w:hint="eastAsia" w:hAnsi="宋体"/>
          <w:sz w:val="22"/>
          <w:szCs w:val="22"/>
        </w:rPr>
        <w:t>2、</w:t>
      </w:r>
      <w:r>
        <w:rPr>
          <w:rFonts w:hint="eastAsia" w:hAnsi="宋体"/>
          <w:sz w:val="22"/>
          <w:szCs w:val="22"/>
          <w:u w:val="single"/>
        </w:rPr>
        <w:t>本合同在双方法定代表人或授权代表签署，甲、乙双方加盖印章后合同鉴证后生效。</w:t>
      </w:r>
    </w:p>
    <w:p>
      <w:pPr>
        <w:pStyle w:val="32"/>
        <w:snapToGrid w:val="0"/>
        <w:spacing w:line="400" w:lineRule="exact"/>
        <w:ind w:firstLine="482"/>
        <w:rPr>
          <w:rFonts w:hint="eastAsia" w:hAnsi="宋体"/>
          <w:sz w:val="22"/>
          <w:szCs w:val="22"/>
        </w:rPr>
      </w:pPr>
      <w:r>
        <w:rPr>
          <w:rFonts w:hint="eastAsia" w:hAnsi="宋体"/>
          <w:color w:val="000000"/>
          <w:sz w:val="22"/>
          <w:szCs w:val="22"/>
        </w:rPr>
        <w:t>3、本合同一式伍份，甲乙双方各贰份，平阳县公共资源交易中心执壹份。</w:t>
      </w:r>
    </w:p>
    <w:p>
      <w:pPr>
        <w:snapToGrid w:val="0"/>
        <w:spacing w:line="400" w:lineRule="exact"/>
        <w:rPr>
          <w:rFonts w:hint="eastAsia"/>
          <w:sz w:val="22"/>
          <w:szCs w:val="22"/>
        </w:rPr>
      </w:pPr>
      <w:r>
        <w:rPr>
          <w:rFonts w:hint="eastAsia"/>
          <w:sz w:val="22"/>
          <w:szCs w:val="22"/>
        </w:rPr>
        <w:t>第二十条：合同修改</w:t>
      </w:r>
    </w:p>
    <w:p>
      <w:pPr>
        <w:snapToGrid w:val="0"/>
        <w:spacing w:line="400" w:lineRule="exact"/>
        <w:ind w:firstLine="480"/>
        <w:rPr>
          <w:rFonts w:hint="eastAsia"/>
          <w:sz w:val="22"/>
          <w:szCs w:val="22"/>
        </w:rPr>
      </w:pPr>
      <w:r>
        <w:rPr>
          <w:rFonts w:hint="eastAsia"/>
          <w:sz w:val="22"/>
          <w:szCs w:val="22"/>
        </w:rPr>
        <w:t>除了双方签署书面修改合同，并成为本合同不可分割的一部分之外，本合同条件不得有任何变化或修改。</w:t>
      </w:r>
    </w:p>
    <w:p>
      <w:pPr>
        <w:pStyle w:val="32"/>
        <w:snapToGrid w:val="0"/>
        <w:spacing w:line="400" w:lineRule="exact"/>
        <w:rPr>
          <w:rFonts w:hint="eastAsia" w:hAnsi="宋体"/>
          <w:sz w:val="22"/>
          <w:szCs w:val="22"/>
        </w:rPr>
      </w:pPr>
      <w:r>
        <w:rPr>
          <w:rFonts w:hint="eastAsia" w:hAnsi="宋体"/>
          <w:sz w:val="22"/>
          <w:szCs w:val="22"/>
        </w:rPr>
        <w:t>第二十一条 合同附件</w:t>
      </w:r>
    </w:p>
    <w:p>
      <w:pPr>
        <w:snapToGrid w:val="0"/>
        <w:spacing w:line="400" w:lineRule="exact"/>
        <w:textAlignment w:val="baseline"/>
        <w:rPr>
          <w:rFonts w:hint="eastAsia"/>
          <w:sz w:val="22"/>
          <w:szCs w:val="22"/>
          <w:lang/>
        </w:rPr>
      </w:pPr>
      <w:r>
        <w:rPr>
          <w:rFonts w:hint="eastAsia"/>
          <w:sz w:val="22"/>
          <w:szCs w:val="22"/>
        </w:rPr>
        <w:t xml:space="preserve">    </w:t>
      </w:r>
      <w:r>
        <w:rPr>
          <w:rFonts w:hint="eastAsia"/>
          <w:sz w:val="22"/>
          <w:szCs w:val="22"/>
          <w:lang/>
        </w:rPr>
        <w:t>下列文件与本合同具有同等法律效力：</w:t>
      </w:r>
    </w:p>
    <w:p>
      <w:pPr>
        <w:snapToGrid w:val="0"/>
        <w:spacing w:line="400" w:lineRule="exact"/>
        <w:ind w:firstLine="431" w:firstLineChars="196"/>
        <w:textAlignment w:val="baseline"/>
        <w:rPr>
          <w:rFonts w:hint="eastAsia"/>
          <w:sz w:val="22"/>
          <w:szCs w:val="22"/>
          <w:lang/>
        </w:rPr>
      </w:pPr>
      <w:r>
        <w:rPr>
          <w:rFonts w:hint="eastAsia"/>
          <w:sz w:val="22"/>
          <w:szCs w:val="22"/>
          <w:lang/>
        </w:rPr>
        <w:t>1、采购人的采购文件与采购补充文件；</w:t>
      </w:r>
    </w:p>
    <w:p>
      <w:pPr>
        <w:snapToGrid w:val="0"/>
        <w:spacing w:line="400" w:lineRule="exact"/>
        <w:ind w:firstLine="431" w:firstLineChars="196"/>
        <w:textAlignment w:val="baseline"/>
        <w:rPr>
          <w:rFonts w:hint="eastAsia"/>
          <w:sz w:val="22"/>
          <w:szCs w:val="22"/>
          <w:lang/>
        </w:rPr>
      </w:pPr>
      <w:r>
        <w:rPr>
          <w:rFonts w:hint="eastAsia"/>
          <w:sz w:val="22"/>
          <w:szCs w:val="22"/>
          <w:lang/>
        </w:rPr>
        <w:t>2、中标供应商谈判文件；</w:t>
      </w:r>
    </w:p>
    <w:p>
      <w:pPr>
        <w:pStyle w:val="32"/>
        <w:snapToGrid w:val="0"/>
        <w:spacing w:line="400" w:lineRule="exact"/>
        <w:ind w:firstLine="323" w:firstLineChars="147"/>
        <w:textAlignment w:val="baseline"/>
        <w:rPr>
          <w:rFonts w:hint="eastAsia" w:hAnsi="宋体"/>
          <w:sz w:val="22"/>
          <w:szCs w:val="22"/>
        </w:rPr>
      </w:pPr>
      <w:r>
        <w:rPr>
          <w:rFonts w:hint="eastAsia" w:hAnsi="宋体"/>
          <w:sz w:val="22"/>
          <w:szCs w:val="22"/>
          <w:lang/>
        </w:rPr>
        <w:t xml:space="preserve"> 3、询标纪要和承诺书。</w:t>
      </w:r>
    </w:p>
    <w:p>
      <w:pPr>
        <w:snapToGrid w:val="0"/>
        <w:spacing w:line="400" w:lineRule="exact"/>
        <w:ind w:firstLine="440" w:firstLineChars="200"/>
        <w:rPr>
          <w:rFonts w:hint="eastAsia"/>
          <w:color w:val="000000"/>
          <w:sz w:val="22"/>
          <w:szCs w:val="22"/>
        </w:rPr>
      </w:pPr>
      <w:r>
        <w:rPr>
          <w:rFonts w:hint="eastAsia"/>
          <w:sz w:val="22"/>
          <w:szCs w:val="22"/>
        </w:rPr>
        <w:t>4、中标通知书</w:t>
      </w:r>
    </w:p>
    <w:p>
      <w:pPr>
        <w:snapToGrid w:val="0"/>
        <w:spacing w:line="400" w:lineRule="exact"/>
        <w:ind w:firstLine="431" w:firstLineChars="196"/>
        <w:rPr>
          <w:rFonts w:hint="eastAsia"/>
          <w:color w:val="000000"/>
          <w:sz w:val="22"/>
          <w:szCs w:val="22"/>
          <w:lang/>
        </w:rPr>
      </w:pPr>
      <w:r>
        <w:rPr>
          <w:rFonts w:hint="eastAsia"/>
          <w:color w:val="000000"/>
          <w:sz w:val="22"/>
          <w:szCs w:val="22"/>
          <w:lang/>
        </w:rPr>
        <w:t>采购人(盖章)：                                          中标供应商（盖章）</w:t>
      </w:r>
    </w:p>
    <w:p>
      <w:pPr>
        <w:snapToGrid w:val="0"/>
        <w:spacing w:line="400" w:lineRule="exact"/>
        <w:ind w:firstLine="431" w:firstLineChars="196"/>
        <w:rPr>
          <w:rFonts w:hint="eastAsia"/>
          <w:color w:val="000000"/>
          <w:sz w:val="22"/>
          <w:szCs w:val="22"/>
          <w:lang/>
        </w:rPr>
      </w:pPr>
      <w:r>
        <w:rPr>
          <w:rFonts w:hint="eastAsia"/>
          <w:color w:val="000000"/>
          <w:sz w:val="22"/>
          <w:szCs w:val="22"/>
          <w:lang/>
        </w:rPr>
        <w:t>法定代表人：                                            法定代表人：</w:t>
      </w:r>
    </w:p>
    <w:p>
      <w:pPr>
        <w:snapToGrid w:val="0"/>
        <w:spacing w:line="400" w:lineRule="exact"/>
        <w:ind w:firstLine="431" w:firstLineChars="196"/>
        <w:rPr>
          <w:rFonts w:hint="eastAsia"/>
          <w:color w:val="000000"/>
          <w:sz w:val="22"/>
          <w:szCs w:val="22"/>
          <w:lang/>
        </w:rPr>
      </w:pPr>
      <w:r>
        <w:rPr>
          <w:rFonts w:hint="eastAsia"/>
          <w:color w:val="000000"/>
          <w:sz w:val="22"/>
          <w:szCs w:val="22"/>
          <w:lang/>
        </w:rPr>
        <w:t>开户银行：                                              开户银行：</w:t>
      </w:r>
    </w:p>
    <w:p>
      <w:pPr>
        <w:snapToGrid w:val="0"/>
        <w:spacing w:line="400" w:lineRule="exact"/>
        <w:ind w:firstLine="431" w:firstLineChars="196"/>
        <w:rPr>
          <w:rFonts w:hint="eastAsia"/>
          <w:color w:val="000000"/>
          <w:sz w:val="22"/>
          <w:szCs w:val="22"/>
          <w:lang/>
        </w:rPr>
      </w:pPr>
      <w:r>
        <w:rPr>
          <w:rFonts w:hint="eastAsia"/>
          <w:color w:val="000000"/>
          <w:sz w:val="22"/>
          <w:szCs w:val="22"/>
          <w:lang/>
        </w:rPr>
        <w:t>开户名称：                                              开户名称：</w:t>
      </w:r>
    </w:p>
    <w:p>
      <w:pPr>
        <w:snapToGrid w:val="0"/>
        <w:spacing w:line="400" w:lineRule="exact"/>
        <w:ind w:firstLine="431" w:firstLineChars="196"/>
        <w:rPr>
          <w:rFonts w:hint="eastAsia"/>
          <w:color w:val="000000"/>
          <w:sz w:val="22"/>
          <w:szCs w:val="22"/>
          <w:lang/>
        </w:rPr>
      </w:pPr>
      <w:r>
        <w:rPr>
          <w:rFonts w:hint="eastAsia"/>
          <w:color w:val="000000"/>
          <w:sz w:val="22"/>
          <w:szCs w:val="22"/>
          <w:lang/>
        </w:rPr>
        <w:t>账号：                                                  账号：</w:t>
      </w:r>
    </w:p>
    <w:p>
      <w:pPr>
        <w:snapToGrid w:val="0"/>
        <w:spacing w:line="400" w:lineRule="exact"/>
        <w:ind w:firstLine="435" w:firstLineChars="198"/>
        <w:rPr>
          <w:rFonts w:hint="eastAsia"/>
          <w:color w:val="000000"/>
          <w:sz w:val="22"/>
          <w:szCs w:val="22"/>
          <w:lang/>
        </w:rPr>
      </w:pPr>
      <w:r>
        <w:rPr>
          <w:rFonts w:hint="eastAsia"/>
          <w:color w:val="000000"/>
          <w:sz w:val="22"/>
          <w:szCs w:val="22"/>
          <w:lang/>
        </w:rPr>
        <w:t>签约日期：                                              签约地点：</w:t>
      </w:r>
      <w:bookmarkEnd w:id="278"/>
      <w:bookmarkEnd w:id="279"/>
      <w:bookmarkEnd w:id="280"/>
      <w:bookmarkEnd w:id="281"/>
      <w:bookmarkEnd w:id="282"/>
    </w:p>
    <w:p>
      <w:pPr>
        <w:autoSpaceDE w:val="0"/>
        <w:autoSpaceDN w:val="0"/>
        <w:adjustRightInd w:val="0"/>
        <w:spacing w:line="440" w:lineRule="atLeast"/>
        <w:rPr>
          <w:rFonts w:hint="eastAsia"/>
          <w:b/>
          <w:sz w:val="36"/>
          <w:lang w:val="zh-CN"/>
        </w:rPr>
      </w:pPr>
    </w:p>
    <w:p>
      <w:pPr>
        <w:autoSpaceDE w:val="0"/>
        <w:autoSpaceDN w:val="0"/>
        <w:adjustRightInd w:val="0"/>
        <w:spacing w:line="440" w:lineRule="atLeast"/>
        <w:rPr>
          <w:rFonts w:hint="eastAsia"/>
          <w:b/>
          <w:sz w:val="36"/>
          <w:lang w:val="zh-CN"/>
        </w:rPr>
      </w:pPr>
    </w:p>
    <w:p>
      <w:pPr>
        <w:autoSpaceDE w:val="0"/>
        <w:autoSpaceDN w:val="0"/>
        <w:adjustRightInd w:val="0"/>
        <w:spacing w:line="440" w:lineRule="atLeast"/>
        <w:rPr>
          <w:rFonts w:hint="eastAsia"/>
          <w:b/>
          <w:sz w:val="36"/>
          <w:lang w:val="zh-CN"/>
        </w:rPr>
      </w:pPr>
    </w:p>
    <w:p>
      <w:pPr>
        <w:pStyle w:val="32"/>
        <w:adjustRightInd w:val="0"/>
        <w:snapToGrid w:val="0"/>
        <w:spacing w:line="400" w:lineRule="exact"/>
        <w:rPr>
          <w:rFonts w:hint="eastAsia" w:hAnsi="宋体"/>
          <w:color w:val="000000"/>
          <w:sz w:val="36"/>
          <w:szCs w:val="36"/>
        </w:rPr>
      </w:pPr>
    </w:p>
    <w:p>
      <w:pPr>
        <w:pStyle w:val="32"/>
        <w:adjustRightInd w:val="0"/>
        <w:snapToGrid w:val="0"/>
        <w:spacing w:line="400" w:lineRule="exact"/>
        <w:ind w:firstLine="1800" w:firstLineChars="500"/>
        <w:jc w:val="both"/>
        <w:rPr>
          <w:rFonts w:hint="eastAsia" w:hAnsi="宋体"/>
          <w:color w:val="000000"/>
          <w:sz w:val="36"/>
          <w:szCs w:val="36"/>
        </w:rPr>
      </w:pPr>
      <w:r>
        <w:rPr>
          <w:rFonts w:hint="eastAsia" w:hAnsi="宋体"/>
          <w:color w:val="000000"/>
          <w:sz w:val="36"/>
          <w:szCs w:val="36"/>
        </w:rPr>
        <w:t>第六部分    附件—投标文件格式</w:t>
      </w:r>
    </w:p>
    <w:p>
      <w:pPr>
        <w:pStyle w:val="32"/>
        <w:adjustRightInd w:val="0"/>
        <w:snapToGrid w:val="0"/>
        <w:spacing w:line="500" w:lineRule="exact"/>
        <w:rPr>
          <w:rFonts w:hint="eastAsia" w:hAnsi="宋体"/>
          <w:color w:val="000000"/>
          <w:sz w:val="36"/>
        </w:rPr>
      </w:pPr>
      <w:r>
        <w:rPr>
          <w:rFonts w:hint="eastAsia" w:hAnsi="宋体"/>
          <w:color w:val="000000"/>
          <w:sz w:val="30"/>
        </w:rPr>
        <w:t>附件一</w:t>
      </w:r>
      <w:r>
        <w:rPr>
          <w:rFonts w:hint="eastAsia" w:hAnsi="宋体"/>
          <w:color w:val="000000"/>
          <w:sz w:val="24"/>
        </w:rPr>
        <w:cr/>
      </w:r>
      <w:r>
        <w:rPr>
          <w:rFonts w:hint="eastAsia" w:hAnsi="宋体"/>
          <w:color w:val="000000"/>
          <w:sz w:val="32"/>
        </w:rPr>
        <w:t xml:space="preserve">                         </w:t>
      </w:r>
      <w:r>
        <w:rPr>
          <w:rFonts w:hint="eastAsia" w:hAnsi="宋体"/>
          <w:color w:val="000000"/>
          <w:sz w:val="36"/>
        </w:rPr>
        <w:t>投  标  函</w:t>
      </w:r>
    </w:p>
    <w:p>
      <w:pPr>
        <w:pStyle w:val="32"/>
        <w:adjustRightInd w:val="0"/>
        <w:snapToGrid w:val="0"/>
        <w:spacing w:line="360" w:lineRule="atLeast"/>
        <w:ind w:firstLine="450"/>
        <w:rPr>
          <w:rFonts w:hint="eastAsia" w:hAnsi="宋体"/>
          <w:color w:val="000000"/>
          <w:sz w:val="22"/>
          <w:szCs w:val="22"/>
          <w:u w:val="single"/>
        </w:rPr>
      </w:pPr>
      <w:r>
        <w:rPr>
          <w:rFonts w:hint="eastAsia" w:hAnsi="宋体"/>
          <w:color w:val="000000"/>
          <w:sz w:val="22"/>
          <w:szCs w:val="22"/>
          <w:u w:val="single"/>
        </w:rPr>
        <w:t>中共平阳县委政法委员会：</w:t>
      </w:r>
    </w:p>
    <w:p>
      <w:pPr>
        <w:pStyle w:val="32"/>
        <w:adjustRightInd w:val="0"/>
        <w:snapToGrid w:val="0"/>
        <w:spacing w:line="360" w:lineRule="atLeast"/>
        <w:ind w:firstLine="450"/>
        <w:rPr>
          <w:rFonts w:hint="eastAsia" w:hAnsi="宋体"/>
          <w:color w:val="000000"/>
          <w:sz w:val="22"/>
          <w:szCs w:val="22"/>
        </w:rPr>
      </w:pPr>
    </w:p>
    <w:p>
      <w:pPr>
        <w:autoSpaceDE w:val="0"/>
        <w:autoSpaceDN w:val="0"/>
        <w:adjustRightInd w:val="0"/>
        <w:snapToGrid w:val="0"/>
        <w:spacing w:line="360" w:lineRule="atLeast"/>
        <w:rPr>
          <w:rFonts w:cs="仿宋_GB2312"/>
          <w:color w:val="000000"/>
          <w:sz w:val="22"/>
          <w:szCs w:val="22"/>
          <w:lang w:val="zh-CN"/>
        </w:rPr>
      </w:pPr>
      <w:r>
        <w:rPr>
          <w:rFonts w:hint="eastAsia"/>
          <w:color w:val="000000"/>
          <w:sz w:val="22"/>
          <w:szCs w:val="22"/>
        </w:rPr>
        <w:t xml:space="preserve">     </w:t>
      </w:r>
      <w:r>
        <w:rPr>
          <w:rFonts w:cs="仿宋_GB2312"/>
          <w:color w:val="000000"/>
          <w:sz w:val="22"/>
          <w:szCs w:val="22"/>
          <w:lang w:val="zh-CN"/>
        </w:rPr>
        <w:t xml:space="preserve"> </w:t>
      </w:r>
      <w:r>
        <w:rPr>
          <w:rFonts w:cs="仿宋_GB2312"/>
          <w:color w:val="000000"/>
          <w:sz w:val="22"/>
          <w:szCs w:val="22"/>
          <w:u w:val="single"/>
          <w:lang w:val="zh-CN"/>
        </w:rPr>
        <w:t xml:space="preserve">                    </w:t>
      </w:r>
      <w:r>
        <w:rPr>
          <w:rFonts w:hint="eastAsia" w:cs="仿宋_GB2312"/>
          <w:color w:val="000000"/>
          <w:sz w:val="22"/>
          <w:szCs w:val="22"/>
          <w:lang w:val="zh-CN"/>
        </w:rPr>
        <w:t>（供应商全称）授权</w:t>
      </w:r>
      <w:r>
        <w:rPr>
          <w:rFonts w:cs="仿宋_GB2312"/>
          <w:color w:val="000000"/>
          <w:sz w:val="22"/>
          <w:szCs w:val="22"/>
          <w:u w:val="single"/>
          <w:lang w:val="zh-CN"/>
        </w:rPr>
        <w:t xml:space="preserve">              </w:t>
      </w:r>
      <w:r>
        <w:rPr>
          <w:rFonts w:cs="仿宋_GB2312"/>
          <w:color w:val="000000"/>
          <w:sz w:val="22"/>
          <w:szCs w:val="22"/>
          <w:lang w:val="zh-CN"/>
        </w:rPr>
        <w:t xml:space="preserve"> </w:t>
      </w:r>
      <w:r>
        <w:rPr>
          <w:rFonts w:hint="eastAsia" w:cs="仿宋_GB2312"/>
          <w:color w:val="000000"/>
          <w:sz w:val="22"/>
          <w:szCs w:val="22"/>
          <w:lang w:val="zh-CN"/>
        </w:rPr>
        <w:t>（授权代表名称）</w:t>
      </w:r>
      <w:r>
        <w:rPr>
          <w:rFonts w:cs="仿宋_GB2312"/>
          <w:color w:val="000000"/>
          <w:sz w:val="22"/>
          <w:szCs w:val="22"/>
          <w:u w:val="single"/>
          <w:lang w:val="zh-CN"/>
        </w:rPr>
        <w:t xml:space="preserve">         </w:t>
      </w:r>
      <w:r>
        <w:rPr>
          <w:rFonts w:hint="eastAsia" w:cs="仿宋_GB2312"/>
          <w:color w:val="000000"/>
          <w:sz w:val="22"/>
          <w:szCs w:val="22"/>
          <w:lang w:val="zh-CN"/>
        </w:rPr>
        <w:t>（职务、职称）为授权代表，参加贵方组织的</w:t>
      </w:r>
      <w:r>
        <w:rPr>
          <w:rFonts w:cs="仿宋_GB2312"/>
          <w:color w:val="000000"/>
          <w:sz w:val="22"/>
          <w:szCs w:val="22"/>
          <w:u w:val="single"/>
          <w:lang w:val="zh-CN"/>
        </w:rPr>
        <w:t xml:space="preserve">           </w:t>
      </w:r>
      <w:r>
        <w:rPr>
          <w:rFonts w:hint="eastAsia" w:cs="仿宋_GB2312"/>
          <w:color w:val="000000"/>
          <w:sz w:val="22"/>
          <w:szCs w:val="22"/>
          <w:lang w:val="zh-CN"/>
        </w:rPr>
        <w:t>（招标项目名称）（括号内填投标编号）招标的有关活动，为此：并对</w:t>
      </w:r>
      <w:r>
        <w:rPr>
          <w:rFonts w:hint="eastAsia" w:cs="仿宋_GB2312"/>
          <w:color w:val="000000"/>
          <w:sz w:val="22"/>
          <w:szCs w:val="22"/>
          <w:u w:val="single"/>
          <w:lang w:val="zh-CN"/>
        </w:rPr>
        <w:t xml:space="preserve">            </w:t>
      </w:r>
      <w:r>
        <w:rPr>
          <w:rFonts w:hint="eastAsia" w:cs="仿宋_GB2312"/>
          <w:color w:val="000000"/>
          <w:sz w:val="22"/>
          <w:szCs w:val="22"/>
          <w:lang w:val="zh-CN"/>
        </w:rPr>
        <w:t>项目（采购项目名称）进行投标。</w:t>
      </w:r>
      <w:r>
        <w:rPr>
          <w:rFonts w:cs="仿宋_GB2312"/>
          <w:color w:val="000000"/>
          <w:sz w:val="22"/>
          <w:szCs w:val="22"/>
          <w:lang w:val="zh-CN"/>
        </w:rPr>
        <w:t xml:space="preserve">   </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1、提供供应商须知规定的全部投标文件：</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投标文件正本一份，副本六份；</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cs="仿宋_GB2312"/>
          <w:color w:val="000000"/>
          <w:sz w:val="22"/>
          <w:szCs w:val="22"/>
          <w:lang w:val="zh-CN"/>
        </w:rPr>
        <w:t>2</w:t>
      </w:r>
      <w:r>
        <w:rPr>
          <w:rFonts w:hint="eastAsia" w:cs="仿宋_GB2312"/>
          <w:color w:val="000000"/>
          <w:sz w:val="22"/>
          <w:szCs w:val="22"/>
          <w:lang w:val="zh-CN"/>
        </w:rPr>
        <w:t>、保证遵守招标文件中的有关规定和收费标准。</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3、保证忠实地执行采购人、中标供应商双方所签的合同，</w:t>
      </w:r>
      <w:r>
        <w:rPr>
          <w:rFonts w:cs="仿宋_GB2312"/>
          <w:color w:val="000000"/>
          <w:sz w:val="22"/>
          <w:szCs w:val="22"/>
          <w:lang w:val="zh-CN"/>
        </w:rPr>
        <w:t xml:space="preserve"> </w:t>
      </w:r>
      <w:r>
        <w:rPr>
          <w:rFonts w:hint="eastAsia" w:cs="仿宋_GB2312"/>
          <w:color w:val="000000"/>
          <w:sz w:val="22"/>
          <w:szCs w:val="22"/>
          <w:lang w:val="zh-CN"/>
        </w:rPr>
        <w:t>并承担合同规定的责任义务。</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4、我方承诺在合同生效后</w:t>
      </w:r>
      <w:r>
        <w:rPr>
          <w:rFonts w:hint="eastAsia" w:cs="仿宋_GB2312"/>
          <w:b/>
          <w:color w:val="000000"/>
          <w:sz w:val="22"/>
          <w:szCs w:val="22"/>
          <w:u w:val="single"/>
          <w:lang w:val="zh-CN"/>
        </w:rPr>
        <w:t>按招标文件要求完成本项目</w:t>
      </w:r>
      <w:r>
        <w:rPr>
          <w:rFonts w:hint="eastAsia" w:cs="仿宋_GB2312"/>
          <w:color w:val="000000"/>
          <w:sz w:val="22"/>
          <w:szCs w:val="22"/>
          <w:lang w:val="zh-CN"/>
        </w:rPr>
        <w:t>。</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5、供应商已详细审查全部招标文件，包括招标文件补充文件（如果有的话）。我方完全理解并同意放弃对这方面有不明及误解的权力。如果招标文件有相互矛盾之处，我方同意按采购人的理解处理。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6、利益冲突：近三年内直至目前，我公司与本项目的采购人、采购机构没有任何的利害关系。</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7、我公司近三年内没有行贿受贿记录；我公司符合</w:t>
      </w:r>
      <w:r>
        <w:rPr>
          <w:color w:val="000000"/>
          <w:sz w:val="22"/>
          <w:szCs w:val="22"/>
        </w:rPr>
        <w:t>《中华人民共和国政府采购法》</w:t>
      </w:r>
      <w:r>
        <w:rPr>
          <w:rFonts w:hint="eastAsia"/>
          <w:color w:val="000000"/>
          <w:sz w:val="22"/>
          <w:szCs w:val="22"/>
        </w:rPr>
        <w:t>第二十二条</w:t>
      </w:r>
      <w:r>
        <w:rPr>
          <w:color w:val="000000"/>
          <w:sz w:val="22"/>
          <w:szCs w:val="22"/>
        </w:rPr>
        <w:t>对</w:t>
      </w:r>
      <w:r>
        <w:rPr>
          <w:rFonts w:hint="eastAsia"/>
          <w:color w:val="000000"/>
          <w:sz w:val="22"/>
          <w:szCs w:val="22"/>
        </w:rPr>
        <w:t>供应商</w:t>
      </w:r>
      <w:r>
        <w:rPr>
          <w:color w:val="000000"/>
          <w:sz w:val="22"/>
          <w:szCs w:val="22"/>
        </w:rPr>
        <w:t>的</w:t>
      </w:r>
      <w:r>
        <w:rPr>
          <w:rFonts w:hint="eastAsia"/>
          <w:color w:val="000000"/>
          <w:sz w:val="22"/>
          <w:szCs w:val="22"/>
        </w:rPr>
        <w:t>资格</w:t>
      </w:r>
      <w:r>
        <w:rPr>
          <w:color w:val="000000"/>
          <w:sz w:val="22"/>
          <w:szCs w:val="22"/>
        </w:rPr>
        <w:t>要求</w:t>
      </w:r>
      <w:r>
        <w:rPr>
          <w:rFonts w:hint="eastAsia"/>
          <w:color w:val="000000"/>
          <w:sz w:val="22"/>
          <w:szCs w:val="22"/>
        </w:rPr>
        <w:t>；</w:t>
      </w:r>
      <w:r>
        <w:rPr>
          <w:rFonts w:hint="eastAsia" w:cs="仿宋_GB2312"/>
          <w:color w:val="000000"/>
          <w:sz w:val="22"/>
          <w:szCs w:val="22"/>
          <w:lang w:val="zh-CN"/>
        </w:rPr>
        <w:t>我公司没有被政府采购管理部门限制参加投标。</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8、愿意向贵方提供任何与该项投标有关的数据、情况和技术资料，完全理解贵方不一定接受最低价的投标或收到的任何投标。</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9、本投标自开标之日起9</w:t>
      </w:r>
      <w:r>
        <w:rPr>
          <w:rFonts w:cs="仿宋_GB2312"/>
          <w:color w:val="000000"/>
          <w:sz w:val="22"/>
          <w:szCs w:val="22"/>
          <w:lang w:val="zh-CN"/>
        </w:rPr>
        <w:t>0</w:t>
      </w:r>
      <w:r>
        <w:rPr>
          <w:rFonts w:hint="eastAsia" w:cs="仿宋_GB2312"/>
          <w:color w:val="000000"/>
          <w:sz w:val="22"/>
          <w:szCs w:val="22"/>
          <w:lang w:val="zh-CN"/>
        </w:rPr>
        <w:t>天内有效。</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10、与本投标有关的一切往来通讯请寄：</w:t>
      </w:r>
    </w:p>
    <w:p>
      <w:pPr>
        <w:autoSpaceDE w:val="0"/>
        <w:autoSpaceDN w:val="0"/>
        <w:adjustRightInd w:val="0"/>
        <w:snapToGrid w:val="0"/>
        <w:spacing w:line="360" w:lineRule="atLeast"/>
        <w:ind w:firstLine="585" w:firstLineChars="266"/>
        <w:rPr>
          <w:rFonts w:cs="仿宋_GB2312"/>
          <w:color w:val="000000"/>
          <w:sz w:val="22"/>
          <w:szCs w:val="22"/>
          <w:lang w:val="zh-CN"/>
        </w:rPr>
      </w:pPr>
      <w:r>
        <w:rPr>
          <w:rFonts w:hint="eastAsia" w:cs="仿宋_GB2312"/>
          <w:color w:val="000000"/>
          <w:sz w:val="22"/>
          <w:szCs w:val="22"/>
          <w:lang w:val="zh-CN"/>
        </w:rPr>
        <w:t>地址：</w:t>
      </w:r>
      <w:r>
        <w:rPr>
          <w:rFonts w:cs="仿宋_GB2312"/>
          <w:color w:val="000000"/>
          <w:sz w:val="22"/>
          <w:szCs w:val="22"/>
          <w:u w:val="single"/>
          <w:lang w:val="zh-CN"/>
        </w:rPr>
        <w:t xml:space="preserve">                                 </w:t>
      </w:r>
    </w:p>
    <w:p>
      <w:pPr>
        <w:autoSpaceDE w:val="0"/>
        <w:autoSpaceDN w:val="0"/>
        <w:adjustRightInd w:val="0"/>
        <w:snapToGrid w:val="0"/>
        <w:spacing w:line="360" w:lineRule="atLeast"/>
        <w:ind w:firstLine="585" w:firstLineChars="266"/>
        <w:rPr>
          <w:rFonts w:cs="仿宋_GB2312"/>
          <w:color w:val="000000"/>
          <w:sz w:val="22"/>
          <w:szCs w:val="22"/>
          <w:lang w:val="zh-CN"/>
        </w:rPr>
      </w:pPr>
      <w:r>
        <w:rPr>
          <w:rFonts w:hint="eastAsia" w:cs="仿宋_GB2312"/>
          <w:color w:val="000000"/>
          <w:sz w:val="22"/>
          <w:szCs w:val="22"/>
          <w:lang w:val="zh-CN"/>
        </w:rPr>
        <w:t>邮编：</w:t>
      </w:r>
      <w:r>
        <w:rPr>
          <w:rFonts w:cs="仿宋_GB2312"/>
          <w:color w:val="000000"/>
          <w:sz w:val="22"/>
          <w:szCs w:val="22"/>
          <w:u w:val="single"/>
          <w:lang w:val="zh-CN"/>
        </w:rPr>
        <w:t xml:space="preserve">               </w:t>
      </w:r>
      <w:r>
        <w:rPr>
          <w:rFonts w:hint="eastAsia" w:cs="仿宋_GB2312"/>
          <w:color w:val="000000"/>
          <w:sz w:val="22"/>
          <w:szCs w:val="22"/>
          <w:lang w:val="zh-CN"/>
        </w:rPr>
        <w:t>电话：</w:t>
      </w:r>
      <w:r>
        <w:rPr>
          <w:rFonts w:cs="仿宋_GB2312"/>
          <w:color w:val="000000"/>
          <w:sz w:val="22"/>
          <w:szCs w:val="22"/>
          <w:u w:val="single"/>
          <w:lang w:val="zh-CN"/>
        </w:rPr>
        <w:t xml:space="preserve">                 </w:t>
      </w:r>
      <w:r>
        <w:rPr>
          <w:rFonts w:hint="eastAsia" w:cs="仿宋_GB2312"/>
          <w:color w:val="000000"/>
          <w:sz w:val="22"/>
          <w:szCs w:val="22"/>
          <w:lang w:val="zh-CN"/>
        </w:rPr>
        <w:t>传真：</w:t>
      </w:r>
      <w:r>
        <w:rPr>
          <w:rFonts w:cs="仿宋_GB2312"/>
          <w:color w:val="000000"/>
          <w:sz w:val="22"/>
          <w:szCs w:val="22"/>
          <w:u w:val="single"/>
          <w:lang w:val="zh-CN"/>
        </w:rPr>
        <w:t xml:space="preserve">                 </w:t>
      </w:r>
    </w:p>
    <w:p>
      <w:pPr>
        <w:autoSpaceDE w:val="0"/>
        <w:autoSpaceDN w:val="0"/>
        <w:adjustRightInd w:val="0"/>
        <w:snapToGrid w:val="0"/>
        <w:spacing w:line="360" w:lineRule="atLeast"/>
        <w:ind w:firstLine="26" w:firstLineChars="12"/>
        <w:rPr>
          <w:rFonts w:hint="eastAsia" w:cs="仿宋_GB2312"/>
          <w:color w:val="000000"/>
          <w:sz w:val="22"/>
          <w:szCs w:val="22"/>
          <w:lang w:val="zh-CN"/>
        </w:rPr>
      </w:pP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供应商全称（盖章）：</w:t>
      </w:r>
    </w:p>
    <w:p>
      <w:pPr>
        <w:autoSpaceDE w:val="0"/>
        <w:autoSpaceDN w:val="0"/>
        <w:adjustRightInd w:val="0"/>
        <w:snapToGrid w:val="0"/>
        <w:spacing w:line="360" w:lineRule="atLeast"/>
        <w:ind w:left="1" w:firstLine="585" w:firstLineChars="266"/>
        <w:rPr>
          <w:rFonts w:cs="仿宋_GB2312"/>
          <w:color w:val="000000"/>
          <w:sz w:val="22"/>
          <w:szCs w:val="22"/>
          <w:lang w:val="zh-CN"/>
        </w:rPr>
      </w:pPr>
      <w:r>
        <w:rPr>
          <w:rFonts w:hint="eastAsia" w:cs="仿宋_GB2312"/>
          <w:color w:val="000000"/>
          <w:sz w:val="22"/>
          <w:szCs w:val="22"/>
          <w:lang w:val="zh-CN"/>
        </w:rPr>
        <w:t>授权代表（签字或签章）：</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r>
        <w:rPr>
          <w:rFonts w:hint="eastAsia" w:cs="仿宋_GB2312"/>
          <w:color w:val="000000"/>
          <w:sz w:val="22"/>
          <w:szCs w:val="22"/>
          <w:lang w:val="zh-CN"/>
        </w:rPr>
        <w:t>日期：</w:t>
      </w:r>
    </w:p>
    <w:p>
      <w:pPr>
        <w:autoSpaceDE w:val="0"/>
        <w:autoSpaceDN w:val="0"/>
        <w:adjustRightInd w:val="0"/>
        <w:snapToGrid w:val="0"/>
        <w:spacing w:line="360" w:lineRule="atLeast"/>
        <w:ind w:left="1" w:firstLine="585" w:firstLineChars="266"/>
        <w:rPr>
          <w:rFonts w:hint="eastAsia" w:cs="仿宋_GB2312"/>
          <w:color w:val="000000"/>
          <w:sz w:val="22"/>
          <w:szCs w:val="22"/>
          <w:lang w:val="zh-CN"/>
        </w:rPr>
      </w:pPr>
    </w:p>
    <w:p>
      <w:pPr>
        <w:autoSpaceDE w:val="0"/>
        <w:autoSpaceDN w:val="0"/>
        <w:adjustRightInd w:val="0"/>
        <w:snapToGrid w:val="0"/>
        <w:spacing w:line="360" w:lineRule="atLeast"/>
        <w:ind w:firstLine="687" w:firstLineChars="285"/>
        <w:rPr>
          <w:rFonts w:cs="仿宋_GB2312"/>
          <w:b/>
          <w:color w:val="000000"/>
          <w:sz w:val="22"/>
          <w:szCs w:val="22"/>
          <w:u w:val="single"/>
          <w:lang w:val="zh-CN"/>
        </w:rPr>
      </w:pPr>
      <w:r>
        <w:rPr>
          <w:rFonts w:hint="eastAsia"/>
          <w:b/>
          <w:color w:val="000000"/>
          <w:u w:val="single"/>
        </w:rPr>
        <w:t>不提供本函做无效投标处理。</w:t>
      </w:r>
    </w:p>
    <w:p>
      <w:pPr>
        <w:autoSpaceDE w:val="0"/>
        <w:autoSpaceDN w:val="0"/>
        <w:adjustRightInd w:val="0"/>
        <w:snapToGrid w:val="0"/>
        <w:spacing w:line="360" w:lineRule="atLeast"/>
        <w:rPr>
          <w:rFonts w:hint="eastAsia"/>
          <w:color w:val="000000"/>
        </w:rPr>
        <w:sectPr>
          <w:headerReference r:id="rId4" w:type="first"/>
          <w:footerReference r:id="rId6" w:type="first"/>
          <w:headerReference r:id="rId3" w:type="default"/>
          <w:footerReference r:id="rId5" w:type="default"/>
          <w:pgSz w:w="11906" w:h="16838"/>
          <w:pgMar w:top="1440" w:right="1361" w:bottom="1440" w:left="1361" w:header="720" w:footer="720" w:gutter="0"/>
          <w:pgNumType w:start="0"/>
          <w:cols w:space="720" w:num="1"/>
          <w:titlePg/>
          <w:docGrid w:linePitch="286" w:charSpace="-3831"/>
        </w:sectPr>
      </w:pPr>
    </w:p>
    <w:p>
      <w:pPr>
        <w:pStyle w:val="32"/>
        <w:adjustRightInd w:val="0"/>
        <w:snapToGrid w:val="0"/>
        <w:spacing w:line="400" w:lineRule="exact"/>
        <w:rPr>
          <w:rFonts w:hint="eastAsia" w:hAnsi="宋体"/>
          <w:color w:val="000000"/>
          <w:sz w:val="36"/>
          <w:szCs w:val="36"/>
        </w:rPr>
      </w:pPr>
      <w:r>
        <w:rPr>
          <w:rFonts w:hint="eastAsia" w:hAnsi="宋体"/>
          <w:color w:val="000000"/>
          <w:sz w:val="36"/>
          <w:szCs w:val="36"/>
        </w:rPr>
        <w:t>附件二</w:t>
      </w:r>
      <w:r>
        <w:rPr>
          <w:rFonts w:hAnsi="宋体"/>
          <w:color w:val="000000"/>
          <w:sz w:val="36"/>
          <w:szCs w:val="36"/>
        </w:rPr>
        <w:t xml:space="preserve">  </w:t>
      </w:r>
      <w:r>
        <w:rPr>
          <w:rFonts w:hint="eastAsia" w:hAnsi="宋体"/>
          <w:color w:val="000000"/>
          <w:sz w:val="36"/>
          <w:szCs w:val="36"/>
        </w:rPr>
        <w:t xml:space="preserve">   </w:t>
      </w:r>
    </w:p>
    <w:p>
      <w:pPr>
        <w:pStyle w:val="32"/>
        <w:adjustRightInd w:val="0"/>
        <w:snapToGrid w:val="0"/>
        <w:spacing w:line="400" w:lineRule="exact"/>
        <w:jc w:val="center"/>
        <w:rPr>
          <w:rFonts w:hAnsi="宋体"/>
          <w:color w:val="000000"/>
          <w:sz w:val="36"/>
          <w:szCs w:val="36"/>
        </w:rPr>
      </w:pPr>
      <w:r>
        <w:rPr>
          <w:rFonts w:hint="eastAsia" w:hAnsi="宋体"/>
          <w:color w:val="000000"/>
          <w:sz w:val="36"/>
          <w:szCs w:val="36"/>
        </w:rPr>
        <w:t>开标一览表</w:t>
      </w:r>
    </w:p>
    <w:p>
      <w:pPr>
        <w:pStyle w:val="32"/>
        <w:adjustRightInd w:val="0"/>
        <w:snapToGrid w:val="0"/>
        <w:spacing w:line="400" w:lineRule="exact"/>
        <w:rPr>
          <w:rFonts w:hint="eastAsia" w:hAnsi="宋体"/>
          <w:color w:val="000000"/>
          <w:sz w:val="36"/>
          <w:szCs w:val="36"/>
        </w:rPr>
      </w:pPr>
    </w:p>
    <w:p>
      <w:pPr>
        <w:pStyle w:val="32"/>
        <w:adjustRightInd w:val="0"/>
        <w:snapToGrid w:val="0"/>
        <w:spacing w:line="400" w:lineRule="exact"/>
        <w:rPr>
          <w:rFonts w:hint="eastAsia" w:hAnsi="宋体"/>
          <w:color w:val="000000"/>
          <w:sz w:val="36"/>
          <w:szCs w:val="36"/>
        </w:rPr>
      </w:pPr>
    </w:p>
    <w:p>
      <w:pPr>
        <w:pStyle w:val="32"/>
        <w:adjustRightInd w:val="0"/>
        <w:snapToGrid w:val="0"/>
        <w:spacing w:line="400" w:lineRule="exact"/>
        <w:rPr>
          <w:rFonts w:hint="eastAsia" w:hAnsi="宋体"/>
          <w:color w:val="000000"/>
          <w:sz w:val="24"/>
        </w:rPr>
      </w:pPr>
      <w:r>
        <w:rPr>
          <w:rFonts w:hint="eastAsia" w:hAnsi="宋体"/>
          <w:color w:val="000000"/>
          <w:sz w:val="24"/>
        </w:rPr>
        <w:t>供应商名称：</w:t>
      </w:r>
      <w:r>
        <w:rPr>
          <w:rFonts w:hAnsi="宋体"/>
          <w:color w:val="000000"/>
          <w:sz w:val="24"/>
        </w:rPr>
        <w:t xml:space="preserve">                  </w:t>
      </w:r>
      <w:r>
        <w:rPr>
          <w:rFonts w:hint="eastAsia" w:hAnsi="宋体"/>
          <w:color w:val="000000"/>
          <w:sz w:val="24"/>
        </w:rPr>
        <w:t>招标编号：</w:t>
      </w:r>
      <w:r>
        <w:rPr>
          <w:rFonts w:hAnsi="宋体"/>
          <w:color w:val="000000"/>
          <w:sz w:val="24"/>
        </w:rPr>
        <w:t xml:space="preserve">           </w:t>
      </w:r>
      <w:r>
        <w:rPr>
          <w:rFonts w:hint="eastAsia" w:hAnsi="宋体"/>
          <w:color w:val="000000"/>
          <w:sz w:val="24"/>
        </w:rPr>
        <w:t xml:space="preserve"> </w:t>
      </w:r>
    </w:p>
    <w:tbl>
      <w:tblPr>
        <w:tblStyle w:val="55"/>
        <w:tblpPr w:leftFromText="180" w:rightFromText="180" w:vertAnchor="page" w:horzAnchor="margin" w:tblpY="3781"/>
        <w:tblW w:w="0" w:type="auto"/>
        <w:tblInd w:w="0" w:type="dxa"/>
        <w:tblLayout w:type="fixed"/>
        <w:tblCellMar>
          <w:top w:w="0" w:type="dxa"/>
          <w:left w:w="108" w:type="dxa"/>
          <w:bottom w:w="0" w:type="dxa"/>
          <w:right w:w="108" w:type="dxa"/>
        </w:tblCellMar>
      </w:tblPr>
      <w:tblGrid>
        <w:gridCol w:w="4956"/>
        <w:gridCol w:w="4547"/>
      </w:tblGrid>
      <w:tr>
        <w:tblPrEx>
          <w:tblCellMar>
            <w:top w:w="0" w:type="dxa"/>
            <w:left w:w="108" w:type="dxa"/>
            <w:bottom w:w="0" w:type="dxa"/>
            <w:right w:w="108" w:type="dxa"/>
          </w:tblCellMar>
        </w:tblPrEx>
        <w:trPr>
          <w:wBefore w:w="0" w:type="dxa"/>
          <w:wAfter w:w="0" w:type="dxa"/>
          <w:trHeight w:val="1114" w:hRule="atLeast"/>
        </w:trPr>
        <w:tc>
          <w:tcPr>
            <w:tcW w:w="4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000000"/>
                <w:sz w:val="22"/>
                <w:szCs w:val="22"/>
              </w:rPr>
            </w:pPr>
            <w:r>
              <w:rPr>
                <w:rFonts w:hint="eastAsia"/>
                <w:b/>
                <w:color w:val="000000"/>
                <w:sz w:val="22"/>
                <w:szCs w:val="22"/>
              </w:rPr>
              <w:t>项目名称</w:t>
            </w:r>
          </w:p>
        </w:tc>
        <w:tc>
          <w:tcPr>
            <w:tcW w:w="4547" w:type="dxa"/>
            <w:tcBorders>
              <w:top w:val="single" w:color="auto" w:sz="4" w:space="0"/>
              <w:left w:val="single" w:color="auto" w:sz="4" w:space="0"/>
              <w:bottom w:val="single" w:color="auto" w:sz="4" w:space="0"/>
              <w:right w:val="single" w:color="auto" w:sz="8" w:space="0"/>
            </w:tcBorders>
            <w:noWrap w:val="0"/>
            <w:vAlign w:val="center"/>
          </w:tcPr>
          <w:p>
            <w:pPr>
              <w:jc w:val="center"/>
              <w:rPr>
                <w:rFonts w:hint="eastAsia"/>
                <w:color w:val="000000"/>
                <w:sz w:val="22"/>
                <w:szCs w:val="22"/>
              </w:rPr>
            </w:pPr>
            <w:r>
              <w:rPr>
                <w:rFonts w:hint="eastAsia"/>
                <w:b/>
                <w:color w:val="000000"/>
                <w:sz w:val="22"/>
                <w:szCs w:val="22"/>
              </w:rPr>
              <w:t>投标报价（元）</w:t>
            </w:r>
          </w:p>
        </w:tc>
      </w:tr>
      <w:tr>
        <w:tblPrEx>
          <w:tblCellMar>
            <w:top w:w="0" w:type="dxa"/>
            <w:left w:w="108" w:type="dxa"/>
            <w:bottom w:w="0" w:type="dxa"/>
            <w:right w:w="108" w:type="dxa"/>
          </w:tblCellMar>
        </w:tblPrEx>
        <w:trPr>
          <w:wBefore w:w="0" w:type="dxa"/>
          <w:wAfter w:w="0" w:type="dxa"/>
          <w:cantSplit/>
          <w:trHeight w:val="1864" w:hRule="atLeast"/>
        </w:trPr>
        <w:tc>
          <w:tcPr>
            <w:tcW w:w="4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2"/>
                <w:szCs w:val="22"/>
              </w:rPr>
            </w:pPr>
            <w:r>
              <w:rPr>
                <w:rFonts w:hint="eastAsia"/>
                <w:color w:val="000000"/>
                <w:sz w:val="22"/>
                <w:szCs w:val="22"/>
              </w:rPr>
              <w:t>平阳县雪亮工程</w:t>
            </w:r>
            <w:r>
              <w:rPr>
                <w:rFonts w:hint="eastAsia" w:ascii="仿宋" w:hAnsi="仿宋" w:eastAsia="仿宋"/>
              </w:rPr>
              <w:t>视频智能分析系统</w:t>
            </w:r>
            <w:r>
              <w:rPr>
                <w:rFonts w:hint="eastAsia"/>
                <w:color w:val="000000"/>
                <w:sz w:val="22"/>
                <w:szCs w:val="22"/>
              </w:rPr>
              <w:t>项目</w:t>
            </w:r>
          </w:p>
        </w:tc>
        <w:tc>
          <w:tcPr>
            <w:tcW w:w="4547" w:type="dxa"/>
            <w:tcBorders>
              <w:top w:val="single" w:color="auto" w:sz="4" w:space="0"/>
              <w:left w:val="single" w:color="auto" w:sz="4" w:space="0"/>
              <w:bottom w:val="single" w:color="auto" w:sz="4" w:space="0"/>
              <w:right w:val="single" w:color="auto" w:sz="8" w:space="0"/>
            </w:tcBorders>
            <w:noWrap w:val="0"/>
            <w:vAlign w:val="center"/>
          </w:tcPr>
          <w:p>
            <w:pPr>
              <w:rPr>
                <w:rFonts w:hint="eastAsia"/>
                <w:b/>
                <w:color w:val="000000"/>
                <w:sz w:val="22"/>
                <w:szCs w:val="22"/>
              </w:rPr>
            </w:pPr>
            <w:r>
              <w:rPr>
                <w:rFonts w:hint="eastAsia"/>
                <w:b/>
                <w:color w:val="000000"/>
                <w:sz w:val="22"/>
                <w:szCs w:val="22"/>
              </w:rPr>
              <w:t>大写：</w:t>
            </w:r>
          </w:p>
          <w:p>
            <w:pPr>
              <w:rPr>
                <w:rFonts w:hint="eastAsia"/>
                <w:color w:val="000000"/>
                <w:sz w:val="22"/>
                <w:szCs w:val="22"/>
                <w:u w:val="single"/>
              </w:rPr>
            </w:pPr>
            <w:r>
              <w:rPr>
                <w:rFonts w:hint="eastAsia"/>
                <w:b/>
                <w:color w:val="000000"/>
                <w:sz w:val="22"/>
                <w:szCs w:val="22"/>
              </w:rPr>
              <w:t>小写：</w:t>
            </w:r>
          </w:p>
        </w:tc>
      </w:tr>
    </w:tbl>
    <w:p>
      <w:pPr>
        <w:pStyle w:val="32"/>
        <w:spacing w:line="460" w:lineRule="atLeast"/>
        <w:rPr>
          <w:rFonts w:hint="eastAsia" w:hAnsi="宋体"/>
          <w:color w:val="000000"/>
          <w:sz w:val="22"/>
          <w:szCs w:val="22"/>
        </w:rPr>
      </w:pPr>
      <w:r>
        <w:rPr>
          <w:rFonts w:hint="eastAsia" w:hAnsi="宋体"/>
          <w:color w:val="000000"/>
          <w:sz w:val="22"/>
          <w:szCs w:val="22"/>
        </w:rPr>
        <w:t>▲开标一览表中投标价为符合招标文件要求的项目报价（含税、运保、随机工具、随机附件等费用），同时包括整个项目实施过程中所有费用，及其它需要的费用。</w:t>
      </w:r>
    </w:p>
    <w:p>
      <w:pPr>
        <w:autoSpaceDE w:val="0"/>
        <w:autoSpaceDN w:val="0"/>
        <w:adjustRightInd w:val="0"/>
        <w:spacing w:line="440" w:lineRule="atLeast"/>
        <w:rPr>
          <w:rFonts w:hint="eastAsia" w:cs="仿宋_GB2312"/>
          <w:color w:val="000000"/>
          <w:sz w:val="22"/>
          <w:szCs w:val="22"/>
          <w:lang w:val="zh-CN"/>
        </w:rPr>
      </w:pPr>
      <w:r>
        <w:rPr>
          <w:rFonts w:hint="eastAsia"/>
          <w:color w:val="000000"/>
          <w:sz w:val="22"/>
          <w:szCs w:val="22"/>
        </w:rPr>
        <w:t>▲不提供此表格的将视为没有实质性响应招标文件。</w:t>
      </w:r>
    </w:p>
    <w:p>
      <w:pPr>
        <w:autoSpaceDE w:val="0"/>
        <w:autoSpaceDN w:val="0"/>
        <w:adjustRightInd w:val="0"/>
        <w:spacing w:line="440" w:lineRule="atLeast"/>
        <w:rPr>
          <w:rFonts w:hint="eastAsia" w:cs="仿宋_GB2312"/>
          <w:color w:val="000000"/>
          <w:sz w:val="22"/>
          <w:szCs w:val="22"/>
          <w:lang w:val="zh-CN"/>
        </w:rPr>
      </w:pPr>
    </w:p>
    <w:p>
      <w:pPr>
        <w:autoSpaceDE w:val="0"/>
        <w:autoSpaceDN w:val="0"/>
        <w:adjustRightInd w:val="0"/>
        <w:spacing w:line="440" w:lineRule="atLeast"/>
        <w:rPr>
          <w:rFonts w:hint="eastAsia" w:cs="仿宋_GB2312"/>
          <w:color w:val="000000"/>
          <w:sz w:val="22"/>
          <w:szCs w:val="22"/>
          <w:lang w:val="zh-CN"/>
        </w:rPr>
      </w:pPr>
      <w:r>
        <w:rPr>
          <w:rFonts w:hint="eastAsia" w:cs="仿宋_GB2312"/>
          <w:color w:val="000000"/>
          <w:sz w:val="22"/>
          <w:szCs w:val="22"/>
          <w:lang w:val="zh-CN"/>
        </w:rPr>
        <w:t>供应商全称（盖章）：</w:t>
      </w:r>
    </w:p>
    <w:p>
      <w:pPr>
        <w:autoSpaceDE w:val="0"/>
        <w:autoSpaceDN w:val="0"/>
        <w:adjustRightInd w:val="0"/>
        <w:spacing w:line="440" w:lineRule="atLeast"/>
        <w:rPr>
          <w:rFonts w:cs="仿宋_GB2312"/>
          <w:color w:val="000000"/>
          <w:sz w:val="22"/>
          <w:szCs w:val="22"/>
          <w:lang w:val="zh-CN"/>
        </w:rPr>
      </w:pPr>
      <w:r>
        <w:rPr>
          <w:rFonts w:hint="eastAsia" w:cs="仿宋_GB2312"/>
          <w:color w:val="000000"/>
          <w:sz w:val="22"/>
          <w:szCs w:val="22"/>
          <w:lang w:val="zh-CN"/>
        </w:rPr>
        <w:t>授权代表（签字或签章）：</w:t>
      </w:r>
    </w:p>
    <w:p>
      <w:pPr>
        <w:autoSpaceDE w:val="0"/>
        <w:autoSpaceDN w:val="0"/>
        <w:adjustRightInd w:val="0"/>
        <w:spacing w:line="440" w:lineRule="atLeast"/>
        <w:rPr>
          <w:rFonts w:cs="仿宋_GB2312"/>
          <w:color w:val="000000"/>
          <w:sz w:val="22"/>
          <w:szCs w:val="22"/>
          <w:lang w:val="zh-CN"/>
        </w:rPr>
      </w:pPr>
      <w:r>
        <w:rPr>
          <w:rFonts w:hint="eastAsia" w:cs="仿宋_GB2312"/>
          <w:color w:val="000000"/>
          <w:sz w:val="22"/>
          <w:szCs w:val="22"/>
          <w:lang w:val="zh-CN"/>
        </w:rPr>
        <w:t>日期：</w:t>
      </w: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autoSpaceDE w:val="0"/>
        <w:autoSpaceDN w:val="0"/>
        <w:adjustRightInd w:val="0"/>
        <w:spacing w:line="460" w:lineRule="atLeast"/>
        <w:rPr>
          <w:rFonts w:hint="eastAsia"/>
          <w:b/>
          <w:color w:val="000000"/>
          <w:sz w:val="30"/>
          <w:lang w:val="zh-CN"/>
        </w:rPr>
      </w:pPr>
    </w:p>
    <w:p>
      <w:pPr>
        <w:pStyle w:val="32"/>
        <w:adjustRightInd w:val="0"/>
        <w:snapToGrid w:val="0"/>
        <w:spacing w:line="440" w:lineRule="atLeast"/>
        <w:rPr>
          <w:rFonts w:hint="eastAsia" w:hAnsi="宋体"/>
          <w:b/>
          <w:color w:val="000000"/>
          <w:sz w:val="32"/>
          <w:szCs w:val="32"/>
        </w:rPr>
      </w:pPr>
      <w:r>
        <w:rPr>
          <w:rFonts w:hint="eastAsia" w:hAnsi="宋体"/>
          <w:b/>
          <w:color w:val="000000"/>
          <w:sz w:val="32"/>
          <w:szCs w:val="32"/>
        </w:rPr>
        <w:t>附件二（二）</w:t>
      </w:r>
    </w:p>
    <w:p>
      <w:pPr>
        <w:pStyle w:val="32"/>
        <w:adjustRightInd w:val="0"/>
        <w:snapToGrid w:val="0"/>
        <w:spacing w:line="440" w:lineRule="atLeast"/>
        <w:rPr>
          <w:rFonts w:hint="eastAsia" w:hAnsi="宋体"/>
          <w:b/>
          <w:color w:val="000000"/>
          <w:sz w:val="32"/>
          <w:szCs w:val="32"/>
        </w:rPr>
      </w:pPr>
    </w:p>
    <w:p>
      <w:pPr>
        <w:pStyle w:val="32"/>
        <w:adjustRightInd w:val="0"/>
        <w:snapToGrid w:val="0"/>
        <w:spacing w:line="460" w:lineRule="atLeast"/>
        <w:ind w:firstLine="150" w:firstLineChars="50"/>
        <w:rPr>
          <w:rFonts w:hint="eastAsia" w:hAnsi="宋体"/>
          <w:color w:val="000000"/>
          <w:sz w:val="30"/>
        </w:rPr>
      </w:pPr>
    </w:p>
    <w:p>
      <w:pPr>
        <w:pStyle w:val="32"/>
        <w:adjustRightInd w:val="0"/>
        <w:snapToGrid w:val="0"/>
        <w:spacing w:line="460" w:lineRule="atLeast"/>
        <w:ind w:firstLine="160" w:firstLineChars="50"/>
        <w:jc w:val="center"/>
        <w:rPr>
          <w:rFonts w:hint="eastAsia" w:hAnsi="宋体"/>
          <w:color w:val="000000"/>
          <w:sz w:val="32"/>
        </w:rPr>
      </w:pPr>
      <w:r>
        <w:rPr>
          <w:rFonts w:hint="eastAsia" w:hAnsi="宋体"/>
          <w:color w:val="000000"/>
          <w:sz w:val="32"/>
        </w:rPr>
        <w:t>投标产品数量、价格表</w:t>
      </w:r>
    </w:p>
    <w:p>
      <w:pPr>
        <w:pStyle w:val="32"/>
        <w:adjustRightInd w:val="0"/>
        <w:snapToGrid w:val="0"/>
        <w:spacing w:line="460" w:lineRule="atLeast"/>
        <w:ind w:right="480" w:firstLine="6120" w:firstLineChars="2550"/>
        <w:outlineLvl w:val="0"/>
        <w:rPr>
          <w:rFonts w:hint="eastAsia" w:hAnsi="宋体"/>
          <w:color w:val="000000"/>
          <w:sz w:val="24"/>
        </w:rPr>
      </w:pPr>
      <w:r>
        <w:rPr>
          <w:rFonts w:hint="eastAsia" w:hAnsi="宋体"/>
          <w:color w:val="000000"/>
          <w:sz w:val="24"/>
        </w:rPr>
        <w:t>（价格单位：元人民币）</w:t>
      </w:r>
    </w:p>
    <w:tbl>
      <w:tblPr>
        <w:tblStyle w:val="55"/>
        <w:tblW w:w="0" w:type="auto"/>
        <w:tblInd w:w="-1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709"/>
        <w:gridCol w:w="1701"/>
        <w:gridCol w:w="1417"/>
        <w:gridCol w:w="1143"/>
        <w:gridCol w:w="1563"/>
        <w:gridCol w:w="7"/>
        <w:gridCol w:w="15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00" w:hRule="atLeast"/>
        </w:trPr>
        <w:tc>
          <w:tcPr>
            <w:tcW w:w="1276" w:type="dxa"/>
            <w:vMerge w:val="restart"/>
            <w:noWrap w:val="0"/>
            <w:vAlign w:val="top"/>
          </w:tcPr>
          <w:p>
            <w:pPr>
              <w:jc w:val="center"/>
              <w:rPr>
                <w:rFonts w:hint="eastAsia"/>
                <w:b/>
                <w:color w:val="000000"/>
                <w:sz w:val="22"/>
                <w:szCs w:val="22"/>
              </w:rPr>
            </w:pPr>
            <w:r>
              <w:rPr>
                <w:rFonts w:hint="eastAsia"/>
                <w:b/>
                <w:color w:val="000000"/>
                <w:sz w:val="22"/>
                <w:szCs w:val="22"/>
              </w:rPr>
              <w:t>平阳县雪亮工程视频智能分析系统项目</w:t>
            </w:r>
          </w:p>
        </w:tc>
        <w:tc>
          <w:tcPr>
            <w:tcW w:w="709" w:type="dxa"/>
            <w:noWrap w:val="0"/>
            <w:vAlign w:val="center"/>
          </w:tcPr>
          <w:p>
            <w:pPr>
              <w:jc w:val="center"/>
              <w:rPr>
                <w:rFonts w:hint="eastAsia"/>
                <w:b/>
                <w:color w:val="000000"/>
                <w:sz w:val="22"/>
                <w:szCs w:val="22"/>
              </w:rPr>
            </w:pPr>
            <w:r>
              <w:rPr>
                <w:rFonts w:hint="eastAsia"/>
                <w:b/>
                <w:color w:val="000000"/>
                <w:sz w:val="22"/>
                <w:szCs w:val="22"/>
              </w:rPr>
              <w:t>序号</w:t>
            </w:r>
          </w:p>
        </w:tc>
        <w:tc>
          <w:tcPr>
            <w:tcW w:w="1701" w:type="dxa"/>
            <w:noWrap w:val="0"/>
            <w:vAlign w:val="center"/>
          </w:tcPr>
          <w:p>
            <w:pPr>
              <w:jc w:val="center"/>
              <w:rPr>
                <w:rFonts w:hint="eastAsia"/>
                <w:b/>
                <w:color w:val="000000"/>
                <w:sz w:val="22"/>
                <w:szCs w:val="22"/>
              </w:rPr>
            </w:pPr>
            <w:r>
              <w:rPr>
                <w:rFonts w:hint="eastAsia"/>
                <w:b/>
                <w:color w:val="000000"/>
                <w:sz w:val="22"/>
                <w:szCs w:val="22"/>
              </w:rPr>
              <w:t>名称</w:t>
            </w:r>
          </w:p>
        </w:tc>
        <w:tc>
          <w:tcPr>
            <w:tcW w:w="1417" w:type="dxa"/>
            <w:noWrap w:val="0"/>
            <w:vAlign w:val="center"/>
          </w:tcPr>
          <w:p>
            <w:pPr>
              <w:jc w:val="center"/>
              <w:rPr>
                <w:rFonts w:hint="eastAsia"/>
                <w:b/>
                <w:color w:val="000000"/>
                <w:sz w:val="22"/>
                <w:szCs w:val="22"/>
              </w:rPr>
            </w:pPr>
            <w:r>
              <w:rPr>
                <w:rFonts w:hint="eastAsia"/>
                <w:b/>
                <w:color w:val="000000"/>
                <w:sz w:val="22"/>
                <w:szCs w:val="22"/>
              </w:rPr>
              <w:t>品牌型号</w:t>
            </w:r>
          </w:p>
        </w:tc>
        <w:tc>
          <w:tcPr>
            <w:tcW w:w="1143" w:type="dxa"/>
            <w:noWrap w:val="0"/>
            <w:vAlign w:val="center"/>
          </w:tcPr>
          <w:p>
            <w:pPr>
              <w:jc w:val="center"/>
              <w:rPr>
                <w:rFonts w:hint="eastAsia"/>
                <w:b/>
                <w:color w:val="000000"/>
                <w:sz w:val="22"/>
                <w:szCs w:val="22"/>
              </w:rPr>
            </w:pPr>
            <w:r>
              <w:rPr>
                <w:rFonts w:hint="eastAsia"/>
                <w:b/>
                <w:color w:val="000000"/>
                <w:sz w:val="22"/>
                <w:szCs w:val="22"/>
              </w:rPr>
              <w:t>数量</w:t>
            </w:r>
          </w:p>
        </w:tc>
        <w:tc>
          <w:tcPr>
            <w:tcW w:w="1563" w:type="dxa"/>
            <w:noWrap w:val="0"/>
            <w:vAlign w:val="center"/>
          </w:tcPr>
          <w:p>
            <w:pPr>
              <w:jc w:val="center"/>
              <w:rPr>
                <w:rFonts w:hint="eastAsia"/>
                <w:b/>
                <w:color w:val="000000"/>
                <w:sz w:val="22"/>
                <w:szCs w:val="22"/>
              </w:rPr>
            </w:pPr>
            <w:r>
              <w:rPr>
                <w:rFonts w:hint="eastAsia"/>
                <w:b/>
                <w:color w:val="000000"/>
                <w:sz w:val="22"/>
                <w:szCs w:val="22"/>
              </w:rPr>
              <w:t>单价</w:t>
            </w:r>
          </w:p>
        </w:tc>
        <w:tc>
          <w:tcPr>
            <w:tcW w:w="1561" w:type="dxa"/>
            <w:gridSpan w:val="2"/>
            <w:noWrap w:val="0"/>
            <w:vAlign w:val="center"/>
          </w:tcPr>
          <w:p>
            <w:pPr>
              <w:jc w:val="center"/>
              <w:rPr>
                <w:rFonts w:hint="eastAsia"/>
                <w:b/>
                <w:color w:val="000000"/>
                <w:sz w:val="22"/>
                <w:szCs w:val="22"/>
              </w:rPr>
            </w:pPr>
            <w:r>
              <w:rPr>
                <w:rFonts w:hint="eastAsia"/>
                <w:b/>
                <w:color w:val="000000"/>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90" w:hRule="atLeast"/>
        </w:trPr>
        <w:tc>
          <w:tcPr>
            <w:tcW w:w="1276" w:type="dxa"/>
            <w:vMerge w:val="continue"/>
            <w:noWrap w:val="0"/>
            <w:vAlign w:val="top"/>
          </w:tcPr>
          <w:p>
            <w:pPr>
              <w:jc w:val="center"/>
              <w:rPr>
                <w:rFonts w:hint="eastAsia"/>
                <w:b/>
                <w:color w:val="000000"/>
                <w:sz w:val="22"/>
                <w:szCs w:val="22"/>
              </w:rPr>
            </w:pPr>
          </w:p>
        </w:tc>
        <w:tc>
          <w:tcPr>
            <w:tcW w:w="709" w:type="dxa"/>
            <w:noWrap w:val="0"/>
            <w:vAlign w:val="center"/>
          </w:tcPr>
          <w:p>
            <w:pPr>
              <w:ind w:right="566" w:rightChars="236"/>
              <w:jc w:val="center"/>
              <w:rPr>
                <w:rFonts w:hint="eastAsia"/>
                <w:b/>
                <w:color w:val="000000"/>
                <w:sz w:val="22"/>
                <w:szCs w:val="22"/>
              </w:rPr>
            </w:pPr>
          </w:p>
        </w:tc>
        <w:tc>
          <w:tcPr>
            <w:tcW w:w="1701" w:type="dxa"/>
            <w:noWrap w:val="0"/>
            <w:vAlign w:val="center"/>
          </w:tcPr>
          <w:p>
            <w:pPr>
              <w:ind w:right="566" w:rightChars="236"/>
              <w:jc w:val="center"/>
              <w:rPr>
                <w:rFonts w:hint="eastAsia"/>
                <w:b/>
                <w:color w:val="000000"/>
                <w:sz w:val="22"/>
                <w:szCs w:val="22"/>
              </w:rPr>
            </w:pPr>
          </w:p>
        </w:tc>
        <w:tc>
          <w:tcPr>
            <w:tcW w:w="1417" w:type="dxa"/>
            <w:noWrap w:val="0"/>
            <w:vAlign w:val="center"/>
          </w:tcPr>
          <w:p>
            <w:pPr>
              <w:jc w:val="center"/>
              <w:rPr>
                <w:rFonts w:hint="eastAsia"/>
                <w:b/>
                <w:color w:val="000000"/>
                <w:sz w:val="22"/>
                <w:szCs w:val="22"/>
              </w:rPr>
            </w:pPr>
          </w:p>
        </w:tc>
        <w:tc>
          <w:tcPr>
            <w:tcW w:w="1143" w:type="dxa"/>
            <w:noWrap w:val="0"/>
            <w:vAlign w:val="center"/>
          </w:tcPr>
          <w:p>
            <w:pPr>
              <w:snapToGrid w:val="0"/>
              <w:spacing w:line="400" w:lineRule="atLeast"/>
              <w:jc w:val="center"/>
              <w:rPr>
                <w:rFonts w:hint="eastAsia"/>
                <w:b/>
                <w:color w:val="000000"/>
                <w:sz w:val="22"/>
                <w:szCs w:val="22"/>
              </w:rPr>
            </w:pPr>
          </w:p>
        </w:tc>
        <w:tc>
          <w:tcPr>
            <w:tcW w:w="1563" w:type="dxa"/>
            <w:noWrap w:val="0"/>
            <w:vAlign w:val="center"/>
          </w:tcPr>
          <w:p>
            <w:pPr>
              <w:jc w:val="center"/>
              <w:rPr>
                <w:rFonts w:hint="eastAsia"/>
                <w:b/>
                <w:color w:val="000000"/>
                <w:sz w:val="22"/>
                <w:szCs w:val="22"/>
              </w:rPr>
            </w:pPr>
          </w:p>
        </w:tc>
        <w:tc>
          <w:tcPr>
            <w:tcW w:w="1561" w:type="dxa"/>
            <w:gridSpan w:val="2"/>
            <w:noWrap w:val="0"/>
            <w:vAlign w:val="center"/>
          </w:tcPr>
          <w:p>
            <w:pPr>
              <w:jc w:val="center"/>
              <w:rPr>
                <w:rFonts w:hint="eastAsia"/>
                <w:b/>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90" w:hRule="atLeast"/>
        </w:trPr>
        <w:tc>
          <w:tcPr>
            <w:tcW w:w="1276" w:type="dxa"/>
            <w:vMerge w:val="continue"/>
            <w:noWrap w:val="0"/>
            <w:vAlign w:val="top"/>
          </w:tcPr>
          <w:p>
            <w:pPr>
              <w:jc w:val="center"/>
              <w:rPr>
                <w:rFonts w:hint="eastAsia"/>
                <w:b/>
                <w:color w:val="000000"/>
                <w:sz w:val="22"/>
                <w:szCs w:val="22"/>
              </w:rPr>
            </w:pPr>
          </w:p>
        </w:tc>
        <w:tc>
          <w:tcPr>
            <w:tcW w:w="709" w:type="dxa"/>
            <w:noWrap w:val="0"/>
            <w:vAlign w:val="center"/>
          </w:tcPr>
          <w:p>
            <w:pPr>
              <w:jc w:val="center"/>
              <w:rPr>
                <w:rFonts w:hint="eastAsia"/>
                <w:b/>
                <w:color w:val="000000"/>
                <w:sz w:val="22"/>
                <w:szCs w:val="22"/>
              </w:rPr>
            </w:pPr>
          </w:p>
        </w:tc>
        <w:tc>
          <w:tcPr>
            <w:tcW w:w="1701" w:type="dxa"/>
            <w:noWrap w:val="0"/>
            <w:vAlign w:val="center"/>
          </w:tcPr>
          <w:p>
            <w:pPr>
              <w:jc w:val="center"/>
              <w:rPr>
                <w:rFonts w:hint="eastAsia"/>
                <w:b/>
                <w:color w:val="000000"/>
                <w:sz w:val="22"/>
                <w:szCs w:val="22"/>
              </w:rPr>
            </w:pPr>
          </w:p>
        </w:tc>
        <w:tc>
          <w:tcPr>
            <w:tcW w:w="1417" w:type="dxa"/>
            <w:noWrap w:val="0"/>
            <w:vAlign w:val="center"/>
          </w:tcPr>
          <w:p>
            <w:pPr>
              <w:jc w:val="center"/>
              <w:rPr>
                <w:rFonts w:hint="eastAsia"/>
                <w:b/>
                <w:color w:val="000000"/>
                <w:sz w:val="22"/>
                <w:szCs w:val="22"/>
              </w:rPr>
            </w:pPr>
          </w:p>
        </w:tc>
        <w:tc>
          <w:tcPr>
            <w:tcW w:w="1143" w:type="dxa"/>
            <w:noWrap w:val="0"/>
            <w:vAlign w:val="center"/>
          </w:tcPr>
          <w:p>
            <w:pPr>
              <w:snapToGrid w:val="0"/>
              <w:spacing w:line="400" w:lineRule="atLeast"/>
              <w:jc w:val="center"/>
              <w:rPr>
                <w:rFonts w:hint="eastAsia"/>
                <w:b/>
                <w:color w:val="000000"/>
                <w:sz w:val="22"/>
                <w:szCs w:val="22"/>
              </w:rPr>
            </w:pPr>
          </w:p>
        </w:tc>
        <w:tc>
          <w:tcPr>
            <w:tcW w:w="1563" w:type="dxa"/>
            <w:noWrap w:val="0"/>
            <w:vAlign w:val="center"/>
          </w:tcPr>
          <w:p>
            <w:pPr>
              <w:jc w:val="center"/>
              <w:rPr>
                <w:rFonts w:hint="eastAsia"/>
                <w:b/>
                <w:color w:val="000000"/>
                <w:sz w:val="22"/>
                <w:szCs w:val="22"/>
              </w:rPr>
            </w:pPr>
          </w:p>
        </w:tc>
        <w:tc>
          <w:tcPr>
            <w:tcW w:w="1561" w:type="dxa"/>
            <w:gridSpan w:val="2"/>
            <w:noWrap w:val="0"/>
            <w:vAlign w:val="center"/>
          </w:tcPr>
          <w:p>
            <w:pPr>
              <w:jc w:val="center"/>
              <w:rPr>
                <w:rFonts w:hint="eastAsia"/>
                <w:b/>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90" w:hRule="atLeast"/>
        </w:trPr>
        <w:tc>
          <w:tcPr>
            <w:tcW w:w="1276" w:type="dxa"/>
            <w:vMerge w:val="continue"/>
            <w:noWrap w:val="0"/>
            <w:vAlign w:val="top"/>
          </w:tcPr>
          <w:p>
            <w:pPr>
              <w:jc w:val="center"/>
              <w:rPr>
                <w:rFonts w:hint="eastAsia"/>
                <w:b/>
                <w:color w:val="000000"/>
                <w:sz w:val="22"/>
                <w:szCs w:val="22"/>
              </w:rPr>
            </w:pPr>
          </w:p>
        </w:tc>
        <w:tc>
          <w:tcPr>
            <w:tcW w:w="709" w:type="dxa"/>
            <w:noWrap w:val="0"/>
            <w:vAlign w:val="center"/>
          </w:tcPr>
          <w:p>
            <w:pPr>
              <w:jc w:val="center"/>
              <w:rPr>
                <w:rFonts w:hint="eastAsia"/>
                <w:b/>
                <w:color w:val="000000"/>
                <w:sz w:val="22"/>
                <w:szCs w:val="22"/>
              </w:rPr>
            </w:pPr>
          </w:p>
        </w:tc>
        <w:tc>
          <w:tcPr>
            <w:tcW w:w="1701" w:type="dxa"/>
            <w:noWrap w:val="0"/>
            <w:vAlign w:val="center"/>
          </w:tcPr>
          <w:p>
            <w:pPr>
              <w:jc w:val="center"/>
              <w:rPr>
                <w:rFonts w:hint="eastAsia"/>
                <w:b/>
                <w:color w:val="000000"/>
                <w:sz w:val="22"/>
                <w:szCs w:val="22"/>
              </w:rPr>
            </w:pPr>
          </w:p>
        </w:tc>
        <w:tc>
          <w:tcPr>
            <w:tcW w:w="1417" w:type="dxa"/>
            <w:noWrap w:val="0"/>
            <w:vAlign w:val="center"/>
          </w:tcPr>
          <w:p>
            <w:pPr>
              <w:jc w:val="center"/>
              <w:rPr>
                <w:rFonts w:hint="eastAsia"/>
                <w:b/>
                <w:color w:val="000000"/>
                <w:sz w:val="22"/>
                <w:szCs w:val="22"/>
              </w:rPr>
            </w:pPr>
          </w:p>
        </w:tc>
        <w:tc>
          <w:tcPr>
            <w:tcW w:w="1143" w:type="dxa"/>
            <w:noWrap w:val="0"/>
            <w:vAlign w:val="center"/>
          </w:tcPr>
          <w:p>
            <w:pPr>
              <w:snapToGrid w:val="0"/>
              <w:spacing w:line="400" w:lineRule="atLeast"/>
              <w:jc w:val="center"/>
              <w:rPr>
                <w:rFonts w:hint="eastAsia"/>
                <w:b/>
                <w:color w:val="000000"/>
                <w:sz w:val="22"/>
                <w:szCs w:val="22"/>
              </w:rPr>
            </w:pPr>
          </w:p>
        </w:tc>
        <w:tc>
          <w:tcPr>
            <w:tcW w:w="1563" w:type="dxa"/>
            <w:tcBorders>
              <w:right w:val="single" w:color="auto" w:sz="4" w:space="0"/>
            </w:tcBorders>
            <w:noWrap w:val="0"/>
            <w:vAlign w:val="center"/>
          </w:tcPr>
          <w:p>
            <w:pPr>
              <w:jc w:val="center"/>
              <w:rPr>
                <w:rFonts w:hint="eastAsia"/>
                <w:b/>
                <w:color w:val="000000"/>
                <w:sz w:val="22"/>
                <w:szCs w:val="22"/>
              </w:rPr>
            </w:pPr>
          </w:p>
        </w:tc>
        <w:tc>
          <w:tcPr>
            <w:tcW w:w="1561" w:type="dxa"/>
            <w:gridSpan w:val="2"/>
            <w:tcBorders>
              <w:left w:val="single" w:color="auto" w:sz="4" w:space="0"/>
            </w:tcBorders>
            <w:noWrap w:val="0"/>
            <w:vAlign w:val="center"/>
          </w:tcPr>
          <w:p>
            <w:pPr>
              <w:jc w:val="center"/>
              <w:rPr>
                <w:rFonts w:hint="eastAsia"/>
                <w:b/>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90" w:hRule="atLeast"/>
        </w:trPr>
        <w:tc>
          <w:tcPr>
            <w:tcW w:w="1276" w:type="dxa"/>
            <w:vMerge w:val="continue"/>
            <w:noWrap w:val="0"/>
            <w:vAlign w:val="top"/>
          </w:tcPr>
          <w:p>
            <w:pPr>
              <w:jc w:val="center"/>
              <w:rPr>
                <w:rFonts w:hint="eastAsia"/>
                <w:b/>
                <w:color w:val="000000"/>
                <w:sz w:val="22"/>
                <w:szCs w:val="22"/>
              </w:rPr>
            </w:pPr>
          </w:p>
        </w:tc>
        <w:tc>
          <w:tcPr>
            <w:tcW w:w="709" w:type="dxa"/>
            <w:noWrap w:val="0"/>
            <w:vAlign w:val="center"/>
          </w:tcPr>
          <w:p>
            <w:pPr>
              <w:jc w:val="center"/>
              <w:rPr>
                <w:rFonts w:hint="eastAsia"/>
                <w:b/>
                <w:color w:val="000000"/>
                <w:sz w:val="22"/>
                <w:szCs w:val="22"/>
              </w:rPr>
            </w:pPr>
          </w:p>
        </w:tc>
        <w:tc>
          <w:tcPr>
            <w:tcW w:w="1701" w:type="dxa"/>
            <w:noWrap w:val="0"/>
            <w:vAlign w:val="center"/>
          </w:tcPr>
          <w:p>
            <w:pPr>
              <w:jc w:val="center"/>
              <w:rPr>
                <w:rFonts w:hint="eastAsia"/>
                <w:b/>
                <w:color w:val="000000"/>
                <w:sz w:val="22"/>
                <w:szCs w:val="22"/>
              </w:rPr>
            </w:pPr>
          </w:p>
        </w:tc>
        <w:tc>
          <w:tcPr>
            <w:tcW w:w="1417" w:type="dxa"/>
            <w:noWrap w:val="0"/>
            <w:vAlign w:val="center"/>
          </w:tcPr>
          <w:p>
            <w:pPr>
              <w:jc w:val="center"/>
              <w:rPr>
                <w:rFonts w:hint="eastAsia"/>
                <w:b/>
                <w:color w:val="000000"/>
                <w:sz w:val="22"/>
                <w:szCs w:val="22"/>
              </w:rPr>
            </w:pPr>
          </w:p>
        </w:tc>
        <w:tc>
          <w:tcPr>
            <w:tcW w:w="1143" w:type="dxa"/>
            <w:noWrap w:val="0"/>
            <w:vAlign w:val="center"/>
          </w:tcPr>
          <w:p>
            <w:pPr>
              <w:snapToGrid w:val="0"/>
              <w:spacing w:line="400" w:lineRule="atLeast"/>
              <w:jc w:val="center"/>
              <w:rPr>
                <w:rFonts w:hint="eastAsia"/>
                <w:b/>
                <w:color w:val="000000"/>
                <w:sz w:val="22"/>
                <w:szCs w:val="22"/>
              </w:rPr>
            </w:pPr>
          </w:p>
        </w:tc>
        <w:tc>
          <w:tcPr>
            <w:tcW w:w="1570" w:type="dxa"/>
            <w:gridSpan w:val="2"/>
            <w:tcBorders>
              <w:right w:val="single" w:color="auto" w:sz="4" w:space="0"/>
            </w:tcBorders>
            <w:noWrap w:val="0"/>
            <w:vAlign w:val="center"/>
          </w:tcPr>
          <w:p>
            <w:pPr>
              <w:jc w:val="center"/>
              <w:rPr>
                <w:rFonts w:hint="eastAsia"/>
                <w:b/>
                <w:color w:val="000000"/>
                <w:sz w:val="22"/>
                <w:szCs w:val="22"/>
              </w:rPr>
            </w:pPr>
          </w:p>
        </w:tc>
        <w:tc>
          <w:tcPr>
            <w:tcW w:w="1554" w:type="dxa"/>
            <w:tcBorders>
              <w:left w:val="single" w:color="auto" w:sz="4" w:space="0"/>
            </w:tcBorders>
            <w:noWrap w:val="0"/>
            <w:vAlign w:val="center"/>
          </w:tcPr>
          <w:p>
            <w:pPr>
              <w:jc w:val="center"/>
              <w:rPr>
                <w:rFonts w:hint="eastAsia"/>
                <w:b/>
                <w:color w:val="00000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90" w:hRule="atLeast"/>
        </w:trPr>
        <w:tc>
          <w:tcPr>
            <w:tcW w:w="5103" w:type="dxa"/>
            <w:gridSpan w:val="4"/>
            <w:noWrap w:val="0"/>
            <w:vAlign w:val="top"/>
          </w:tcPr>
          <w:p>
            <w:pPr>
              <w:jc w:val="center"/>
              <w:rPr>
                <w:rFonts w:hint="eastAsia"/>
                <w:b/>
                <w:color w:val="000000"/>
                <w:sz w:val="22"/>
                <w:szCs w:val="22"/>
              </w:rPr>
            </w:pPr>
            <w:r>
              <w:rPr>
                <w:rFonts w:hint="eastAsia"/>
                <w:b/>
                <w:color w:val="000000"/>
                <w:sz w:val="22"/>
                <w:szCs w:val="22"/>
              </w:rPr>
              <w:t>合计报价</w:t>
            </w:r>
          </w:p>
        </w:tc>
        <w:tc>
          <w:tcPr>
            <w:tcW w:w="4267" w:type="dxa"/>
            <w:gridSpan w:val="4"/>
            <w:noWrap w:val="0"/>
            <w:vAlign w:val="center"/>
          </w:tcPr>
          <w:p>
            <w:pPr>
              <w:jc w:val="center"/>
              <w:rPr>
                <w:rFonts w:hint="eastAsia"/>
                <w:b/>
                <w:color w:val="000000"/>
                <w:sz w:val="22"/>
                <w:szCs w:val="22"/>
              </w:rPr>
            </w:pPr>
          </w:p>
        </w:tc>
      </w:tr>
    </w:tbl>
    <w:p>
      <w:pPr>
        <w:pStyle w:val="32"/>
        <w:spacing w:line="460" w:lineRule="atLeast"/>
        <w:rPr>
          <w:rFonts w:hint="eastAsia" w:hAnsi="宋体"/>
          <w:b/>
          <w:color w:val="000000"/>
          <w:sz w:val="22"/>
          <w:szCs w:val="22"/>
        </w:rPr>
      </w:pPr>
      <w:r>
        <w:rPr>
          <w:rFonts w:hint="eastAsia" w:hAnsi="宋体"/>
          <w:color w:val="000000"/>
          <w:sz w:val="22"/>
          <w:szCs w:val="22"/>
        </w:rPr>
        <w:t xml:space="preserve">  </w:t>
      </w:r>
      <w:r>
        <w:rPr>
          <w:rFonts w:hint="eastAsia" w:hAnsi="宋体"/>
          <w:b/>
          <w:color w:val="000000"/>
          <w:sz w:val="22"/>
          <w:szCs w:val="22"/>
        </w:rPr>
        <w:t>说明：报价中须包含货物费、特殊工具费及随机易损件费、售后服务及技术培训费、运杂费装卸费、运输保险费、及其它需要的费用。</w:t>
      </w:r>
    </w:p>
    <w:p>
      <w:pPr>
        <w:pStyle w:val="32"/>
        <w:adjustRightInd w:val="0"/>
        <w:snapToGrid w:val="0"/>
        <w:spacing w:line="460" w:lineRule="atLeast"/>
        <w:rPr>
          <w:rFonts w:hint="eastAsia" w:hAnsi="宋体"/>
          <w:color w:val="000000"/>
          <w:sz w:val="22"/>
          <w:szCs w:val="22"/>
        </w:rPr>
      </w:pPr>
      <w:r>
        <w:rPr>
          <w:rFonts w:hint="eastAsia" w:hAnsi="宋体"/>
          <w:color w:val="000000"/>
          <w:sz w:val="22"/>
          <w:szCs w:val="22"/>
        </w:rPr>
        <w:t xml:space="preserve">                         </w:t>
      </w:r>
    </w:p>
    <w:p>
      <w:pPr>
        <w:pStyle w:val="32"/>
        <w:adjustRightInd w:val="0"/>
        <w:snapToGrid w:val="0"/>
        <w:spacing w:line="460" w:lineRule="atLeast"/>
        <w:ind w:firstLine="780"/>
        <w:rPr>
          <w:rFonts w:hint="eastAsia" w:hAnsi="宋体"/>
          <w:color w:val="000000"/>
          <w:sz w:val="24"/>
        </w:rPr>
      </w:pPr>
    </w:p>
    <w:p>
      <w:pPr>
        <w:autoSpaceDE w:val="0"/>
        <w:autoSpaceDN w:val="0"/>
        <w:adjustRightInd w:val="0"/>
        <w:spacing w:line="440" w:lineRule="atLeast"/>
        <w:ind w:firstLine="627" w:firstLineChars="285"/>
        <w:rPr>
          <w:rFonts w:hint="eastAsia" w:cs="仿宋_GB2312"/>
          <w:color w:val="000000"/>
          <w:sz w:val="22"/>
          <w:szCs w:val="22"/>
          <w:lang w:val="zh-CN"/>
        </w:rPr>
      </w:pPr>
      <w:r>
        <w:rPr>
          <w:rFonts w:hint="eastAsia" w:cs="仿宋_GB2312"/>
          <w:color w:val="000000"/>
          <w:sz w:val="22"/>
          <w:szCs w:val="22"/>
          <w:lang w:val="zh-CN"/>
        </w:rPr>
        <w:t>供应商全称（盖章）：</w:t>
      </w:r>
    </w:p>
    <w:p>
      <w:pPr>
        <w:autoSpaceDE w:val="0"/>
        <w:autoSpaceDN w:val="0"/>
        <w:adjustRightInd w:val="0"/>
        <w:spacing w:line="440" w:lineRule="atLeast"/>
        <w:ind w:firstLine="627" w:firstLineChars="285"/>
        <w:rPr>
          <w:rFonts w:cs="仿宋_GB2312"/>
          <w:color w:val="000000"/>
          <w:sz w:val="22"/>
          <w:szCs w:val="22"/>
          <w:lang w:val="zh-CN"/>
        </w:rPr>
      </w:pPr>
      <w:r>
        <w:rPr>
          <w:rFonts w:hint="eastAsia" w:cs="仿宋_GB2312"/>
          <w:color w:val="000000"/>
          <w:sz w:val="22"/>
          <w:szCs w:val="22"/>
          <w:lang w:val="zh-CN"/>
        </w:rPr>
        <w:t>授权代表（签字或签章）：</w:t>
      </w:r>
    </w:p>
    <w:p>
      <w:pPr>
        <w:autoSpaceDE w:val="0"/>
        <w:autoSpaceDN w:val="0"/>
        <w:adjustRightInd w:val="0"/>
        <w:spacing w:line="440" w:lineRule="atLeast"/>
        <w:ind w:firstLine="627" w:firstLineChars="285"/>
        <w:rPr>
          <w:rFonts w:cs="仿宋_GB2312"/>
          <w:color w:val="000000"/>
          <w:sz w:val="22"/>
          <w:szCs w:val="22"/>
          <w:lang w:val="zh-CN"/>
        </w:rPr>
      </w:pPr>
      <w:r>
        <w:rPr>
          <w:rFonts w:hint="eastAsia" w:cs="仿宋_GB2312"/>
          <w:color w:val="000000"/>
          <w:sz w:val="22"/>
          <w:szCs w:val="22"/>
          <w:lang w:val="zh-CN"/>
        </w:rPr>
        <w:t>日期：</w:t>
      </w:r>
    </w:p>
    <w:p>
      <w:pPr>
        <w:pStyle w:val="32"/>
        <w:spacing w:line="400" w:lineRule="atLeast"/>
        <w:rPr>
          <w:rFonts w:hAnsi="宋体"/>
          <w:b/>
          <w:color w:val="000000"/>
          <w:sz w:val="30"/>
        </w:rPr>
        <w:sectPr>
          <w:pgSz w:w="11906" w:h="16838"/>
          <w:pgMar w:top="1440" w:right="1361" w:bottom="1440" w:left="1361" w:header="851" w:footer="992" w:gutter="0"/>
          <w:cols w:space="720" w:num="1"/>
          <w:docGrid w:linePitch="312" w:charSpace="0"/>
        </w:sectPr>
      </w:pPr>
    </w:p>
    <w:p>
      <w:pPr>
        <w:pStyle w:val="32"/>
        <w:spacing w:line="400" w:lineRule="atLeast"/>
        <w:rPr>
          <w:rFonts w:hint="eastAsia" w:hAnsi="宋体"/>
          <w:b/>
          <w:color w:val="000000"/>
          <w:sz w:val="32"/>
          <w:szCs w:val="32"/>
        </w:rPr>
      </w:pPr>
      <w:r>
        <w:rPr>
          <w:rFonts w:hint="eastAsia" w:hAnsi="宋体"/>
          <w:b/>
          <w:color w:val="000000"/>
          <w:sz w:val="32"/>
          <w:szCs w:val="32"/>
        </w:rPr>
        <w:t>附件二（三）</w:t>
      </w:r>
    </w:p>
    <w:p>
      <w:pPr>
        <w:jc w:val="center"/>
        <w:rPr>
          <w:rFonts w:hint="eastAsia"/>
          <w:color w:val="000000"/>
          <w:spacing w:val="20"/>
        </w:rPr>
      </w:pPr>
      <w:r>
        <w:rPr>
          <w:rFonts w:hint="eastAsia"/>
          <w:b/>
          <w:color w:val="000000"/>
          <w:spacing w:val="20"/>
          <w:sz w:val="32"/>
          <w:szCs w:val="32"/>
        </w:rPr>
        <w:t>产品数量、配置及主要技术参数（不带价格放技术资信标中）</w:t>
      </w:r>
      <w:r>
        <w:rPr>
          <w:rFonts w:hint="eastAsia"/>
          <w:b/>
          <w:color w:val="000000"/>
          <w:spacing w:val="20"/>
          <w:sz w:val="36"/>
        </w:rPr>
        <w:t xml:space="preserve"> </w:t>
      </w:r>
    </w:p>
    <w:p>
      <w:pPr>
        <w:rPr>
          <w:rFonts w:hint="eastAsia"/>
          <w:b/>
          <w:color w:val="000000"/>
          <w:spacing w:val="20"/>
        </w:rPr>
      </w:pPr>
      <w:r>
        <w:rPr>
          <w:rFonts w:hint="eastAsia"/>
          <w:b/>
          <w:color w:val="000000"/>
          <w:spacing w:val="20"/>
        </w:rPr>
        <w:t>供应商名称：</w:t>
      </w:r>
      <w:r>
        <w:rPr>
          <w:rFonts w:hint="eastAsia"/>
          <w:b/>
          <w:color w:val="000000"/>
          <w:spacing w:val="20"/>
          <w:u w:val="single"/>
        </w:rPr>
        <w:t xml:space="preserve">          </w:t>
      </w:r>
      <w:r>
        <w:rPr>
          <w:rFonts w:hint="eastAsia"/>
          <w:b/>
          <w:color w:val="000000"/>
          <w:spacing w:val="20"/>
        </w:rPr>
        <w:t xml:space="preserve">  招标编号：</w:t>
      </w:r>
      <w:r>
        <w:rPr>
          <w:rFonts w:hint="eastAsia"/>
          <w:b/>
          <w:color w:val="000000"/>
          <w:spacing w:val="20"/>
          <w:u w:val="single"/>
        </w:rPr>
        <w:t xml:space="preserve">        </w:t>
      </w:r>
      <w:r>
        <w:rPr>
          <w:rFonts w:hint="eastAsia"/>
          <w:b/>
          <w:color w:val="000000"/>
          <w:spacing w:val="20"/>
        </w:rPr>
        <w:t xml:space="preserve">   项目名称：</w:t>
      </w:r>
      <w:r>
        <w:rPr>
          <w:rFonts w:hint="eastAsia"/>
          <w:b/>
          <w:color w:val="000000"/>
          <w:spacing w:val="20"/>
          <w:u w:val="single"/>
        </w:rPr>
        <w:t xml:space="preserve">         </w:t>
      </w:r>
    </w:p>
    <w:tbl>
      <w:tblPr>
        <w:tblStyle w:val="55"/>
        <w:tblW w:w="0" w:type="auto"/>
        <w:tblInd w:w="-12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7"/>
        <w:gridCol w:w="1671"/>
        <w:gridCol w:w="1322"/>
        <w:gridCol w:w="2019"/>
        <w:gridCol w:w="836"/>
        <w:gridCol w:w="24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b/>
                <w:color w:val="000000"/>
                <w:spacing w:val="20"/>
              </w:rPr>
            </w:pPr>
            <w:r>
              <w:rPr>
                <w:rFonts w:hint="eastAsia"/>
                <w:b/>
                <w:color w:val="000000"/>
                <w:spacing w:val="20"/>
              </w:rPr>
              <w:t>货号</w:t>
            </w:r>
          </w:p>
        </w:tc>
        <w:tc>
          <w:tcPr>
            <w:tcW w:w="1671" w:type="dxa"/>
            <w:noWrap w:val="0"/>
            <w:vAlign w:val="center"/>
          </w:tcPr>
          <w:p>
            <w:pPr>
              <w:jc w:val="center"/>
              <w:rPr>
                <w:rFonts w:hint="eastAsia"/>
                <w:b/>
                <w:color w:val="000000"/>
                <w:spacing w:val="20"/>
              </w:rPr>
            </w:pPr>
            <w:r>
              <w:rPr>
                <w:rFonts w:hint="eastAsia"/>
                <w:b/>
                <w:color w:val="000000"/>
                <w:spacing w:val="20"/>
              </w:rPr>
              <w:t>货物名称</w:t>
            </w:r>
          </w:p>
        </w:tc>
        <w:tc>
          <w:tcPr>
            <w:tcW w:w="1322" w:type="dxa"/>
            <w:noWrap w:val="0"/>
            <w:vAlign w:val="center"/>
          </w:tcPr>
          <w:p>
            <w:pPr>
              <w:jc w:val="center"/>
              <w:rPr>
                <w:rFonts w:hint="eastAsia"/>
                <w:b/>
                <w:color w:val="000000"/>
                <w:spacing w:val="20"/>
              </w:rPr>
            </w:pPr>
            <w:r>
              <w:rPr>
                <w:rFonts w:hint="eastAsia"/>
                <w:b/>
                <w:color w:val="000000"/>
                <w:spacing w:val="20"/>
              </w:rPr>
              <w:t>品牌产地</w:t>
            </w:r>
          </w:p>
        </w:tc>
        <w:tc>
          <w:tcPr>
            <w:tcW w:w="2019" w:type="dxa"/>
            <w:noWrap w:val="0"/>
            <w:vAlign w:val="center"/>
          </w:tcPr>
          <w:p>
            <w:pPr>
              <w:jc w:val="center"/>
              <w:rPr>
                <w:rFonts w:hint="eastAsia"/>
                <w:b/>
                <w:color w:val="000000"/>
                <w:spacing w:val="20"/>
              </w:rPr>
            </w:pPr>
            <w:r>
              <w:rPr>
                <w:rFonts w:hint="eastAsia"/>
                <w:b/>
                <w:color w:val="000000"/>
                <w:spacing w:val="20"/>
              </w:rPr>
              <w:t>主要规格、型号</w:t>
            </w:r>
          </w:p>
        </w:tc>
        <w:tc>
          <w:tcPr>
            <w:tcW w:w="836" w:type="dxa"/>
            <w:noWrap w:val="0"/>
            <w:vAlign w:val="center"/>
          </w:tcPr>
          <w:p>
            <w:pPr>
              <w:jc w:val="center"/>
              <w:rPr>
                <w:rFonts w:hint="eastAsia"/>
                <w:b/>
                <w:color w:val="000000"/>
                <w:spacing w:val="20"/>
              </w:rPr>
            </w:pPr>
            <w:r>
              <w:rPr>
                <w:rFonts w:hint="eastAsia"/>
                <w:b/>
                <w:color w:val="000000"/>
                <w:spacing w:val="20"/>
              </w:rPr>
              <w:t>数量</w:t>
            </w:r>
          </w:p>
        </w:tc>
        <w:tc>
          <w:tcPr>
            <w:tcW w:w="2480" w:type="dxa"/>
            <w:noWrap w:val="0"/>
            <w:vAlign w:val="center"/>
          </w:tcPr>
          <w:p>
            <w:pPr>
              <w:jc w:val="center"/>
              <w:rPr>
                <w:rFonts w:hint="eastAsia"/>
                <w:b/>
                <w:color w:val="000000"/>
                <w:spacing w:val="20"/>
              </w:rPr>
            </w:pPr>
            <w:r>
              <w:rPr>
                <w:rFonts w:hint="eastAsia"/>
                <w:b/>
                <w:color w:val="000000"/>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jc w:val="center"/>
              <w:rPr>
                <w:rFonts w:hint="eastAsia"/>
                <w:color w:val="000000"/>
                <w:spacing w:val="2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jc w:val="center"/>
              <w:rPr>
                <w:rFonts w:hint="eastAsia"/>
                <w:color w:val="000000"/>
                <w:spacing w:val="2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jc w:val="center"/>
              <w:rPr>
                <w:rFonts w:hint="eastAsia"/>
                <w:color w:val="000000"/>
                <w:spacing w:val="2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center"/>
          </w:tcPr>
          <w:p>
            <w:pPr>
              <w:jc w:val="center"/>
              <w:rPr>
                <w:rFonts w:hint="eastAsia"/>
                <w:color w:val="000000"/>
                <w:spacing w:val="2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469" w:hRule="atLeast"/>
        </w:trPr>
        <w:tc>
          <w:tcPr>
            <w:tcW w:w="977" w:type="dxa"/>
            <w:noWrap w:val="0"/>
            <w:vAlign w:val="center"/>
          </w:tcPr>
          <w:p>
            <w:pPr>
              <w:jc w:val="center"/>
              <w:rPr>
                <w:rFonts w:hint="eastAsia"/>
                <w:color w:val="000000"/>
                <w:spacing w:val="20"/>
              </w:rPr>
            </w:pPr>
          </w:p>
        </w:tc>
        <w:tc>
          <w:tcPr>
            <w:tcW w:w="1671" w:type="dxa"/>
            <w:noWrap w:val="0"/>
            <w:vAlign w:val="top"/>
          </w:tcPr>
          <w:p>
            <w:pPr>
              <w:spacing w:line="400" w:lineRule="exact"/>
              <w:jc w:val="center"/>
              <w:rPr>
                <w:rFonts w:hint="eastAsia"/>
                <w:color w:val="000000"/>
              </w:rPr>
            </w:pPr>
          </w:p>
        </w:tc>
        <w:tc>
          <w:tcPr>
            <w:tcW w:w="1322" w:type="dxa"/>
            <w:noWrap w:val="0"/>
            <w:vAlign w:val="center"/>
          </w:tcPr>
          <w:p>
            <w:pPr>
              <w:jc w:val="center"/>
              <w:rPr>
                <w:rFonts w:hint="eastAsia"/>
                <w:color w:val="000000"/>
                <w:spacing w:val="20"/>
              </w:rPr>
            </w:pPr>
          </w:p>
        </w:tc>
        <w:tc>
          <w:tcPr>
            <w:tcW w:w="2019" w:type="dxa"/>
            <w:noWrap w:val="0"/>
            <w:vAlign w:val="center"/>
          </w:tcPr>
          <w:p>
            <w:pPr>
              <w:jc w:val="center"/>
              <w:rPr>
                <w:rFonts w:hint="eastAsia"/>
                <w:color w:val="000000"/>
                <w:spacing w:val="20"/>
              </w:rPr>
            </w:pPr>
          </w:p>
        </w:tc>
        <w:tc>
          <w:tcPr>
            <w:tcW w:w="836" w:type="dxa"/>
            <w:noWrap w:val="0"/>
            <w:vAlign w:val="center"/>
          </w:tcPr>
          <w:p>
            <w:pPr>
              <w:jc w:val="center"/>
              <w:rPr>
                <w:rFonts w:hint="eastAsia"/>
                <w:color w:val="000000"/>
                <w:spacing w:val="20"/>
              </w:rPr>
            </w:pPr>
          </w:p>
        </w:tc>
        <w:tc>
          <w:tcPr>
            <w:tcW w:w="2480" w:type="dxa"/>
            <w:noWrap w:val="0"/>
            <w:vAlign w:val="center"/>
          </w:tcPr>
          <w:p>
            <w:pPr>
              <w:jc w:val="center"/>
              <w:rPr>
                <w:rFonts w:hint="eastAsia"/>
                <w:color w:val="000000"/>
                <w:spacing w:val="20"/>
              </w:rPr>
            </w:pPr>
          </w:p>
        </w:tc>
      </w:tr>
    </w:tbl>
    <w:p>
      <w:pPr>
        <w:spacing w:line="360" w:lineRule="auto"/>
        <w:rPr>
          <w:color w:val="000000"/>
          <w:spacing w:val="20"/>
        </w:rPr>
      </w:pPr>
      <w:r>
        <w:rPr>
          <w:rFonts w:hint="eastAsia"/>
          <w:b/>
          <w:color w:val="000000"/>
          <w:spacing w:val="20"/>
        </w:rPr>
        <w:t>供应商盖章</w:t>
      </w:r>
      <w:r>
        <w:rPr>
          <w:rFonts w:hint="eastAsia"/>
          <w:color w:val="000000"/>
          <w:spacing w:val="20"/>
        </w:rPr>
        <w:t>：</w:t>
      </w:r>
      <w:r>
        <w:rPr>
          <w:rFonts w:hint="eastAsia"/>
          <w:color w:val="000000"/>
          <w:spacing w:val="20"/>
          <w:u w:val="single"/>
        </w:rPr>
        <w:t xml:space="preserve">               </w:t>
      </w:r>
      <w:r>
        <w:rPr>
          <w:rFonts w:hint="eastAsia"/>
          <w:color w:val="000000"/>
          <w:spacing w:val="20"/>
        </w:rPr>
        <w:t xml:space="preserve">   </w:t>
      </w:r>
    </w:p>
    <w:p>
      <w:pPr>
        <w:spacing w:line="360" w:lineRule="auto"/>
        <w:rPr>
          <w:rFonts w:hint="eastAsia"/>
          <w:b/>
          <w:color w:val="000000"/>
          <w:sz w:val="32"/>
          <w:lang w:val="zh-CN"/>
        </w:rPr>
      </w:pPr>
      <w:r>
        <w:rPr>
          <w:rFonts w:hint="eastAsia"/>
          <w:b/>
          <w:i/>
          <w:color w:val="000000"/>
          <w:spacing w:val="20"/>
        </w:rPr>
        <w:t>注：1、货物详细配置、技术应另页描述。</w:t>
      </w:r>
    </w:p>
    <w:p>
      <w:pPr>
        <w:autoSpaceDE w:val="0"/>
        <w:autoSpaceDN w:val="0"/>
        <w:adjustRightInd w:val="0"/>
        <w:rPr>
          <w:b/>
          <w:color w:val="000000"/>
          <w:sz w:val="32"/>
          <w:lang w:val="zh-CN"/>
        </w:rPr>
        <w:sectPr>
          <w:pgSz w:w="11906" w:h="16838"/>
          <w:pgMar w:top="1440" w:right="1361" w:bottom="1440" w:left="1361" w:header="851" w:footer="992" w:gutter="0"/>
          <w:cols w:space="720" w:num="1"/>
          <w:docGrid w:linePitch="312" w:charSpace="0"/>
        </w:sectPr>
      </w:pPr>
    </w:p>
    <w:p>
      <w:pPr>
        <w:autoSpaceDE w:val="0"/>
        <w:autoSpaceDN w:val="0"/>
        <w:adjustRightInd w:val="0"/>
        <w:outlineLvl w:val="0"/>
        <w:rPr>
          <w:b/>
          <w:color w:val="000000"/>
          <w:sz w:val="32"/>
          <w:lang w:val="zh-CN"/>
        </w:rPr>
      </w:pPr>
      <w:r>
        <w:rPr>
          <w:rFonts w:hint="eastAsia"/>
          <w:b/>
          <w:color w:val="000000"/>
          <w:sz w:val="32"/>
          <w:lang w:val="zh-CN"/>
        </w:rPr>
        <w:t>附件三（一）</w:t>
      </w:r>
    </w:p>
    <w:p>
      <w:pPr>
        <w:autoSpaceDE w:val="0"/>
        <w:autoSpaceDN w:val="0"/>
        <w:adjustRightInd w:val="0"/>
        <w:spacing w:line="440" w:lineRule="atLeast"/>
        <w:ind w:firstLine="3413"/>
        <w:outlineLvl w:val="0"/>
        <w:rPr>
          <w:b/>
          <w:color w:val="000000"/>
          <w:sz w:val="36"/>
          <w:lang w:val="zh-CN"/>
        </w:rPr>
      </w:pPr>
      <w:r>
        <w:rPr>
          <w:rFonts w:hint="eastAsia"/>
          <w:b/>
          <w:color w:val="000000"/>
          <w:sz w:val="36"/>
          <w:lang w:val="zh-CN"/>
        </w:rPr>
        <w:t>商</w:t>
      </w:r>
      <w:r>
        <w:rPr>
          <w:b/>
          <w:color w:val="000000"/>
          <w:sz w:val="36"/>
          <w:lang w:val="zh-CN"/>
        </w:rPr>
        <w:t xml:space="preserve"> </w:t>
      </w:r>
      <w:r>
        <w:rPr>
          <w:rFonts w:hint="eastAsia"/>
          <w:b/>
          <w:color w:val="000000"/>
          <w:sz w:val="36"/>
          <w:lang w:val="zh-CN"/>
        </w:rPr>
        <w:t>务</w:t>
      </w:r>
      <w:r>
        <w:rPr>
          <w:b/>
          <w:color w:val="000000"/>
          <w:sz w:val="36"/>
          <w:lang w:val="zh-CN"/>
        </w:rPr>
        <w:t xml:space="preserve"> </w:t>
      </w:r>
      <w:r>
        <w:rPr>
          <w:rFonts w:hint="eastAsia"/>
          <w:b/>
          <w:color w:val="000000"/>
          <w:sz w:val="36"/>
          <w:lang w:val="zh-CN"/>
        </w:rPr>
        <w:t>偏</w:t>
      </w:r>
      <w:r>
        <w:rPr>
          <w:b/>
          <w:color w:val="000000"/>
          <w:sz w:val="36"/>
          <w:lang w:val="zh-CN"/>
        </w:rPr>
        <w:t xml:space="preserve"> </w:t>
      </w:r>
      <w:r>
        <w:rPr>
          <w:rFonts w:hint="eastAsia"/>
          <w:b/>
          <w:color w:val="000000"/>
          <w:sz w:val="36"/>
          <w:lang w:val="zh-CN"/>
        </w:rPr>
        <w:t>离</w:t>
      </w:r>
      <w:r>
        <w:rPr>
          <w:b/>
          <w:color w:val="000000"/>
          <w:sz w:val="36"/>
          <w:lang w:val="zh-CN"/>
        </w:rPr>
        <w:t xml:space="preserve"> </w:t>
      </w:r>
      <w:r>
        <w:rPr>
          <w:rFonts w:hint="eastAsia"/>
          <w:b/>
          <w:color w:val="000000"/>
          <w:sz w:val="36"/>
          <w:lang w:val="zh-CN"/>
        </w:rPr>
        <w:t>表</w:t>
      </w:r>
    </w:p>
    <w:p>
      <w:pPr>
        <w:autoSpaceDE w:val="0"/>
        <w:autoSpaceDN w:val="0"/>
        <w:adjustRightInd w:val="0"/>
        <w:spacing w:line="440" w:lineRule="atLeast"/>
        <w:ind w:firstLine="3413"/>
        <w:rPr>
          <w:b/>
          <w:color w:val="000000"/>
          <w:sz w:val="36"/>
          <w:lang w:val="zh-CN"/>
        </w:rPr>
      </w:pPr>
    </w:p>
    <w:tbl>
      <w:tblPr>
        <w:tblStyle w:val="55"/>
        <w:tblW w:w="0" w:type="auto"/>
        <w:tblInd w:w="-116" w:type="dxa"/>
        <w:tblLayout w:type="fixed"/>
        <w:tblCellMar>
          <w:top w:w="0" w:type="dxa"/>
          <w:left w:w="108" w:type="dxa"/>
          <w:bottom w:w="0" w:type="dxa"/>
          <w:right w:w="108" w:type="dxa"/>
        </w:tblCellMar>
      </w:tblPr>
      <w:tblGrid>
        <w:gridCol w:w="900"/>
        <w:gridCol w:w="1800"/>
        <w:gridCol w:w="2664"/>
        <w:gridCol w:w="2110"/>
        <w:gridCol w:w="2126"/>
      </w:tblGrid>
      <w:tr>
        <w:tblPrEx>
          <w:tblCellMar>
            <w:top w:w="0" w:type="dxa"/>
            <w:left w:w="108" w:type="dxa"/>
            <w:bottom w:w="0" w:type="dxa"/>
            <w:right w:w="108" w:type="dxa"/>
          </w:tblCellMar>
        </w:tblPrEx>
        <w:trPr>
          <w:wBefore w:w="0" w:type="dxa"/>
          <w:trHeight w:val="936"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序</w:t>
            </w:r>
            <w:r>
              <w:rPr>
                <w:b/>
                <w:color w:val="000000"/>
                <w:lang w:val="zh-CN"/>
              </w:rPr>
              <w:t xml:space="preserve"> </w:t>
            </w:r>
            <w:r>
              <w:rPr>
                <w:rFonts w:hint="eastAsia"/>
                <w:b/>
                <w:color w:val="000000"/>
                <w:lang w:val="zh-CN"/>
              </w:rPr>
              <w:t>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内容</w:t>
            </w:r>
          </w:p>
        </w:tc>
        <w:tc>
          <w:tcPr>
            <w:tcW w:w="266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招标文件规范要求</w:t>
            </w:r>
          </w:p>
        </w:tc>
        <w:tc>
          <w:tcPr>
            <w:tcW w:w="211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投标文件</w:t>
            </w:r>
          </w:p>
          <w:p>
            <w:pPr>
              <w:autoSpaceDE w:val="0"/>
              <w:autoSpaceDN w:val="0"/>
              <w:adjustRightInd w:val="0"/>
              <w:spacing w:line="440" w:lineRule="atLeast"/>
              <w:jc w:val="center"/>
              <w:rPr>
                <w:b/>
                <w:color w:val="000000"/>
                <w:lang w:val="zh-CN"/>
              </w:rPr>
            </w:pPr>
            <w:r>
              <w:rPr>
                <w:rFonts w:hint="eastAsia"/>
                <w:b/>
                <w:color w:val="000000"/>
                <w:lang w:val="zh-CN"/>
              </w:rPr>
              <w:t>对应规范</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备</w:t>
            </w:r>
            <w:r>
              <w:rPr>
                <w:b/>
                <w:color w:val="000000"/>
                <w:lang w:val="zh-CN"/>
              </w:rPr>
              <w:t xml:space="preserve"> </w:t>
            </w:r>
            <w:r>
              <w:rPr>
                <w:rFonts w:hint="eastAsia"/>
                <w:b/>
                <w:color w:val="000000"/>
                <w:lang w:val="zh-CN"/>
              </w:rPr>
              <w:t>注</w:t>
            </w: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36"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Height w:val="424" w:hRule="atLeast"/>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66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12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bl>
    <w:p>
      <w:pPr>
        <w:autoSpaceDE w:val="0"/>
        <w:autoSpaceDN w:val="0"/>
        <w:adjustRightInd w:val="0"/>
        <w:spacing w:line="440" w:lineRule="atLeast"/>
        <w:rPr>
          <w:rFonts w:hint="eastAsia"/>
          <w:b/>
          <w:color w:val="000000"/>
          <w:lang w:val="zh-CN"/>
        </w:rPr>
      </w:pPr>
      <w:r>
        <w:rPr>
          <w:rFonts w:hint="eastAsia"/>
          <w:b/>
          <w:color w:val="000000"/>
          <w:lang w:val="zh-CN"/>
        </w:rPr>
        <w:t>供应商盖章：</w:t>
      </w:r>
    </w:p>
    <w:p>
      <w:pPr>
        <w:autoSpaceDE w:val="0"/>
        <w:autoSpaceDN w:val="0"/>
        <w:adjustRightInd w:val="0"/>
        <w:spacing w:line="440" w:lineRule="atLeast"/>
        <w:rPr>
          <w:rFonts w:hint="eastAsia"/>
          <w:b/>
          <w:color w:val="000000"/>
          <w:sz w:val="32"/>
          <w:lang w:val="zh-CN"/>
        </w:rPr>
      </w:pPr>
    </w:p>
    <w:p>
      <w:pPr>
        <w:autoSpaceDE w:val="0"/>
        <w:autoSpaceDN w:val="0"/>
        <w:adjustRightInd w:val="0"/>
        <w:spacing w:line="440" w:lineRule="atLeast"/>
        <w:rPr>
          <w:rFonts w:hint="eastAsia"/>
          <w:b/>
          <w:color w:val="000000"/>
          <w:sz w:val="32"/>
          <w:lang w:val="zh-CN"/>
        </w:rPr>
      </w:pPr>
    </w:p>
    <w:p>
      <w:pPr>
        <w:autoSpaceDE w:val="0"/>
        <w:autoSpaceDN w:val="0"/>
        <w:adjustRightInd w:val="0"/>
        <w:spacing w:line="440" w:lineRule="atLeast"/>
        <w:outlineLvl w:val="0"/>
        <w:rPr>
          <w:b/>
          <w:color w:val="000000"/>
          <w:sz w:val="32"/>
          <w:lang w:val="zh-CN"/>
        </w:rPr>
      </w:pPr>
      <w:r>
        <w:rPr>
          <w:rFonts w:hint="eastAsia"/>
          <w:b/>
          <w:color w:val="000000"/>
          <w:sz w:val="32"/>
          <w:lang w:val="zh-CN"/>
        </w:rPr>
        <w:t>附件三（二）</w:t>
      </w:r>
    </w:p>
    <w:p>
      <w:pPr>
        <w:autoSpaceDE w:val="0"/>
        <w:autoSpaceDN w:val="0"/>
        <w:adjustRightInd w:val="0"/>
        <w:spacing w:line="440" w:lineRule="atLeast"/>
        <w:ind w:firstLine="3614" w:firstLineChars="1000"/>
        <w:outlineLvl w:val="0"/>
        <w:rPr>
          <w:b/>
          <w:color w:val="000000"/>
          <w:sz w:val="36"/>
          <w:lang w:val="zh-CN"/>
        </w:rPr>
      </w:pPr>
      <w:r>
        <w:rPr>
          <w:rFonts w:hint="eastAsia"/>
          <w:b/>
          <w:color w:val="000000"/>
          <w:sz w:val="36"/>
          <w:lang w:val="zh-CN"/>
        </w:rPr>
        <w:t>技术偏离表</w:t>
      </w:r>
    </w:p>
    <w:tbl>
      <w:tblPr>
        <w:tblStyle w:val="55"/>
        <w:tblW w:w="0" w:type="auto"/>
        <w:tblInd w:w="-308" w:type="dxa"/>
        <w:tblLayout w:type="fixed"/>
        <w:tblCellMar>
          <w:top w:w="0" w:type="dxa"/>
          <w:left w:w="108" w:type="dxa"/>
          <w:bottom w:w="0" w:type="dxa"/>
          <w:right w:w="108" w:type="dxa"/>
        </w:tblCellMar>
      </w:tblPr>
      <w:tblGrid>
        <w:gridCol w:w="900"/>
        <w:gridCol w:w="1800"/>
        <w:gridCol w:w="2300"/>
        <w:gridCol w:w="2000"/>
        <w:gridCol w:w="2800"/>
      </w:tblGrid>
      <w:tr>
        <w:tblPrEx>
          <w:tblCellMar>
            <w:top w:w="0" w:type="dxa"/>
            <w:left w:w="108" w:type="dxa"/>
            <w:bottom w:w="0" w:type="dxa"/>
            <w:right w:w="108" w:type="dxa"/>
          </w:tblCellMar>
        </w:tblPrEx>
        <w:trPr>
          <w:wBefore w:w="0" w:type="dxa"/>
          <w:trHeight w:val="918"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序</w:t>
            </w:r>
            <w:r>
              <w:rPr>
                <w:b/>
                <w:color w:val="000000"/>
                <w:lang w:val="zh-CN"/>
              </w:rPr>
              <w:t xml:space="preserve"> </w:t>
            </w:r>
            <w:r>
              <w:rPr>
                <w:rFonts w:hint="eastAsia"/>
                <w:b/>
                <w:color w:val="000000"/>
                <w:lang w:val="zh-CN"/>
              </w:rPr>
              <w:t>号</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内容</w:t>
            </w:r>
          </w:p>
        </w:tc>
        <w:tc>
          <w:tcPr>
            <w:tcW w:w="23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招标文件规范要求</w:t>
            </w:r>
          </w:p>
        </w:tc>
        <w:tc>
          <w:tcPr>
            <w:tcW w:w="20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投标文件</w:t>
            </w:r>
          </w:p>
          <w:p>
            <w:pPr>
              <w:autoSpaceDE w:val="0"/>
              <w:autoSpaceDN w:val="0"/>
              <w:adjustRightInd w:val="0"/>
              <w:spacing w:line="440" w:lineRule="atLeast"/>
              <w:jc w:val="center"/>
              <w:rPr>
                <w:b/>
                <w:color w:val="000000"/>
                <w:lang w:val="zh-CN"/>
              </w:rPr>
            </w:pPr>
            <w:r>
              <w:rPr>
                <w:rFonts w:hint="eastAsia"/>
                <w:b/>
                <w:color w:val="000000"/>
                <w:lang w:val="zh-CN"/>
              </w:rPr>
              <w:t>对应规范</w:t>
            </w:r>
          </w:p>
        </w:tc>
        <w:tc>
          <w:tcPr>
            <w:tcW w:w="2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atLeast"/>
              <w:jc w:val="center"/>
              <w:rPr>
                <w:b/>
                <w:color w:val="000000"/>
                <w:lang w:val="zh-CN"/>
              </w:rPr>
            </w:pPr>
            <w:r>
              <w:rPr>
                <w:rFonts w:hint="eastAsia"/>
                <w:b/>
                <w:color w:val="000000"/>
                <w:lang w:val="zh-CN"/>
              </w:rPr>
              <w:t>备</w:t>
            </w:r>
            <w:r>
              <w:rPr>
                <w:b/>
                <w:color w:val="000000"/>
                <w:lang w:val="zh-CN"/>
              </w:rPr>
              <w:t xml:space="preserve"> </w:t>
            </w:r>
            <w:r>
              <w:rPr>
                <w:rFonts w:hint="eastAsia"/>
                <w:b/>
                <w:color w:val="000000"/>
                <w:lang w:val="zh-CN"/>
              </w:rPr>
              <w:t>注</w:t>
            </w: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r>
        <w:tblPrEx>
          <w:tblCellMar>
            <w:top w:w="0" w:type="dxa"/>
            <w:left w:w="108" w:type="dxa"/>
            <w:bottom w:w="0" w:type="dxa"/>
            <w:right w:w="108" w:type="dxa"/>
          </w:tblCellMar>
        </w:tblPrEx>
        <w:trPr>
          <w:wBefore w:w="0" w:type="dxa"/>
        </w:trPr>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3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0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c>
          <w:tcPr>
            <w:tcW w:w="2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atLeast"/>
              <w:jc w:val="center"/>
              <w:rPr>
                <w:b/>
                <w:color w:val="000000"/>
                <w:lang w:val="zh-CN"/>
              </w:rPr>
            </w:pPr>
          </w:p>
        </w:tc>
      </w:tr>
    </w:tbl>
    <w:p>
      <w:pPr>
        <w:autoSpaceDE w:val="0"/>
        <w:autoSpaceDN w:val="0"/>
        <w:adjustRightInd w:val="0"/>
        <w:spacing w:line="440" w:lineRule="atLeast"/>
        <w:rPr>
          <w:b/>
          <w:color w:val="000000"/>
          <w:lang w:val="zh-CN"/>
        </w:rPr>
      </w:pPr>
      <w:r>
        <w:rPr>
          <w:rFonts w:hint="eastAsia"/>
          <w:b/>
          <w:color w:val="000000"/>
          <w:lang w:val="zh-CN"/>
        </w:rPr>
        <w:t>供应商盖章：</w:t>
      </w:r>
      <w:r>
        <w:rPr>
          <w:b/>
          <w:color w:val="000000"/>
          <w:u w:val="single"/>
          <w:lang w:val="zh-CN"/>
        </w:rPr>
        <w:t xml:space="preserve">               </w:t>
      </w:r>
    </w:p>
    <w:p>
      <w:pPr>
        <w:autoSpaceDE w:val="0"/>
        <w:autoSpaceDN w:val="0"/>
        <w:adjustRightInd w:val="0"/>
        <w:rPr>
          <w:b/>
          <w:color w:val="000000"/>
          <w:sz w:val="32"/>
        </w:rPr>
        <w:sectPr>
          <w:pgSz w:w="11906" w:h="16838"/>
          <w:pgMar w:top="1440" w:right="1361" w:bottom="1440" w:left="1361" w:header="851" w:footer="992" w:gutter="0"/>
          <w:cols w:space="720" w:num="1"/>
          <w:docGrid w:linePitch="312" w:charSpace="0"/>
        </w:sectPr>
      </w:pPr>
    </w:p>
    <w:p>
      <w:pPr>
        <w:autoSpaceDE w:val="0"/>
        <w:autoSpaceDN w:val="0"/>
        <w:adjustRightInd w:val="0"/>
        <w:spacing w:line="440" w:lineRule="atLeast"/>
        <w:outlineLvl w:val="0"/>
        <w:rPr>
          <w:b/>
          <w:color w:val="000000"/>
          <w:sz w:val="32"/>
          <w:lang w:val="zh-CN"/>
        </w:rPr>
      </w:pPr>
      <w:r>
        <w:rPr>
          <w:rFonts w:hint="eastAsia"/>
          <w:b/>
          <w:color w:val="000000"/>
          <w:sz w:val="32"/>
          <w:lang w:val="zh-CN"/>
        </w:rPr>
        <w:t>附件四</w:t>
      </w:r>
    </w:p>
    <w:p>
      <w:pPr>
        <w:autoSpaceDE w:val="0"/>
        <w:autoSpaceDN w:val="0"/>
        <w:adjustRightInd w:val="0"/>
        <w:spacing w:line="440" w:lineRule="atLeast"/>
        <w:jc w:val="center"/>
        <w:outlineLvl w:val="0"/>
        <w:rPr>
          <w:b/>
          <w:color w:val="000000"/>
          <w:sz w:val="36"/>
          <w:lang w:val="zh-CN"/>
        </w:rPr>
      </w:pPr>
      <w:r>
        <w:rPr>
          <w:rFonts w:hint="eastAsia"/>
          <w:b/>
          <w:color w:val="000000"/>
          <w:sz w:val="36"/>
          <w:lang w:val="zh-CN"/>
        </w:rPr>
        <w:t>资格、资质证明文件</w:t>
      </w:r>
    </w:p>
    <w:p>
      <w:pPr>
        <w:tabs>
          <w:tab w:val="left" w:pos="1080"/>
        </w:tabs>
        <w:autoSpaceDE w:val="0"/>
        <w:autoSpaceDN w:val="0"/>
        <w:adjustRightInd w:val="0"/>
        <w:spacing w:line="440" w:lineRule="atLeast"/>
        <w:jc w:val="center"/>
        <w:outlineLvl w:val="0"/>
        <w:rPr>
          <w:b/>
          <w:color w:val="000000"/>
          <w:sz w:val="36"/>
          <w:lang w:val="zh-CN"/>
        </w:rPr>
      </w:pPr>
      <w:r>
        <w:rPr>
          <w:rFonts w:hint="eastAsia"/>
          <w:b/>
          <w:color w:val="000000"/>
          <w:sz w:val="36"/>
          <w:lang w:val="zh-CN"/>
        </w:rPr>
        <w:t>（一）法定代表人授权书</w:t>
      </w:r>
    </w:p>
    <w:p>
      <w:pPr>
        <w:spacing w:line="360" w:lineRule="auto"/>
        <w:rPr>
          <w:rFonts w:hint="eastAsia"/>
          <w:color w:val="000000"/>
          <w:u w:val="single"/>
        </w:rPr>
      </w:pPr>
    </w:p>
    <w:p>
      <w:pPr>
        <w:pStyle w:val="32"/>
        <w:adjustRightInd w:val="0"/>
        <w:snapToGrid w:val="0"/>
        <w:spacing w:line="340" w:lineRule="atLeast"/>
        <w:rPr>
          <w:rFonts w:hint="eastAsia" w:hAnsi="宋体"/>
          <w:color w:val="000000"/>
          <w:sz w:val="22"/>
          <w:szCs w:val="22"/>
        </w:rPr>
      </w:pPr>
      <w:r>
        <w:rPr>
          <w:rFonts w:hint="eastAsia" w:hAnsi="宋体"/>
          <w:color w:val="000000"/>
          <w:sz w:val="22"/>
          <w:szCs w:val="22"/>
          <w:u w:val="single"/>
        </w:rPr>
        <w:t>中共平阳县委政法委员会</w:t>
      </w:r>
      <w:r>
        <w:rPr>
          <w:rFonts w:hint="eastAsia" w:hAnsi="宋体"/>
          <w:color w:val="000000"/>
          <w:sz w:val="22"/>
          <w:szCs w:val="22"/>
        </w:rPr>
        <w:t>：</w:t>
      </w:r>
    </w:p>
    <w:p>
      <w:pPr>
        <w:pStyle w:val="32"/>
        <w:adjustRightInd w:val="0"/>
        <w:snapToGrid w:val="0"/>
        <w:spacing w:line="340" w:lineRule="atLeast"/>
        <w:rPr>
          <w:rFonts w:hint="eastAsia" w:hAnsi="宋体"/>
          <w:color w:val="000000"/>
          <w:sz w:val="22"/>
          <w:szCs w:val="22"/>
          <w:u w:val="single"/>
        </w:rPr>
      </w:pPr>
    </w:p>
    <w:p>
      <w:pPr>
        <w:snapToGrid w:val="0"/>
        <w:spacing w:line="440" w:lineRule="atLeast"/>
        <w:ind w:firstLine="480" w:firstLineChars="200"/>
        <w:rPr>
          <w:rFonts w:hint="eastAsia"/>
          <w:color w:val="000000"/>
        </w:rPr>
      </w:pPr>
      <w:r>
        <w:rPr>
          <w:rFonts w:hint="eastAsia"/>
          <w:color w:val="000000"/>
        </w:rPr>
        <w:t>本授权委托书声明：我</w:t>
      </w:r>
      <w:r>
        <w:rPr>
          <w:rFonts w:hint="eastAsia"/>
          <w:color w:val="000000"/>
          <w:u w:val="single"/>
        </w:rPr>
        <w:t xml:space="preserve">   （法定代表人姓名）   </w:t>
      </w:r>
      <w:r>
        <w:rPr>
          <w:rFonts w:hint="eastAsia"/>
          <w:color w:val="000000"/>
        </w:rPr>
        <w:t>系</w:t>
      </w:r>
      <w:r>
        <w:rPr>
          <w:rFonts w:hint="eastAsia"/>
          <w:color w:val="000000"/>
          <w:u w:val="single"/>
        </w:rPr>
        <w:t xml:space="preserve">   （供 应 商 名 称）  </w:t>
      </w:r>
      <w:r>
        <w:rPr>
          <w:rFonts w:hint="eastAsia"/>
          <w:color w:val="000000"/>
        </w:rPr>
        <w:t>的法定代表人，现授权委托</w:t>
      </w:r>
      <w:r>
        <w:rPr>
          <w:rFonts w:hint="eastAsia"/>
          <w:color w:val="000000"/>
          <w:u w:val="single"/>
        </w:rPr>
        <w:t xml:space="preserve">  （单 位 名 称）   </w:t>
      </w:r>
      <w:r>
        <w:rPr>
          <w:rFonts w:hint="eastAsia"/>
          <w:color w:val="000000"/>
        </w:rPr>
        <w:t>的</w:t>
      </w:r>
      <w:r>
        <w:rPr>
          <w:rFonts w:hint="eastAsia"/>
          <w:color w:val="000000"/>
          <w:u w:val="single"/>
        </w:rPr>
        <w:t xml:space="preserve">  （授权代表姓名）  </w:t>
      </w:r>
      <w:r>
        <w:rPr>
          <w:rFonts w:hint="eastAsia"/>
          <w:color w:val="000000"/>
        </w:rPr>
        <w:t>为我公司法定代表人授权代表，参加贵处组织的</w:t>
      </w:r>
      <w:r>
        <w:rPr>
          <w:rFonts w:hint="eastAsia"/>
          <w:color w:val="000000"/>
          <w:u w:val="single"/>
        </w:rPr>
        <w:t xml:space="preserve">  （招标项目名称，括号中填写项目编号）  </w:t>
      </w:r>
      <w:r>
        <w:rPr>
          <w:rFonts w:hint="eastAsia"/>
          <w:color w:val="000000"/>
        </w:rPr>
        <w:t>项目投标，全权处理本次招投标活动中的一切事宜，我承认授权代表全权代表我所签署的本项目的投标文件的内容。</w:t>
      </w:r>
    </w:p>
    <w:p>
      <w:pPr>
        <w:snapToGrid w:val="0"/>
        <w:spacing w:line="440" w:lineRule="atLeast"/>
        <w:ind w:firstLine="480" w:firstLineChars="200"/>
        <w:rPr>
          <w:rFonts w:hint="eastAsia"/>
          <w:color w:val="000000"/>
        </w:rPr>
      </w:pPr>
      <w:r>
        <w:rPr>
          <w:rFonts w:hint="eastAsia"/>
          <w:color w:val="000000"/>
        </w:rPr>
        <w:t>授权代表无转授权，特此授权</w:t>
      </w:r>
    </w:p>
    <w:p>
      <w:pPr>
        <w:snapToGrid w:val="0"/>
        <w:spacing w:line="440" w:lineRule="atLeast"/>
        <w:ind w:left="1260"/>
        <w:rPr>
          <w:rFonts w:hint="eastAsia"/>
          <w:color w:val="000000"/>
        </w:rPr>
      </w:pPr>
    </w:p>
    <w:p>
      <w:pPr>
        <w:snapToGrid w:val="0"/>
        <w:spacing w:line="440" w:lineRule="atLeast"/>
        <w:ind w:left="2174" w:leftChars="247" w:hanging="1581" w:hangingChars="659"/>
        <w:rPr>
          <w:rFonts w:hint="eastAsia"/>
          <w:color w:val="000000"/>
        </w:rPr>
      </w:pPr>
      <w:r>
        <w:rPr>
          <w:rFonts w:hint="eastAsia"/>
          <w:color w:val="000000"/>
        </w:rPr>
        <w:t>授权代表：</w:t>
      </w:r>
      <w:r>
        <w:rPr>
          <w:rFonts w:hint="eastAsia"/>
          <w:color w:val="000000"/>
          <w:u w:val="single"/>
        </w:rPr>
        <w:t xml:space="preserve">   （签字或签章）  </w:t>
      </w:r>
      <w:r>
        <w:rPr>
          <w:rFonts w:hint="eastAsia"/>
          <w:color w:val="000000"/>
        </w:rPr>
        <w:t xml:space="preserve"> 性别 ：</w:t>
      </w:r>
      <w:r>
        <w:rPr>
          <w:rFonts w:hint="eastAsia"/>
          <w:color w:val="000000"/>
          <w:u w:val="single"/>
        </w:rPr>
        <w:t xml:space="preserve">       </w:t>
      </w:r>
      <w:r>
        <w:rPr>
          <w:rFonts w:hint="eastAsia"/>
          <w:color w:val="000000"/>
        </w:rPr>
        <w:t xml:space="preserve"> </w:t>
      </w:r>
    </w:p>
    <w:p>
      <w:pPr>
        <w:snapToGrid w:val="0"/>
        <w:spacing w:line="440" w:lineRule="atLeast"/>
        <w:ind w:left="2174" w:leftChars="247" w:hanging="1581" w:hangingChars="659"/>
        <w:rPr>
          <w:rFonts w:hint="eastAsia"/>
          <w:color w:val="000000"/>
          <w:u w:val="single"/>
        </w:rPr>
      </w:pPr>
      <w:r>
        <w:rPr>
          <w:rFonts w:hint="eastAsia"/>
          <w:color w:val="000000"/>
        </w:rPr>
        <w:t>年龄：</w:t>
      </w:r>
      <w:r>
        <w:rPr>
          <w:rFonts w:hint="eastAsia"/>
          <w:color w:val="000000"/>
          <w:u w:val="single"/>
        </w:rPr>
        <w:t xml:space="preserve">          </w:t>
      </w:r>
      <w:r>
        <w:rPr>
          <w:rFonts w:hint="eastAsia"/>
          <w:color w:val="000000"/>
        </w:rPr>
        <w:t xml:space="preserve"> 职务：</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详细通讯地址：</w:t>
      </w:r>
      <w:r>
        <w:rPr>
          <w:rFonts w:hint="eastAsia"/>
          <w:color w:val="000000"/>
          <w:u w:val="single"/>
        </w:rPr>
        <w:t xml:space="preserve">                  </w:t>
      </w:r>
      <w:r>
        <w:rPr>
          <w:rFonts w:hint="eastAsia"/>
          <w:color w:val="000000"/>
        </w:rPr>
        <w:t xml:space="preserve"> 邮政编码：</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电话：</w:t>
      </w:r>
      <w:r>
        <w:rPr>
          <w:rFonts w:hint="eastAsia"/>
          <w:color w:val="000000"/>
          <w:u w:val="single"/>
        </w:rPr>
        <w:t xml:space="preserve">                   </w:t>
      </w:r>
      <w:r>
        <w:rPr>
          <w:rFonts w:hint="eastAsia"/>
          <w:color w:val="000000"/>
        </w:rPr>
        <w:t xml:space="preserve"> 传真：</w:t>
      </w:r>
      <w:r>
        <w:rPr>
          <w:rFonts w:hint="eastAsia"/>
          <w:color w:val="000000"/>
          <w:u w:val="single"/>
        </w:rPr>
        <w:t xml:space="preserve">                      </w:t>
      </w:r>
    </w:p>
    <w:p>
      <w:pPr>
        <w:snapToGrid w:val="0"/>
        <w:spacing w:line="440" w:lineRule="atLeast"/>
        <w:ind w:left="2174" w:leftChars="247" w:hanging="1581" w:hangingChars="659"/>
        <w:rPr>
          <w:rFonts w:hint="eastAsia"/>
          <w:color w:val="000000"/>
          <w:u w:val="single"/>
        </w:rPr>
      </w:pPr>
      <w:r>
        <w:rPr>
          <w:rFonts w:hint="eastAsia"/>
          <w:color w:val="000000"/>
        </w:rPr>
        <w:t>供应商：</w:t>
      </w:r>
      <w:r>
        <w:rPr>
          <w:rFonts w:hint="eastAsia"/>
          <w:color w:val="000000"/>
          <w:u w:val="single"/>
        </w:rPr>
        <w:t xml:space="preserve">                                      （盖章）</w:t>
      </w:r>
    </w:p>
    <w:p>
      <w:pPr>
        <w:snapToGrid w:val="0"/>
        <w:spacing w:line="440" w:lineRule="atLeast"/>
        <w:ind w:left="2174" w:leftChars="247" w:hanging="1581" w:hangingChars="659"/>
        <w:rPr>
          <w:rFonts w:hint="eastAsia"/>
          <w:color w:val="000000"/>
        </w:rPr>
      </w:pPr>
      <w:r>
        <w:rPr>
          <w:rFonts w:hint="eastAsia"/>
          <w:color w:val="000000"/>
        </w:rPr>
        <w:t>法定代表人：</w:t>
      </w:r>
      <w:r>
        <w:rPr>
          <w:rFonts w:hint="eastAsia"/>
          <w:color w:val="000000"/>
          <w:u w:val="single"/>
        </w:rPr>
        <w:t xml:space="preserve">                            （签字或签章）</w:t>
      </w:r>
    </w:p>
    <w:p>
      <w:pPr>
        <w:snapToGrid w:val="0"/>
        <w:spacing w:line="440" w:lineRule="atLeast"/>
        <w:ind w:left="2699"/>
        <w:rPr>
          <w:rFonts w:hint="eastAsia"/>
          <w:color w:val="000000"/>
        </w:rPr>
      </w:pPr>
    </w:p>
    <w:p>
      <w:pPr>
        <w:snapToGrid w:val="0"/>
        <w:spacing w:line="440" w:lineRule="atLeast"/>
        <w:ind w:left="3238" w:leftChars="1349" w:firstLine="2400" w:firstLineChars="1000"/>
        <w:rPr>
          <w:rFonts w:hint="eastAsia"/>
          <w:color w:val="000000"/>
        </w:rPr>
      </w:pPr>
    </w:p>
    <w:p>
      <w:pPr>
        <w:snapToGrid w:val="0"/>
        <w:spacing w:line="440" w:lineRule="atLeast"/>
        <w:ind w:firstLine="3600" w:firstLineChars="1500"/>
        <w:jc w:val="right"/>
        <w:rPr>
          <w:rFonts w:hint="eastAsia"/>
          <w:color w:val="000000"/>
        </w:rPr>
      </w:pPr>
      <w:r>
        <w:rPr>
          <w:rFonts w:hint="eastAsia"/>
          <w:color w:val="000000"/>
        </w:rPr>
        <w:t>授权委托日期：</w:t>
      </w:r>
      <w:r>
        <w:rPr>
          <w:rFonts w:hint="eastAsia"/>
          <w:color w:val="000000"/>
          <w:u w:val="single"/>
        </w:rPr>
        <w:t xml:space="preserve">     </w:t>
      </w:r>
      <w:r>
        <w:rPr>
          <w:rFonts w:hint="eastAsia"/>
          <w:color w:val="000000"/>
        </w:rPr>
        <w:t xml:space="preserve">年 </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ind w:firstLine="3614" w:firstLineChars="1500"/>
        <w:jc w:val="right"/>
        <w:rPr>
          <w:rFonts w:hint="eastAsia"/>
          <w:b/>
          <w:color w:val="000000"/>
        </w:rPr>
      </w:pPr>
    </w:p>
    <w:tbl>
      <w:tblPr>
        <w:tblStyle w:val="55"/>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435" w:hRule="atLeast"/>
        </w:trPr>
        <w:tc>
          <w:tcPr>
            <w:tcW w:w="9075" w:type="dxa"/>
            <w:noWrap w:val="0"/>
            <w:vAlign w:val="top"/>
          </w:tcPr>
          <w:p>
            <w:pPr>
              <w:pStyle w:val="32"/>
              <w:widowControl w:val="0"/>
              <w:adjustRightInd w:val="0"/>
              <w:snapToGrid w:val="0"/>
              <w:spacing w:line="320" w:lineRule="atLeast"/>
              <w:jc w:val="both"/>
              <w:rPr>
                <w:rFonts w:hint="eastAsia" w:hAnsi="宋体"/>
                <w:color w:val="000000"/>
                <w:kern w:val="2"/>
                <w:sz w:val="36"/>
                <w:szCs w:val="24"/>
                <w:u w:val="single"/>
                <w:lang w:val="en-US" w:eastAsia="zh-CN"/>
              </w:rPr>
            </w:pPr>
          </w:p>
          <w:p>
            <w:pPr>
              <w:pStyle w:val="32"/>
              <w:widowControl w:val="0"/>
              <w:adjustRightInd w:val="0"/>
              <w:snapToGrid w:val="0"/>
              <w:spacing w:line="320" w:lineRule="atLeast"/>
              <w:jc w:val="both"/>
              <w:rPr>
                <w:rFonts w:hint="eastAsia" w:hAnsi="宋体"/>
                <w:color w:val="000000"/>
                <w:kern w:val="2"/>
                <w:sz w:val="36"/>
                <w:szCs w:val="24"/>
                <w:u w:val="single"/>
                <w:lang w:val="en-US" w:eastAsia="zh-CN"/>
              </w:rPr>
            </w:pPr>
          </w:p>
          <w:p>
            <w:pPr>
              <w:pStyle w:val="32"/>
              <w:widowControl w:val="0"/>
              <w:adjustRightInd w:val="0"/>
              <w:snapToGrid w:val="0"/>
              <w:spacing w:line="320" w:lineRule="atLeast"/>
              <w:jc w:val="center"/>
              <w:rPr>
                <w:rFonts w:hint="eastAsia"/>
                <w:b/>
                <w:color w:val="000000"/>
                <w:kern w:val="2"/>
                <w:sz w:val="24"/>
                <w:szCs w:val="24"/>
                <w:lang w:val="en-US" w:eastAsia="zh-CN"/>
              </w:rPr>
            </w:pPr>
            <w:r>
              <w:rPr>
                <w:rFonts w:hint="eastAsia"/>
                <w:b/>
                <w:color w:val="000000"/>
                <w:kern w:val="2"/>
                <w:sz w:val="24"/>
                <w:szCs w:val="24"/>
                <w:lang w:val="en-US" w:eastAsia="zh-CN"/>
              </w:rPr>
              <w:t>（授权代表身份证复印件或影印件）</w:t>
            </w:r>
          </w:p>
        </w:tc>
      </w:tr>
    </w:tbl>
    <w:p>
      <w:pPr>
        <w:spacing w:line="360" w:lineRule="auto"/>
        <w:ind w:firstLine="3614" w:firstLineChars="1500"/>
        <w:jc w:val="right"/>
        <w:rPr>
          <w:rFonts w:hint="eastAsia"/>
          <w:b/>
          <w:color w:val="000000"/>
        </w:rPr>
      </w:pPr>
    </w:p>
    <w:p>
      <w:pPr>
        <w:pStyle w:val="32"/>
        <w:adjustRightInd w:val="0"/>
        <w:snapToGrid w:val="0"/>
        <w:spacing w:line="320" w:lineRule="atLeast"/>
        <w:jc w:val="center"/>
        <w:rPr>
          <w:rFonts w:hint="eastAsia" w:hAnsi="宋体"/>
          <w:b/>
          <w:color w:val="000000"/>
          <w:sz w:val="36"/>
        </w:rPr>
      </w:pPr>
    </w:p>
    <w:p>
      <w:pPr>
        <w:pStyle w:val="32"/>
        <w:adjustRightInd w:val="0"/>
        <w:snapToGrid w:val="0"/>
        <w:spacing w:line="320" w:lineRule="atLeast"/>
        <w:jc w:val="center"/>
        <w:outlineLvl w:val="0"/>
        <w:rPr>
          <w:rFonts w:hAnsi="宋体"/>
          <w:b/>
          <w:color w:val="000000"/>
          <w:sz w:val="36"/>
        </w:rPr>
      </w:pPr>
      <w:r>
        <w:rPr>
          <w:rFonts w:hint="eastAsia" w:hAnsi="宋体"/>
          <w:b/>
          <w:color w:val="000000"/>
          <w:sz w:val="36"/>
        </w:rPr>
        <w:t>（二）投 标 人 情 况 声  明</w:t>
      </w:r>
    </w:p>
    <w:p>
      <w:pPr>
        <w:spacing w:line="400" w:lineRule="exact"/>
        <w:outlineLvl w:val="0"/>
        <w:rPr>
          <w:rFonts w:hint="eastAsia"/>
          <w:color w:val="000000"/>
          <w:sz w:val="22"/>
        </w:rPr>
      </w:pPr>
      <w:r>
        <w:rPr>
          <w:rFonts w:hint="eastAsia"/>
          <w:color w:val="000000"/>
          <w:sz w:val="22"/>
        </w:rPr>
        <w:t>1. 名称及概况：</w:t>
      </w:r>
    </w:p>
    <w:p>
      <w:pPr>
        <w:spacing w:line="400" w:lineRule="exact"/>
        <w:rPr>
          <w:rFonts w:hint="eastAsia"/>
          <w:color w:val="000000"/>
          <w:sz w:val="22"/>
        </w:rPr>
      </w:pPr>
      <w:r>
        <w:rPr>
          <w:rFonts w:hint="eastAsia"/>
          <w:color w:val="000000"/>
          <w:sz w:val="22"/>
        </w:rPr>
        <w:t>（1）供应商名称：</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（2）总部地址：</w:t>
      </w:r>
      <w:r>
        <w:rPr>
          <w:rFonts w:hint="eastAsia"/>
          <w:color w:val="000000"/>
          <w:sz w:val="22"/>
          <w:u w:val="single"/>
        </w:rPr>
        <w:t xml:space="preserve">                             </w:t>
      </w:r>
    </w:p>
    <w:p>
      <w:pPr>
        <w:spacing w:line="400" w:lineRule="exact"/>
        <w:ind w:firstLine="600"/>
        <w:rPr>
          <w:rFonts w:hint="eastAsia"/>
          <w:color w:val="000000"/>
          <w:sz w:val="22"/>
          <w:u w:val="single"/>
        </w:rPr>
      </w:pPr>
      <w:r>
        <w:rPr>
          <w:rFonts w:hint="eastAsia"/>
          <w:color w:val="000000"/>
          <w:sz w:val="22"/>
        </w:rPr>
        <w:t>传真/电话号码：</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（3）温州设立长期驻点办公地址（如有）：</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电话号码：</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（4）成立或注册日期：</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（5）实收资本：</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（6）近期资产负债表（到</w:t>
      </w:r>
      <w:r>
        <w:rPr>
          <w:rFonts w:hint="eastAsia"/>
          <w:color w:val="000000"/>
          <w:sz w:val="22"/>
          <w:u w:val="single"/>
        </w:rPr>
        <w:t xml:space="preserve">        </w:t>
      </w:r>
      <w:r>
        <w:rPr>
          <w:rFonts w:hint="eastAsia"/>
          <w:color w:val="000000"/>
          <w:sz w:val="22"/>
        </w:rPr>
        <w:t>年</w:t>
      </w:r>
      <w:r>
        <w:rPr>
          <w:rFonts w:hint="eastAsia"/>
          <w:color w:val="000000"/>
          <w:sz w:val="22"/>
          <w:u w:val="single"/>
        </w:rPr>
        <w:t xml:space="preserve">    </w:t>
      </w:r>
      <w:r>
        <w:rPr>
          <w:rFonts w:hint="eastAsia"/>
          <w:color w:val="000000"/>
          <w:sz w:val="22"/>
        </w:rPr>
        <w:t>月</w:t>
      </w:r>
      <w:r>
        <w:rPr>
          <w:rFonts w:hint="eastAsia"/>
          <w:color w:val="000000"/>
          <w:sz w:val="22"/>
          <w:u w:val="single"/>
        </w:rPr>
        <w:t xml:space="preserve">    </w:t>
      </w:r>
      <w:r>
        <w:rPr>
          <w:rFonts w:hint="eastAsia"/>
          <w:color w:val="000000"/>
          <w:sz w:val="22"/>
        </w:rPr>
        <w:t>日止）</w:t>
      </w:r>
    </w:p>
    <w:p>
      <w:pPr>
        <w:spacing w:line="400" w:lineRule="exact"/>
        <w:rPr>
          <w:rFonts w:hint="eastAsia"/>
          <w:color w:val="000000"/>
          <w:sz w:val="22"/>
        </w:rPr>
      </w:pPr>
      <w:r>
        <w:rPr>
          <w:rFonts w:hint="eastAsia"/>
          <w:color w:val="000000"/>
          <w:sz w:val="22"/>
        </w:rPr>
        <w:t xml:space="preserve">  1）固定资产：</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2）流动资产：</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3）长期负债：</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4）流动负债：</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 xml:space="preserve">  5）净值：</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（6）主要负责人姓名：</w:t>
      </w:r>
      <w:r>
        <w:rPr>
          <w:rFonts w:hint="eastAsia"/>
          <w:color w:val="000000"/>
          <w:sz w:val="22"/>
          <w:u w:val="single"/>
        </w:rPr>
        <w:t xml:space="preserve">                      </w:t>
      </w:r>
    </w:p>
    <w:p>
      <w:pPr>
        <w:spacing w:line="360" w:lineRule="exact"/>
        <w:ind w:left="660" w:hanging="660" w:hangingChars="300"/>
        <w:rPr>
          <w:rFonts w:hint="eastAsia"/>
          <w:color w:val="000000"/>
          <w:sz w:val="22"/>
        </w:rPr>
      </w:pPr>
      <w:r>
        <w:rPr>
          <w:rFonts w:hint="eastAsia"/>
          <w:color w:val="000000"/>
          <w:sz w:val="22"/>
        </w:rPr>
        <w:t>2．企业生产设备及规模：</w:t>
      </w:r>
    </w:p>
    <w:p>
      <w:pPr>
        <w:spacing w:line="360" w:lineRule="exact"/>
        <w:ind w:left="660" w:hanging="660" w:hangingChars="300"/>
        <w:outlineLvl w:val="0"/>
        <w:rPr>
          <w:rFonts w:hint="eastAsia"/>
          <w:color w:val="000000"/>
          <w:sz w:val="22"/>
        </w:rPr>
      </w:pPr>
      <w:r>
        <w:rPr>
          <w:rFonts w:hint="eastAsia"/>
          <w:color w:val="000000"/>
          <w:sz w:val="22"/>
        </w:rPr>
        <w:t>3. 企业人员情况：</w:t>
      </w:r>
    </w:p>
    <w:p>
      <w:pPr>
        <w:spacing w:line="400" w:lineRule="exact"/>
        <w:rPr>
          <w:rFonts w:hint="eastAsia"/>
          <w:color w:val="000000"/>
          <w:sz w:val="22"/>
        </w:rPr>
      </w:pPr>
      <w:r>
        <w:rPr>
          <w:rFonts w:hint="eastAsia"/>
          <w:color w:val="000000"/>
          <w:sz w:val="22"/>
        </w:rPr>
        <w:t>职工（在职）人数</w:t>
      </w:r>
      <w:r>
        <w:rPr>
          <w:rFonts w:hint="eastAsia"/>
          <w:color w:val="000000"/>
          <w:sz w:val="22"/>
          <w:u w:val="single"/>
        </w:rPr>
        <w:t xml:space="preserve">       </w:t>
      </w:r>
      <w:r>
        <w:rPr>
          <w:rFonts w:hint="eastAsia"/>
          <w:color w:val="000000"/>
          <w:sz w:val="22"/>
        </w:rPr>
        <w:t>人，其中技术人员</w:t>
      </w:r>
      <w:r>
        <w:rPr>
          <w:rFonts w:hint="eastAsia"/>
          <w:color w:val="000000"/>
          <w:sz w:val="22"/>
          <w:u w:val="single"/>
        </w:rPr>
        <w:t xml:space="preserve">       </w:t>
      </w:r>
      <w:r>
        <w:rPr>
          <w:rFonts w:hint="eastAsia"/>
          <w:color w:val="000000"/>
          <w:sz w:val="22"/>
        </w:rPr>
        <w:t>人，</w:t>
      </w:r>
    </w:p>
    <w:p>
      <w:pPr>
        <w:spacing w:line="360" w:lineRule="exact"/>
        <w:ind w:left="660" w:hanging="660" w:hangingChars="300"/>
        <w:outlineLvl w:val="0"/>
        <w:rPr>
          <w:rFonts w:hint="eastAsia"/>
          <w:color w:val="000000"/>
          <w:sz w:val="22"/>
        </w:rPr>
      </w:pPr>
      <w:r>
        <w:rPr>
          <w:rFonts w:hint="eastAsia"/>
          <w:color w:val="000000"/>
          <w:sz w:val="22"/>
        </w:rPr>
        <w:t>4. 近三年的年营业总额</w:t>
      </w:r>
      <w:r>
        <w:rPr>
          <w:rFonts w:hint="eastAsia"/>
          <w:color w:val="000000"/>
          <w:sz w:val="22"/>
          <w:u w:val="single"/>
        </w:rPr>
        <w:t xml:space="preserve">                       </w:t>
      </w:r>
    </w:p>
    <w:p>
      <w:pPr>
        <w:spacing w:line="400" w:lineRule="exact"/>
        <w:ind w:firstLine="220" w:firstLineChars="100"/>
        <w:rPr>
          <w:rFonts w:hint="eastAsia"/>
          <w:color w:val="000000"/>
          <w:sz w:val="22"/>
        </w:rPr>
      </w:pPr>
      <w:r>
        <w:rPr>
          <w:rFonts w:hint="eastAsia"/>
          <w:color w:val="000000"/>
          <w:sz w:val="22"/>
        </w:rPr>
        <w:t>兹证明上述声明是真实、正确的、并提供了全部能提供的资料和数据，我们同意遵照贵方要求出示有关证明文件。</w:t>
      </w:r>
    </w:p>
    <w:p>
      <w:pPr>
        <w:spacing w:line="400" w:lineRule="exact"/>
        <w:rPr>
          <w:rFonts w:hint="eastAsia"/>
          <w:color w:val="000000"/>
          <w:sz w:val="22"/>
        </w:rPr>
      </w:pPr>
    </w:p>
    <w:p>
      <w:pPr>
        <w:spacing w:line="400" w:lineRule="exact"/>
        <w:rPr>
          <w:rFonts w:hint="eastAsia"/>
          <w:color w:val="000000"/>
          <w:sz w:val="22"/>
        </w:rPr>
      </w:pPr>
      <w:r>
        <w:rPr>
          <w:rFonts w:hint="eastAsia"/>
          <w:color w:val="000000"/>
          <w:sz w:val="22"/>
        </w:rPr>
        <w:t>供应商名称</w:t>
      </w:r>
      <w:r>
        <w:rPr>
          <w:rFonts w:hint="eastAsia"/>
          <w:color w:val="000000"/>
          <w:sz w:val="22"/>
          <w:u w:val="single"/>
        </w:rPr>
        <w:t xml:space="preserve">                               （盖章）</w:t>
      </w:r>
    </w:p>
    <w:p>
      <w:pPr>
        <w:spacing w:line="400" w:lineRule="exact"/>
        <w:rPr>
          <w:rFonts w:hint="eastAsia"/>
          <w:color w:val="000000"/>
          <w:sz w:val="22"/>
        </w:rPr>
      </w:pPr>
      <w:r>
        <w:rPr>
          <w:rFonts w:hint="eastAsia"/>
          <w:color w:val="000000"/>
          <w:sz w:val="22"/>
        </w:rPr>
        <w:t>法定代表人姓名和职务</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授权代表人签字或签章</w:t>
      </w:r>
      <w:r>
        <w:rPr>
          <w:rFonts w:hint="eastAsia"/>
          <w:color w:val="000000"/>
          <w:sz w:val="22"/>
          <w:u w:val="single"/>
        </w:rPr>
        <w:t xml:space="preserve">                           </w:t>
      </w:r>
    </w:p>
    <w:p>
      <w:pPr>
        <w:spacing w:line="400" w:lineRule="exact"/>
        <w:rPr>
          <w:rFonts w:hint="eastAsia"/>
          <w:color w:val="000000"/>
          <w:sz w:val="22"/>
        </w:rPr>
      </w:pPr>
      <w:r>
        <w:rPr>
          <w:rFonts w:hint="eastAsia"/>
          <w:color w:val="000000"/>
          <w:sz w:val="22"/>
        </w:rPr>
        <w:t>签字日期</w:t>
      </w:r>
      <w:r>
        <w:rPr>
          <w:rFonts w:hint="eastAsia"/>
          <w:color w:val="000000"/>
          <w:sz w:val="22"/>
          <w:u w:val="single"/>
        </w:rPr>
        <w:t xml:space="preserve">                                 </w:t>
      </w:r>
    </w:p>
    <w:p>
      <w:pPr>
        <w:spacing w:line="360" w:lineRule="exact"/>
        <w:rPr>
          <w:rFonts w:hint="eastAsia"/>
          <w:color w:val="000000"/>
          <w:sz w:val="22"/>
          <w:u w:val="single"/>
        </w:rPr>
      </w:pPr>
      <w:r>
        <w:rPr>
          <w:rFonts w:hint="eastAsia"/>
          <w:color w:val="000000"/>
          <w:sz w:val="22"/>
        </w:rPr>
        <w:t>电子邮件</w:t>
      </w:r>
      <w:r>
        <w:rPr>
          <w:rFonts w:hint="eastAsia"/>
          <w:color w:val="000000"/>
          <w:sz w:val="22"/>
          <w:u w:val="single"/>
        </w:rPr>
        <w:t xml:space="preserve">                                 </w:t>
      </w:r>
    </w:p>
    <w:p>
      <w:pPr>
        <w:spacing w:line="400" w:lineRule="exact"/>
        <w:outlineLvl w:val="0"/>
        <w:rPr>
          <w:rFonts w:hint="eastAsia"/>
          <w:color w:val="000000"/>
          <w:sz w:val="22"/>
        </w:rPr>
      </w:pPr>
      <w:r>
        <w:rPr>
          <w:rFonts w:hint="eastAsia"/>
          <w:color w:val="000000"/>
          <w:sz w:val="22"/>
        </w:rPr>
        <w:t>5. 投标单位有效营业执照（复印件，加盖单位公章）</w:t>
      </w:r>
    </w:p>
    <w:p>
      <w:pPr>
        <w:rPr>
          <w:color w:val="000000"/>
        </w:rPr>
      </w:pPr>
      <w:r>
        <w:rPr>
          <w:rFonts w:hint="eastAsia"/>
          <w:color w:val="000000"/>
          <w:sz w:val="22"/>
        </w:rPr>
        <w:t>6．投标单位资格资质证书及招标文件要求提供的资格证明、证书（复印件，加盖单位公章）</w:t>
      </w:r>
    </w:p>
    <w:p>
      <w:pPr>
        <w:pStyle w:val="32"/>
        <w:adjustRightInd w:val="0"/>
        <w:snapToGrid w:val="0"/>
        <w:spacing w:line="400" w:lineRule="exact"/>
        <w:rPr>
          <w:rFonts w:hint="eastAsia" w:hAnsi="宋体"/>
          <w:color w:val="000000"/>
          <w:sz w:val="36"/>
        </w:rPr>
      </w:pPr>
    </w:p>
    <w:p>
      <w:pPr>
        <w:pStyle w:val="32"/>
        <w:spacing w:line="440" w:lineRule="atLeast"/>
        <w:ind w:firstLine="1080" w:firstLineChars="300"/>
        <w:rPr>
          <w:rFonts w:hint="eastAsia" w:hAnsi="宋体"/>
          <w:color w:val="000000"/>
          <w:sz w:val="36"/>
        </w:rPr>
      </w:pPr>
    </w:p>
    <w:p>
      <w:pPr>
        <w:pStyle w:val="32"/>
        <w:spacing w:line="440" w:lineRule="atLeast"/>
        <w:rPr>
          <w:rFonts w:hint="eastAsia" w:hAnsi="宋体"/>
          <w:b/>
          <w:color w:val="000000"/>
          <w:sz w:val="36"/>
        </w:rPr>
      </w:pPr>
    </w:p>
    <w:p>
      <w:pPr>
        <w:pStyle w:val="32"/>
        <w:spacing w:line="520" w:lineRule="atLeast"/>
        <w:rPr>
          <w:rFonts w:hint="eastAsia" w:hAnsi="宋体"/>
          <w:b/>
          <w:bCs/>
          <w:color w:val="000000"/>
          <w:sz w:val="22"/>
          <w:szCs w:val="22"/>
        </w:rPr>
      </w:pPr>
      <w:r>
        <w:rPr>
          <w:rFonts w:hint="eastAsia" w:hAnsi="宋体"/>
          <w:color w:val="000000"/>
          <w:sz w:val="36"/>
          <w:szCs w:val="36"/>
        </w:rPr>
        <w:t>附件五               其他投标文件</w:t>
      </w:r>
    </w:p>
    <w:p>
      <w:pPr>
        <w:pStyle w:val="32"/>
        <w:spacing w:line="440" w:lineRule="atLeast"/>
        <w:jc w:val="center"/>
        <w:rPr>
          <w:rFonts w:hint="eastAsia" w:hAnsi="宋体"/>
          <w:b/>
          <w:color w:val="000000"/>
          <w:sz w:val="36"/>
        </w:rPr>
      </w:pPr>
    </w:p>
    <w:p>
      <w:pPr>
        <w:pStyle w:val="32"/>
        <w:adjustRightInd w:val="0"/>
        <w:snapToGrid w:val="0"/>
        <w:spacing w:line="440" w:lineRule="atLeast"/>
        <w:rPr>
          <w:rFonts w:hint="eastAsia" w:hAnsi="宋体"/>
          <w:b/>
          <w:color w:val="000000"/>
          <w:sz w:val="36"/>
          <w:szCs w:val="36"/>
        </w:rPr>
      </w:pPr>
      <w:r>
        <w:rPr>
          <w:rFonts w:hint="eastAsia" w:hAnsi="宋体"/>
          <w:b/>
          <w:color w:val="000000"/>
          <w:sz w:val="36"/>
          <w:szCs w:val="36"/>
        </w:rPr>
        <w:t>附件六</w:t>
      </w:r>
    </w:p>
    <w:p>
      <w:pPr>
        <w:pStyle w:val="32"/>
        <w:adjustRightInd w:val="0"/>
        <w:snapToGrid w:val="0"/>
        <w:spacing w:line="440" w:lineRule="atLeast"/>
        <w:jc w:val="center"/>
        <w:rPr>
          <w:rFonts w:hint="eastAsia" w:hAnsi="宋体"/>
          <w:b/>
          <w:color w:val="000000"/>
          <w:sz w:val="36"/>
          <w:szCs w:val="36"/>
        </w:rPr>
      </w:pPr>
      <w:r>
        <w:rPr>
          <w:rFonts w:hint="eastAsia" w:hAnsi="宋体"/>
          <w:b/>
          <w:color w:val="000000"/>
          <w:sz w:val="36"/>
          <w:szCs w:val="36"/>
        </w:rPr>
        <w:t>易损件、备品备件及特殊专用工具清单(如有)</w:t>
      </w:r>
    </w:p>
    <w:tbl>
      <w:tblPr>
        <w:tblStyle w:val="55"/>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220"/>
        <w:gridCol w:w="1155"/>
        <w:gridCol w:w="178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8" w:hRule="atLeast"/>
        </w:trPr>
        <w:tc>
          <w:tcPr>
            <w:tcW w:w="900"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序 号</w:t>
            </w:r>
          </w:p>
        </w:tc>
        <w:tc>
          <w:tcPr>
            <w:tcW w:w="1800"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名称</w:t>
            </w:r>
          </w:p>
        </w:tc>
        <w:tc>
          <w:tcPr>
            <w:tcW w:w="2220"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备件名称</w:t>
            </w:r>
          </w:p>
        </w:tc>
        <w:tc>
          <w:tcPr>
            <w:tcW w:w="1155"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产地/制造商</w:t>
            </w:r>
          </w:p>
        </w:tc>
        <w:tc>
          <w:tcPr>
            <w:tcW w:w="1785"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数量</w:t>
            </w:r>
          </w:p>
        </w:tc>
        <w:tc>
          <w:tcPr>
            <w:tcW w:w="1940" w:type="dxa"/>
            <w:noWrap w:val="0"/>
            <w:vAlign w:val="center"/>
          </w:tcPr>
          <w:p>
            <w:pPr>
              <w:pStyle w:val="32"/>
              <w:widowControl w:val="0"/>
              <w:adjustRightInd w:val="0"/>
              <w:snapToGrid w:val="0"/>
              <w:spacing w:line="400" w:lineRule="exact"/>
              <w:jc w:val="center"/>
              <w:rPr>
                <w:rFonts w:hint="eastAsia" w:hAnsi="宋体"/>
                <w:b/>
                <w:color w:val="000000"/>
                <w:kern w:val="2"/>
                <w:sz w:val="24"/>
                <w:szCs w:val="22"/>
                <w:lang w:val="en-US" w:eastAsia="zh-CN"/>
              </w:rPr>
            </w:pPr>
            <w:r>
              <w:rPr>
                <w:rFonts w:hint="eastAsia" w:hAnsi="宋体"/>
                <w:b/>
                <w:color w:val="000000"/>
                <w:kern w:val="2"/>
                <w:sz w:val="24"/>
                <w:szCs w:val="22"/>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80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222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15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785"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c>
          <w:tcPr>
            <w:tcW w:w="1940" w:type="dxa"/>
            <w:noWrap w:val="0"/>
            <w:vAlign w:val="top"/>
          </w:tcPr>
          <w:p>
            <w:pPr>
              <w:pStyle w:val="32"/>
              <w:widowControl w:val="0"/>
              <w:adjustRightInd w:val="0"/>
              <w:snapToGrid w:val="0"/>
              <w:spacing w:line="440" w:lineRule="atLeast"/>
              <w:jc w:val="both"/>
              <w:rPr>
                <w:rFonts w:hint="eastAsia" w:hAnsi="宋体"/>
                <w:b/>
                <w:color w:val="000000"/>
                <w:kern w:val="2"/>
                <w:sz w:val="24"/>
                <w:szCs w:val="24"/>
                <w:lang w:val="en-US" w:eastAsia="zh-CN"/>
              </w:rPr>
            </w:pPr>
          </w:p>
        </w:tc>
      </w:tr>
    </w:tbl>
    <w:p>
      <w:pPr>
        <w:pStyle w:val="32"/>
        <w:adjustRightInd w:val="0"/>
        <w:snapToGrid w:val="0"/>
        <w:spacing w:line="440" w:lineRule="atLeast"/>
        <w:rPr>
          <w:rFonts w:hint="eastAsia" w:hAnsi="宋体"/>
          <w:b/>
          <w:color w:val="000000"/>
          <w:sz w:val="24"/>
        </w:rPr>
      </w:pPr>
    </w:p>
    <w:p>
      <w:pPr>
        <w:pStyle w:val="32"/>
        <w:adjustRightInd w:val="0"/>
        <w:snapToGrid w:val="0"/>
        <w:spacing w:line="440" w:lineRule="atLeast"/>
        <w:rPr>
          <w:rFonts w:hint="eastAsia" w:hAnsi="宋体"/>
          <w:b/>
          <w:color w:val="000000"/>
          <w:sz w:val="24"/>
        </w:rPr>
      </w:pPr>
      <w:r>
        <w:rPr>
          <w:rFonts w:hint="eastAsia" w:hAnsi="宋体"/>
          <w:b/>
          <w:color w:val="000000"/>
          <w:sz w:val="24"/>
        </w:rPr>
        <w:t xml:space="preserve">供应商全称（盖章）：           </w:t>
      </w:r>
    </w:p>
    <w:p>
      <w:pPr>
        <w:pStyle w:val="32"/>
        <w:spacing w:line="440" w:lineRule="atLeast"/>
        <w:rPr>
          <w:rFonts w:hint="eastAsia" w:hAnsi="宋体"/>
          <w:b/>
          <w:color w:val="000000"/>
          <w:sz w:val="32"/>
        </w:rPr>
      </w:pPr>
    </w:p>
    <w:p>
      <w:pPr>
        <w:pStyle w:val="32"/>
        <w:spacing w:line="440" w:lineRule="atLeast"/>
        <w:rPr>
          <w:rFonts w:hint="eastAsia" w:hAnsi="宋体"/>
          <w:b/>
          <w:color w:val="000000"/>
          <w:sz w:val="32"/>
        </w:rPr>
      </w:pPr>
    </w:p>
    <w:p>
      <w:pPr>
        <w:pStyle w:val="32"/>
        <w:spacing w:line="440" w:lineRule="atLeast"/>
        <w:rPr>
          <w:rFonts w:hint="eastAsia" w:hAnsi="宋体"/>
          <w:b/>
          <w:color w:val="000000"/>
          <w:sz w:val="32"/>
        </w:rPr>
      </w:pPr>
    </w:p>
    <w:p>
      <w:pPr>
        <w:pStyle w:val="32"/>
        <w:spacing w:line="440" w:lineRule="atLeast"/>
        <w:rPr>
          <w:rFonts w:hint="eastAsia" w:hAnsi="宋体"/>
          <w:b/>
          <w:color w:val="000000"/>
          <w:sz w:val="32"/>
        </w:rPr>
      </w:pPr>
    </w:p>
    <w:p>
      <w:pPr>
        <w:pStyle w:val="32"/>
        <w:spacing w:line="440" w:lineRule="atLeast"/>
        <w:rPr>
          <w:rFonts w:hint="eastAsia" w:hAnsi="宋体"/>
          <w:b/>
          <w:color w:val="000000"/>
          <w:sz w:val="32"/>
        </w:rPr>
      </w:pPr>
    </w:p>
    <w:p>
      <w:pPr>
        <w:pStyle w:val="32"/>
        <w:adjustRightInd w:val="0"/>
        <w:snapToGrid w:val="0"/>
        <w:spacing w:line="400" w:lineRule="exact"/>
        <w:rPr>
          <w:rFonts w:hint="eastAsia" w:hAnsi="宋体"/>
          <w:b/>
          <w:color w:val="000000"/>
          <w:sz w:val="32"/>
        </w:rPr>
      </w:pPr>
    </w:p>
    <w:p>
      <w:pPr>
        <w:pStyle w:val="32"/>
        <w:adjustRightInd w:val="0"/>
        <w:snapToGrid w:val="0"/>
        <w:spacing w:line="400" w:lineRule="exact"/>
        <w:rPr>
          <w:rFonts w:hint="eastAsia" w:hAnsi="宋体"/>
          <w:b/>
          <w:color w:val="000000"/>
          <w:sz w:val="32"/>
        </w:rPr>
      </w:pPr>
    </w:p>
    <w:p>
      <w:pPr>
        <w:pStyle w:val="32"/>
        <w:adjustRightInd w:val="0"/>
        <w:snapToGrid w:val="0"/>
        <w:spacing w:line="400" w:lineRule="exact"/>
        <w:rPr>
          <w:rFonts w:hint="eastAsia" w:hAnsi="宋体"/>
          <w:color w:val="000000"/>
          <w:sz w:val="36"/>
          <w:szCs w:val="36"/>
        </w:rPr>
      </w:pPr>
      <w:r>
        <w:rPr>
          <w:rFonts w:hint="eastAsia" w:hAnsi="宋体"/>
          <w:color w:val="000000"/>
          <w:sz w:val="36"/>
          <w:szCs w:val="36"/>
        </w:rPr>
        <w:t>附件七</w:t>
      </w:r>
    </w:p>
    <w:p>
      <w:pPr>
        <w:pStyle w:val="32"/>
        <w:adjustRightInd w:val="0"/>
        <w:snapToGrid w:val="0"/>
        <w:spacing w:line="400" w:lineRule="exact"/>
        <w:rPr>
          <w:rFonts w:hint="eastAsia" w:hAnsi="宋体"/>
          <w:color w:val="000000"/>
          <w:sz w:val="32"/>
          <w:szCs w:val="32"/>
        </w:rPr>
      </w:pPr>
    </w:p>
    <w:p>
      <w:pPr>
        <w:pStyle w:val="32"/>
        <w:adjustRightInd w:val="0"/>
        <w:snapToGrid w:val="0"/>
        <w:spacing w:line="400" w:lineRule="exact"/>
        <w:ind w:firstLine="1440" w:firstLineChars="400"/>
        <w:rPr>
          <w:rFonts w:hint="eastAsia" w:hAnsi="宋体"/>
          <w:color w:val="000000"/>
          <w:sz w:val="36"/>
          <w:szCs w:val="36"/>
        </w:rPr>
      </w:pPr>
      <w:r>
        <w:rPr>
          <w:rFonts w:hint="eastAsia" w:hAnsi="宋体"/>
          <w:color w:val="000000"/>
          <w:sz w:val="36"/>
          <w:szCs w:val="36"/>
        </w:rPr>
        <w:t>产品零件、易损件、备品备件报价表</w:t>
      </w:r>
    </w:p>
    <w:p>
      <w:pPr>
        <w:pStyle w:val="32"/>
        <w:adjustRightInd w:val="0"/>
        <w:snapToGrid w:val="0"/>
        <w:spacing w:line="400" w:lineRule="exact"/>
        <w:ind w:firstLine="1440" w:firstLineChars="400"/>
        <w:rPr>
          <w:rFonts w:hint="eastAsia" w:hAnsi="宋体"/>
          <w:color w:val="000000"/>
          <w:sz w:val="36"/>
          <w:szCs w:val="36"/>
        </w:rPr>
      </w:pPr>
    </w:p>
    <w:tbl>
      <w:tblPr>
        <w:tblStyle w:val="55"/>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2220"/>
        <w:gridCol w:w="1155"/>
        <w:gridCol w:w="178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88" w:hRule="atLeast"/>
        </w:trPr>
        <w:tc>
          <w:tcPr>
            <w:tcW w:w="900"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序 号</w:t>
            </w:r>
          </w:p>
        </w:tc>
        <w:tc>
          <w:tcPr>
            <w:tcW w:w="1800"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名称</w:t>
            </w:r>
          </w:p>
        </w:tc>
        <w:tc>
          <w:tcPr>
            <w:tcW w:w="2220"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产地/规格/型号</w:t>
            </w:r>
          </w:p>
        </w:tc>
        <w:tc>
          <w:tcPr>
            <w:tcW w:w="1155"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数量</w:t>
            </w:r>
          </w:p>
        </w:tc>
        <w:tc>
          <w:tcPr>
            <w:tcW w:w="1785"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单价</w:t>
            </w:r>
          </w:p>
        </w:tc>
        <w:tc>
          <w:tcPr>
            <w:tcW w:w="1940" w:type="dxa"/>
            <w:noWrap w:val="0"/>
            <w:vAlign w:val="center"/>
          </w:tcPr>
          <w:p>
            <w:pPr>
              <w:pStyle w:val="32"/>
              <w:widowControl w:val="0"/>
              <w:adjustRightInd w:val="0"/>
              <w:snapToGrid w:val="0"/>
              <w:spacing w:line="400" w:lineRule="exact"/>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80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222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15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785"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c>
          <w:tcPr>
            <w:tcW w:w="1940" w:type="dxa"/>
            <w:noWrap w:val="0"/>
            <w:vAlign w:val="top"/>
          </w:tcPr>
          <w:p>
            <w:pPr>
              <w:pStyle w:val="32"/>
              <w:widowControl w:val="0"/>
              <w:adjustRightInd w:val="0"/>
              <w:snapToGrid w:val="0"/>
              <w:spacing w:line="400" w:lineRule="exact"/>
              <w:jc w:val="both"/>
              <w:rPr>
                <w:rFonts w:hint="eastAsia" w:hAnsi="宋体"/>
                <w:color w:val="000000"/>
                <w:kern w:val="2"/>
                <w:sz w:val="22"/>
                <w:szCs w:val="22"/>
                <w:lang w:val="en-US" w:eastAsia="zh-CN"/>
              </w:rPr>
            </w:pPr>
          </w:p>
        </w:tc>
      </w:tr>
    </w:tbl>
    <w:p>
      <w:pPr>
        <w:pStyle w:val="32"/>
        <w:adjustRightInd w:val="0"/>
        <w:snapToGrid w:val="0"/>
        <w:spacing w:line="400" w:lineRule="exact"/>
        <w:rPr>
          <w:rFonts w:hint="eastAsia" w:hAnsi="宋体"/>
          <w:color w:val="000000"/>
          <w:sz w:val="24"/>
        </w:rPr>
      </w:pPr>
    </w:p>
    <w:p>
      <w:pPr>
        <w:pStyle w:val="32"/>
        <w:adjustRightInd w:val="0"/>
        <w:snapToGrid w:val="0"/>
        <w:spacing w:line="400" w:lineRule="exact"/>
        <w:rPr>
          <w:rFonts w:hint="eastAsia" w:hAnsi="宋体"/>
          <w:color w:val="000000"/>
          <w:sz w:val="22"/>
          <w:szCs w:val="22"/>
          <w:u w:val="single"/>
        </w:rPr>
      </w:pPr>
      <w:r>
        <w:rPr>
          <w:rFonts w:hint="eastAsia" w:hAnsi="宋体"/>
          <w:color w:val="000000"/>
          <w:sz w:val="22"/>
          <w:szCs w:val="22"/>
        </w:rPr>
        <w:t>供应商盖章</w:t>
      </w:r>
      <w:r>
        <w:rPr>
          <w:rFonts w:hint="eastAsia" w:hAnsi="宋体"/>
          <w:color w:val="000000"/>
          <w:sz w:val="22"/>
          <w:szCs w:val="22"/>
          <w:u w:val="single"/>
        </w:rPr>
        <w:t xml:space="preserve">：           </w:t>
      </w:r>
    </w:p>
    <w:p>
      <w:pPr>
        <w:rPr>
          <w:rFonts w:hint="eastAsia"/>
          <w:b/>
          <w:color w:val="000000"/>
          <w:sz w:val="32"/>
          <w:szCs w:val="32"/>
        </w:rPr>
      </w:pPr>
      <w:r>
        <w:rPr>
          <w:rFonts w:hint="eastAsia"/>
          <w:color w:val="000000"/>
          <w:sz w:val="22"/>
          <w:szCs w:val="22"/>
        </w:rPr>
        <w:t>本表为质保期满后供设备使用两年的必备的零件，易损件，专用工具的报价表。由投标商填写，费用不包括在投标总价中，也作为质保期满后采购人选购零件，易损件，专用工具的价格依据。</w:t>
      </w:r>
    </w:p>
    <w:p>
      <w:pPr>
        <w:rPr>
          <w:rFonts w:hint="eastAsia"/>
          <w:color w:val="000000"/>
        </w:rPr>
      </w:pPr>
      <w:r>
        <w:rPr>
          <w:rFonts w:hint="eastAsia"/>
          <w:color w:val="000000"/>
        </w:rPr>
        <w:t xml:space="preserve">     </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ageBreakBefore/>
        <w:rPr>
          <w:rFonts w:hint="eastAsia"/>
          <w:color w:val="000000"/>
          <w:sz w:val="36"/>
          <w:szCs w:val="36"/>
        </w:rPr>
      </w:pPr>
      <w:r>
        <w:rPr>
          <w:rFonts w:hint="eastAsia"/>
          <w:color w:val="000000"/>
          <w:sz w:val="36"/>
          <w:szCs w:val="36"/>
        </w:rPr>
        <w:t>附件八</w:t>
      </w:r>
    </w:p>
    <w:p>
      <w:pPr>
        <w:pStyle w:val="32"/>
        <w:adjustRightInd w:val="0"/>
        <w:snapToGrid w:val="0"/>
        <w:spacing w:line="400" w:lineRule="exact"/>
        <w:ind w:firstLine="1440" w:firstLineChars="400"/>
        <w:jc w:val="center"/>
        <w:rPr>
          <w:rFonts w:hint="eastAsia" w:hAnsi="宋体"/>
          <w:color w:val="000000"/>
          <w:sz w:val="36"/>
          <w:szCs w:val="36"/>
        </w:rPr>
      </w:pPr>
      <w:r>
        <w:rPr>
          <w:rFonts w:hint="eastAsia" w:hAnsi="宋体"/>
          <w:color w:val="000000"/>
          <w:sz w:val="36"/>
          <w:szCs w:val="36"/>
        </w:rPr>
        <w:t>201</w:t>
      </w:r>
      <w:r>
        <w:rPr>
          <w:rFonts w:hint="eastAsia" w:hAnsi="宋体"/>
          <w:color w:val="000000"/>
          <w:sz w:val="36"/>
          <w:szCs w:val="36"/>
          <w:lang w:eastAsia="zh-CN"/>
        </w:rPr>
        <w:t>6</w:t>
      </w:r>
      <w:r>
        <w:rPr>
          <w:rFonts w:hint="eastAsia" w:hAnsi="宋体"/>
          <w:color w:val="000000"/>
          <w:sz w:val="36"/>
          <w:szCs w:val="36"/>
        </w:rPr>
        <w:t>年以来同类项目业绩清单（需提供合同或验收证明）（复印件加盖公章）</w:t>
      </w:r>
    </w:p>
    <w:p>
      <w:pPr>
        <w:autoSpaceDE w:val="0"/>
        <w:autoSpaceDN w:val="0"/>
        <w:adjustRightInd w:val="0"/>
        <w:snapToGrid w:val="0"/>
        <w:spacing w:line="360" w:lineRule="atLeast"/>
        <w:jc w:val="center"/>
        <w:textAlignment w:val="bottom"/>
        <w:rPr>
          <w:rFonts w:hint="eastAsia"/>
          <w:b/>
          <w:color w:val="000000"/>
        </w:rPr>
      </w:pPr>
      <w:r>
        <w:rPr>
          <w:rFonts w:hint="eastAsia"/>
          <w:color w:val="000000"/>
          <w:sz w:val="22"/>
          <w:szCs w:val="22"/>
        </w:rPr>
        <w:t>（自行编制）</w:t>
      </w:r>
    </w:p>
    <w:p>
      <w:pPr>
        <w:rPr>
          <w:rFonts w:hint="eastAsia"/>
          <w:color w:val="000000"/>
          <w:sz w:val="36"/>
          <w:szCs w:val="36"/>
        </w:rPr>
      </w:pPr>
      <w:r>
        <w:rPr>
          <w:rFonts w:hint="eastAsia"/>
          <w:color w:val="000000"/>
          <w:sz w:val="36"/>
          <w:szCs w:val="36"/>
        </w:rPr>
        <w:t>附件九</w:t>
      </w:r>
    </w:p>
    <w:p>
      <w:pPr>
        <w:pStyle w:val="32"/>
        <w:adjustRightInd w:val="0"/>
        <w:snapToGrid w:val="0"/>
        <w:spacing w:line="360" w:lineRule="exact"/>
        <w:jc w:val="center"/>
        <w:rPr>
          <w:rFonts w:hint="eastAsia" w:hAnsi="宋体"/>
          <w:b/>
          <w:color w:val="000000"/>
          <w:sz w:val="32"/>
          <w:lang w:val="zh-CN"/>
        </w:rPr>
      </w:pPr>
      <w:r>
        <w:rPr>
          <w:rFonts w:hint="eastAsia" w:hAnsi="宋体"/>
          <w:b/>
          <w:color w:val="000000"/>
          <w:sz w:val="32"/>
          <w:lang w:val="zh-CN"/>
        </w:rPr>
        <w:t>供应商参与政府采购活动投标资格声明函</w:t>
      </w:r>
    </w:p>
    <w:tbl>
      <w:tblPr>
        <w:tblStyle w:val="55"/>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20" w:type="dxa"/>
            <w:noWrap w:val="0"/>
            <w:vAlign w:val="top"/>
          </w:tcPr>
          <w:p>
            <w:pPr>
              <w:pStyle w:val="32"/>
              <w:widowControl w:val="0"/>
              <w:adjustRightInd w:val="0"/>
              <w:snapToGrid w:val="0"/>
              <w:spacing w:line="400" w:lineRule="exact"/>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项目名称</w:t>
            </w:r>
          </w:p>
        </w:tc>
        <w:tc>
          <w:tcPr>
            <w:tcW w:w="7992" w:type="dxa"/>
            <w:noWrap w:val="0"/>
            <w:vAlign w:val="top"/>
          </w:tcPr>
          <w:p>
            <w:pPr>
              <w:pStyle w:val="32"/>
              <w:widowControl w:val="0"/>
              <w:adjustRightInd w:val="0"/>
              <w:snapToGrid w:val="0"/>
              <w:spacing w:line="400" w:lineRule="exact"/>
              <w:ind w:left="422" w:firstLine="331"/>
              <w:jc w:val="both"/>
              <w:rPr>
                <w:rFonts w:hint="eastAsia" w:hAnsi="宋体"/>
                <w:bCs/>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20" w:type="dxa"/>
            <w:noWrap w:val="0"/>
            <w:vAlign w:val="top"/>
          </w:tcPr>
          <w:p>
            <w:pPr>
              <w:pStyle w:val="32"/>
              <w:widowControl w:val="0"/>
              <w:adjustRightInd w:val="0"/>
              <w:snapToGrid w:val="0"/>
              <w:spacing w:line="400" w:lineRule="exact"/>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项目采购编号</w:t>
            </w:r>
          </w:p>
        </w:tc>
        <w:tc>
          <w:tcPr>
            <w:tcW w:w="7992" w:type="dxa"/>
            <w:noWrap w:val="0"/>
            <w:vAlign w:val="top"/>
          </w:tcPr>
          <w:p>
            <w:pPr>
              <w:pStyle w:val="32"/>
              <w:widowControl w:val="0"/>
              <w:adjustRightInd w:val="0"/>
              <w:snapToGrid w:val="0"/>
              <w:spacing w:line="400" w:lineRule="exact"/>
              <w:ind w:left="422" w:firstLine="361"/>
              <w:jc w:val="both"/>
              <w:rPr>
                <w:rFonts w:hint="eastAsia" w:hAnsi="宋体"/>
                <w:bCs/>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620" w:type="dxa"/>
            <w:noWrap w:val="0"/>
            <w:vAlign w:val="top"/>
          </w:tcPr>
          <w:p>
            <w:pPr>
              <w:pStyle w:val="32"/>
              <w:widowControl w:val="0"/>
              <w:adjustRightInd w:val="0"/>
              <w:snapToGrid w:val="0"/>
              <w:spacing w:line="400" w:lineRule="exact"/>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时    间</w:t>
            </w:r>
          </w:p>
        </w:tc>
        <w:tc>
          <w:tcPr>
            <w:tcW w:w="7992" w:type="dxa"/>
            <w:noWrap w:val="0"/>
            <w:vAlign w:val="top"/>
          </w:tcPr>
          <w:p>
            <w:pPr>
              <w:pStyle w:val="32"/>
              <w:widowControl w:val="0"/>
              <w:adjustRightInd w:val="0"/>
              <w:snapToGrid w:val="0"/>
              <w:spacing w:line="400" w:lineRule="exact"/>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6" w:hRule="atLeast"/>
        </w:trPr>
        <w:tc>
          <w:tcPr>
            <w:tcW w:w="9612" w:type="dxa"/>
            <w:gridSpan w:val="2"/>
            <w:noWrap w:val="0"/>
            <w:vAlign w:val="top"/>
          </w:tcPr>
          <w:p>
            <w:pPr>
              <w:pStyle w:val="32"/>
              <w:widowControl w:val="0"/>
              <w:adjustRightInd w:val="0"/>
              <w:snapToGrid w:val="0"/>
              <w:spacing w:line="400" w:lineRule="exact"/>
              <w:ind w:firstLine="450"/>
              <w:jc w:val="both"/>
              <w:rPr>
                <w:rFonts w:hAnsi="宋体"/>
                <w:color w:val="000000"/>
                <w:kern w:val="2"/>
                <w:sz w:val="22"/>
                <w:szCs w:val="22"/>
                <w:lang w:val="en-US" w:eastAsia="zh-CN"/>
              </w:rPr>
            </w:pPr>
            <w:r>
              <w:rPr>
                <w:rFonts w:hint="eastAsia" w:hAnsi="宋体"/>
                <w:color w:val="000000"/>
                <w:kern w:val="2"/>
                <w:sz w:val="22"/>
                <w:szCs w:val="22"/>
                <w:lang w:val="en-US" w:eastAsia="zh-CN"/>
              </w:rPr>
              <w:t>1、根据政府采购法第二十二条规定，我单位满足以下条件：</w:t>
            </w:r>
          </w:p>
          <w:p>
            <w:pPr>
              <w:pStyle w:val="32"/>
              <w:widowControl w:val="0"/>
              <w:adjustRightInd w:val="0"/>
              <w:snapToGrid w:val="0"/>
              <w:spacing w:line="400" w:lineRule="exact"/>
              <w:ind w:firstLine="450"/>
              <w:jc w:val="both"/>
              <w:rPr>
                <w:rFonts w:hAnsi="宋体"/>
                <w:color w:val="000000"/>
                <w:kern w:val="2"/>
                <w:sz w:val="22"/>
                <w:szCs w:val="22"/>
                <w:lang w:val="en-US" w:eastAsia="zh-CN"/>
              </w:rPr>
            </w:pPr>
            <w:r>
              <w:rPr>
                <w:rFonts w:hint="eastAsia" w:hAnsi="宋体"/>
                <w:color w:val="000000"/>
                <w:kern w:val="2"/>
                <w:sz w:val="22"/>
                <w:szCs w:val="22"/>
                <w:lang w:val="en-US" w:eastAsia="zh-CN"/>
              </w:rPr>
              <w:t xml:space="preserve">（一）具有独立承担民事责任的能力； </w:t>
            </w:r>
            <w:r>
              <w:rPr>
                <w:rFonts w:hint="eastAsia" w:hAnsi="宋体"/>
                <w:color w:val="000000"/>
                <w:kern w:val="2"/>
                <w:sz w:val="22"/>
                <w:szCs w:val="22"/>
                <w:lang w:val="en-US" w:eastAsia="zh-CN"/>
              </w:rPr>
              <w:br w:type="textWrapping"/>
            </w:r>
            <w:r>
              <w:rPr>
                <w:rFonts w:hint="eastAsia" w:hAnsi="宋体"/>
                <w:color w:val="000000"/>
                <w:kern w:val="2"/>
                <w:sz w:val="22"/>
                <w:szCs w:val="22"/>
                <w:lang w:val="en-US" w:eastAsia="zh-CN"/>
              </w:rPr>
              <w:t xml:space="preserve">　　（二）具有良好的商业信誉和健全的财务会计制度； </w:t>
            </w:r>
            <w:r>
              <w:rPr>
                <w:rFonts w:hint="eastAsia" w:hAnsi="宋体"/>
                <w:color w:val="000000"/>
                <w:kern w:val="2"/>
                <w:sz w:val="22"/>
                <w:szCs w:val="22"/>
                <w:lang w:val="en-US" w:eastAsia="zh-CN"/>
              </w:rPr>
              <w:br w:type="textWrapping"/>
            </w:r>
            <w:r>
              <w:rPr>
                <w:rFonts w:hint="eastAsia" w:hAnsi="宋体"/>
                <w:color w:val="000000"/>
                <w:kern w:val="2"/>
                <w:sz w:val="22"/>
                <w:szCs w:val="22"/>
                <w:lang w:val="en-US" w:eastAsia="zh-CN"/>
              </w:rPr>
              <w:t xml:space="preserve">　　（三）具有履行合同所必需的设备和专业技术能力； </w:t>
            </w:r>
            <w:r>
              <w:rPr>
                <w:rFonts w:hint="eastAsia" w:hAnsi="宋体"/>
                <w:color w:val="000000"/>
                <w:kern w:val="2"/>
                <w:sz w:val="22"/>
                <w:szCs w:val="22"/>
                <w:lang w:val="en-US" w:eastAsia="zh-CN"/>
              </w:rPr>
              <w:br w:type="textWrapping"/>
            </w:r>
            <w:r>
              <w:rPr>
                <w:rFonts w:hint="eastAsia" w:hAnsi="宋体"/>
                <w:color w:val="000000"/>
                <w:kern w:val="2"/>
                <w:sz w:val="22"/>
                <w:szCs w:val="22"/>
                <w:lang w:val="en-US" w:eastAsia="zh-CN"/>
              </w:rPr>
              <w:t xml:space="preserve">　　（四）有依法缴纳税收和社会保障资金的良好记录； </w:t>
            </w:r>
            <w:r>
              <w:rPr>
                <w:rFonts w:hint="eastAsia" w:hAnsi="宋体"/>
                <w:color w:val="000000"/>
                <w:kern w:val="2"/>
                <w:sz w:val="22"/>
                <w:szCs w:val="22"/>
                <w:lang w:val="en-US" w:eastAsia="zh-CN"/>
              </w:rPr>
              <w:br w:type="textWrapping"/>
            </w:r>
            <w:r>
              <w:rPr>
                <w:rFonts w:hint="eastAsia" w:hAnsi="宋体"/>
                <w:color w:val="000000"/>
                <w:kern w:val="2"/>
                <w:sz w:val="22"/>
                <w:szCs w:val="22"/>
                <w:lang w:val="en-US" w:eastAsia="zh-CN"/>
              </w:rPr>
              <w:t xml:space="preserve">　　（五）参加政府采购活动前三年内，在经营活动中没有重大违法记录； </w:t>
            </w:r>
            <w:r>
              <w:rPr>
                <w:rFonts w:hint="eastAsia" w:hAnsi="宋体"/>
                <w:color w:val="000000"/>
                <w:kern w:val="2"/>
                <w:sz w:val="22"/>
                <w:szCs w:val="22"/>
                <w:lang w:val="en-US" w:eastAsia="zh-CN"/>
              </w:rPr>
              <w:br w:type="textWrapping"/>
            </w:r>
            <w:r>
              <w:rPr>
                <w:rFonts w:hint="eastAsia" w:hAnsi="宋体"/>
                <w:color w:val="000000"/>
                <w:kern w:val="2"/>
                <w:sz w:val="22"/>
                <w:szCs w:val="22"/>
                <w:lang w:val="en-US" w:eastAsia="zh-CN"/>
              </w:rPr>
              <w:t xml:space="preserve">　　（六）法律、行政法规规定的其他条件。 </w:t>
            </w:r>
          </w:p>
          <w:p>
            <w:pPr>
              <w:pStyle w:val="32"/>
              <w:widowControl w:val="0"/>
              <w:adjustRightInd w:val="0"/>
              <w:snapToGrid w:val="0"/>
              <w:spacing w:line="400" w:lineRule="exact"/>
              <w:ind w:firstLine="450"/>
              <w:jc w:val="both"/>
              <w:rPr>
                <w:rFonts w:hAnsi="宋体"/>
                <w:b/>
                <w:color w:val="000000"/>
                <w:kern w:val="2"/>
                <w:sz w:val="22"/>
                <w:szCs w:val="22"/>
                <w:lang w:val="en-US" w:eastAsia="zh-CN"/>
              </w:rPr>
            </w:pPr>
            <w:r>
              <w:rPr>
                <w:rFonts w:hAnsi="宋体"/>
                <w:color w:val="000000"/>
                <w:kern w:val="2"/>
                <w:sz w:val="22"/>
                <w:szCs w:val="22"/>
                <w:lang w:val="en-US" w:eastAsia="zh-CN"/>
              </w:rPr>
              <w:t>2</w:t>
            </w:r>
            <w:r>
              <w:rPr>
                <w:rFonts w:hint="eastAsia" w:hAnsi="宋体"/>
                <w:color w:val="000000"/>
                <w:kern w:val="2"/>
                <w:sz w:val="22"/>
                <w:szCs w:val="22"/>
                <w:lang w:val="en-US" w:eastAsia="zh-CN"/>
              </w:rPr>
              <w:t>、根据</w:t>
            </w:r>
            <w:r>
              <w:rPr>
                <w:rFonts w:hAnsi="宋体"/>
                <w:color w:val="000000"/>
                <w:kern w:val="2"/>
                <w:sz w:val="22"/>
                <w:szCs w:val="22"/>
                <w:lang w:val="en-US" w:eastAsia="zh-CN"/>
              </w:rPr>
              <w:t>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rFonts w:hint="eastAsia" w:hAnsi="宋体"/>
                <w:b/>
                <w:color w:val="000000"/>
                <w:kern w:val="2"/>
                <w:sz w:val="22"/>
                <w:szCs w:val="22"/>
                <w:lang w:val="en-US" w:eastAsia="zh-CN"/>
              </w:rPr>
              <w:t>我单位承诺不存在上述文件规定依法限制参与政府采购的情况。</w:t>
            </w:r>
          </w:p>
          <w:p>
            <w:pPr>
              <w:pStyle w:val="32"/>
              <w:widowControl w:val="0"/>
              <w:adjustRightInd w:val="0"/>
              <w:snapToGrid w:val="0"/>
              <w:spacing w:line="400" w:lineRule="exact"/>
              <w:ind w:firstLine="450"/>
              <w:jc w:val="both"/>
              <w:rPr>
                <w:rFonts w:hint="eastAsia" w:hAnsi="宋体"/>
                <w:color w:val="000000"/>
                <w:kern w:val="2"/>
                <w:sz w:val="22"/>
                <w:szCs w:val="22"/>
                <w:lang w:val="en-US" w:eastAsia="zh-CN"/>
              </w:rPr>
            </w:pPr>
            <w:r>
              <w:rPr>
                <w:rFonts w:hint="eastAsia" w:hAnsi="宋体"/>
                <w:color w:val="000000"/>
                <w:kern w:val="2"/>
                <w:sz w:val="22"/>
                <w:szCs w:val="22"/>
                <w:lang w:val="en-US" w:eastAsia="zh-CN"/>
              </w:rPr>
              <w:t>3、我单位承诺没有</w:t>
            </w:r>
            <w:r>
              <w:rPr>
                <w:rFonts w:hAnsi="宋体"/>
                <w:color w:val="000000"/>
                <w:kern w:val="2"/>
                <w:sz w:val="22"/>
                <w:szCs w:val="22"/>
                <w:lang w:val="en-US" w:eastAsia="zh-CN"/>
              </w:rPr>
              <w:t>被</w:t>
            </w:r>
            <w:r>
              <w:rPr>
                <w:rFonts w:hint="eastAsia" w:hAnsi="宋体"/>
                <w:color w:val="000000"/>
                <w:kern w:val="2"/>
                <w:sz w:val="22"/>
                <w:szCs w:val="22"/>
                <w:lang w:val="en-US" w:eastAsia="zh-CN"/>
              </w:rPr>
              <w:t>各地、</w:t>
            </w:r>
            <w:r>
              <w:rPr>
                <w:rFonts w:hAnsi="宋体"/>
                <w:color w:val="000000"/>
                <w:kern w:val="2"/>
                <w:sz w:val="22"/>
                <w:szCs w:val="22"/>
                <w:lang w:val="en-US" w:eastAsia="zh-CN"/>
              </w:rPr>
              <w:t>各级财政部门</w:t>
            </w:r>
            <w:r>
              <w:rPr>
                <w:rFonts w:hint="eastAsia" w:hAnsi="宋体"/>
                <w:color w:val="000000"/>
                <w:kern w:val="2"/>
                <w:sz w:val="22"/>
                <w:szCs w:val="22"/>
                <w:lang w:val="en-US" w:eastAsia="zh-CN"/>
              </w:rPr>
              <w:t>限制</w:t>
            </w:r>
            <w:r>
              <w:rPr>
                <w:rFonts w:hAnsi="宋体"/>
                <w:color w:val="000000"/>
                <w:kern w:val="2"/>
                <w:sz w:val="22"/>
                <w:szCs w:val="22"/>
                <w:lang w:val="en-US" w:eastAsia="zh-CN"/>
              </w:rPr>
              <w:t>参加政府采购</w:t>
            </w:r>
            <w:r>
              <w:rPr>
                <w:rFonts w:hint="eastAsia" w:hAnsi="宋体"/>
                <w:color w:val="000000"/>
                <w:kern w:val="2"/>
                <w:sz w:val="22"/>
                <w:szCs w:val="22"/>
                <w:lang w:val="en-US" w:eastAsia="zh-CN"/>
              </w:rPr>
              <w:t>活动。</w:t>
            </w:r>
          </w:p>
          <w:p>
            <w:pPr>
              <w:tabs>
                <w:tab w:val="center" w:pos="4483"/>
              </w:tabs>
              <w:adjustRightInd w:val="0"/>
              <w:spacing w:line="360" w:lineRule="auto"/>
              <w:ind w:firstLine="400"/>
              <w:rPr>
                <w:color w:val="000000"/>
                <w:sz w:val="22"/>
                <w:szCs w:val="22"/>
                <w:u w:val="single"/>
              </w:rPr>
            </w:pPr>
            <w:r>
              <w:rPr>
                <w:color w:val="000000"/>
                <w:sz w:val="22"/>
                <w:szCs w:val="22"/>
              </w:rPr>
              <w:t>4</w:t>
            </w:r>
            <w:r>
              <w:rPr>
                <w:rFonts w:hint="eastAsia"/>
                <w:color w:val="000000"/>
                <w:sz w:val="22"/>
                <w:szCs w:val="22"/>
              </w:rPr>
              <w:t>、我单位承诺参与本项目政府采购活动3年内没有其它重大违法记录（重大违法记录，是指供应商因违法经营受到刑事处罚或者责令停产停业、吊销许可证或者执照、较大数额罚款等行政处罚）。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hint="eastAsia"/>
                <w:bCs/>
                <w:color w:val="000000"/>
                <w:sz w:val="22"/>
                <w:szCs w:val="22"/>
              </w:rPr>
            </w:pPr>
            <w:r>
              <w:rPr>
                <w:rFonts w:hint="eastAsia"/>
                <w:bCs/>
                <w:color w:val="000000"/>
                <w:sz w:val="22"/>
                <w:szCs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9612" w:type="dxa"/>
            <w:gridSpan w:val="2"/>
            <w:noWrap w:val="0"/>
            <w:vAlign w:val="center"/>
          </w:tcPr>
          <w:p>
            <w:pPr>
              <w:pStyle w:val="32"/>
              <w:widowControl w:val="0"/>
              <w:adjustRightInd w:val="0"/>
              <w:snapToGrid w:val="0"/>
              <w:spacing w:line="400" w:lineRule="exact"/>
              <w:ind w:left="422" w:firstLine="331"/>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9612" w:type="dxa"/>
            <w:gridSpan w:val="2"/>
            <w:noWrap w:val="0"/>
            <w:vAlign w:val="center"/>
          </w:tcPr>
          <w:p>
            <w:pPr>
              <w:pStyle w:val="32"/>
              <w:widowControl w:val="0"/>
              <w:adjustRightInd w:val="0"/>
              <w:snapToGrid w:val="0"/>
              <w:spacing w:line="400" w:lineRule="exact"/>
              <w:ind w:left="422" w:firstLine="316"/>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法定代表人或授权代表（签字或盖章）：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 w:hRule="atLeast"/>
        </w:trPr>
        <w:tc>
          <w:tcPr>
            <w:tcW w:w="9612" w:type="dxa"/>
            <w:gridSpan w:val="2"/>
            <w:noWrap w:val="0"/>
            <w:vAlign w:val="center"/>
          </w:tcPr>
          <w:p>
            <w:pPr>
              <w:pStyle w:val="32"/>
              <w:widowControl w:val="0"/>
              <w:adjustRightInd w:val="0"/>
              <w:snapToGrid w:val="0"/>
              <w:spacing w:line="400" w:lineRule="exact"/>
              <w:ind w:left="422" w:firstLine="331"/>
              <w:jc w:val="both"/>
              <w:rPr>
                <w:rFonts w:hint="eastAsia" w:hAnsi="宋体"/>
                <w:bCs/>
                <w:color w:val="000000"/>
                <w:kern w:val="2"/>
                <w:sz w:val="22"/>
                <w:szCs w:val="22"/>
                <w:lang w:val="en-US" w:eastAsia="zh-CN"/>
              </w:rPr>
            </w:pPr>
            <w:r>
              <w:rPr>
                <w:rFonts w:hint="eastAsia" w:hAnsi="宋体"/>
                <w:bCs/>
                <w:color w:val="000000"/>
                <w:kern w:val="2"/>
                <w:sz w:val="22"/>
                <w:szCs w:val="22"/>
                <w:lang w:val="en-US" w:eastAsia="zh-CN"/>
              </w:rPr>
              <w:t>签署日期：</w:t>
            </w:r>
          </w:p>
        </w:tc>
      </w:tr>
    </w:tbl>
    <w:p>
      <w:pPr>
        <w:spacing w:line="360" w:lineRule="exact"/>
        <w:rPr>
          <w:bCs/>
          <w:color w:val="000000"/>
          <w:sz w:val="22"/>
          <w:szCs w:val="22"/>
          <w:u w:val="single"/>
        </w:rPr>
      </w:pPr>
      <w:r>
        <w:rPr>
          <w:rFonts w:hint="eastAsia"/>
          <w:b/>
          <w:bCs/>
          <w:color w:val="000000"/>
          <w:sz w:val="22"/>
          <w:szCs w:val="22"/>
        </w:rPr>
        <w:t xml:space="preserve"> </w:t>
      </w:r>
      <w:r>
        <w:rPr>
          <w:rFonts w:hint="eastAsia"/>
          <w:bCs/>
          <w:color w:val="000000"/>
          <w:sz w:val="22"/>
          <w:szCs w:val="22"/>
        </w:rPr>
        <w:t xml:space="preserve"> </w:t>
      </w:r>
      <w:r>
        <w:rPr>
          <w:rFonts w:hint="eastAsia"/>
          <w:bCs/>
          <w:color w:val="000000"/>
          <w:sz w:val="22"/>
          <w:szCs w:val="22"/>
          <w:u w:val="single"/>
        </w:rPr>
        <w:t>备注：</w:t>
      </w:r>
      <w:r>
        <w:rPr>
          <w:rFonts w:hint="eastAsia" w:ascii="仿宋" w:hAnsi="仿宋" w:eastAsia="仿宋"/>
          <w:bCs/>
          <w:color w:val="000000"/>
          <w:sz w:val="22"/>
          <w:szCs w:val="22"/>
          <w:u w:val="single"/>
        </w:rPr>
        <w:t>▲</w:t>
      </w:r>
      <w:r>
        <w:rPr>
          <w:rFonts w:hint="eastAsia"/>
          <w:bCs/>
          <w:color w:val="000000"/>
          <w:sz w:val="22"/>
          <w:szCs w:val="22"/>
          <w:u w:val="single"/>
        </w:rPr>
        <w:t>投标供应商必须提供本声明，不提供按无效投标处理。</w:t>
      </w:r>
    </w:p>
    <w:p>
      <w:pPr>
        <w:pStyle w:val="32"/>
        <w:adjustRightInd w:val="0"/>
        <w:snapToGrid w:val="0"/>
        <w:spacing w:line="400" w:lineRule="exact"/>
        <w:rPr>
          <w:rFonts w:hint="eastAsia" w:hAnsi="宋体"/>
          <w:color w:val="000000"/>
          <w:sz w:val="24"/>
        </w:rPr>
      </w:pPr>
    </w:p>
    <w:p>
      <w:pPr>
        <w:tabs>
          <w:tab w:val="left" w:pos="1575"/>
        </w:tabs>
        <w:adjustRightInd w:val="0"/>
        <w:snapToGrid w:val="0"/>
        <w:spacing w:line="360" w:lineRule="auto"/>
        <w:jc w:val="center"/>
        <w:rPr>
          <w:rFonts w:hint="eastAsia" w:eastAsia="新宋体"/>
          <w:b/>
          <w:color w:val="000000"/>
        </w:rPr>
      </w:pPr>
    </w:p>
    <w:p>
      <w:pPr>
        <w:tabs>
          <w:tab w:val="left" w:pos="1575"/>
        </w:tabs>
        <w:adjustRightInd w:val="0"/>
        <w:snapToGrid w:val="0"/>
        <w:spacing w:line="360" w:lineRule="auto"/>
        <w:jc w:val="center"/>
        <w:rPr>
          <w:rFonts w:hint="eastAsia" w:eastAsia="新宋体"/>
          <w:b/>
          <w:color w:val="000000"/>
          <w:sz w:val="36"/>
          <w:szCs w:val="36"/>
        </w:rPr>
      </w:pPr>
      <w:r>
        <w:rPr>
          <w:rFonts w:hint="eastAsia" w:eastAsia="新宋体"/>
          <w:b/>
          <w:color w:val="000000"/>
          <w:sz w:val="36"/>
          <w:szCs w:val="36"/>
        </w:rPr>
        <w:t>质量服务承诺书</w:t>
      </w:r>
    </w:p>
    <w:p>
      <w:pPr>
        <w:spacing w:line="360" w:lineRule="auto"/>
        <w:rPr>
          <w:rFonts w:hint="eastAsia" w:eastAsia="新宋体"/>
          <w:color w:val="000000"/>
        </w:rPr>
      </w:pPr>
      <w:r>
        <w:rPr>
          <w:rFonts w:hint="eastAsia" w:hAnsi="新宋体" w:eastAsia="新宋体"/>
          <w:color w:val="000000"/>
        </w:rPr>
        <w:t>致</w:t>
      </w:r>
      <w:r>
        <w:rPr>
          <w:rFonts w:hint="eastAsia" w:eastAsia="新宋体"/>
          <w:color w:val="000000"/>
          <w:u w:val="single"/>
        </w:rPr>
        <w:t xml:space="preserve">               </w:t>
      </w:r>
      <w:r>
        <w:rPr>
          <w:rFonts w:hint="eastAsia" w:hAnsi="新宋体" w:eastAsia="新宋体"/>
          <w:color w:val="000000"/>
        </w:rPr>
        <w:t>（采购人）</w:t>
      </w:r>
      <w:r>
        <w:rPr>
          <w:rFonts w:hint="eastAsia" w:eastAsia="新宋体"/>
          <w:color w:val="000000"/>
        </w:rPr>
        <w:t>:</w:t>
      </w:r>
    </w:p>
    <w:p>
      <w:pPr>
        <w:spacing w:line="360" w:lineRule="auto"/>
        <w:ind w:firstLine="480" w:firstLineChars="200"/>
        <w:rPr>
          <w:rFonts w:hint="eastAsia" w:eastAsia="新宋体"/>
          <w:color w:val="000000"/>
        </w:rPr>
      </w:pPr>
      <w:r>
        <w:rPr>
          <w:rFonts w:hint="eastAsia" w:hAnsi="新宋体" w:eastAsia="新宋体"/>
          <w:color w:val="000000"/>
        </w:rPr>
        <w:t>本公司</w:t>
      </w:r>
      <w:r>
        <w:rPr>
          <w:rFonts w:hint="eastAsia" w:hAnsi="新宋体" w:eastAsia="新宋体"/>
          <w:color w:val="000000"/>
          <w:u w:val="single"/>
        </w:rPr>
        <w:t xml:space="preserve">    </w:t>
      </w:r>
      <w:r>
        <w:rPr>
          <w:rFonts w:hint="eastAsia" w:hAnsi="新宋体" w:eastAsia="新宋体"/>
          <w:color w:val="000000"/>
        </w:rPr>
        <w:t>（投标方）对</w:t>
      </w:r>
      <w:r>
        <w:rPr>
          <w:rFonts w:hint="eastAsia" w:hAnsi="新宋体" w:eastAsia="新宋体"/>
          <w:color w:val="000000"/>
          <w:u w:val="single"/>
        </w:rPr>
        <w:t xml:space="preserve">   </w:t>
      </w:r>
      <w:r>
        <w:rPr>
          <w:rFonts w:hint="eastAsia" w:hAnsi="新宋体" w:eastAsia="新宋体"/>
          <w:color w:val="000000"/>
        </w:rPr>
        <w:t>（项目名称）项目做出如下承诺。</w:t>
      </w:r>
    </w:p>
    <w:p>
      <w:pPr>
        <w:spacing w:line="360" w:lineRule="auto"/>
        <w:rPr>
          <w:rFonts w:hint="eastAsia" w:eastAsia="新宋体"/>
          <w:color w:val="000000"/>
        </w:rPr>
      </w:pPr>
      <w:r>
        <w:rPr>
          <w:rFonts w:hint="eastAsia" w:hAnsi="新宋体" w:eastAsia="新宋体"/>
          <w:color w:val="000000"/>
        </w:rPr>
        <w:t xml:space="preserve">    如果我公司有幸成为</w:t>
      </w:r>
      <w:r>
        <w:rPr>
          <w:rFonts w:hint="eastAsia" w:hAnsi="新宋体" w:eastAsia="新宋体"/>
          <w:color w:val="000000"/>
          <w:u w:val="single"/>
        </w:rPr>
        <w:t xml:space="preserve">   </w:t>
      </w:r>
      <w:r>
        <w:rPr>
          <w:rFonts w:hint="eastAsia" w:hAnsi="新宋体" w:eastAsia="新宋体"/>
          <w:color w:val="000000"/>
        </w:rPr>
        <w:t>（项目名称）项目的中标人，将作出以下承诺：</w:t>
      </w:r>
    </w:p>
    <w:p>
      <w:pPr>
        <w:spacing w:line="360" w:lineRule="auto"/>
        <w:ind w:firstLine="480" w:firstLineChars="200"/>
        <w:rPr>
          <w:rFonts w:hint="eastAsia" w:hAnsi="新宋体" w:eastAsia="新宋体"/>
          <w:color w:val="000000"/>
        </w:rPr>
      </w:pPr>
    </w:p>
    <w:p>
      <w:pPr>
        <w:spacing w:line="360" w:lineRule="auto"/>
        <w:ind w:firstLine="480" w:firstLineChars="200"/>
        <w:rPr>
          <w:rFonts w:hint="eastAsia" w:eastAsia="新宋体"/>
          <w:color w:val="000000"/>
        </w:rPr>
      </w:pPr>
      <w:r>
        <w:rPr>
          <w:rFonts w:hint="eastAsia" w:hAnsi="新宋体" w:eastAsia="新宋体"/>
          <w:color w:val="000000"/>
        </w:rPr>
        <w:t>一、本公司所提供的产品及其配件都是质量合格产品；</w:t>
      </w:r>
    </w:p>
    <w:p>
      <w:pPr>
        <w:spacing w:line="360" w:lineRule="auto"/>
        <w:rPr>
          <w:rFonts w:hint="eastAsia" w:eastAsia="新宋体"/>
          <w:color w:val="000000"/>
        </w:rPr>
      </w:pPr>
    </w:p>
    <w:p>
      <w:pPr>
        <w:spacing w:line="360" w:lineRule="auto"/>
        <w:ind w:firstLine="480" w:firstLineChars="200"/>
        <w:rPr>
          <w:rFonts w:hint="eastAsia" w:eastAsia="新宋体"/>
          <w:color w:val="000000"/>
        </w:rPr>
      </w:pPr>
      <w:r>
        <w:rPr>
          <w:rFonts w:hint="eastAsia" w:hAnsi="新宋体" w:eastAsia="新宋体"/>
          <w:color w:val="000000"/>
        </w:rPr>
        <w:t>二、在招标文件要求的产品质保期内，对由质量问题的产品进行无条件技术服务直至满足使用方的项目使用需求；</w:t>
      </w:r>
    </w:p>
    <w:p>
      <w:pPr>
        <w:spacing w:line="360" w:lineRule="auto"/>
        <w:rPr>
          <w:rFonts w:hint="eastAsia" w:eastAsia="新宋体"/>
          <w:color w:val="000000"/>
        </w:rPr>
      </w:pPr>
    </w:p>
    <w:p>
      <w:pPr>
        <w:spacing w:line="360" w:lineRule="auto"/>
        <w:ind w:firstLine="480" w:firstLineChars="200"/>
        <w:rPr>
          <w:rFonts w:hint="eastAsia" w:hAnsi="新宋体" w:eastAsia="新宋体"/>
          <w:color w:val="000000"/>
        </w:rPr>
      </w:pPr>
      <w:r>
        <w:rPr>
          <w:rFonts w:hint="eastAsia" w:hAnsi="新宋体" w:eastAsia="新宋体"/>
          <w:color w:val="000000"/>
        </w:rPr>
        <w:t>本承诺书自开标日起至招标方与中标方合同结束之日均有效。</w:t>
      </w:r>
    </w:p>
    <w:p>
      <w:pPr>
        <w:spacing w:line="360" w:lineRule="auto"/>
        <w:ind w:firstLine="480" w:firstLineChars="200"/>
        <w:rPr>
          <w:rFonts w:hint="eastAsia" w:hAnsi="新宋体" w:eastAsia="新宋体"/>
          <w:color w:val="000000"/>
        </w:rPr>
      </w:pPr>
    </w:p>
    <w:p>
      <w:pPr>
        <w:spacing w:line="360" w:lineRule="auto"/>
        <w:ind w:firstLine="480" w:firstLineChars="200"/>
        <w:rPr>
          <w:rFonts w:hint="eastAsia" w:eastAsia="新宋体"/>
          <w:color w:val="000000"/>
        </w:rPr>
      </w:pPr>
    </w:p>
    <w:p>
      <w:pPr>
        <w:spacing w:line="360" w:lineRule="auto"/>
        <w:ind w:firstLine="480" w:firstLineChars="200"/>
        <w:rPr>
          <w:rFonts w:hint="eastAsia" w:eastAsia="新宋体"/>
          <w:color w:val="000000"/>
        </w:rPr>
      </w:pPr>
    </w:p>
    <w:p>
      <w:pPr>
        <w:spacing w:line="360" w:lineRule="auto"/>
        <w:ind w:firstLine="480" w:firstLineChars="200"/>
        <w:rPr>
          <w:rFonts w:hint="eastAsia" w:eastAsia="新宋体"/>
          <w:color w:val="000000"/>
        </w:rPr>
      </w:pPr>
    </w:p>
    <w:p>
      <w:pPr>
        <w:snapToGrid w:val="0"/>
        <w:spacing w:line="360" w:lineRule="auto"/>
        <w:ind w:right="480"/>
        <w:rPr>
          <w:rFonts w:hint="eastAsia" w:eastAsia="新宋体"/>
          <w:color w:val="000000"/>
        </w:rPr>
      </w:pPr>
      <w:r>
        <w:rPr>
          <w:rFonts w:hint="eastAsia" w:hAnsi="新宋体" w:eastAsia="新宋体"/>
          <w:color w:val="000000"/>
        </w:rPr>
        <w:t>地址：</w:t>
      </w:r>
      <w:r>
        <w:rPr>
          <w:rFonts w:hint="eastAsia" w:hAnsi="新宋体" w:eastAsia="新宋体"/>
          <w:color w:val="000000"/>
          <w:u w:val="single"/>
        </w:rPr>
        <w:t>　　　　　　　　　　</w:t>
      </w:r>
      <w:r>
        <w:rPr>
          <w:rFonts w:hint="eastAsia" w:hAnsi="新宋体" w:eastAsia="新宋体"/>
          <w:color w:val="000000"/>
        </w:rPr>
        <w:t>　　　　　邮编：</w:t>
      </w:r>
      <w:r>
        <w:rPr>
          <w:rFonts w:hint="eastAsia" w:hAnsi="新宋体" w:eastAsia="新宋体"/>
          <w:color w:val="000000"/>
          <w:u w:val="single"/>
        </w:rPr>
        <w:t>　　　　　　　</w:t>
      </w:r>
    </w:p>
    <w:p>
      <w:pPr>
        <w:snapToGrid w:val="0"/>
        <w:spacing w:line="360" w:lineRule="auto"/>
        <w:ind w:right="480"/>
        <w:rPr>
          <w:rFonts w:hint="eastAsia" w:eastAsia="新宋体"/>
          <w:color w:val="000000"/>
        </w:rPr>
      </w:pPr>
      <w:r>
        <w:rPr>
          <w:rFonts w:hint="eastAsia" w:hAnsi="新宋体" w:eastAsia="新宋体"/>
          <w:color w:val="000000"/>
        </w:rPr>
        <w:t>电话：</w:t>
      </w:r>
      <w:r>
        <w:rPr>
          <w:rFonts w:hint="eastAsia" w:hAnsi="新宋体" w:eastAsia="新宋体"/>
          <w:color w:val="000000"/>
          <w:u w:val="single"/>
        </w:rPr>
        <w:t>　　　　　　　　</w:t>
      </w:r>
      <w:r>
        <w:rPr>
          <w:rFonts w:hint="eastAsia" w:hAnsi="新宋体" w:eastAsia="新宋体"/>
          <w:color w:val="000000"/>
        </w:rPr>
        <w:t>　　　传真：</w:t>
      </w:r>
      <w:r>
        <w:rPr>
          <w:rFonts w:hint="eastAsia" w:hAnsi="新宋体" w:eastAsia="新宋体"/>
          <w:color w:val="000000"/>
          <w:u w:val="single"/>
        </w:rPr>
        <w:t>　　　　　　</w:t>
      </w:r>
      <w:r>
        <w:rPr>
          <w:rFonts w:hint="eastAsia" w:hAnsi="新宋体" w:eastAsia="新宋体"/>
          <w:color w:val="000000"/>
        </w:rPr>
        <w:t>　　</w:t>
      </w:r>
    </w:p>
    <w:p>
      <w:pPr>
        <w:snapToGrid w:val="0"/>
        <w:spacing w:line="360" w:lineRule="auto"/>
        <w:ind w:right="480"/>
        <w:rPr>
          <w:rFonts w:hint="eastAsia" w:eastAsia="新宋体"/>
          <w:color w:val="000000"/>
        </w:rPr>
      </w:pPr>
      <w:r>
        <w:rPr>
          <w:rFonts w:hint="eastAsia" w:hAnsi="新宋体" w:eastAsia="新宋体"/>
          <w:color w:val="000000"/>
        </w:rPr>
        <w:t>投标方代表姓名职务：</w:t>
      </w:r>
      <w:r>
        <w:rPr>
          <w:rFonts w:hint="eastAsia" w:hAnsi="新宋体" w:eastAsia="新宋体"/>
          <w:color w:val="000000"/>
          <w:u w:val="single"/>
        </w:rPr>
        <w:t>　　　　　　</w:t>
      </w:r>
      <w:r>
        <w:rPr>
          <w:rFonts w:hint="eastAsia" w:hAnsi="新宋体" w:eastAsia="新宋体"/>
          <w:color w:val="000000"/>
        </w:rPr>
        <w:t>　　</w:t>
      </w:r>
    </w:p>
    <w:p>
      <w:pPr>
        <w:tabs>
          <w:tab w:val="left" w:pos="1260"/>
        </w:tabs>
        <w:spacing w:line="360" w:lineRule="auto"/>
        <w:ind w:right="480"/>
        <w:rPr>
          <w:rFonts w:hint="eastAsia" w:eastAsia="新宋体"/>
          <w:color w:val="000000"/>
          <w:u w:val="single"/>
        </w:rPr>
      </w:pPr>
      <w:r>
        <w:rPr>
          <w:rFonts w:hint="eastAsia" w:hAnsi="新宋体" w:eastAsia="新宋体"/>
          <w:color w:val="000000"/>
        </w:rPr>
        <w:t>投标方名称（公章）：</w:t>
      </w:r>
      <w:r>
        <w:rPr>
          <w:rFonts w:hint="eastAsia" w:hAnsi="新宋体" w:eastAsia="新宋体"/>
          <w:color w:val="000000"/>
          <w:u w:val="single"/>
        </w:rPr>
        <w:t>　　　　　　</w:t>
      </w:r>
    </w:p>
    <w:p>
      <w:pPr>
        <w:tabs>
          <w:tab w:val="left" w:pos="1260"/>
        </w:tabs>
        <w:spacing w:line="360" w:lineRule="auto"/>
        <w:ind w:right="480"/>
        <w:rPr>
          <w:rFonts w:hint="eastAsia" w:eastAsia="新宋体"/>
          <w:color w:val="000000"/>
          <w:u w:val="single"/>
        </w:rPr>
      </w:pPr>
      <w:r>
        <w:rPr>
          <w:rFonts w:hint="eastAsia" w:hAnsi="新宋体" w:eastAsia="新宋体"/>
          <w:color w:val="000000"/>
        </w:rPr>
        <w:t>法定代表人签字或签章：</w:t>
      </w: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pStyle w:val="32"/>
        <w:adjustRightInd w:val="0"/>
        <w:snapToGrid w:val="0"/>
        <w:spacing w:line="400" w:lineRule="exact"/>
        <w:rPr>
          <w:rFonts w:hint="eastAsia" w:hAnsi="宋体" w:eastAsia="新宋体"/>
          <w:color w:val="000000"/>
          <w:sz w:val="24"/>
        </w:rPr>
      </w:pPr>
    </w:p>
    <w:p>
      <w:pPr>
        <w:spacing w:line="360" w:lineRule="auto"/>
        <w:jc w:val="center"/>
        <w:rPr>
          <w:rFonts w:hint="eastAsia" w:ascii="新宋体" w:hAnsi="新宋体" w:eastAsia="新宋体"/>
          <w:b/>
          <w:color w:val="000000"/>
          <w:sz w:val="28"/>
          <w:szCs w:val="28"/>
        </w:rPr>
      </w:pPr>
      <w:r>
        <w:rPr>
          <w:rFonts w:hint="eastAsia" w:ascii="新宋体" w:hAnsi="新宋体" w:eastAsia="新宋体"/>
          <w:b/>
          <w:color w:val="000000"/>
          <w:sz w:val="28"/>
          <w:szCs w:val="28"/>
        </w:rPr>
        <w:t>诚信投标承诺书</w:t>
      </w:r>
    </w:p>
    <w:p>
      <w:pPr>
        <w:spacing w:line="520" w:lineRule="exact"/>
        <w:ind w:right="-175" w:rightChars="-73"/>
        <w:rPr>
          <w:rFonts w:hint="eastAsia" w:ascii="新宋体" w:hAnsi="新宋体" w:eastAsia="新宋体"/>
          <w:color w:val="000000"/>
          <w:sz w:val="22"/>
          <w:szCs w:val="22"/>
        </w:rPr>
      </w:pPr>
      <w:r>
        <w:rPr>
          <w:rFonts w:hint="eastAsia" w:ascii="新宋体" w:hAnsi="新宋体" w:eastAsia="新宋体"/>
          <w:color w:val="000000"/>
          <w:sz w:val="22"/>
          <w:szCs w:val="22"/>
        </w:rPr>
        <w:t>本企业郑重承诺：</w:t>
      </w:r>
    </w:p>
    <w:p>
      <w:pPr>
        <w:spacing w:line="500" w:lineRule="exact"/>
        <w:ind w:firstLine="440" w:firstLineChars="200"/>
        <w:rPr>
          <w:rFonts w:hint="eastAsia" w:ascii="新宋体" w:hAnsi="新宋体" w:eastAsia="新宋体"/>
          <w:color w:val="000000"/>
          <w:sz w:val="22"/>
          <w:szCs w:val="22"/>
        </w:rPr>
      </w:pPr>
      <w:r>
        <w:rPr>
          <w:rFonts w:hint="eastAsia" w:ascii="新宋体" w:hAnsi="新宋体" w:eastAsia="新宋体"/>
          <w:color w:val="000000"/>
          <w:sz w:val="22"/>
          <w:szCs w:val="22"/>
        </w:rPr>
        <w:t>为了积极配合采购人组织的</w:t>
      </w:r>
      <w:r>
        <w:rPr>
          <w:rFonts w:hint="eastAsia" w:ascii="新宋体" w:hAnsi="新宋体" w:eastAsia="新宋体"/>
          <w:color w:val="000000"/>
          <w:sz w:val="22"/>
          <w:szCs w:val="22"/>
          <w:u w:val="single"/>
        </w:rPr>
        <w:t xml:space="preserve"> （项目名称） </w:t>
      </w:r>
      <w:r>
        <w:rPr>
          <w:rFonts w:hint="eastAsia" w:ascii="新宋体" w:hAnsi="新宋体" w:eastAsia="新宋体"/>
          <w:color w:val="000000"/>
          <w:sz w:val="22"/>
          <w:szCs w:val="22"/>
        </w:rPr>
        <w:t>招标工作，有效遏制不公平竞争和违规违纪问题的发生，确保招标工作的公平、公正、公开，我们保证认真贯彻</w:t>
      </w:r>
      <w:r>
        <w:rPr>
          <w:rFonts w:hint="eastAsia" w:ascii="新宋体" w:hAnsi="新宋体" w:eastAsia="新宋体" w:cs="Century Gothic"/>
          <w:color w:val="000000"/>
          <w:sz w:val="22"/>
          <w:szCs w:val="22"/>
        </w:rPr>
        <w:t>《中华人民共和国政府采购法》、《政府采购货物和服务招标投标管理办法》和《关于进一步规范政府采购活动的若干意见》等法律及有关法规</w:t>
      </w:r>
      <w:r>
        <w:rPr>
          <w:rFonts w:hint="eastAsia" w:ascii="新宋体" w:hAnsi="新宋体" w:eastAsia="新宋体"/>
          <w:color w:val="000000"/>
          <w:sz w:val="22"/>
          <w:szCs w:val="22"/>
        </w:rPr>
        <w:t>相关规定以及有关廉洁要求，特承诺如下事项：</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1、自觉遵守国家法律法规及有关廉政建设制度。</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2、主动了解招标人招投标纪律，积极配合招标人执行招投标廉政建设的有关规定。</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3、不使用不正当手段妨碍、排挤其它供应商或串通投标。</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4、按照本招标文件规定的方式进行投标，不隐瞒本单位投标资质的真实情况，投标资质符合规定。</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6、不向招标人及个人购置或提供通讯工具、交通工具和高档办公用品等。</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7、不向招标人涉及招标的人员的配偶、子女分包此次招标项目。</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8、不向招标人及个人支付好处费、介绍费。</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9、一旦发现相关人员在招标过程中的索要财物等不廉洁行为，坚决予以抵制，并及时向有关纪检监察部门举报。</w:t>
      </w:r>
    </w:p>
    <w:p>
      <w:pPr>
        <w:snapToGrid w:val="0"/>
        <w:spacing w:line="500" w:lineRule="exact"/>
        <w:ind w:firstLine="385" w:firstLineChars="175"/>
        <w:rPr>
          <w:rFonts w:hint="eastAsia" w:ascii="新宋体" w:hAnsi="新宋体" w:eastAsia="新宋体"/>
          <w:color w:val="000000"/>
          <w:sz w:val="22"/>
          <w:szCs w:val="22"/>
        </w:rPr>
      </w:pPr>
      <w:r>
        <w:rPr>
          <w:rFonts w:hint="eastAsia" w:ascii="新宋体" w:hAnsi="新宋体" w:eastAsia="新宋体"/>
          <w:color w:val="000000"/>
          <w:sz w:val="22"/>
          <w:szCs w:val="22"/>
        </w:rPr>
        <w:t>10、我们若违反上述承诺，愿接受取消供应商中标资格及其他任何形式的处理。</w:t>
      </w:r>
    </w:p>
    <w:p>
      <w:pPr>
        <w:snapToGrid w:val="0"/>
        <w:spacing w:line="500" w:lineRule="exact"/>
        <w:ind w:firstLine="385" w:firstLineChars="175"/>
        <w:rPr>
          <w:rFonts w:hint="eastAsia" w:ascii="新宋体" w:hAnsi="新宋体" w:eastAsia="新宋体"/>
          <w:color w:val="000000"/>
          <w:sz w:val="22"/>
          <w:szCs w:val="22"/>
        </w:rPr>
      </w:pPr>
    </w:p>
    <w:p>
      <w:pPr>
        <w:spacing w:line="440" w:lineRule="exact"/>
        <w:rPr>
          <w:rFonts w:hint="eastAsia" w:ascii="新宋体" w:hAnsi="新宋体" w:eastAsia="新宋体"/>
          <w:color w:val="000000"/>
          <w:sz w:val="22"/>
          <w:szCs w:val="22"/>
        </w:rPr>
      </w:pPr>
      <w:r>
        <w:rPr>
          <w:rFonts w:hint="eastAsia" w:ascii="新宋体" w:hAnsi="新宋体" w:eastAsia="新宋体"/>
          <w:color w:val="000000"/>
          <w:sz w:val="22"/>
          <w:szCs w:val="22"/>
        </w:rPr>
        <w:t>供应商全称(盖章)</w:t>
      </w:r>
      <w:r>
        <w:rPr>
          <w:rFonts w:hint="eastAsia" w:ascii="新宋体" w:hAnsi="新宋体" w:eastAsia="新宋体"/>
          <w:color w:val="000000"/>
          <w:sz w:val="22"/>
          <w:szCs w:val="22"/>
          <w:u w:val="single"/>
        </w:rPr>
        <w:t xml:space="preserve">                    </w:t>
      </w:r>
    </w:p>
    <w:p>
      <w:pPr>
        <w:spacing w:line="440" w:lineRule="exact"/>
        <w:rPr>
          <w:rFonts w:hint="eastAsia" w:ascii="新宋体" w:hAnsi="新宋体" w:eastAsia="新宋体"/>
          <w:color w:val="000000"/>
          <w:sz w:val="22"/>
          <w:szCs w:val="22"/>
          <w:u w:val="single"/>
        </w:rPr>
      </w:pPr>
      <w:r>
        <w:rPr>
          <w:rFonts w:hint="eastAsia" w:ascii="新宋体" w:hAnsi="新宋体" w:eastAsia="新宋体"/>
          <w:color w:val="000000"/>
          <w:sz w:val="22"/>
          <w:szCs w:val="22"/>
        </w:rPr>
        <w:t>法定代表人或授权代表（签字或签章）</w:t>
      </w:r>
      <w:r>
        <w:rPr>
          <w:rFonts w:hint="eastAsia" w:ascii="新宋体" w:hAnsi="新宋体" w:eastAsia="新宋体"/>
          <w:color w:val="000000"/>
          <w:sz w:val="22"/>
          <w:szCs w:val="22"/>
          <w:u w:val="single"/>
        </w:rPr>
        <w:t xml:space="preserve">          </w:t>
      </w:r>
    </w:p>
    <w:p>
      <w:pPr>
        <w:spacing w:line="440" w:lineRule="exact"/>
        <w:rPr>
          <w:rFonts w:hint="eastAsia" w:ascii="新宋体" w:hAnsi="新宋体" w:eastAsia="新宋体"/>
          <w:bCs/>
          <w:color w:val="000000"/>
          <w:sz w:val="22"/>
        </w:rPr>
      </w:pPr>
      <w:r>
        <w:rPr>
          <w:rFonts w:hint="eastAsia" w:ascii="新宋体" w:hAnsi="新宋体" w:eastAsia="新宋体"/>
          <w:color w:val="000000"/>
          <w:sz w:val="22"/>
          <w:szCs w:val="22"/>
        </w:rPr>
        <w:t>日 期</w:t>
      </w:r>
      <w:r>
        <w:rPr>
          <w:rFonts w:hint="eastAsia" w:ascii="新宋体" w:hAnsi="新宋体" w:eastAsia="新宋体"/>
          <w:color w:val="000000"/>
          <w:sz w:val="22"/>
          <w:szCs w:val="22"/>
          <w:u w:val="single"/>
        </w:rPr>
        <w:t xml:space="preserve">                               </w:t>
      </w: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color w:val="000000"/>
          <w:sz w:val="24"/>
        </w:rPr>
      </w:pPr>
    </w:p>
    <w:p>
      <w:pPr>
        <w:pStyle w:val="32"/>
        <w:adjustRightInd w:val="0"/>
        <w:snapToGrid w:val="0"/>
        <w:spacing w:line="400" w:lineRule="exact"/>
        <w:jc w:val="center"/>
        <w:rPr>
          <w:rFonts w:hint="eastAsia" w:hAnsi="宋体" w:eastAsia="新宋体"/>
          <w:b/>
          <w:color w:val="000000"/>
          <w:sz w:val="24"/>
        </w:rPr>
      </w:pPr>
      <w:r>
        <w:rPr>
          <w:rFonts w:hint="eastAsia" w:hAnsi="宋体" w:eastAsia="新宋体"/>
          <w:b/>
          <w:color w:val="000000"/>
          <w:sz w:val="24"/>
        </w:rPr>
        <w:t>技术资信评分项索引表（放置投标文件首页）</w:t>
      </w:r>
    </w:p>
    <w:p>
      <w:pPr>
        <w:pStyle w:val="32"/>
        <w:adjustRightInd w:val="0"/>
        <w:snapToGrid w:val="0"/>
        <w:spacing w:line="400" w:lineRule="exact"/>
        <w:jc w:val="center"/>
        <w:rPr>
          <w:rFonts w:hint="eastAsia" w:hAnsi="宋体" w:eastAsia="新宋体"/>
          <w:color w:val="000000"/>
          <w:sz w:val="24"/>
        </w:rPr>
      </w:pPr>
    </w:p>
    <w:tbl>
      <w:tblPr>
        <w:tblStyle w:val="55"/>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3510"/>
        <w:gridCol w:w="396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序号</w:t>
            </w:r>
          </w:p>
        </w:tc>
        <w:tc>
          <w:tcPr>
            <w:tcW w:w="7470" w:type="dxa"/>
            <w:gridSpan w:val="2"/>
            <w:noWrap w:val="0"/>
            <w:vAlign w:val="center"/>
          </w:tcPr>
          <w:p>
            <w:pPr>
              <w:jc w:val="center"/>
              <w:rPr>
                <w:rFonts w:hint="eastAsia"/>
                <w:color w:val="000000"/>
                <w:sz w:val="22"/>
                <w:szCs w:val="22"/>
              </w:rPr>
            </w:pPr>
            <w:r>
              <w:rPr>
                <w:rFonts w:hint="eastAsia"/>
                <w:color w:val="000000"/>
                <w:sz w:val="22"/>
                <w:szCs w:val="22"/>
              </w:rPr>
              <w:t>评分项目</w:t>
            </w:r>
          </w:p>
        </w:tc>
        <w:tc>
          <w:tcPr>
            <w:tcW w:w="1340" w:type="dxa"/>
            <w:noWrap w:val="0"/>
            <w:vAlign w:val="center"/>
          </w:tcPr>
          <w:p>
            <w:pPr>
              <w:jc w:val="center"/>
              <w:rPr>
                <w:rFonts w:hint="eastAsia"/>
                <w:color w:val="000000"/>
                <w:sz w:val="22"/>
                <w:szCs w:val="22"/>
              </w:rPr>
            </w:pPr>
            <w:r>
              <w:rPr>
                <w:rFonts w:hint="eastAsia"/>
                <w:color w:val="000000"/>
                <w:sz w:val="22"/>
                <w:szCs w:val="22"/>
              </w:rPr>
              <w:t>投标文件索引（页码）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1</w:t>
            </w:r>
          </w:p>
        </w:tc>
        <w:tc>
          <w:tcPr>
            <w:tcW w:w="3510" w:type="dxa"/>
            <w:noWrap w:val="0"/>
            <w:vAlign w:val="center"/>
          </w:tcPr>
          <w:p>
            <w:pPr>
              <w:spacing w:line="300" w:lineRule="exact"/>
              <w:ind w:left="-51"/>
              <w:jc w:val="center"/>
              <w:rPr>
                <w:rFonts w:hint="eastAsia"/>
                <w:color w:val="000000"/>
                <w:sz w:val="22"/>
                <w:szCs w:val="22"/>
              </w:rPr>
            </w:pPr>
          </w:p>
        </w:tc>
        <w:tc>
          <w:tcPr>
            <w:tcW w:w="3960" w:type="dxa"/>
            <w:noWrap w:val="0"/>
            <w:vAlign w:val="center"/>
          </w:tcPr>
          <w:p>
            <w:pPr>
              <w:spacing w:line="300" w:lineRule="exact"/>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2</w:t>
            </w:r>
          </w:p>
        </w:tc>
        <w:tc>
          <w:tcPr>
            <w:tcW w:w="3510" w:type="dxa"/>
            <w:noWrap w:val="0"/>
            <w:vAlign w:val="center"/>
          </w:tcPr>
          <w:p>
            <w:pPr>
              <w:ind w:left="-51"/>
              <w:jc w:val="center"/>
              <w:rPr>
                <w:rFonts w:hint="eastAsia"/>
                <w:color w:val="000000"/>
                <w:sz w:val="22"/>
                <w:szCs w:val="22"/>
              </w:rPr>
            </w:pPr>
          </w:p>
        </w:tc>
        <w:tc>
          <w:tcPr>
            <w:tcW w:w="3960" w:type="dxa"/>
            <w:noWrap w:val="0"/>
            <w:vAlign w:val="center"/>
          </w:tcPr>
          <w:p>
            <w:pPr>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3</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4</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5</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r>
              <w:rPr>
                <w:rFonts w:hint="eastAsia"/>
                <w:color w:val="000000"/>
                <w:sz w:val="22"/>
                <w:szCs w:val="22"/>
              </w:rPr>
              <w:t>6</w:t>
            </w:r>
          </w:p>
        </w:tc>
        <w:tc>
          <w:tcPr>
            <w:tcW w:w="3510" w:type="dxa"/>
            <w:noWrap w:val="0"/>
            <w:vAlign w:val="center"/>
          </w:tcPr>
          <w:p>
            <w:pPr>
              <w:spacing w:line="300" w:lineRule="exact"/>
              <w:ind w:left="-50"/>
              <w:jc w:val="center"/>
              <w:rPr>
                <w:rFonts w:hint="eastAsia"/>
                <w:color w:val="000000"/>
                <w:sz w:val="22"/>
                <w:szCs w:val="22"/>
              </w:rPr>
            </w:pPr>
          </w:p>
        </w:tc>
        <w:tc>
          <w:tcPr>
            <w:tcW w:w="3960" w:type="dxa"/>
            <w:noWrap w:val="0"/>
            <w:vAlign w:val="center"/>
          </w:tcPr>
          <w:p>
            <w:pPr>
              <w:spacing w:line="440" w:lineRule="exact"/>
              <w:ind w:left="-50"/>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1095" w:type="dxa"/>
            <w:noWrap w:val="0"/>
            <w:vAlign w:val="center"/>
          </w:tcPr>
          <w:p>
            <w:pPr>
              <w:jc w:val="center"/>
              <w:rPr>
                <w:rFonts w:hint="eastAsia"/>
                <w:color w:val="000000"/>
                <w:sz w:val="22"/>
                <w:szCs w:val="22"/>
              </w:rPr>
            </w:pPr>
            <w:r>
              <w:rPr>
                <w:rFonts w:hint="eastAsia"/>
                <w:color w:val="000000"/>
                <w:sz w:val="22"/>
                <w:szCs w:val="22"/>
              </w:rPr>
              <w:t>7</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spacing w:line="300" w:lineRule="exact"/>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1095" w:type="dxa"/>
            <w:noWrap w:val="0"/>
            <w:vAlign w:val="center"/>
          </w:tcPr>
          <w:p>
            <w:pPr>
              <w:jc w:val="center"/>
              <w:rPr>
                <w:rFonts w:hint="eastAsia"/>
                <w:color w:val="000000"/>
                <w:sz w:val="22"/>
                <w:szCs w:val="22"/>
              </w:rPr>
            </w:pPr>
            <w:r>
              <w:rPr>
                <w:rFonts w:hint="eastAsia"/>
                <w:color w:val="000000"/>
                <w:sz w:val="22"/>
                <w:szCs w:val="22"/>
              </w:rPr>
              <w:t>8</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spacing w:line="300" w:lineRule="exact"/>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1095" w:type="dxa"/>
            <w:noWrap w:val="0"/>
            <w:vAlign w:val="center"/>
          </w:tcPr>
          <w:p>
            <w:pPr>
              <w:jc w:val="center"/>
              <w:rPr>
                <w:rFonts w:hint="eastAsia"/>
                <w:color w:val="000000"/>
                <w:sz w:val="22"/>
                <w:szCs w:val="22"/>
              </w:rPr>
            </w:pPr>
            <w:r>
              <w:rPr>
                <w:rFonts w:hint="eastAsia"/>
                <w:color w:val="000000"/>
                <w:sz w:val="22"/>
                <w:szCs w:val="22"/>
              </w:rPr>
              <w:t>9</w:t>
            </w: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spacing w:line="300" w:lineRule="exact"/>
              <w:ind w:left="-51"/>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trPr>
        <w:tc>
          <w:tcPr>
            <w:tcW w:w="1095" w:type="dxa"/>
            <w:noWrap w:val="0"/>
            <w:vAlign w:val="center"/>
          </w:tcPr>
          <w:p>
            <w:pPr>
              <w:jc w:val="center"/>
              <w:rPr>
                <w:rFonts w:hint="eastAsia"/>
                <w:color w:val="000000"/>
                <w:sz w:val="22"/>
                <w:szCs w:val="22"/>
              </w:rPr>
            </w:pPr>
            <w:r>
              <w:rPr>
                <w:rFonts w:hint="eastAsia"/>
                <w:color w:val="000000"/>
                <w:sz w:val="22"/>
                <w:szCs w:val="22"/>
              </w:rPr>
              <w:t>10</w:t>
            </w:r>
          </w:p>
        </w:tc>
        <w:tc>
          <w:tcPr>
            <w:tcW w:w="3510" w:type="dxa"/>
            <w:noWrap w:val="0"/>
            <w:vAlign w:val="center"/>
          </w:tcPr>
          <w:p>
            <w:pPr>
              <w:spacing w:line="300" w:lineRule="exact"/>
              <w:ind w:left="-50"/>
              <w:jc w:val="center"/>
              <w:rPr>
                <w:rFonts w:hint="eastAsia"/>
                <w:color w:val="000000"/>
                <w:sz w:val="22"/>
                <w:szCs w:val="22"/>
              </w:rPr>
            </w:pPr>
          </w:p>
        </w:tc>
        <w:tc>
          <w:tcPr>
            <w:tcW w:w="3960" w:type="dxa"/>
            <w:noWrap w:val="0"/>
            <w:vAlign w:val="center"/>
          </w:tcPr>
          <w:p>
            <w:pPr>
              <w:adjustRightInd w:val="0"/>
              <w:snapToGrid w:val="0"/>
              <w:spacing w:line="300" w:lineRule="atLeast"/>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p>
        </w:tc>
        <w:tc>
          <w:tcPr>
            <w:tcW w:w="3510" w:type="dxa"/>
            <w:noWrap w:val="0"/>
            <w:vAlign w:val="center"/>
          </w:tcPr>
          <w:p>
            <w:pPr>
              <w:spacing w:line="300" w:lineRule="exact"/>
              <w:ind w:left="-51"/>
              <w:jc w:val="center"/>
              <w:rPr>
                <w:rFonts w:hint="eastAsia"/>
                <w:color w:val="000000"/>
                <w:sz w:val="22"/>
                <w:szCs w:val="22"/>
              </w:rPr>
            </w:pPr>
          </w:p>
        </w:tc>
        <w:tc>
          <w:tcPr>
            <w:tcW w:w="3960" w:type="dxa"/>
            <w:noWrap w:val="0"/>
            <w:vAlign w:val="center"/>
          </w:tcPr>
          <w:p>
            <w:pPr>
              <w:spacing w:line="300" w:lineRule="exact"/>
              <w:ind w:left="-50"/>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1095" w:type="dxa"/>
            <w:noWrap w:val="0"/>
            <w:vAlign w:val="center"/>
          </w:tcPr>
          <w:p>
            <w:pPr>
              <w:jc w:val="center"/>
              <w:rPr>
                <w:rFonts w:hint="eastAsia"/>
                <w:color w:val="000000"/>
                <w:sz w:val="22"/>
                <w:szCs w:val="22"/>
              </w:rPr>
            </w:pPr>
          </w:p>
        </w:tc>
        <w:tc>
          <w:tcPr>
            <w:tcW w:w="3510" w:type="dxa"/>
            <w:noWrap w:val="0"/>
            <w:vAlign w:val="center"/>
          </w:tcPr>
          <w:p>
            <w:pPr>
              <w:spacing w:line="440" w:lineRule="exact"/>
              <w:ind w:left="-50"/>
              <w:jc w:val="center"/>
              <w:rPr>
                <w:rFonts w:hint="eastAsia"/>
                <w:color w:val="000000"/>
                <w:sz w:val="22"/>
                <w:szCs w:val="22"/>
              </w:rPr>
            </w:pPr>
          </w:p>
        </w:tc>
        <w:tc>
          <w:tcPr>
            <w:tcW w:w="3960" w:type="dxa"/>
            <w:noWrap w:val="0"/>
            <w:vAlign w:val="center"/>
          </w:tcPr>
          <w:p>
            <w:pPr>
              <w:spacing w:line="440" w:lineRule="exact"/>
              <w:ind w:left="-50"/>
              <w:rPr>
                <w:rFonts w:hint="eastAsia"/>
                <w:color w:val="000000"/>
                <w:sz w:val="22"/>
                <w:szCs w:val="22"/>
              </w:rPr>
            </w:pPr>
          </w:p>
        </w:tc>
        <w:tc>
          <w:tcPr>
            <w:tcW w:w="1340" w:type="dxa"/>
            <w:noWrap w:val="0"/>
            <w:vAlign w:val="center"/>
          </w:tcPr>
          <w:p>
            <w:pPr>
              <w:pStyle w:val="32"/>
              <w:widowControl w:val="0"/>
              <w:jc w:val="both"/>
              <w:rPr>
                <w:rFonts w:hint="eastAsia" w:hAnsi="宋体" w:cs="宋体"/>
                <w:color w:val="000000"/>
                <w:kern w:val="2"/>
                <w:sz w:val="22"/>
                <w:szCs w:val="22"/>
                <w:lang w:val="en-US" w:eastAsia="zh-CN"/>
              </w:rPr>
            </w:pPr>
          </w:p>
        </w:tc>
      </w:tr>
    </w:tbl>
    <w:p>
      <w:pPr>
        <w:pStyle w:val="32"/>
        <w:adjustRightInd w:val="0"/>
        <w:snapToGrid w:val="0"/>
        <w:spacing w:line="400" w:lineRule="exact"/>
        <w:rPr>
          <w:rFonts w:hint="eastAsia" w:hAnsi="宋体" w:eastAsia="新宋体"/>
          <w:color w:val="000000"/>
          <w:sz w:val="24"/>
        </w:rPr>
        <w:sectPr>
          <w:footerReference r:id="rId9" w:type="first"/>
          <w:headerReference r:id="rId7" w:type="default"/>
          <w:footerReference r:id="rId8" w:type="default"/>
          <w:pgSz w:w="11906" w:h="16838"/>
          <w:pgMar w:top="1440" w:right="1361" w:bottom="1440" w:left="1361" w:header="680" w:footer="567" w:gutter="0"/>
          <w:cols w:space="720" w:num="1"/>
          <w:titlePg/>
          <w:docGrid w:linePitch="312" w:charSpace="0"/>
        </w:sectPr>
      </w:pPr>
    </w:p>
    <w:p>
      <w:pPr>
        <w:autoSpaceDE w:val="0"/>
        <w:autoSpaceDN w:val="0"/>
        <w:adjustRightInd w:val="0"/>
        <w:snapToGrid w:val="0"/>
        <w:spacing w:line="400" w:lineRule="exact"/>
        <w:jc w:val="center"/>
        <w:textAlignment w:val="bottom"/>
        <w:rPr>
          <w:rFonts w:hint="eastAsia"/>
          <w:color w:val="000000"/>
          <w:sz w:val="36"/>
        </w:rPr>
      </w:pPr>
      <w:r>
        <w:rPr>
          <w:rFonts w:hint="eastAsia"/>
          <w:color w:val="000000"/>
          <w:sz w:val="36"/>
        </w:rPr>
        <w:t>第六部分   评标办法</w:t>
      </w:r>
    </w:p>
    <w:p>
      <w:pPr>
        <w:pStyle w:val="36"/>
        <w:adjustRightInd w:val="0"/>
        <w:snapToGrid w:val="0"/>
        <w:spacing w:line="400" w:lineRule="exact"/>
        <w:rPr>
          <w:rFonts w:hint="eastAsia"/>
          <w:color w:val="000000"/>
          <w:sz w:val="22"/>
          <w:szCs w:val="22"/>
        </w:rPr>
      </w:pPr>
      <w:r>
        <w:rPr>
          <w:rFonts w:hint="eastAsia"/>
          <w:color w:val="000000"/>
          <w:sz w:val="22"/>
          <w:szCs w:val="22"/>
        </w:rPr>
        <w:t>根据《中华人民共和国政府采购法》等有关政府采购法规，结合本次采购的实际，按照公平、公正、科学、择优的原则选择中标供应商，特制定本评标办法。</w:t>
      </w:r>
    </w:p>
    <w:p>
      <w:pPr>
        <w:pStyle w:val="36"/>
        <w:adjustRightInd w:val="0"/>
        <w:snapToGrid w:val="0"/>
        <w:spacing w:line="400" w:lineRule="exact"/>
        <w:rPr>
          <w:rFonts w:hint="eastAsia"/>
          <w:color w:val="000000"/>
          <w:sz w:val="22"/>
          <w:szCs w:val="22"/>
        </w:rPr>
      </w:pPr>
      <w:r>
        <w:rPr>
          <w:rFonts w:hint="eastAsia"/>
          <w:color w:val="000000"/>
          <w:sz w:val="22"/>
          <w:szCs w:val="22"/>
        </w:rPr>
        <w:t>一、总则</w:t>
      </w:r>
    </w:p>
    <w:p>
      <w:pPr>
        <w:pStyle w:val="36"/>
        <w:adjustRightInd w:val="0"/>
        <w:snapToGrid w:val="0"/>
        <w:spacing w:line="400" w:lineRule="exact"/>
        <w:rPr>
          <w:rFonts w:hint="eastAsia"/>
          <w:color w:val="000000"/>
          <w:sz w:val="22"/>
          <w:szCs w:val="22"/>
        </w:rPr>
      </w:pPr>
      <w:r>
        <w:rPr>
          <w:rFonts w:hint="eastAsia"/>
          <w:color w:val="000000"/>
          <w:sz w:val="22"/>
          <w:szCs w:val="22"/>
        </w:rPr>
        <w:t>评标工作遵循公平、公正、民主、科学的原则和诚实、信誉、效率的服务原则，本着科学、严谨的态度，认真进行评标，择优选定供应商，确保服务质量，节约投资，最大限度地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adjustRightInd w:val="0"/>
        <w:snapToGrid w:val="0"/>
        <w:spacing w:line="420" w:lineRule="atLeast"/>
        <w:jc w:val="center"/>
        <w:outlineLvl w:val="0"/>
        <w:rPr>
          <w:rFonts w:hint="eastAsia"/>
          <w:bCs/>
          <w:color w:val="000000"/>
          <w:sz w:val="22"/>
          <w:szCs w:val="22"/>
        </w:rPr>
      </w:pPr>
      <w:r>
        <w:rPr>
          <w:rFonts w:hint="eastAsia"/>
          <w:bCs/>
          <w:color w:val="000000"/>
          <w:sz w:val="22"/>
          <w:szCs w:val="22"/>
        </w:rPr>
        <w:t>二．评标组织</w:t>
      </w:r>
    </w:p>
    <w:p>
      <w:pPr>
        <w:pStyle w:val="36"/>
        <w:adjustRightInd w:val="0"/>
        <w:snapToGrid w:val="0"/>
        <w:spacing w:line="420" w:lineRule="atLeast"/>
        <w:rPr>
          <w:rFonts w:hint="eastAsia"/>
          <w:color w:val="000000"/>
          <w:sz w:val="22"/>
          <w:szCs w:val="22"/>
        </w:rPr>
      </w:pPr>
      <w:r>
        <w:rPr>
          <w:rFonts w:hint="eastAsia"/>
          <w:color w:val="000000"/>
          <w:sz w:val="22"/>
          <w:szCs w:val="22"/>
        </w:rPr>
        <w:t>评标工作由采购机构依法组建的评标委员会负责，评标委员会由采购人</w:t>
      </w:r>
      <w:r>
        <w:rPr>
          <w:color w:val="000000"/>
          <w:sz w:val="22"/>
          <w:szCs w:val="22"/>
        </w:rPr>
        <w:t>依法组建，成员人数应当为5人及以上单数，其中评审专家不得少于成员总数的三分之二</w:t>
      </w:r>
      <w:r>
        <w:rPr>
          <w:rFonts w:hint="eastAsia"/>
          <w:color w:val="000000"/>
          <w:sz w:val="22"/>
          <w:szCs w:val="22"/>
        </w:rPr>
        <w:t>；评审专家确定方式：按相关规定从专家库中抽取。评标全过程由招标管理部门监督整个开标、评标和定标过程。</w:t>
      </w:r>
    </w:p>
    <w:p>
      <w:pPr>
        <w:pStyle w:val="402"/>
        <w:widowControl w:val="0"/>
        <w:pBdr>
          <w:left w:val="none" w:color="auto" w:sz="0" w:space="0"/>
          <w:bottom w:val="none" w:color="auto" w:sz="0" w:space="0"/>
          <w:right w:val="none" w:color="auto" w:sz="0" w:space="0"/>
        </w:pBdr>
        <w:adjustRightInd w:val="0"/>
        <w:snapToGrid w:val="0"/>
        <w:spacing w:before="0" w:beforeAutospacing="0" w:after="0" w:afterAutospacing="0" w:line="420" w:lineRule="atLeast"/>
        <w:textAlignment w:val="auto"/>
        <w:outlineLvl w:val="0"/>
        <w:rPr>
          <w:rFonts w:hint="eastAsia" w:ascii="宋体" w:hAnsi="宋体"/>
          <w:b w:val="0"/>
          <w:color w:val="000000"/>
          <w:kern w:val="2"/>
          <w:sz w:val="22"/>
          <w:szCs w:val="22"/>
        </w:rPr>
      </w:pPr>
      <w:r>
        <w:rPr>
          <w:rFonts w:hint="eastAsia" w:ascii="宋体" w:hAnsi="宋体"/>
          <w:b w:val="0"/>
          <w:color w:val="000000"/>
          <w:kern w:val="2"/>
          <w:sz w:val="22"/>
          <w:szCs w:val="22"/>
        </w:rPr>
        <w:t>三、评标程序</w:t>
      </w:r>
    </w:p>
    <w:p>
      <w:pPr>
        <w:pStyle w:val="14"/>
        <w:adjustRightInd w:val="0"/>
        <w:snapToGrid w:val="0"/>
        <w:spacing w:line="420" w:lineRule="atLeast"/>
        <w:ind w:firstLine="440"/>
        <w:rPr>
          <w:rFonts w:hint="eastAsia" w:ascii="宋体" w:hAnsi="宋体"/>
          <w:color w:val="000000"/>
          <w:sz w:val="22"/>
          <w:szCs w:val="22"/>
        </w:rPr>
      </w:pPr>
      <w:r>
        <w:rPr>
          <w:rFonts w:hint="eastAsia" w:ascii="宋体" w:hAnsi="宋体"/>
          <w:color w:val="000000"/>
          <w:sz w:val="22"/>
          <w:szCs w:val="22"/>
        </w:rPr>
        <w:t>本次开标，资格审核资料及证书原件部分、技术资信标和商务标分别开启</w:t>
      </w:r>
      <w:r>
        <w:rPr>
          <w:rFonts w:hint="eastAsia" w:ascii="宋体" w:hAnsi="宋体"/>
          <w:b/>
          <w:color w:val="000000"/>
          <w:sz w:val="22"/>
          <w:szCs w:val="22"/>
        </w:rPr>
        <w:t>。</w:t>
      </w:r>
      <w:r>
        <w:rPr>
          <w:rFonts w:hint="eastAsia" w:ascii="宋体" w:hAnsi="宋体"/>
          <w:color w:val="000000"/>
          <w:sz w:val="22"/>
          <w:szCs w:val="22"/>
        </w:rPr>
        <w:t>开标程序如下：</w:t>
      </w:r>
    </w:p>
    <w:p>
      <w:pPr>
        <w:adjustRightInd w:val="0"/>
        <w:snapToGrid w:val="0"/>
        <w:spacing w:line="420" w:lineRule="atLeast"/>
        <w:ind w:firstLine="440" w:firstLineChars="200"/>
        <w:rPr>
          <w:rFonts w:hint="eastAsia"/>
          <w:color w:val="000000"/>
          <w:sz w:val="22"/>
          <w:szCs w:val="22"/>
        </w:rPr>
      </w:pPr>
      <w:r>
        <w:rPr>
          <w:rFonts w:hint="eastAsia"/>
          <w:color w:val="000000"/>
          <w:sz w:val="22"/>
          <w:szCs w:val="22"/>
        </w:rPr>
        <w:t>第一步：</w:t>
      </w:r>
      <w:r>
        <w:rPr>
          <w:rFonts w:hint="eastAsia"/>
          <w:color w:val="000000"/>
          <w:sz w:val="22"/>
          <w:szCs w:val="22"/>
          <w:u w:val="single"/>
        </w:rPr>
        <w:t>首先开启资格审核资料及证书原件部分及技术资信部分投标文件</w:t>
      </w:r>
      <w:r>
        <w:rPr>
          <w:rFonts w:hint="eastAsia"/>
          <w:color w:val="000000"/>
          <w:sz w:val="22"/>
          <w:szCs w:val="22"/>
        </w:rPr>
        <w:t>，评标委员会根据投标资格要求对各投标供应商投标资格进行审核（采购人授权评标委员会进行资格审核、相关符合性审核），资格审核未通过的供应商做无效标处理，不进入技术资信及商务标评审，并退还资格审核部分及商务报价部分投标文件。评标委员会根据评审原则和评审办法，对资格审核通过的各供应商的资信、技术部分投标进行评审并打分，技术资信标不合格的供应商做无效标处理，不进入商务标评审，并退还商务报价部分投标文件。</w:t>
      </w:r>
    </w:p>
    <w:p>
      <w:pPr>
        <w:adjustRightInd w:val="0"/>
        <w:snapToGrid w:val="0"/>
        <w:spacing w:line="420" w:lineRule="atLeast"/>
        <w:ind w:firstLine="440" w:firstLineChars="200"/>
        <w:rPr>
          <w:rFonts w:hint="eastAsia"/>
          <w:color w:val="000000"/>
          <w:sz w:val="22"/>
          <w:szCs w:val="22"/>
        </w:rPr>
      </w:pPr>
      <w:r>
        <w:rPr>
          <w:rFonts w:hint="eastAsia"/>
          <w:color w:val="000000"/>
          <w:sz w:val="22"/>
          <w:szCs w:val="22"/>
        </w:rPr>
        <w:t>第二步：</w:t>
      </w:r>
      <w:r>
        <w:rPr>
          <w:rFonts w:hint="eastAsia"/>
          <w:color w:val="000000"/>
          <w:sz w:val="22"/>
          <w:szCs w:val="22"/>
          <w:u w:val="single"/>
        </w:rPr>
        <w:t>公布资格审核情况及技术资信标得分</w:t>
      </w:r>
      <w:r>
        <w:rPr>
          <w:rFonts w:hint="eastAsia"/>
          <w:color w:val="000000"/>
          <w:sz w:val="22"/>
          <w:szCs w:val="22"/>
        </w:rPr>
        <w:t>，开启合格供应商的商务报价标。</w:t>
      </w:r>
    </w:p>
    <w:p>
      <w:pPr>
        <w:pStyle w:val="47"/>
        <w:snapToGrid w:val="0"/>
        <w:spacing w:line="420" w:lineRule="atLeast"/>
        <w:ind w:firstLine="440"/>
        <w:rPr>
          <w:rFonts w:hint="eastAsia" w:ascii="宋体" w:hAnsi="宋体" w:eastAsia="宋体"/>
          <w:sz w:val="22"/>
          <w:szCs w:val="22"/>
        </w:rPr>
      </w:pPr>
      <w:r>
        <w:rPr>
          <w:rFonts w:hint="eastAsia" w:ascii="宋体" w:hAnsi="宋体" w:eastAsia="宋体"/>
          <w:sz w:val="22"/>
          <w:szCs w:val="22"/>
        </w:rPr>
        <w:t>第三步：</w:t>
      </w:r>
      <w:r>
        <w:rPr>
          <w:rFonts w:hint="eastAsia" w:ascii="宋体" w:hAnsi="宋体" w:eastAsia="宋体"/>
          <w:bCs/>
          <w:sz w:val="22"/>
          <w:szCs w:val="22"/>
        </w:rPr>
        <w:t>评标委员会</w:t>
      </w:r>
      <w:r>
        <w:rPr>
          <w:rFonts w:hint="eastAsia" w:ascii="宋体" w:hAnsi="宋体" w:eastAsia="宋体"/>
          <w:sz w:val="22"/>
          <w:szCs w:val="22"/>
        </w:rPr>
        <w:t>以技术资信标和商务报价标合计分值由高到低的顺序</w:t>
      </w:r>
      <w:r>
        <w:rPr>
          <w:rFonts w:hint="eastAsia" w:ascii="宋体" w:hAnsi="宋体" w:eastAsia="宋体"/>
          <w:bCs/>
          <w:sz w:val="22"/>
          <w:szCs w:val="22"/>
        </w:rPr>
        <w:t>推荐</w:t>
      </w:r>
      <w:r>
        <w:rPr>
          <w:rFonts w:hint="eastAsia" w:ascii="宋体" w:hAnsi="宋体" w:eastAsia="宋体"/>
          <w:sz w:val="22"/>
          <w:szCs w:val="22"/>
        </w:rPr>
        <w:t>供应商名单，并提交书面评审报告。</w:t>
      </w:r>
    </w:p>
    <w:p>
      <w:pPr>
        <w:pStyle w:val="47"/>
        <w:snapToGrid w:val="0"/>
        <w:spacing w:line="420" w:lineRule="atLeast"/>
        <w:ind w:firstLine="440"/>
        <w:rPr>
          <w:rFonts w:hint="eastAsia" w:ascii="宋体" w:hAnsi="宋体" w:eastAsia="宋体"/>
          <w:sz w:val="22"/>
          <w:szCs w:val="22"/>
        </w:rPr>
      </w:pPr>
      <w:r>
        <w:rPr>
          <w:rFonts w:hint="eastAsia" w:ascii="宋体" w:hAnsi="宋体" w:eastAsia="宋体"/>
          <w:sz w:val="22"/>
          <w:szCs w:val="22"/>
        </w:rPr>
        <w:t>第四步：采购人授权由评标委员会根据评审报告直接确定综合得分第一名的供应商为中标供应商。如果第一名得分相同，以报价低的优先；报价也相同，以抽签决定。</w:t>
      </w:r>
    </w:p>
    <w:p>
      <w:pPr>
        <w:adjustRightInd w:val="0"/>
        <w:snapToGrid w:val="0"/>
        <w:spacing w:line="420" w:lineRule="atLeast"/>
        <w:ind w:firstLine="420"/>
        <w:rPr>
          <w:rFonts w:hint="eastAsia"/>
          <w:color w:val="000000"/>
        </w:rPr>
      </w:pPr>
      <w:r>
        <w:rPr>
          <w:rFonts w:hint="eastAsia"/>
          <w:color w:val="000000"/>
          <w:sz w:val="22"/>
          <w:szCs w:val="22"/>
        </w:rPr>
        <w:t>中标供应商放弃中标，或者因不可抗力提出不能履行合同，或者招标文件规定应当提交履约保证金而在规定的期限内未能提交的，采购机构可以取消其中标资格。本次采购失败，依法重新组织采购。</w:t>
      </w:r>
    </w:p>
    <w:p>
      <w:pPr>
        <w:adjustRightInd w:val="0"/>
        <w:snapToGrid w:val="0"/>
        <w:spacing w:before="100" w:after="50"/>
        <w:ind w:firstLine="420"/>
        <w:rPr>
          <w:rFonts w:hint="eastAsia"/>
          <w:color w:val="000000"/>
          <w:sz w:val="22"/>
          <w:szCs w:val="22"/>
        </w:rPr>
      </w:pPr>
      <w:r>
        <w:rPr>
          <w:rFonts w:hint="eastAsia"/>
          <w:b/>
          <w:color w:val="000000"/>
          <w:sz w:val="22"/>
          <w:szCs w:val="22"/>
        </w:rPr>
        <w:t>其它参见本采购文件第三部分：“供应商须知” 中的相关内容。</w:t>
      </w:r>
    </w:p>
    <w:p>
      <w:pPr>
        <w:adjustRightInd w:val="0"/>
        <w:snapToGrid w:val="0"/>
        <w:spacing w:before="100" w:after="50"/>
        <w:ind w:firstLine="420"/>
        <w:rPr>
          <w:rFonts w:hint="eastAsia"/>
          <w:color w:val="000000"/>
          <w:sz w:val="22"/>
          <w:szCs w:val="22"/>
        </w:rPr>
      </w:pPr>
    </w:p>
    <w:p>
      <w:pPr>
        <w:adjustRightInd w:val="0"/>
        <w:snapToGrid w:val="0"/>
        <w:spacing w:line="420" w:lineRule="atLeast"/>
        <w:ind w:firstLine="420"/>
        <w:rPr>
          <w:rFonts w:hint="eastAsia"/>
          <w:color w:val="000000"/>
        </w:rPr>
      </w:pPr>
    </w:p>
    <w:p>
      <w:pPr>
        <w:pStyle w:val="32"/>
        <w:adjustRightInd w:val="0"/>
        <w:snapToGrid w:val="0"/>
        <w:jc w:val="center"/>
        <w:rPr>
          <w:rFonts w:hint="eastAsia" w:hAnsi="宋体"/>
          <w:b/>
          <w:color w:val="000000"/>
          <w:sz w:val="36"/>
          <w:szCs w:val="36"/>
        </w:rPr>
      </w:pPr>
      <w:r>
        <w:rPr>
          <w:rFonts w:hint="eastAsia" w:hAnsi="宋体"/>
          <w:b/>
          <w:color w:val="000000"/>
          <w:sz w:val="36"/>
          <w:szCs w:val="36"/>
        </w:rPr>
        <w:t>评标细则</w:t>
      </w:r>
    </w:p>
    <w:p>
      <w:pPr>
        <w:pStyle w:val="32"/>
        <w:tabs>
          <w:tab w:val="left" w:pos="5325"/>
        </w:tabs>
        <w:adjustRightInd w:val="0"/>
        <w:snapToGrid w:val="0"/>
        <w:spacing w:before="120" w:after="120" w:line="400" w:lineRule="atLeast"/>
        <w:rPr>
          <w:rFonts w:hint="eastAsia" w:hAnsi="宋体"/>
          <w:b/>
          <w:bCs/>
          <w:color w:val="000000"/>
          <w:sz w:val="22"/>
          <w:szCs w:val="22"/>
        </w:rPr>
      </w:pPr>
      <w:r>
        <w:rPr>
          <w:rFonts w:hint="eastAsia" w:hAnsi="宋体"/>
          <w:b/>
          <w:bCs/>
          <w:color w:val="000000"/>
          <w:sz w:val="22"/>
          <w:szCs w:val="22"/>
        </w:rPr>
        <w:t>一、</w:t>
      </w:r>
      <w:r>
        <w:rPr>
          <w:rFonts w:hint="eastAsia" w:hAnsi="宋体"/>
          <w:b/>
          <w:bCs/>
          <w:color w:val="000000"/>
          <w:sz w:val="22"/>
          <w:szCs w:val="22"/>
          <w:u w:val="single"/>
        </w:rPr>
        <w:t>商务报价评分</w:t>
      </w:r>
      <w:r>
        <w:rPr>
          <w:rFonts w:hint="eastAsia" w:hAnsi="宋体"/>
          <w:b/>
          <w:bCs/>
          <w:color w:val="000000"/>
          <w:sz w:val="22"/>
          <w:szCs w:val="22"/>
        </w:rPr>
        <w:t xml:space="preserve">30分  </w:t>
      </w:r>
      <w:r>
        <w:rPr>
          <w:rFonts w:hAnsi="宋体"/>
          <w:b/>
          <w:bCs/>
          <w:color w:val="000000"/>
          <w:sz w:val="22"/>
          <w:szCs w:val="22"/>
        </w:rPr>
        <w:tab/>
      </w:r>
    </w:p>
    <w:p>
      <w:pPr>
        <w:pStyle w:val="25"/>
        <w:spacing w:line="400" w:lineRule="atLeast"/>
        <w:ind w:left="480" w:firstLine="380" w:firstLineChars="173"/>
        <w:rPr>
          <w:rFonts w:hint="eastAsia" w:ascii="宋体" w:hAnsi="宋体"/>
          <w:color w:val="000000"/>
          <w:sz w:val="22"/>
          <w:szCs w:val="22"/>
        </w:rPr>
      </w:pPr>
      <w:r>
        <w:rPr>
          <w:rFonts w:hint="eastAsia" w:ascii="宋体" w:hAnsi="宋体"/>
          <w:color w:val="000000"/>
          <w:sz w:val="22"/>
          <w:szCs w:val="22"/>
        </w:rPr>
        <w:t>1、以投标供应商的有效投标价中的最低价为评标基准价，得满分</w:t>
      </w:r>
      <w:r>
        <w:rPr>
          <w:rFonts w:hint="eastAsia" w:ascii="宋体" w:hAnsi="宋体"/>
          <w:color w:val="000000"/>
          <w:sz w:val="22"/>
          <w:szCs w:val="22"/>
          <w:lang w:eastAsia="zh-CN"/>
        </w:rPr>
        <w:t>3</w:t>
      </w:r>
      <w:r>
        <w:rPr>
          <w:rFonts w:hint="eastAsia" w:ascii="宋体" w:hAnsi="宋体"/>
          <w:color w:val="000000"/>
          <w:sz w:val="22"/>
          <w:szCs w:val="22"/>
        </w:rPr>
        <w:t>0分。</w:t>
      </w:r>
      <w:r>
        <w:rPr>
          <w:rFonts w:hint="eastAsia" w:ascii="宋体" w:hAnsi="宋体"/>
          <w:bCs/>
          <w:color w:val="000000"/>
          <w:sz w:val="22"/>
          <w:szCs w:val="22"/>
        </w:rPr>
        <w:t>商务报价评分</w:t>
      </w:r>
      <w:r>
        <w:rPr>
          <w:rFonts w:hint="eastAsia" w:ascii="宋体" w:hAnsi="宋体"/>
          <w:color w:val="000000"/>
          <w:sz w:val="22"/>
          <w:szCs w:val="22"/>
        </w:rPr>
        <w:t>结算公式为:商务报价得分=(评标基准价／投标价)×</w:t>
      </w:r>
      <w:r>
        <w:rPr>
          <w:rFonts w:hint="eastAsia" w:ascii="宋体" w:hAnsi="宋体"/>
          <w:color w:val="000000"/>
          <w:sz w:val="22"/>
          <w:szCs w:val="22"/>
          <w:lang w:eastAsia="zh-CN"/>
        </w:rPr>
        <w:t>3</w:t>
      </w:r>
      <w:r>
        <w:rPr>
          <w:rFonts w:hint="eastAsia" w:ascii="宋体" w:hAnsi="宋体"/>
          <w:color w:val="000000"/>
          <w:sz w:val="22"/>
          <w:szCs w:val="22"/>
        </w:rPr>
        <w:t>0%×100；</w:t>
      </w:r>
    </w:p>
    <w:p>
      <w:pPr>
        <w:pStyle w:val="25"/>
        <w:spacing w:line="400" w:lineRule="atLeast"/>
        <w:ind w:left="480" w:firstLine="380" w:firstLineChars="173"/>
        <w:rPr>
          <w:rFonts w:hint="eastAsia" w:ascii="宋体" w:hAnsi="宋体"/>
          <w:color w:val="000000"/>
          <w:sz w:val="22"/>
          <w:szCs w:val="22"/>
        </w:rPr>
      </w:pPr>
      <w:r>
        <w:rPr>
          <w:rFonts w:hint="eastAsia" w:ascii="宋体" w:hAnsi="宋体"/>
          <w:color w:val="000000"/>
          <w:sz w:val="22"/>
          <w:szCs w:val="22"/>
        </w:rPr>
        <w:t>2、如果某些（个）供应商投标报价超出该采购预算，该供应商投标按无效投标处理。</w:t>
      </w:r>
    </w:p>
    <w:p>
      <w:pPr>
        <w:pStyle w:val="32"/>
        <w:adjustRightInd w:val="0"/>
        <w:snapToGrid w:val="0"/>
        <w:spacing w:line="460" w:lineRule="atLeast"/>
        <w:rPr>
          <w:rFonts w:hint="eastAsia" w:hAnsi="宋体"/>
          <w:sz w:val="22"/>
          <w:szCs w:val="22"/>
        </w:rPr>
      </w:pPr>
      <w:r>
        <w:rPr>
          <w:rFonts w:hint="eastAsia" w:hAnsi="宋体"/>
          <w:sz w:val="22"/>
          <w:szCs w:val="22"/>
        </w:rPr>
        <w:t>二、</w:t>
      </w:r>
      <w:r>
        <w:rPr>
          <w:rFonts w:hint="eastAsia" w:hAnsi="宋体"/>
          <w:sz w:val="22"/>
          <w:szCs w:val="22"/>
          <w:u w:val="single"/>
        </w:rPr>
        <w:t>技术、工期、服务、资信业绩综合评分</w:t>
      </w:r>
      <w:r>
        <w:rPr>
          <w:rFonts w:hint="eastAsia" w:hAnsi="宋体"/>
          <w:sz w:val="22"/>
          <w:szCs w:val="22"/>
        </w:rPr>
        <w:t xml:space="preserve">   70分</w:t>
      </w:r>
    </w:p>
    <w:tbl>
      <w:tblPr>
        <w:tblStyle w:val="55"/>
        <w:tblW w:w="0" w:type="auto"/>
        <w:tblInd w:w="-21" w:type="dxa"/>
        <w:tblLayout w:type="fixed"/>
        <w:tblCellMar>
          <w:top w:w="0" w:type="dxa"/>
          <w:left w:w="108" w:type="dxa"/>
          <w:bottom w:w="0" w:type="dxa"/>
          <w:right w:w="108" w:type="dxa"/>
        </w:tblCellMar>
      </w:tblPr>
      <w:tblGrid>
        <w:gridCol w:w="479"/>
        <w:gridCol w:w="734"/>
        <w:gridCol w:w="479"/>
        <w:gridCol w:w="7609"/>
      </w:tblGrid>
      <w:tr>
        <w:tblPrEx>
          <w:tblCellMar>
            <w:top w:w="0" w:type="dxa"/>
            <w:left w:w="108" w:type="dxa"/>
            <w:bottom w:w="0" w:type="dxa"/>
            <w:right w:w="108" w:type="dxa"/>
          </w:tblCellMar>
        </w:tblPrEx>
        <w:trPr>
          <w:wBefore w:w="0" w:type="dxa"/>
          <w:wAfter w:w="0" w:type="dxa"/>
          <w:trHeight w:val="300" w:hRule="atLeast"/>
        </w:trPr>
        <w:tc>
          <w:tcPr>
            <w:tcW w:w="479" w:type="dxa"/>
            <w:tcBorders>
              <w:top w:val="single" w:color="auto" w:sz="8" w:space="0"/>
              <w:left w:val="single" w:color="auto" w:sz="8" w:space="0"/>
              <w:bottom w:val="single" w:color="auto" w:sz="8" w:space="0"/>
              <w:right w:val="single" w:color="auto" w:sz="8" w:space="0"/>
            </w:tcBorders>
            <w:noWrap w:val="0"/>
            <w:vAlign w:val="center"/>
          </w:tcPr>
          <w:p>
            <w:pPr>
              <w:jc w:val="center"/>
              <w:rPr>
                <w:b/>
                <w:bCs/>
                <w:szCs w:val="21"/>
              </w:rPr>
            </w:pPr>
            <w:r>
              <w:rPr>
                <w:rFonts w:hint="eastAsia"/>
                <w:b/>
                <w:bCs/>
                <w:szCs w:val="21"/>
              </w:rPr>
              <w:t>序号</w:t>
            </w:r>
          </w:p>
        </w:tc>
        <w:tc>
          <w:tcPr>
            <w:tcW w:w="734" w:type="dxa"/>
            <w:tcBorders>
              <w:top w:val="single" w:color="auto" w:sz="8" w:space="0"/>
              <w:left w:val="nil"/>
              <w:bottom w:val="single" w:color="auto" w:sz="8" w:space="0"/>
              <w:right w:val="single" w:color="auto" w:sz="8" w:space="0"/>
            </w:tcBorders>
            <w:noWrap w:val="0"/>
            <w:vAlign w:val="center"/>
          </w:tcPr>
          <w:p>
            <w:pPr>
              <w:jc w:val="center"/>
              <w:rPr>
                <w:b/>
                <w:bCs/>
                <w:szCs w:val="21"/>
              </w:rPr>
            </w:pPr>
            <w:r>
              <w:rPr>
                <w:rFonts w:hint="eastAsia"/>
                <w:b/>
                <w:bCs/>
                <w:szCs w:val="21"/>
              </w:rPr>
              <w:t>项目名称</w:t>
            </w:r>
          </w:p>
        </w:tc>
        <w:tc>
          <w:tcPr>
            <w:tcW w:w="479" w:type="dxa"/>
            <w:tcBorders>
              <w:top w:val="single" w:color="auto" w:sz="8" w:space="0"/>
              <w:left w:val="nil"/>
              <w:bottom w:val="single" w:color="auto" w:sz="8" w:space="0"/>
              <w:right w:val="single" w:color="auto" w:sz="8" w:space="0"/>
            </w:tcBorders>
            <w:noWrap w:val="0"/>
            <w:vAlign w:val="center"/>
          </w:tcPr>
          <w:p>
            <w:pPr>
              <w:jc w:val="center"/>
              <w:rPr>
                <w:b/>
                <w:bCs/>
                <w:szCs w:val="21"/>
              </w:rPr>
            </w:pPr>
            <w:r>
              <w:rPr>
                <w:rFonts w:hint="eastAsia"/>
                <w:b/>
                <w:bCs/>
                <w:szCs w:val="21"/>
              </w:rPr>
              <w:t>分值</w:t>
            </w:r>
          </w:p>
        </w:tc>
        <w:tc>
          <w:tcPr>
            <w:tcW w:w="7609" w:type="dxa"/>
            <w:tcBorders>
              <w:top w:val="single" w:color="auto" w:sz="8" w:space="0"/>
              <w:left w:val="nil"/>
              <w:bottom w:val="single" w:color="auto" w:sz="8" w:space="0"/>
              <w:right w:val="single" w:color="auto" w:sz="8" w:space="0"/>
            </w:tcBorders>
            <w:noWrap w:val="0"/>
            <w:vAlign w:val="center"/>
          </w:tcPr>
          <w:p>
            <w:pPr>
              <w:jc w:val="center"/>
              <w:rPr>
                <w:b/>
                <w:bCs/>
                <w:szCs w:val="21"/>
              </w:rPr>
            </w:pPr>
            <w:r>
              <w:rPr>
                <w:rFonts w:hint="eastAsia"/>
                <w:b/>
                <w:bCs/>
                <w:szCs w:val="21"/>
              </w:rPr>
              <w:t>打分标准</w:t>
            </w:r>
          </w:p>
        </w:tc>
      </w:tr>
      <w:tr>
        <w:tblPrEx>
          <w:tblCellMar>
            <w:top w:w="0" w:type="dxa"/>
            <w:left w:w="108" w:type="dxa"/>
            <w:bottom w:w="0" w:type="dxa"/>
            <w:right w:w="108" w:type="dxa"/>
          </w:tblCellMar>
        </w:tblPrEx>
        <w:trPr>
          <w:wBefore w:w="0" w:type="dxa"/>
          <w:wAfter w:w="0" w:type="dxa"/>
          <w:trHeight w:val="525" w:hRule="atLeast"/>
        </w:trPr>
        <w:tc>
          <w:tcPr>
            <w:tcW w:w="479" w:type="dxa"/>
            <w:tcBorders>
              <w:top w:val="nil"/>
              <w:left w:val="single" w:color="auto" w:sz="8" w:space="0"/>
              <w:bottom w:val="single" w:color="auto" w:sz="8" w:space="0"/>
              <w:right w:val="single" w:color="auto" w:sz="8" w:space="0"/>
            </w:tcBorders>
            <w:noWrap w:val="0"/>
            <w:vAlign w:val="center"/>
          </w:tcPr>
          <w:p>
            <w:pPr>
              <w:jc w:val="center"/>
              <w:rPr>
                <w:b/>
                <w:bCs/>
                <w:szCs w:val="21"/>
              </w:rPr>
            </w:pPr>
            <w:r>
              <w:rPr>
                <w:rFonts w:hint="eastAsia"/>
                <w:b/>
                <w:bCs/>
                <w:szCs w:val="21"/>
              </w:rPr>
              <w:t>1</w:t>
            </w:r>
          </w:p>
        </w:tc>
        <w:tc>
          <w:tcPr>
            <w:tcW w:w="734"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综合实力</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4</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根据投标供应商企业规模、技术力量及人力资源、经营信誉、市场知名度等总体情况，由评委综合评价打分。</w:t>
            </w:r>
          </w:p>
        </w:tc>
      </w:tr>
      <w:tr>
        <w:tblPrEx>
          <w:tblCellMar>
            <w:top w:w="0" w:type="dxa"/>
            <w:left w:w="108" w:type="dxa"/>
            <w:bottom w:w="0" w:type="dxa"/>
            <w:right w:w="108" w:type="dxa"/>
          </w:tblCellMar>
        </w:tblPrEx>
        <w:trPr>
          <w:wBefore w:w="0" w:type="dxa"/>
          <w:wAfter w:w="0" w:type="dxa"/>
          <w:trHeight w:val="525" w:hRule="atLeast"/>
        </w:trPr>
        <w:tc>
          <w:tcPr>
            <w:tcW w:w="479"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2</w:t>
            </w:r>
          </w:p>
        </w:tc>
        <w:tc>
          <w:tcPr>
            <w:tcW w:w="734"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设备选型</w:t>
            </w:r>
          </w:p>
        </w:tc>
        <w:tc>
          <w:tcPr>
            <w:tcW w:w="479" w:type="dxa"/>
            <w:tcBorders>
              <w:top w:val="nil"/>
              <w:left w:val="nil"/>
              <w:bottom w:val="single" w:color="auto" w:sz="8" w:space="0"/>
              <w:right w:val="single" w:color="auto" w:sz="8" w:space="0"/>
            </w:tcBorders>
            <w:noWrap w:val="0"/>
            <w:vAlign w:val="center"/>
          </w:tcPr>
          <w:p>
            <w:pPr>
              <w:jc w:val="center"/>
              <w:rPr>
                <w:rFonts w:hint="eastAsia"/>
                <w:b/>
                <w:bCs/>
                <w:szCs w:val="21"/>
              </w:rPr>
            </w:pPr>
            <w:r>
              <w:rPr>
                <w:rFonts w:hint="eastAsia"/>
                <w:b/>
                <w:bCs/>
                <w:szCs w:val="21"/>
              </w:rPr>
              <w:t>10</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根据投标人提供的设备配置选型与招标文件“招标内容及要求”的主要设备技术参数要求符合度由评委综合评价打分。（</w:t>
            </w:r>
            <w:r>
              <w:rPr>
                <w:rFonts w:hint="eastAsia"/>
                <w:bCs/>
                <w:szCs w:val="22"/>
                <w:lang w:val="zh-CN"/>
              </w:rPr>
              <w:t>一般</w:t>
            </w:r>
            <w:r>
              <w:rPr>
                <w:rFonts w:hint="eastAsia"/>
                <w:b/>
                <w:bCs/>
                <w:szCs w:val="21"/>
              </w:rPr>
              <w:t>≤4分，5分≤</w:t>
            </w:r>
            <w:r>
              <w:rPr>
                <w:rFonts w:hint="eastAsia"/>
                <w:bCs/>
                <w:szCs w:val="22"/>
                <w:lang w:val="zh-CN"/>
              </w:rPr>
              <w:t>好</w:t>
            </w:r>
            <w:r>
              <w:rPr>
                <w:rFonts w:hint="eastAsia"/>
                <w:b/>
                <w:bCs/>
                <w:szCs w:val="21"/>
              </w:rPr>
              <w:t>≤7分，8分≤</w:t>
            </w:r>
            <w:r>
              <w:rPr>
                <w:rFonts w:hint="eastAsia"/>
                <w:bCs/>
                <w:szCs w:val="22"/>
                <w:lang w:val="zh-CN"/>
              </w:rPr>
              <w:t>优</w:t>
            </w:r>
            <w:r>
              <w:rPr>
                <w:rFonts w:hint="eastAsia"/>
                <w:b/>
                <w:bCs/>
                <w:szCs w:val="21"/>
              </w:rPr>
              <w:t>≤10分）</w:t>
            </w:r>
          </w:p>
        </w:tc>
      </w:tr>
      <w:tr>
        <w:tblPrEx>
          <w:tblCellMar>
            <w:top w:w="0" w:type="dxa"/>
            <w:left w:w="108" w:type="dxa"/>
            <w:bottom w:w="0" w:type="dxa"/>
            <w:right w:w="108" w:type="dxa"/>
          </w:tblCellMar>
        </w:tblPrEx>
        <w:trPr>
          <w:wBefore w:w="0" w:type="dxa"/>
          <w:wAfter w:w="0" w:type="dxa"/>
          <w:trHeight w:val="525" w:hRule="atLeast"/>
        </w:trPr>
        <w:tc>
          <w:tcPr>
            <w:tcW w:w="479"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734"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3</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根据所投主要设备品牌投标供应商的企业规模、技术力量、质量体系认证，经营信誉、市场知名度等，由评委综合评价打分。</w:t>
            </w:r>
          </w:p>
        </w:tc>
      </w:tr>
      <w:tr>
        <w:tblPrEx>
          <w:tblCellMar>
            <w:top w:w="0" w:type="dxa"/>
            <w:left w:w="108" w:type="dxa"/>
            <w:bottom w:w="0" w:type="dxa"/>
            <w:right w:w="108" w:type="dxa"/>
          </w:tblCellMar>
        </w:tblPrEx>
        <w:trPr>
          <w:wBefore w:w="0" w:type="dxa"/>
          <w:wAfter w:w="0" w:type="dxa"/>
          <w:trHeight w:val="525" w:hRule="atLeast"/>
        </w:trPr>
        <w:tc>
          <w:tcPr>
            <w:tcW w:w="479"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734"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15</w:t>
            </w:r>
          </w:p>
        </w:tc>
        <w:tc>
          <w:tcPr>
            <w:tcW w:w="7609" w:type="dxa"/>
            <w:tcBorders>
              <w:top w:val="nil"/>
              <w:left w:val="nil"/>
              <w:bottom w:val="single" w:color="auto" w:sz="8" w:space="0"/>
              <w:right w:val="single" w:color="auto" w:sz="8" w:space="0"/>
            </w:tcBorders>
            <w:noWrap w:val="0"/>
            <w:vAlign w:val="center"/>
          </w:tcPr>
          <w:p>
            <w:pPr>
              <w:tabs>
                <w:tab w:val="left" w:pos="2150"/>
              </w:tabs>
              <w:spacing w:line="288" w:lineRule="auto"/>
              <w:rPr>
                <w:rFonts w:hint="eastAsia"/>
                <w:b/>
                <w:bCs/>
                <w:szCs w:val="21"/>
              </w:rPr>
            </w:pPr>
            <w:r>
              <w:rPr>
                <w:rFonts w:hint="eastAsia"/>
                <w:b/>
                <w:bCs/>
                <w:szCs w:val="22"/>
              </w:rPr>
              <w:t>根据投标软件定制开发配备研发人员综合打分，祥见标书5.1研发人员配置说明，完全吻合的得15分，要求出现一项不满足的扣5分，扣完为止。</w:t>
            </w:r>
          </w:p>
        </w:tc>
      </w:tr>
      <w:tr>
        <w:tblPrEx>
          <w:tblCellMar>
            <w:top w:w="0" w:type="dxa"/>
            <w:left w:w="108" w:type="dxa"/>
            <w:bottom w:w="0" w:type="dxa"/>
            <w:right w:w="108" w:type="dxa"/>
          </w:tblCellMar>
        </w:tblPrEx>
        <w:trPr>
          <w:wBefore w:w="0" w:type="dxa"/>
          <w:wAfter w:w="0" w:type="dxa"/>
          <w:trHeight w:val="780" w:hRule="atLeast"/>
        </w:trPr>
        <w:tc>
          <w:tcPr>
            <w:tcW w:w="479"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3</w:t>
            </w:r>
          </w:p>
        </w:tc>
        <w:tc>
          <w:tcPr>
            <w:tcW w:w="734"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技术方案</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10</w:t>
            </w:r>
          </w:p>
        </w:tc>
        <w:tc>
          <w:tcPr>
            <w:tcW w:w="7609" w:type="dxa"/>
            <w:tcBorders>
              <w:top w:val="nil"/>
              <w:left w:val="nil"/>
              <w:bottom w:val="single" w:color="auto" w:sz="8" w:space="0"/>
              <w:right w:val="single" w:color="auto" w:sz="8" w:space="0"/>
            </w:tcBorders>
            <w:noWrap w:val="0"/>
            <w:vAlign w:val="center"/>
          </w:tcPr>
          <w:p>
            <w:pPr>
              <w:tabs>
                <w:tab w:val="left" w:pos="2150"/>
              </w:tabs>
              <w:spacing w:line="288" w:lineRule="auto"/>
              <w:rPr>
                <w:rFonts w:hint="eastAsia"/>
                <w:bCs/>
                <w:szCs w:val="22"/>
              </w:rPr>
            </w:pPr>
            <w:r>
              <w:rPr>
                <w:rFonts w:hint="eastAsia"/>
                <w:bCs/>
                <w:szCs w:val="22"/>
              </w:rPr>
              <w:t>方案的总体设计和描述是否先进、合理、完整、可行；对项目需求的理解情况；响应文件方案的科学性、先进性、完整性、可靠性、成熟性，以及方案配置的合理性等方面与项目对应需求的满足程度，由评委进行打分。</w:t>
            </w:r>
          </w:p>
          <w:p>
            <w:pPr>
              <w:rPr>
                <w:b/>
                <w:bCs/>
                <w:szCs w:val="21"/>
              </w:rPr>
            </w:pPr>
            <w:r>
              <w:rPr>
                <w:rFonts w:hint="eastAsia"/>
                <w:bCs/>
                <w:szCs w:val="22"/>
                <w:lang w:val="zh-CN"/>
              </w:rPr>
              <w:t>优</w:t>
            </w:r>
            <w:r>
              <w:rPr>
                <w:rFonts w:hint="eastAsia"/>
                <w:bCs/>
                <w:szCs w:val="22"/>
              </w:rPr>
              <w:t>10</w:t>
            </w:r>
            <w:r>
              <w:rPr>
                <w:rFonts w:hint="eastAsia"/>
                <w:bCs/>
                <w:szCs w:val="22"/>
                <w:lang w:val="zh-CN"/>
              </w:rPr>
              <w:t>＞得分≥</w:t>
            </w:r>
            <w:r>
              <w:rPr>
                <w:rFonts w:hint="eastAsia"/>
                <w:bCs/>
                <w:szCs w:val="22"/>
              </w:rPr>
              <w:t>7</w:t>
            </w:r>
            <w:r>
              <w:rPr>
                <w:rFonts w:hint="eastAsia"/>
                <w:bCs/>
                <w:szCs w:val="22"/>
                <w:lang w:val="zh-CN"/>
              </w:rPr>
              <w:t>，好</w:t>
            </w:r>
            <w:r>
              <w:rPr>
                <w:rFonts w:hint="eastAsia"/>
                <w:bCs/>
                <w:szCs w:val="22"/>
              </w:rPr>
              <w:t>6</w:t>
            </w:r>
            <w:r>
              <w:rPr>
                <w:rFonts w:hint="eastAsia"/>
                <w:bCs/>
                <w:szCs w:val="22"/>
                <w:lang w:val="zh-CN"/>
              </w:rPr>
              <w:t>＞得分≥</w:t>
            </w:r>
            <w:r>
              <w:rPr>
                <w:rFonts w:hint="eastAsia"/>
                <w:bCs/>
                <w:szCs w:val="22"/>
              </w:rPr>
              <w:t>4</w:t>
            </w:r>
            <w:r>
              <w:rPr>
                <w:rFonts w:hint="eastAsia"/>
                <w:bCs/>
                <w:szCs w:val="22"/>
                <w:lang w:val="zh-CN"/>
              </w:rPr>
              <w:t>，一般</w:t>
            </w:r>
            <w:r>
              <w:rPr>
                <w:rFonts w:hint="eastAsia"/>
                <w:bCs/>
                <w:szCs w:val="22"/>
              </w:rPr>
              <w:t>3</w:t>
            </w:r>
            <w:r>
              <w:rPr>
                <w:rFonts w:hint="eastAsia"/>
                <w:bCs/>
                <w:szCs w:val="22"/>
                <w:lang w:val="zh-CN"/>
              </w:rPr>
              <w:t>＞得分≥</w:t>
            </w:r>
            <w:r>
              <w:rPr>
                <w:rFonts w:hint="eastAsia"/>
                <w:bCs/>
                <w:szCs w:val="22"/>
              </w:rPr>
              <w:t>0</w:t>
            </w:r>
            <w:r>
              <w:rPr>
                <w:rFonts w:hint="eastAsia"/>
                <w:bCs/>
                <w:szCs w:val="22"/>
                <w:lang w:val="zh-CN"/>
              </w:rPr>
              <w:t>。</w:t>
            </w:r>
          </w:p>
        </w:tc>
      </w:tr>
      <w:tr>
        <w:tblPrEx>
          <w:tblCellMar>
            <w:top w:w="0" w:type="dxa"/>
            <w:left w:w="108" w:type="dxa"/>
            <w:bottom w:w="0" w:type="dxa"/>
            <w:right w:w="108" w:type="dxa"/>
          </w:tblCellMar>
        </w:tblPrEx>
        <w:trPr>
          <w:wBefore w:w="0" w:type="dxa"/>
          <w:wAfter w:w="0" w:type="dxa"/>
          <w:trHeight w:val="300" w:hRule="atLeast"/>
        </w:trPr>
        <w:tc>
          <w:tcPr>
            <w:tcW w:w="479"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734"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479" w:type="dxa"/>
            <w:tcBorders>
              <w:top w:val="nil"/>
              <w:left w:val="nil"/>
              <w:bottom w:val="single" w:color="auto" w:sz="8" w:space="0"/>
              <w:right w:val="single" w:color="auto" w:sz="8" w:space="0"/>
            </w:tcBorders>
            <w:noWrap w:val="0"/>
            <w:vAlign w:val="center"/>
          </w:tcPr>
          <w:p>
            <w:pPr>
              <w:jc w:val="center"/>
              <w:rPr>
                <w:rFonts w:hint="eastAsia"/>
                <w:b/>
                <w:bCs/>
                <w:szCs w:val="21"/>
              </w:rPr>
            </w:pPr>
            <w:r>
              <w:rPr>
                <w:rFonts w:hint="eastAsia"/>
                <w:b/>
                <w:bCs/>
                <w:szCs w:val="21"/>
              </w:rPr>
              <w:t>3</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提供项目实施的合理化建议，由评委综合评价打分。</w:t>
            </w:r>
          </w:p>
        </w:tc>
      </w:tr>
      <w:tr>
        <w:tblPrEx>
          <w:tblCellMar>
            <w:top w:w="0" w:type="dxa"/>
            <w:left w:w="108" w:type="dxa"/>
            <w:bottom w:w="0" w:type="dxa"/>
            <w:right w:w="108" w:type="dxa"/>
          </w:tblCellMar>
        </w:tblPrEx>
        <w:trPr>
          <w:wBefore w:w="0" w:type="dxa"/>
          <w:wAfter w:w="0" w:type="dxa"/>
          <w:trHeight w:val="1580" w:hRule="atLeast"/>
        </w:trPr>
        <w:tc>
          <w:tcPr>
            <w:tcW w:w="479" w:type="dxa"/>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4</w:t>
            </w:r>
          </w:p>
        </w:tc>
        <w:tc>
          <w:tcPr>
            <w:tcW w:w="734" w:type="dxa"/>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软件整体实施安排</w:t>
            </w:r>
          </w:p>
        </w:tc>
        <w:tc>
          <w:tcPr>
            <w:tcW w:w="479" w:type="dxa"/>
            <w:tcBorders>
              <w:top w:val="nil"/>
              <w:left w:val="nil"/>
              <w:right w:val="single" w:color="auto" w:sz="8" w:space="0"/>
            </w:tcBorders>
            <w:noWrap w:val="0"/>
            <w:vAlign w:val="center"/>
          </w:tcPr>
          <w:p>
            <w:pPr>
              <w:jc w:val="center"/>
              <w:rPr>
                <w:b/>
                <w:bCs/>
                <w:szCs w:val="21"/>
              </w:rPr>
            </w:pPr>
            <w:r>
              <w:rPr>
                <w:rFonts w:hint="eastAsia"/>
                <w:b/>
                <w:bCs/>
                <w:szCs w:val="21"/>
              </w:rPr>
              <w:t>5</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为确保本项目能够尽快完成并交付使用，评委根据投标人提供的方案合理性，以及投标人对本项目情况的熟悉程度比较打分。（一般≤2分，2分≤好≤3分，4分≤</w:t>
            </w:r>
            <w:r>
              <w:rPr>
                <w:rFonts w:hint="eastAsia"/>
                <w:bCs/>
                <w:szCs w:val="22"/>
                <w:lang w:val="zh-CN"/>
              </w:rPr>
              <w:t>优</w:t>
            </w:r>
            <w:r>
              <w:rPr>
                <w:rFonts w:hint="eastAsia"/>
                <w:b/>
                <w:bCs/>
                <w:szCs w:val="21"/>
              </w:rPr>
              <w:t>≤5分）</w:t>
            </w:r>
          </w:p>
        </w:tc>
      </w:tr>
      <w:tr>
        <w:tblPrEx>
          <w:tblCellMar>
            <w:top w:w="0" w:type="dxa"/>
            <w:left w:w="108" w:type="dxa"/>
            <w:bottom w:w="0" w:type="dxa"/>
            <w:right w:w="108" w:type="dxa"/>
          </w:tblCellMar>
        </w:tblPrEx>
        <w:trPr>
          <w:wBefore w:w="0" w:type="dxa"/>
          <w:wAfter w:w="0" w:type="dxa"/>
          <w:trHeight w:val="1095" w:hRule="atLeast"/>
        </w:trPr>
        <w:tc>
          <w:tcPr>
            <w:tcW w:w="479"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5</w:t>
            </w:r>
          </w:p>
        </w:tc>
        <w:tc>
          <w:tcPr>
            <w:tcW w:w="734" w:type="dxa"/>
            <w:vMerge w:val="restart"/>
            <w:tcBorders>
              <w:top w:val="nil"/>
              <w:left w:val="single" w:color="auto" w:sz="8" w:space="0"/>
              <w:bottom w:val="single" w:color="000000" w:sz="8" w:space="0"/>
              <w:right w:val="single" w:color="auto" w:sz="8" w:space="0"/>
            </w:tcBorders>
            <w:noWrap w:val="0"/>
            <w:vAlign w:val="center"/>
          </w:tcPr>
          <w:p>
            <w:pPr>
              <w:jc w:val="center"/>
              <w:rPr>
                <w:b/>
                <w:bCs/>
                <w:szCs w:val="21"/>
              </w:rPr>
            </w:pPr>
            <w:r>
              <w:rPr>
                <w:rFonts w:hint="eastAsia"/>
                <w:b/>
                <w:bCs/>
                <w:szCs w:val="21"/>
              </w:rPr>
              <w:t>技术支持与售后</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4</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服务于本项目，有相关项目经验的工程技术人员不少于10人（人数不足不得分），由专家根据投入本项目团队成员的</w:t>
            </w:r>
            <w:r>
              <w:rPr>
                <w:rFonts w:hint="eastAsia"/>
                <w:b/>
                <w:bCs/>
              </w:rPr>
              <w:t>资质、工作履历、工程实践证明资料、劳动合同和参保证明等</w:t>
            </w:r>
            <w:r>
              <w:rPr>
                <w:rFonts w:hint="eastAsia"/>
                <w:b/>
                <w:bCs/>
                <w:szCs w:val="21"/>
              </w:rPr>
              <w:t>由评委综合评价打分，最高得4分。（人员可由软件产品提供方和投标方人）</w:t>
            </w:r>
          </w:p>
        </w:tc>
      </w:tr>
      <w:tr>
        <w:tblPrEx>
          <w:tblCellMar>
            <w:top w:w="0" w:type="dxa"/>
            <w:left w:w="108" w:type="dxa"/>
            <w:bottom w:w="0" w:type="dxa"/>
            <w:right w:w="108" w:type="dxa"/>
          </w:tblCellMar>
        </w:tblPrEx>
        <w:trPr>
          <w:wBefore w:w="0" w:type="dxa"/>
          <w:wAfter w:w="0" w:type="dxa"/>
          <w:trHeight w:val="1887" w:hRule="atLeast"/>
        </w:trPr>
        <w:tc>
          <w:tcPr>
            <w:tcW w:w="479"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734" w:type="dxa"/>
            <w:vMerge w:val="continue"/>
            <w:tcBorders>
              <w:top w:val="nil"/>
              <w:left w:val="single" w:color="auto" w:sz="8" w:space="0"/>
              <w:bottom w:val="single" w:color="000000" w:sz="8" w:space="0"/>
              <w:right w:val="single" w:color="auto" w:sz="8" w:space="0"/>
            </w:tcBorders>
            <w:noWrap w:val="0"/>
            <w:vAlign w:val="center"/>
          </w:tcPr>
          <w:p>
            <w:pPr>
              <w:rPr>
                <w:b/>
                <w:bCs/>
                <w:szCs w:val="21"/>
              </w:rPr>
            </w:pPr>
          </w:p>
        </w:tc>
        <w:tc>
          <w:tcPr>
            <w:tcW w:w="479" w:type="dxa"/>
            <w:tcBorders>
              <w:top w:val="nil"/>
              <w:left w:val="nil"/>
              <w:right w:val="single" w:color="auto" w:sz="8" w:space="0"/>
            </w:tcBorders>
            <w:noWrap w:val="0"/>
            <w:vAlign w:val="center"/>
          </w:tcPr>
          <w:p>
            <w:pPr>
              <w:jc w:val="center"/>
              <w:rPr>
                <w:b/>
                <w:bCs/>
                <w:szCs w:val="21"/>
              </w:rPr>
            </w:pPr>
            <w:r>
              <w:rPr>
                <w:rFonts w:hint="eastAsia"/>
                <w:b/>
                <w:bCs/>
                <w:szCs w:val="21"/>
              </w:rPr>
              <w:t>5</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为本顶目设置合理售后故障响应组织架构和响应时间的可行性方案，以及对本项目售后服务承诺的范围和完善程度(包括保修年限，服务标准，人员配备，故障响应修复时间方式及保障措施等) 由评委综合评价打分，最为合理的，得5分；基本合理得3分；响应时间明显不及时、不合理的，不得分。</w:t>
            </w:r>
          </w:p>
        </w:tc>
      </w:tr>
      <w:tr>
        <w:tblPrEx>
          <w:tblCellMar>
            <w:top w:w="0" w:type="dxa"/>
            <w:left w:w="108" w:type="dxa"/>
            <w:bottom w:w="0" w:type="dxa"/>
            <w:right w:w="108" w:type="dxa"/>
          </w:tblCellMar>
        </w:tblPrEx>
        <w:trPr>
          <w:wBefore w:w="0" w:type="dxa"/>
          <w:wAfter w:w="0" w:type="dxa"/>
          <w:trHeight w:val="780" w:hRule="atLeast"/>
        </w:trPr>
        <w:tc>
          <w:tcPr>
            <w:tcW w:w="479" w:type="dxa"/>
            <w:tcBorders>
              <w:top w:val="nil"/>
              <w:left w:val="single" w:color="auto" w:sz="8" w:space="0"/>
              <w:bottom w:val="single" w:color="auto" w:sz="8" w:space="0"/>
              <w:right w:val="single" w:color="auto" w:sz="8" w:space="0"/>
            </w:tcBorders>
            <w:noWrap w:val="0"/>
            <w:vAlign w:val="center"/>
          </w:tcPr>
          <w:p>
            <w:pPr>
              <w:jc w:val="center"/>
              <w:rPr>
                <w:b/>
                <w:bCs/>
                <w:szCs w:val="21"/>
              </w:rPr>
            </w:pPr>
            <w:r>
              <w:rPr>
                <w:rFonts w:hint="eastAsia"/>
                <w:b/>
                <w:bCs/>
                <w:szCs w:val="21"/>
              </w:rPr>
              <w:t>6</w:t>
            </w:r>
          </w:p>
        </w:tc>
        <w:tc>
          <w:tcPr>
            <w:tcW w:w="734"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项目业绩</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8</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根据投标人的同类项目业绩情况，横向比较打分。业绩必须是2016年至今安防监控系统的项目。每提供一份得1分；业绩证明资料须提供合同原件，未提供合同原件不得分。</w:t>
            </w:r>
          </w:p>
        </w:tc>
      </w:tr>
      <w:tr>
        <w:tblPrEx>
          <w:tblCellMar>
            <w:top w:w="0" w:type="dxa"/>
            <w:left w:w="108" w:type="dxa"/>
            <w:bottom w:w="0" w:type="dxa"/>
            <w:right w:w="108" w:type="dxa"/>
          </w:tblCellMar>
        </w:tblPrEx>
        <w:trPr>
          <w:wBefore w:w="0" w:type="dxa"/>
          <w:wAfter w:w="0" w:type="dxa"/>
          <w:trHeight w:val="780" w:hRule="atLeast"/>
        </w:trPr>
        <w:tc>
          <w:tcPr>
            <w:tcW w:w="479" w:type="dxa"/>
            <w:tcBorders>
              <w:top w:val="nil"/>
              <w:left w:val="single" w:color="auto" w:sz="8" w:space="0"/>
              <w:bottom w:val="single" w:color="auto" w:sz="8" w:space="0"/>
              <w:right w:val="single" w:color="auto" w:sz="8" w:space="0"/>
            </w:tcBorders>
            <w:noWrap w:val="0"/>
            <w:vAlign w:val="center"/>
          </w:tcPr>
          <w:p>
            <w:pPr>
              <w:jc w:val="center"/>
              <w:rPr>
                <w:b/>
                <w:bCs/>
                <w:szCs w:val="21"/>
              </w:rPr>
            </w:pPr>
            <w:r>
              <w:rPr>
                <w:rFonts w:hint="eastAsia"/>
                <w:b/>
                <w:bCs/>
                <w:szCs w:val="21"/>
              </w:rPr>
              <w:t>7</w:t>
            </w:r>
          </w:p>
        </w:tc>
        <w:tc>
          <w:tcPr>
            <w:tcW w:w="734"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节能环保</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2</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投标主要设备取得国家确定的认证机构出具的、处于有效期之内的节能产品（1分）、环境标志产品（1分）认证证书.</w:t>
            </w:r>
            <w:r>
              <w:rPr>
                <w:b/>
                <w:bCs/>
                <w:szCs w:val="21"/>
              </w:rPr>
              <w:t xml:space="preserve"> </w:t>
            </w:r>
          </w:p>
        </w:tc>
      </w:tr>
      <w:tr>
        <w:tblPrEx>
          <w:tblCellMar>
            <w:top w:w="0" w:type="dxa"/>
            <w:left w:w="108" w:type="dxa"/>
            <w:bottom w:w="0" w:type="dxa"/>
            <w:right w:w="108" w:type="dxa"/>
          </w:tblCellMar>
        </w:tblPrEx>
        <w:trPr>
          <w:wBefore w:w="0" w:type="dxa"/>
          <w:wAfter w:w="0" w:type="dxa"/>
          <w:trHeight w:val="525" w:hRule="atLeast"/>
        </w:trPr>
        <w:tc>
          <w:tcPr>
            <w:tcW w:w="479" w:type="dxa"/>
            <w:tcBorders>
              <w:top w:val="nil"/>
              <w:left w:val="single" w:color="auto" w:sz="8" w:space="0"/>
              <w:bottom w:val="single" w:color="auto" w:sz="8" w:space="0"/>
              <w:right w:val="single" w:color="auto" w:sz="8" w:space="0"/>
            </w:tcBorders>
            <w:noWrap w:val="0"/>
            <w:vAlign w:val="center"/>
          </w:tcPr>
          <w:p>
            <w:pPr>
              <w:jc w:val="center"/>
              <w:rPr>
                <w:b/>
                <w:bCs/>
                <w:szCs w:val="21"/>
              </w:rPr>
            </w:pPr>
            <w:r>
              <w:rPr>
                <w:rFonts w:hint="eastAsia"/>
                <w:b/>
                <w:bCs/>
                <w:szCs w:val="21"/>
              </w:rPr>
              <w:t>8</w:t>
            </w:r>
          </w:p>
        </w:tc>
        <w:tc>
          <w:tcPr>
            <w:tcW w:w="734"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标书及优惠</w:t>
            </w:r>
          </w:p>
        </w:tc>
        <w:tc>
          <w:tcPr>
            <w:tcW w:w="479" w:type="dxa"/>
            <w:tcBorders>
              <w:top w:val="nil"/>
              <w:left w:val="nil"/>
              <w:bottom w:val="single" w:color="auto" w:sz="8" w:space="0"/>
              <w:right w:val="single" w:color="auto" w:sz="8" w:space="0"/>
            </w:tcBorders>
            <w:noWrap w:val="0"/>
            <w:vAlign w:val="center"/>
          </w:tcPr>
          <w:p>
            <w:pPr>
              <w:jc w:val="center"/>
              <w:rPr>
                <w:b/>
                <w:bCs/>
                <w:szCs w:val="21"/>
              </w:rPr>
            </w:pPr>
            <w:r>
              <w:rPr>
                <w:rFonts w:hint="eastAsia"/>
                <w:b/>
                <w:bCs/>
                <w:szCs w:val="21"/>
              </w:rPr>
              <w:t>1</w:t>
            </w:r>
          </w:p>
        </w:tc>
        <w:tc>
          <w:tcPr>
            <w:tcW w:w="7609" w:type="dxa"/>
            <w:tcBorders>
              <w:top w:val="nil"/>
              <w:left w:val="nil"/>
              <w:bottom w:val="single" w:color="auto" w:sz="8" w:space="0"/>
              <w:right w:val="single" w:color="auto" w:sz="8" w:space="0"/>
            </w:tcBorders>
            <w:noWrap w:val="0"/>
            <w:vAlign w:val="center"/>
          </w:tcPr>
          <w:p>
            <w:pPr>
              <w:rPr>
                <w:b/>
                <w:bCs/>
                <w:szCs w:val="21"/>
              </w:rPr>
            </w:pPr>
            <w:r>
              <w:rPr>
                <w:rFonts w:hint="eastAsia"/>
                <w:b/>
                <w:bCs/>
                <w:szCs w:val="21"/>
              </w:rPr>
              <w:t>依据投标文件内容编排顺序、格式是否符合招标文件要求，条理是否清晰，有无缺页、漏项由评委综合打分（1分）。</w:t>
            </w:r>
          </w:p>
        </w:tc>
      </w:tr>
    </w:tbl>
    <w:p>
      <w:pPr>
        <w:pStyle w:val="32"/>
        <w:adjustRightInd w:val="0"/>
        <w:snapToGrid w:val="0"/>
        <w:spacing w:line="460" w:lineRule="atLeast"/>
        <w:rPr>
          <w:rFonts w:hint="eastAsia" w:hAnsi="宋体"/>
          <w:sz w:val="22"/>
          <w:szCs w:val="22"/>
        </w:rPr>
      </w:pPr>
    </w:p>
    <w:p>
      <w:pPr>
        <w:pStyle w:val="32"/>
        <w:adjustRightInd w:val="0"/>
        <w:snapToGrid w:val="0"/>
        <w:spacing w:line="460" w:lineRule="atLeast"/>
        <w:rPr>
          <w:rFonts w:hint="eastAsia" w:hAnsi="宋体"/>
          <w:sz w:val="22"/>
          <w:szCs w:val="22"/>
        </w:rPr>
      </w:pPr>
      <w:r>
        <w:rPr>
          <w:rFonts w:hint="eastAsia" w:hAnsi="宋体"/>
          <w:sz w:val="22"/>
          <w:szCs w:val="22"/>
        </w:rPr>
        <w:t>三、说明</w:t>
      </w:r>
    </w:p>
    <w:p>
      <w:pPr>
        <w:pStyle w:val="36"/>
        <w:widowControl w:val="0"/>
        <w:adjustRightInd w:val="0"/>
        <w:snapToGrid w:val="0"/>
        <w:spacing w:line="400" w:lineRule="exact"/>
        <w:ind w:firstLine="440" w:firstLineChars="200"/>
        <w:rPr>
          <w:rFonts w:hint="eastAsia"/>
          <w:sz w:val="22"/>
          <w:szCs w:val="22"/>
        </w:rPr>
      </w:pPr>
      <w:r>
        <w:rPr>
          <w:rFonts w:hint="eastAsia"/>
          <w:sz w:val="22"/>
          <w:szCs w:val="22"/>
        </w:rPr>
        <w:t>1、每个供应商最终得分=技术资信部分分值（所有评标委员会成员的算术平均值，四舍五入后保留小数点两位小数）＋商务报价部分分值。</w:t>
      </w:r>
    </w:p>
    <w:p>
      <w:pPr>
        <w:adjustRightInd w:val="0"/>
        <w:snapToGrid w:val="0"/>
        <w:spacing w:line="400" w:lineRule="exact"/>
        <w:ind w:firstLine="420"/>
        <w:rPr>
          <w:rFonts w:hint="eastAsia" w:cs="Arial"/>
          <w:snapToGrid w:val="0"/>
          <w:sz w:val="22"/>
          <w:szCs w:val="22"/>
        </w:rPr>
      </w:pPr>
      <w:r>
        <w:rPr>
          <w:rFonts w:hint="eastAsia"/>
          <w:sz w:val="22"/>
          <w:szCs w:val="22"/>
        </w:rPr>
        <w:t>2、所有分值计算保留小数点后两位，小数点后三位四舍五入。</w:t>
      </w:r>
    </w:p>
    <w:p>
      <w:pPr>
        <w:pStyle w:val="32"/>
        <w:adjustRightInd w:val="0"/>
        <w:snapToGrid w:val="0"/>
        <w:spacing w:line="400" w:lineRule="exact"/>
        <w:jc w:val="center"/>
        <w:rPr>
          <w:rFonts w:hint="eastAsia" w:hAnsi="宋体"/>
          <w:sz w:val="22"/>
          <w:szCs w:val="22"/>
        </w:rPr>
      </w:pPr>
      <w:r>
        <w:rPr>
          <w:rFonts w:hint="eastAsia" w:hAnsi="宋体"/>
          <w:sz w:val="22"/>
          <w:szCs w:val="22"/>
        </w:rPr>
        <w:t>参见本招标文件第三部分：“供应商须知” 中的相关内容，未尽事宜按有关法律规定处理。</w:t>
      </w:r>
    </w:p>
    <w:p>
      <w:pPr>
        <w:pStyle w:val="32"/>
        <w:adjustRightInd w:val="0"/>
        <w:snapToGrid w:val="0"/>
        <w:spacing w:line="400" w:lineRule="exact"/>
        <w:jc w:val="center"/>
        <w:rPr>
          <w:rFonts w:hint="eastAsia" w:hAnsi="宋体"/>
          <w:sz w:val="22"/>
          <w:szCs w:val="22"/>
        </w:rPr>
      </w:pPr>
    </w:p>
    <w:p>
      <w:pPr>
        <w:pageBreakBefore/>
        <w:jc w:val="center"/>
        <w:rPr>
          <w:rFonts w:ascii="仿宋" w:hAnsi="仿宋" w:eastAsia="仿宋" w:cs="仿宋"/>
          <w:b/>
          <w:bCs/>
          <w:color w:val="000000"/>
          <w:sz w:val="44"/>
          <w:szCs w:val="44"/>
        </w:rPr>
      </w:pPr>
      <w:r>
        <w:rPr>
          <w:rFonts w:hint="eastAsia" w:ascii="仿宋" w:hAnsi="仿宋" w:eastAsia="仿宋" w:cs="仿宋"/>
          <w:b/>
          <w:bCs/>
          <w:color w:val="000000"/>
          <w:sz w:val="44"/>
          <w:szCs w:val="44"/>
        </w:rPr>
        <w:t>质疑函范本</w:t>
      </w:r>
    </w:p>
    <w:p>
      <w:pPr>
        <w:adjustRightInd w:val="0"/>
        <w:snapToGrid w:val="0"/>
        <w:spacing w:before="240" w:beforeLines="100"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一、质疑供应商基本信息</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质疑供应商：</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地址：</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邮编：</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联系人：</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授权代表：</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联系电话：</w:t>
      </w:r>
      <w:r>
        <w:rPr>
          <w:rFonts w:hint="eastAsia" w:ascii="仿宋" w:hAnsi="仿宋" w:eastAsia="仿宋" w:cs="仿宋"/>
          <w:color w:val="000000"/>
          <w:sz w:val="32"/>
          <w:szCs w:val="32"/>
          <w:u w:val="dotted"/>
        </w:rPr>
        <w:t xml:space="preserve">                                           </w:t>
      </w:r>
      <w:r>
        <w:rPr>
          <w:rFonts w:ascii="仿宋" w:hAnsi="仿宋" w:eastAsia="仿宋" w:cs="仿宋"/>
          <w:color w:val="000000"/>
          <w:sz w:val="32"/>
          <w:szCs w:val="32"/>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地址：</w:t>
      </w:r>
      <w:r>
        <w:rPr>
          <w:rFonts w:ascii="仿宋" w:hAnsi="仿宋" w:eastAsia="仿宋" w:cs="仿宋"/>
          <w:color w:val="000000"/>
          <w:sz w:val="32"/>
          <w:szCs w:val="32"/>
        </w:rPr>
        <w:t xml:space="preserve"> </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邮编：</w:t>
      </w:r>
      <w:r>
        <w:rPr>
          <w:rFonts w:hint="eastAsia" w:ascii="仿宋" w:hAnsi="仿宋" w:eastAsia="仿宋" w:cs="仿宋"/>
          <w:color w:val="000000"/>
          <w:sz w:val="32"/>
          <w:szCs w:val="32"/>
          <w:u w:val="dotted"/>
        </w:rPr>
        <w:t xml:space="preserve">                                                </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二、质疑项目基本情况</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质疑项目的名称：</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质疑项目的编号：</w:t>
      </w:r>
      <w:r>
        <w:rPr>
          <w:rFonts w:hint="eastAsia" w:ascii="仿宋" w:hAnsi="仿宋" w:eastAsia="仿宋" w:cs="仿宋"/>
          <w:color w:val="000000"/>
          <w:sz w:val="32"/>
          <w:szCs w:val="32"/>
          <w:u w:val="dotted"/>
        </w:rPr>
        <w:t xml:space="preserve">               </w:t>
      </w:r>
      <w:r>
        <w:rPr>
          <w:rFonts w:hint="eastAsia" w:ascii="仿宋" w:hAnsi="仿宋" w:eastAsia="仿宋" w:cs="仿宋"/>
          <w:color w:val="000000"/>
          <w:sz w:val="32"/>
          <w:szCs w:val="32"/>
        </w:rPr>
        <w:t>包号：</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采购人名称：</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采购文件获取日期：</w:t>
      </w:r>
      <w:r>
        <w:rPr>
          <w:rFonts w:hint="eastAsia" w:ascii="仿宋" w:hAnsi="仿宋" w:eastAsia="仿宋" w:cs="仿宋"/>
          <w:color w:val="000000"/>
          <w:sz w:val="32"/>
          <w:szCs w:val="32"/>
          <w:u w:val="dotted"/>
        </w:rPr>
        <w:t xml:space="preserve">                                           </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三、质疑事项具体内容</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质疑事项1：</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事实依据：</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法律依据：</w:t>
      </w: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u w:val="dotted"/>
        </w:rPr>
        <w:t xml:space="preserve">                                                     </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质疑事项2</w:t>
      </w:r>
    </w:p>
    <w:p>
      <w:pPr>
        <w:adjustRightInd w:val="0"/>
        <w:snapToGrid w:val="0"/>
        <w:spacing w:line="360" w:lineRule="auto"/>
        <w:rPr>
          <w:rFonts w:ascii="仿宋" w:hAnsi="仿宋" w:eastAsia="仿宋" w:cs="仿宋"/>
          <w:color w:val="000000"/>
          <w:sz w:val="32"/>
          <w:szCs w:val="32"/>
        </w:rPr>
      </w:pPr>
      <w:r>
        <w:rPr>
          <w:rFonts w:hint="eastAsia" w:ascii="仿宋" w:hAnsi="仿宋" w:eastAsia="仿宋" w:cs="仿宋"/>
          <w:color w:val="000000"/>
          <w:sz w:val="32"/>
          <w:szCs w:val="32"/>
        </w:rPr>
        <w:t>……</w:t>
      </w:r>
    </w:p>
    <w:p>
      <w:pPr>
        <w:adjustRightInd w:val="0"/>
        <w:snapToGrid w:val="0"/>
        <w:spacing w:line="360" w:lineRule="auto"/>
        <w:rPr>
          <w:rFonts w:ascii="黑体" w:hAnsi="黑体" w:eastAsia="黑体" w:cs="仿宋"/>
          <w:bCs/>
          <w:color w:val="000000"/>
          <w:sz w:val="32"/>
          <w:szCs w:val="32"/>
        </w:rPr>
      </w:pPr>
      <w:r>
        <w:rPr>
          <w:rFonts w:hint="eastAsia" w:ascii="黑体" w:hAnsi="黑体" w:eastAsia="黑体" w:cs="仿宋"/>
          <w:bCs/>
          <w:color w:val="000000"/>
          <w:sz w:val="32"/>
          <w:szCs w:val="32"/>
        </w:rPr>
        <w:t>四、与质疑事项相关的质疑请求</w:t>
      </w:r>
    </w:p>
    <w:p>
      <w:pPr>
        <w:adjustRightInd w:val="0"/>
        <w:snapToGrid w:val="0"/>
        <w:spacing w:line="360" w:lineRule="auto"/>
        <w:rPr>
          <w:rFonts w:ascii="仿宋" w:hAnsi="仿宋" w:eastAsia="仿宋" w:cs="仿宋"/>
          <w:color w:val="000000"/>
          <w:sz w:val="32"/>
          <w:szCs w:val="32"/>
          <w:u w:val="dotted"/>
        </w:rPr>
      </w:pPr>
      <w:r>
        <w:rPr>
          <w:rFonts w:hint="eastAsia" w:ascii="仿宋" w:hAnsi="仿宋" w:eastAsia="仿宋" w:cs="仿宋"/>
          <w:color w:val="000000"/>
          <w:sz w:val="32"/>
          <w:szCs w:val="32"/>
        </w:rPr>
        <w:t>请求：</w:t>
      </w:r>
      <w:r>
        <w:rPr>
          <w:rFonts w:hint="eastAsia" w:ascii="仿宋" w:hAnsi="仿宋" w:eastAsia="仿宋" w:cs="仿宋"/>
          <w:color w:val="000000"/>
          <w:sz w:val="32"/>
          <w:szCs w:val="32"/>
          <w:u w:val="dotted"/>
        </w:rPr>
        <w:t xml:space="preserve">                                               </w:t>
      </w:r>
    </w:p>
    <w:p>
      <w:pPr>
        <w:rPr>
          <w:rFonts w:ascii="仿宋_GB2312" w:eastAsia="仿宋_GB2312"/>
          <w:color w:val="000000"/>
          <w:sz w:val="30"/>
          <w:szCs w:val="30"/>
        </w:rPr>
      </w:pPr>
      <w:r>
        <w:rPr>
          <w:rFonts w:hint="eastAsia" w:ascii="仿宋_GB2312" w:eastAsia="仿宋_GB2312"/>
          <w:color w:val="000000"/>
          <w:sz w:val="30"/>
          <w:szCs w:val="30"/>
        </w:rPr>
        <w:t xml:space="preserve">签字(签章)：                   公章：                      </w:t>
      </w:r>
    </w:p>
    <w:p>
      <w:pPr>
        <w:rPr>
          <w:rFonts w:ascii="仿宋_GB2312" w:eastAsia="仿宋_GB2312"/>
          <w:color w:val="000000"/>
          <w:sz w:val="30"/>
          <w:szCs w:val="30"/>
        </w:rPr>
      </w:pPr>
      <w:r>
        <w:rPr>
          <w:rFonts w:hint="eastAsia" w:ascii="仿宋_GB2312" w:eastAsia="仿宋_GB2312"/>
          <w:color w:val="000000"/>
          <w:sz w:val="30"/>
          <w:szCs w:val="30"/>
        </w:rPr>
        <w:t xml:space="preserve">日期：    </w:t>
      </w:r>
    </w:p>
    <w:p>
      <w:pPr>
        <w:adjustRightInd w:val="0"/>
        <w:snapToGrid w:val="0"/>
        <w:spacing w:line="360" w:lineRule="auto"/>
        <w:rPr>
          <w:rFonts w:ascii="仿宋" w:hAnsi="仿宋" w:eastAsia="仿宋" w:cs="仿宋"/>
          <w:color w:val="000000"/>
          <w:sz w:val="32"/>
          <w:szCs w:val="32"/>
        </w:rPr>
      </w:pPr>
    </w:p>
    <w:p>
      <w:pPr>
        <w:jc w:val="center"/>
        <w:rPr>
          <w:rFonts w:ascii="仿宋" w:hAnsi="仿宋" w:eastAsia="仿宋" w:cs="仿宋"/>
          <w:b/>
          <w:bCs/>
          <w:color w:val="000000"/>
          <w:sz w:val="32"/>
          <w:szCs w:val="32"/>
        </w:rPr>
      </w:pPr>
    </w:p>
    <w:p>
      <w:pPr>
        <w:rPr>
          <w:rFonts w:ascii="黑体" w:hAnsi="黑体" w:eastAsia="黑体"/>
          <w:b/>
          <w:color w:val="000000"/>
          <w:sz w:val="32"/>
          <w:szCs w:val="32"/>
        </w:rPr>
      </w:pPr>
      <w:r>
        <w:rPr>
          <w:rFonts w:hint="eastAsia" w:ascii="黑体" w:hAnsi="黑体" w:eastAsia="黑体"/>
          <w:b/>
          <w:color w:val="000000"/>
          <w:sz w:val="32"/>
          <w:szCs w:val="32"/>
        </w:rPr>
        <w:t>质疑函制作说明：</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1.供应商提出质疑时，应提交质疑函和必要的证明材料。</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3.质疑供应商若对项目的某一分包进行质疑，质疑函中应列明具体分包号。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4.质疑函的质疑事项应具体、明确，并有必要的事实依据和法律依据。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5.质疑函的质疑请求应与质疑事项相关。</w:t>
      </w:r>
    </w:p>
    <w:p>
      <w:pPr>
        <w:ind w:firstLine="640" w:firstLineChars="200"/>
        <w:rPr>
          <w:rFonts w:hint="eastAsia"/>
          <w:color w:val="000000"/>
        </w:rPr>
      </w:pPr>
      <w:r>
        <w:rPr>
          <w:rFonts w:hint="eastAsia" w:ascii="仿宋_GB2312" w:eastAsia="仿宋_GB2312"/>
          <w:color w:val="000000"/>
          <w:sz w:val="32"/>
          <w:szCs w:val="32"/>
        </w:rPr>
        <w:t>6.质疑供应商为自然人的，质疑函应由本人签字；质疑供应商为法人或者其他组织的，质疑函应由法定代表人、主要负责人，或者其授权代表签字或者盖章，并加盖公章。</w:t>
      </w:r>
    </w:p>
    <w:p>
      <w:pPr>
        <w:pStyle w:val="32"/>
        <w:adjustRightInd w:val="0"/>
        <w:snapToGrid w:val="0"/>
        <w:spacing w:line="400" w:lineRule="exact"/>
        <w:jc w:val="center"/>
        <w:rPr>
          <w:rFonts w:hint="eastAsia"/>
          <w:color w:val="000000"/>
        </w:rPr>
      </w:pPr>
    </w:p>
    <w:p/>
    <w:sectPr>
      <w:footerReference r:id="rId13" w:type="first"/>
      <w:headerReference r:id="rId10" w:type="default"/>
      <w:footerReference r:id="rId11" w:type="default"/>
      <w:footerReference r:id="rId12" w:type="even"/>
      <w:pgSz w:w="11906" w:h="16838"/>
      <w:pgMar w:top="1440" w:right="1361" w:bottom="1440" w:left="1361"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pple-system">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Arial Unicode MS">
    <w:altName w:val="Arial"/>
    <w:panose1 w:val="020B0604020202020204"/>
    <w:charset w:val="00"/>
    <w:family w:val="roman"/>
    <w:pitch w:val="default"/>
    <w:sig w:usb0="00000003"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PMingLiU">
    <w:altName w:val="PMingLiU-ExtB"/>
    <w:panose1 w:val="02020300000000000000"/>
    <w:charset w:val="88"/>
    <w:family w:val="roman"/>
    <w:pitch w:val="default"/>
    <w:sig w:usb0="00000003" w:usb1="082E0000" w:usb2="00000016" w:usb3="00000000" w:csb0="00100001" w:csb1="00000000"/>
  </w:font>
  <w:font w:name="Arial Narrow">
    <w:panose1 w:val="020B0606020202030204"/>
    <w:charset w:val="00"/>
    <w:family w:val="swiss"/>
    <w:pitch w:val="default"/>
    <w:sig w:usb0="00000287" w:usb1="00000800" w:usb2="00000000" w:usb3="00000000" w:csb0="2000009F" w:csb1="DFD70000"/>
  </w:font>
  <w:font w:name="Helvetica">
    <w:altName w:val="Arial"/>
    <w:panose1 w:val="020B0604020202020204"/>
    <w:charset w:val="00"/>
    <w:family w:val="swiss"/>
    <w:pitch w:val="default"/>
    <w:sig w:usb0="000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1)">
    <w:altName w:val="Arial"/>
    <w:panose1 w:val="00000000000000000000"/>
    <w:charset w:val="00"/>
    <w:family w:val="auto"/>
    <w:pitch w:val="default"/>
    <w:sig w:usb0="20007A87" w:usb1="80000000" w:usb2="00000008" w:usb3="00000000" w:csb0="000001FF" w:csb1="00000000"/>
  </w:font>
  <w:font w:name="MS Mincho">
    <w:altName w:val="Yu Gothic UI"/>
    <w:panose1 w:val="02020609040205080304"/>
    <w:charset w:val="80"/>
    <w:family w:val="roman"/>
    <w:pitch w:val="default"/>
    <w:sig w:usb0="00000001" w:usb1="08070000" w:usb2="00000010" w:usb3="00000000" w:csb0="00020000" w:csb1="00000000"/>
  </w:font>
  <w:font w:name="’Times New Roman’">
    <w:altName w:val="宋体"/>
    <w:panose1 w:val="00000000000000000000"/>
    <w:charset w:val="86"/>
    <w:family w:val="roma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59"/>
      </w:rPr>
    </w:pPr>
    <w:r>
      <w:fldChar w:fldCharType="begin"/>
    </w:r>
    <w:r>
      <w:rPr>
        <w:rStyle w:val="59"/>
      </w:rPr>
      <w:instrText xml:space="preserve">PAGE  </w:instrText>
    </w:r>
    <w:r>
      <w:fldChar w:fldCharType="separate"/>
    </w:r>
    <w:r>
      <w:rPr>
        <w:rStyle w:val="59"/>
        <w:lang/>
      </w:rPr>
      <w:t>38</w:t>
    </w:r>
    <w:r>
      <w:fldChar w:fldCharType="end"/>
    </w:r>
  </w:p>
  <w:p>
    <w:pPr>
      <w:pStyle w:val="38"/>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3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46</w:t>
                          </w:r>
                          <w:r>
                            <w:rPr>
                              <w:szCs w:val="21"/>
                            </w:rPr>
                            <w:fldChar w:fldCharType="end"/>
                          </w:r>
                          <w:r>
                            <w:rPr>
                              <w:szCs w:val="21"/>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glE0NEAAAAD AQAADwAAAGRycy9kb3ducmV2LnhtbE2PwU7DMBBE70j8g7VI3KiTUkEJcXqo1Au3FoTEzY23cYS9 jmw3Tf6eLRe4jDSa1czbejN5J0aMqQ+koFwUIJDaYHrqFHy87x7WIFLWZLQLhApmTLBpbm9qXZlw oT2Oh9wJLqFUaQU256GSMrUWvU6LMCBxdgrR68w2dtJEfeFy7+SyKJ6k1z3xgtUDbi2234ezV/A8 fQYcEm7x6zS20fbz2r3NSt3flcUriIxT/juGKz6jQ8NMx3Amk4RTwI/kX+Xs8YXdUcGqXIFsavmf vfkBUEsDBBQAAAAIAIdO4kCkiDQvzgEAAJcDAAAOAAAAZHJzL2Uyb0RvYy54bWytU0tu2zAQ3Qfo HQjua9pC66aC5aCFkaJA0QZIewCaoiwC/IFDW/IFmhtk1U33PZfP0SElOZ9usuhGHs2M37z3ZrS6 6o0mBxlAOVvRxWxOibTC1cruKvrj+/XrS0ogcltz7ays6FECvVq/ulh1vpSFa52uZSAIYqHsfEXb GH3JGIhWGg4z56XFYuOC4RFfw47VgXeIbjQr5vMl61yofXBCAmB2MxTpiBheAuiaRgm5cWJvpI0D apCaR5QErfJA15lt00gRvzUNyEh0RVFpzE8cgvE2Pdl6xctd4L5VYqTAX0LhmSbDlcWhZ6gNj5zs g/oHyigRHLgmzoQzbBCSHUEVi/kzb25b7mXWglaDP5sO/w9WfD3cBKLqihaUWG5w4af7u9OvP6ff P0mR7Ok8lNh167Ev9h9dj0cz5QGTSXXfBJN+UQ/BOpp7PJsr+0gEJos375ZvsSKwVCyLy/fZfPbw Zx8gfpLOkBRUNODusqX88AUiEsHWqSXNsu5aaZ33p+2TBDamDEvMB4Ypiv22H+VsXX1ENR2uvaIW r5wS/dmiq+lCpiBMwXYK9j6oXYvUFpkX+A/7iCQytzRhgB0H474y5fG20kE8fs9dD9/T+i9QSwME CgAAAAAAh07iQAAAAAAAAAAAAAAAAAYAAABfcmVscy9QSwMEFAAAAAgAh07iQIoUZjzRAAAAlAEA AAsAAABfcmVscy8ucmVsc6WQwWrDMAyG74O9g9F9cZrDGKNOL6PQa+kewNiKYxpbRjLZ+vbzDoNl 9LajfqHvE//+8JkWtSJLpGxg1/WgMDvyMQcD75fj0wsoqTZ7u1BGAzcUOIyPD/szLra2I5ljEdUo WQzMtZZXrcXNmKx0VDC3zUScbG0jB12su9qAeuj7Z82/GTBumOrkDfDJD6Aut9LMf9gpOiahqXaO kqZpiu4eVQe2ZY7uyDbhG7lGsxywGvAsGgdqWdd+BH1fv/un3tNHPuO61X6HjOuPV2+6HL8AUEsD BBQAAAAIAIdO4kB+5uUg9wAAAOEBAAATAAAAW0NvbnRlbnRfVHlwZXNdLnhtbJWRQU7DMBBF90jc wfIWJU67QAgl6YK0S0CoHGBkTxKLZGx5TGhvj5O2G0SRWNoz/78nu9wcxkFMGNg6quQqL6RA0s5Y 6ir5vt9lD1JwBDIwOMJKHpHlpr69KfdHjyxSmriSfYz+USnWPY7AufNIadK6MEJMx9ApD/oDOlTr orhX2lFEilmcO2RdNtjC5xDF9pCuTyYBB5bi6bQ4syoJ3g9WQ0ymaiLzg5KdCXlKLjvcW893SUOq Xwnz5DrgnHtJTxOsQfEKIT7DmDSUCayM+6KAU/53yWw5cuba1mrMm8BNir3hdLG61o5r1zj93/Lt krp0q+WD6m9QSwECFAAUAAAACACHTuJAfublIPcAAADhAQAAEwAAAAAAAAABACAAAAA4BAAAW0Nv bnRlbnRfVHlwZXNdLnhtbFBLAQIUAAoAAAAAAIdO4kAAAAAAAAAAAAAAAAAGAAAAAAAAAAAAEAAA ABoDAABfcmVscy9QSwECFAAUAAAACACHTuJAihRmPNEAAACUAQAACwAAAAAAAAABACAAAAA+AwAA X3JlbHMvLnJlbHNQSwECFAAKAAAAAACHTuJAAAAAAAAAAAAAAAAABAAAAAAAAAAAABAAAAAAAAAA ZHJzL1BLAQIUABQAAAAIAIdO4kB+CUTQ0QAAAAMBAAAPAAAAAAAAAAEAIAAAACIAAABkcnMvZG93 bnJldi54bWxQSwECFAAUAAAACACHTuJApIg0L84BAACXAwAADgAAAAAAAAABACAAAAAgAQAAZHJz L2Uyb0RvYy54bWxQSwUGAAAAAAYABgBZAQAAYAUAAAAA ">
              <v:fill on="f" focussize="0,0"/>
              <v:stroke on="f"/>
              <v:imagedata o:title=""/>
              <o:lock v:ext="edit" aspectratio="f"/>
              <v:textbox inset="0mm,0mm,0mm,0mm" style="mso-fit-shape-to-text:t;">
                <w:txbxContent>
                  <w:p>
                    <w:pPr>
                      <w:pStyle w:val="3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46</w:t>
                    </w:r>
                    <w:r>
                      <w:rPr>
                        <w:szCs w:val="21"/>
                      </w:rPr>
                      <w:fldChar w:fldCharType="end"/>
                    </w:r>
                    <w:r>
                      <w:rPr>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262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a:noFill/>
                      </a:ln>
                    </wps:spPr>
                    <wps:txbx>
                      <w:txbxContent>
                        <w:p>
                          <w:pPr>
                            <w:pStyle w:val="3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39</w:t>
                          </w:r>
                          <w:r>
                            <w:rPr>
                              <w:szCs w:val="21"/>
                            </w:rPr>
                            <w:fldChar w:fldCharType="end"/>
                          </w:r>
                          <w:r>
                            <w:rPr>
                              <w:szCs w:val="21"/>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60288;mso-width-relative:page;mso-height-relative:page;" filled="f" stroked="f" coordsize="21600,21600" o:gfxdata="UEsDBAoAAAAAAIdO4kAAAAAAAAAAAAAAAAAEAAAAZHJzL1BLAwQUAAAACACHTuJAfglE0NEAAAAD AQAADwAAAGRycy9kb3ducmV2LnhtbE2PwU7DMBBE70j8g7VI3KiTUkEJcXqo1Au3FoTEzY23cYS9 jmw3Tf6eLRe4jDSa1czbejN5J0aMqQ+koFwUIJDaYHrqFHy87x7WIFLWZLQLhApmTLBpbm9qXZlw oT2Oh9wJLqFUaQU256GSMrUWvU6LMCBxdgrR68w2dtJEfeFy7+SyKJ6k1z3xgtUDbi2234ezV/A8 fQYcEm7x6zS20fbz2r3NSt3flcUriIxT/juGKz6jQ8NMx3Amk4RTwI/kX+Xs8YXdUcGqXIFsavmf vfkBUEsDBBQAAAAIAIdO4kBygkPCzwEAAJcDAAAOAAAAZHJzL2Uyb0RvYy54bWytU82O0zAQviPx Dpbv1G12KUvUdMWqWoSEAGl3H8B1nMaS/+Rxm/QF4A04ceHOc/U5GDtJF5bLHrikk5npN9/3zWR1 3RtNDjKAcraii9mcEmmFq5XdVfTh/vbVFSUQua25dlZW9CiBXq9fvlh1vpSFa52uZSAIYqHsfEXb GH3JGIhWGg4z56XFYuOC4RFfw47VgXeIbjQr5vMl61yofXBCAmB2MxTpiBieA+iaRgm5cWJvpI0D apCaR5QErfJA15lt00gRPzcNyEh0RVFpzE8cgvE2Pdl6xctd4L5VYqTAn0PhiSbDlcWhZ6gNj5zs g/oHyigRHLgmzoQzbBCSHUEVi/kTb+5a7mXWglaDP5sO/w9WfDp8CUTVFb2gxHKDCz99/3b68ev0 8yu5SPZ0HkrsuvPYF/sb1+PRTHnAZFLdN8GkX9RDsI7mHs/myj4Sgcni8s3yNVYEloplcfU2m88e /+wDxPfSGZKCigbcXbaUHz5CRCLYOrWkWdbdKq3z/rT9K4GNKcMS84FhimK/7Uc5W1cfUU2Ha6+o xSunRH+w6Gq6kCkIU7Cdgr0PatcitUXmBf7dPiKJzC1NGGDHwbivTHm8rXQQf77nrsfvaf0b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fglE0NEAAAADAQAADwAAAAAAAAABACAAAAAiAAAAZHJzL2Rv d25yZXYueG1sUEsBAhQAFAAAAAgAh07iQHKCQ8LPAQAAlwMAAA4AAAAAAAAAAQAgAAAAIAEAAGRy cy9lMm9Eb2MueG1sUEsFBgAAAAAGAAYAWQEAAGEFAAAAAA== ">
              <v:fill on="f" focussize="0,0"/>
              <v:stroke on="f"/>
              <v:imagedata o:title=""/>
              <o:lock v:ext="edit" aspectratio="f"/>
              <v:textbox inset="0mm,0mm,0mm,0mm" style="mso-fit-shape-to-text:t;">
                <w:txbxContent>
                  <w:p>
                    <w:pPr>
                      <w:pStyle w:val="3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39</w:t>
                    </w:r>
                    <w:r>
                      <w:rPr>
                        <w:szCs w:val="21"/>
                      </w:rPr>
                      <w:fldChar w:fldCharType="end"/>
                    </w:r>
                    <w:r>
                      <w:rPr>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59"/>
      </w:rPr>
    </w:pPr>
    <w:r>
      <w:fldChar w:fldCharType="begin"/>
    </w:r>
    <w:r>
      <w:rPr>
        <w:rStyle w:val="59"/>
      </w:rPr>
      <w:instrText xml:space="preserve">PAGE  </w:instrText>
    </w:r>
    <w:r>
      <w:fldChar w:fldCharType="separate"/>
    </w:r>
    <w:r>
      <w:rPr>
        <w:rStyle w:val="59"/>
        <w:lang/>
      </w:rPr>
      <w:t>49</w:t>
    </w:r>
    <w:r>
      <w:fldChar w:fldCharType="end"/>
    </w:r>
  </w:p>
  <w:p>
    <w:pPr>
      <w:pStyle w:val="38"/>
      <w:jc w:val="right"/>
      <w:rPr>
        <w:rFonts w:hint="eastAsia"/>
      </w:rPr>
    </w:pPr>
    <w:r>
      <w:rPr>
        <w:szCs w:val="21"/>
        <w:shd w:val="pct10" w:color="auto" w:fill="FFFFF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59"/>
      </w:rPr>
    </w:pPr>
    <w:r>
      <w:fldChar w:fldCharType="begin"/>
    </w:r>
    <w:r>
      <w:rPr>
        <w:rStyle w:val="59"/>
      </w:rPr>
      <w:instrText xml:space="preserve">PAGE  </w:instrText>
    </w:r>
    <w:r>
      <w:fldChar w:fldCharType="end"/>
    </w:r>
  </w:p>
  <w:p>
    <w:pPr>
      <w:pStyle w:val="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hd w:val="clear" w:color="auto" w:fill="FFFFFF"/>
      <w:jc w:val="both"/>
      <w:rPr>
        <w:rFonts w:hint="eastAsia"/>
      </w:rPr>
    </w:pPr>
    <w:r>
      <w:rPr>
        <w:rFonts w:hint="eastAsia"/>
        <w:shd w:val="pct10" w:color="auto" w:fill="FFFFFF"/>
      </w:rPr>
      <w:t>平阳县公共资源交易中心招标文件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hd w:val="clear" w:color="auto" w:fill="FFFFFF"/>
      <w:jc w:val="both"/>
      <w:rPr>
        <w:rFonts w:hint="eastAsia"/>
      </w:rPr>
    </w:pPr>
    <w:r>
      <w:rPr>
        <w:rFonts w:hint="eastAsia"/>
        <w:shd w:val="pct10" w:color="auto" w:fill="FFFFFF"/>
      </w:rPr>
      <w:t>平阳县公共资源交易中心招标文件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hd w:val="clear" w:color="auto" w:fill="FFFFFF"/>
      <w:jc w:val="both"/>
      <w:rPr>
        <w:rFonts w:hint="eastAsia"/>
      </w:rPr>
    </w:pPr>
    <w:r>
      <w:rPr>
        <w:rFonts w:hint="eastAsia"/>
        <w:shd w:val="pct10" w:color="auto" w:fill="FFFFFF"/>
      </w:rPr>
      <w:t>平阳县公共资源交易中心招标文件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5FA59A"/>
    <w:multiLevelType w:val="singleLevel"/>
    <w:tmpl w:val="A35FA59A"/>
    <w:lvl w:ilvl="0" w:tentative="0">
      <w:start w:val="5"/>
      <w:numFmt w:val="decimal"/>
      <w:suff w:val="nothing"/>
      <w:lvlText w:val="%1、"/>
      <w:lvlJc w:val="left"/>
    </w:lvl>
  </w:abstractNum>
  <w:abstractNum w:abstractNumId="1">
    <w:nsid w:val="BF205925"/>
    <w:multiLevelType w:val="multilevel"/>
    <w:tmpl w:val="BF205925"/>
    <w:lvl w:ilvl="0" w:tentative="0">
      <w:start w:val="1"/>
      <w:numFmt w:val="decimal"/>
      <w:lvlText w:val="%1)"/>
      <w:lvlJc w:val="left"/>
      <w:pPr>
        <w:ind w:left="1800" w:hanging="420"/>
      </w:pPr>
      <w:rPr>
        <w:rFonts w:hint="default"/>
        <w:w w:val="100"/>
        <w:lang w:val="zh-CN" w:eastAsia="zh-CN" w:bidi="zh-CN"/>
      </w:rPr>
    </w:lvl>
    <w:lvl w:ilvl="1" w:tentative="0">
      <w:start w:val="0"/>
      <w:numFmt w:val="bullet"/>
      <w:lvlText w:val="•"/>
      <w:lvlJc w:val="left"/>
      <w:pPr>
        <w:ind w:left="2484" w:hanging="420"/>
      </w:pPr>
      <w:rPr>
        <w:rFonts w:hint="default"/>
        <w:lang w:val="zh-CN" w:eastAsia="zh-CN" w:bidi="zh-CN"/>
      </w:rPr>
    </w:lvl>
    <w:lvl w:ilvl="2" w:tentative="0">
      <w:start w:val="0"/>
      <w:numFmt w:val="bullet"/>
      <w:lvlText w:val="•"/>
      <w:lvlJc w:val="left"/>
      <w:pPr>
        <w:ind w:left="3169" w:hanging="420"/>
      </w:pPr>
      <w:rPr>
        <w:rFonts w:hint="default"/>
        <w:lang w:val="zh-CN" w:eastAsia="zh-CN" w:bidi="zh-CN"/>
      </w:rPr>
    </w:lvl>
    <w:lvl w:ilvl="3" w:tentative="0">
      <w:start w:val="0"/>
      <w:numFmt w:val="bullet"/>
      <w:lvlText w:val="•"/>
      <w:lvlJc w:val="left"/>
      <w:pPr>
        <w:ind w:left="3853" w:hanging="420"/>
      </w:pPr>
      <w:rPr>
        <w:rFonts w:hint="default"/>
        <w:lang w:val="zh-CN" w:eastAsia="zh-CN" w:bidi="zh-CN"/>
      </w:rPr>
    </w:lvl>
    <w:lvl w:ilvl="4" w:tentative="0">
      <w:start w:val="0"/>
      <w:numFmt w:val="bullet"/>
      <w:lvlText w:val="•"/>
      <w:lvlJc w:val="left"/>
      <w:pPr>
        <w:ind w:left="4538" w:hanging="420"/>
      </w:pPr>
      <w:rPr>
        <w:rFonts w:hint="default"/>
        <w:lang w:val="zh-CN" w:eastAsia="zh-CN" w:bidi="zh-CN"/>
      </w:rPr>
    </w:lvl>
    <w:lvl w:ilvl="5" w:tentative="0">
      <w:start w:val="0"/>
      <w:numFmt w:val="bullet"/>
      <w:lvlText w:val="•"/>
      <w:lvlJc w:val="left"/>
      <w:pPr>
        <w:ind w:left="5223" w:hanging="420"/>
      </w:pPr>
      <w:rPr>
        <w:rFonts w:hint="default"/>
        <w:lang w:val="zh-CN" w:eastAsia="zh-CN" w:bidi="zh-CN"/>
      </w:rPr>
    </w:lvl>
    <w:lvl w:ilvl="6" w:tentative="0">
      <w:start w:val="0"/>
      <w:numFmt w:val="bullet"/>
      <w:lvlText w:val="•"/>
      <w:lvlJc w:val="left"/>
      <w:pPr>
        <w:ind w:left="5907" w:hanging="420"/>
      </w:pPr>
      <w:rPr>
        <w:rFonts w:hint="default"/>
        <w:lang w:val="zh-CN" w:eastAsia="zh-CN" w:bidi="zh-CN"/>
      </w:rPr>
    </w:lvl>
    <w:lvl w:ilvl="7" w:tentative="0">
      <w:start w:val="0"/>
      <w:numFmt w:val="bullet"/>
      <w:lvlText w:val="•"/>
      <w:lvlJc w:val="left"/>
      <w:pPr>
        <w:ind w:left="6592" w:hanging="420"/>
      </w:pPr>
      <w:rPr>
        <w:rFonts w:hint="default"/>
        <w:lang w:val="zh-CN" w:eastAsia="zh-CN" w:bidi="zh-CN"/>
      </w:rPr>
    </w:lvl>
    <w:lvl w:ilvl="8" w:tentative="0">
      <w:start w:val="0"/>
      <w:numFmt w:val="bullet"/>
      <w:lvlText w:val="•"/>
      <w:lvlJc w:val="left"/>
      <w:pPr>
        <w:ind w:left="7277" w:hanging="420"/>
      </w:pPr>
      <w:rPr>
        <w:rFonts w:hint="default"/>
        <w:lang w:val="zh-CN" w:eastAsia="zh-CN" w:bidi="zh-CN"/>
      </w:rPr>
    </w:lvl>
  </w:abstractNum>
  <w:abstractNum w:abstractNumId="2">
    <w:nsid w:val="E158666B"/>
    <w:multiLevelType w:val="singleLevel"/>
    <w:tmpl w:val="E158666B"/>
    <w:lvl w:ilvl="0" w:tentative="0">
      <w:start w:val="12"/>
      <w:numFmt w:val="decimal"/>
      <w:suff w:val="nothing"/>
      <w:lvlText w:val="%1、"/>
      <w:lvlJc w:val="left"/>
    </w:lvl>
  </w:abstractNum>
  <w:abstractNum w:abstractNumId="3">
    <w:nsid w:val="F4A53E90"/>
    <w:multiLevelType w:val="singleLevel"/>
    <w:tmpl w:val="F4A53E90"/>
    <w:lvl w:ilvl="0" w:tentative="0">
      <w:start w:val="5"/>
      <w:numFmt w:val="decimal"/>
      <w:suff w:val="nothing"/>
      <w:lvlText w:val="%1、"/>
      <w:lvlJc w:val="left"/>
    </w:lvl>
  </w:abstractNum>
  <w:abstractNum w:abstractNumId="4">
    <w:nsid w:val="00000001"/>
    <w:multiLevelType w:val="singleLevel"/>
    <w:tmpl w:val="00000001"/>
    <w:lvl w:ilvl="0" w:tentative="0">
      <w:start w:val="1"/>
      <w:numFmt w:val="bullet"/>
      <w:pStyle w:val="465"/>
      <w:lvlText w:val=""/>
      <w:lvlJc w:val="left"/>
      <w:pPr>
        <w:tabs>
          <w:tab w:val="left" w:pos="780"/>
        </w:tabs>
        <w:ind w:left="780" w:hanging="360"/>
      </w:pPr>
      <w:rPr>
        <w:rFonts w:hint="default" w:ascii="Wingdings" w:hAnsi="Wingdings"/>
      </w:rPr>
    </w:lvl>
  </w:abstractNum>
  <w:abstractNum w:abstractNumId="5">
    <w:nsid w:val="0000000E"/>
    <w:multiLevelType w:val="multilevel"/>
    <w:tmpl w:val="0000000E"/>
    <w:lvl w:ilvl="0" w:tentative="0">
      <w:start w:val="1"/>
      <w:numFmt w:val="decimal"/>
      <w:pStyle w:val="26"/>
      <w:lvlText w:val="%1"/>
      <w:lvlJc w:val="left"/>
      <w:pPr>
        <w:tabs>
          <w:tab w:val="left" w:pos="432"/>
        </w:tabs>
        <w:ind w:left="432" w:hanging="432"/>
      </w:pPr>
    </w:lvl>
    <w:lvl w:ilvl="1" w:tentative="0">
      <w:start w:val="1"/>
      <w:numFmt w:val="decimal"/>
      <w:pStyle w:val="319"/>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11"/>
      <w:lvlText w:val="%1.%2.%3.%4.%5.%6"/>
      <w:lvlJc w:val="left"/>
      <w:pPr>
        <w:tabs>
          <w:tab w:val="left" w:pos="1152"/>
        </w:tabs>
        <w:ind w:left="1152" w:hanging="1152"/>
      </w:pPr>
    </w:lvl>
    <w:lvl w:ilvl="6" w:tentative="0">
      <w:start w:val="1"/>
      <w:numFmt w:val="decimal"/>
      <w:pStyle w:val="12"/>
      <w:lvlText w:val="%1.%2.%3.%4.%5.%6.%7"/>
      <w:lvlJc w:val="left"/>
      <w:pPr>
        <w:tabs>
          <w:tab w:val="left" w:pos="1296"/>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5"/>
      <w:lvlText w:val="%1.%2.%3.%4.%5.%6.%7.%8.%9"/>
      <w:lvlJc w:val="left"/>
      <w:pPr>
        <w:tabs>
          <w:tab w:val="left" w:pos="1584"/>
        </w:tabs>
        <w:ind w:left="1584" w:hanging="1584"/>
      </w:pPr>
    </w:lvl>
  </w:abstractNum>
  <w:abstractNum w:abstractNumId="6">
    <w:nsid w:val="00000014"/>
    <w:multiLevelType w:val="multilevel"/>
    <w:tmpl w:val="00000014"/>
    <w:lvl w:ilvl="0" w:tentative="0">
      <w:start w:val="1"/>
      <w:numFmt w:val="bullet"/>
      <w:pStyle w:val="339"/>
      <w:lvlText w:val=""/>
      <w:lvlJc w:val="left"/>
      <w:pPr>
        <w:tabs>
          <w:tab w:val="left" w:pos="1540"/>
        </w:tabs>
        <w:ind w:left="1540" w:hanging="420"/>
      </w:pPr>
      <w:rPr>
        <w:rFonts w:hint="default" w:ascii="Wingdings" w:hAnsi="Wingdings"/>
      </w:rPr>
    </w:lvl>
    <w:lvl w:ilvl="1" w:tentative="0">
      <w:start w:val="1"/>
      <w:numFmt w:val="bullet"/>
      <w:lvlText w:val=""/>
      <w:lvlJc w:val="left"/>
      <w:pPr>
        <w:tabs>
          <w:tab w:val="left" w:pos="1960"/>
        </w:tabs>
        <w:ind w:left="1960" w:hanging="420"/>
      </w:pPr>
      <w:rPr>
        <w:rFonts w:hint="default" w:ascii="Wingdings" w:hAnsi="Wingdings"/>
      </w:rPr>
    </w:lvl>
    <w:lvl w:ilvl="2" w:tentative="0">
      <w:start w:val="1"/>
      <w:numFmt w:val="bullet"/>
      <w:lvlText w:val=""/>
      <w:lvlJc w:val="left"/>
      <w:pPr>
        <w:tabs>
          <w:tab w:val="left" w:pos="2380"/>
        </w:tabs>
        <w:ind w:left="2380" w:hanging="420"/>
      </w:pPr>
      <w:rPr>
        <w:rFonts w:hint="default" w:ascii="Wingdings" w:hAnsi="Wingdings"/>
      </w:rPr>
    </w:lvl>
    <w:lvl w:ilvl="3" w:tentative="0">
      <w:start w:val="1"/>
      <w:numFmt w:val="bullet"/>
      <w:lvlText w:val=""/>
      <w:lvlJc w:val="left"/>
      <w:pPr>
        <w:tabs>
          <w:tab w:val="left" w:pos="2800"/>
        </w:tabs>
        <w:ind w:left="2800" w:hanging="420"/>
      </w:pPr>
      <w:rPr>
        <w:rFonts w:hint="default" w:ascii="Wingdings" w:hAnsi="Wingdings"/>
      </w:rPr>
    </w:lvl>
    <w:lvl w:ilvl="4" w:tentative="0">
      <w:start w:val="1"/>
      <w:numFmt w:val="bullet"/>
      <w:lvlText w:val=""/>
      <w:lvlJc w:val="left"/>
      <w:pPr>
        <w:tabs>
          <w:tab w:val="left" w:pos="3220"/>
        </w:tabs>
        <w:ind w:left="3220" w:hanging="420"/>
      </w:pPr>
      <w:rPr>
        <w:rFonts w:hint="default" w:ascii="Wingdings" w:hAnsi="Wingdings"/>
      </w:rPr>
    </w:lvl>
    <w:lvl w:ilvl="5" w:tentative="0">
      <w:start w:val="1"/>
      <w:numFmt w:val="bullet"/>
      <w:lvlText w:val=""/>
      <w:lvlJc w:val="left"/>
      <w:pPr>
        <w:tabs>
          <w:tab w:val="left" w:pos="3640"/>
        </w:tabs>
        <w:ind w:left="3640" w:hanging="420"/>
      </w:pPr>
      <w:rPr>
        <w:rFonts w:hint="default" w:ascii="Wingdings" w:hAnsi="Wingdings"/>
      </w:rPr>
    </w:lvl>
    <w:lvl w:ilvl="6" w:tentative="0">
      <w:start w:val="1"/>
      <w:numFmt w:val="bullet"/>
      <w:lvlText w:val=""/>
      <w:lvlJc w:val="left"/>
      <w:pPr>
        <w:tabs>
          <w:tab w:val="left" w:pos="4060"/>
        </w:tabs>
        <w:ind w:left="4060" w:hanging="420"/>
      </w:pPr>
      <w:rPr>
        <w:rFonts w:hint="default" w:ascii="Wingdings" w:hAnsi="Wingdings"/>
      </w:rPr>
    </w:lvl>
    <w:lvl w:ilvl="7" w:tentative="0">
      <w:start w:val="1"/>
      <w:numFmt w:val="bullet"/>
      <w:lvlText w:val=""/>
      <w:lvlJc w:val="left"/>
      <w:pPr>
        <w:tabs>
          <w:tab w:val="left" w:pos="4480"/>
        </w:tabs>
        <w:ind w:left="4480" w:hanging="420"/>
      </w:pPr>
      <w:rPr>
        <w:rFonts w:hint="default" w:ascii="Wingdings" w:hAnsi="Wingdings"/>
      </w:rPr>
    </w:lvl>
    <w:lvl w:ilvl="8" w:tentative="0">
      <w:start w:val="1"/>
      <w:numFmt w:val="bullet"/>
      <w:lvlText w:val=""/>
      <w:lvlJc w:val="left"/>
      <w:pPr>
        <w:tabs>
          <w:tab w:val="left" w:pos="4900"/>
        </w:tabs>
        <w:ind w:left="4900" w:hanging="420"/>
      </w:pPr>
      <w:rPr>
        <w:rFonts w:hint="default" w:ascii="Wingdings" w:hAnsi="Wingdings"/>
      </w:rPr>
    </w:lvl>
  </w:abstractNum>
  <w:abstractNum w:abstractNumId="7">
    <w:nsid w:val="00000016"/>
    <w:multiLevelType w:val="multilevel"/>
    <w:tmpl w:val="00000016"/>
    <w:lvl w:ilvl="0" w:tentative="0">
      <w:start w:val="1"/>
      <w:numFmt w:val="decimal"/>
      <w:lvlText w:val="%1."/>
      <w:lvlJc w:val="left"/>
      <w:pPr>
        <w:tabs>
          <w:tab w:val="left" w:pos="720"/>
        </w:tabs>
        <w:ind w:left="720" w:hanging="720"/>
      </w:pPr>
      <w:rPr>
        <w:rFonts w:hint="default"/>
        <w:color w:val="auto"/>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8">
    <w:nsid w:val="00000021"/>
    <w:multiLevelType w:val="singleLevel"/>
    <w:tmpl w:val="00000021"/>
    <w:lvl w:ilvl="0" w:tentative="0">
      <w:start w:val="1"/>
      <w:numFmt w:val="bullet"/>
      <w:lvlText w:val=""/>
      <w:lvlJc w:val="left"/>
      <w:pPr>
        <w:tabs>
          <w:tab w:val="left" w:pos="965"/>
        </w:tabs>
        <w:ind w:left="965" w:hanging="425"/>
      </w:pPr>
      <w:rPr>
        <w:rFonts w:hint="default" w:ascii="Wingdings" w:hAnsi="Wingdings"/>
      </w:rPr>
    </w:lvl>
  </w:abstractNum>
  <w:abstractNum w:abstractNumId="9">
    <w:nsid w:val="1D43956E"/>
    <w:multiLevelType w:val="singleLevel"/>
    <w:tmpl w:val="1D43956E"/>
    <w:lvl w:ilvl="0" w:tentative="0">
      <w:start w:val="6"/>
      <w:numFmt w:val="chineseCounting"/>
      <w:suff w:val="nothing"/>
      <w:lvlText w:val="%1、"/>
      <w:lvlJc w:val="left"/>
      <w:rPr>
        <w:rFonts w:hint="eastAsia"/>
      </w:rPr>
    </w:lvl>
  </w:abstractNum>
  <w:abstractNum w:abstractNumId="10">
    <w:nsid w:val="2207C0D0"/>
    <w:multiLevelType w:val="singleLevel"/>
    <w:tmpl w:val="2207C0D0"/>
    <w:lvl w:ilvl="0" w:tentative="0">
      <w:start w:val="1"/>
      <w:numFmt w:val="chineseCounting"/>
      <w:suff w:val="nothing"/>
      <w:lvlText w:val="（%1）"/>
      <w:lvlJc w:val="left"/>
      <w:pPr>
        <w:ind w:left="0" w:firstLine="420"/>
      </w:pPr>
      <w:rPr>
        <w:rFonts w:hint="eastAsia"/>
      </w:rPr>
    </w:lvl>
  </w:abstractNum>
  <w:abstractNum w:abstractNumId="11">
    <w:nsid w:val="59ADCABA"/>
    <w:multiLevelType w:val="multilevel"/>
    <w:tmpl w:val="59ADCABA"/>
    <w:lvl w:ilvl="0" w:tentative="0">
      <w:start w:val="1"/>
      <w:numFmt w:val="decimal"/>
      <w:lvlText w:val="%1)"/>
      <w:lvlJc w:val="left"/>
      <w:pPr>
        <w:ind w:left="1800" w:hanging="420"/>
      </w:pPr>
      <w:rPr>
        <w:rFonts w:hint="default" w:ascii="宋体" w:hAnsi="宋体" w:eastAsia="宋体" w:cs="宋体"/>
        <w:w w:val="100"/>
        <w:sz w:val="21"/>
        <w:szCs w:val="21"/>
        <w:lang w:val="zh-CN" w:eastAsia="zh-CN" w:bidi="zh-CN"/>
      </w:rPr>
    </w:lvl>
    <w:lvl w:ilvl="1" w:tentative="0">
      <w:start w:val="0"/>
      <w:numFmt w:val="bullet"/>
      <w:lvlText w:val="•"/>
      <w:lvlJc w:val="left"/>
      <w:pPr>
        <w:ind w:left="2484" w:hanging="420"/>
      </w:pPr>
      <w:rPr>
        <w:rFonts w:hint="default"/>
        <w:lang w:val="zh-CN" w:eastAsia="zh-CN" w:bidi="zh-CN"/>
      </w:rPr>
    </w:lvl>
    <w:lvl w:ilvl="2" w:tentative="0">
      <w:start w:val="0"/>
      <w:numFmt w:val="bullet"/>
      <w:lvlText w:val="•"/>
      <w:lvlJc w:val="left"/>
      <w:pPr>
        <w:ind w:left="3169" w:hanging="420"/>
      </w:pPr>
      <w:rPr>
        <w:rFonts w:hint="default"/>
        <w:lang w:val="zh-CN" w:eastAsia="zh-CN" w:bidi="zh-CN"/>
      </w:rPr>
    </w:lvl>
    <w:lvl w:ilvl="3" w:tentative="0">
      <w:start w:val="0"/>
      <w:numFmt w:val="bullet"/>
      <w:lvlText w:val="•"/>
      <w:lvlJc w:val="left"/>
      <w:pPr>
        <w:ind w:left="3853" w:hanging="420"/>
      </w:pPr>
      <w:rPr>
        <w:rFonts w:hint="default"/>
        <w:lang w:val="zh-CN" w:eastAsia="zh-CN" w:bidi="zh-CN"/>
      </w:rPr>
    </w:lvl>
    <w:lvl w:ilvl="4" w:tentative="0">
      <w:start w:val="0"/>
      <w:numFmt w:val="bullet"/>
      <w:lvlText w:val="•"/>
      <w:lvlJc w:val="left"/>
      <w:pPr>
        <w:ind w:left="4538" w:hanging="420"/>
      </w:pPr>
      <w:rPr>
        <w:rFonts w:hint="default"/>
        <w:lang w:val="zh-CN" w:eastAsia="zh-CN" w:bidi="zh-CN"/>
      </w:rPr>
    </w:lvl>
    <w:lvl w:ilvl="5" w:tentative="0">
      <w:start w:val="0"/>
      <w:numFmt w:val="bullet"/>
      <w:lvlText w:val="•"/>
      <w:lvlJc w:val="left"/>
      <w:pPr>
        <w:ind w:left="5223" w:hanging="420"/>
      </w:pPr>
      <w:rPr>
        <w:rFonts w:hint="default"/>
        <w:lang w:val="zh-CN" w:eastAsia="zh-CN" w:bidi="zh-CN"/>
      </w:rPr>
    </w:lvl>
    <w:lvl w:ilvl="6" w:tentative="0">
      <w:start w:val="0"/>
      <w:numFmt w:val="bullet"/>
      <w:lvlText w:val="•"/>
      <w:lvlJc w:val="left"/>
      <w:pPr>
        <w:ind w:left="5907" w:hanging="420"/>
      </w:pPr>
      <w:rPr>
        <w:rFonts w:hint="default"/>
        <w:lang w:val="zh-CN" w:eastAsia="zh-CN" w:bidi="zh-CN"/>
      </w:rPr>
    </w:lvl>
    <w:lvl w:ilvl="7" w:tentative="0">
      <w:start w:val="0"/>
      <w:numFmt w:val="bullet"/>
      <w:lvlText w:val="•"/>
      <w:lvlJc w:val="left"/>
      <w:pPr>
        <w:ind w:left="6592" w:hanging="420"/>
      </w:pPr>
      <w:rPr>
        <w:rFonts w:hint="default"/>
        <w:lang w:val="zh-CN" w:eastAsia="zh-CN" w:bidi="zh-CN"/>
      </w:rPr>
    </w:lvl>
    <w:lvl w:ilvl="8" w:tentative="0">
      <w:start w:val="0"/>
      <w:numFmt w:val="bullet"/>
      <w:lvlText w:val="•"/>
      <w:lvlJc w:val="left"/>
      <w:pPr>
        <w:ind w:left="7277" w:hanging="420"/>
      </w:pPr>
      <w:rPr>
        <w:rFonts w:hint="default"/>
        <w:lang w:val="zh-CN" w:eastAsia="zh-CN" w:bidi="zh-CN"/>
      </w:rPr>
    </w:lvl>
  </w:abstractNum>
  <w:abstractNum w:abstractNumId="12">
    <w:nsid w:val="6F803EB3"/>
    <w:multiLevelType w:val="multilevel"/>
    <w:tmpl w:val="6F803EB3"/>
    <w:lvl w:ilvl="0" w:tentative="0">
      <w:start w:val="1"/>
      <w:numFmt w:val="bullet"/>
      <w:lvlText w:val=""/>
      <w:lvlJc w:val="left"/>
      <w:pPr>
        <w:tabs>
          <w:tab w:val="left" w:pos="840"/>
        </w:tabs>
        <w:ind w:left="840" w:hanging="420"/>
      </w:pPr>
      <w:rPr>
        <w:rFonts w:hint="default" w:ascii="Wingdings" w:hAnsi="Wingdings"/>
        <w:sz w:val="24"/>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5"/>
  </w:num>
  <w:num w:numId="2">
    <w:abstractNumId w:val="4"/>
  </w:num>
  <w:num w:numId="3">
    <w:abstractNumId w:val="6"/>
  </w:num>
  <w:num w:numId="4">
    <w:abstractNumId w:val="9"/>
  </w:num>
  <w:num w:numId="5">
    <w:abstractNumId w:val="7"/>
  </w:num>
  <w:num w:numId="6">
    <w:abstractNumId w:val="0"/>
  </w:num>
  <w:num w:numId="7">
    <w:abstractNumId w:val="3"/>
  </w:num>
  <w:num w:numId="8">
    <w:abstractNumId w:val="11"/>
  </w:num>
  <w:num w:numId="9">
    <w:abstractNumId w:val="1"/>
  </w:num>
  <w:num w:numId="10">
    <w:abstractNumId w:val="12"/>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E8"/>
    <w:rsid w:val="0006484D"/>
    <w:rsid w:val="0013470D"/>
    <w:rsid w:val="00182F8A"/>
    <w:rsid w:val="001867C4"/>
    <w:rsid w:val="001E5C43"/>
    <w:rsid w:val="001F544E"/>
    <w:rsid w:val="00223956"/>
    <w:rsid w:val="00243F27"/>
    <w:rsid w:val="00261066"/>
    <w:rsid w:val="002C3BE5"/>
    <w:rsid w:val="002D5BBC"/>
    <w:rsid w:val="00301735"/>
    <w:rsid w:val="00331C04"/>
    <w:rsid w:val="003A3E08"/>
    <w:rsid w:val="00410A4E"/>
    <w:rsid w:val="00414EEB"/>
    <w:rsid w:val="00424AA7"/>
    <w:rsid w:val="00427E7E"/>
    <w:rsid w:val="00432F85"/>
    <w:rsid w:val="00454DE8"/>
    <w:rsid w:val="00456488"/>
    <w:rsid w:val="00553C69"/>
    <w:rsid w:val="0059309A"/>
    <w:rsid w:val="005A2A78"/>
    <w:rsid w:val="005B12C3"/>
    <w:rsid w:val="005D1CF1"/>
    <w:rsid w:val="005D6E5D"/>
    <w:rsid w:val="005F5694"/>
    <w:rsid w:val="00606F59"/>
    <w:rsid w:val="00613FF5"/>
    <w:rsid w:val="006567A2"/>
    <w:rsid w:val="00680E56"/>
    <w:rsid w:val="006F7D1B"/>
    <w:rsid w:val="00722EFD"/>
    <w:rsid w:val="007645DC"/>
    <w:rsid w:val="0078673A"/>
    <w:rsid w:val="00796B3F"/>
    <w:rsid w:val="007A036A"/>
    <w:rsid w:val="007B4861"/>
    <w:rsid w:val="007C127B"/>
    <w:rsid w:val="007E0C9C"/>
    <w:rsid w:val="0083111E"/>
    <w:rsid w:val="008C7EEB"/>
    <w:rsid w:val="00903630"/>
    <w:rsid w:val="00973305"/>
    <w:rsid w:val="009F79C5"/>
    <w:rsid w:val="00A811E8"/>
    <w:rsid w:val="00A90320"/>
    <w:rsid w:val="00B04134"/>
    <w:rsid w:val="00B50A8C"/>
    <w:rsid w:val="00B77C48"/>
    <w:rsid w:val="00B87679"/>
    <w:rsid w:val="00CB672D"/>
    <w:rsid w:val="00CC6417"/>
    <w:rsid w:val="00CD29C7"/>
    <w:rsid w:val="00D471FB"/>
    <w:rsid w:val="00D73D0B"/>
    <w:rsid w:val="00D80424"/>
    <w:rsid w:val="00DC409E"/>
    <w:rsid w:val="00DD724A"/>
    <w:rsid w:val="00DE5C2F"/>
    <w:rsid w:val="00DF52FD"/>
    <w:rsid w:val="00E06096"/>
    <w:rsid w:val="00E64CF0"/>
    <w:rsid w:val="00E853CD"/>
    <w:rsid w:val="00E90617"/>
    <w:rsid w:val="00E915E7"/>
    <w:rsid w:val="00EA6DCE"/>
    <w:rsid w:val="00F2460F"/>
    <w:rsid w:val="00F521E7"/>
    <w:rsid w:val="00F80180"/>
    <w:rsid w:val="00FB2404"/>
    <w:rsid w:val="00FD3BC3"/>
    <w:rsid w:val="037728D0"/>
    <w:rsid w:val="124255BC"/>
    <w:rsid w:val="1435054C"/>
    <w:rsid w:val="1987173A"/>
    <w:rsid w:val="20580E0E"/>
    <w:rsid w:val="22683249"/>
    <w:rsid w:val="2513367F"/>
    <w:rsid w:val="284B0EE1"/>
    <w:rsid w:val="289B6CBC"/>
    <w:rsid w:val="2C784059"/>
    <w:rsid w:val="2DFA580B"/>
    <w:rsid w:val="2EA0077B"/>
    <w:rsid w:val="30DC3E5F"/>
    <w:rsid w:val="32587C13"/>
    <w:rsid w:val="339E1CCF"/>
    <w:rsid w:val="34724624"/>
    <w:rsid w:val="378F3A4C"/>
    <w:rsid w:val="3A6B035F"/>
    <w:rsid w:val="3B8F42B2"/>
    <w:rsid w:val="4D2F6FFA"/>
    <w:rsid w:val="4DC7602D"/>
    <w:rsid w:val="4F802CE3"/>
    <w:rsid w:val="511C3579"/>
    <w:rsid w:val="52E24C2A"/>
    <w:rsid w:val="54E0151F"/>
    <w:rsid w:val="58712AA8"/>
    <w:rsid w:val="5B4A76E7"/>
    <w:rsid w:val="5EDB67BE"/>
    <w:rsid w:val="61716569"/>
    <w:rsid w:val="62023C3C"/>
    <w:rsid w:val="64330CDC"/>
    <w:rsid w:val="69072A98"/>
    <w:rsid w:val="693D0FFF"/>
    <w:rsid w:val="6A1F2CB5"/>
    <w:rsid w:val="6FE57B48"/>
    <w:rsid w:val="75FF23F8"/>
    <w:rsid w:val="792237AC"/>
    <w:rsid w:val="79692A7A"/>
    <w:rsid w:val="7DEC18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39" w:semiHidden="0" w:name="toc 2"/>
    <w:lsdException w:unhideWhenUsed="0" w:uiPriority="39"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0" w:semiHidden="0" w:name="Normal Indent"/>
    <w:lsdException w:uiPriority="99" w:name="footnote text"/>
    <w:lsdException w:unhideWhenUsed="0" w:uiPriority="99"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99"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cs="宋体"/>
      <w:sz w:val="24"/>
      <w:szCs w:val="24"/>
      <w:lang w:val="en-US" w:eastAsia="zh-CN" w:bidi="ar-SA"/>
    </w:rPr>
  </w:style>
  <w:style w:type="paragraph" w:styleId="6">
    <w:name w:val="heading 1"/>
    <w:basedOn w:val="1"/>
    <w:next w:val="1"/>
    <w:link w:val="197"/>
    <w:qFormat/>
    <w:uiPriority w:val="0"/>
    <w:pPr>
      <w:keepNext/>
      <w:jc w:val="center"/>
      <w:outlineLvl w:val="0"/>
    </w:pPr>
    <w:rPr>
      <w:rFonts w:ascii="Times New Roman" w:hAnsi="Times New Roman" w:cs="Times New Roman"/>
      <w:sz w:val="28"/>
    </w:rPr>
  </w:style>
  <w:style w:type="paragraph" w:styleId="7">
    <w:name w:val="heading 2"/>
    <w:basedOn w:val="1"/>
    <w:next w:val="1"/>
    <w:link w:val="268"/>
    <w:qFormat/>
    <w:uiPriority w:val="0"/>
    <w:pPr>
      <w:keepNext/>
      <w:keepLines/>
      <w:spacing w:before="260" w:after="260" w:line="416" w:lineRule="auto"/>
      <w:outlineLvl w:val="1"/>
    </w:pPr>
    <w:rPr>
      <w:rFonts w:ascii="Arial" w:hAnsi="Arial" w:eastAsia="黑体" w:cs="Times New Roman"/>
      <w:b/>
      <w:bCs/>
      <w:sz w:val="32"/>
      <w:szCs w:val="32"/>
    </w:rPr>
  </w:style>
  <w:style w:type="paragraph" w:styleId="8">
    <w:name w:val="heading 3"/>
    <w:basedOn w:val="1"/>
    <w:next w:val="1"/>
    <w:link w:val="132"/>
    <w:qFormat/>
    <w:uiPriority w:val="0"/>
    <w:pPr>
      <w:keepNext/>
      <w:keepLines/>
      <w:spacing w:before="260" w:after="260" w:line="416" w:lineRule="auto"/>
      <w:outlineLvl w:val="2"/>
    </w:pPr>
    <w:rPr>
      <w:rFonts w:ascii="Calibri" w:hAnsi="Calibri" w:cs="Times New Roman"/>
      <w:b/>
      <w:bCs/>
      <w:sz w:val="32"/>
      <w:szCs w:val="32"/>
    </w:rPr>
  </w:style>
  <w:style w:type="paragraph" w:styleId="9">
    <w:name w:val="heading 4"/>
    <w:basedOn w:val="1"/>
    <w:next w:val="1"/>
    <w:link w:val="149"/>
    <w:qFormat/>
    <w:uiPriority w:val="0"/>
    <w:pPr>
      <w:keepNext/>
      <w:keepLines/>
      <w:spacing w:before="280" w:after="290" w:line="376" w:lineRule="auto"/>
      <w:outlineLvl w:val="3"/>
    </w:pPr>
    <w:rPr>
      <w:rFonts w:ascii="Cambria" w:hAnsi="Cambria" w:cs="Times New Roman"/>
      <w:b/>
      <w:bCs/>
      <w:sz w:val="28"/>
      <w:szCs w:val="28"/>
    </w:rPr>
  </w:style>
  <w:style w:type="paragraph" w:styleId="10">
    <w:name w:val="heading 5"/>
    <w:basedOn w:val="1"/>
    <w:next w:val="1"/>
    <w:link w:val="276"/>
    <w:qFormat/>
    <w:uiPriority w:val="0"/>
    <w:pPr>
      <w:keepNext/>
      <w:keepLines/>
      <w:spacing w:before="280" w:after="290" w:line="376" w:lineRule="auto"/>
      <w:outlineLvl w:val="4"/>
    </w:pPr>
    <w:rPr>
      <w:rFonts w:cs="Times New Roman"/>
      <w:b/>
      <w:bCs/>
      <w:sz w:val="28"/>
      <w:szCs w:val="28"/>
    </w:rPr>
  </w:style>
  <w:style w:type="paragraph" w:styleId="11">
    <w:name w:val="heading 6"/>
    <w:basedOn w:val="1"/>
    <w:next w:val="1"/>
    <w:link w:val="161"/>
    <w:qFormat/>
    <w:uiPriority w:val="0"/>
    <w:pPr>
      <w:keepNext/>
      <w:keepLines/>
      <w:numPr>
        <w:ilvl w:val="5"/>
        <w:numId w:val="1"/>
      </w:numPr>
      <w:spacing w:before="240" w:after="64" w:line="320" w:lineRule="auto"/>
      <w:outlineLvl w:val="5"/>
    </w:pPr>
    <w:rPr>
      <w:rFonts w:ascii="Arial" w:hAnsi="Arial" w:eastAsia="黑体" w:cs="Times New Roman"/>
      <w:b/>
      <w:bCs/>
      <w:spacing w:val="6"/>
    </w:rPr>
  </w:style>
  <w:style w:type="paragraph" w:styleId="12">
    <w:name w:val="heading 7"/>
    <w:basedOn w:val="1"/>
    <w:next w:val="1"/>
    <w:link w:val="90"/>
    <w:qFormat/>
    <w:uiPriority w:val="0"/>
    <w:pPr>
      <w:keepNext/>
      <w:keepLines/>
      <w:numPr>
        <w:ilvl w:val="6"/>
        <w:numId w:val="1"/>
      </w:numPr>
      <w:spacing w:before="240" w:after="64" w:line="320" w:lineRule="auto"/>
      <w:outlineLvl w:val="6"/>
    </w:pPr>
    <w:rPr>
      <w:rFonts w:cs="Times New Roman"/>
      <w:b/>
      <w:bCs/>
      <w:spacing w:val="6"/>
    </w:rPr>
  </w:style>
  <w:style w:type="paragraph" w:styleId="13">
    <w:name w:val="heading 8"/>
    <w:basedOn w:val="1"/>
    <w:next w:val="14"/>
    <w:link w:val="223"/>
    <w:qFormat/>
    <w:uiPriority w:val="0"/>
    <w:pPr>
      <w:keepNext/>
      <w:keepLines/>
      <w:numPr>
        <w:ilvl w:val="7"/>
        <w:numId w:val="1"/>
      </w:numPr>
      <w:spacing w:before="240" w:after="64" w:line="320" w:lineRule="auto"/>
      <w:outlineLvl w:val="7"/>
    </w:pPr>
    <w:rPr>
      <w:rFonts w:ascii="Arial" w:hAnsi="Arial" w:eastAsia="黑体" w:cs="Times New Roman"/>
      <w:spacing w:val="6"/>
    </w:rPr>
  </w:style>
  <w:style w:type="paragraph" w:styleId="15">
    <w:name w:val="heading 9"/>
    <w:basedOn w:val="1"/>
    <w:next w:val="14"/>
    <w:link w:val="258"/>
    <w:qFormat/>
    <w:uiPriority w:val="0"/>
    <w:pPr>
      <w:keepNext/>
      <w:keepLines/>
      <w:numPr>
        <w:ilvl w:val="8"/>
        <w:numId w:val="1"/>
      </w:numPr>
      <w:spacing w:before="240" w:after="64" w:line="320" w:lineRule="auto"/>
      <w:outlineLvl w:val="8"/>
    </w:pPr>
    <w:rPr>
      <w:rFonts w:ascii="Arial" w:hAnsi="Arial" w:eastAsia="黑体" w:cs="Times New Roman"/>
      <w:spacing w:val="6"/>
    </w:rPr>
  </w:style>
  <w:style w:type="character" w:default="1" w:styleId="57">
    <w:name w:val="Default Paragraph Font"/>
    <w:unhideWhenUsed/>
    <w:uiPriority w:val="1"/>
  </w:style>
  <w:style w:type="table" w:default="1" w:styleId="55">
    <w:name w:val="Normal Table"/>
    <w:unhideWhenUsed/>
    <w:qFormat/>
    <w:uiPriority w:val="99"/>
    <w:tblPr>
      <w:tblStyle w:val="55"/>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styleId="3">
    <w:name w:val="Body Text"/>
    <w:basedOn w:val="1"/>
    <w:next w:val="4"/>
    <w:link w:val="150"/>
    <w:uiPriority w:val="0"/>
    <w:rPr>
      <w:rFonts w:ascii="Arial" w:hAnsi="Arial" w:cs="Times New Roman"/>
      <w:bCs/>
    </w:rPr>
  </w:style>
  <w:style w:type="paragraph" w:styleId="4">
    <w:name w:val="Body Text First Indent"/>
    <w:basedOn w:val="3"/>
    <w:link w:val="111"/>
    <w:uiPriority w:val="0"/>
    <w:pPr>
      <w:spacing w:after="120"/>
      <w:ind w:firstLine="420" w:firstLineChars="100"/>
    </w:pPr>
    <w:rPr>
      <w:rFonts w:ascii="Calibri" w:hAnsi="Calibri"/>
      <w:sz w:val="20"/>
      <w:szCs w:val="20"/>
    </w:rPr>
  </w:style>
  <w:style w:type="paragraph" w:styleId="5">
    <w:name w:val="macro"/>
    <w:link w:val="218"/>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 w:val="24"/>
      <w:szCs w:val="24"/>
      <w:lang w:bidi="ar-SA"/>
    </w:rPr>
  </w:style>
  <w:style w:type="paragraph" w:styleId="14">
    <w:name w:val="Normal Indent"/>
    <w:basedOn w:val="1"/>
    <w:link w:val="75"/>
    <w:qFormat/>
    <w:uiPriority w:val="0"/>
    <w:pPr>
      <w:ind w:firstLine="420" w:firstLineChars="200"/>
    </w:pPr>
    <w:rPr>
      <w:rFonts w:ascii="Times New Roman" w:hAnsi="Times New Roman" w:cs="Times New Roman"/>
      <w:sz w:val="20"/>
    </w:rPr>
  </w:style>
  <w:style w:type="paragraph" w:styleId="16">
    <w:name w:val="toc 7"/>
    <w:basedOn w:val="1"/>
    <w:next w:val="1"/>
    <w:unhideWhenUsed/>
    <w:uiPriority w:val="0"/>
    <w:pPr>
      <w:widowControl w:val="0"/>
      <w:ind w:left="2520" w:leftChars="1200"/>
      <w:jc w:val="both"/>
    </w:pPr>
    <w:rPr>
      <w:rFonts w:ascii="Calibri" w:hAnsi="Calibri" w:cs="Times New Roman"/>
      <w:kern w:val="2"/>
      <w:sz w:val="21"/>
      <w:szCs w:val="22"/>
    </w:rPr>
  </w:style>
  <w:style w:type="paragraph" w:styleId="17">
    <w:name w:val="List Number"/>
    <w:basedOn w:val="1"/>
    <w:uiPriority w:val="0"/>
    <w:pPr>
      <w:widowControl w:val="0"/>
      <w:tabs>
        <w:tab w:val="left" w:pos="360"/>
      </w:tabs>
      <w:ind w:left="360" w:hanging="360" w:hangingChars="200"/>
      <w:jc w:val="both"/>
    </w:pPr>
    <w:rPr>
      <w:rFonts w:ascii="Times New Roman" w:hAnsi="Times New Roman" w:cs="Times New Roman"/>
      <w:kern w:val="2"/>
      <w:sz w:val="21"/>
    </w:rPr>
  </w:style>
  <w:style w:type="paragraph" w:styleId="18">
    <w:name w:val="caption"/>
    <w:basedOn w:val="1"/>
    <w:next w:val="1"/>
    <w:qFormat/>
    <w:uiPriority w:val="0"/>
    <w:pPr>
      <w:widowControl w:val="0"/>
      <w:autoSpaceDE w:val="0"/>
      <w:autoSpaceDN w:val="0"/>
      <w:adjustRightInd w:val="0"/>
    </w:pPr>
    <w:rPr>
      <w:rFonts w:ascii="Arial" w:hAnsi="Arial" w:eastAsia="黑体" w:cs="Arial"/>
      <w:sz w:val="20"/>
      <w:szCs w:val="20"/>
    </w:rPr>
  </w:style>
  <w:style w:type="paragraph" w:styleId="19">
    <w:name w:val="List Bullet"/>
    <w:basedOn w:val="1"/>
    <w:uiPriority w:val="0"/>
    <w:pPr>
      <w:widowControl w:val="0"/>
      <w:spacing w:line="360" w:lineRule="auto"/>
      <w:jc w:val="both"/>
    </w:pPr>
    <w:rPr>
      <w:rFonts w:cs="Times New Roman"/>
      <w:kern w:val="2"/>
      <w:sz w:val="20"/>
      <w:szCs w:val="20"/>
    </w:rPr>
  </w:style>
  <w:style w:type="paragraph" w:styleId="20">
    <w:name w:val="Document Map"/>
    <w:basedOn w:val="1"/>
    <w:link w:val="200"/>
    <w:uiPriority w:val="99"/>
    <w:rPr>
      <w:rFonts w:cs="Times New Roman"/>
      <w:sz w:val="18"/>
      <w:szCs w:val="18"/>
    </w:rPr>
  </w:style>
  <w:style w:type="paragraph" w:styleId="21">
    <w:name w:val="toa heading"/>
    <w:basedOn w:val="1"/>
    <w:next w:val="1"/>
    <w:uiPriority w:val="0"/>
    <w:pPr>
      <w:spacing w:before="120"/>
    </w:pPr>
    <w:rPr>
      <w:rFonts w:ascii="Arial" w:hAnsi="Arial" w:cs="Arial"/>
    </w:rPr>
  </w:style>
  <w:style w:type="paragraph" w:styleId="22">
    <w:name w:val="annotation text"/>
    <w:basedOn w:val="1"/>
    <w:link w:val="176"/>
    <w:uiPriority w:val="99"/>
    <w:rPr>
      <w:rFonts w:ascii="Calibri" w:hAnsi="Calibri" w:cs="Times New Roman"/>
      <w:sz w:val="20"/>
      <w:szCs w:val="20"/>
    </w:rPr>
  </w:style>
  <w:style w:type="paragraph" w:styleId="23">
    <w:name w:val="Salutation"/>
    <w:basedOn w:val="1"/>
    <w:next w:val="1"/>
    <w:link w:val="101"/>
    <w:uiPriority w:val="0"/>
    <w:pPr>
      <w:widowControl w:val="0"/>
      <w:tabs>
        <w:tab w:val="left" w:pos="840"/>
      </w:tabs>
      <w:autoSpaceDE w:val="0"/>
      <w:autoSpaceDN w:val="0"/>
      <w:adjustRightInd w:val="0"/>
    </w:pPr>
    <w:rPr>
      <w:rFonts w:ascii="Times New Roman" w:hAnsi="Times New Roman" w:cs="Times New Roman"/>
      <w:szCs w:val="20"/>
    </w:rPr>
  </w:style>
  <w:style w:type="paragraph" w:styleId="24">
    <w:name w:val="Body Text 3"/>
    <w:basedOn w:val="1"/>
    <w:link w:val="178"/>
    <w:uiPriority w:val="0"/>
    <w:pPr>
      <w:spacing w:line="400" w:lineRule="atLeast"/>
    </w:pPr>
    <w:rPr>
      <w:rFonts w:ascii="楷体_GB2312" w:eastAsia="楷体_GB2312" w:cs="Times New Roman"/>
      <w:i/>
      <w:iCs/>
      <w:szCs w:val="20"/>
    </w:rPr>
  </w:style>
  <w:style w:type="paragraph" w:styleId="25">
    <w:name w:val="Body Text Indent"/>
    <w:basedOn w:val="1"/>
    <w:link w:val="142"/>
    <w:uiPriority w:val="0"/>
    <w:pPr>
      <w:spacing w:after="120"/>
      <w:ind w:left="420" w:leftChars="200"/>
    </w:pPr>
    <w:rPr>
      <w:rFonts w:ascii="Times New Roman" w:hAnsi="Times New Roman" w:cs="Times New Roman"/>
      <w:sz w:val="20"/>
    </w:rPr>
  </w:style>
  <w:style w:type="paragraph" w:styleId="26">
    <w:name w:val="List Number 3"/>
    <w:basedOn w:val="1"/>
    <w:uiPriority w:val="0"/>
    <w:pPr>
      <w:numPr>
        <w:ilvl w:val="0"/>
        <w:numId w:val="1"/>
      </w:numPr>
      <w:tabs>
        <w:tab w:val="left" w:pos="965"/>
        <w:tab w:val="left" w:pos="2260"/>
      </w:tabs>
      <w:spacing w:after="156" w:afterLines="50"/>
    </w:pPr>
    <w:rPr>
      <w:rFonts w:ascii="Times New Roman" w:hAnsi="Times New Roman" w:cs="Times New Roman"/>
      <w:szCs w:val="20"/>
    </w:rPr>
  </w:style>
  <w:style w:type="paragraph" w:styleId="27">
    <w:name w:val="List 2"/>
    <w:basedOn w:val="1"/>
    <w:uiPriority w:val="0"/>
    <w:pPr>
      <w:ind w:left="100" w:leftChars="200" w:hanging="200" w:hangingChars="200"/>
    </w:pPr>
  </w:style>
  <w:style w:type="paragraph" w:styleId="28">
    <w:name w:val="Block Text"/>
    <w:basedOn w:val="1"/>
    <w:uiPriority w:val="0"/>
    <w:pPr>
      <w:spacing w:before="156" w:beforeLines="50" w:after="156" w:afterLines="50"/>
      <w:ind w:left="426" w:right="-11" w:hanging="426" w:hangingChars="203"/>
    </w:pPr>
    <w:rPr>
      <w:rFonts w:eastAsia="楷体_GB2312"/>
    </w:rPr>
  </w:style>
  <w:style w:type="paragraph" w:styleId="29">
    <w:name w:val="List Bullet 2"/>
    <w:basedOn w:val="1"/>
    <w:uiPriority w:val="0"/>
    <w:pPr>
      <w:widowControl w:val="0"/>
      <w:tabs>
        <w:tab w:val="left" w:pos="780"/>
      </w:tabs>
      <w:spacing w:line="360" w:lineRule="auto"/>
      <w:ind w:left="780" w:leftChars="200" w:hanging="360" w:hangingChars="200"/>
      <w:jc w:val="both"/>
    </w:pPr>
    <w:rPr>
      <w:rFonts w:ascii="Times New Roman" w:hAnsi="Times New Roman" w:cs="Times New Roman"/>
      <w:kern w:val="2"/>
      <w:sz w:val="21"/>
    </w:rPr>
  </w:style>
  <w:style w:type="paragraph" w:styleId="30">
    <w:name w:val="toc 5"/>
    <w:basedOn w:val="1"/>
    <w:next w:val="1"/>
    <w:unhideWhenUsed/>
    <w:uiPriority w:val="0"/>
    <w:pPr>
      <w:widowControl w:val="0"/>
      <w:ind w:left="1680" w:leftChars="800"/>
      <w:jc w:val="both"/>
    </w:pPr>
    <w:rPr>
      <w:rFonts w:ascii="Calibri" w:hAnsi="Calibri" w:cs="Times New Roman"/>
      <w:kern w:val="2"/>
      <w:sz w:val="21"/>
      <w:szCs w:val="22"/>
    </w:rPr>
  </w:style>
  <w:style w:type="paragraph" w:styleId="31">
    <w:name w:val="toc 3"/>
    <w:basedOn w:val="1"/>
    <w:next w:val="1"/>
    <w:uiPriority w:val="39"/>
    <w:pPr>
      <w:ind w:left="840" w:leftChars="400"/>
    </w:pPr>
    <w:rPr>
      <w:szCs w:val="20"/>
    </w:rPr>
  </w:style>
  <w:style w:type="paragraph" w:styleId="32">
    <w:name w:val="Plain Text"/>
    <w:basedOn w:val="1"/>
    <w:link w:val="177"/>
    <w:qFormat/>
    <w:uiPriority w:val="0"/>
    <w:rPr>
      <w:rFonts w:hAnsi="Courier New" w:cs="Times New Roman"/>
      <w:sz w:val="20"/>
      <w:szCs w:val="20"/>
    </w:rPr>
  </w:style>
  <w:style w:type="paragraph" w:styleId="33">
    <w:name w:val="List Number 4"/>
    <w:basedOn w:val="1"/>
    <w:uiPriority w:val="0"/>
    <w:pPr>
      <w:widowControl w:val="0"/>
      <w:tabs>
        <w:tab w:val="left" w:pos="840"/>
      </w:tabs>
      <w:autoSpaceDE w:val="0"/>
      <w:autoSpaceDN w:val="0"/>
      <w:adjustRightInd w:val="0"/>
      <w:spacing w:line="360" w:lineRule="atLeast"/>
      <w:ind w:left="840" w:hanging="420"/>
    </w:pPr>
    <w:rPr>
      <w:rFonts w:ascii="Times New Roman" w:hAnsi="Times New Roman" w:cs="Times New Roman"/>
      <w:szCs w:val="20"/>
    </w:rPr>
  </w:style>
  <w:style w:type="paragraph" w:styleId="34">
    <w:name w:val="toc 8"/>
    <w:basedOn w:val="1"/>
    <w:next w:val="1"/>
    <w:unhideWhenUsed/>
    <w:uiPriority w:val="0"/>
    <w:pPr>
      <w:widowControl w:val="0"/>
      <w:ind w:left="2940" w:leftChars="1400"/>
      <w:jc w:val="both"/>
    </w:pPr>
    <w:rPr>
      <w:rFonts w:ascii="Calibri" w:hAnsi="Calibri" w:cs="Times New Roman"/>
      <w:kern w:val="2"/>
      <w:sz w:val="21"/>
      <w:szCs w:val="22"/>
    </w:rPr>
  </w:style>
  <w:style w:type="paragraph" w:styleId="35">
    <w:name w:val="Date"/>
    <w:basedOn w:val="1"/>
    <w:next w:val="1"/>
    <w:link w:val="130"/>
    <w:uiPriority w:val="0"/>
    <w:pPr>
      <w:ind w:left="100" w:leftChars="2500"/>
    </w:pPr>
    <w:rPr>
      <w:rFonts w:cs="Times New Roman"/>
      <w:color w:val="000000"/>
    </w:rPr>
  </w:style>
  <w:style w:type="paragraph" w:styleId="36">
    <w:name w:val="Body Text Indent 2"/>
    <w:basedOn w:val="1"/>
    <w:link w:val="252"/>
    <w:qFormat/>
    <w:uiPriority w:val="99"/>
    <w:pPr>
      <w:spacing w:line="480" w:lineRule="atLeast"/>
      <w:ind w:firstLine="480"/>
    </w:pPr>
    <w:rPr>
      <w:rFonts w:cs="Times New Roman"/>
    </w:rPr>
  </w:style>
  <w:style w:type="paragraph" w:styleId="37">
    <w:name w:val="Balloon Text"/>
    <w:basedOn w:val="1"/>
    <w:link w:val="191"/>
    <w:uiPriority w:val="0"/>
    <w:rPr>
      <w:rFonts w:cs="Times New Roman"/>
      <w:sz w:val="18"/>
      <w:szCs w:val="18"/>
    </w:rPr>
  </w:style>
  <w:style w:type="paragraph" w:styleId="38">
    <w:name w:val="footer"/>
    <w:basedOn w:val="1"/>
    <w:link w:val="186"/>
    <w:unhideWhenUsed/>
    <w:qFormat/>
    <w:uiPriority w:val="0"/>
    <w:pPr>
      <w:tabs>
        <w:tab w:val="center" w:pos="4153"/>
        <w:tab w:val="right" w:pos="8306"/>
      </w:tabs>
      <w:snapToGrid w:val="0"/>
      <w:jc w:val="left"/>
    </w:pPr>
    <w:rPr>
      <w:rFonts w:ascii="Times New Roman" w:hAnsi="Times New Roman" w:cs="Times New Roman"/>
      <w:sz w:val="18"/>
      <w:szCs w:val="18"/>
    </w:rPr>
  </w:style>
  <w:style w:type="paragraph" w:styleId="39">
    <w:name w:val="header"/>
    <w:basedOn w:val="1"/>
    <w:link w:val="135"/>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0">
    <w:name w:val="Signature"/>
    <w:basedOn w:val="1"/>
    <w:link w:val="108"/>
    <w:uiPriority w:val="0"/>
    <w:pPr>
      <w:widowControl w:val="0"/>
      <w:autoSpaceDE w:val="0"/>
      <w:autoSpaceDN w:val="0"/>
      <w:adjustRightInd w:val="0"/>
      <w:spacing w:after="600" w:line="312" w:lineRule="atLeast"/>
      <w:jc w:val="center"/>
      <w:textAlignment w:val="baseline"/>
    </w:pPr>
    <w:rPr>
      <w:rFonts w:ascii="Times New Roman" w:hAnsi="Times New Roman" w:eastAsia="仿宋_GB2312" w:cs="Times New Roman"/>
      <w:szCs w:val="20"/>
    </w:rPr>
  </w:style>
  <w:style w:type="paragraph" w:styleId="41">
    <w:name w:val="toc 1"/>
    <w:basedOn w:val="1"/>
    <w:next w:val="1"/>
    <w:uiPriority w:val="0"/>
    <w:rPr>
      <w:szCs w:val="20"/>
    </w:rPr>
  </w:style>
  <w:style w:type="paragraph" w:styleId="42">
    <w:name w:val="toc 4"/>
    <w:basedOn w:val="1"/>
    <w:next w:val="1"/>
    <w:unhideWhenUsed/>
    <w:uiPriority w:val="0"/>
    <w:pPr>
      <w:widowControl w:val="0"/>
      <w:ind w:left="1260" w:leftChars="600"/>
      <w:jc w:val="both"/>
    </w:pPr>
    <w:rPr>
      <w:rFonts w:ascii="Calibri" w:hAnsi="Calibri" w:cs="Times New Roman"/>
      <w:kern w:val="2"/>
      <w:sz w:val="21"/>
      <w:szCs w:val="22"/>
    </w:rPr>
  </w:style>
  <w:style w:type="paragraph" w:styleId="43">
    <w:name w:val="Subtitle"/>
    <w:basedOn w:val="1"/>
    <w:next w:val="1"/>
    <w:link w:val="129"/>
    <w:qFormat/>
    <w:uiPriority w:val="0"/>
    <w:pPr>
      <w:widowControl w:val="0"/>
      <w:spacing w:before="240" w:after="60" w:line="312" w:lineRule="auto"/>
      <w:jc w:val="center"/>
      <w:outlineLvl w:val="1"/>
    </w:pPr>
    <w:rPr>
      <w:rFonts w:ascii="Cambria" w:hAnsi="Cambria" w:cs="Times New Roman"/>
      <w:b/>
      <w:bCs/>
      <w:kern w:val="28"/>
      <w:sz w:val="32"/>
      <w:szCs w:val="32"/>
    </w:rPr>
  </w:style>
  <w:style w:type="paragraph" w:styleId="44">
    <w:name w:val="List Number 5"/>
    <w:basedOn w:val="1"/>
    <w:uiPriority w:val="0"/>
    <w:pPr>
      <w:widowControl w:val="0"/>
      <w:tabs>
        <w:tab w:val="left" w:pos="2040"/>
      </w:tabs>
      <w:autoSpaceDE w:val="0"/>
      <w:autoSpaceDN w:val="0"/>
      <w:adjustRightInd w:val="0"/>
      <w:spacing w:line="400" w:lineRule="exact"/>
      <w:ind w:left="2040" w:hanging="360"/>
    </w:pPr>
    <w:rPr>
      <w:rFonts w:ascii="Times New Roman" w:hAnsi="Times New Roman" w:cs="Times New Roman"/>
      <w:szCs w:val="20"/>
    </w:rPr>
  </w:style>
  <w:style w:type="paragraph" w:styleId="45">
    <w:name w:val="List"/>
    <w:basedOn w:val="1"/>
    <w:uiPriority w:val="0"/>
    <w:pPr>
      <w:widowControl w:val="0"/>
      <w:ind w:left="200" w:hanging="200" w:hangingChars="200"/>
      <w:jc w:val="both"/>
    </w:pPr>
    <w:rPr>
      <w:rFonts w:ascii="Times New Roman" w:hAnsi="Times New Roman" w:cs="Times New Roman"/>
      <w:kern w:val="2"/>
      <w:sz w:val="28"/>
    </w:rPr>
  </w:style>
  <w:style w:type="paragraph" w:styleId="46">
    <w:name w:val="toc 6"/>
    <w:basedOn w:val="1"/>
    <w:next w:val="1"/>
    <w:unhideWhenUsed/>
    <w:uiPriority w:val="0"/>
    <w:pPr>
      <w:widowControl w:val="0"/>
      <w:ind w:left="2100" w:leftChars="1000"/>
      <w:jc w:val="both"/>
    </w:pPr>
    <w:rPr>
      <w:rFonts w:ascii="Calibri" w:hAnsi="Calibri" w:cs="Times New Roman"/>
      <w:kern w:val="2"/>
      <w:sz w:val="21"/>
      <w:szCs w:val="22"/>
    </w:rPr>
  </w:style>
  <w:style w:type="paragraph" w:styleId="47">
    <w:name w:val="Body Text Indent 3"/>
    <w:basedOn w:val="1"/>
    <w:link w:val="212"/>
    <w:uiPriority w:val="0"/>
    <w:pPr>
      <w:autoSpaceDE w:val="0"/>
      <w:autoSpaceDN w:val="0"/>
      <w:spacing w:line="400" w:lineRule="atLeast"/>
      <w:ind w:firstLine="443" w:firstLineChars="200"/>
      <w:textAlignment w:val="bottom"/>
    </w:pPr>
    <w:rPr>
      <w:rFonts w:ascii="Times New Roman" w:hAnsi="Times New Roman" w:eastAsia="黑体" w:cs="Times New Roman"/>
      <w:color w:val="000000"/>
    </w:rPr>
  </w:style>
  <w:style w:type="paragraph" w:styleId="48">
    <w:name w:val="toc 2"/>
    <w:basedOn w:val="1"/>
    <w:next w:val="1"/>
    <w:uiPriority w:val="39"/>
    <w:pPr>
      <w:ind w:left="420" w:leftChars="200"/>
    </w:pPr>
    <w:rPr>
      <w:szCs w:val="20"/>
    </w:rPr>
  </w:style>
  <w:style w:type="paragraph" w:styleId="49">
    <w:name w:val="toc 9"/>
    <w:basedOn w:val="1"/>
    <w:next w:val="1"/>
    <w:unhideWhenUsed/>
    <w:uiPriority w:val="0"/>
    <w:pPr>
      <w:widowControl w:val="0"/>
      <w:ind w:left="3360" w:leftChars="1600"/>
      <w:jc w:val="both"/>
    </w:pPr>
    <w:rPr>
      <w:rFonts w:ascii="Calibri" w:hAnsi="Calibri" w:cs="Times New Roman"/>
      <w:kern w:val="2"/>
      <w:sz w:val="21"/>
      <w:szCs w:val="22"/>
    </w:rPr>
  </w:style>
  <w:style w:type="paragraph" w:styleId="50">
    <w:name w:val="Body Text 2"/>
    <w:basedOn w:val="1"/>
    <w:link w:val="172"/>
    <w:uiPriority w:val="0"/>
    <w:pPr>
      <w:framePr w:hSpace="180" w:wrap="notBeside" w:vAnchor="text" w:hAnchor="page" w:x="1917" w:y="230"/>
    </w:pPr>
    <w:rPr>
      <w:rFonts w:cs="Times New Roman"/>
      <w:szCs w:val="20"/>
    </w:rPr>
  </w:style>
  <w:style w:type="paragraph" w:styleId="51">
    <w:name w:val="HTML Preformatted"/>
    <w:basedOn w:val="1"/>
    <w:link w:val="143"/>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52">
    <w:name w:val="Normal (Web)"/>
    <w:basedOn w:val="1"/>
    <w:qFormat/>
    <w:uiPriority w:val="0"/>
    <w:pPr>
      <w:spacing w:before="100" w:beforeAutospacing="1" w:after="100" w:afterAutospacing="1"/>
    </w:pPr>
    <w:rPr>
      <w:rFonts w:ascii="Arial" w:hAnsi="Arial" w:cs="Arial"/>
      <w:color w:val="000000"/>
      <w:sz w:val="18"/>
      <w:szCs w:val="18"/>
    </w:rPr>
  </w:style>
  <w:style w:type="paragraph" w:styleId="53">
    <w:name w:val="Title"/>
    <w:basedOn w:val="1"/>
    <w:link w:val="205"/>
    <w:qFormat/>
    <w:uiPriority w:val="0"/>
    <w:pPr>
      <w:spacing w:before="240" w:after="60" w:line="460" w:lineRule="exact"/>
      <w:jc w:val="center"/>
      <w:outlineLvl w:val="0"/>
    </w:pPr>
    <w:rPr>
      <w:rFonts w:ascii="Cambria" w:hAnsi="Cambria" w:cs="Times New Roman"/>
      <w:b/>
      <w:bCs/>
      <w:sz w:val="32"/>
      <w:szCs w:val="32"/>
    </w:rPr>
  </w:style>
  <w:style w:type="paragraph" w:styleId="54">
    <w:name w:val="annotation subject"/>
    <w:basedOn w:val="22"/>
    <w:next w:val="22"/>
    <w:link w:val="271"/>
    <w:uiPriority w:val="99"/>
    <w:rPr>
      <w:rFonts w:ascii="宋体" w:hAnsi="宋体"/>
      <w:b/>
      <w:bCs/>
      <w:sz w:val="24"/>
      <w:szCs w:val="24"/>
    </w:rPr>
  </w:style>
  <w:style w:type="table" w:styleId="56">
    <w:name w:val="Table Grid"/>
    <w:basedOn w:val="55"/>
    <w:qFormat/>
    <w:uiPriority w:val="0"/>
    <w:pPr>
      <w:widowControl w:val="0"/>
      <w:jc w:val="both"/>
    </w:pPr>
    <w:rPr>
      <w:rFonts w:ascii="Times New Roman" w:hAnsi="Times New Roman" w:eastAsia="宋体" w:cs="Times New Roman"/>
      <w:kern w:val="0"/>
      <w:sz w:val="20"/>
      <w:szCs w:val="20"/>
    </w:rPr>
    <w:tblPr>
      <w:tblStyle w:val="5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qFormat/>
    <w:uiPriority w:val="0"/>
    <w:rPr>
      <w:b/>
      <w:bCs/>
    </w:rPr>
  </w:style>
  <w:style w:type="character" w:styleId="59">
    <w:name w:val="page number"/>
    <w:basedOn w:val="57"/>
    <w:qFormat/>
    <w:uiPriority w:val="0"/>
  </w:style>
  <w:style w:type="character" w:styleId="60">
    <w:name w:val="FollowedHyperlink"/>
    <w:uiPriority w:val="99"/>
    <w:rPr>
      <w:color w:val="800080"/>
      <w:u w:val="single"/>
    </w:rPr>
  </w:style>
  <w:style w:type="character" w:styleId="61">
    <w:name w:val="Emphasis"/>
    <w:qFormat/>
    <w:uiPriority w:val="20"/>
    <w:rPr>
      <w:i/>
      <w:iCs/>
    </w:rPr>
  </w:style>
  <w:style w:type="character" w:styleId="62">
    <w:name w:val="line number"/>
    <w:basedOn w:val="57"/>
    <w:uiPriority w:val="0"/>
  </w:style>
  <w:style w:type="character" w:styleId="63">
    <w:name w:val="HTML Definition"/>
    <w:uiPriority w:val="0"/>
    <w:rPr>
      <w:i/>
    </w:rPr>
  </w:style>
  <w:style w:type="character" w:styleId="64">
    <w:name w:val="Hyperlink"/>
    <w:uiPriority w:val="99"/>
    <w:rPr>
      <w:color w:val="0000FF"/>
      <w:u w:val="single"/>
    </w:rPr>
  </w:style>
  <w:style w:type="character" w:styleId="65">
    <w:name w:val="HTML Code"/>
    <w:uiPriority w:val="0"/>
    <w:rPr>
      <w:rFonts w:ascii="-apple-system" w:hAnsi="-apple-system" w:eastAsia="-apple-system" w:cs="-apple-system"/>
      <w:sz w:val="21"/>
      <w:szCs w:val="21"/>
    </w:rPr>
  </w:style>
  <w:style w:type="character" w:styleId="66">
    <w:name w:val="annotation reference"/>
    <w:uiPriority w:val="99"/>
    <w:rPr>
      <w:sz w:val="21"/>
      <w:szCs w:val="21"/>
    </w:rPr>
  </w:style>
  <w:style w:type="character" w:styleId="67">
    <w:name w:val="HTML Cite"/>
    <w:uiPriority w:val="0"/>
    <w:rPr>
      <w:color w:val="008000"/>
    </w:rPr>
  </w:style>
  <w:style w:type="character" w:styleId="68">
    <w:name w:val="HTML Keyboard"/>
    <w:uiPriority w:val="0"/>
    <w:rPr>
      <w:rFonts w:hint="default" w:ascii="-apple-system" w:hAnsi="-apple-system" w:eastAsia="-apple-system" w:cs="-apple-system"/>
      <w:sz w:val="21"/>
      <w:szCs w:val="21"/>
    </w:rPr>
  </w:style>
  <w:style w:type="character" w:styleId="69">
    <w:name w:val="HTML Sample"/>
    <w:uiPriority w:val="0"/>
    <w:rPr>
      <w:rFonts w:hint="default" w:ascii="-apple-system" w:hAnsi="-apple-system" w:eastAsia="-apple-system" w:cs="-apple-system"/>
      <w:sz w:val="21"/>
      <w:szCs w:val="21"/>
    </w:rPr>
  </w:style>
  <w:style w:type="character" w:customStyle="1" w:styleId="70">
    <w:name w:val=" Char Char"/>
    <w:uiPriority w:val="0"/>
    <w:rPr>
      <w:rFonts w:ascii="宋体" w:hAnsi="Courier New" w:eastAsia="宋体"/>
      <w:kern w:val="2"/>
      <w:sz w:val="21"/>
      <w:lang w:val="en-US" w:eastAsia="zh-CN" w:bidi="ar-SA"/>
    </w:rPr>
  </w:style>
  <w:style w:type="character" w:customStyle="1" w:styleId="71">
    <w:name w:val="font31"/>
    <w:uiPriority w:val="0"/>
    <w:rPr>
      <w:rFonts w:hint="eastAsia" w:ascii="宋体" w:hAnsi="宋体" w:eastAsia="宋体" w:cs="宋体"/>
      <w:b/>
      <w:color w:val="666666"/>
      <w:sz w:val="21"/>
      <w:szCs w:val="21"/>
      <w:u w:val="none"/>
    </w:rPr>
  </w:style>
  <w:style w:type="character" w:customStyle="1" w:styleId="72">
    <w:name w:val="Char Char17"/>
    <w:uiPriority w:val="0"/>
    <w:rPr>
      <w:rFonts w:ascii="Cambria" w:hAnsi="Cambria"/>
      <w:b/>
      <w:bCs/>
      <w:kern w:val="2"/>
      <w:sz w:val="28"/>
      <w:szCs w:val="28"/>
    </w:rPr>
  </w:style>
  <w:style w:type="character" w:customStyle="1" w:styleId="73">
    <w:name w:val="表格 Char Char"/>
    <w:link w:val="74"/>
    <w:uiPriority w:val="0"/>
    <w:rPr>
      <w:rFonts w:ascii="宋体" w:hAnsi="宋体"/>
    </w:rPr>
  </w:style>
  <w:style w:type="paragraph" w:customStyle="1" w:styleId="74">
    <w:name w:val="表格"/>
    <w:basedOn w:val="1"/>
    <w:link w:val="73"/>
    <w:uiPriority w:val="0"/>
    <w:pPr>
      <w:widowControl w:val="0"/>
      <w:autoSpaceDE w:val="0"/>
      <w:autoSpaceDN w:val="0"/>
      <w:adjustRightInd w:val="0"/>
      <w:snapToGrid w:val="0"/>
      <w:ind w:firstLine="42" w:firstLineChars="21"/>
    </w:pPr>
    <w:rPr>
      <w:rFonts w:cs="Times New Roman"/>
      <w:sz w:val="20"/>
      <w:szCs w:val="20"/>
    </w:rPr>
  </w:style>
  <w:style w:type="character" w:customStyle="1" w:styleId="75">
    <w:name w:val=" Char Char22"/>
    <w:link w:val="14"/>
    <w:uiPriority w:val="0"/>
    <w:rPr>
      <w:rFonts w:ascii="Times New Roman" w:hAnsi="Times New Roman" w:eastAsia="宋体" w:cs="Times New Roman"/>
      <w:szCs w:val="24"/>
    </w:rPr>
  </w:style>
  <w:style w:type="character" w:customStyle="1" w:styleId="76">
    <w:name w:val="引用 Char1"/>
    <w:uiPriority w:val="29"/>
    <w:rPr>
      <w:i/>
      <w:iCs/>
      <w:color w:val="000000"/>
      <w:kern w:val="2"/>
      <w:sz w:val="21"/>
      <w:szCs w:val="24"/>
    </w:rPr>
  </w:style>
  <w:style w:type="character" w:customStyle="1" w:styleId="77">
    <w:name w:val="blue1"/>
    <w:basedOn w:val="57"/>
    <w:uiPriority w:val="0"/>
  </w:style>
  <w:style w:type="character" w:customStyle="1" w:styleId="78">
    <w:name w:val=" Char Char16"/>
    <w:uiPriority w:val="0"/>
    <w:rPr>
      <w:rFonts w:ascii="Arial" w:hAnsi="Arial" w:eastAsia="宋体" w:cs="Times New Roman"/>
      <w:bCs/>
      <w:sz w:val="24"/>
      <w:szCs w:val="24"/>
    </w:rPr>
  </w:style>
  <w:style w:type="character" w:customStyle="1" w:styleId="79">
    <w:name w:val="font41"/>
    <w:qFormat/>
    <w:uiPriority w:val="0"/>
    <w:rPr>
      <w:rFonts w:hint="eastAsia" w:ascii="宋体" w:hAnsi="宋体" w:eastAsia="宋体" w:cs="宋体"/>
      <w:color w:val="000000"/>
      <w:sz w:val="20"/>
      <w:szCs w:val="20"/>
      <w:u w:val="none"/>
    </w:rPr>
  </w:style>
  <w:style w:type="character" w:customStyle="1" w:styleId="80">
    <w:name w:val=" Char Char18"/>
    <w:uiPriority w:val="0"/>
    <w:rPr>
      <w:rFonts w:ascii="宋体" w:hAnsi="Courier New" w:eastAsia="宋体"/>
      <w:kern w:val="2"/>
      <w:sz w:val="21"/>
      <w:lang w:val="en-US" w:eastAsia="zh-CN" w:bidi="ar-SA"/>
    </w:rPr>
  </w:style>
  <w:style w:type="character" w:customStyle="1" w:styleId="81">
    <w:name w:val="明显引用 Char3"/>
    <w:uiPriority w:val="30"/>
    <w:rPr>
      <w:rFonts w:ascii="宋体" w:hAnsi="宋体" w:eastAsia="宋体" w:cs="宋体"/>
      <w:b/>
      <w:bCs/>
      <w:i/>
      <w:iCs/>
      <w:color w:val="4F81BD"/>
      <w:kern w:val="0"/>
      <w:sz w:val="24"/>
      <w:szCs w:val="24"/>
    </w:rPr>
  </w:style>
  <w:style w:type="character" w:customStyle="1" w:styleId="82">
    <w:name w:val="style661"/>
    <w:uiPriority w:val="0"/>
    <w:rPr>
      <w:color w:val="000000"/>
      <w:sz w:val="18"/>
      <w:szCs w:val="18"/>
    </w:rPr>
  </w:style>
  <w:style w:type="character" w:customStyle="1" w:styleId="83">
    <w:name w:val="heading 2 Char1"/>
    <w:aliases w:val="Heading 2 Hidden Char1,Heading 2 CCBS Char1,H2 Char1,2 Char1,h2 Char1,Level 2 Head Char1,第*章 Char1,sect 1.2 Char1,节 Char1,标题 1.1 Char1,Underrubrik1 Char1,prop2 Char1,l2 Char1,Chapter Title Char1,DO NOT USE_h2 Char1,chn Char1,Titre2 Char1"/>
    <w:uiPriority w:val="0"/>
    <w:rPr>
      <w:rFonts w:ascii="Cambria" w:hAnsi="Cambria" w:eastAsia="宋体"/>
      <w:b/>
      <w:bCs/>
      <w:kern w:val="2"/>
      <w:sz w:val="32"/>
      <w:szCs w:val="32"/>
      <w:lang w:val="en-US" w:eastAsia="zh-CN" w:bidi="ar-SA"/>
    </w:rPr>
  </w:style>
  <w:style w:type="character" w:customStyle="1" w:styleId="84">
    <w:name w:val="heading 2 Char2"/>
    <w:aliases w:val="Heading 2 Hidden Char2,Heading 2 CCBS Char2,H2 Char2,2 Char2,h2 Char2,Level 2 Head Char2,第*章 Char2,sect 1.2 Char2,节 Char2,标题 1.1 Char2,Underrubrik1 Char2,prop2 Char2,l2 Char2,Chapter Title Char2,DO NOT USE_h2 Char2,chn Char2,Titre2 Char2"/>
    <w:uiPriority w:val="0"/>
    <w:rPr>
      <w:rFonts w:ascii="Cambria" w:hAnsi="Cambria"/>
      <w:b/>
      <w:bCs/>
      <w:kern w:val="2"/>
      <w:sz w:val="32"/>
      <w:szCs w:val="32"/>
    </w:rPr>
  </w:style>
  <w:style w:type="character" w:customStyle="1" w:styleId="85">
    <w:name w:val="不明显强调"/>
    <w:qFormat/>
    <w:uiPriority w:val="0"/>
    <w:rPr>
      <w:i/>
      <w:iCs/>
      <w:color w:val="808080"/>
    </w:rPr>
  </w:style>
  <w:style w:type="character" w:customStyle="1" w:styleId="86">
    <w:name w:val="引用 Char3"/>
    <w:uiPriority w:val="29"/>
    <w:rPr>
      <w:rFonts w:ascii="宋体" w:hAnsi="宋体" w:eastAsia="宋体" w:cs="宋体"/>
      <w:i/>
      <w:iCs/>
      <w:color w:val="000000"/>
      <w:kern w:val="0"/>
      <w:sz w:val="24"/>
      <w:szCs w:val="24"/>
    </w:rPr>
  </w:style>
  <w:style w:type="character" w:customStyle="1" w:styleId="87">
    <w:name w:val="Ò³Ã¼ Char Char"/>
    <w:uiPriority w:val="0"/>
    <w:rPr>
      <w:sz w:val="18"/>
      <w:szCs w:val="18"/>
    </w:rPr>
  </w:style>
  <w:style w:type="character" w:customStyle="1" w:styleId="88">
    <w:name w:val="Char Char Char1"/>
    <w:uiPriority w:val="0"/>
    <w:rPr>
      <w:rFonts w:ascii="宋体" w:hAnsi="Courier New"/>
      <w:sz w:val="21"/>
      <w:szCs w:val="21"/>
    </w:rPr>
  </w:style>
  <w:style w:type="character" w:customStyle="1" w:styleId="89">
    <w:name w:val="标题 Char1"/>
    <w:uiPriority w:val="0"/>
    <w:rPr>
      <w:rFonts w:ascii="Cambria" w:hAnsi="Cambria" w:eastAsia="宋体" w:cs="Times New Roman"/>
      <w:b/>
      <w:bCs/>
      <w:kern w:val="0"/>
      <w:sz w:val="32"/>
      <w:szCs w:val="32"/>
    </w:rPr>
  </w:style>
  <w:style w:type="character" w:customStyle="1" w:styleId="90">
    <w:name w:val=" Char Char37"/>
    <w:link w:val="12"/>
    <w:uiPriority w:val="0"/>
    <w:rPr>
      <w:rFonts w:ascii="宋体" w:hAnsi="宋体" w:eastAsia="宋体" w:cs="宋体"/>
      <w:b/>
      <w:bCs/>
      <w:spacing w:val="6"/>
      <w:kern w:val="0"/>
      <w:sz w:val="24"/>
      <w:szCs w:val="24"/>
    </w:rPr>
  </w:style>
  <w:style w:type="character" w:customStyle="1" w:styleId="91">
    <w:name w:val="Char Char15"/>
    <w:uiPriority w:val="0"/>
    <w:rPr>
      <w:rFonts w:ascii="Arial" w:hAnsi="Arial" w:eastAsia="黑体"/>
      <w:sz w:val="24"/>
      <w:szCs w:val="24"/>
    </w:rPr>
  </w:style>
  <w:style w:type="character" w:customStyle="1" w:styleId="92">
    <w:name w:val="Texte Char Char"/>
    <w:uiPriority w:val="0"/>
    <w:rPr>
      <w:rFonts w:ascii="宋体" w:hAnsi="Courier New" w:eastAsia="仿宋_GB2312" w:cs="宋体"/>
      <w:b/>
      <w:bCs/>
      <w:color w:val="000000"/>
      <w:sz w:val="21"/>
      <w:lang w:val="en-US" w:eastAsia="zh-CN" w:bidi="ar-SA"/>
    </w:rPr>
  </w:style>
  <w:style w:type="character" w:customStyle="1" w:styleId="93">
    <w:name w:val="宏文本 Char1"/>
    <w:uiPriority w:val="0"/>
    <w:rPr>
      <w:rFonts w:ascii="Courier New" w:hAnsi="Courier New" w:eastAsia="宋体" w:cs="Courier New"/>
      <w:kern w:val="0"/>
      <w:sz w:val="24"/>
      <w:szCs w:val="24"/>
    </w:rPr>
  </w:style>
  <w:style w:type="character" w:customStyle="1" w:styleId="94">
    <w:name w:val="副标题 Char3"/>
    <w:uiPriority w:val="0"/>
    <w:rPr>
      <w:rFonts w:ascii="Cambria" w:hAnsi="Cambria" w:cs="Times New Roman"/>
      <w:b/>
      <w:bCs/>
      <w:kern w:val="28"/>
      <w:sz w:val="32"/>
      <w:szCs w:val="32"/>
    </w:rPr>
  </w:style>
  <w:style w:type="character" w:customStyle="1" w:styleId="95">
    <w:name w:val="gray6"/>
    <w:basedOn w:val="57"/>
    <w:uiPriority w:val="0"/>
  </w:style>
  <w:style w:type="character" w:customStyle="1" w:styleId="96">
    <w:name w:val="Char Char21"/>
    <w:uiPriority w:val="0"/>
    <w:rPr>
      <w:rFonts w:ascii="Times New Roman" w:hAnsi="Times New Roman" w:eastAsia="宋体" w:cs="Times New Roman"/>
      <w:b/>
      <w:bCs/>
      <w:kern w:val="44"/>
      <w:sz w:val="44"/>
      <w:szCs w:val="44"/>
    </w:rPr>
  </w:style>
  <w:style w:type="character" w:customStyle="1" w:styleId="97">
    <w:name w:val="标题 Char2"/>
    <w:uiPriority w:val="0"/>
    <w:rPr>
      <w:rFonts w:ascii="Cambria" w:hAnsi="Cambria" w:eastAsia="宋体" w:cs="Times New Roman"/>
      <w:b/>
      <w:bCs/>
      <w:sz w:val="32"/>
      <w:szCs w:val="32"/>
    </w:rPr>
  </w:style>
  <w:style w:type="character" w:customStyle="1" w:styleId="98">
    <w:name w:val="样式 EHL二级项目 + 段前: 0.5 行 段后: 0.5 行 Char Char"/>
    <w:link w:val="99"/>
    <w:uiPriority w:val="0"/>
    <w:rPr>
      <w:b/>
      <w:sz w:val="24"/>
    </w:rPr>
  </w:style>
  <w:style w:type="paragraph" w:customStyle="1" w:styleId="99">
    <w:name w:val="样式 EHL二级项目 + 段前: 0.5 行 段后: 0.5 行"/>
    <w:basedOn w:val="1"/>
    <w:link w:val="98"/>
    <w:uiPriority w:val="0"/>
    <w:pPr>
      <w:widowControl w:val="0"/>
      <w:tabs>
        <w:tab w:val="left" w:pos="1446"/>
        <w:tab w:val="left" w:pos="1692"/>
      </w:tabs>
      <w:spacing w:before="156" w:after="156" w:line="360" w:lineRule="auto"/>
      <w:ind w:left="1692" w:hanging="432"/>
      <w:jc w:val="both"/>
    </w:pPr>
    <w:rPr>
      <w:rFonts w:ascii="Times New Roman" w:hAnsi="Times New Roman" w:cs="Times New Roman"/>
      <w:b/>
      <w:szCs w:val="20"/>
    </w:rPr>
  </w:style>
  <w:style w:type="character" w:customStyle="1" w:styleId="100">
    <w:name w:val="style111"/>
    <w:uiPriority w:val="0"/>
    <w:rPr>
      <w:sz w:val="27"/>
      <w:szCs w:val="27"/>
    </w:rPr>
  </w:style>
  <w:style w:type="character" w:customStyle="1" w:styleId="101">
    <w:name w:val=" Char Char14"/>
    <w:link w:val="23"/>
    <w:uiPriority w:val="0"/>
    <w:rPr>
      <w:sz w:val="24"/>
    </w:rPr>
  </w:style>
  <w:style w:type="character" w:customStyle="1" w:styleId="102">
    <w:name w:val="Char Char6"/>
    <w:uiPriority w:val="0"/>
    <w:rPr>
      <w:rFonts w:ascii="Times New Roman" w:hAnsi="Times New Roman" w:eastAsia="宋体" w:cs="Times New Roman"/>
      <w:szCs w:val="24"/>
    </w:rPr>
  </w:style>
  <w:style w:type="character" w:customStyle="1" w:styleId="103">
    <w:name w:val="Char Char211"/>
    <w:uiPriority w:val="0"/>
    <w:rPr>
      <w:rFonts w:ascii="Times New Roman" w:hAnsi="Times New Roman" w:eastAsia="宋体" w:cs="Times New Roman"/>
      <w:b/>
      <w:bCs/>
      <w:kern w:val="44"/>
      <w:sz w:val="44"/>
      <w:szCs w:val="44"/>
    </w:rPr>
  </w:style>
  <w:style w:type="character" w:customStyle="1" w:styleId="104">
    <w:name w:val="明显引用 Char2"/>
    <w:uiPriority w:val="30"/>
    <w:rPr>
      <w:b/>
      <w:bCs/>
      <w:i/>
      <w:iCs/>
      <w:color w:val="4F81BD"/>
      <w:kern w:val="2"/>
      <w:sz w:val="21"/>
      <w:szCs w:val="24"/>
    </w:rPr>
  </w:style>
  <w:style w:type="character" w:customStyle="1" w:styleId="105">
    <w:name w:val="hang1"/>
    <w:basedOn w:val="57"/>
    <w:uiPriority w:val="0"/>
  </w:style>
  <w:style w:type="character" w:customStyle="1" w:styleId="106">
    <w:name w:val="称呼 Char2"/>
    <w:uiPriority w:val="0"/>
    <w:rPr>
      <w:rFonts w:ascii="宋体" w:hAnsi="宋体" w:cs="宋体"/>
      <w:sz w:val="24"/>
      <w:szCs w:val="24"/>
    </w:rPr>
  </w:style>
  <w:style w:type="character" w:customStyle="1" w:styleId="107">
    <w:name w:val="Table Text Char Char"/>
    <w:uiPriority w:val="0"/>
    <w:rPr>
      <w:kern w:val="2"/>
      <w:sz w:val="18"/>
      <w:szCs w:val="24"/>
    </w:rPr>
  </w:style>
  <w:style w:type="character" w:customStyle="1" w:styleId="108">
    <w:name w:val=" Char Char6"/>
    <w:link w:val="40"/>
    <w:uiPriority w:val="0"/>
    <w:rPr>
      <w:rFonts w:eastAsia="仿宋_GB2312"/>
      <w:sz w:val="24"/>
    </w:rPr>
  </w:style>
  <w:style w:type="character" w:customStyle="1" w:styleId="109">
    <w:name w:val="*正文 Char"/>
    <w:link w:val="110"/>
    <w:qFormat/>
    <w:locked/>
    <w:uiPriority w:val="0"/>
    <w:rPr>
      <w:rFonts w:hAnsi="宋体" w:eastAsia="宋体" w:cs="Times New Roman"/>
      <w:kern w:val="2"/>
      <w:szCs w:val="22"/>
      <w:lang w:val="zh-CN" w:eastAsia="zh-CN"/>
    </w:rPr>
  </w:style>
  <w:style w:type="paragraph" w:customStyle="1" w:styleId="110">
    <w:name w:val="*正文"/>
    <w:basedOn w:val="1"/>
    <w:link w:val="109"/>
    <w:qFormat/>
    <w:uiPriority w:val="0"/>
    <w:pPr>
      <w:autoSpaceDE/>
      <w:autoSpaceDN/>
      <w:adjustRightInd/>
      <w:spacing w:line="360" w:lineRule="auto"/>
      <w:ind w:firstLine="482"/>
      <w:jc w:val="both"/>
    </w:pPr>
    <w:rPr>
      <w:rFonts w:ascii="Times New Roman" w:cs="Times New Roman"/>
      <w:kern w:val="2"/>
      <w:sz w:val="20"/>
      <w:szCs w:val="22"/>
      <w:lang w:val="zh-CN"/>
    </w:rPr>
  </w:style>
  <w:style w:type="character" w:customStyle="1" w:styleId="111">
    <w:name w:val=" Char Char28"/>
    <w:link w:val="4"/>
    <w:uiPriority w:val="0"/>
    <w:rPr>
      <w:rFonts w:ascii="Calibri" w:hAnsi="Calibri" w:eastAsia="宋体"/>
      <w:bCs/>
    </w:rPr>
  </w:style>
  <w:style w:type="character" w:customStyle="1" w:styleId="112">
    <w:name w:val="heading 6 Char1"/>
    <w:aliases w:val="H6 Char1,BOD 4 Char Char1"/>
    <w:uiPriority w:val="0"/>
    <w:rPr>
      <w:rFonts w:ascii="Arial" w:hAnsi="Arial" w:eastAsia="黑体"/>
      <w:kern w:val="2"/>
      <w:sz w:val="24"/>
      <w:szCs w:val="24"/>
      <w:lang w:val="en-US" w:eastAsia="zh-CN" w:bidi="ar-SA"/>
    </w:rPr>
  </w:style>
  <w:style w:type="character" w:customStyle="1" w:styleId="113">
    <w:name w:val="PI Char2"/>
    <w:aliases w:val="正文文字首行缩进 Char2,HD正文1 Char2,正文小标题 Char2,正文顶格 Char Char2"/>
    <w:uiPriority w:val="0"/>
    <w:rPr>
      <w:kern w:val="2"/>
      <w:sz w:val="24"/>
      <w:szCs w:val="24"/>
    </w:rPr>
  </w:style>
  <w:style w:type="character" w:customStyle="1" w:styleId="114">
    <w:name w:val="金保标题2 Char"/>
    <w:link w:val="115"/>
    <w:uiPriority w:val="0"/>
    <w:rPr>
      <w:rFonts w:eastAsia="黑体"/>
      <w:b/>
      <w:bCs/>
      <w:sz w:val="28"/>
      <w:szCs w:val="28"/>
    </w:rPr>
  </w:style>
  <w:style w:type="paragraph" w:customStyle="1" w:styleId="115">
    <w:name w:val="金保标题2"/>
    <w:basedOn w:val="7"/>
    <w:next w:val="1"/>
    <w:link w:val="114"/>
    <w:uiPriority w:val="0"/>
    <w:pPr>
      <w:tabs>
        <w:tab w:val="left" w:pos="576"/>
      </w:tabs>
      <w:spacing w:line="360" w:lineRule="auto"/>
      <w:ind w:left="576" w:hanging="576"/>
    </w:pPr>
    <w:rPr>
      <w:rFonts w:ascii="Times New Roman" w:hAnsi="Times New Roman"/>
      <w:sz w:val="28"/>
      <w:szCs w:val="28"/>
    </w:rPr>
  </w:style>
  <w:style w:type="character" w:customStyle="1" w:styleId="116">
    <w:name w:val="heading 8 Char1"/>
    <w:aliases w:val="图名 Char Char1"/>
    <w:uiPriority w:val="0"/>
    <w:rPr>
      <w:rFonts w:ascii="Arial" w:hAnsi="Arial" w:eastAsia="黑体"/>
      <w:sz w:val="24"/>
      <w:lang w:val="en-US" w:eastAsia="zh-CN" w:bidi="ar-SA"/>
    </w:rPr>
  </w:style>
  <w:style w:type="character" w:customStyle="1" w:styleId="117">
    <w:name w:val="明显引用 Char1"/>
    <w:uiPriority w:val="30"/>
    <w:rPr>
      <w:b/>
      <w:bCs/>
      <w:i/>
      <w:iCs/>
      <w:color w:val="4F81BD"/>
      <w:kern w:val="2"/>
      <w:sz w:val="21"/>
      <w:szCs w:val="24"/>
    </w:rPr>
  </w:style>
  <w:style w:type="character" w:customStyle="1" w:styleId="118">
    <w:name w:val="明显参考"/>
    <w:qFormat/>
    <w:uiPriority w:val="0"/>
    <w:rPr>
      <w:b/>
      <w:bCs/>
      <w:smallCaps/>
      <w:color w:val="C0504D"/>
      <w:spacing w:val="5"/>
      <w:u w:val="single"/>
    </w:rPr>
  </w:style>
  <w:style w:type="character" w:customStyle="1" w:styleId="119">
    <w:name w:val="正文（缩进） Char Char"/>
    <w:link w:val="120"/>
    <w:uiPriority w:val="0"/>
    <w:rPr>
      <w:sz w:val="24"/>
      <w:szCs w:val="24"/>
    </w:rPr>
  </w:style>
  <w:style w:type="paragraph" w:customStyle="1" w:styleId="120">
    <w:name w:val="正文（缩进）"/>
    <w:basedOn w:val="1"/>
    <w:link w:val="119"/>
    <w:uiPriority w:val="0"/>
    <w:pPr>
      <w:widowControl w:val="0"/>
      <w:spacing w:before="156" w:beforeLines="50" w:after="156" w:afterLines="50" w:line="360" w:lineRule="auto"/>
      <w:ind w:firstLine="480" w:firstLineChars="200"/>
      <w:jc w:val="both"/>
    </w:pPr>
    <w:rPr>
      <w:rFonts w:ascii="Times New Roman" w:hAnsi="Times New Roman" w:cs="Times New Roman"/>
    </w:rPr>
  </w:style>
  <w:style w:type="character" w:customStyle="1" w:styleId="121">
    <w:name w:val="apple-converted-space"/>
    <w:basedOn w:val="57"/>
    <w:uiPriority w:val="0"/>
  </w:style>
  <w:style w:type="character" w:customStyle="1" w:styleId="122">
    <w:name w:val="sub_title s0"/>
    <w:basedOn w:val="57"/>
    <w:uiPriority w:val="0"/>
  </w:style>
  <w:style w:type="character" w:customStyle="1" w:styleId="123">
    <w:name w:val="引用 Char"/>
    <w:link w:val="124"/>
    <w:uiPriority w:val="0"/>
    <w:rPr>
      <w:rFonts w:ascii="Calibri" w:hAnsi="Calibri"/>
      <w:i/>
      <w:iCs/>
      <w:color w:val="000000"/>
    </w:rPr>
  </w:style>
  <w:style w:type="paragraph" w:customStyle="1" w:styleId="124">
    <w:name w:val="引用"/>
    <w:basedOn w:val="1"/>
    <w:next w:val="1"/>
    <w:link w:val="123"/>
    <w:qFormat/>
    <w:uiPriority w:val="29"/>
    <w:pPr>
      <w:widowControl w:val="0"/>
      <w:jc w:val="both"/>
    </w:pPr>
    <w:rPr>
      <w:rFonts w:cs="Times New Roman"/>
      <w:i/>
      <w:iCs/>
      <w:color w:val="000000"/>
    </w:rPr>
  </w:style>
  <w:style w:type="character" w:customStyle="1" w:styleId="125">
    <w:name w:val="textcolor1"/>
    <w:uiPriority w:val="0"/>
    <w:rPr>
      <w:rFonts w:ascii="仿宋_GB2312" w:eastAsia="仿宋_GB2312"/>
      <w:b/>
      <w:color w:val="FF6600"/>
      <w:sz w:val="32"/>
      <w:szCs w:val="32"/>
    </w:rPr>
  </w:style>
  <w:style w:type="character" w:customStyle="1" w:styleId="126">
    <w:name w:val="heading 4 Char"/>
    <w:aliases w:val="H4 Char,Ref Heading 1 Char,rh1 Char,Heading sql Char,sect 1.2.3.4 Char,h4 Char,sect 1.2.3.41 Char,Ref Heading 11 Char,rh11 Char,sect 1.2.3.42 Char,Ref Heading 12 Char,rh12 Char,sect 1.2.3.411 Char,Ref Heading 111 Char,rh111 Char,rh13 Char"/>
    <w:uiPriority w:val="0"/>
    <w:rPr>
      <w:rFonts w:ascii="Arial" w:hAnsi="Arial" w:eastAsia="黑体" w:cs="Times New Roman"/>
      <w:sz w:val="21"/>
      <w:szCs w:val="21"/>
    </w:rPr>
  </w:style>
  <w:style w:type="character" w:customStyle="1" w:styleId="127">
    <w:name w:val="heading 5 Char1"/>
    <w:aliases w:val="H5 Char1,dash Char1,ds Char1,dd Char1,Roman list Char1,h5 Char1,PIM 5 Char1,5 Char1,第四层条 Char1,Titre5 Char Char1"/>
    <w:uiPriority w:val="0"/>
    <w:rPr>
      <w:rFonts w:eastAsia="宋体"/>
      <w:b/>
      <w:bCs/>
      <w:kern w:val="2"/>
      <w:sz w:val="28"/>
      <w:szCs w:val="28"/>
      <w:lang w:val="en-US" w:eastAsia="zh-CN" w:bidi="ar-SA"/>
    </w:rPr>
  </w:style>
  <w:style w:type="character" w:customStyle="1" w:styleId="128">
    <w:name w:val="heading 4 Char1"/>
    <w:aliases w:val="H4 Char1,Ref Heading 1 Char1,rh1 Char1,Heading sql Char1,sect 1.2.3.4 Char1,h4 Char1,sect 1.2.3.41 Char1,Ref Heading 11 Char1,rh11 Char1,sect 1.2.3.42 Char1,Ref Heading 12 Char1,rh12 Char1,sect 1.2.3.411 Char1,Ref Heading 111 Char1"/>
    <w:uiPriority w:val="0"/>
    <w:rPr>
      <w:rFonts w:ascii="Cambria" w:hAnsi="Cambria" w:eastAsia="宋体"/>
      <w:b/>
      <w:bCs/>
      <w:kern w:val="2"/>
      <w:sz w:val="28"/>
      <w:szCs w:val="28"/>
      <w:lang w:val="en-US" w:eastAsia="zh-CN" w:bidi="ar-SA"/>
    </w:rPr>
  </w:style>
  <w:style w:type="character" w:customStyle="1" w:styleId="129">
    <w:name w:val=" Char Char5"/>
    <w:link w:val="43"/>
    <w:uiPriority w:val="0"/>
    <w:rPr>
      <w:rFonts w:ascii="Cambria" w:hAnsi="Cambria"/>
      <w:b/>
      <w:bCs/>
      <w:kern w:val="28"/>
      <w:sz w:val="32"/>
      <w:szCs w:val="32"/>
    </w:rPr>
  </w:style>
  <w:style w:type="character" w:customStyle="1" w:styleId="130">
    <w:name w:val=" Char Char32"/>
    <w:link w:val="35"/>
    <w:uiPriority w:val="0"/>
    <w:rPr>
      <w:rFonts w:ascii="宋体" w:hAnsi="宋体" w:eastAsia="宋体" w:cs="Times New Roman"/>
      <w:color w:val="000000"/>
      <w:kern w:val="0"/>
      <w:sz w:val="24"/>
      <w:szCs w:val="24"/>
    </w:rPr>
  </w:style>
  <w:style w:type="character" w:customStyle="1" w:styleId="131">
    <w:name w:val=" Char Char12"/>
    <w:uiPriority w:val="0"/>
    <w:rPr>
      <w:rFonts w:eastAsia="宋体"/>
      <w:kern w:val="2"/>
      <w:sz w:val="21"/>
      <w:szCs w:val="24"/>
      <w:lang w:val="en-US" w:eastAsia="zh-CN" w:bidi="ar-SA"/>
    </w:rPr>
  </w:style>
  <w:style w:type="character" w:customStyle="1" w:styleId="132">
    <w:name w:val=" Char Char41"/>
    <w:link w:val="8"/>
    <w:qFormat/>
    <w:uiPriority w:val="0"/>
    <w:rPr>
      <w:rFonts w:ascii="Calibri" w:hAnsi="Calibri" w:eastAsia="宋体" w:cs="Times New Roman"/>
      <w:b/>
      <w:bCs/>
      <w:sz w:val="32"/>
      <w:szCs w:val="32"/>
    </w:rPr>
  </w:style>
  <w:style w:type="character" w:customStyle="1" w:styleId="133">
    <w:name w:val="副标题 Char1"/>
    <w:uiPriority w:val="0"/>
    <w:rPr>
      <w:rFonts w:ascii="Cambria" w:hAnsi="Cambria" w:cs="Times New Roman"/>
      <w:b/>
      <w:bCs/>
      <w:kern w:val="28"/>
      <w:sz w:val="32"/>
      <w:szCs w:val="32"/>
    </w:rPr>
  </w:style>
  <w:style w:type="character" w:customStyle="1" w:styleId="134">
    <w:name w:val="Plain Text Char"/>
    <w:uiPriority w:val="0"/>
    <w:rPr>
      <w:rFonts w:ascii="宋体" w:hAnsi="Courier New" w:eastAsia="宋体" w:cs="Times New Roman"/>
      <w:sz w:val="21"/>
      <w:szCs w:val="21"/>
    </w:rPr>
  </w:style>
  <w:style w:type="character" w:customStyle="1" w:styleId="135">
    <w:name w:val=" Char Char7"/>
    <w:link w:val="39"/>
    <w:qFormat/>
    <w:uiPriority w:val="99"/>
    <w:rPr>
      <w:sz w:val="18"/>
      <w:szCs w:val="18"/>
    </w:rPr>
  </w:style>
  <w:style w:type="character" w:customStyle="1" w:styleId="136">
    <w:name w:val="heading 5 Char2"/>
    <w:aliases w:val="H5 Char2,dash Char2,ds Char2,dd Char2,Roman list Char2,h5 Char2,PIM 5 Char2,5 Char2,第四层条 Char2,Titre5 Char Char2"/>
    <w:uiPriority w:val="0"/>
    <w:rPr>
      <w:b/>
      <w:bCs/>
      <w:kern w:val="2"/>
      <w:sz w:val="28"/>
      <w:szCs w:val="28"/>
    </w:rPr>
  </w:style>
  <w:style w:type="character" w:customStyle="1" w:styleId="137">
    <w:name w:val="正文首行缩进 Char2"/>
    <w:uiPriority w:val="0"/>
    <w:rPr>
      <w:rFonts w:ascii="Arial" w:hAnsi="Arial" w:eastAsia="宋体" w:cs="宋体"/>
      <w:bCs/>
      <w:kern w:val="2"/>
      <w:sz w:val="24"/>
      <w:szCs w:val="24"/>
    </w:rPr>
  </w:style>
  <w:style w:type="character" w:customStyle="1" w:styleId="138">
    <w:name w:val="Char Char19"/>
    <w:uiPriority w:val="0"/>
    <w:rPr>
      <w:rFonts w:ascii="Cambria" w:hAnsi="Cambria"/>
      <w:b/>
      <w:bCs/>
      <w:kern w:val="2"/>
      <w:sz w:val="32"/>
      <w:szCs w:val="32"/>
    </w:rPr>
  </w:style>
  <w:style w:type="character" w:customStyle="1" w:styleId="139">
    <w:name w:val="正文（标记） Char2"/>
    <w:link w:val="140"/>
    <w:uiPriority w:val="0"/>
    <w:rPr>
      <w:sz w:val="24"/>
      <w:szCs w:val="24"/>
    </w:rPr>
  </w:style>
  <w:style w:type="paragraph" w:customStyle="1" w:styleId="140">
    <w:name w:val="正文（标记）"/>
    <w:basedOn w:val="1"/>
    <w:link w:val="139"/>
    <w:uiPriority w:val="0"/>
    <w:pPr>
      <w:widowControl w:val="0"/>
      <w:numPr>
        <w:ilvl w:val="0"/>
        <w:numId w:val="2"/>
      </w:numPr>
      <w:tabs>
        <w:tab w:val="left" w:pos="840"/>
        <w:tab w:val="left" w:pos="965"/>
      </w:tabs>
      <w:spacing w:before="156" w:beforeLines="50" w:after="156" w:afterLines="50"/>
      <w:jc w:val="both"/>
    </w:pPr>
    <w:rPr>
      <w:rFonts w:ascii="Times New Roman" w:hAnsi="Times New Roman" w:cs="Times New Roman"/>
    </w:rPr>
  </w:style>
  <w:style w:type="character" w:customStyle="1" w:styleId="141">
    <w:name w:val=" Char Char27"/>
    <w:uiPriority w:val="0"/>
    <w:rPr>
      <w:rFonts w:ascii="Times New Roman" w:hAnsi="Times New Roman" w:eastAsia="宋体" w:cs="Times New Roman"/>
      <w:sz w:val="28"/>
      <w:szCs w:val="24"/>
    </w:rPr>
  </w:style>
  <w:style w:type="character" w:customStyle="1" w:styleId="142">
    <w:name w:val=" Char Char21"/>
    <w:link w:val="25"/>
    <w:uiPriority w:val="0"/>
    <w:rPr>
      <w:szCs w:val="24"/>
    </w:rPr>
  </w:style>
  <w:style w:type="character" w:customStyle="1" w:styleId="143">
    <w:name w:val=" Char Char33"/>
    <w:link w:val="51"/>
    <w:uiPriority w:val="0"/>
    <w:rPr>
      <w:rFonts w:ascii="宋体" w:hAnsi="宋体" w:eastAsia="宋体" w:cs="Times New Roman"/>
      <w:kern w:val="0"/>
      <w:sz w:val="24"/>
      <w:szCs w:val="24"/>
    </w:rPr>
  </w:style>
  <w:style w:type="character" w:customStyle="1" w:styleId="144">
    <w:name w:val="Char Char Char Char Char Char Char Char Char"/>
    <w:uiPriority w:val="0"/>
    <w:rPr>
      <w:rFonts w:ascii="宋体" w:hAnsi="Courier New" w:eastAsia="宋体"/>
      <w:sz w:val="21"/>
      <w:szCs w:val="21"/>
      <w:lang w:val="en-US" w:eastAsia="zh-CN" w:bidi="ar-SA"/>
    </w:rPr>
  </w:style>
  <w:style w:type="character" w:customStyle="1" w:styleId="145">
    <w:name w:val="zw1 Char"/>
    <w:link w:val="146"/>
    <w:uiPriority w:val="0"/>
    <w:rPr>
      <w:rFonts w:eastAsia="宋体"/>
      <w:sz w:val="28"/>
    </w:rPr>
  </w:style>
  <w:style w:type="paragraph" w:customStyle="1" w:styleId="146">
    <w:name w:val="zw1"/>
    <w:basedOn w:val="1"/>
    <w:link w:val="145"/>
    <w:uiPriority w:val="0"/>
    <w:pPr>
      <w:spacing w:line="360" w:lineRule="auto"/>
      <w:ind w:firstLine="560" w:firstLineChars="200"/>
    </w:pPr>
    <w:rPr>
      <w:rFonts w:ascii="Times New Roman" w:hAnsi="Times New Roman" w:cs="Times New Roman"/>
      <w:sz w:val="28"/>
      <w:szCs w:val="20"/>
    </w:rPr>
  </w:style>
  <w:style w:type="character" w:customStyle="1" w:styleId="147">
    <w:name w:val=" ändrad Char1"/>
    <w:aliases w:val="Indent Char1,Ind Char1,鋘drad Char1,paragraph 2 Char1,paragraph 21 Char1,``` Char1,contents Char Char Char2,contents Char Char Char Char1,contents Char1,特殊文字 Char Char Char Char2,特殊文字 Char Char Char Char Char1,ändra Char Char"/>
    <w:uiPriority w:val="0"/>
    <w:rPr>
      <w:rFonts w:eastAsia="宋体"/>
      <w:kern w:val="2"/>
      <w:sz w:val="21"/>
      <w:szCs w:val="24"/>
      <w:lang w:val="en-US" w:eastAsia="zh-CN" w:bidi="ar-SA"/>
    </w:rPr>
  </w:style>
  <w:style w:type="character" w:customStyle="1" w:styleId="148">
    <w:name w:val="heading 4 Char2"/>
    <w:aliases w:val="H4 Char2,Ref Heading 1 Char2,rh1 Char2,Heading sql Char2,sect 1.2.3.4 Char2,h4 Char2,sect 1.2.3.41 Char2,Ref Heading 11 Char2,rh11 Char2,sect 1.2.3.42 Char2,Ref Heading 12 Char2,rh12 Char2,sect 1.2.3.411 Char2,Ref Heading 111 Char2"/>
    <w:uiPriority w:val="0"/>
    <w:rPr>
      <w:rFonts w:ascii="Cambria" w:hAnsi="Cambria"/>
      <w:b/>
      <w:bCs/>
      <w:kern w:val="2"/>
      <w:sz w:val="28"/>
      <w:szCs w:val="28"/>
    </w:rPr>
  </w:style>
  <w:style w:type="character" w:customStyle="1" w:styleId="149">
    <w:name w:val=" Char Char40"/>
    <w:link w:val="9"/>
    <w:qFormat/>
    <w:uiPriority w:val="0"/>
    <w:rPr>
      <w:rFonts w:ascii="Cambria" w:hAnsi="Cambria" w:eastAsia="宋体" w:cs="Times New Roman"/>
      <w:b/>
      <w:bCs/>
      <w:sz w:val="28"/>
      <w:szCs w:val="28"/>
    </w:rPr>
  </w:style>
  <w:style w:type="character" w:customStyle="1" w:styleId="150">
    <w:name w:val=" Char Char29"/>
    <w:link w:val="3"/>
    <w:uiPriority w:val="0"/>
    <w:rPr>
      <w:rFonts w:ascii="Arial" w:hAnsi="Arial" w:eastAsia="宋体"/>
      <w:bCs/>
      <w:sz w:val="24"/>
      <w:szCs w:val="24"/>
    </w:rPr>
  </w:style>
  <w:style w:type="character" w:customStyle="1" w:styleId="151">
    <w:name w:val="Footer1 Char"/>
    <w:aliases w:val="Footer-Even Char Char"/>
    <w:uiPriority w:val="0"/>
    <w:rPr>
      <w:rFonts w:eastAsia="宋体"/>
      <w:kern w:val="2"/>
      <w:sz w:val="18"/>
      <w:szCs w:val="18"/>
      <w:lang w:val="en-US" w:eastAsia="zh-CN" w:bidi="ar-SA"/>
    </w:rPr>
  </w:style>
  <w:style w:type="character" w:customStyle="1" w:styleId="152">
    <w:name w:val="wj1"/>
    <w:uiPriority w:val="0"/>
    <w:rPr>
      <w:color w:val="000000"/>
      <w:sz w:val="18"/>
      <w:szCs w:val="18"/>
      <w:u w:val="none"/>
    </w:rPr>
  </w:style>
  <w:style w:type="character" w:customStyle="1" w:styleId="153">
    <w:name w:val="彩色列表 - 强调文字颜色 1 Char"/>
    <w:link w:val="154"/>
    <w:uiPriority w:val="0"/>
    <w:rPr>
      <w:rFonts w:ascii="Calibri" w:hAnsi="Calibri"/>
    </w:rPr>
  </w:style>
  <w:style w:type="paragraph" w:customStyle="1" w:styleId="154">
    <w:name w:val="彩色列表 - 强调文字颜色 11"/>
    <w:basedOn w:val="1"/>
    <w:link w:val="153"/>
    <w:qFormat/>
    <w:uiPriority w:val="0"/>
    <w:pPr>
      <w:widowControl w:val="0"/>
      <w:ind w:firstLine="420" w:firstLineChars="200"/>
      <w:jc w:val="both"/>
    </w:pPr>
    <w:rPr>
      <w:rFonts w:ascii="Calibri" w:hAnsi="Calibri" w:cs="Times New Roman"/>
      <w:sz w:val="20"/>
      <w:szCs w:val="20"/>
    </w:rPr>
  </w:style>
  <w:style w:type="character" w:customStyle="1" w:styleId="155">
    <w:name w:val="样式 标题 3 + 黑体 小四 Char Char"/>
    <w:link w:val="156"/>
    <w:uiPriority w:val="0"/>
    <w:rPr>
      <w:rFonts w:ascii="黑体" w:hAnsi="Arial" w:eastAsia="黑体"/>
      <w:bCs/>
      <w:sz w:val="24"/>
      <w:szCs w:val="24"/>
    </w:rPr>
  </w:style>
  <w:style w:type="paragraph" w:customStyle="1" w:styleId="156">
    <w:name w:val="样式 标题 3 + 黑体 小四"/>
    <w:basedOn w:val="8"/>
    <w:link w:val="155"/>
    <w:uiPriority w:val="0"/>
    <w:pPr>
      <w:widowControl w:val="0"/>
      <w:numPr>
        <w:ilvl w:val="2"/>
        <w:numId w:val="0"/>
      </w:numPr>
      <w:spacing w:line="415" w:lineRule="auto"/>
      <w:jc w:val="both"/>
    </w:pPr>
    <w:rPr>
      <w:rFonts w:ascii="黑体" w:hAnsi="Arial" w:eastAsia="黑体"/>
      <w:b w:val="0"/>
      <w:kern w:val="0"/>
      <w:sz w:val="24"/>
      <w:szCs w:val="24"/>
    </w:rPr>
  </w:style>
  <w:style w:type="character" w:customStyle="1" w:styleId="157">
    <w:name w:val="hover9"/>
    <w:uiPriority w:val="0"/>
    <w:rPr>
      <w:shd w:val="clear" w:color="auto" w:fill="EEEEEE"/>
    </w:rPr>
  </w:style>
  <w:style w:type="character" w:customStyle="1" w:styleId="158">
    <w:name w:val="heading 3 Char1"/>
    <w:aliases w:val="H3 Char1,l3 Char1,CT Char1,h3 Char1,3rd level Char1,Heading 3 - old Char1,3 Char1,Head 3 Char1,level_3 Char1,PIM 3 Char1,Level 3 Head Char1,sect1.2.3 Char1,ISO2 Char1,L3 Char1,sect1.2.31 Char1,sect1.2.32 Char1,sect1.2.311 Char1,三级 Char"/>
    <w:uiPriority w:val="0"/>
    <w:rPr>
      <w:rFonts w:eastAsia="宋体"/>
      <w:b/>
      <w:bCs/>
      <w:kern w:val="2"/>
      <w:sz w:val="32"/>
      <w:szCs w:val="32"/>
      <w:lang w:val="en-US" w:eastAsia="zh-CN" w:bidi="ar-SA"/>
    </w:rPr>
  </w:style>
  <w:style w:type="character" w:customStyle="1" w:styleId="159">
    <w:name w:val=" Char Char25"/>
    <w:uiPriority w:val="0"/>
    <w:rPr>
      <w:rFonts w:ascii="Times New Roman" w:hAnsi="Times New Roman" w:eastAsia="宋体" w:cs="Times New Roman"/>
      <w:b/>
      <w:bCs/>
      <w:sz w:val="32"/>
      <w:szCs w:val="32"/>
    </w:rPr>
  </w:style>
  <w:style w:type="character" w:customStyle="1" w:styleId="160">
    <w:name w:val="12blk1"/>
    <w:uiPriority w:val="0"/>
    <w:rPr>
      <w:rFonts w:hint="default" w:ascii="_x000B__x000C_" w:hAnsi="_x000B__x000C_"/>
      <w:color w:val="000000"/>
      <w:sz w:val="24"/>
      <w:szCs w:val="24"/>
      <w:u w:val="none"/>
    </w:rPr>
  </w:style>
  <w:style w:type="character" w:customStyle="1" w:styleId="161">
    <w:name w:val=" Char Char38"/>
    <w:link w:val="11"/>
    <w:uiPriority w:val="0"/>
    <w:rPr>
      <w:rFonts w:ascii="Arial" w:hAnsi="Arial" w:eastAsia="黑体" w:cs="宋体"/>
      <w:b/>
      <w:bCs/>
      <w:spacing w:val="6"/>
      <w:kern w:val="0"/>
      <w:sz w:val="24"/>
      <w:szCs w:val="24"/>
    </w:rPr>
  </w:style>
  <w:style w:type="character" w:customStyle="1" w:styleId="162">
    <w:name w:val=" Char Char1"/>
    <w:uiPriority w:val="0"/>
    <w:rPr>
      <w:rFonts w:ascii="宋体" w:hAnsi="Courier New" w:eastAsia="宋体"/>
      <w:kern w:val="2"/>
      <w:sz w:val="21"/>
      <w:lang w:val="en-US" w:eastAsia="zh-CN" w:bidi="ar-SA"/>
    </w:rPr>
  </w:style>
  <w:style w:type="character" w:customStyle="1" w:styleId="163">
    <w:name w:val="Footer-Even Char2"/>
    <w:aliases w:val="FtrF Char Char2"/>
    <w:uiPriority w:val="0"/>
    <w:rPr>
      <w:kern w:val="2"/>
      <w:sz w:val="18"/>
      <w:szCs w:val="18"/>
    </w:rPr>
  </w:style>
  <w:style w:type="character" w:customStyle="1" w:styleId="164">
    <w:name w:val="heading 3 Char2"/>
    <w:aliases w:val="H3 Char2,l3 Char2,CT Char2,h3 Char2,3rd level Char2,Heading 3 - old Char2,3 Char2,Head 3 Char2,level_3 Char2,PIM 3 Char2,Level 3 Head Char2,sect1.2.3 Char2,ISO2 Char2,L3 Char2,sect1.2.31 Char2,sect1.2.32 Char2,sect1.2.311 Char2,三级 Char1"/>
    <w:uiPriority w:val="0"/>
    <w:rPr>
      <w:b/>
      <w:bCs/>
      <w:kern w:val="2"/>
      <w:sz w:val="32"/>
      <w:szCs w:val="32"/>
    </w:rPr>
  </w:style>
  <w:style w:type="character" w:customStyle="1" w:styleId="165">
    <w:name w:val="文档结构图 Char1"/>
    <w:semiHidden/>
    <w:uiPriority w:val="99"/>
    <w:rPr>
      <w:rFonts w:ascii="宋体" w:hAnsi="宋体" w:eastAsia="宋体" w:cs="宋体"/>
      <w:kern w:val="0"/>
      <w:sz w:val="18"/>
      <w:szCs w:val="18"/>
    </w:rPr>
  </w:style>
  <w:style w:type="character" w:customStyle="1" w:styleId="166">
    <w:name w:val=" Char Char4"/>
    <w:uiPriority w:val="0"/>
    <w:rPr>
      <w:rFonts w:ascii="Cambria" w:hAnsi="Cambria" w:eastAsia="宋体"/>
      <w:b/>
      <w:bCs/>
      <w:sz w:val="32"/>
      <w:szCs w:val="32"/>
      <w:lang w:bidi="ar-SA"/>
    </w:rPr>
  </w:style>
  <w:style w:type="character" w:customStyle="1" w:styleId="167">
    <w:name w:val="副标题 Char2"/>
    <w:uiPriority w:val="0"/>
    <w:rPr>
      <w:rFonts w:ascii="Cambria" w:hAnsi="Cambria" w:eastAsia="宋体" w:cs="Times New Roman"/>
      <w:b/>
      <w:bCs/>
      <w:kern w:val="28"/>
      <w:sz w:val="32"/>
      <w:szCs w:val="32"/>
    </w:rPr>
  </w:style>
  <w:style w:type="character" w:customStyle="1" w:styleId="168">
    <w:name w:val=" Char Char26"/>
    <w:uiPriority w:val="0"/>
    <w:rPr>
      <w:rFonts w:ascii="Arial" w:hAnsi="Arial" w:eastAsia="黑体" w:cs="Times New Roman"/>
      <w:b/>
      <w:bCs/>
      <w:sz w:val="32"/>
      <w:szCs w:val="32"/>
    </w:rPr>
  </w:style>
  <w:style w:type="character" w:customStyle="1" w:styleId="169">
    <w:name w:val="书籍标题"/>
    <w:qFormat/>
    <w:uiPriority w:val="0"/>
    <w:rPr>
      <w:b/>
      <w:bCs/>
      <w:smallCaps/>
      <w:spacing w:val="5"/>
    </w:rPr>
  </w:style>
  <w:style w:type="character" w:customStyle="1" w:styleId="170">
    <w:name w:val="自由 Char Char"/>
    <w:link w:val="171"/>
    <w:uiPriority w:val="0"/>
    <w:rPr>
      <w:sz w:val="24"/>
      <w:szCs w:val="24"/>
    </w:rPr>
  </w:style>
  <w:style w:type="paragraph" w:customStyle="1" w:styleId="171">
    <w:name w:val="自由"/>
    <w:basedOn w:val="1"/>
    <w:link w:val="170"/>
    <w:uiPriority w:val="0"/>
    <w:pPr>
      <w:widowControl w:val="0"/>
      <w:spacing w:line="288" w:lineRule="auto"/>
      <w:jc w:val="both"/>
    </w:pPr>
    <w:rPr>
      <w:rFonts w:ascii="Times New Roman" w:hAnsi="Times New Roman" w:cs="Times New Roman"/>
    </w:rPr>
  </w:style>
  <w:style w:type="character" w:customStyle="1" w:styleId="172">
    <w:name w:val=" Char Char2"/>
    <w:link w:val="50"/>
    <w:uiPriority w:val="0"/>
    <w:rPr>
      <w:rFonts w:ascii="宋体" w:hAnsi="宋体" w:eastAsia="宋体" w:cs="Times New Roman"/>
      <w:kern w:val="0"/>
      <w:sz w:val="24"/>
      <w:szCs w:val="20"/>
    </w:rPr>
  </w:style>
  <w:style w:type="character" w:customStyle="1" w:styleId="173">
    <w:name w:val="列出段落 Char"/>
    <w:link w:val="174"/>
    <w:uiPriority w:val="34"/>
    <w:rPr>
      <w:rFonts w:ascii="Calibri" w:hAnsi="Calibri"/>
    </w:rPr>
  </w:style>
  <w:style w:type="paragraph" w:customStyle="1" w:styleId="174">
    <w:name w:val="列出段落"/>
    <w:basedOn w:val="1"/>
    <w:link w:val="173"/>
    <w:qFormat/>
    <w:uiPriority w:val="34"/>
    <w:pPr>
      <w:ind w:firstLine="420" w:firstLineChars="200"/>
    </w:pPr>
    <w:rPr>
      <w:rFonts w:ascii="Calibri" w:hAnsi="Calibri" w:cs="Times New Roman"/>
      <w:sz w:val="20"/>
      <w:szCs w:val="20"/>
    </w:rPr>
  </w:style>
  <w:style w:type="character" w:customStyle="1" w:styleId="175">
    <w:name w:val="font21"/>
    <w:uiPriority w:val="0"/>
    <w:rPr>
      <w:rFonts w:hint="eastAsia" w:ascii="宋体" w:hAnsi="宋体" w:eastAsia="宋体" w:cs="宋体"/>
      <w:color w:val="666666"/>
      <w:sz w:val="21"/>
      <w:szCs w:val="21"/>
      <w:u w:val="none"/>
    </w:rPr>
  </w:style>
  <w:style w:type="character" w:customStyle="1" w:styleId="176">
    <w:name w:val=" Char Char20"/>
    <w:link w:val="22"/>
    <w:uiPriority w:val="99"/>
    <w:rPr>
      <w:rFonts w:ascii="Calibri" w:hAnsi="Calibri" w:eastAsia="宋体"/>
    </w:rPr>
  </w:style>
  <w:style w:type="character" w:customStyle="1" w:styleId="177">
    <w:name w:val=" Char Char13"/>
    <w:link w:val="32"/>
    <w:qFormat/>
    <w:uiPriority w:val="0"/>
    <w:rPr>
      <w:rFonts w:ascii="宋体" w:hAnsi="Courier New" w:eastAsia="宋体"/>
    </w:rPr>
  </w:style>
  <w:style w:type="character" w:customStyle="1" w:styleId="178">
    <w:name w:val=" Char Char23"/>
    <w:link w:val="24"/>
    <w:uiPriority w:val="0"/>
    <w:rPr>
      <w:rFonts w:ascii="楷体_GB2312" w:hAnsi="宋体" w:eastAsia="楷体_GB2312" w:cs="Times New Roman"/>
      <w:i/>
      <w:iCs/>
      <w:kern w:val="0"/>
      <w:sz w:val="24"/>
      <w:szCs w:val="20"/>
    </w:rPr>
  </w:style>
  <w:style w:type="character" w:customStyle="1" w:styleId="179">
    <w:name w:val="正文文本 3 Char1"/>
    <w:uiPriority w:val="0"/>
    <w:rPr>
      <w:kern w:val="2"/>
      <w:sz w:val="16"/>
      <w:szCs w:val="16"/>
    </w:rPr>
  </w:style>
  <w:style w:type="character" w:customStyle="1" w:styleId="180">
    <w:name w:val="font01"/>
    <w:uiPriority w:val="0"/>
    <w:rPr>
      <w:rFonts w:hint="eastAsia" w:ascii="宋体" w:hAnsi="宋体" w:eastAsia="宋体" w:cs="宋体"/>
      <w:color w:val="000000"/>
      <w:sz w:val="20"/>
      <w:szCs w:val="20"/>
      <w:u w:val="none"/>
    </w:rPr>
  </w:style>
  <w:style w:type="character" w:customStyle="1" w:styleId="181">
    <w:name w:val="宏文本 Char3"/>
    <w:uiPriority w:val="0"/>
    <w:rPr>
      <w:rFonts w:ascii="Courier New" w:hAnsi="Courier New" w:cs="Courier New"/>
      <w:sz w:val="24"/>
      <w:szCs w:val="24"/>
    </w:rPr>
  </w:style>
  <w:style w:type="character" w:customStyle="1" w:styleId="182">
    <w:name w:val="l2 Char"/>
    <w:aliases w:val="heading 2+ Indent: Left 0.25 in Char,h2 Char,Heading 2 Char Char,节名 Char,heading 2 + Indent: Left 0.25 in Char,Title2 Char,Underrubrik1 Char,prop2 Char,Chapter Title Char,sect 1.2 Char,DO NOT USE_h2 Char,chn Char,2nd level Char,Titre2 Char,H2 Char"/>
    <w:uiPriority w:val="0"/>
    <w:rPr>
      <w:rFonts w:ascii="Arial" w:hAnsi="Arial" w:eastAsia="楷体_GB2312" w:cs="Arial"/>
      <w:b/>
      <w:sz w:val="24"/>
      <w:lang w:val="en-US" w:eastAsia="zh-CN" w:bidi="ar-SA"/>
    </w:rPr>
  </w:style>
  <w:style w:type="character" w:customStyle="1" w:styleId="183">
    <w:name w:val="heading 1 Char1"/>
    <w:aliases w:val="标书1 Char1,h1 Char1,H1 Char1,L1 Char1,boc Char1,Section Head Char1,1st level Char1,l1 Char1,1 Char1,H11 Char1,H12 Char1,H13 Char1,H14 Char1,H15 Char1,H16 Char1,H17 Char1,Level 1 Topic Heading Char1,L1 Heading 1 Char1,h11 Char1,h12 Char"/>
    <w:uiPriority w:val="0"/>
    <w:rPr>
      <w:rFonts w:eastAsia="宋体"/>
      <w:b/>
      <w:bCs/>
      <w:kern w:val="44"/>
      <w:sz w:val="44"/>
      <w:szCs w:val="44"/>
      <w:lang w:val="en-US" w:eastAsia="zh-CN" w:bidi="ar-SA"/>
    </w:rPr>
  </w:style>
  <w:style w:type="character" w:customStyle="1" w:styleId="184">
    <w:name w:val="Style1"/>
    <w:uiPriority w:val="0"/>
    <w:rPr>
      <w:rFonts w:ascii="Calibri" w:hAnsi="宋体" w:eastAsia="宋体" w:cs="Times New Roman"/>
      <w:sz w:val="22"/>
      <w:szCs w:val="22"/>
      <w:lang w:eastAsia="zh-CN"/>
    </w:rPr>
  </w:style>
  <w:style w:type="character" w:customStyle="1" w:styleId="185">
    <w:name w:val="样式 宋体"/>
    <w:uiPriority w:val="0"/>
    <w:rPr>
      <w:rFonts w:ascii="宋体" w:hAnsi="宋体" w:eastAsia="宋体"/>
      <w:sz w:val="24"/>
      <w:szCs w:val="24"/>
    </w:rPr>
  </w:style>
  <w:style w:type="character" w:customStyle="1" w:styleId="186">
    <w:name w:val=" Char Char10"/>
    <w:link w:val="38"/>
    <w:qFormat/>
    <w:uiPriority w:val="0"/>
    <w:rPr>
      <w:sz w:val="18"/>
      <w:szCs w:val="18"/>
    </w:rPr>
  </w:style>
  <w:style w:type="character" w:customStyle="1" w:styleId="187">
    <w:name w:val="样式2 Char Char"/>
    <w:link w:val="188"/>
    <w:uiPriority w:val="0"/>
    <w:rPr>
      <w:rFonts w:ascii="Arial" w:hAnsi="Arial" w:eastAsia="黑体" w:cs="Times New Roman"/>
      <w:kern w:val="44"/>
      <w:sz w:val="30"/>
      <w:szCs w:val="20"/>
    </w:rPr>
  </w:style>
  <w:style w:type="paragraph" w:customStyle="1" w:styleId="188">
    <w:name w:val="样式2"/>
    <w:basedOn w:val="6"/>
    <w:link w:val="187"/>
    <w:uiPriority w:val="0"/>
    <w:pPr>
      <w:keepNext w:val="0"/>
      <w:pageBreakBefore/>
      <w:tabs>
        <w:tab w:val="left" w:pos="432"/>
      </w:tabs>
      <w:adjustRightInd w:val="0"/>
      <w:spacing w:before="240" w:beforeLines="30" w:line="578" w:lineRule="atLeast"/>
      <w:ind w:left="432" w:hanging="432"/>
      <w:textAlignment w:val="baseline"/>
    </w:pPr>
    <w:rPr>
      <w:rFonts w:ascii="Arial" w:hAnsi="Arial" w:eastAsia="黑体"/>
      <w:kern w:val="44"/>
      <w:sz w:val="30"/>
      <w:szCs w:val="20"/>
    </w:rPr>
  </w:style>
  <w:style w:type="character" w:customStyle="1" w:styleId="189">
    <w:name w:val="批注文字 Char1"/>
    <w:uiPriority w:val="0"/>
    <w:rPr>
      <w:rFonts w:ascii="宋体" w:hAnsi="宋体" w:eastAsia="宋体" w:cs="宋体"/>
      <w:kern w:val="0"/>
      <w:sz w:val="24"/>
      <w:szCs w:val="24"/>
    </w:rPr>
  </w:style>
  <w:style w:type="character" w:customStyle="1" w:styleId="190">
    <w:name w:val="批注主题 Char1"/>
    <w:semiHidden/>
    <w:uiPriority w:val="99"/>
    <w:rPr>
      <w:rFonts w:ascii="宋体" w:hAnsi="宋体" w:eastAsia="宋体" w:cs="宋体"/>
      <w:b/>
      <w:bCs/>
      <w:kern w:val="0"/>
      <w:sz w:val="24"/>
      <w:szCs w:val="24"/>
    </w:rPr>
  </w:style>
  <w:style w:type="character" w:customStyle="1" w:styleId="191">
    <w:name w:val=" Char Char30"/>
    <w:link w:val="37"/>
    <w:uiPriority w:val="0"/>
    <w:rPr>
      <w:rFonts w:ascii="宋体" w:hAnsi="宋体" w:eastAsia="宋体" w:cs="Times New Roman"/>
      <w:kern w:val="0"/>
      <w:sz w:val="18"/>
      <w:szCs w:val="18"/>
    </w:rPr>
  </w:style>
  <w:style w:type="character" w:customStyle="1" w:styleId="192">
    <w:name w:val="Char Char20"/>
    <w:uiPriority w:val="0"/>
    <w:rPr>
      <w:b/>
      <w:bCs/>
      <w:kern w:val="44"/>
      <w:sz w:val="44"/>
      <w:szCs w:val="44"/>
    </w:rPr>
  </w:style>
  <w:style w:type="character" w:customStyle="1" w:styleId="193">
    <w:name w:val="正文文本缩进 2 Char1"/>
    <w:semiHidden/>
    <w:uiPriority w:val="99"/>
    <w:rPr>
      <w:rFonts w:ascii="宋体" w:hAnsi="宋体" w:eastAsia="宋体" w:cs="宋体"/>
      <w:kern w:val="0"/>
      <w:sz w:val="24"/>
      <w:szCs w:val="24"/>
    </w:rPr>
  </w:style>
  <w:style w:type="character" w:customStyle="1" w:styleId="194">
    <w:name w:val="Ò³Ã¼ Char Char2"/>
    <w:uiPriority w:val="0"/>
    <w:rPr>
      <w:kern w:val="2"/>
      <w:sz w:val="18"/>
      <w:szCs w:val="18"/>
    </w:rPr>
  </w:style>
  <w:style w:type="character" w:customStyle="1" w:styleId="195">
    <w:name w:val="正文首行缩进 Char1"/>
    <w:basedOn w:val="196"/>
    <w:uiPriority w:val="0"/>
  </w:style>
  <w:style w:type="character" w:customStyle="1" w:styleId="196">
    <w:name w:val="正文文本 Char1"/>
    <w:uiPriority w:val="99"/>
    <w:rPr>
      <w:rFonts w:ascii="宋体" w:hAnsi="宋体" w:eastAsia="宋体" w:cs="宋体"/>
      <w:kern w:val="0"/>
      <w:sz w:val="24"/>
      <w:szCs w:val="24"/>
    </w:rPr>
  </w:style>
  <w:style w:type="character" w:customStyle="1" w:styleId="197">
    <w:name w:val=" Char Char43"/>
    <w:link w:val="6"/>
    <w:uiPriority w:val="0"/>
    <w:rPr>
      <w:rFonts w:ascii="Times New Roman" w:hAnsi="Times New Roman" w:eastAsia="宋体" w:cs="Times New Roman"/>
      <w:sz w:val="28"/>
      <w:szCs w:val="24"/>
    </w:rPr>
  </w:style>
  <w:style w:type="character" w:customStyle="1" w:styleId="198">
    <w:name w:val="称呼 Char1"/>
    <w:uiPriority w:val="0"/>
    <w:rPr>
      <w:rFonts w:ascii="宋体" w:hAnsi="宋体" w:eastAsia="宋体" w:cs="宋体"/>
      <w:kern w:val="0"/>
      <w:sz w:val="24"/>
      <w:szCs w:val="24"/>
    </w:rPr>
  </w:style>
  <w:style w:type="character" w:customStyle="1" w:styleId="199">
    <w:name w:val="htd0"/>
    <w:basedOn w:val="57"/>
    <w:uiPriority w:val="0"/>
  </w:style>
  <w:style w:type="character" w:customStyle="1" w:styleId="200">
    <w:name w:val=" Char Char15"/>
    <w:link w:val="20"/>
    <w:uiPriority w:val="0"/>
    <w:rPr>
      <w:rFonts w:ascii="宋体" w:hAnsi="Calibri" w:eastAsia="宋体"/>
      <w:sz w:val="18"/>
      <w:szCs w:val="18"/>
    </w:rPr>
  </w:style>
  <w:style w:type="character" w:customStyle="1" w:styleId="201">
    <w:name w:val="Style5"/>
    <w:uiPriority w:val="0"/>
    <w:rPr>
      <w:rFonts w:ascii="Calibri" w:hAnsi="宋体" w:eastAsia="宋体" w:cs="Times New Roman"/>
      <w:sz w:val="22"/>
      <w:szCs w:val="22"/>
      <w:lang w:eastAsia="zh-CN"/>
    </w:rPr>
  </w:style>
  <w:style w:type="character" w:customStyle="1" w:styleId="202">
    <w:name w:val="hour_am"/>
    <w:basedOn w:val="57"/>
    <w:uiPriority w:val="0"/>
  </w:style>
  <w:style w:type="character" w:customStyle="1" w:styleId="203">
    <w:name w:val="smalltxt1"/>
    <w:uiPriority w:val="0"/>
    <w:rPr>
      <w:rFonts w:hint="default" w:ascii="ˎ̥" w:hAnsi="ˎ̥"/>
      <w:sz w:val="24"/>
      <w:szCs w:val="24"/>
    </w:rPr>
  </w:style>
  <w:style w:type="character" w:customStyle="1" w:styleId="204">
    <w:name w:val="heading 1 Char2"/>
    <w:aliases w:val="标书1 Char2,h1 Char2,H1 Char2,L1 Char2,boc Char2,Section Head Char2,1st level Char2,l1 Char2,1 Char2,H11 Char2,H12 Char2,H13 Char2,H14 Char2,H15 Char2,H16 Char2,H17 Char2,Level 1 Topic Heading Char2,L1 Heading 1 Char2,h11 Char2,h12 Char1"/>
    <w:uiPriority w:val="0"/>
    <w:rPr>
      <w:b/>
      <w:bCs/>
      <w:kern w:val="44"/>
      <w:sz w:val="44"/>
      <w:szCs w:val="44"/>
    </w:rPr>
  </w:style>
  <w:style w:type="character" w:customStyle="1" w:styleId="205">
    <w:name w:val=" Char Char34"/>
    <w:link w:val="53"/>
    <w:uiPriority w:val="0"/>
    <w:rPr>
      <w:rFonts w:ascii="Arial" w:hAnsi="Arial" w:eastAsia="宋体" w:cs="宋体"/>
      <w:b/>
      <w:spacing w:val="14"/>
      <w:kern w:val="24"/>
      <w:sz w:val="32"/>
    </w:rPr>
  </w:style>
  <w:style w:type="character" w:customStyle="1" w:styleId="206">
    <w:name w:val="纯文本 字符1"/>
    <w:uiPriority w:val="0"/>
    <w:rPr>
      <w:rFonts w:ascii="宋体" w:hAnsi="Courier New" w:eastAsia="宋体"/>
      <w:kern w:val="2"/>
      <w:sz w:val="21"/>
      <w:lang w:val="en-US" w:eastAsia="zh-CN" w:bidi="ar-SA"/>
    </w:rPr>
  </w:style>
  <w:style w:type="character" w:customStyle="1" w:styleId="207">
    <w:name w:val="签名 Char1"/>
    <w:uiPriority w:val="0"/>
    <w:rPr>
      <w:kern w:val="2"/>
      <w:sz w:val="21"/>
      <w:szCs w:val="24"/>
    </w:rPr>
  </w:style>
  <w:style w:type="character" w:customStyle="1" w:styleId="208">
    <w:name w:val="段 Char"/>
    <w:link w:val="209"/>
    <w:uiPriority w:val="0"/>
    <w:rPr>
      <w:rFonts w:ascii="Arial" w:hAnsi="Arial"/>
      <w:kern w:val="2"/>
      <w:sz w:val="21"/>
      <w:szCs w:val="22"/>
      <w:lang w:val="en-US" w:eastAsia="zh-CN" w:bidi="ar-SA"/>
    </w:rPr>
  </w:style>
  <w:style w:type="paragraph" w:customStyle="1" w:styleId="209">
    <w:name w:val="段"/>
    <w:link w:val="208"/>
    <w:uiPriority w:val="0"/>
    <w:pPr>
      <w:autoSpaceDE w:val="0"/>
      <w:autoSpaceDN w:val="0"/>
      <w:ind w:firstLine="200" w:firstLineChars="200"/>
      <w:jc w:val="both"/>
    </w:pPr>
    <w:rPr>
      <w:rFonts w:ascii="Arial" w:hAnsi="Arial"/>
      <w:kern w:val="2"/>
      <w:sz w:val="21"/>
      <w:szCs w:val="22"/>
      <w:lang w:val="en-US" w:eastAsia="zh-CN" w:bidi="ar-SA"/>
    </w:rPr>
  </w:style>
  <w:style w:type="character" w:customStyle="1" w:styleId="210">
    <w:name w:val="明显强调"/>
    <w:qFormat/>
    <w:uiPriority w:val="0"/>
    <w:rPr>
      <w:b/>
      <w:bCs/>
      <w:i/>
      <w:iCs/>
      <w:color w:val="4F81BD"/>
    </w:rPr>
  </w:style>
  <w:style w:type="character" w:customStyle="1" w:styleId="211">
    <w:name w:val="Ò³Ã¼ Char Char1"/>
    <w:uiPriority w:val="0"/>
    <w:rPr>
      <w:rFonts w:eastAsia="宋体"/>
      <w:kern w:val="2"/>
      <w:sz w:val="18"/>
      <w:szCs w:val="18"/>
      <w:lang w:val="en-US" w:eastAsia="zh-CN" w:bidi="ar-SA"/>
    </w:rPr>
  </w:style>
  <w:style w:type="character" w:customStyle="1" w:styleId="212">
    <w:name w:val=" Char Char3"/>
    <w:link w:val="47"/>
    <w:uiPriority w:val="0"/>
    <w:rPr>
      <w:rFonts w:eastAsia="黑体"/>
      <w:color w:val="000000"/>
      <w:sz w:val="24"/>
      <w:szCs w:val="24"/>
    </w:rPr>
  </w:style>
  <w:style w:type="character" w:customStyle="1" w:styleId="213">
    <w:name w:val="font81"/>
    <w:qFormat/>
    <w:uiPriority w:val="0"/>
    <w:rPr>
      <w:rFonts w:hint="default" w:ascii="Times New Roman" w:hAnsi="Times New Roman" w:cs="Times New Roman"/>
      <w:color w:val="000000"/>
      <w:sz w:val="20"/>
      <w:szCs w:val="20"/>
      <w:u w:val="none"/>
    </w:rPr>
  </w:style>
  <w:style w:type="character" w:customStyle="1" w:styleId="214">
    <w:name w:val="Table Text Char1"/>
    <w:link w:val="215"/>
    <w:uiPriority w:val="0"/>
    <w:rPr>
      <w:rFonts w:ascii="Arial" w:hAnsi="Arial" w:cs="Arial"/>
      <w:kern w:val="2"/>
      <w:sz w:val="18"/>
      <w:szCs w:val="18"/>
      <w:lang w:val="en-US" w:eastAsia="zh-CN" w:bidi="ar-SA"/>
    </w:rPr>
  </w:style>
  <w:style w:type="paragraph" w:customStyle="1" w:styleId="215">
    <w:name w:val="Table Text"/>
    <w:link w:val="214"/>
    <w:uiPriority w:val="0"/>
    <w:pPr>
      <w:snapToGrid w:val="0"/>
      <w:spacing w:before="80" w:after="80"/>
    </w:pPr>
    <w:rPr>
      <w:rFonts w:ascii="Arial" w:hAnsi="Arial" w:cs="Arial"/>
      <w:kern w:val="2"/>
      <w:sz w:val="18"/>
      <w:szCs w:val="18"/>
      <w:lang w:val="en-US" w:eastAsia="zh-CN" w:bidi="ar-SA"/>
    </w:rPr>
  </w:style>
  <w:style w:type="character" w:customStyle="1" w:styleId="216">
    <w:name w:val="style21"/>
    <w:uiPriority w:val="0"/>
    <w:rPr>
      <w:sz w:val="15"/>
      <w:szCs w:val="15"/>
    </w:rPr>
  </w:style>
  <w:style w:type="character" w:customStyle="1" w:styleId="217">
    <w:name w:val="Char Char111"/>
    <w:uiPriority w:val="0"/>
    <w:rPr>
      <w:rFonts w:ascii="Times New Roman" w:hAnsi="Times New Roman" w:eastAsia="宋体" w:cs="Times New Roman"/>
      <w:sz w:val="18"/>
      <w:szCs w:val="18"/>
    </w:rPr>
  </w:style>
  <w:style w:type="character" w:customStyle="1" w:styleId="218">
    <w:name w:val=" Char Char19"/>
    <w:link w:val="5"/>
    <w:uiPriority w:val="0"/>
    <w:rPr>
      <w:rFonts w:ascii="Courier New" w:hAnsi="Courier New"/>
      <w:kern w:val="2"/>
      <w:sz w:val="24"/>
      <w:szCs w:val="24"/>
      <w:lang w:val="en-US" w:eastAsia="zh-CN" w:bidi="ar-SA"/>
    </w:rPr>
  </w:style>
  <w:style w:type="character" w:customStyle="1" w:styleId="219">
    <w:name w:val="h Char"/>
    <w:aliases w:val="Header/Footer Char Char,Ò³Ã¼ Char,居中页眉 Char,En-tête 1.1 Char,En-tête 1.11 Char Char"/>
    <w:uiPriority w:val="0"/>
    <w:rPr>
      <w:rFonts w:eastAsia="楷体_GB2312"/>
      <w:sz w:val="21"/>
      <w:lang w:val="en-US" w:eastAsia="zh-CN" w:bidi="ar-SA"/>
    </w:rPr>
  </w:style>
  <w:style w:type="character" w:customStyle="1" w:styleId="220">
    <w:name w:val="宏文本 Char2"/>
    <w:uiPriority w:val="0"/>
    <w:rPr>
      <w:rFonts w:ascii="Courier New" w:hAnsi="Courier New" w:cs="Courier New"/>
      <w:kern w:val="2"/>
      <w:sz w:val="24"/>
      <w:szCs w:val="24"/>
    </w:rPr>
  </w:style>
  <w:style w:type="character" w:customStyle="1" w:styleId="221">
    <w:name w:val="无间隔 Char"/>
    <w:link w:val="222"/>
    <w:uiPriority w:val="0"/>
    <w:rPr>
      <w:kern w:val="2"/>
      <w:sz w:val="24"/>
      <w:szCs w:val="22"/>
      <w:lang w:val="en-US" w:eastAsia="zh-CN" w:bidi="ar-SA"/>
    </w:rPr>
  </w:style>
  <w:style w:type="paragraph" w:customStyle="1" w:styleId="222">
    <w:name w:val="无间隔1"/>
    <w:link w:val="221"/>
    <w:qFormat/>
    <w:uiPriority w:val="0"/>
    <w:pPr>
      <w:widowControl w:val="0"/>
      <w:spacing w:line="360" w:lineRule="auto"/>
      <w:jc w:val="both"/>
    </w:pPr>
    <w:rPr>
      <w:kern w:val="2"/>
      <w:sz w:val="24"/>
      <w:szCs w:val="22"/>
      <w:lang w:val="en-US" w:eastAsia="zh-CN" w:bidi="ar-SA"/>
    </w:rPr>
  </w:style>
  <w:style w:type="character" w:customStyle="1" w:styleId="223">
    <w:name w:val=" Char Char36"/>
    <w:link w:val="13"/>
    <w:uiPriority w:val="0"/>
    <w:rPr>
      <w:rFonts w:ascii="Arial" w:hAnsi="Arial" w:eastAsia="黑体" w:cs="宋体"/>
      <w:spacing w:val="6"/>
      <w:kern w:val="0"/>
      <w:sz w:val="24"/>
      <w:szCs w:val="24"/>
    </w:rPr>
  </w:style>
  <w:style w:type="character" w:customStyle="1" w:styleId="224">
    <w:name w:val="Char Char11"/>
    <w:uiPriority w:val="0"/>
    <w:rPr>
      <w:rFonts w:ascii="Times New Roman" w:hAnsi="Times New Roman" w:eastAsia="宋体" w:cs="Times New Roman"/>
      <w:sz w:val="18"/>
      <w:szCs w:val="18"/>
    </w:rPr>
  </w:style>
  <w:style w:type="character" w:customStyle="1" w:styleId="225">
    <w:name w:val="style551"/>
    <w:uiPriority w:val="0"/>
    <w:rPr>
      <w:rFonts w:hint="default" w:ascii="Arial" w:hAnsi="Arial" w:cs="Arial"/>
      <w:color w:val="333333"/>
      <w:sz w:val="24"/>
      <w:szCs w:val="24"/>
    </w:rPr>
  </w:style>
  <w:style w:type="character" w:customStyle="1" w:styleId="226">
    <w:name w:val="Char Char61"/>
    <w:uiPriority w:val="0"/>
    <w:rPr>
      <w:rFonts w:ascii="Times New Roman" w:hAnsi="Times New Roman" w:eastAsia="宋体" w:cs="Times New Roman"/>
      <w:szCs w:val="24"/>
    </w:rPr>
  </w:style>
  <w:style w:type="character" w:customStyle="1" w:styleId="227">
    <w:name w:val="Style3"/>
    <w:uiPriority w:val="0"/>
    <w:rPr>
      <w:rFonts w:ascii="Calibri" w:hAnsi="宋体" w:eastAsia="宋体" w:cs="Times New Roman"/>
      <w:szCs w:val="22"/>
      <w:lang w:eastAsia="zh-CN"/>
    </w:rPr>
  </w:style>
  <w:style w:type="character" w:customStyle="1" w:styleId="228">
    <w:name w:val="标准正文格式 Char"/>
    <w:link w:val="229"/>
    <w:uiPriority w:val="0"/>
    <w:rPr>
      <w:rFonts w:ascii="宋体" w:eastAsia="仿宋_GB2312" w:cs="宋体"/>
      <w:color w:val="000000"/>
      <w:sz w:val="24"/>
    </w:rPr>
  </w:style>
  <w:style w:type="paragraph" w:customStyle="1" w:styleId="229">
    <w:name w:val="标准正文格式"/>
    <w:basedOn w:val="1"/>
    <w:link w:val="228"/>
    <w:qFormat/>
    <w:uiPriority w:val="0"/>
    <w:pPr>
      <w:adjustRightInd w:val="0"/>
      <w:spacing w:before="60" w:after="120" w:line="360" w:lineRule="auto"/>
      <w:ind w:firstLine="200" w:firstLineChars="200"/>
      <w:jc w:val="both"/>
      <w:textAlignment w:val="baseline"/>
    </w:pPr>
    <w:rPr>
      <w:rFonts w:hAnsi="Times New Roman" w:eastAsia="仿宋_GB2312" w:cs="Times New Roman"/>
      <w:color w:val="000000"/>
      <w:szCs w:val="20"/>
    </w:rPr>
  </w:style>
  <w:style w:type="character" w:customStyle="1" w:styleId="230">
    <w:name w:val="unnamed51"/>
    <w:uiPriority w:val="0"/>
    <w:rPr>
      <w:sz w:val="22"/>
      <w:szCs w:val="22"/>
    </w:rPr>
  </w:style>
  <w:style w:type="character" w:customStyle="1" w:styleId="231">
    <w:name w:val="PI Char1"/>
    <w:aliases w:val="正文文字首行缩进 Char1,HD正文1 Char1,正文小标题 Char1,正文顶格 Char Char1"/>
    <w:uiPriority w:val="0"/>
    <w:rPr>
      <w:rFonts w:eastAsia="宋体"/>
      <w:kern w:val="2"/>
      <w:sz w:val="24"/>
      <w:szCs w:val="24"/>
      <w:lang w:val="en-US" w:eastAsia="zh-CN" w:bidi="ar-SA"/>
    </w:rPr>
  </w:style>
  <w:style w:type="character" w:customStyle="1" w:styleId="232">
    <w:name w:val="Footer-Even Char1"/>
    <w:aliases w:val="FtrF Char Char1"/>
    <w:uiPriority w:val="0"/>
    <w:rPr>
      <w:rFonts w:eastAsia="宋体"/>
      <w:kern w:val="2"/>
      <w:sz w:val="18"/>
      <w:szCs w:val="18"/>
      <w:lang w:val="en-US" w:eastAsia="zh-CN" w:bidi="ar-SA"/>
    </w:rPr>
  </w:style>
  <w:style w:type="character" w:customStyle="1" w:styleId="233">
    <w:name w:val="heading 1 Char"/>
    <w:aliases w:val="标书1 Char,h1 Char,H1 Char,L1 Char,boc Char,Section Head Char,1st level Char,l1 Char,H11 Char,H12 Char,H13 Char,H14 Char,H15 Char,H16 Char,H17 Char,Level 1 Topic Heading Char,L1 Heading 1 Char,h11 Char,1st level1 Char,heading 11 Char"/>
    <w:uiPriority w:val="0"/>
    <w:rPr>
      <w:rFonts w:ascii="Arial" w:hAnsi="Arial" w:eastAsia="黑体"/>
      <w:b/>
      <w:sz w:val="36"/>
      <w:szCs w:val="36"/>
    </w:rPr>
  </w:style>
  <w:style w:type="character" w:customStyle="1" w:styleId="234">
    <w:name w:val=" Char Char24"/>
    <w:uiPriority w:val="0"/>
    <w:rPr>
      <w:rFonts w:ascii="Arial" w:hAnsi="Arial" w:eastAsia="黑体" w:cs="Times New Roman"/>
      <w:b/>
      <w:bCs/>
      <w:sz w:val="28"/>
      <w:szCs w:val="28"/>
    </w:rPr>
  </w:style>
  <w:style w:type="character" w:customStyle="1" w:styleId="235">
    <w:name w:val="Style2"/>
    <w:uiPriority w:val="0"/>
    <w:rPr>
      <w:rFonts w:ascii="Calibri" w:hAnsi="宋体" w:eastAsia="宋体" w:cs="Times New Roman"/>
      <w:sz w:val="22"/>
      <w:szCs w:val="22"/>
      <w:lang w:eastAsia="zh-CN"/>
    </w:rPr>
  </w:style>
  <w:style w:type="character" w:customStyle="1" w:styleId="236">
    <w:name w:val="hour_pm"/>
    <w:basedOn w:val="57"/>
    <w:uiPriority w:val="0"/>
  </w:style>
  <w:style w:type="character" w:customStyle="1" w:styleId="237">
    <w:name w:val="签名 Char2"/>
    <w:uiPriority w:val="0"/>
    <w:rPr>
      <w:rFonts w:ascii="宋体" w:hAnsi="宋体" w:eastAsia="宋体" w:cs="宋体"/>
      <w:kern w:val="0"/>
      <w:sz w:val="24"/>
      <w:szCs w:val="24"/>
    </w:rPr>
  </w:style>
  <w:style w:type="character" w:customStyle="1" w:styleId="238">
    <w:name w:val="正文1 Char Char"/>
    <w:link w:val="239"/>
    <w:uiPriority w:val="0"/>
    <w:rPr>
      <w:rFonts w:ascii="宋体" w:hAnsi="宋体" w:cs="宋体"/>
    </w:rPr>
  </w:style>
  <w:style w:type="paragraph" w:customStyle="1" w:styleId="239">
    <w:name w:val="正文1"/>
    <w:basedOn w:val="1"/>
    <w:link w:val="238"/>
    <w:uiPriority w:val="0"/>
    <w:pPr>
      <w:spacing w:line="360" w:lineRule="auto"/>
      <w:ind w:left="360" w:firstLine="420"/>
    </w:pPr>
    <w:rPr>
      <w:rFonts w:cs="Times New Roman"/>
      <w:sz w:val="20"/>
      <w:szCs w:val="20"/>
    </w:rPr>
  </w:style>
  <w:style w:type="character" w:customStyle="1" w:styleId="240">
    <w:name w:val="内容文本 Char Char"/>
    <w:link w:val="241"/>
    <w:uiPriority w:val="0"/>
    <w:rPr>
      <w:rFonts w:ascii="宋体" w:hAnsi="宋体"/>
      <w:sz w:val="24"/>
      <w:szCs w:val="24"/>
      <w:lang w:eastAsia="en-US" w:bidi="en-US"/>
    </w:rPr>
  </w:style>
  <w:style w:type="paragraph" w:customStyle="1" w:styleId="241">
    <w:name w:val="内容文本"/>
    <w:basedOn w:val="1"/>
    <w:link w:val="240"/>
    <w:qFormat/>
    <w:uiPriority w:val="0"/>
    <w:pPr>
      <w:widowControl w:val="0"/>
      <w:spacing w:line="360" w:lineRule="auto"/>
      <w:ind w:firstLine="200" w:firstLineChars="200"/>
      <w:contextualSpacing/>
    </w:pPr>
    <w:rPr>
      <w:rFonts w:cs="Times New Roman"/>
      <w:lang w:eastAsia="en-US" w:bidi="en-US"/>
    </w:rPr>
  </w:style>
  <w:style w:type="character" w:customStyle="1" w:styleId="242">
    <w:name w:val="正文文本1 Char Char"/>
    <w:link w:val="243"/>
    <w:uiPriority w:val="0"/>
    <w:rPr>
      <w:rFonts w:ascii="宋体" w:hAnsi="宋体"/>
      <w:szCs w:val="24"/>
    </w:rPr>
  </w:style>
  <w:style w:type="paragraph" w:customStyle="1" w:styleId="243">
    <w:name w:val="正文文本1"/>
    <w:basedOn w:val="1"/>
    <w:link w:val="242"/>
    <w:uiPriority w:val="0"/>
    <w:pPr>
      <w:widowControl w:val="0"/>
      <w:spacing w:line="360" w:lineRule="auto"/>
      <w:ind w:firstLine="200" w:firstLineChars="200"/>
      <w:jc w:val="both"/>
    </w:pPr>
    <w:rPr>
      <w:rFonts w:cs="Times New Roman"/>
      <w:sz w:val="20"/>
    </w:rPr>
  </w:style>
  <w:style w:type="character" w:customStyle="1" w:styleId="244">
    <w:name w:val="font3"/>
    <w:basedOn w:val="57"/>
    <w:uiPriority w:val="0"/>
  </w:style>
  <w:style w:type="character" w:customStyle="1" w:styleId="245">
    <w:name w:val="heading 7 Char1"/>
    <w:aliases w:val="表名 Char Char1"/>
    <w:uiPriority w:val="0"/>
    <w:rPr>
      <w:rFonts w:ascii="Arial" w:hAnsi="Arial" w:eastAsia="黑体"/>
      <w:sz w:val="21"/>
      <w:szCs w:val="21"/>
      <w:lang w:val="en-US" w:eastAsia="zh-CN" w:bidi="ar-SA"/>
    </w:rPr>
  </w:style>
  <w:style w:type="character" w:customStyle="1" w:styleId="246">
    <w:name w:val="正文文本缩进 3 Char1"/>
    <w:semiHidden/>
    <w:uiPriority w:val="99"/>
    <w:rPr>
      <w:rFonts w:ascii="宋体" w:hAnsi="宋体" w:eastAsia="宋体" w:cs="宋体"/>
      <w:kern w:val="0"/>
      <w:sz w:val="16"/>
      <w:szCs w:val="16"/>
    </w:rPr>
  </w:style>
  <w:style w:type="character" w:customStyle="1" w:styleId="247">
    <w:name w:val="不明显参考"/>
    <w:qFormat/>
    <w:uiPriority w:val="0"/>
    <w:rPr>
      <w:smallCaps/>
      <w:color w:val="C0504D"/>
      <w:u w:val="single"/>
    </w:rPr>
  </w:style>
  <w:style w:type="character" w:customStyle="1" w:styleId="248">
    <w:name w:val="dandyren_title1"/>
    <w:uiPriority w:val="0"/>
    <w:rPr>
      <w:b/>
      <w:bCs/>
      <w:color w:val="FF6633"/>
      <w:sz w:val="18"/>
      <w:szCs w:val="18"/>
    </w:rPr>
  </w:style>
  <w:style w:type="character" w:customStyle="1" w:styleId="249">
    <w:name w:val="Char Char22"/>
    <w:uiPriority w:val="0"/>
    <w:rPr>
      <w:rFonts w:ascii="Arial" w:hAnsi="Arial" w:eastAsia="黑体"/>
      <w:b/>
      <w:bCs/>
      <w:kern w:val="44"/>
      <w:sz w:val="30"/>
      <w:szCs w:val="44"/>
      <w:lang w:val="en-US" w:eastAsia="zh-CN" w:bidi="ar-SA"/>
    </w:rPr>
  </w:style>
  <w:style w:type="character" w:customStyle="1" w:styleId="250">
    <w:name w:val="ändrad Char"/>
    <w:aliases w:val="Indent Char,Ind Char,鋘drad Char,paragraph 2 Char,paragraph 21 Char,``` Char,contents Char Char Char1,contents Char Char Char Char,contents Char,特殊文字 Char Char Char Char1,特殊文字 Char Char Char Char Char,特殊文字 Char Char Char Cha Char Char Char1"/>
    <w:uiPriority w:val="0"/>
    <w:rPr>
      <w:rFonts w:eastAsia="宋体"/>
      <w:kern w:val="2"/>
      <w:sz w:val="21"/>
      <w:szCs w:val="24"/>
      <w:lang w:val="en-US" w:eastAsia="zh-CN" w:bidi="ar-SA"/>
    </w:rPr>
  </w:style>
  <w:style w:type="character" w:customStyle="1" w:styleId="251">
    <w:name w:val="纯文本 Char1"/>
    <w:aliases w:val="普通文字 Char Char1,纯文本 Char Char Char2,普通文字 Char2,Texte Char1,纯文本 Char Char1,普通文字1 Char,普通文字2 Char,普通文字3 Char,普通文字4 Char,普通文字5 Char,普通文字6 Char,普通文字11 Char,普通文字21 Char,普通文字31 Char,普通文字41 Char,普通文字7 Char,正 文 1 Char1,普通文字 Char Char Char Char2,小 Char"/>
    <w:uiPriority w:val="0"/>
    <w:rPr>
      <w:rFonts w:ascii="宋体" w:hAnsi="Courier New" w:eastAsia="宋体"/>
      <w:kern w:val="2"/>
      <w:sz w:val="21"/>
      <w:lang w:val="en-US" w:eastAsia="zh-CN" w:bidi="ar-SA"/>
    </w:rPr>
  </w:style>
  <w:style w:type="character" w:customStyle="1" w:styleId="252">
    <w:name w:val=" Char Char11"/>
    <w:link w:val="36"/>
    <w:uiPriority w:val="0"/>
    <w:rPr>
      <w:rFonts w:ascii="宋体" w:eastAsia="宋体"/>
      <w:sz w:val="24"/>
    </w:rPr>
  </w:style>
  <w:style w:type="character" w:customStyle="1" w:styleId="253">
    <w:name w:val="pt141"/>
    <w:uiPriority w:val="0"/>
    <w:rPr>
      <w:color w:val="330066"/>
      <w:spacing w:val="450"/>
      <w:sz w:val="22"/>
      <w:szCs w:val="22"/>
    </w:rPr>
  </w:style>
  <w:style w:type="character" w:customStyle="1" w:styleId="254">
    <w:name w:val="b titlename wangputoptitle"/>
    <w:basedOn w:val="57"/>
    <w:uiPriority w:val="0"/>
  </w:style>
  <w:style w:type="character" w:customStyle="1" w:styleId="255">
    <w:name w:val="引用 Char2"/>
    <w:uiPriority w:val="29"/>
    <w:rPr>
      <w:i/>
      <w:iCs/>
      <w:color w:val="000000"/>
      <w:kern w:val="2"/>
      <w:sz w:val="21"/>
      <w:szCs w:val="24"/>
    </w:rPr>
  </w:style>
  <w:style w:type="character" w:customStyle="1" w:styleId="256">
    <w:name w:val="Char Char2"/>
    <w:uiPriority w:val="0"/>
    <w:rPr>
      <w:rFonts w:ascii="Arial" w:hAnsi="Arial" w:eastAsia="黑体"/>
      <w:b/>
      <w:bCs/>
      <w:kern w:val="44"/>
      <w:sz w:val="30"/>
      <w:szCs w:val="44"/>
      <w:lang w:val="en-US" w:eastAsia="zh-CN" w:bidi="ar-SA"/>
    </w:rPr>
  </w:style>
  <w:style w:type="character" w:customStyle="1" w:styleId="257">
    <w:name w:val="heading 3 Char"/>
    <w:aliases w:val="H3 Char,l3 Char,CT Char,h3 Char,3rd level Char,Heading 3 - old Char,3 Char,Head 3 Char,level_3 Char,PIM 3 Char,Level 3 Head Char,sect1.2.3 Char,ISO2 Char,L3 Char,sect1.2.31 Char,sect1.2.32 Char,sect1.2.311 Char,sect1.2.33 Char,BOD 0 Char"/>
    <w:uiPriority w:val="0"/>
    <w:rPr>
      <w:rFonts w:ascii="Arial" w:hAnsi="Arial" w:eastAsia="黑体"/>
      <w:sz w:val="28"/>
      <w:szCs w:val="24"/>
    </w:rPr>
  </w:style>
  <w:style w:type="character" w:customStyle="1" w:styleId="258">
    <w:name w:val=" Char Char35"/>
    <w:link w:val="15"/>
    <w:uiPriority w:val="0"/>
    <w:rPr>
      <w:rFonts w:ascii="Arial" w:hAnsi="Arial" w:eastAsia="黑体" w:cs="宋体"/>
      <w:spacing w:val="6"/>
      <w:kern w:val="0"/>
      <w:sz w:val="24"/>
      <w:szCs w:val="24"/>
    </w:rPr>
  </w:style>
  <w:style w:type="character" w:customStyle="1" w:styleId="259">
    <w:name w:val="正文文本缩进 Char1"/>
    <w:semiHidden/>
    <w:uiPriority w:val="99"/>
    <w:rPr>
      <w:rFonts w:ascii="宋体" w:hAnsi="宋体" w:eastAsia="宋体" w:cs="宋体"/>
      <w:kern w:val="0"/>
      <w:sz w:val="24"/>
      <w:szCs w:val="24"/>
    </w:rPr>
  </w:style>
  <w:style w:type="character" w:customStyle="1" w:styleId="260">
    <w:name w:val="style41"/>
    <w:uiPriority w:val="0"/>
    <w:rPr>
      <w:color w:val="auto"/>
    </w:rPr>
  </w:style>
  <w:style w:type="character" w:customStyle="1" w:styleId="261">
    <w:name w:val="heading 4 + Indent: Left 0.5 in Char Char"/>
    <w:uiPriority w:val="0"/>
    <w:rPr>
      <w:rFonts w:ascii="Arial" w:hAnsi="Arial" w:eastAsia="黑体"/>
      <w:b/>
      <w:bCs/>
      <w:kern w:val="2"/>
      <w:sz w:val="28"/>
      <w:szCs w:val="28"/>
      <w:lang w:val="en-US" w:eastAsia="zh-CN" w:bidi="ar-SA"/>
    </w:rPr>
  </w:style>
  <w:style w:type="character" w:customStyle="1" w:styleId="262">
    <w:name w:val="Char Char201"/>
    <w:uiPriority w:val="0"/>
    <w:rPr>
      <w:rFonts w:ascii="Cambria" w:hAnsi="Cambria" w:eastAsia="宋体" w:cs="Times New Roman"/>
      <w:b/>
      <w:bCs/>
      <w:sz w:val="32"/>
      <w:szCs w:val="32"/>
    </w:rPr>
  </w:style>
  <w:style w:type="character" w:customStyle="1" w:styleId="263">
    <w:name w:val="纯文本 Char2"/>
    <w:semiHidden/>
    <w:uiPriority w:val="99"/>
    <w:rPr>
      <w:rFonts w:ascii="宋体" w:hAnsi="Courier New" w:eastAsia="宋体" w:cs="Courier New"/>
      <w:kern w:val="0"/>
      <w:szCs w:val="21"/>
    </w:rPr>
  </w:style>
  <w:style w:type="character" w:customStyle="1" w:styleId="264">
    <w:name w:val="Char Char16"/>
    <w:uiPriority w:val="0"/>
    <w:rPr>
      <w:b/>
      <w:bCs/>
      <w:kern w:val="2"/>
      <w:sz w:val="28"/>
      <w:szCs w:val="28"/>
    </w:rPr>
  </w:style>
  <w:style w:type="character" w:customStyle="1" w:styleId="265">
    <w:name w:val="heading 9 Char1"/>
    <w:aliases w:val="未用 Char Char1"/>
    <w:uiPriority w:val="0"/>
    <w:rPr>
      <w:rFonts w:ascii="Arial" w:hAnsi="Arial" w:eastAsia="黑体"/>
      <w:sz w:val="21"/>
      <w:lang w:val="en-US" w:eastAsia="zh-CN" w:bidi="ar-SA"/>
    </w:rPr>
  </w:style>
  <w:style w:type="character" w:customStyle="1" w:styleId="266">
    <w:name w:val="PI Char"/>
    <w:aliases w:val="正文文字首行缩进 Char,HD正文1 Char,正文小标题 Char,正文顶格 Char Char"/>
    <w:uiPriority w:val="0"/>
    <w:rPr>
      <w:rFonts w:ascii="宋体" w:hAnsi="宋体"/>
      <w:sz w:val="24"/>
    </w:rPr>
  </w:style>
  <w:style w:type="character" w:customStyle="1" w:styleId="267">
    <w:name w:val="普通文字 Char Char"/>
    <w:aliases w:val="纯文本 Char Char Char,普通文字 Char1,Texte Char,纯文本 Char Char Char1,正 文 1 Char,普通文字 Char Char Char Char1,纯文本 Char Char Char Char,正文非缩进 Char Char Char,正文非缩进 Char Char1,普通文字 Char Char2,纯文本 Char Char Char3,普通文字 Char3,Texte Char2,普通文字1 Char1"/>
    <w:uiPriority w:val="0"/>
    <w:rPr>
      <w:rFonts w:ascii="宋体" w:hAnsi="Courier New" w:eastAsia="宋体"/>
      <w:kern w:val="2"/>
      <w:sz w:val="21"/>
      <w:lang w:val="en-US" w:eastAsia="zh-CN" w:bidi="ar-SA"/>
    </w:rPr>
  </w:style>
  <w:style w:type="character" w:customStyle="1" w:styleId="268">
    <w:name w:val=" Char Char42"/>
    <w:link w:val="7"/>
    <w:qFormat/>
    <w:uiPriority w:val="0"/>
    <w:rPr>
      <w:rFonts w:ascii="Arial" w:hAnsi="Arial" w:eastAsia="黑体" w:cs="Times New Roman"/>
      <w:b/>
      <w:bCs/>
      <w:sz w:val="32"/>
      <w:szCs w:val="32"/>
    </w:rPr>
  </w:style>
  <w:style w:type="character" w:customStyle="1" w:styleId="269">
    <w:name w:val="font11"/>
    <w:uiPriority w:val="0"/>
    <w:rPr>
      <w:rFonts w:hint="eastAsia" w:ascii="宋体" w:hAnsi="宋体" w:eastAsia="宋体" w:cs="宋体"/>
      <w:color w:val="000000"/>
      <w:sz w:val="20"/>
      <w:szCs w:val="20"/>
      <w:u w:val="none"/>
    </w:rPr>
  </w:style>
  <w:style w:type="character" w:customStyle="1" w:styleId="270">
    <w:name w:val="old"/>
    <w:uiPriority w:val="0"/>
    <w:rPr>
      <w:color w:val="999999"/>
    </w:rPr>
  </w:style>
  <w:style w:type="character" w:customStyle="1" w:styleId="271">
    <w:name w:val=" Char Char31"/>
    <w:link w:val="54"/>
    <w:uiPriority w:val="0"/>
    <w:rPr>
      <w:rFonts w:ascii="Calibri" w:hAnsi="Calibri" w:eastAsia="宋体"/>
      <w:b/>
      <w:bCs/>
    </w:rPr>
  </w:style>
  <w:style w:type="character" w:customStyle="1" w:styleId="272">
    <w:name w:val=" Char Char17"/>
    <w:uiPriority w:val="0"/>
    <w:rPr>
      <w:rFonts w:ascii="Times New Roman" w:hAnsi="Times New Roman" w:eastAsia="宋体" w:cs="Times New Roman"/>
      <w:szCs w:val="24"/>
    </w:rPr>
  </w:style>
  <w:style w:type="character" w:customStyle="1" w:styleId="273">
    <w:name w:val="Style4"/>
    <w:uiPriority w:val="0"/>
    <w:rPr>
      <w:rFonts w:ascii="Calibri" w:hAnsi="宋体" w:eastAsia="宋体" w:cs="Times New Roman"/>
      <w:szCs w:val="22"/>
      <w:lang w:eastAsia="zh-CN"/>
    </w:rPr>
  </w:style>
  <w:style w:type="character" w:customStyle="1" w:styleId="274">
    <w:name w:val="Char Char18"/>
    <w:uiPriority w:val="0"/>
    <w:rPr>
      <w:b/>
      <w:bCs/>
      <w:kern w:val="2"/>
      <w:sz w:val="32"/>
      <w:szCs w:val="32"/>
    </w:rPr>
  </w:style>
  <w:style w:type="character" w:customStyle="1" w:styleId="275">
    <w:name w:val="ec_mean"/>
    <w:uiPriority w:val="0"/>
    <w:rPr>
      <w:rFonts w:ascii="仿宋_GB2312" w:eastAsia="仿宋_GB2312"/>
      <w:b/>
      <w:sz w:val="32"/>
      <w:szCs w:val="32"/>
    </w:rPr>
  </w:style>
  <w:style w:type="character" w:customStyle="1" w:styleId="276">
    <w:name w:val=" Char Char39"/>
    <w:link w:val="10"/>
    <w:uiPriority w:val="0"/>
    <w:rPr>
      <w:rFonts w:ascii="宋体" w:hAnsi="宋体" w:eastAsia="宋体" w:cs="宋体"/>
      <w:b/>
      <w:bCs/>
      <w:kern w:val="0"/>
      <w:sz w:val="28"/>
      <w:szCs w:val="28"/>
    </w:rPr>
  </w:style>
  <w:style w:type="character" w:customStyle="1" w:styleId="277">
    <w:name w:val="明显引用 Char"/>
    <w:link w:val="278"/>
    <w:uiPriority w:val="0"/>
    <w:rPr>
      <w:rFonts w:ascii="Calibri" w:hAnsi="Calibri"/>
      <w:b/>
      <w:bCs/>
      <w:i/>
      <w:iCs/>
      <w:color w:val="4F81BD"/>
    </w:rPr>
  </w:style>
  <w:style w:type="paragraph" w:customStyle="1" w:styleId="278">
    <w:name w:val="明显引用"/>
    <w:basedOn w:val="1"/>
    <w:next w:val="1"/>
    <w:link w:val="277"/>
    <w:qFormat/>
    <w:uiPriority w:val="30"/>
    <w:pPr>
      <w:widowControl w:val="0"/>
      <w:pBdr>
        <w:bottom w:val="single" w:color="4F81BD" w:sz="4" w:space="4"/>
      </w:pBdr>
      <w:spacing w:before="200" w:after="280"/>
      <w:ind w:left="936" w:right="936"/>
      <w:jc w:val="both"/>
    </w:pPr>
    <w:rPr>
      <w:rFonts w:cs="Times New Roman"/>
      <w:b/>
      <w:bCs/>
      <w:i/>
      <w:iCs/>
      <w:color w:val="4F81BD"/>
    </w:rPr>
  </w:style>
  <w:style w:type="paragraph" w:customStyle="1" w:styleId="279">
    <w:name w:val="四级条标题"/>
    <w:basedOn w:val="280"/>
    <w:next w:val="209"/>
    <w:uiPriority w:val="0"/>
    <w:pPr>
      <w:tabs>
        <w:tab w:val="left" w:pos="360"/>
      </w:tabs>
      <w:ind w:left="0"/>
      <w:outlineLvl w:val="5"/>
    </w:pPr>
  </w:style>
  <w:style w:type="paragraph" w:customStyle="1" w:styleId="280">
    <w:name w:val="三级条标题"/>
    <w:basedOn w:val="281"/>
    <w:next w:val="209"/>
    <w:uiPriority w:val="0"/>
    <w:pPr>
      <w:ind w:left="720"/>
      <w:outlineLvl w:val="4"/>
    </w:pPr>
  </w:style>
  <w:style w:type="paragraph" w:customStyle="1" w:styleId="281">
    <w:name w:val="二级条标题"/>
    <w:basedOn w:val="282"/>
    <w:next w:val="209"/>
    <w:uiPriority w:val="0"/>
    <w:pPr>
      <w:ind w:left="540"/>
      <w:outlineLvl w:val="3"/>
    </w:pPr>
  </w:style>
  <w:style w:type="paragraph" w:customStyle="1" w:styleId="282">
    <w:name w:val="一级条标题"/>
    <w:basedOn w:val="6"/>
    <w:next w:val="209"/>
    <w:uiPriority w:val="0"/>
    <w:pPr>
      <w:keepNext w:val="0"/>
      <w:jc w:val="both"/>
      <w:outlineLvl w:val="2"/>
    </w:pPr>
    <w:rPr>
      <w:rFonts w:ascii="黑体" w:eastAsia="黑体"/>
      <w:kern w:val="0"/>
      <w:sz w:val="21"/>
      <w:szCs w:val="20"/>
    </w:rPr>
  </w:style>
  <w:style w:type="paragraph" w:customStyle="1" w:styleId="283">
    <w:name w:val="CM26"/>
    <w:basedOn w:val="1"/>
    <w:next w:val="1"/>
    <w:uiPriority w:val="0"/>
    <w:pPr>
      <w:widowControl w:val="0"/>
      <w:autoSpaceDE w:val="0"/>
      <w:autoSpaceDN w:val="0"/>
      <w:adjustRightInd w:val="0"/>
      <w:spacing w:line="468" w:lineRule="atLeast"/>
    </w:pPr>
    <w:rPr>
      <w:rFonts w:hAnsi="Times New Roman" w:cs="Times New Roman"/>
    </w:rPr>
  </w:style>
  <w:style w:type="paragraph" w:customStyle="1" w:styleId="284">
    <w:name w:val="Char1 Char Char Char"/>
    <w:basedOn w:val="1"/>
    <w:uiPriority w:val="0"/>
    <w:pPr>
      <w:snapToGrid w:val="0"/>
      <w:spacing w:before="120" w:after="160" w:line="360" w:lineRule="auto"/>
      <w:ind w:right="-360"/>
    </w:pPr>
    <w:rPr>
      <w:rFonts w:ascii="Arial" w:hAnsi="Arial"/>
      <w:lang w:eastAsia="en-US"/>
    </w:rPr>
  </w:style>
  <w:style w:type="paragraph" w:customStyle="1" w:styleId="285">
    <w:name w:val="_Style 8"/>
    <w:basedOn w:val="1"/>
    <w:qFormat/>
    <w:uiPriority w:val="0"/>
    <w:pPr>
      <w:widowControl w:val="0"/>
      <w:ind w:firstLine="420" w:firstLineChars="200"/>
      <w:jc w:val="both"/>
    </w:pPr>
    <w:rPr>
      <w:rFonts w:ascii="Calibri" w:hAnsi="Calibri" w:cs="Times New Roman"/>
      <w:kern w:val="2"/>
      <w:sz w:val="21"/>
      <w:szCs w:val="22"/>
    </w:rPr>
  </w:style>
  <w:style w:type="paragraph" w:customStyle="1" w:styleId="286">
    <w:name w:val="Char Char Char Char1 Char Char Char Char Char"/>
    <w:basedOn w:val="1"/>
    <w:uiPriority w:val="0"/>
    <w:pPr>
      <w:spacing w:after="160" w:line="240" w:lineRule="exact"/>
    </w:pPr>
    <w:rPr>
      <w:rFonts w:ascii="Verdana" w:hAnsi="Verdana" w:eastAsia="仿宋_GB2312" w:cs="Times New Roman"/>
      <w:szCs w:val="20"/>
      <w:lang w:eastAsia="en-US"/>
    </w:rPr>
  </w:style>
  <w:style w:type="paragraph" w:customStyle="1" w:styleId="287">
    <w:name w:val="五级条标题"/>
    <w:basedOn w:val="279"/>
    <w:next w:val="209"/>
    <w:uiPriority w:val="0"/>
    <w:pPr>
      <w:tabs>
        <w:tab w:val="left" w:pos="0"/>
        <w:tab w:val="clear" w:pos="360"/>
      </w:tabs>
      <w:outlineLvl w:val="6"/>
    </w:pPr>
  </w:style>
  <w:style w:type="paragraph" w:customStyle="1" w:styleId="288">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top"/>
    </w:pPr>
    <w:rPr>
      <w:rFonts w:ascii="新宋体" w:hAnsi="新宋体" w:eastAsia="新宋体"/>
      <w:color w:val="000000"/>
    </w:rPr>
  </w:style>
  <w:style w:type="paragraph" w:customStyle="1" w:styleId="289">
    <w:name w:val="Plain Text1"/>
    <w:basedOn w:val="1"/>
    <w:uiPriority w:val="0"/>
    <w:pPr>
      <w:widowControl w:val="0"/>
      <w:adjustRightInd w:val="0"/>
      <w:jc w:val="both"/>
      <w:textAlignment w:val="baseline"/>
    </w:pPr>
    <w:rPr>
      <w:rFonts w:hAnsi="Courier New" w:cs="Times New Roman"/>
      <w:kern w:val="2"/>
      <w:sz w:val="21"/>
      <w:szCs w:val="20"/>
    </w:rPr>
  </w:style>
  <w:style w:type="paragraph" w:customStyle="1" w:styleId="290">
    <w:name w:val="金保首页2"/>
    <w:basedOn w:val="1"/>
    <w:next w:val="1"/>
    <w:uiPriority w:val="0"/>
    <w:pPr>
      <w:jc w:val="center"/>
    </w:pPr>
    <w:rPr>
      <w:rFonts w:ascii="Tahoma" w:hAnsi="Tahoma" w:eastAsia="黑体"/>
      <w:b/>
      <w:bCs/>
      <w:sz w:val="72"/>
      <w:szCs w:val="72"/>
    </w:rPr>
  </w:style>
  <w:style w:type="paragraph" w:customStyle="1" w:styleId="291">
    <w:name w:val="Test2"/>
    <w:basedOn w:val="7"/>
    <w:uiPriority w:val="0"/>
    <w:pPr>
      <w:keepNext w:val="0"/>
      <w:keepLines w:val="0"/>
      <w:numPr>
        <w:ilvl w:val="1"/>
        <w:numId w:val="0"/>
      </w:numPr>
      <w:tabs>
        <w:tab w:val="left" w:pos="774"/>
      </w:tabs>
      <w:autoSpaceDE w:val="0"/>
      <w:autoSpaceDN w:val="0"/>
      <w:adjustRightInd w:val="0"/>
      <w:snapToGrid w:val="0"/>
      <w:spacing w:before="360" w:after="360" w:line="240" w:lineRule="atLeast"/>
      <w:ind w:left="774" w:hanging="576"/>
    </w:pPr>
    <w:rPr>
      <w:rFonts w:ascii="宋体" w:eastAsia="宋体"/>
      <w:b w:val="0"/>
      <w:bCs w:val="0"/>
      <w:snapToGrid w:val="0"/>
      <w:kern w:val="0"/>
      <w:sz w:val="28"/>
    </w:rPr>
  </w:style>
  <w:style w:type="paragraph" w:customStyle="1" w:styleId="292">
    <w:name w:val="正文（首行缩进）"/>
    <w:basedOn w:val="25"/>
    <w:uiPriority w:val="0"/>
    <w:pPr>
      <w:overflowPunct w:val="0"/>
      <w:autoSpaceDE w:val="0"/>
      <w:autoSpaceDN w:val="0"/>
      <w:adjustRightInd w:val="0"/>
      <w:spacing w:before="156" w:beforeLines="50" w:line="400" w:lineRule="exact"/>
      <w:ind w:left="200" w:firstLine="200" w:firstLineChars="200"/>
      <w:textAlignment w:val="baseline"/>
    </w:pPr>
    <w:rPr>
      <w:spacing w:val="10"/>
      <w:kern w:val="0"/>
      <w:sz w:val="24"/>
      <w:szCs w:val="20"/>
    </w:rPr>
  </w:style>
  <w:style w:type="paragraph" w:customStyle="1" w:styleId="293">
    <w:name w:val="样式1"/>
    <w:basedOn w:val="1"/>
    <w:uiPriority w:val="0"/>
    <w:pPr>
      <w:spacing w:before="120" w:after="120" w:line="300" w:lineRule="auto"/>
    </w:pPr>
    <w:rPr>
      <w:b/>
      <w:szCs w:val="20"/>
    </w:rPr>
  </w:style>
  <w:style w:type="paragraph" w:customStyle="1" w:styleId="294">
    <w:name w:val="正文字缩2字"/>
    <w:basedOn w:val="1"/>
    <w:uiPriority w:val="0"/>
    <w:pPr>
      <w:widowControl w:val="0"/>
      <w:spacing w:before="60" w:after="60" w:line="360" w:lineRule="auto"/>
      <w:ind w:left="200" w:leftChars="200" w:firstLine="200" w:firstLineChars="200"/>
      <w:jc w:val="both"/>
    </w:pPr>
    <w:rPr>
      <w:rFonts w:ascii="Times New Roman" w:hAnsi="Times New Roman" w:cs="Times New Roman"/>
      <w:kern w:val="2"/>
    </w:rPr>
  </w:style>
  <w:style w:type="paragraph" w:customStyle="1" w:styleId="295">
    <w:name w:val="xl90"/>
    <w:basedOn w:val="1"/>
    <w:uiPriority w:val="0"/>
    <w:pPr>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296">
    <w:name w:val="无间隔"/>
    <w:qFormat/>
    <w:uiPriority w:val="0"/>
    <w:pPr>
      <w:widowControl w:val="0"/>
      <w:jc w:val="both"/>
    </w:pPr>
    <w:rPr>
      <w:kern w:val="2"/>
      <w:sz w:val="21"/>
      <w:szCs w:val="22"/>
      <w:lang w:val="en-US" w:eastAsia="zh-CN" w:bidi="ar-SA"/>
    </w:rPr>
  </w:style>
  <w:style w:type="paragraph" w:customStyle="1" w:styleId="297">
    <w:name w:val="xl84"/>
    <w:basedOn w:val="1"/>
    <w:uiPriority w:val="0"/>
    <w:pPr>
      <w:pBdr>
        <w:left w:val="single" w:color="auto" w:sz="4" w:space="0"/>
        <w:bottom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298">
    <w:name w:val="List Paragraph"/>
    <w:basedOn w:val="1"/>
    <w:qFormat/>
    <w:uiPriority w:val="34"/>
    <w:pPr>
      <w:ind w:firstLine="420" w:firstLineChars="200"/>
    </w:pPr>
    <w:rPr>
      <w:rFonts w:cs="Arial"/>
    </w:rPr>
  </w:style>
  <w:style w:type="paragraph" w:customStyle="1" w:styleId="299">
    <w:name w:val="样式 首行缩进:  0 字符"/>
    <w:basedOn w:val="1"/>
    <w:uiPriority w:val="0"/>
    <w:pPr>
      <w:widowControl w:val="0"/>
      <w:spacing w:line="360" w:lineRule="auto"/>
      <w:ind w:firstLine="200" w:firstLineChars="200"/>
      <w:jc w:val="both"/>
    </w:pPr>
    <w:rPr>
      <w:rFonts w:ascii="仿宋" w:hAnsi="仿宋" w:eastAsia="仿宋"/>
      <w:kern w:val="2"/>
      <w:sz w:val="28"/>
      <w:szCs w:val="20"/>
    </w:rPr>
  </w:style>
  <w:style w:type="paragraph" w:customStyle="1" w:styleId="300">
    <w:name w:val="NICMAN Body Text"/>
    <w:basedOn w:val="1"/>
    <w:next w:val="3"/>
    <w:uiPriority w:val="0"/>
    <w:pPr>
      <w:widowControl w:val="0"/>
      <w:autoSpaceDE w:val="0"/>
      <w:autoSpaceDN w:val="0"/>
      <w:adjustRightInd w:val="0"/>
      <w:spacing w:after="120"/>
    </w:pPr>
    <w:rPr>
      <w:rFonts w:ascii="Times New Roman" w:hAnsi="Times New Roman" w:cs="Times New Roman"/>
      <w:sz w:val="20"/>
      <w:szCs w:val="20"/>
    </w:rPr>
  </w:style>
  <w:style w:type="paragraph" w:customStyle="1" w:styleId="301">
    <w:name w:val="px12l140"/>
    <w:basedOn w:val="1"/>
    <w:uiPriority w:val="0"/>
    <w:pPr>
      <w:spacing w:before="100" w:beforeAutospacing="1" w:after="100" w:afterAutospacing="1" w:line="336" w:lineRule="auto"/>
    </w:pPr>
    <w:rPr>
      <w:rFonts w:ascii="_x000B__x000C_" w:hAnsi="_x000B__x000C_"/>
      <w:sz w:val="20"/>
      <w:szCs w:val="20"/>
    </w:rPr>
  </w:style>
  <w:style w:type="paragraph" w:customStyle="1" w:styleId="302">
    <w:name w:val="xl89"/>
    <w:basedOn w:val="1"/>
    <w:uiPriority w:val="0"/>
    <w:pPr>
      <w:spacing w:before="100" w:beforeAutospacing="1" w:after="100" w:afterAutospacing="1"/>
    </w:pPr>
  </w:style>
  <w:style w:type="paragraph" w:customStyle="1" w:styleId="303">
    <w:name w:val="正文样式 首行缩进:  0.74 厘米"/>
    <w:basedOn w:val="1"/>
    <w:uiPriority w:val="0"/>
    <w:pPr>
      <w:widowControl w:val="0"/>
      <w:autoSpaceDE w:val="0"/>
      <w:autoSpaceDN w:val="0"/>
      <w:adjustRightInd w:val="0"/>
      <w:spacing w:before="156" w:beforeLines="50" w:line="360" w:lineRule="auto"/>
      <w:ind w:firstLine="420"/>
    </w:pPr>
    <w:rPr>
      <w:rFonts w:ascii="Times New Roman" w:hAnsi="Times New Roman"/>
      <w:szCs w:val="20"/>
    </w:rPr>
  </w:style>
  <w:style w:type="paragraph" w:customStyle="1" w:styleId="304">
    <w:name w:val="xl86"/>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b/>
      <w:bCs/>
      <w:color w:val="000000"/>
    </w:rPr>
  </w:style>
  <w:style w:type="paragraph" w:customStyle="1" w:styleId="305">
    <w:name w:val="Char Char Char2 Char"/>
    <w:basedOn w:val="1"/>
    <w:uiPriority w:val="0"/>
    <w:pPr>
      <w:widowControl w:val="0"/>
      <w:tabs>
        <w:tab w:val="left" w:pos="360"/>
      </w:tabs>
      <w:ind w:left="360" w:hanging="360"/>
      <w:jc w:val="both"/>
    </w:pPr>
    <w:rPr>
      <w:rFonts w:ascii="Times New Roman" w:hAnsi="Times New Roman" w:cs="Times New Roman"/>
      <w:kern w:val="2"/>
      <w:sz w:val="21"/>
      <w:szCs w:val="20"/>
    </w:rPr>
  </w:style>
  <w:style w:type="paragraph" w:customStyle="1" w:styleId="306">
    <w:name w:val="文档正文"/>
    <w:basedOn w:val="1"/>
    <w:uiPriority w:val="0"/>
    <w:pPr>
      <w:adjustRightInd w:val="0"/>
      <w:spacing w:line="480" w:lineRule="atLeast"/>
      <w:ind w:firstLine="567"/>
      <w:textAlignment w:val="baseline"/>
    </w:pPr>
    <w:rPr>
      <w:szCs w:val="20"/>
    </w:rPr>
  </w:style>
  <w:style w:type="paragraph" w:customStyle="1" w:styleId="307">
    <w:name w:val=" Char Char Char Char Char Char Char Char Char Char Char1 Char"/>
    <w:basedOn w:val="1"/>
    <w:uiPriority w:val="0"/>
  </w:style>
  <w:style w:type="paragraph" w:customStyle="1" w:styleId="308">
    <w:name w:val="Char1"/>
    <w:basedOn w:val="1"/>
    <w:uiPriority w:val="0"/>
    <w:pPr>
      <w:spacing w:after="160" w:line="240" w:lineRule="exact"/>
    </w:pPr>
    <w:rPr>
      <w:rFonts w:ascii="Verdana" w:hAnsi="Verdana" w:cs="Times New Roman"/>
      <w:sz w:val="21"/>
      <w:szCs w:val="20"/>
      <w:lang w:eastAsia="en-US"/>
    </w:rPr>
  </w:style>
  <w:style w:type="paragraph" w:customStyle="1" w:styleId="309">
    <w:name w:val="正文文本 21"/>
    <w:basedOn w:val="1"/>
    <w:uiPriority w:val="0"/>
    <w:pPr>
      <w:overflowPunct w:val="0"/>
      <w:autoSpaceDE w:val="0"/>
      <w:autoSpaceDN w:val="0"/>
      <w:adjustRightInd w:val="0"/>
      <w:ind w:left="720" w:hanging="720"/>
      <w:textAlignment w:val="baseline"/>
    </w:pPr>
    <w:rPr>
      <w:rFonts w:ascii="Times New Roman" w:hAnsi="Times New Roman" w:cs="Times New Roman"/>
      <w:szCs w:val="20"/>
      <w:lang w:val="en-GB"/>
    </w:rPr>
  </w:style>
  <w:style w:type="paragraph" w:customStyle="1" w:styleId="310">
    <w:name w:val="Table Paragraph"/>
    <w:basedOn w:val="1"/>
    <w:qFormat/>
    <w:uiPriority w:val="0"/>
    <w:pPr>
      <w:widowControl w:val="0"/>
      <w:autoSpaceDE w:val="0"/>
      <w:autoSpaceDN w:val="0"/>
    </w:pPr>
    <w:rPr>
      <w:sz w:val="22"/>
      <w:szCs w:val="22"/>
      <w:lang w:val="zh-CN" w:bidi="zh-CN"/>
    </w:rPr>
  </w:style>
  <w:style w:type="paragraph" w:customStyle="1" w:styleId="311">
    <w:name w:val="xl141"/>
    <w:basedOn w:val="1"/>
    <w:uiPriority w:val="0"/>
    <w:pPr>
      <w:spacing w:before="100" w:beforeAutospacing="1" w:after="100" w:afterAutospacing="1"/>
      <w:jc w:val="center"/>
    </w:pPr>
    <w:rPr>
      <w:b/>
      <w:bCs/>
      <w:sz w:val="32"/>
      <w:szCs w:val="32"/>
    </w:rPr>
  </w:style>
  <w:style w:type="paragraph" w:customStyle="1" w:styleId="312">
    <w:name w:val=" Char Char1 Char Char Char Char1 Char Char Char"/>
    <w:basedOn w:val="1"/>
    <w:uiPriority w:val="0"/>
    <w:pPr>
      <w:adjustRightInd w:val="0"/>
      <w:spacing w:line="360" w:lineRule="atLeast"/>
      <w:textAlignment w:val="baseline"/>
    </w:pPr>
    <w:rPr>
      <w:rFonts w:ascii="Tahoma" w:hAnsi="Tahoma"/>
      <w:szCs w:val="20"/>
    </w:rPr>
  </w:style>
  <w:style w:type="paragraph" w:customStyle="1" w:styleId="313">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14">
    <w:name w:val="Char Char1 Char Char Char Char Char Char Char Char Char Char Char Char Char Char"/>
    <w:basedOn w:val="1"/>
    <w:uiPriority w:val="0"/>
    <w:pPr>
      <w:autoSpaceDE w:val="0"/>
      <w:autoSpaceDN w:val="0"/>
      <w:adjustRightInd w:val="0"/>
      <w:spacing w:after="160" w:line="240" w:lineRule="exact"/>
    </w:pPr>
    <w:rPr>
      <w:rFonts w:ascii="Times New Roman" w:hAnsi="Times New Roman" w:cs="Times New Roman"/>
      <w:sz w:val="20"/>
      <w:szCs w:val="20"/>
    </w:rPr>
  </w:style>
  <w:style w:type="paragraph" w:customStyle="1" w:styleId="315">
    <w:name w:val="xl11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16">
    <w:name w:val="表格标题(居中)"/>
    <w:basedOn w:val="1"/>
    <w:uiPriority w:val="0"/>
    <w:pPr>
      <w:snapToGrid w:val="0"/>
      <w:jc w:val="center"/>
    </w:pPr>
    <w:rPr>
      <w:rFonts w:eastAsia="黑体"/>
    </w:rPr>
  </w:style>
  <w:style w:type="paragraph" w:customStyle="1" w:styleId="317">
    <w:name w:val="标书正文带编号"/>
    <w:basedOn w:val="1"/>
    <w:uiPriority w:val="0"/>
    <w:pPr>
      <w:widowControl w:val="0"/>
      <w:tabs>
        <w:tab w:val="left" w:pos="397"/>
      </w:tabs>
      <w:autoSpaceDE w:val="0"/>
      <w:autoSpaceDN w:val="0"/>
      <w:adjustRightInd w:val="0"/>
      <w:ind w:firstLine="397"/>
    </w:pPr>
    <w:rPr>
      <w:rFonts w:ascii="Times New Roman" w:hAnsi="Times New Roman"/>
      <w:sz w:val="20"/>
      <w:szCs w:val="21"/>
    </w:rPr>
  </w:style>
  <w:style w:type="paragraph" w:customStyle="1" w:styleId="318">
    <w:name w:val="_Style 23"/>
    <w:basedOn w:val="1"/>
    <w:uiPriority w:val="0"/>
    <w:pPr>
      <w:widowControl w:val="0"/>
      <w:jc w:val="both"/>
    </w:pPr>
    <w:rPr>
      <w:rFonts w:ascii="Times New Roman" w:hAnsi="Times New Roman" w:cs="Times New Roman"/>
      <w:kern w:val="2"/>
      <w:sz w:val="21"/>
    </w:rPr>
  </w:style>
  <w:style w:type="paragraph" w:customStyle="1" w:styleId="319">
    <w:name w:val="项目标号"/>
    <w:qFormat/>
    <w:uiPriority w:val="0"/>
    <w:pPr>
      <w:numPr>
        <w:ilvl w:val="1"/>
        <w:numId w:val="1"/>
      </w:numPr>
      <w:tabs>
        <w:tab w:val="left" w:pos="780"/>
      </w:tabs>
      <w:spacing w:line="360" w:lineRule="auto"/>
    </w:pPr>
    <w:rPr>
      <w:sz w:val="24"/>
      <w:szCs w:val="22"/>
      <w:lang w:val="en-US" w:eastAsia="zh-CN" w:bidi="ar-SA"/>
    </w:rPr>
  </w:style>
  <w:style w:type="paragraph" w:customStyle="1" w:styleId="320">
    <w:name w:val="xl143"/>
    <w:basedOn w:val="1"/>
    <w:uiPriority w:val="0"/>
    <w:pPr>
      <w:spacing w:before="100" w:beforeAutospacing="1" w:after="100" w:afterAutospacing="1"/>
      <w:jc w:val="center"/>
    </w:pPr>
    <w:rPr>
      <w:sz w:val="32"/>
      <w:szCs w:val="32"/>
    </w:rPr>
  </w:style>
  <w:style w:type="paragraph" w:customStyle="1" w:styleId="321">
    <w:name w:val="p0"/>
    <w:basedOn w:val="1"/>
    <w:uiPriority w:val="0"/>
    <w:pPr>
      <w:jc w:val="both"/>
    </w:pPr>
    <w:rPr>
      <w:rFonts w:ascii="Times New Roman" w:hAnsi="Times New Roman" w:cs="Times New Roman"/>
      <w:sz w:val="21"/>
      <w:szCs w:val="21"/>
    </w:rPr>
  </w:style>
  <w:style w:type="paragraph" w:customStyle="1" w:styleId="322">
    <w:name w:val="修订"/>
    <w:semiHidden/>
    <w:uiPriority w:val="99"/>
    <w:rPr>
      <w:kern w:val="2"/>
      <w:sz w:val="21"/>
      <w:szCs w:val="24"/>
      <w:lang w:val="en-US" w:eastAsia="zh-CN" w:bidi="ar-SA"/>
    </w:rPr>
  </w:style>
  <w:style w:type="paragraph" w:customStyle="1" w:styleId="32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324">
    <w:name w:val="xl132"/>
    <w:basedOn w:val="1"/>
    <w:uiPriority w:val="0"/>
    <w:pPr>
      <w:spacing w:before="100" w:beforeAutospacing="1" w:after="100" w:afterAutospacing="1"/>
    </w:pPr>
  </w:style>
  <w:style w:type="paragraph" w:customStyle="1" w:styleId="325">
    <w:name w:val="保留正文"/>
    <w:basedOn w:val="3"/>
    <w:uiPriority w:val="0"/>
    <w:pPr>
      <w:keepNext/>
      <w:widowControl w:val="0"/>
      <w:spacing w:after="160"/>
      <w:jc w:val="both"/>
    </w:pPr>
    <w:rPr>
      <w:rFonts w:ascii="Times New Roman" w:hAnsi="Times New Roman"/>
      <w:bCs w:val="0"/>
      <w:sz w:val="21"/>
      <w:szCs w:val="20"/>
    </w:rPr>
  </w:style>
  <w:style w:type="paragraph" w:customStyle="1" w:styleId="326">
    <w:name w:val="默认段落字体 Para Char Char Char Char"/>
    <w:basedOn w:val="1"/>
    <w:uiPriority w:val="0"/>
  </w:style>
  <w:style w:type="paragraph" w:customStyle="1" w:styleId="327">
    <w:name w:val="xl91"/>
    <w:basedOn w:val="1"/>
    <w:uiPriority w:val="0"/>
    <w:pPr>
      <w:pBdr>
        <w:left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328">
    <w:name w:val="Char Char"/>
    <w:basedOn w:val="1"/>
    <w:uiPriority w:val="0"/>
    <w:rPr>
      <w:rFonts w:ascii="仿宋_GB2312" w:eastAsia="仿宋_GB2312"/>
      <w:b/>
      <w:sz w:val="32"/>
      <w:szCs w:val="32"/>
    </w:rPr>
  </w:style>
  <w:style w:type="paragraph" w:customStyle="1" w:styleId="329">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30">
    <w:name w:val="Char Char9"/>
    <w:basedOn w:val="1"/>
    <w:uiPriority w:val="0"/>
    <w:pPr>
      <w:widowControl w:val="0"/>
      <w:jc w:val="both"/>
    </w:pPr>
    <w:rPr>
      <w:b/>
      <w:bCs/>
      <w:color w:val="000000"/>
      <w:kern w:val="2"/>
      <w:sz w:val="22"/>
      <w:szCs w:val="22"/>
    </w:rPr>
  </w:style>
  <w:style w:type="paragraph" w:customStyle="1" w:styleId="331">
    <w:name w:val="表格(五号)"/>
    <w:basedOn w:val="1"/>
    <w:uiPriority w:val="0"/>
    <w:pPr>
      <w:adjustRightInd w:val="0"/>
      <w:snapToGrid w:val="0"/>
      <w:spacing w:before="60" w:after="60"/>
      <w:ind w:left="11"/>
      <w:jc w:val="center"/>
    </w:pPr>
    <w:rPr>
      <w:szCs w:val="20"/>
      <w:lang/>
    </w:rPr>
  </w:style>
  <w:style w:type="paragraph" w:customStyle="1" w:styleId="332">
    <w:name w:val="Char Char1 Char Char Char Char Char Char"/>
    <w:basedOn w:val="1"/>
    <w:uiPriority w:val="0"/>
    <w:rPr>
      <w:rFonts w:ascii="Verdana" w:hAnsi="Verdana" w:eastAsia="仿宋_GB2312" w:cs="Times New Roman"/>
      <w:sz w:val="28"/>
      <w:szCs w:val="20"/>
      <w:lang w:eastAsia="en-US"/>
    </w:rPr>
  </w:style>
  <w:style w:type="paragraph" w:customStyle="1" w:styleId="333">
    <w:name w:val="正文2"/>
    <w:basedOn w:val="1"/>
    <w:uiPriority w:val="0"/>
    <w:pPr>
      <w:spacing w:before="156" w:line="360" w:lineRule="auto"/>
      <w:ind w:firstLine="510" w:firstLineChars="200"/>
    </w:pPr>
    <w:rPr>
      <w:szCs w:val="20"/>
    </w:rPr>
  </w:style>
  <w:style w:type="paragraph" w:customStyle="1" w:styleId="334">
    <w:name w:val=" Char13"/>
    <w:basedOn w:val="1"/>
    <w:uiPriority w:val="0"/>
    <w:pPr>
      <w:spacing w:after="160" w:line="240" w:lineRule="exact"/>
    </w:pPr>
    <w:rPr>
      <w:rFonts w:ascii="Verdana" w:hAnsi="Verdana" w:cs="Times New Roman"/>
      <w:sz w:val="20"/>
      <w:szCs w:val="20"/>
      <w:lang w:eastAsia="en-US"/>
    </w:rPr>
  </w:style>
  <w:style w:type="paragraph" w:customStyle="1" w:styleId="335">
    <w:name w:val="排列"/>
    <w:basedOn w:val="1"/>
    <w:uiPriority w:val="0"/>
    <w:pPr>
      <w:autoSpaceDE w:val="0"/>
      <w:autoSpaceDN w:val="0"/>
      <w:adjustRightInd w:val="0"/>
      <w:spacing w:line="360" w:lineRule="auto"/>
    </w:pPr>
    <w:rPr>
      <w:rFonts w:cs="Times New Roman"/>
      <w:sz w:val="20"/>
      <w:szCs w:val="20"/>
      <w:lang w:val="zh-CN"/>
    </w:rPr>
  </w:style>
  <w:style w:type="paragraph" w:customStyle="1" w:styleId="336">
    <w:name w:val="xl1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37">
    <w:name w:val="a"/>
    <w:basedOn w:val="1"/>
    <w:uiPriority w:val="0"/>
    <w:pPr>
      <w:spacing w:before="100" w:beforeAutospacing="1" w:after="100" w:afterAutospacing="1"/>
    </w:pPr>
  </w:style>
  <w:style w:type="paragraph" w:customStyle="1" w:styleId="338">
    <w:name w:val=" Char Char Char"/>
    <w:basedOn w:val="1"/>
    <w:uiPriority w:val="0"/>
    <w:pPr>
      <w:keepNext/>
      <w:keepLines/>
      <w:pageBreakBefore/>
      <w:tabs>
        <w:tab w:val="left" w:pos="432"/>
      </w:tabs>
      <w:adjustRightInd w:val="0"/>
      <w:ind w:left="432" w:hanging="432"/>
      <w:textAlignment w:val="baseline"/>
    </w:pPr>
    <w:rPr>
      <w:sz w:val="22"/>
    </w:rPr>
  </w:style>
  <w:style w:type="paragraph" w:customStyle="1" w:styleId="339">
    <w:name w:val="样式 标题 1 + 黑色 行距: 1.5 倍行距"/>
    <w:basedOn w:val="6"/>
    <w:uiPriority w:val="0"/>
    <w:pPr>
      <w:keepNext w:val="0"/>
      <w:numPr>
        <w:ilvl w:val="0"/>
        <w:numId w:val="3"/>
      </w:numPr>
      <w:adjustRightInd w:val="0"/>
      <w:snapToGrid w:val="0"/>
      <w:spacing w:before="4" w:beforeLines="30" w:line="360" w:lineRule="auto"/>
      <w:ind w:right="680"/>
      <w:textAlignment w:val="baseline"/>
    </w:pPr>
    <w:rPr>
      <w:rFonts w:ascii="Arial" w:hAnsi="Arial" w:eastAsia="楷体_GB2312"/>
      <w:b/>
      <w:bCs/>
      <w:color w:val="000000"/>
      <w:kern w:val="0"/>
      <w:szCs w:val="20"/>
    </w:rPr>
  </w:style>
  <w:style w:type="paragraph" w:customStyle="1" w:styleId="340">
    <w:name w:val="_Style 257"/>
    <w:next w:val="1"/>
    <w:uiPriority w:val="0"/>
    <w:pPr>
      <w:widowControl w:val="0"/>
      <w:jc w:val="both"/>
    </w:pPr>
    <w:rPr>
      <w:kern w:val="2"/>
      <w:sz w:val="21"/>
      <w:szCs w:val="24"/>
      <w:lang w:val="en-US" w:eastAsia="zh-CN" w:bidi="ar-SA"/>
    </w:rPr>
  </w:style>
  <w:style w:type="paragraph" w:customStyle="1" w:styleId="341">
    <w:name w:val="正文－恩普"/>
    <w:basedOn w:val="14"/>
    <w:uiPriority w:val="0"/>
    <w:pPr>
      <w:framePr w:wrap="around" w:vAnchor="text" w:hAnchor="text" w:y="1"/>
      <w:spacing w:line="360" w:lineRule="auto"/>
      <w:ind w:firstLine="200"/>
    </w:pPr>
    <w:rPr>
      <w:sz w:val="24"/>
    </w:rPr>
  </w:style>
  <w:style w:type="paragraph" w:customStyle="1" w:styleId="342">
    <w:name w:val="p21"/>
    <w:basedOn w:val="1"/>
    <w:qFormat/>
    <w:uiPriority w:val="3"/>
    <w:pPr>
      <w:spacing w:line="600" w:lineRule="atLeast"/>
      <w:ind w:firstLine="420"/>
    </w:pPr>
    <w:rPr>
      <w:rFonts w:hint="eastAsia" w:ascii="仿宋" w:hAnsi="仿宋" w:eastAsia="仿宋" w:cs="Arial Unicode MS"/>
      <w:sz w:val="28"/>
      <w:szCs w:val="28"/>
    </w:rPr>
  </w:style>
  <w:style w:type="paragraph" w:customStyle="1" w:styleId="343">
    <w:name w:val="Char Char Char Char Char Char Char Char Char Char"/>
    <w:basedOn w:val="1"/>
    <w:uiPriority w:val="0"/>
    <w:pPr>
      <w:widowControl w:val="0"/>
      <w:autoSpaceDE w:val="0"/>
      <w:autoSpaceDN w:val="0"/>
      <w:adjustRightInd w:val="0"/>
    </w:pPr>
    <w:rPr>
      <w:rFonts w:ascii="仿宋_GB2312" w:hAnsi="Times New Roman" w:eastAsia="仿宋_GB2312" w:cs="Times New Roman"/>
      <w:b/>
      <w:sz w:val="32"/>
      <w:szCs w:val="32"/>
    </w:rPr>
  </w:style>
  <w:style w:type="paragraph" w:customStyle="1" w:styleId="344">
    <w:name w:val="2"/>
    <w:basedOn w:val="1"/>
    <w:uiPriority w:val="0"/>
    <w:pPr>
      <w:spacing w:before="100" w:beforeAutospacing="1" w:after="100" w:afterAutospacing="1"/>
    </w:pPr>
  </w:style>
  <w:style w:type="paragraph" w:customStyle="1" w:styleId="345">
    <w:name w:val="xl82"/>
    <w:basedOn w:val="1"/>
    <w:uiPriority w:val="0"/>
    <w:pPr>
      <w:pBdr>
        <w:top w:val="single" w:color="auto" w:sz="4" w:space="0"/>
        <w:left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346">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47">
    <w:name w:val=" Char Char Char Char Char Char Char"/>
    <w:basedOn w:val="1"/>
    <w:uiPriority w:val="0"/>
    <w:rPr>
      <w:rFonts w:ascii="仿宋_GB2312" w:eastAsia="仿宋_GB2312"/>
      <w:b/>
      <w:sz w:val="32"/>
      <w:szCs w:val="32"/>
    </w:rPr>
  </w:style>
  <w:style w:type="paragraph" w:customStyle="1" w:styleId="348">
    <w:name w:val="样式 左侧:  1 厘米"/>
    <w:basedOn w:val="1"/>
    <w:uiPriority w:val="0"/>
    <w:pPr>
      <w:spacing w:line="360" w:lineRule="auto"/>
      <w:ind w:left="567"/>
    </w:pPr>
    <w:rPr>
      <w:color w:val="000000"/>
    </w:rPr>
  </w:style>
  <w:style w:type="paragraph" w:customStyle="1" w:styleId="349">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50">
    <w:name w:val="_Style 32"/>
    <w:basedOn w:val="1"/>
    <w:uiPriority w:val="0"/>
    <w:rPr>
      <w:szCs w:val="20"/>
    </w:rPr>
  </w:style>
  <w:style w:type="paragraph" w:customStyle="1" w:styleId="351">
    <w:name w:val="表格文字（大）"/>
    <w:basedOn w:val="1"/>
    <w:uiPriority w:val="0"/>
    <w:pPr>
      <w:widowControl w:val="0"/>
      <w:autoSpaceDE w:val="0"/>
      <w:autoSpaceDN w:val="0"/>
      <w:adjustRightInd w:val="0"/>
      <w:spacing w:before="20" w:after="20"/>
    </w:pPr>
    <w:rPr>
      <w:rFonts w:ascii="Century Gothic" w:hAnsi="Century Gothic" w:cs="Century Gothic"/>
      <w:szCs w:val="20"/>
    </w:rPr>
  </w:style>
  <w:style w:type="paragraph" w:customStyle="1" w:styleId="352">
    <w:name w:val=" Char Char Char Char Char Char Char Char Char Char Char Char1 Char Char"/>
    <w:basedOn w:val="1"/>
    <w:uiPriority w:val="0"/>
    <w:rPr>
      <w:rFonts w:ascii="Tahoma" w:hAnsi="Tahoma"/>
      <w:szCs w:val="20"/>
    </w:rPr>
  </w:style>
  <w:style w:type="paragraph" w:customStyle="1" w:styleId="353">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新宋体" w:hAnsi="新宋体" w:eastAsia="新宋体"/>
      <w:color w:val="000000"/>
    </w:rPr>
  </w:style>
  <w:style w:type="paragraph" w:customStyle="1" w:styleId="354">
    <w:name w:val=" Char1 Char Char Char"/>
    <w:basedOn w:val="1"/>
    <w:uiPriority w:val="0"/>
    <w:rPr>
      <w:rFonts w:ascii="Tahoma" w:hAnsi="Tahoma"/>
      <w:szCs w:val="20"/>
    </w:rPr>
  </w:style>
  <w:style w:type="paragraph" w:customStyle="1" w:styleId="355">
    <w:name w:val="Body Text 2"/>
    <w:basedOn w:val="1"/>
    <w:uiPriority w:val="0"/>
    <w:pPr>
      <w:tabs>
        <w:tab w:val="left" w:pos="1260"/>
        <w:tab w:val="left" w:pos="2160"/>
        <w:tab w:val="left" w:pos="7920"/>
      </w:tabs>
      <w:overflowPunct w:val="0"/>
      <w:autoSpaceDE w:val="0"/>
      <w:autoSpaceDN w:val="0"/>
      <w:adjustRightInd w:val="0"/>
      <w:ind w:left="720"/>
      <w:textAlignment w:val="baseline"/>
    </w:pPr>
    <w:rPr>
      <w:szCs w:val="20"/>
    </w:rPr>
  </w:style>
  <w:style w:type="paragraph" w:customStyle="1" w:styleId="356">
    <w:name w:val="Char Char Char"/>
    <w:basedOn w:val="1"/>
    <w:uiPriority w:val="0"/>
    <w:rPr>
      <w:b/>
      <w:bCs/>
      <w:color w:val="000000"/>
      <w:sz w:val="22"/>
      <w:szCs w:val="22"/>
    </w:rPr>
  </w:style>
  <w:style w:type="paragraph" w:customStyle="1" w:styleId="357">
    <w:name w:val="样式 标题 3 + 黑体 小四 非加粗"/>
    <w:basedOn w:val="8"/>
    <w:uiPriority w:val="0"/>
    <w:pPr>
      <w:widowControl w:val="0"/>
      <w:numPr>
        <w:ilvl w:val="2"/>
        <w:numId w:val="0"/>
      </w:numPr>
      <w:spacing w:line="415" w:lineRule="auto"/>
      <w:jc w:val="both"/>
    </w:pPr>
    <w:rPr>
      <w:rFonts w:ascii="黑体" w:hAnsi="黑体" w:eastAsia="黑体"/>
      <w:b w:val="0"/>
      <w:bCs w:val="0"/>
      <w:kern w:val="0"/>
      <w:sz w:val="24"/>
    </w:rPr>
  </w:style>
  <w:style w:type="paragraph" w:customStyle="1" w:styleId="358">
    <w:name w:val="_Style 104"/>
    <w:next w:val="1"/>
    <w:uiPriority w:val="99"/>
    <w:pPr>
      <w:widowControl w:val="0"/>
      <w:jc w:val="both"/>
    </w:pPr>
    <w:rPr>
      <w:kern w:val="2"/>
      <w:sz w:val="21"/>
      <w:szCs w:val="24"/>
      <w:lang w:val="en-US" w:eastAsia="zh-CN" w:bidi="ar-SA"/>
    </w:rPr>
  </w:style>
  <w:style w:type="paragraph" w:customStyle="1" w:styleId="359">
    <w:name w:val="features1"/>
    <w:basedOn w:val="1"/>
    <w:uiPriority w:val="0"/>
    <w:pPr>
      <w:spacing w:before="100" w:beforeAutospacing="1" w:after="100" w:afterAutospacing="1"/>
    </w:pPr>
    <w:rPr>
      <w:b/>
      <w:bCs/>
      <w:sz w:val="18"/>
      <w:szCs w:val="18"/>
    </w:rPr>
  </w:style>
  <w:style w:type="paragraph" w:customStyle="1" w:styleId="360">
    <w:name w:val="xl80"/>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361">
    <w:name w:val="简单回函地址"/>
    <w:basedOn w:val="1"/>
    <w:uiPriority w:val="0"/>
    <w:pPr>
      <w:widowControl w:val="0"/>
      <w:jc w:val="both"/>
    </w:pPr>
    <w:rPr>
      <w:rFonts w:ascii="Times New Roman" w:hAnsi="Times New Roman" w:cs="Times New Roman"/>
      <w:kern w:val="2"/>
      <w:sz w:val="21"/>
    </w:rPr>
  </w:style>
  <w:style w:type="paragraph" w:customStyle="1" w:styleId="362">
    <w:name w:val="Char"/>
    <w:basedOn w:val="1"/>
    <w:uiPriority w:val="0"/>
    <w:pPr>
      <w:spacing w:after="160" w:line="240" w:lineRule="exact"/>
    </w:pPr>
    <w:rPr>
      <w:rFonts w:ascii="Verdana" w:hAnsi="Verdana" w:eastAsia="楷体_GB2312"/>
      <w:b/>
      <w:i/>
      <w:iCs/>
      <w:color w:val="000000"/>
      <w:sz w:val="20"/>
      <w:szCs w:val="20"/>
      <w:lang w:eastAsia="en-US"/>
    </w:rPr>
  </w:style>
  <w:style w:type="paragraph" w:customStyle="1" w:styleId="363">
    <w:name w:val="附录项目"/>
    <w:basedOn w:val="10"/>
    <w:uiPriority w:val="0"/>
    <w:pPr>
      <w:keepNext w:val="0"/>
      <w:keepLines w:val="0"/>
      <w:snapToGrid w:val="0"/>
      <w:spacing w:before="0" w:after="0" w:line="240" w:lineRule="auto"/>
      <w:outlineLvl w:val="9"/>
    </w:pPr>
    <w:rPr>
      <w:b w:val="0"/>
      <w:bCs w:val="0"/>
      <w:snapToGrid w:val="0"/>
      <w:sz w:val="21"/>
      <w:szCs w:val="20"/>
    </w:rPr>
  </w:style>
  <w:style w:type="paragraph" w:customStyle="1" w:styleId="364">
    <w:name w:val="样式"/>
    <w:basedOn w:val="1"/>
    <w:uiPriority w:val="0"/>
    <w:pPr>
      <w:widowControl w:val="0"/>
      <w:autoSpaceDE w:val="0"/>
      <w:autoSpaceDN w:val="0"/>
      <w:adjustRightInd w:val="0"/>
      <w:snapToGrid w:val="0"/>
      <w:spacing w:before="120" w:after="120" w:line="360" w:lineRule="auto"/>
    </w:pPr>
    <w:rPr>
      <w:rFonts w:hAnsi="Times New Roman" w:cs="Times New Roman"/>
      <w:szCs w:val="20"/>
    </w:rPr>
  </w:style>
  <w:style w:type="paragraph" w:customStyle="1" w:styleId="365">
    <w:name w:val="font5"/>
    <w:basedOn w:val="1"/>
    <w:uiPriority w:val="0"/>
    <w:pPr>
      <w:spacing w:before="100" w:beforeAutospacing="1" w:after="100" w:afterAutospacing="1"/>
    </w:pPr>
    <w:rPr>
      <w:sz w:val="18"/>
      <w:szCs w:val="18"/>
    </w:rPr>
  </w:style>
  <w:style w:type="paragraph" w:customStyle="1" w:styleId="366">
    <w:name w:val="样式 样式 正文文本缩进 + 仿宋_GB2312 小四 首行缩进:  0 厘米 行距: 1.5 倍行距 + (中文) 仿宋_GB... Char Char"/>
    <w:basedOn w:val="1"/>
    <w:uiPriority w:val="0"/>
    <w:pPr>
      <w:widowControl w:val="0"/>
      <w:autoSpaceDE w:val="0"/>
      <w:autoSpaceDN w:val="0"/>
      <w:adjustRightInd w:val="0"/>
      <w:spacing w:line="360" w:lineRule="auto"/>
      <w:ind w:firstLine="480" w:firstLineChars="200"/>
    </w:pPr>
    <w:rPr>
      <w:rFonts w:ascii="仿宋_GB2312" w:hAnsi="Times New Roman" w:eastAsia="新宋体" w:cs="Times New Roman"/>
      <w:szCs w:val="20"/>
    </w:rPr>
  </w:style>
  <w:style w:type="paragraph" w:customStyle="1" w:styleId="367">
    <w:name w:val="legal"/>
    <w:basedOn w:val="1"/>
    <w:uiPriority w:val="0"/>
    <w:pPr>
      <w:spacing w:before="100" w:beforeAutospacing="1" w:after="100" w:afterAutospacing="1"/>
    </w:pPr>
  </w:style>
  <w:style w:type="paragraph" w:customStyle="1" w:styleId="368">
    <w:name w:val=" Char Char Char Char Char Char Char Char Char Char Char Char Char Char Char Char Char Char Char"/>
    <w:basedOn w:val="1"/>
    <w:uiPriority w:val="0"/>
    <w:pPr>
      <w:spacing w:after="160" w:line="240" w:lineRule="exact"/>
      <w:ind w:firstLine="560" w:firstLineChars="200"/>
    </w:pPr>
    <w:rPr>
      <w:rFonts w:cs="Times New Roman"/>
      <w:sz w:val="28"/>
      <w:szCs w:val="28"/>
      <w:lang w:eastAsia="en-US"/>
    </w:rPr>
  </w:style>
  <w:style w:type="paragraph" w:customStyle="1" w:styleId="369">
    <w:name w:val="WW-正文文字缩进 2"/>
    <w:basedOn w:val="1"/>
    <w:uiPriority w:val="0"/>
    <w:pPr>
      <w:widowControl w:val="0"/>
      <w:suppressAutoHyphens/>
      <w:autoSpaceDE w:val="0"/>
      <w:autoSpaceDN w:val="0"/>
      <w:adjustRightInd w:val="0"/>
      <w:ind w:firstLine="420"/>
    </w:pPr>
    <w:rPr>
      <w:rFonts w:ascii="Times New Roman" w:hAnsi="Times New Roman" w:cs="Times New Roman"/>
      <w:kern w:val="1"/>
      <w:sz w:val="20"/>
      <w:szCs w:val="20"/>
    </w:rPr>
  </w:style>
  <w:style w:type="paragraph" w:customStyle="1" w:styleId="370">
    <w:name w:val="小标题"/>
    <w:basedOn w:val="1"/>
    <w:uiPriority w:val="0"/>
    <w:pPr>
      <w:widowControl w:val="0"/>
      <w:autoSpaceDE w:val="0"/>
      <w:autoSpaceDN w:val="0"/>
      <w:adjustRightInd w:val="0"/>
      <w:spacing w:before="120" w:line="360" w:lineRule="atLeast"/>
      <w:ind w:left="1134"/>
      <w:textAlignment w:val="baseline"/>
    </w:pPr>
    <w:rPr>
      <w:rFonts w:ascii="Times New Roman" w:hAnsi="Times New Roman" w:eastAsia="黑体" w:cs="Times New Roman"/>
      <w:sz w:val="20"/>
      <w:szCs w:val="20"/>
    </w:rPr>
  </w:style>
  <w:style w:type="paragraph" w:customStyle="1" w:styleId="371">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372">
    <w:name w:val="样式 标题 3 + 黑色 段前: 5 磅 段后: 5 磅 行距: 1.5 倍行距"/>
    <w:basedOn w:val="1"/>
    <w:uiPriority w:val="0"/>
    <w:pPr>
      <w:widowControl w:val="0"/>
      <w:ind w:left="855" w:hanging="855"/>
      <w:jc w:val="both"/>
    </w:pPr>
    <w:rPr>
      <w:rFonts w:ascii="Times New Roman" w:hAnsi="Times New Roman" w:cs="Times New Roman"/>
      <w:kern w:val="2"/>
      <w:szCs w:val="20"/>
    </w:rPr>
  </w:style>
  <w:style w:type="paragraph" w:customStyle="1" w:styleId="373">
    <w:name w:val="xl123"/>
    <w:basedOn w:val="1"/>
    <w:uiPriority w:val="0"/>
    <w:pPr>
      <w:spacing w:before="100" w:beforeAutospacing="1" w:after="100" w:afterAutospacing="1"/>
      <w:textAlignment w:val="bottom"/>
    </w:pPr>
  </w:style>
  <w:style w:type="paragraph" w:customStyle="1" w:styleId="374">
    <w:name w:val="xl76"/>
    <w:basedOn w:val="1"/>
    <w:uiPriority w:val="0"/>
    <w:pPr>
      <w:pBdr>
        <w:top w:val="single" w:color="auto" w:sz="4" w:space="0"/>
        <w:bottom w:val="single" w:color="auto" w:sz="4" w:space="0"/>
      </w:pBdr>
      <w:spacing w:before="100" w:beforeAutospacing="1" w:after="100" w:afterAutospacing="1"/>
    </w:pPr>
    <w:rPr>
      <w:rFonts w:ascii="新宋体" w:hAnsi="新宋体" w:eastAsia="新宋体"/>
      <w:color w:val="000000"/>
    </w:rPr>
  </w:style>
  <w:style w:type="paragraph" w:customStyle="1" w:styleId="375">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376">
    <w:name w:val="xl25"/>
    <w:basedOn w:val="1"/>
    <w:uiPriority w:val="0"/>
    <w:pPr>
      <w:autoSpaceDE w:val="0"/>
      <w:autoSpaceDN w:val="0"/>
      <w:adjustRightInd w:val="0"/>
      <w:spacing w:before="100" w:beforeAutospacing="1" w:after="100" w:afterAutospacing="1"/>
      <w:jc w:val="center"/>
      <w:textAlignment w:val="center"/>
    </w:pPr>
    <w:rPr>
      <w:rFonts w:hint="eastAsia" w:ascii="楷体_GB2312" w:eastAsia="楷体_GB2312" w:cs="Times New Roman"/>
      <w:szCs w:val="20"/>
    </w:rPr>
  </w:style>
  <w:style w:type="paragraph" w:customStyle="1" w:styleId="377">
    <w:name w:val="1 Char"/>
    <w:basedOn w:val="14"/>
    <w:uiPriority w:val="0"/>
    <w:pPr>
      <w:widowControl w:val="0"/>
      <w:spacing w:line="360" w:lineRule="auto"/>
      <w:ind w:firstLine="200"/>
      <w:jc w:val="both"/>
    </w:pPr>
  </w:style>
  <w:style w:type="paragraph" w:customStyle="1" w:styleId="378">
    <w:name w:val="xl88"/>
    <w:basedOn w:val="1"/>
    <w:uiPriority w:val="0"/>
    <w:pPr>
      <w:pBdr>
        <w:top w:val="single" w:color="auto" w:sz="4" w:space="0"/>
        <w:bottom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379">
    <w:name w:val="xl55"/>
    <w:basedOn w:val="1"/>
    <w:uiPriority w:val="0"/>
    <w:pPr>
      <w:spacing w:before="100" w:beforeAutospacing="1" w:after="100" w:afterAutospacing="1"/>
      <w:jc w:val="center"/>
      <w:textAlignment w:val="center"/>
    </w:pPr>
    <w:rPr>
      <w:rFonts w:ascii="Arial Unicode MS" w:hAnsi="Arial Unicode MS"/>
    </w:rPr>
  </w:style>
  <w:style w:type="paragraph" w:customStyle="1" w:styleId="380">
    <w:name w:val="标题五"/>
    <w:basedOn w:val="1"/>
    <w:uiPriority w:val="0"/>
    <w:pPr>
      <w:widowControl w:val="0"/>
      <w:tabs>
        <w:tab w:val="left" w:pos="1440"/>
      </w:tabs>
      <w:autoSpaceDE w:val="0"/>
      <w:autoSpaceDN w:val="0"/>
      <w:adjustRightInd w:val="0"/>
      <w:spacing w:before="156" w:beforeLines="50" w:line="360" w:lineRule="auto"/>
      <w:ind w:left="1440" w:hanging="420"/>
    </w:pPr>
    <w:rPr>
      <w:rFonts w:ascii="Times New Roman" w:hAnsi="Times New Roman" w:cs="Times New Roman"/>
      <w:b/>
      <w:szCs w:val="20"/>
    </w:rPr>
  </w:style>
  <w:style w:type="paragraph" w:customStyle="1" w:styleId="381">
    <w:name w:val="样式 Arial 小四 首行缩进:  0.85 厘米"/>
    <w:basedOn w:val="1"/>
    <w:uiPriority w:val="0"/>
    <w:pPr>
      <w:spacing w:line="400" w:lineRule="exact"/>
      <w:ind w:firstLine="440" w:firstLineChars="200"/>
    </w:pPr>
    <w:rPr>
      <w:rFonts w:cs="仿宋_GB2312"/>
      <w:sz w:val="22"/>
      <w:szCs w:val="22"/>
      <w:lang w:val="zh-CN"/>
    </w:rPr>
  </w:style>
  <w:style w:type="paragraph" w:customStyle="1" w:styleId="382">
    <w:name w:val="button"/>
    <w:basedOn w:val="1"/>
    <w:uiPriority w:val="0"/>
    <w:pPr>
      <w:autoSpaceDE w:val="0"/>
      <w:autoSpaceDN w:val="0"/>
      <w:adjustRightInd w:val="0"/>
      <w:spacing w:before="100" w:beforeAutospacing="1" w:after="100" w:afterAutospacing="1"/>
    </w:pPr>
    <w:rPr>
      <w:rFonts w:ascii="Arial Unicode MS" w:hAnsi="Arial Unicode MS" w:cs="Times New Roman"/>
      <w:color w:val="000000"/>
      <w:szCs w:val="20"/>
    </w:rPr>
  </w:style>
  <w:style w:type="paragraph" w:customStyle="1" w:styleId="383">
    <w:name w:val=" Char Char Char Char Char Char Char Char Char1 Char"/>
    <w:basedOn w:val="1"/>
    <w:uiPriority w:val="0"/>
    <w:pPr>
      <w:widowControl w:val="0"/>
      <w:jc w:val="both"/>
    </w:pPr>
    <w:rPr>
      <w:rFonts w:ascii="仿宋_GB2312" w:hAnsi="Times New Roman" w:eastAsia="仿宋_GB2312" w:cs="Times New Roman"/>
      <w:b/>
      <w:kern w:val="2"/>
      <w:sz w:val="32"/>
      <w:szCs w:val="32"/>
    </w:rPr>
  </w:style>
  <w:style w:type="paragraph" w:customStyle="1" w:styleId="384">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新宋体" w:hAnsi="新宋体" w:eastAsia="新宋体"/>
      <w:color w:val="000000"/>
    </w:rPr>
  </w:style>
  <w:style w:type="paragraph" w:customStyle="1" w:styleId="385">
    <w:name w:val="样式5"/>
    <w:basedOn w:val="14"/>
    <w:uiPriority w:val="0"/>
    <w:pPr>
      <w:widowControl w:val="0"/>
      <w:spacing w:line="360" w:lineRule="auto"/>
      <w:ind w:firstLine="200"/>
      <w:jc w:val="both"/>
    </w:pPr>
    <w:rPr>
      <w:sz w:val="28"/>
      <w:szCs w:val="21"/>
    </w:rPr>
  </w:style>
  <w:style w:type="paragraph" w:customStyle="1" w:styleId="386">
    <w:name w:val="列表内容"/>
    <w:basedOn w:val="1"/>
    <w:next w:val="1"/>
    <w:uiPriority w:val="0"/>
    <w:pPr>
      <w:autoSpaceDE w:val="0"/>
      <w:autoSpaceDN w:val="0"/>
      <w:adjustRightInd w:val="0"/>
      <w:ind w:firstLine="200"/>
    </w:pPr>
    <w:rPr>
      <w:rFonts w:ascii="Times New Roman" w:hAnsi="Times New Roman" w:cs="Times New Roman"/>
      <w:sz w:val="18"/>
      <w:szCs w:val="20"/>
    </w:rPr>
  </w:style>
  <w:style w:type="paragraph" w:customStyle="1" w:styleId="387">
    <w:name w:val="_Style 2"/>
    <w:basedOn w:val="1"/>
    <w:uiPriority w:val="0"/>
    <w:pPr>
      <w:spacing w:after="160" w:line="240" w:lineRule="exact"/>
    </w:pPr>
    <w:rPr>
      <w:rFonts w:ascii="Times New Roman" w:hAnsi="Times New Roman" w:cs="Times New Roman"/>
      <w:b/>
      <w:bCs/>
      <w:kern w:val="2"/>
      <w:sz w:val="21"/>
    </w:rPr>
  </w:style>
  <w:style w:type="paragraph" w:customStyle="1" w:styleId="388">
    <w:name w:val="默认段落字体 Para Char Char Char Char Char Char Char Char Char1 Char"/>
    <w:basedOn w:val="1"/>
    <w:uiPriority w:val="0"/>
    <w:rPr>
      <w:rFonts w:ascii="Tahoma" w:hAnsi="Tahoma"/>
      <w:szCs w:val="20"/>
    </w:rPr>
  </w:style>
  <w:style w:type="paragraph" w:customStyle="1" w:styleId="389">
    <w:name w:val="默认段落字体 Para Char Char Char Char Char Char Char"/>
    <w:basedOn w:val="1"/>
    <w:uiPriority w:val="0"/>
    <w:rPr>
      <w:rFonts w:ascii="Tahoma" w:hAnsi="Tahoma"/>
      <w:szCs w:val="20"/>
    </w:rPr>
  </w:style>
  <w:style w:type="paragraph" w:customStyle="1" w:styleId="390">
    <w:name w:val="_Style 103"/>
    <w:next w:val="1"/>
    <w:uiPriority w:val="0"/>
    <w:pPr>
      <w:widowControl w:val="0"/>
      <w:jc w:val="both"/>
    </w:pPr>
    <w:rPr>
      <w:kern w:val="2"/>
      <w:sz w:val="21"/>
      <w:szCs w:val="24"/>
      <w:lang w:val="en-US" w:eastAsia="zh-CN" w:bidi="ar-SA"/>
    </w:rPr>
  </w:style>
  <w:style w:type="paragraph" w:customStyle="1" w:styleId="391">
    <w:name w:val="样式 宋体 行距: 多倍行距 1.25 字行"/>
    <w:basedOn w:val="1"/>
    <w:uiPriority w:val="0"/>
    <w:pPr>
      <w:spacing w:line="300" w:lineRule="auto"/>
    </w:pPr>
    <w:rPr>
      <w:szCs w:val="20"/>
    </w:rPr>
  </w:style>
  <w:style w:type="paragraph" w:customStyle="1" w:styleId="392">
    <w:name w:val="xl85"/>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b/>
      <w:bCs/>
      <w:color w:val="000000"/>
    </w:rPr>
  </w:style>
  <w:style w:type="paragraph" w:customStyle="1" w:styleId="393">
    <w:name w:val="Body Text(ch)"/>
    <w:basedOn w:val="1"/>
    <w:next w:val="3"/>
    <w:uiPriority w:val="0"/>
    <w:pPr>
      <w:spacing w:line="500" w:lineRule="exact"/>
      <w:jc w:val="center"/>
    </w:pPr>
  </w:style>
  <w:style w:type="paragraph" w:customStyle="1" w:styleId="394">
    <w:name w:val=" Char Char1 Char Char Char Char Char Char Char Char Char Char"/>
    <w:basedOn w:val="1"/>
    <w:uiPriority w:val="0"/>
    <w:pPr>
      <w:widowControl w:val="0"/>
      <w:jc w:val="both"/>
    </w:pPr>
    <w:rPr>
      <w:rFonts w:ascii="Tahoma" w:hAnsi="Tahoma" w:cs="Times New Roman"/>
      <w:kern w:val="2"/>
      <w:szCs w:val="20"/>
    </w:rPr>
  </w:style>
  <w:style w:type="paragraph" w:customStyle="1" w:styleId="395">
    <w:name w:val="样式 正文首行缩进 + 首行缩进:  1 字符"/>
    <w:basedOn w:val="1"/>
    <w:next w:val="362"/>
    <w:uiPriority w:val="0"/>
    <w:pPr>
      <w:spacing w:line="360" w:lineRule="auto"/>
      <w:ind w:firstLine="200" w:firstLineChars="200"/>
    </w:pPr>
    <w:rPr>
      <w:szCs w:val="20"/>
    </w:rPr>
  </w:style>
  <w:style w:type="paragraph" w:customStyle="1" w:styleId="396">
    <w:name w:val="图片"/>
    <w:basedOn w:val="1"/>
    <w:uiPriority w:val="0"/>
    <w:pPr>
      <w:spacing w:line="360" w:lineRule="auto"/>
      <w:jc w:val="center"/>
    </w:pPr>
    <w:rPr>
      <w:szCs w:val="20"/>
    </w:rPr>
  </w:style>
  <w:style w:type="paragraph" w:customStyle="1" w:styleId="397">
    <w:name w:val="样式3"/>
    <w:basedOn w:val="1"/>
    <w:uiPriority w:val="0"/>
    <w:pPr>
      <w:widowControl w:val="0"/>
      <w:spacing w:line="0" w:lineRule="atLeast"/>
      <w:jc w:val="both"/>
      <w:outlineLvl w:val="0"/>
    </w:pPr>
    <w:rPr>
      <w:rFonts w:hAnsi="Courier New" w:cs="Times New Roman"/>
      <w:kern w:val="2"/>
      <w:sz w:val="28"/>
      <w:szCs w:val="20"/>
    </w:rPr>
  </w:style>
  <w:style w:type="paragraph" w:customStyle="1" w:styleId="398">
    <w:name w:val="文字"/>
    <w:basedOn w:val="1"/>
    <w:uiPriority w:val="0"/>
    <w:pPr>
      <w:widowControl w:val="0"/>
      <w:tabs>
        <w:tab w:val="left" w:pos="8520"/>
      </w:tabs>
      <w:spacing w:line="312" w:lineRule="auto"/>
      <w:ind w:right="-210" w:firstLine="556"/>
      <w:jc w:val="both"/>
    </w:pPr>
    <w:rPr>
      <w:rFonts w:hAnsi="Times New Roman" w:cs="Times New Roman"/>
      <w:kern w:val="2"/>
      <w:sz w:val="28"/>
      <w:szCs w:val="20"/>
    </w:rPr>
  </w:style>
  <w:style w:type="paragraph" w:customStyle="1" w:styleId="399">
    <w:name w:val="章标题"/>
    <w:next w:val="1"/>
    <w:uiPriority w:val="0"/>
    <w:pPr>
      <w:numPr>
        <w:ilvl w:val="1"/>
        <w:numId w:val="2"/>
      </w:numPr>
      <w:tabs>
        <w:tab w:val="left" w:pos="780"/>
        <w:tab w:val="left" w:pos="3469"/>
      </w:tabs>
      <w:spacing w:before="156" w:beforeLines="50" w:after="156" w:afterLines="50"/>
      <w:jc w:val="both"/>
      <w:outlineLvl w:val="1"/>
    </w:pPr>
    <w:rPr>
      <w:rFonts w:ascii="黑体" w:eastAsia="黑体"/>
      <w:sz w:val="21"/>
      <w:lang w:val="en-US" w:eastAsia="zh-CN" w:bidi="ar-SA"/>
    </w:rPr>
  </w:style>
  <w:style w:type="paragraph" w:customStyle="1" w:styleId="400">
    <w:name w:val=" Char1"/>
    <w:basedOn w:val="1"/>
    <w:uiPriority w:val="0"/>
    <w:pPr>
      <w:spacing w:after="160" w:line="240" w:lineRule="exact"/>
    </w:pPr>
    <w:rPr>
      <w:rFonts w:ascii="Verdana" w:hAnsi="Verdana" w:cs="Times New Roman"/>
      <w:sz w:val="21"/>
      <w:szCs w:val="20"/>
      <w:lang w:eastAsia="en-US"/>
    </w:rPr>
  </w:style>
  <w:style w:type="paragraph" w:customStyle="1" w:styleId="401">
    <w:name w:val="xl136"/>
    <w:basedOn w:val="1"/>
    <w:uiPriority w:val="0"/>
    <w:pPr>
      <w:spacing w:before="100" w:beforeAutospacing="1" w:after="100" w:afterAutospacing="1"/>
      <w:jc w:val="center"/>
      <w:textAlignment w:val="bottom"/>
    </w:pPr>
  </w:style>
  <w:style w:type="paragraph" w:customStyle="1" w:styleId="40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sz w:val="28"/>
      <w:szCs w:val="28"/>
    </w:rPr>
  </w:style>
  <w:style w:type="paragraph" w:customStyle="1" w:styleId="403">
    <w:name w:val="样式 宋体 行距: 多倍行距 1.25 字行1"/>
    <w:basedOn w:val="1"/>
    <w:uiPriority w:val="0"/>
    <w:pPr>
      <w:spacing w:line="300" w:lineRule="auto"/>
    </w:pPr>
    <w:rPr>
      <w:szCs w:val="20"/>
    </w:rPr>
  </w:style>
  <w:style w:type="paragraph" w:customStyle="1" w:styleId="404">
    <w:name w:val=" Char2"/>
    <w:basedOn w:val="1"/>
    <w:uiPriority w:val="0"/>
    <w:pPr>
      <w:widowControl w:val="0"/>
      <w:jc w:val="both"/>
    </w:pPr>
    <w:rPr>
      <w:rFonts w:ascii="仿宋_GB2312" w:hAnsi="Times New Roman" w:eastAsia="仿宋_GB2312" w:cs="Times New Roman"/>
      <w:b/>
      <w:kern w:val="2"/>
      <w:sz w:val="32"/>
      <w:szCs w:val="32"/>
    </w:rPr>
  </w:style>
  <w:style w:type="paragraph" w:customStyle="1" w:styleId="405">
    <w:name w:val="pic"/>
    <w:basedOn w:val="1"/>
    <w:next w:val="1"/>
    <w:uiPriority w:val="0"/>
    <w:pPr>
      <w:spacing w:line="360" w:lineRule="auto"/>
      <w:jc w:val="center"/>
    </w:pPr>
    <w:rPr>
      <w:rFonts w:ascii="仿宋_GB2312" w:hAnsi="Calibri"/>
      <w:szCs w:val="20"/>
    </w:rPr>
  </w:style>
  <w:style w:type="paragraph" w:customStyle="1" w:styleId="406">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07">
    <w:name w:val="Char Char Char Char Char Char Char"/>
    <w:basedOn w:val="1"/>
    <w:uiPriority w:val="0"/>
    <w:pPr>
      <w:widowControl w:val="0"/>
      <w:jc w:val="both"/>
    </w:pPr>
    <w:rPr>
      <w:rFonts w:ascii="仿宋_GB2312" w:hAnsi="Times New Roman" w:eastAsia="仿宋_GB2312" w:cs="Times New Roman"/>
      <w:b/>
      <w:kern w:val="2"/>
      <w:sz w:val="32"/>
      <w:szCs w:val="32"/>
    </w:rPr>
  </w:style>
  <w:style w:type="paragraph" w:customStyle="1" w:styleId="408">
    <w:name w:val="xl1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0"/>
      <w:szCs w:val="20"/>
    </w:rPr>
  </w:style>
  <w:style w:type="paragraph" w:customStyle="1" w:styleId="409">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410">
    <w:name w:val="TOC 标题"/>
    <w:basedOn w:val="6"/>
    <w:next w:val="1"/>
    <w:qFormat/>
    <w:uiPriority w:val="0"/>
    <w:pPr>
      <w:keepLines/>
      <w:tabs>
        <w:tab w:val="left" w:pos="2782"/>
      </w:tabs>
      <w:spacing w:before="156" w:beforeLines="50" w:line="276" w:lineRule="auto"/>
      <w:jc w:val="left"/>
      <w:outlineLvl w:val="9"/>
    </w:pPr>
    <w:rPr>
      <w:rFonts w:ascii="Cambria" w:hAnsi="Cambria"/>
      <w:b/>
      <w:bCs/>
      <w:color w:val="365F91"/>
      <w:kern w:val="0"/>
      <w:szCs w:val="28"/>
    </w:rPr>
  </w:style>
  <w:style w:type="paragraph" w:customStyle="1" w:styleId="411">
    <w:name w:val="标准段落"/>
    <w:basedOn w:val="1"/>
    <w:uiPriority w:val="0"/>
    <w:pPr>
      <w:widowControl w:val="0"/>
      <w:topLinePunct/>
      <w:autoSpaceDE w:val="0"/>
      <w:autoSpaceDN w:val="0"/>
      <w:spacing w:line="360" w:lineRule="auto"/>
      <w:ind w:firstLine="560" w:firstLineChars="200"/>
      <w:jc w:val="both"/>
    </w:pPr>
    <w:rPr>
      <w:rFonts w:ascii="Times New Roman" w:cs="Times New Roman"/>
      <w:color w:val="FF0000"/>
      <w:kern w:val="2"/>
      <w:sz w:val="28"/>
      <w:lang w:bidi="th-TH"/>
    </w:rPr>
  </w:style>
  <w:style w:type="paragraph" w:customStyle="1" w:styleId="412">
    <w:name w:val="_Style 239"/>
    <w:next w:val="1"/>
    <w:uiPriority w:val="0"/>
    <w:pPr>
      <w:widowControl w:val="0"/>
      <w:jc w:val="both"/>
    </w:pPr>
    <w:rPr>
      <w:kern w:val="2"/>
      <w:sz w:val="21"/>
      <w:szCs w:val="24"/>
      <w:lang w:val="en-US" w:eastAsia="zh-CN" w:bidi="ar-SA"/>
    </w:rPr>
  </w:style>
  <w:style w:type="paragraph" w:customStyle="1" w:styleId="413">
    <w:name w:val="xl1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14">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415">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16">
    <w:name w:val="正文 首行缩进:  2 字符 Char"/>
    <w:basedOn w:val="1"/>
    <w:uiPriority w:val="0"/>
    <w:pPr>
      <w:widowControl w:val="0"/>
      <w:spacing w:line="360" w:lineRule="auto"/>
      <w:ind w:firstLine="480"/>
      <w:jc w:val="both"/>
    </w:pPr>
    <w:rPr>
      <w:rFonts w:ascii="Times New Roman" w:hAnsi="Times New Roman"/>
      <w:kern w:val="2"/>
      <w:szCs w:val="20"/>
    </w:rPr>
  </w:style>
  <w:style w:type="paragraph" w:customStyle="1" w:styleId="417">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418">
    <w:name w:val="标准小四"/>
    <w:basedOn w:val="1"/>
    <w:uiPriority w:val="0"/>
    <w:pPr>
      <w:widowControl w:val="0"/>
      <w:autoSpaceDE w:val="0"/>
      <w:autoSpaceDN w:val="0"/>
      <w:adjustRightInd w:val="0"/>
      <w:spacing w:line="360" w:lineRule="auto"/>
      <w:ind w:firstLine="480" w:firstLineChars="200"/>
    </w:pPr>
    <w:rPr>
      <w:rFonts w:ascii="Arial" w:hAnsi="Arial" w:cs="Times New Roman"/>
      <w:szCs w:val="21"/>
    </w:rPr>
  </w:style>
  <w:style w:type="paragraph" w:customStyle="1" w:styleId="419">
    <w:name w:val="正文-宋体四号"/>
    <w:basedOn w:val="1"/>
    <w:uiPriority w:val="0"/>
    <w:pPr>
      <w:widowControl w:val="0"/>
      <w:spacing w:line="360" w:lineRule="auto"/>
      <w:ind w:firstLine="560" w:firstLineChars="200"/>
      <w:jc w:val="both"/>
    </w:pPr>
    <w:rPr>
      <w:rFonts w:ascii="Times New Roman" w:hAnsi="Times New Roman"/>
      <w:kern w:val="2"/>
      <w:sz w:val="28"/>
      <w:szCs w:val="20"/>
    </w:rPr>
  </w:style>
  <w:style w:type="paragraph" w:customStyle="1" w:styleId="420">
    <w:name w:val="xl1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421">
    <w:name w:val="xl1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FF0000"/>
      <w:sz w:val="20"/>
      <w:szCs w:val="20"/>
    </w:rPr>
  </w:style>
  <w:style w:type="paragraph" w:customStyle="1" w:styleId="422">
    <w:name w:val="tabletext"/>
    <w:basedOn w:val="1"/>
    <w:uiPriority w:val="0"/>
    <w:pPr>
      <w:spacing w:before="100" w:beforeAutospacing="1" w:after="100" w:afterAutospacing="1"/>
    </w:pPr>
  </w:style>
  <w:style w:type="paragraph" w:customStyle="1" w:styleId="423">
    <w:name w:val="xl1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424">
    <w:name w:val="样式 标题 2 + Times New Roman 四号 非加粗 段前: 5 磅 段后: 0 磅 行距: 固定值 20..."/>
    <w:basedOn w:val="7"/>
    <w:uiPriority w:val="0"/>
    <w:pPr>
      <w:widowControl w:val="0"/>
      <w:spacing w:before="100" w:after="0" w:line="400" w:lineRule="exact"/>
      <w:jc w:val="both"/>
    </w:pPr>
    <w:rPr>
      <w:rFonts w:ascii="Times New Roman" w:hAnsi="Times New Roman" w:cs="宋体"/>
      <w:b w:val="0"/>
      <w:bCs w:val="0"/>
      <w:sz w:val="28"/>
      <w:szCs w:val="20"/>
    </w:rPr>
  </w:style>
  <w:style w:type="paragraph" w:customStyle="1" w:styleId="425">
    <w:name w:val="xl35"/>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rPr>
  </w:style>
  <w:style w:type="paragraph" w:customStyle="1" w:styleId="426">
    <w:name w:val="列出段落2"/>
    <w:basedOn w:val="1"/>
    <w:qFormat/>
    <w:uiPriority w:val="34"/>
    <w:pPr>
      <w:widowControl w:val="0"/>
      <w:ind w:firstLine="420" w:firstLineChars="200"/>
      <w:jc w:val="both"/>
    </w:pPr>
    <w:rPr>
      <w:rFonts w:ascii="Times New Roman" w:hAnsi="Times New Roman" w:cs="Times New Roman"/>
      <w:sz w:val="20"/>
    </w:rPr>
  </w:style>
  <w:style w:type="paragraph" w:customStyle="1" w:styleId="427">
    <w:name w:val="正表格内容"/>
    <w:basedOn w:val="1"/>
    <w:uiPriority w:val="0"/>
    <w:pPr>
      <w:tabs>
        <w:tab w:val="left" w:pos="480"/>
      </w:tabs>
      <w:autoSpaceDE w:val="0"/>
      <w:autoSpaceDN w:val="0"/>
      <w:adjustRightInd w:val="0"/>
      <w:jc w:val="center"/>
      <w:textAlignment w:val="bottom"/>
    </w:pPr>
    <w:rPr>
      <w:sz w:val="18"/>
      <w:szCs w:val="20"/>
    </w:rPr>
  </w:style>
  <w:style w:type="paragraph" w:customStyle="1" w:styleId="428">
    <w:name w:val=" Char Char7 Char"/>
    <w:basedOn w:val="1"/>
    <w:uiPriority w:val="0"/>
    <w:pPr>
      <w:tabs>
        <w:tab w:val="left" w:pos="425"/>
      </w:tabs>
      <w:ind w:left="420" w:leftChars="200" w:firstLine="270" w:firstLineChars="150"/>
    </w:pPr>
    <w:rPr>
      <w:rFonts w:cs="Arial"/>
      <w:color w:val="5E5E5E"/>
      <w:szCs w:val="21"/>
    </w:rPr>
  </w:style>
  <w:style w:type="paragraph" w:customStyle="1" w:styleId="429">
    <w:name w:val="Table Heading"/>
    <w:uiPriority w:val="0"/>
    <w:pPr>
      <w:keepNext/>
      <w:snapToGrid w:val="0"/>
      <w:spacing w:before="80" w:after="80"/>
      <w:jc w:val="center"/>
    </w:pPr>
    <w:rPr>
      <w:rFonts w:eastAsia="黑体" w:cs="Arial"/>
      <w:kern w:val="2"/>
      <w:sz w:val="18"/>
      <w:szCs w:val="18"/>
      <w:lang w:val="en-US" w:eastAsia="zh-CN" w:bidi="ar-SA"/>
    </w:rPr>
  </w:style>
  <w:style w:type="paragraph" w:customStyle="1" w:styleId="430">
    <w:name w:val=" Char Char Char Char Char Char Char Char Char Char"/>
    <w:basedOn w:val="20"/>
    <w:uiPriority w:val="0"/>
    <w:pPr>
      <w:shd w:val="clear" w:color="auto" w:fill="000080"/>
    </w:pPr>
    <w:rPr>
      <w:rFonts w:ascii="Tahoma" w:hAnsi="Tahoma"/>
      <w:sz w:val="24"/>
      <w:szCs w:val="24"/>
    </w:rPr>
  </w:style>
  <w:style w:type="paragraph" w:customStyle="1" w:styleId="431">
    <w:name w:val="正文文字表格居中"/>
    <w:basedOn w:val="1"/>
    <w:next w:val="50"/>
    <w:uiPriority w:val="0"/>
    <w:pPr>
      <w:widowControl w:val="0"/>
      <w:autoSpaceDE w:val="0"/>
      <w:autoSpaceDN w:val="0"/>
      <w:adjustRightInd w:val="0"/>
      <w:snapToGrid w:val="0"/>
      <w:spacing w:line="360" w:lineRule="auto"/>
    </w:pPr>
    <w:rPr>
      <w:rFonts w:hAnsi="Times New Roman" w:cs="Times New Roman"/>
      <w:b/>
      <w:szCs w:val="20"/>
    </w:rPr>
  </w:style>
  <w:style w:type="paragraph" w:customStyle="1" w:styleId="432">
    <w:name w:val="xl81"/>
    <w:basedOn w:val="1"/>
    <w:uiPriority w:val="0"/>
    <w:pPr>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433">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20"/>
      <w:szCs w:val="20"/>
    </w:rPr>
  </w:style>
  <w:style w:type="paragraph" w:customStyle="1" w:styleId="434">
    <w:name w:val="Plain Text"/>
    <w:basedOn w:val="1"/>
    <w:uiPriority w:val="0"/>
    <w:pPr>
      <w:widowControl w:val="0"/>
      <w:adjustRightInd w:val="0"/>
      <w:jc w:val="both"/>
      <w:textAlignment w:val="baseline"/>
    </w:pPr>
    <w:rPr>
      <w:rFonts w:hAnsi="Courier New" w:eastAsia="楷体_GB2312" w:cs="Times New Roman"/>
      <w:kern w:val="2"/>
      <w:sz w:val="28"/>
      <w:szCs w:val="20"/>
    </w:rPr>
  </w:style>
  <w:style w:type="paragraph" w:customStyle="1" w:styleId="435">
    <w:name w:val="VIT-Text"/>
    <w:basedOn w:val="1"/>
    <w:uiPriority w:val="0"/>
    <w:pPr>
      <w:tabs>
        <w:tab w:val="left" w:pos="709"/>
        <w:tab w:val="left" w:pos="3402"/>
        <w:tab w:val="left" w:pos="4536"/>
        <w:tab w:val="left" w:pos="5670"/>
        <w:tab w:val="decimal" w:pos="6804"/>
        <w:tab w:val="right" w:pos="9072"/>
      </w:tabs>
    </w:pPr>
    <w:rPr>
      <w:rFonts w:ascii="Arial" w:hAnsi="Arial" w:eastAsia="PMingLiU" w:cs="Times New Roman"/>
      <w:sz w:val="22"/>
      <w:szCs w:val="20"/>
      <w:lang w:val="de-DE" w:eastAsia="zh-TW"/>
    </w:rPr>
  </w:style>
  <w:style w:type="paragraph" w:customStyle="1" w:styleId="436">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437">
    <w:name w:val="xl140"/>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b/>
      <w:bCs/>
      <w:sz w:val="20"/>
      <w:szCs w:val="20"/>
    </w:rPr>
  </w:style>
  <w:style w:type="paragraph" w:customStyle="1" w:styleId="438">
    <w:name w:val="xl92"/>
    <w:basedOn w:val="1"/>
    <w:uiPriority w:val="0"/>
    <w:pPr>
      <w:pBdr>
        <w:top w:val="single" w:color="auto" w:sz="4" w:space="0"/>
        <w:left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439">
    <w:name w:val="列出段落1"/>
    <w:basedOn w:val="1"/>
    <w:qFormat/>
    <w:uiPriority w:val="34"/>
    <w:pPr>
      <w:ind w:firstLine="420" w:firstLineChars="200"/>
    </w:pPr>
  </w:style>
  <w:style w:type="paragraph" w:customStyle="1" w:styleId="440">
    <w:name w:val="金保标题1"/>
    <w:basedOn w:val="6"/>
    <w:next w:val="1"/>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441">
    <w:name w:val=" Char"/>
    <w:basedOn w:val="1"/>
    <w:uiPriority w:val="0"/>
    <w:rPr>
      <w:rFonts w:ascii="仿宋_GB2312" w:eastAsia="仿宋_GB2312"/>
      <w:b/>
      <w:sz w:val="32"/>
      <w:szCs w:val="32"/>
    </w:rPr>
  </w:style>
  <w:style w:type="paragraph" w:customStyle="1" w:styleId="442">
    <w:name w:val="样式目录三"/>
    <w:basedOn w:val="31"/>
    <w:uiPriority w:val="0"/>
    <w:pPr>
      <w:widowControl w:val="0"/>
      <w:spacing w:line="360" w:lineRule="auto"/>
      <w:ind w:left="0" w:leftChars="0"/>
    </w:pPr>
    <w:rPr>
      <w:rFonts w:ascii="Calibri" w:hAnsi="Calibri" w:cs="Times New Roman"/>
      <w:kern w:val="2"/>
      <w:szCs w:val="22"/>
    </w:rPr>
  </w:style>
  <w:style w:type="paragraph" w:customStyle="1" w:styleId="443">
    <w:name w:val=" Char Char Char Char1 Char Char Char Char Char"/>
    <w:basedOn w:val="1"/>
    <w:uiPriority w:val="0"/>
    <w:pPr>
      <w:spacing w:after="160" w:line="240" w:lineRule="exact"/>
    </w:pPr>
    <w:rPr>
      <w:rFonts w:ascii="Verdana" w:hAnsi="Verdana" w:eastAsia="仿宋_GB2312" w:cs="Times New Roman"/>
      <w:szCs w:val="20"/>
      <w:lang w:eastAsia="en-US"/>
    </w:rPr>
  </w:style>
  <w:style w:type="paragraph" w:customStyle="1" w:styleId="444">
    <w:name w:val="小点说明"/>
    <w:basedOn w:val="1"/>
    <w:uiPriority w:val="0"/>
    <w:pPr>
      <w:adjustRightInd w:val="0"/>
      <w:snapToGrid w:val="0"/>
    </w:pPr>
    <w:rPr>
      <w:rFonts w:ascii="仿宋_GB2312" w:eastAsia="仿宋_GB2312"/>
      <w:color w:val="000000"/>
      <w:szCs w:val="18"/>
    </w:rPr>
  </w:style>
  <w:style w:type="paragraph" w:customStyle="1" w:styleId="445">
    <w:name w:val="Char Char Char Char Char Char Char Char Char1 Char"/>
    <w:basedOn w:val="1"/>
    <w:uiPriority w:val="0"/>
    <w:pPr>
      <w:widowControl w:val="0"/>
      <w:jc w:val="both"/>
    </w:pPr>
    <w:rPr>
      <w:rFonts w:ascii="仿宋_GB2312" w:hAnsi="Times New Roman" w:eastAsia="仿宋_GB2312" w:cs="Times New Roman"/>
      <w:b/>
      <w:kern w:val="2"/>
      <w:sz w:val="32"/>
      <w:szCs w:val="32"/>
    </w:rPr>
  </w:style>
  <w:style w:type="paragraph" w:customStyle="1" w:styleId="446">
    <w:name w:val=" Char Char8"/>
    <w:basedOn w:val="1"/>
    <w:uiPriority w:val="0"/>
    <w:rPr>
      <w:rFonts w:ascii="Tahoma" w:hAnsi="Tahoma"/>
      <w:szCs w:val="20"/>
    </w:rPr>
  </w:style>
  <w:style w:type="paragraph" w:customStyle="1" w:styleId="447">
    <w:name w:val="xl1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48">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49">
    <w:name w:val="Char2"/>
    <w:basedOn w:val="1"/>
    <w:uiPriority w:val="0"/>
    <w:pPr>
      <w:widowControl w:val="0"/>
      <w:jc w:val="both"/>
    </w:pPr>
    <w:rPr>
      <w:rFonts w:ascii="仿宋_GB2312" w:hAnsi="Times New Roman" w:eastAsia="仿宋_GB2312" w:cs="Times New Roman"/>
      <w:b/>
      <w:kern w:val="2"/>
      <w:sz w:val="32"/>
      <w:szCs w:val="32"/>
    </w:rPr>
  </w:style>
  <w:style w:type="paragraph" w:customStyle="1" w:styleId="450">
    <w:name w:val="样式 左侧:  0.85 厘米 首行缩进:  0.85 厘米"/>
    <w:basedOn w:val="1"/>
    <w:uiPriority w:val="0"/>
    <w:pPr>
      <w:widowControl w:val="0"/>
      <w:autoSpaceDE w:val="0"/>
      <w:autoSpaceDN w:val="0"/>
      <w:adjustRightInd w:val="0"/>
      <w:spacing w:line="360" w:lineRule="auto"/>
      <w:ind w:firstLine="482"/>
    </w:pPr>
    <w:rPr>
      <w:rFonts w:ascii="Times New Roman" w:hAnsi="Times New Roman"/>
      <w:szCs w:val="20"/>
    </w:rPr>
  </w:style>
  <w:style w:type="paragraph" w:customStyle="1" w:styleId="451">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52">
    <w:name w:val="xl83"/>
    <w:basedOn w:val="1"/>
    <w:uiPriority w:val="0"/>
    <w:pPr>
      <w:pBdr>
        <w:left w:val="single" w:color="auto" w:sz="4" w:space="0"/>
        <w:right w:val="single" w:color="auto" w:sz="4" w:space="0"/>
      </w:pBdr>
      <w:spacing w:before="100" w:beforeAutospacing="1" w:after="100" w:afterAutospacing="1"/>
    </w:pPr>
    <w:rPr>
      <w:rFonts w:ascii="新宋体" w:hAnsi="新宋体" w:eastAsia="新宋体"/>
      <w:color w:val="000000"/>
    </w:rPr>
  </w:style>
  <w:style w:type="paragraph" w:customStyle="1" w:styleId="453">
    <w:name w:val="正文段"/>
    <w:basedOn w:val="1"/>
    <w:uiPriority w:val="0"/>
    <w:pPr>
      <w:snapToGrid w:val="0"/>
      <w:spacing w:after="156" w:afterLines="50"/>
      <w:ind w:firstLine="200" w:firstLineChars="200"/>
      <w:jc w:val="both"/>
    </w:pPr>
    <w:rPr>
      <w:rFonts w:ascii="Times New Roman" w:hAnsi="Times New Roman" w:cs="Times New Roman"/>
      <w:szCs w:val="20"/>
    </w:rPr>
  </w:style>
  <w:style w:type="paragraph" w:customStyle="1" w:styleId="454">
    <w:name w:val="ÕýÎÄÊ×ÐÐËõ½ø"/>
    <w:basedOn w:val="1"/>
    <w:uiPriority w:val="0"/>
    <w:pPr>
      <w:overflowPunct w:val="0"/>
      <w:autoSpaceDE w:val="0"/>
      <w:autoSpaceDN w:val="0"/>
      <w:adjustRightInd w:val="0"/>
      <w:spacing w:line="360" w:lineRule="auto"/>
      <w:ind w:left="1134"/>
      <w:textAlignment w:val="baseline"/>
    </w:pPr>
    <w:rPr>
      <w:rFonts w:ascii="Times New Roman" w:hAnsi="Times New Roman" w:eastAsia="Times New Roman" w:cs="Times New Roman"/>
      <w:sz w:val="20"/>
      <w:szCs w:val="20"/>
    </w:rPr>
  </w:style>
  <w:style w:type="paragraph" w:customStyle="1" w:styleId="45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olor w:val="000000"/>
    </w:rPr>
  </w:style>
  <w:style w:type="paragraph" w:customStyle="1" w:styleId="456">
    <w:name w:val="Char1 Char Char Char1"/>
    <w:basedOn w:val="1"/>
    <w:uiPriority w:val="0"/>
    <w:pPr>
      <w:snapToGrid w:val="0"/>
      <w:spacing w:before="120" w:after="160" w:line="360" w:lineRule="auto"/>
      <w:ind w:right="-360"/>
    </w:pPr>
    <w:rPr>
      <w:rFonts w:ascii="Arial" w:hAnsi="Arial" w:cs="Times New Roman"/>
      <w:lang w:eastAsia="en-US"/>
    </w:rPr>
  </w:style>
  <w:style w:type="paragraph" w:customStyle="1" w:styleId="457">
    <w:name w:val=" Char Char9"/>
    <w:basedOn w:val="1"/>
    <w:uiPriority w:val="0"/>
    <w:pPr>
      <w:widowControl w:val="0"/>
      <w:jc w:val="both"/>
    </w:pPr>
    <w:rPr>
      <w:b/>
      <w:bCs/>
      <w:color w:val="000000"/>
      <w:kern w:val="2"/>
      <w:sz w:val="22"/>
      <w:szCs w:val="22"/>
    </w:rPr>
  </w:style>
  <w:style w:type="paragraph" w:customStyle="1" w:styleId="458">
    <w:name w:val=" Char Char Char Char Char Char Char Char Char Char Char Char Char"/>
    <w:basedOn w:val="1"/>
    <w:uiPriority w:val="0"/>
    <w:rPr>
      <w:rFonts w:ascii="Tahoma" w:hAnsi="Tahoma"/>
      <w:szCs w:val="20"/>
    </w:rPr>
  </w:style>
  <w:style w:type="paragraph" w:customStyle="1" w:styleId="459">
    <w:name w:val="标题6"/>
    <w:basedOn w:val="1"/>
    <w:next w:val="6"/>
    <w:uiPriority w:val="0"/>
    <w:pPr>
      <w:snapToGrid w:val="0"/>
      <w:spacing w:before="50" w:beforeLines="50" w:after="50" w:afterLines="50" w:line="520" w:lineRule="atLeast"/>
      <w:ind w:firstLine="200" w:firstLineChars="200"/>
    </w:pPr>
    <w:rPr>
      <w:rFonts w:cs="Arial"/>
      <w:b/>
    </w:rPr>
  </w:style>
  <w:style w:type="paragraph" w:customStyle="1" w:styleId="460">
    <w:name w:val="Char Char1"/>
    <w:basedOn w:val="1"/>
    <w:uiPriority w:val="0"/>
    <w:pPr>
      <w:spacing w:after="160" w:line="240" w:lineRule="exact"/>
    </w:pPr>
    <w:rPr>
      <w:rFonts w:ascii="Verdana" w:hAnsi="Verdana" w:eastAsia="楷体_GB2312" w:cs="Times New Roman"/>
      <w:b/>
      <w:i/>
      <w:iCs/>
      <w:color w:val="000000"/>
      <w:sz w:val="20"/>
      <w:szCs w:val="20"/>
      <w:lang w:eastAsia="en-US"/>
    </w:rPr>
  </w:style>
  <w:style w:type="paragraph" w:customStyle="1" w:styleId="461">
    <w:name w:val="Char1 Char Char Char Char Char Char"/>
    <w:basedOn w:val="1"/>
    <w:uiPriority w:val="0"/>
    <w:pPr>
      <w:widowControl w:val="0"/>
      <w:jc w:val="both"/>
    </w:pPr>
    <w:rPr>
      <w:rFonts w:ascii="Tahoma" w:hAnsi="Tahoma" w:cs="Times New Roman"/>
      <w:kern w:val="2"/>
      <w:szCs w:val="20"/>
    </w:rPr>
  </w:style>
  <w:style w:type="paragraph" w:customStyle="1" w:styleId="462">
    <w:name w:val="xl66"/>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b/>
      <w:bCs/>
      <w:color w:val="000000"/>
    </w:rPr>
  </w:style>
  <w:style w:type="paragraph" w:customStyle="1" w:styleId="463">
    <w:name w:val="Item List in Table"/>
    <w:uiPriority w:val="0"/>
    <w:pPr>
      <w:tabs>
        <w:tab w:val="left" w:pos="284"/>
        <w:tab w:val="left" w:pos="720"/>
      </w:tabs>
      <w:spacing w:before="40" w:after="40"/>
      <w:ind w:left="720" w:hanging="720"/>
      <w:jc w:val="both"/>
    </w:pPr>
    <w:rPr>
      <w:rFonts w:cs="Arial"/>
      <w:kern w:val="2"/>
      <w:sz w:val="18"/>
      <w:szCs w:val="18"/>
      <w:lang w:val="en-US" w:eastAsia="zh-CN" w:bidi="ar-SA"/>
    </w:rPr>
  </w:style>
  <w:style w:type="paragraph" w:customStyle="1" w:styleId="464">
    <w:name w:val="部分1"/>
    <w:basedOn w:val="1"/>
    <w:uiPriority w:val="0"/>
    <w:pPr>
      <w:keepNext/>
      <w:pageBreakBefore/>
      <w:widowControl w:val="0"/>
      <w:tabs>
        <w:tab w:val="left" w:pos="720"/>
      </w:tabs>
      <w:autoSpaceDE w:val="0"/>
      <w:autoSpaceDN w:val="0"/>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465">
    <w:name w:val="标书标题2"/>
    <w:basedOn w:val="7"/>
    <w:uiPriority w:val="0"/>
    <w:pPr>
      <w:keepLines w:val="0"/>
      <w:numPr>
        <w:ilvl w:val="0"/>
        <w:numId w:val="2"/>
      </w:numPr>
      <w:tabs>
        <w:tab w:val="left" w:pos="567"/>
        <w:tab w:val="clear" w:pos="780"/>
      </w:tabs>
      <w:adjustRightInd w:val="0"/>
      <w:snapToGrid w:val="0"/>
      <w:spacing w:before="120" w:beforeLines="50" w:after="60" w:line="300" w:lineRule="auto"/>
      <w:ind w:left="567" w:hanging="567"/>
    </w:pPr>
    <w:rPr>
      <w:rFonts w:ascii="Arial Narrow" w:hAnsi="Arial Narrow" w:eastAsia="仿宋_GB2312"/>
      <w:bCs w:val="0"/>
      <w:kern w:val="0"/>
      <w:sz w:val="28"/>
      <w:szCs w:val="20"/>
    </w:rPr>
  </w:style>
  <w:style w:type="paragraph" w:customStyle="1" w:styleId="466">
    <w:name w:val="aspnumfaautoadjustrightr"/>
    <w:uiPriority w:val="0"/>
    <w:pPr>
      <w:widowControl w:val="0"/>
      <w:autoSpaceDE w:val="0"/>
      <w:autoSpaceDN w:val="0"/>
      <w:adjustRightInd w:val="0"/>
      <w:ind w:firstLine="720"/>
      <w:jc w:val="both"/>
    </w:pPr>
    <w:rPr>
      <w:lang w:val="en-US" w:eastAsia="zh-CN" w:bidi="ar-SA"/>
    </w:rPr>
  </w:style>
  <w:style w:type="paragraph" w:customStyle="1" w:styleId="467">
    <w:name w:val="Char Char Char Char"/>
    <w:basedOn w:val="1"/>
    <w:uiPriority w:val="0"/>
    <w:pPr>
      <w:widowControl w:val="0"/>
      <w:autoSpaceDE w:val="0"/>
      <w:autoSpaceDN w:val="0"/>
      <w:adjustRightInd w:val="0"/>
    </w:pPr>
    <w:rPr>
      <w:rFonts w:ascii="Tahoma" w:hAnsi="Tahoma" w:cs="Times New Roman"/>
      <w:szCs w:val="20"/>
    </w:rPr>
  </w:style>
  <w:style w:type="paragraph" w:customStyle="1" w:styleId="468">
    <w:name w:val="表格标题"/>
    <w:basedOn w:val="1"/>
    <w:next w:val="1"/>
    <w:uiPriority w:val="0"/>
    <w:pPr>
      <w:jc w:val="center"/>
    </w:pPr>
    <w:rPr>
      <w:b/>
      <w:bCs/>
      <w:szCs w:val="20"/>
    </w:rPr>
  </w:style>
  <w:style w:type="paragraph" w:customStyle="1" w:styleId="469">
    <w:name w:val="_Style 11"/>
    <w:basedOn w:val="1"/>
    <w:uiPriority w:val="0"/>
    <w:pPr>
      <w:widowControl w:val="0"/>
      <w:jc w:val="both"/>
    </w:pPr>
    <w:rPr>
      <w:rFonts w:ascii="Times New Roman" w:hAnsi="Times New Roman" w:cs="Times New Roman"/>
      <w:kern w:val="2"/>
      <w:sz w:val="21"/>
    </w:rPr>
  </w:style>
  <w:style w:type="paragraph" w:customStyle="1" w:styleId="470">
    <w:name w:val="a1"/>
    <w:basedOn w:val="1"/>
    <w:uiPriority w:val="0"/>
    <w:pPr>
      <w:spacing w:before="100" w:beforeAutospacing="1" w:after="100" w:afterAutospacing="1"/>
    </w:pPr>
  </w:style>
  <w:style w:type="paragraph" w:customStyle="1" w:styleId="471">
    <w:name w:val="xl137"/>
    <w:basedOn w:val="1"/>
    <w:uiPriority w:val="0"/>
    <w:pPr>
      <w:spacing w:before="100" w:beforeAutospacing="1" w:after="100" w:afterAutospacing="1"/>
      <w:textAlignment w:val="bottom"/>
    </w:pPr>
  </w:style>
  <w:style w:type="paragraph" w:customStyle="1" w:styleId="472">
    <w:name w:val="说正文文字"/>
    <w:basedOn w:val="3"/>
    <w:uiPriority w:val="0"/>
    <w:pPr>
      <w:spacing w:line="360" w:lineRule="auto"/>
      <w:ind w:left="320" w:leftChars="200" w:firstLine="460" w:firstLineChars="200"/>
      <w:jc w:val="both"/>
    </w:pPr>
    <w:rPr>
      <w:rFonts w:ascii="宋体" w:hAnsi="宋体"/>
      <w:bCs w:val="0"/>
      <w:spacing w:val="-5"/>
      <w:kern w:val="0"/>
    </w:rPr>
  </w:style>
  <w:style w:type="paragraph" w:customStyle="1" w:styleId="473">
    <w:name w:val="font6"/>
    <w:basedOn w:val="1"/>
    <w:uiPriority w:val="0"/>
    <w:pPr>
      <w:spacing w:before="100" w:beforeAutospacing="1" w:after="100" w:afterAutospacing="1"/>
    </w:pPr>
    <w:rPr>
      <w:rFonts w:eastAsia="Arial Unicode MS"/>
      <w:szCs w:val="21"/>
      <w:lang w:eastAsia="en-US"/>
    </w:rPr>
  </w:style>
  <w:style w:type="paragraph" w:customStyle="1" w:styleId="474">
    <w:name w:val=" Char1 Char Char Char Char Char Char"/>
    <w:basedOn w:val="1"/>
    <w:uiPriority w:val="0"/>
    <w:rPr>
      <w:rFonts w:ascii="Tahoma" w:hAnsi="Tahoma"/>
      <w:szCs w:val="20"/>
    </w:rPr>
  </w:style>
  <w:style w:type="paragraph" w:customStyle="1" w:styleId="475">
    <w:name w:val="xl78"/>
    <w:basedOn w:val="1"/>
    <w:uiPriority w:val="0"/>
    <w:pPr>
      <w:pBdr>
        <w:top w:val="single" w:color="auto" w:sz="4" w:space="0"/>
        <w:left w:val="single" w:color="auto" w:sz="4" w:space="0"/>
        <w:bottom w:val="single" w:color="auto" w:sz="4" w:space="0"/>
      </w:pBdr>
      <w:spacing w:before="100" w:beforeAutospacing="1" w:after="100" w:afterAutospacing="1"/>
    </w:pPr>
    <w:rPr>
      <w:rFonts w:ascii="新宋体" w:hAnsi="新宋体" w:eastAsia="新宋体"/>
      <w:b/>
      <w:bCs/>
      <w:color w:val="FF0000"/>
    </w:rPr>
  </w:style>
  <w:style w:type="paragraph" w:customStyle="1" w:styleId="476">
    <w:name w:val="表内文字"/>
    <w:basedOn w:val="1"/>
    <w:uiPriority w:val="0"/>
    <w:pPr>
      <w:spacing w:line="500" w:lineRule="atLeast"/>
      <w:jc w:val="center"/>
    </w:pPr>
    <w:rPr>
      <w:rFonts w:ascii="Arial" w:hAnsi="Arial" w:eastAsia="楷体_GB2312" w:cs="Arial"/>
      <w:sz w:val="28"/>
    </w:rPr>
  </w:style>
  <w:style w:type="paragraph" w:customStyle="1" w:styleId="477">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zh-TW" w:eastAsia="zh-TW" w:bidi="ar-SA"/>
    </w:rPr>
  </w:style>
  <w:style w:type="paragraph" w:customStyle="1" w:styleId="478">
    <w:name w:val="a0"/>
    <w:basedOn w:val="1"/>
    <w:uiPriority w:val="0"/>
    <w:pPr>
      <w:spacing w:before="100" w:beforeAutospacing="1" w:after="100" w:afterAutospacing="1"/>
    </w:pPr>
  </w:style>
  <w:style w:type="paragraph" w:customStyle="1" w:styleId="479">
    <w:name w:val="xl29"/>
    <w:basedOn w:val="1"/>
    <w:uiPriority w:val="0"/>
    <w:pPr>
      <w:autoSpaceDE w:val="0"/>
      <w:autoSpaceDN w:val="0"/>
      <w:adjustRightInd w:val="0"/>
      <w:spacing w:before="100" w:beforeAutospacing="1" w:after="100" w:afterAutospacing="1"/>
      <w:jc w:val="center"/>
    </w:pPr>
    <w:rPr>
      <w:rFonts w:ascii="Arial Unicode MS" w:hAnsi="Arial Unicode MS" w:eastAsia="Arial Unicode MS" w:cs="Times New Roman"/>
      <w:szCs w:val="20"/>
    </w:rPr>
  </w:style>
  <w:style w:type="paragraph" w:customStyle="1" w:styleId="480">
    <w:name w:val="样式 标题 1Level 1Level 11h1II+IHeading1H1-Heading 1Header 1..."/>
    <w:basedOn w:val="6"/>
    <w:uiPriority w:val="0"/>
    <w:pPr>
      <w:keepLines/>
      <w:pageBreakBefore/>
      <w:widowControl w:val="0"/>
      <w:spacing w:before="100" w:after="100" w:line="360" w:lineRule="auto"/>
      <w:ind w:left="1680" w:hanging="420"/>
      <w:jc w:val="left"/>
    </w:pPr>
    <w:rPr>
      <w:rFonts w:ascii="Arial" w:hAnsi="Arial" w:eastAsia="黑体" w:cs="宋体"/>
      <w:b/>
      <w:bCs/>
      <w:kern w:val="44"/>
      <w:sz w:val="44"/>
      <w:szCs w:val="20"/>
    </w:rPr>
  </w:style>
  <w:style w:type="paragraph" w:customStyle="1" w:styleId="481">
    <w:name w:val="Colorful List - Accent 1"/>
    <w:basedOn w:val="1"/>
    <w:qFormat/>
    <w:uiPriority w:val="0"/>
    <w:pPr>
      <w:widowControl w:val="0"/>
      <w:ind w:left="720"/>
      <w:contextualSpacing/>
      <w:jc w:val="both"/>
    </w:pPr>
    <w:rPr>
      <w:rFonts w:ascii="Calibri" w:hAnsi="Calibri" w:cs="Times New Roman"/>
      <w:kern w:val="2"/>
      <w:sz w:val="21"/>
    </w:rPr>
  </w:style>
  <w:style w:type="paragraph" w:customStyle="1" w:styleId="482">
    <w:name w:val="xl124"/>
    <w:basedOn w:val="1"/>
    <w:uiPriority w:val="0"/>
    <w:pPr>
      <w:spacing w:before="100" w:beforeAutospacing="1" w:after="100" w:afterAutospacing="1"/>
      <w:jc w:val="center"/>
    </w:pPr>
    <w:rPr>
      <w:sz w:val="20"/>
      <w:szCs w:val="20"/>
    </w:rPr>
  </w:style>
  <w:style w:type="paragraph" w:customStyle="1" w:styleId="483">
    <w:name w:val="_Style 256"/>
    <w:next w:val="1"/>
    <w:uiPriority w:val="0"/>
    <w:pPr>
      <w:widowControl w:val="0"/>
      <w:jc w:val="both"/>
    </w:pPr>
    <w:rPr>
      <w:kern w:val="2"/>
      <w:sz w:val="21"/>
      <w:szCs w:val="24"/>
      <w:lang w:val="en-US" w:eastAsia="zh-CN" w:bidi="ar-SA"/>
    </w:rPr>
  </w:style>
  <w:style w:type="paragraph" w:customStyle="1" w:styleId="484">
    <w:name w:val="xl142"/>
    <w:basedOn w:val="1"/>
    <w:uiPriority w:val="0"/>
    <w:pPr>
      <w:spacing w:before="100" w:beforeAutospacing="1" w:after="100" w:afterAutospacing="1"/>
      <w:jc w:val="center"/>
    </w:pPr>
    <w:rPr>
      <w:sz w:val="32"/>
      <w:szCs w:val="32"/>
    </w:rPr>
  </w:style>
  <w:style w:type="paragraph" w:customStyle="1" w:styleId="485">
    <w:name w:val="样式 宋体 首行缩进:  0.87 厘米"/>
    <w:basedOn w:val="1"/>
    <w:uiPriority w:val="0"/>
    <w:pPr>
      <w:widowControl w:val="0"/>
      <w:spacing w:line="480" w:lineRule="exact"/>
      <w:ind w:firstLine="493"/>
      <w:jc w:val="both"/>
    </w:pPr>
    <w:rPr>
      <w:rFonts w:cs="Times New Roman"/>
      <w:spacing w:val="6"/>
      <w:kern w:val="2"/>
    </w:rPr>
  </w:style>
  <w:style w:type="paragraph" w:customStyle="1" w:styleId="486">
    <w:name w:val="Table Contents"/>
    <w:basedOn w:val="1"/>
    <w:uiPriority w:val="0"/>
    <w:pPr>
      <w:widowControl w:val="0"/>
      <w:suppressAutoHyphens/>
      <w:autoSpaceDE w:val="0"/>
      <w:autoSpaceDN w:val="0"/>
      <w:adjustRightInd w:val="0"/>
      <w:spacing w:after="120"/>
    </w:pPr>
    <w:rPr>
      <w:rFonts w:ascii="Helvetica" w:hAnsi="Helvetica" w:cs="Times New Roman"/>
      <w:kern w:val="1"/>
      <w:sz w:val="20"/>
      <w:szCs w:val="20"/>
    </w:rPr>
  </w:style>
  <w:style w:type="paragraph" w:customStyle="1" w:styleId="487">
    <w:name w:val="标题 4（绿盟科技）"/>
    <w:basedOn w:val="9"/>
    <w:next w:val="1"/>
    <w:qFormat/>
    <w:uiPriority w:val="0"/>
    <w:pPr>
      <w:spacing w:after="156"/>
    </w:pPr>
    <w:rPr>
      <w:rFonts w:ascii="Arial" w:hAnsi="Arial" w:eastAsia="黑体"/>
      <w:bCs w:val="0"/>
      <w:kern w:val="0"/>
    </w:rPr>
  </w:style>
  <w:style w:type="paragraph" w:customStyle="1" w:styleId="488">
    <w:name w:val="图"/>
    <w:basedOn w:val="1"/>
    <w:uiPriority w:val="0"/>
    <w:pPr>
      <w:keepNext/>
      <w:widowControl w:val="0"/>
      <w:adjustRightInd w:val="0"/>
      <w:spacing w:before="60" w:after="60" w:line="300" w:lineRule="auto"/>
      <w:jc w:val="center"/>
      <w:textAlignment w:val="center"/>
    </w:pPr>
    <w:rPr>
      <w:rFonts w:ascii="Times New Roman" w:hAnsi="Times New Roman" w:cs="Times New Roman"/>
      <w:snapToGrid w:val="0"/>
      <w:spacing w:val="20"/>
      <w:szCs w:val="20"/>
      <w:lang/>
    </w:rPr>
  </w:style>
  <w:style w:type="paragraph" w:customStyle="1" w:styleId="489">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color w:val="000000"/>
    </w:rPr>
  </w:style>
  <w:style w:type="paragraph" w:customStyle="1" w:styleId="490">
    <w:name w:val="目录2"/>
    <w:basedOn w:val="53"/>
    <w:qFormat/>
    <w:uiPriority w:val="0"/>
    <w:pPr>
      <w:widowControl w:val="0"/>
      <w:spacing w:before="100" w:beforeAutospacing="1" w:after="100" w:afterAutospacing="1" w:line="440" w:lineRule="exact"/>
    </w:pPr>
    <w:rPr>
      <w:rFonts w:ascii="黑体" w:hAnsi="新宋体" w:eastAsia="黑体" w:cs="Times New Roman"/>
      <w:b w:val="0"/>
      <w:spacing w:val="0"/>
      <w:kern w:val="2"/>
      <w:szCs w:val="32"/>
    </w:rPr>
  </w:style>
  <w:style w:type="paragraph" w:customStyle="1" w:styleId="491">
    <w:name w:val="Char Char Char Char Char Char Char Char Char Char Char Char Char Char Char Char Char Char Char1"/>
    <w:basedOn w:val="1"/>
    <w:uiPriority w:val="0"/>
    <w:pPr>
      <w:widowControl w:val="0"/>
      <w:jc w:val="both"/>
    </w:pPr>
    <w:rPr>
      <w:rFonts w:ascii="仿宋_GB2312" w:hAnsi="Times New Roman" w:eastAsia="仿宋_GB2312" w:cs="Times New Roman"/>
      <w:b/>
      <w:kern w:val="2"/>
      <w:sz w:val="32"/>
      <w:szCs w:val="32"/>
    </w:rPr>
  </w:style>
  <w:style w:type="paragraph" w:customStyle="1" w:styleId="492">
    <w:name w:val="样式 标题 3 + (西文) Arial (中文) 楷体_GB2312 加粗 非倾斜 段前: 0 磅 段后: 0.2 ..."/>
    <w:basedOn w:val="8"/>
    <w:uiPriority w:val="0"/>
    <w:pPr>
      <w:tabs>
        <w:tab w:val="left" w:pos="709"/>
      </w:tabs>
      <w:spacing w:before="0" w:after="4" w:line="288" w:lineRule="auto"/>
      <w:ind w:left="709" w:hanging="709"/>
    </w:pPr>
    <w:rPr>
      <w:rFonts w:ascii="Arial" w:hAnsi="Arial" w:eastAsia="楷体_GB2312" w:cs="宋体"/>
      <w:b w:val="0"/>
      <w:kern w:val="24"/>
      <w:sz w:val="24"/>
      <w:szCs w:val="24"/>
      <w:lang w:eastAsia="zh-TW"/>
    </w:rPr>
  </w:style>
  <w:style w:type="paragraph" w:customStyle="1" w:styleId="493">
    <w:name w:val="列项——（一级）"/>
    <w:uiPriority w:val="0"/>
    <w:pPr>
      <w:widowControl w:val="0"/>
      <w:tabs>
        <w:tab w:val="left" w:pos="854"/>
        <w:tab w:val="left" w:pos="1260"/>
      </w:tabs>
      <w:ind w:left="1260" w:hanging="420"/>
      <w:jc w:val="both"/>
    </w:pPr>
    <w:rPr>
      <w:rFonts w:ascii="宋体"/>
      <w:sz w:val="21"/>
      <w:lang w:val="en-US" w:eastAsia="zh-CN" w:bidi="ar-SA"/>
    </w:rPr>
  </w:style>
  <w:style w:type="paragraph" w:customStyle="1" w:styleId="494">
    <w:name w:val="表格正文"/>
    <w:basedOn w:val="1"/>
    <w:uiPriority w:val="0"/>
    <w:pPr>
      <w:widowControl w:val="0"/>
      <w:adjustRightInd w:val="0"/>
      <w:snapToGrid w:val="0"/>
      <w:spacing w:before="60" w:after="60"/>
      <w:jc w:val="center"/>
      <w:textAlignment w:val="baseline"/>
    </w:pPr>
    <w:rPr>
      <w:rFonts w:ascii="Times New Roman" w:hAnsi="Times New Roman" w:cs="Times New Roman"/>
      <w:szCs w:val="20"/>
    </w:rPr>
  </w:style>
  <w:style w:type="paragraph" w:customStyle="1" w:styleId="495">
    <w:name w:val="xl1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0"/>
      <w:szCs w:val="20"/>
    </w:rPr>
  </w:style>
  <w:style w:type="paragraph" w:customStyle="1" w:styleId="496">
    <w:name w:val="此正文"/>
    <w:basedOn w:val="1"/>
    <w:uiPriority w:val="0"/>
    <w:pPr>
      <w:spacing w:line="360" w:lineRule="auto"/>
      <w:ind w:firstLine="200" w:firstLineChars="200"/>
    </w:pPr>
  </w:style>
  <w:style w:type="paragraph" w:customStyle="1" w:styleId="497">
    <w:name w:val="Char Char Char Char Char Char Char Char Char Char Char Char Char"/>
    <w:basedOn w:val="1"/>
    <w:uiPriority w:val="0"/>
    <w:pPr>
      <w:widowControl w:val="0"/>
      <w:jc w:val="both"/>
    </w:pPr>
    <w:rPr>
      <w:rFonts w:ascii="Tahoma" w:hAnsi="Tahoma" w:cs="Times New Roman"/>
      <w:kern w:val="2"/>
      <w:szCs w:val="20"/>
    </w:rPr>
  </w:style>
  <w:style w:type="paragraph" w:customStyle="1" w:styleId="498">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499">
    <w:name w:val="14"/>
    <w:basedOn w:val="1"/>
    <w:uiPriority w:val="0"/>
    <w:pPr>
      <w:widowControl w:val="0"/>
      <w:snapToGrid w:val="0"/>
      <w:spacing w:before="93" w:beforeLines="30" w:line="288" w:lineRule="auto"/>
      <w:ind w:left="852" w:leftChars="355" w:firstLine="420" w:firstLineChars="175"/>
      <w:jc w:val="both"/>
    </w:pPr>
    <w:rPr>
      <w:rFonts w:ascii="新宋体" w:hAnsi="新宋体" w:cs="Times New Roman"/>
      <w:kern w:val="2"/>
      <w:szCs w:val="20"/>
    </w:rPr>
  </w:style>
  <w:style w:type="paragraph" w:customStyle="1" w:styleId="500">
    <w:name w:val="Char Char Char Char Char Char Char Char Char Char Char Char Char Char Char Char Char Char Char"/>
    <w:basedOn w:val="1"/>
    <w:uiPriority w:val="0"/>
    <w:pPr>
      <w:widowControl w:val="0"/>
      <w:jc w:val="both"/>
    </w:pPr>
    <w:rPr>
      <w:rFonts w:ascii="仿宋_GB2312" w:hAnsi="Times New Roman" w:eastAsia="仿宋_GB2312" w:cs="Times New Roman"/>
      <w:b/>
      <w:kern w:val="2"/>
      <w:sz w:val="32"/>
      <w:szCs w:val="32"/>
    </w:rPr>
  </w:style>
  <w:style w:type="paragraph" w:customStyle="1" w:styleId="501">
    <w:name w:val="xl65"/>
    <w:basedOn w:val="1"/>
    <w:uiPriority w:val="0"/>
    <w:pPr>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b/>
      <w:bCs/>
      <w:color w:val="000000"/>
    </w:rPr>
  </w:style>
  <w:style w:type="paragraph" w:customStyle="1" w:styleId="502">
    <w:name w:val="xl125"/>
    <w:basedOn w:val="1"/>
    <w:uiPriority w:val="0"/>
    <w:pPr>
      <w:spacing w:before="100" w:beforeAutospacing="1" w:after="100" w:afterAutospacing="1"/>
      <w:jc w:val="center"/>
    </w:pPr>
    <w:rPr>
      <w:b/>
      <w:bCs/>
      <w:sz w:val="20"/>
      <w:szCs w:val="20"/>
    </w:rPr>
  </w:style>
  <w:style w:type="paragraph" w:customStyle="1" w:styleId="503">
    <w:name w:val="_Style 131"/>
    <w:next w:val="1"/>
    <w:uiPriority w:val="99"/>
    <w:pPr>
      <w:widowControl w:val="0"/>
      <w:jc w:val="both"/>
    </w:pPr>
    <w:rPr>
      <w:kern w:val="2"/>
      <w:sz w:val="21"/>
      <w:szCs w:val="24"/>
      <w:lang w:val="en-US" w:eastAsia="zh-CN" w:bidi="ar-SA"/>
    </w:rPr>
  </w:style>
  <w:style w:type="paragraph" w:customStyle="1" w:styleId="504">
    <w:name w:val="表样式"/>
    <w:basedOn w:val="1"/>
    <w:uiPriority w:val="0"/>
    <w:pPr>
      <w:spacing w:line="360" w:lineRule="auto"/>
      <w:jc w:val="both"/>
    </w:pPr>
    <w:rPr>
      <w:rFonts w:ascii="Calibri" w:hAnsi="Calibri" w:eastAsia="仿宋_GB2312" w:cs="Times New Roman"/>
      <w:kern w:val="2"/>
      <w:sz w:val="28"/>
    </w:rPr>
  </w:style>
  <w:style w:type="paragraph" w:customStyle="1" w:styleId="505">
    <w:name w:val="前言、引言标题"/>
    <w:next w:val="1"/>
    <w:uiPriority w:val="0"/>
    <w:pPr>
      <w:shd w:val="clear" w:color="FFFFFF" w:fill="FFFFFF"/>
      <w:spacing w:before="640" w:after="560"/>
      <w:ind w:left="360" w:hanging="360"/>
      <w:jc w:val="center"/>
      <w:outlineLvl w:val="0"/>
    </w:pPr>
    <w:rPr>
      <w:rFonts w:ascii="黑体" w:eastAsia="黑体"/>
      <w:sz w:val="32"/>
      <w:lang w:val="en-US" w:eastAsia="zh-CN" w:bidi="ar-SA"/>
    </w:rPr>
  </w:style>
  <w:style w:type="paragraph" w:customStyle="1" w:styleId="506">
    <w:name w:val="技术报告正文"/>
    <w:basedOn w:val="1"/>
    <w:uiPriority w:val="0"/>
    <w:pPr>
      <w:widowControl w:val="0"/>
      <w:autoSpaceDE w:val="0"/>
      <w:autoSpaceDN w:val="0"/>
      <w:adjustRightInd w:val="0"/>
      <w:spacing w:before="156" w:beforeLines="50" w:line="440" w:lineRule="exact"/>
      <w:ind w:firstLine="538" w:firstLineChars="192"/>
    </w:pPr>
    <w:rPr>
      <w:rFonts w:ascii="Times New Roman" w:hAnsi="Times New Roman" w:cs="Arial"/>
      <w:bCs/>
      <w:sz w:val="28"/>
      <w:szCs w:val="20"/>
    </w:rPr>
  </w:style>
  <w:style w:type="paragraph" w:customStyle="1" w:styleId="507">
    <w:name w:val="正文 New New New"/>
    <w:uiPriority w:val="0"/>
    <w:pPr>
      <w:jc w:val="both"/>
    </w:pPr>
    <w:rPr>
      <w:kern w:val="2"/>
      <w:sz w:val="21"/>
      <w:lang w:val="en-US" w:eastAsia="zh-CN" w:bidi="ar-SA"/>
    </w:rPr>
  </w:style>
  <w:style w:type="paragraph" w:customStyle="1" w:styleId="508">
    <w:name w:val=" Char Char Char Char"/>
    <w:basedOn w:val="1"/>
    <w:uiPriority w:val="0"/>
    <w:rPr>
      <w:rFonts w:ascii="Tahoma" w:hAnsi="Tahoma"/>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theme/theme1.xml" Type="http://schemas.openxmlformats.org/officeDocument/2006/relationships/theme"/><Relationship Id="rId15" Target="media/image1.png" Type="http://schemas.openxmlformats.org/officeDocument/2006/relationships/imag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7959</Words>
  <Characters>45367</Characters>
  <Lines>378</Lines>
  <Paragraphs>106</Paragraphs>
  <TotalTime>0</TotalTime>
  <ScaleCrop>false</ScaleCrop>
  <LinksUpToDate>false</LinksUpToDate>
  <CharactersWithSpaces>53220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2019-05-16T05:37:00Z</dcterms:created>
  <dc:creator>微软用户</dc:creator>
  <cp:lastModifiedBy>WPS_1701756769</cp:lastModifiedBy>
  <dcterms:modified xsi:type="dcterms:W3CDTF">2024-02-26T02:49:33Z</dcterms:modified>
  <cp:revision>22</cp:revision>
  <dc:title>平  阳  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CADFFDC0CD1348A0B4788DA54D768CB2_13</vt:lpwstr>
  </property>
</Properties>
</file>