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3"/>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6" w:hRule="atLeast"/>
        </w:trPr>
        <w:tc>
          <w:tcPr>
            <w:tcW w:w="9030" w:type="dxa"/>
          </w:tcPr>
          <w:p>
            <w:pPr>
              <w:pStyle w:val="83"/>
              <w:rPr>
                <w:color w:val="auto"/>
                <w:highlight w:val="none"/>
              </w:rPr>
            </w:pPr>
          </w:p>
          <w:p>
            <w:pPr>
              <w:autoSpaceDE w:val="0"/>
              <w:autoSpaceDN w:val="0"/>
              <w:adjustRightInd w:val="0"/>
              <w:snapToGrid w:val="0"/>
              <w:spacing w:line="500" w:lineRule="atLeast"/>
              <w:jc w:val="center"/>
              <w:rPr>
                <w:rFonts w:cs="新宋体" w:asciiTheme="majorEastAsia" w:hAnsiTheme="majorEastAsia" w:eastAsiaTheme="majorEastAsia"/>
                <w:color w:val="auto"/>
                <w:sz w:val="32"/>
                <w:szCs w:val="32"/>
                <w:highlight w:val="none"/>
                <w:lang w:val="zh-CN"/>
              </w:rPr>
            </w:pPr>
          </w:p>
          <w:p>
            <w:pPr>
              <w:spacing w:line="480" w:lineRule="auto"/>
              <w:jc w:val="center"/>
              <w:rPr>
                <w:rFonts w:asciiTheme="majorEastAsia" w:hAnsiTheme="majorEastAsia" w:eastAsiaTheme="majorEastAsia"/>
                <w:color w:val="auto"/>
                <w:sz w:val="84"/>
                <w:szCs w:val="84"/>
                <w:highlight w:val="none"/>
              </w:rPr>
            </w:pPr>
            <w:r>
              <w:rPr>
                <w:rFonts w:hint="eastAsia" w:asciiTheme="majorEastAsia" w:hAnsiTheme="majorEastAsia" w:eastAsiaTheme="majorEastAsia"/>
                <w:color w:val="auto"/>
                <w:sz w:val="84"/>
                <w:szCs w:val="84"/>
                <w:highlight w:val="none"/>
              </w:rPr>
              <w:t>永 嘉 县 政 府 采 购</w:t>
            </w:r>
          </w:p>
          <w:p>
            <w:pPr>
              <w:spacing w:line="480" w:lineRule="auto"/>
              <w:jc w:val="center"/>
              <w:rPr>
                <w:rFonts w:asciiTheme="majorEastAsia" w:hAnsiTheme="majorEastAsia" w:eastAsiaTheme="majorEastAsia"/>
                <w:color w:val="auto"/>
                <w:sz w:val="84"/>
                <w:szCs w:val="84"/>
                <w:highlight w:val="none"/>
              </w:rPr>
            </w:pPr>
            <w:r>
              <w:rPr>
                <w:rFonts w:hint="eastAsia" w:asciiTheme="majorEastAsia" w:hAnsiTheme="majorEastAsia" w:eastAsiaTheme="majorEastAsia"/>
                <w:color w:val="auto"/>
                <w:sz w:val="84"/>
                <w:szCs w:val="84"/>
                <w:highlight w:val="none"/>
              </w:rPr>
              <w:t>招 标 文 件</w:t>
            </w:r>
          </w:p>
          <w:p>
            <w:pPr>
              <w:spacing w:line="460" w:lineRule="atLeast"/>
              <w:ind w:left="2846" w:leftChars="710" w:hanging="1355" w:hangingChars="450"/>
              <w:rPr>
                <w:rFonts w:cs="新宋体" w:asciiTheme="majorEastAsia" w:hAnsiTheme="majorEastAsia" w:eastAsiaTheme="majorEastAsia"/>
                <w:b/>
                <w:color w:val="auto"/>
                <w:sz w:val="30"/>
                <w:szCs w:val="30"/>
                <w:highlight w:val="none"/>
              </w:rPr>
            </w:pPr>
          </w:p>
          <w:p>
            <w:pPr>
              <w:pStyle w:val="2"/>
              <w:ind w:firstLine="210"/>
              <w:rPr>
                <w:rFonts w:asciiTheme="majorEastAsia" w:hAnsiTheme="majorEastAsia" w:eastAsiaTheme="majorEastAsia"/>
                <w:color w:val="auto"/>
                <w:highlight w:val="none"/>
              </w:rPr>
            </w:pPr>
          </w:p>
          <w:p>
            <w:pPr>
              <w:pStyle w:val="2"/>
              <w:ind w:firstLine="210"/>
              <w:rPr>
                <w:rFonts w:asciiTheme="majorEastAsia" w:hAnsiTheme="majorEastAsia" w:eastAsiaTheme="majorEastAsia"/>
                <w:color w:val="auto"/>
                <w:highlight w:val="none"/>
              </w:rPr>
            </w:pPr>
          </w:p>
          <w:p>
            <w:pPr>
              <w:pStyle w:val="2"/>
              <w:ind w:firstLine="210"/>
              <w:rPr>
                <w:rFonts w:asciiTheme="majorEastAsia" w:hAnsiTheme="majorEastAsia" w:eastAsiaTheme="majorEastAsia"/>
                <w:color w:val="auto"/>
                <w:highlight w:val="none"/>
              </w:rPr>
            </w:pPr>
          </w:p>
          <w:p>
            <w:pPr>
              <w:spacing w:line="460" w:lineRule="atLeast"/>
              <w:ind w:left="3565" w:leftChars="726" w:hanging="2040" w:hangingChars="680"/>
              <w:rPr>
                <w:rFonts w:hint="eastAsia" w:cs="新宋体" w:asciiTheme="majorEastAsia" w:hAnsiTheme="majorEastAsia" w:eastAsiaTheme="majorEastAsia"/>
                <w:color w:val="auto"/>
                <w:sz w:val="30"/>
                <w:szCs w:val="30"/>
                <w:highlight w:val="none"/>
                <w:lang w:eastAsia="zh-CN"/>
              </w:rPr>
            </w:pPr>
            <w:r>
              <w:rPr>
                <w:rFonts w:hint="eastAsia" w:cs="新宋体" w:asciiTheme="majorEastAsia" w:hAnsiTheme="majorEastAsia" w:eastAsiaTheme="majorEastAsia"/>
                <w:color w:val="auto"/>
                <w:sz w:val="30"/>
                <w:szCs w:val="30"/>
                <w:highlight w:val="none"/>
              </w:rPr>
              <w:t>项目编号：</w:t>
            </w:r>
            <w:r>
              <w:rPr>
                <w:rFonts w:hint="eastAsia" w:asciiTheme="majorEastAsia" w:hAnsiTheme="majorEastAsia" w:eastAsiaTheme="majorEastAsia"/>
                <w:color w:val="auto"/>
                <w:sz w:val="30"/>
                <w:szCs w:val="30"/>
                <w:highlight w:val="none"/>
                <w:lang w:eastAsia="zh-CN"/>
              </w:rPr>
              <w:t>ZGCG-20240530</w:t>
            </w:r>
          </w:p>
          <w:p>
            <w:pPr>
              <w:spacing w:line="460" w:lineRule="atLeast"/>
              <w:ind w:left="3565" w:leftChars="726" w:hanging="2040" w:hangingChars="680"/>
              <w:rPr>
                <w:rFonts w:cs="新宋体" w:asciiTheme="majorEastAsia" w:hAnsiTheme="majorEastAsia" w:eastAsiaTheme="majorEastAsia"/>
                <w:color w:val="auto"/>
                <w:sz w:val="30"/>
                <w:szCs w:val="30"/>
                <w:highlight w:val="none"/>
              </w:rPr>
            </w:pPr>
            <w:r>
              <w:rPr>
                <w:rFonts w:hint="eastAsia" w:cs="新宋体" w:asciiTheme="majorEastAsia" w:hAnsiTheme="majorEastAsia" w:eastAsiaTheme="majorEastAsia"/>
                <w:color w:val="auto"/>
                <w:sz w:val="30"/>
                <w:szCs w:val="30"/>
                <w:highlight w:val="none"/>
              </w:rPr>
              <w:t>项目名称：中共永嘉县委组织部人才疗休养服务</w:t>
            </w:r>
          </w:p>
          <w:p>
            <w:pPr>
              <w:spacing w:line="500" w:lineRule="atLeast"/>
              <w:ind w:left="3565" w:leftChars="726" w:hanging="2040" w:hangingChars="680"/>
              <w:rPr>
                <w:rFonts w:cs="新宋体" w:asciiTheme="majorEastAsia" w:hAnsiTheme="majorEastAsia" w:eastAsiaTheme="majorEastAsia"/>
                <w:color w:val="auto"/>
                <w:sz w:val="30"/>
                <w:szCs w:val="30"/>
                <w:highlight w:val="none"/>
              </w:rPr>
            </w:pPr>
            <w:r>
              <w:rPr>
                <w:rFonts w:hint="eastAsia" w:cs="新宋体" w:asciiTheme="majorEastAsia" w:hAnsiTheme="majorEastAsia" w:eastAsiaTheme="majorEastAsia"/>
                <w:color w:val="auto"/>
                <w:sz w:val="30"/>
                <w:szCs w:val="30"/>
                <w:highlight w:val="none"/>
              </w:rPr>
              <w:t>采购方式：公开招标</w:t>
            </w:r>
          </w:p>
          <w:p>
            <w:pPr>
              <w:pStyle w:val="2"/>
              <w:ind w:firstLine="210"/>
              <w:rPr>
                <w:rFonts w:asciiTheme="majorEastAsia" w:hAnsiTheme="majorEastAsia" w:eastAsiaTheme="majorEastAsia"/>
                <w:color w:val="auto"/>
                <w:highlight w:val="none"/>
              </w:rPr>
            </w:pPr>
          </w:p>
          <w:p>
            <w:pPr>
              <w:pStyle w:val="2"/>
              <w:ind w:firstLine="210"/>
              <w:rPr>
                <w:rFonts w:asciiTheme="majorEastAsia" w:hAnsiTheme="majorEastAsia" w:eastAsiaTheme="majorEastAsia"/>
                <w:color w:val="auto"/>
                <w:highlight w:val="none"/>
              </w:rPr>
            </w:pPr>
          </w:p>
          <w:p>
            <w:pPr>
              <w:pStyle w:val="2"/>
              <w:ind w:firstLine="210"/>
              <w:rPr>
                <w:rFonts w:asciiTheme="majorEastAsia" w:hAnsiTheme="majorEastAsia" w:eastAsiaTheme="majorEastAsia"/>
                <w:color w:val="auto"/>
                <w:highlight w:val="none"/>
              </w:rPr>
            </w:pPr>
          </w:p>
          <w:p>
            <w:pPr>
              <w:pStyle w:val="2"/>
              <w:ind w:firstLine="210"/>
              <w:rPr>
                <w:rFonts w:asciiTheme="majorEastAsia" w:hAnsiTheme="majorEastAsia" w:eastAsiaTheme="majorEastAsia"/>
                <w:color w:val="auto"/>
                <w:highlight w:val="none"/>
              </w:rPr>
            </w:pPr>
          </w:p>
          <w:p>
            <w:pPr>
              <w:pStyle w:val="2"/>
              <w:ind w:firstLine="210"/>
              <w:rPr>
                <w:rFonts w:asciiTheme="majorEastAsia" w:hAnsiTheme="majorEastAsia" w:eastAsiaTheme="majorEastAsia"/>
                <w:color w:val="auto"/>
                <w:highlight w:val="none"/>
              </w:rPr>
            </w:pPr>
          </w:p>
          <w:p>
            <w:pPr>
              <w:pStyle w:val="2"/>
              <w:ind w:firstLine="210"/>
              <w:rPr>
                <w:rFonts w:asciiTheme="majorEastAsia" w:hAnsiTheme="majorEastAsia" w:eastAsiaTheme="majorEastAsia"/>
                <w:color w:val="auto"/>
                <w:highlight w:val="none"/>
              </w:rPr>
            </w:pPr>
          </w:p>
          <w:p>
            <w:pPr>
              <w:pStyle w:val="2"/>
              <w:ind w:firstLine="210"/>
              <w:rPr>
                <w:rFonts w:asciiTheme="majorEastAsia" w:hAnsiTheme="majorEastAsia" w:eastAsiaTheme="majorEastAsia"/>
                <w:color w:val="auto"/>
                <w:highlight w:val="none"/>
              </w:rPr>
            </w:pPr>
          </w:p>
          <w:p>
            <w:pPr>
              <w:spacing w:line="460" w:lineRule="atLeast"/>
              <w:ind w:left="2841" w:leftChars="710" w:hanging="1350" w:hangingChars="450"/>
              <w:rPr>
                <w:rFonts w:hint="eastAsia" w:cs="新宋体" w:asciiTheme="majorEastAsia" w:hAnsiTheme="majorEastAsia" w:eastAsiaTheme="majorEastAsia"/>
                <w:color w:val="auto"/>
                <w:sz w:val="30"/>
                <w:szCs w:val="30"/>
                <w:highlight w:val="none"/>
                <w:lang w:eastAsia="zh-CN"/>
              </w:rPr>
            </w:pPr>
            <w:r>
              <w:rPr>
                <w:rFonts w:hint="eastAsia" w:cs="新宋体" w:asciiTheme="majorEastAsia" w:hAnsiTheme="majorEastAsia" w:eastAsiaTheme="majorEastAsia"/>
                <w:color w:val="auto"/>
                <w:sz w:val="30"/>
                <w:szCs w:val="30"/>
                <w:highlight w:val="none"/>
              </w:rPr>
              <w:t>采 购 人：</w:t>
            </w:r>
            <w:r>
              <w:rPr>
                <w:rFonts w:hint="eastAsia" w:cs="新宋体" w:asciiTheme="majorEastAsia" w:hAnsiTheme="majorEastAsia" w:eastAsiaTheme="majorEastAsia"/>
                <w:color w:val="auto"/>
                <w:sz w:val="30"/>
                <w:szCs w:val="30"/>
                <w:highlight w:val="none"/>
                <w:lang w:eastAsia="zh-CN"/>
              </w:rPr>
              <w:t>中共永嘉县委组织部</w:t>
            </w:r>
          </w:p>
          <w:p>
            <w:pPr>
              <w:spacing w:line="460" w:lineRule="atLeast"/>
              <w:ind w:left="2841" w:leftChars="710" w:hanging="1350" w:hangingChars="450"/>
              <w:rPr>
                <w:rFonts w:cs="新宋体" w:asciiTheme="majorEastAsia" w:hAnsiTheme="majorEastAsia" w:eastAsiaTheme="majorEastAsia"/>
                <w:color w:val="auto"/>
                <w:sz w:val="30"/>
                <w:szCs w:val="30"/>
                <w:highlight w:val="none"/>
              </w:rPr>
            </w:pPr>
            <w:r>
              <w:rPr>
                <w:rFonts w:hint="eastAsia" w:cs="新宋体" w:asciiTheme="majorEastAsia" w:hAnsiTheme="majorEastAsia" w:eastAsiaTheme="majorEastAsia"/>
                <w:color w:val="auto"/>
                <w:sz w:val="30"/>
                <w:szCs w:val="30"/>
                <w:highlight w:val="none"/>
              </w:rPr>
              <w:t>代理机构：温州市中概工程管理咨询有限公司</w:t>
            </w:r>
          </w:p>
          <w:p>
            <w:pPr>
              <w:spacing w:line="500" w:lineRule="atLeast"/>
              <w:ind w:left="3565" w:leftChars="726" w:hanging="2040" w:hangingChars="680"/>
              <w:rPr>
                <w:rFonts w:cs="新宋体" w:asciiTheme="majorEastAsia" w:hAnsiTheme="majorEastAsia" w:eastAsiaTheme="majorEastAsia"/>
                <w:color w:val="auto"/>
                <w:sz w:val="30"/>
                <w:szCs w:val="30"/>
                <w:highlight w:val="none"/>
              </w:rPr>
            </w:pPr>
          </w:p>
          <w:p>
            <w:pPr>
              <w:autoSpaceDE w:val="0"/>
              <w:autoSpaceDN w:val="0"/>
              <w:adjustRightInd w:val="0"/>
              <w:snapToGrid w:val="0"/>
              <w:spacing w:line="500" w:lineRule="atLeast"/>
              <w:jc w:val="center"/>
              <w:rPr>
                <w:rFonts w:cs="新宋体" w:asciiTheme="majorEastAsia" w:hAnsiTheme="majorEastAsia" w:eastAsiaTheme="majorEastAsia"/>
                <w:color w:val="auto"/>
                <w:sz w:val="32"/>
                <w:szCs w:val="32"/>
                <w:highlight w:val="none"/>
              </w:rPr>
            </w:pPr>
            <w:r>
              <w:rPr>
                <w:rFonts w:hint="eastAsia" w:cs="新宋体" w:asciiTheme="majorEastAsia" w:hAnsiTheme="majorEastAsia" w:eastAsiaTheme="majorEastAsia"/>
                <w:color w:val="auto"/>
                <w:sz w:val="30"/>
                <w:szCs w:val="30"/>
                <w:highlight w:val="none"/>
              </w:rPr>
              <w:t>二○二</w:t>
            </w:r>
            <w:r>
              <w:rPr>
                <w:rFonts w:hint="eastAsia" w:cs="新宋体" w:asciiTheme="majorEastAsia" w:hAnsiTheme="majorEastAsia" w:eastAsiaTheme="majorEastAsia"/>
                <w:color w:val="auto"/>
                <w:sz w:val="30"/>
                <w:szCs w:val="30"/>
                <w:highlight w:val="none"/>
                <w:lang w:val="en-US" w:eastAsia="zh-CN"/>
              </w:rPr>
              <w:t>四</w:t>
            </w:r>
            <w:r>
              <w:rPr>
                <w:rFonts w:hint="eastAsia" w:cs="新宋体" w:asciiTheme="majorEastAsia" w:hAnsiTheme="majorEastAsia" w:eastAsiaTheme="majorEastAsia"/>
                <w:color w:val="auto"/>
                <w:sz w:val="30"/>
                <w:szCs w:val="30"/>
                <w:highlight w:val="none"/>
              </w:rPr>
              <w:t>年</w:t>
            </w:r>
            <w:r>
              <w:rPr>
                <w:rFonts w:hint="eastAsia" w:cs="新宋体" w:asciiTheme="majorEastAsia" w:hAnsiTheme="majorEastAsia" w:eastAsiaTheme="majorEastAsia"/>
                <w:color w:val="auto"/>
                <w:sz w:val="30"/>
                <w:szCs w:val="30"/>
                <w:highlight w:val="none"/>
                <w:lang w:val="en-US" w:eastAsia="zh-CN"/>
              </w:rPr>
              <w:t>六</w:t>
            </w:r>
            <w:r>
              <w:rPr>
                <w:rFonts w:hint="eastAsia" w:cs="新宋体" w:asciiTheme="majorEastAsia" w:hAnsiTheme="majorEastAsia" w:eastAsiaTheme="majorEastAsia"/>
                <w:color w:val="auto"/>
                <w:sz w:val="30"/>
                <w:szCs w:val="30"/>
                <w:highlight w:val="none"/>
              </w:rPr>
              <w:t>月</w:t>
            </w:r>
          </w:p>
        </w:tc>
      </w:tr>
    </w:tbl>
    <w:p>
      <w:pPr>
        <w:spacing w:line="500" w:lineRule="atLeast"/>
        <w:rPr>
          <w:rFonts w:cs="新宋体" w:asciiTheme="majorEastAsia" w:hAnsiTheme="majorEastAsia" w:eastAsiaTheme="majorEastAsia"/>
          <w:color w:val="auto"/>
          <w:sz w:val="24"/>
          <w:highlight w:val="none"/>
        </w:rPr>
        <w:sectPr>
          <w:headerReference r:id="rId4" w:type="first"/>
          <w:footerReference r:id="rId7" w:type="first"/>
          <w:headerReference r:id="rId3" w:type="default"/>
          <w:footerReference r:id="rId5" w:type="default"/>
          <w:footerReference r:id="rId6" w:type="even"/>
          <w:pgSz w:w="11906" w:h="16838"/>
          <w:pgMar w:top="1134" w:right="1134" w:bottom="1134" w:left="1134" w:header="851" w:footer="850" w:gutter="0"/>
          <w:pgNumType w:start="1"/>
          <w:cols w:space="720" w:num="1"/>
          <w:titlePg/>
          <w:docGrid w:type="lines" w:linePitch="312" w:charSpace="0"/>
        </w:sectPr>
      </w:pPr>
    </w:p>
    <w:p>
      <w:pPr>
        <w:widowControl/>
        <w:spacing w:line="500" w:lineRule="atLeast"/>
        <w:jc w:val="center"/>
        <w:rPr>
          <w:rFonts w:cs="新宋体" w:asciiTheme="majorEastAsia" w:hAnsiTheme="majorEastAsia" w:eastAsiaTheme="majorEastAsia"/>
          <w:b/>
          <w:color w:val="auto"/>
          <w:sz w:val="32"/>
          <w:szCs w:val="32"/>
          <w:highlight w:val="none"/>
        </w:rPr>
      </w:pPr>
      <w:bookmarkStart w:id="0" w:name="_Toc496116237"/>
      <w:bookmarkStart w:id="1" w:name="_Toc293038713"/>
      <w:r>
        <w:rPr>
          <w:rFonts w:hint="eastAsia" w:cs="新宋体" w:asciiTheme="majorEastAsia" w:hAnsiTheme="majorEastAsia" w:eastAsiaTheme="majorEastAsia"/>
          <w:b/>
          <w:color w:val="auto"/>
          <w:sz w:val="32"/>
          <w:szCs w:val="32"/>
          <w:highlight w:val="none"/>
        </w:rPr>
        <w:t>招标文件目录</w:t>
      </w:r>
    </w:p>
    <w:p>
      <w:pPr>
        <w:pStyle w:val="30"/>
        <w:tabs>
          <w:tab w:val="right" w:leader="dot" w:pos="9638"/>
          <w:tab w:val="clear" w:pos="8777"/>
        </w:tabs>
        <w:spacing w:line="480" w:lineRule="auto"/>
        <w:rPr>
          <w:color w:val="auto"/>
          <w:highlight w:val="none"/>
        </w:rPr>
      </w:pPr>
      <w:r>
        <w:rPr>
          <w:rFonts w:hint="eastAsia" w:cs="新宋体" w:asciiTheme="majorEastAsia" w:hAnsiTheme="majorEastAsia" w:eastAsiaTheme="majorEastAsia"/>
          <w:color w:val="auto"/>
          <w:highlight w:val="none"/>
        </w:rPr>
        <w:fldChar w:fldCharType="begin"/>
      </w:r>
      <w:r>
        <w:rPr>
          <w:rFonts w:hint="eastAsia" w:cs="新宋体" w:asciiTheme="majorEastAsia" w:hAnsiTheme="majorEastAsia" w:eastAsiaTheme="majorEastAsia"/>
          <w:color w:val="auto"/>
          <w:highlight w:val="none"/>
        </w:rPr>
        <w:instrText xml:space="preserve"> TOC \o "1-2" \h \z \u </w:instrText>
      </w:r>
      <w:r>
        <w:rPr>
          <w:rFonts w:hint="eastAsia" w:cs="新宋体" w:asciiTheme="majorEastAsia" w:hAnsiTheme="majorEastAsia" w:eastAsiaTheme="majorEastAsia"/>
          <w:color w:val="auto"/>
          <w:highlight w:val="none"/>
        </w:rPr>
        <w:fldChar w:fldCharType="separate"/>
      </w:r>
      <w:r>
        <w:rPr>
          <w:color w:val="auto"/>
          <w:highlight w:val="none"/>
        </w:rPr>
        <w:fldChar w:fldCharType="begin"/>
      </w:r>
      <w:r>
        <w:rPr>
          <w:color w:val="auto"/>
          <w:highlight w:val="none"/>
        </w:rPr>
        <w:instrText xml:space="preserve"> HYPERLINK \l "_Toc11853" </w:instrText>
      </w:r>
      <w:r>
        <w:rPr>
          <w:color w:val="auto"/>
          <w:highlight w:val="none"/>
        </w:rPr>
        <w:fldChar w:fldCharType="separate"/>
      </w:r>
      <w:r>
        <w:rPr>
          <w:rFonts w:hint="eastAsia" w:ascii="宋体" w:hAnsi="宋体" w:cs="宋体"/>
          <w:color w:val="auto"/>
          <w:szCs w:val="32"/>
          <w:highlight w:val="none"/>
        </w:rPr>
        <w:t>温州市中概工程管理咨询有限公司关于</w:t>
      </w:r>
      <w:r>
        <w:rPr>
          <w:rFonts w:hint="eastAsia" w:ascii="宋体" w:hAnsi="宋体" w:cs="宋体"/>
          <w:color w:val="auto"/>
          <w:szCs w:val="32"/>
          <w:highlight w:val="none"/>
          <w:lang w:eastAsia="zh-CN"/>
        </w:rPr>
        <w:t>中共永嘉县委组织部人才疗休养服务</w:t>
      </w:r>
      <w:r>
        <w:rPr>
          <w:rFonts w:hint="eastAsia" w:ascii="宋体" w:hAnsi="宋体" w:cs="宋体"/>
          <w:color w:val="auto"/>
          <w:szCs w:val="32"/>
          <w:highlight w:val="none"/>
        </w:rPr>
        <w:t>的公开招标公告</w:t>
      </w:r>
      <w:r>
        <w:rPr>
          <w:color w:val="auto"/>
          <w:highlight w:val="none"/>
        </w:rPr>
        <w:tab/>
      </w:r>
      <w:r>
        <w:rPr>
          <w:color w:val="auto"/>
          <w:highlight w:val="none"/>
        </w:rPr>
        <w:fldChar w:fldCharType="begin"/>
      </w:r>
      <w:r>
        <w:rPr>
          <w:color w:val="auto"/>
          <w:highlight w:val="none"/>
        </w:rPr>
        <w:instrText xml:space="preserve"> PAGEREF _Toc11853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30"/>
        <w:tabs>
          <w:tab w:val="right" w:leader="dot" w:pos="9638"/>
          <w:tab w:val="clear" w:pos="8777"/>
        </w:tabs>
        <w:spacing w:line="480" w:lineRule="auto"/>
        <w:rPr>
          <w:color w:val="auto"/>
          <w:highlight w:val="none"/>
        </w:rPr>
      </w:pPr>
      <w:r>
        <w:rPr>
          <w:color w:val="auto"/>
          <w:highlight w:val="none"/>
        </w:rPr>
        <w:fldChar w:fldCharType="begin"/>
      </w:r>
      <w:r>
        <w:rPr>
          <w:color w:val="auto"/>
          <w:highlight w:val="none"/>
        </w:rPr>
        <w:instrText xml:space="preserve"> HYPERLINK \l "_Toc17480" </w:instrText>
      </w:r>
      <w:r>
        <w:rPr>
          <w:color w:val="auto"/>
          <w:highlight w:val="none"/>
        </w:rPr>
        <w:fldChar w:fldCharType="separate"/>
      </w:r>
      <w:r>
        <w:rPr>
          <w:rFonts w:hint="eastAsia" w:cs="新宋体" w:asciiTheme="majorEastAsia" w:hAnsiTheme="majorEastAsia" w:eastAsiaTheme="majorEastAsia"/>
          <w:color w:val="auto"/>
          <w:szCs w:val="30"/>
          <w:highlight w:val="none"/>
        </w:rPr>
        <w:t>第一部分  投标通知(邀请)书</w:t>
      </w:r>
      <w:r>
        <w:rPr>
          <w:color w:val="auto"/>
          <w:highlight w:val="none"/>
        </w:rPr>
        <w:tab/>
      </w:r>
      <w:r>
        <w:rPr>
          <w:color w:val="auto"/>
          <w:highlight w:val="none"/>
        </w:rPr>
        <w:fldChar w:fldCharType="begin"/>
      </w:r>
      <w:r>
        <w:rPr>
          <w:color w:val="auto"/>
          <w:highlight w:val="none"/>
        </w:rPr>
        <w:instrText xml:space="preserve"> PAGEREF _Toc17480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30"/>
        <w:tabs>
          <w:tab w:val="right" w:leader="dot" w:pos="9638"/>
          <w:tab w:val="clear" w:pos="8777"/>
        </w:tabs>
        <w:spacing w:line="480" w:lineRule="auto"/>
        <w:rPr>
          <w:color w:val="auto"/>
          <w:highlight w:val="none"/>
        </w:rPr>
      </w:pPr>
      <w:r>
        <w:rPr>
          <w:color w:val="auto"/>
          <w:highlight w:val="none"/>
        </w:rPr>
        <w:fldChar w:fldCharType="begin"/>
      </w:r>
      <w:r>
        <w:rPr>
          <w:color w:val="auto"/>
          <w:highlight w:val="none"/>
        </w:rPr>
        <w:instrText xml:space="preserve"> HYPERLINK \l "_Toc13266" </w:instrText>
      </w:r>
      <w:r>
        <w:rPr>
          <w:color w:val="auto"/>
          <w:highlight w:val="none"/>
        </w:rPr>
        <w:fldChar w:fldCharType="separate"/>
      </w:r>
      <w:r>
        <w:rPr>
          <w:rFonts w:hint="eastAsia" w:cs="新宋体" w:asciiTheme="majorEastAsia" w:hAnsiTheme="majorEastAsia" w:eastAsiaTheme="majorEastAsia"/>
          <w:color w:val="auto"/>
          <w:szCs w:val="30"/>
          <w:highlight w:val="none"/>
        </w:rPr>
        <w:t>第二部分 招标内容及要求</w:t>
      </w:r>
      <w:r>
        <w:rPr>
          <w:color w:val="auto"/>
          <w:highlight w:val="none"/>
        </w:rPr>
        <w:tab/>
      </w:r>
      <w:r>
        <w:rPr>
          <w:color w:val="auto"/>
          <w:highlight w:val="none"/>
        </w:rPr>
        <w:fldChar w:fldCharType="begin"/>
      </w:r>
      <w:r>
        <w:rPr>
          <w:color w:val="auto"/>
          <w:highlight w:val="none"/>
        </w:rPr>
        <w:instrText xml:space="preserve"> PAGEREF _Toc13266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30"/>
        <w:tabs>
          <w:tab w:val="right" w:leader="dot" w:pos="9638"/>
          <w:tab w:val="clear" w:pos="8777"/>
        </w:tabs>
        <w:spacing w:line="480" w:lineRule="auto"/>
        <w:rPr>
          <w:color w:val="auto"/>
          <w:highlight w:val="none"/>
        </w:rPr>
      </w:pPr>
      <w:r>
        <w:rPr>
          <w:color w:val="auto"/>
          <w:highlight w:val="none"/>
        </w:rPr>
        <w:fldChar w:fldCharType="begin"/>
      </w:r>
      <w:r>
        <w:rPr>
          <w:color w:val="auto"/>
          <w:highlight w:val="none"/>
        </w:rPr>
        <w:instrText xml:space="preserve"> HYPERLINK \l "_Toc15919" </w:instrText>
      </w:r>
      <w:r>
        <w:rPr>
          <w:color w:val="auto"/>
          <w:highlight w:val="none"/>
        </w:rPr>
        <w:fldChar w:fldCharType="separate"/>
      </w:r>
      <w:r>
        <w:rPr>
          <w:rFonts w:hint="eastAsia" w:cs="新宋体" w:asciiTheme="majorEastAsia" w:hAnsiTheme="majorEastAsia" w:eastAsiaTheme="majorEastAsia"/>
          <w:color w:val="auto"/>
          <w:szCs w:val="30"/>
          <w:highlight w:val="none"/>
        </w:rPr>
        <w:t>第三部分 供应商须知</w:t>
      </w:r>
      <w:r>
        <w:rPr>
          <w:color w:val="auto"/>
          <w:highlight w:val="none"/>
        </w:rPr>
        <w:tab/>
      </w:r>
      <w:r>
        <w:rPr>
          <w:color w:val="auto"/>
          <w:highlight w:val="none"/>
        </w:rPr>
        <w:fldChar w:fldCharType="begin"/>
      </w:r>
      <w:r>
        <w:rPr>
          <w:color w:val="auto"/>
          <w:highlight w:val="none"/>
        </w:rPr>
        <w:instrText xml:space="preserve"> PAGEREF _Toc15919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36"/>
        <w:tabs>
          <w:tab w:val="right" w:leader="dot" w:pos="9638"/>
          <w:tab w:val="clear" w:pos="8777"/>
        </w:tabs>
        <w:spacing w:line="480" w:lineRule="auto"/>
        <w:ind w:firstLine="105"/>
        <w:rPr>
          <w:color w:val="auto"/>
          <w:highlight w:val="none"/>
        </w:rPr>
      </w:pPr>
      <w:r>
        <w:rPr>
          <w:color w:val="auto"/>
          <w:highlight w:val="none"/>
        </w:rPr>
        <w:fldChar w:fldCharType="begin"/>
      </w:r>
      <w:r>
        <w:rPr>
          <w:color w:val="auto"/>
          <w:highlight w:val="none"/>
        </w:rPr>
        <w:instrText xml:space="preserve"> HYPERLINK \l "_Toc3034" </w:instrText>
      </w:r>
      <w:r>
        <w:rPr>
          <w:color w:val="auto"/>
          <w:highlight w:val="none"/>
        </w:rPr>
        <w:fldChar w:fldCharType="separate"/>
      </w:r>
      <w:r>
        <w:rPr>
          <w:rFonts w:hint="eastAsia" w:cs="Arial" w:asciiTheme="majorEastAsia" w:hAnsiTheme="majorEastAsia" w:eastAsiaTheme="majorEastAsia"/>
          <w:bCs/>
          <w:color w:val="auto"/>
          <w:szCs w:val="22"/>
          <w:highlight w:val="none"/>
        </w:rPr>
        <w:t>一、说明</w:t>
      </w:r>
      <w:r>
        <w:rPr>
          <w:color w:val="auto"/>
          <w:highlight w:val="none"/>
        </w:rPr>
        <w:tab/>
      </w:r>
      <w:r>
        <w:rPr>
          <w:color w:val="auto"/>
          <w:highlight w:val="none"/>
        </w:rPr>
        <w:fldChar w:fldCharType="begin"/>
      </w:r>
      <w:r>
        <w:rPr>
          <w:color w:val="auto"/>
          <w:highlight w:val="none"/>
        </w:rPr>
        <w:instrText xml:space="preserve"> PAGEREF _Toc3034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36"/>
        <w:tabs>
          <w:tab w:val="right" w:leader="dot" w:pos="9638"/>
          <w:tab w:val="clear" w:pos="8777"/>
        </w:tabs>
        <w:spacing w:line="480" w:lineRule="auto"/>
        <w:ind w:firstLine="105"/>
        <w:rPr>
          <w:color w:val="auto"/>
          <w:highlight w:val="none"/>
        </w:rPr>
      </w:pPr>
      <w:r>
        <w:rPr>
          <w:color w:val="auto"/>
          <w:highlight w:val="none"/>
        </w:rPr>
        <w:fldChar w:fldCharType="begin"/>
      </w:r>
      <w:r>
        <w:rPr>
          <w:color w:val="auto"/>
          <w:highlight w:val="none"/>
        </w:rPr>
        <w:instrText xml:space="preserve"> HYPERLINK \l "_Toc13701" </w:instrText>
      </w:r>
      <w:r>
        <w:rPr>
          <w:color w:val="auto"/>
          <w:highlight w:val="none"/>
        </w:rPr>
        <w:fldChar w:fldCharType="separate"/>
      </w:r>
      <w:r>
        <w:rPr>
          <w:rFonts w:hint="eastAsia" w:cs="Arial" w:asciiTheme="majorEastAsia" w:hAnsiTheme="majorEastAsia" w:eastAsiaTheme="majorEastAsia"/>
          <w:bCs/>
          <w:color w:val="auto"/>
          <w:szCs w:val="22"/>
          <w:highlight w:val="none"/>
        </w:rPr>
        <w:t>二、供应商资格条件</w:t>
      </w:r>
      <w:r>
        <w:rPr>
          <w:color w:val="auto"/>
          <w:highlight w:val="none"/>
        </w:rPr>
        <w:tab/>
      </w:r>
      <w:r>
        <w:rPr>
          <w:color w:val="auto"/>
          <w:highlight w:val="none"/>
        </w:rPr>
        <w:fldChar w:fldCharType="begin"/>
      </w:r>
      <w:r>
        <w:rPr>
          <w:color w:val="auto"/>
          <w:highlight w:val="none"/>
        </w:rPr>
        <w:instrText xml:space="preserve"> PAGEREF _Toc13701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36"/>
        <w:tabs>
          <w:tab w:val="right" w:leader="dot" w:pos="9638"/>
          <w:tab w:val="clear" w:pos="8777"/>
        </w:tabs>
        <w:spacing w:line="480" w:lineRule="auto"/>
        <w:ind w:firstLine="105"/>
        <w:rPr>
          <w:color w:val="auto"/>
          <w:highlight w:val="none"/>
        </w:rPr>
      </w:pPr>
      <w:r>
        <w:rPr>
          <w:color w:val="auto"/>
          <w:highlight w:val="none"/>
        </w:rPr>
        <w:fldChar w:fldCharType="begin"/>
      </w:r>
      <w:r>
        <w:rPr>
          <w:color w:val="auto"/>
          <w:highlight w:val="none"/>
        </w:rPr>
        <w:instrText xml:space="preserve"> HYPERLINK \l "_Toc13744" </w:instrText>
      </w:r>
      <w:r>
        <w:rPr>
          <w:color w:val="auto"/>
          <w:highlight w:val="none"/>
        </w:rPr>
        <w:fldChar w:fldCharType="separate"/>
      </w:r>
      <w:r>
        <w:rPr>
          <w:rFonts w:hint="eastAsia" w:cs="Arial" w:asciiTheme="majorEastAsia" w:hAnsiTheme="majorEastAsia" w:eastAsiaTheme="majorEastAsia"/>
          <w:bCs/>
          <w:color w:val="auto"/>
          <w:szCs w:val="22"/>
          <w:highlight w:val="none"/>
        </w:rPr>
        <w:t>三、招标文件</w:t>
      </w:r>
      <w:r>
        <w:rPr>
          <w:color w:val="auto"/>
          <w:highlight w:val="none"/>
        </w:rPr>
        <w:tab/>
      </w:r>
      <w:r>
        <w:rPr>
          <w:color w:val="auto"/>
          <w:highlight w:val="none"/>
        </w:rPr>
        <w:fldChar w:fldCharType="begin"/>
      </w:r>
      <w:r>
        <w:rPr>
          <w:color w:val="auto"/>
          <w:highlight w:val="none"/>
        </w:rPr>
        <w:instrText xml:space="preserve"> PAGEREF _Toc13744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36"/>
        <w:tabs>
          <w:tab w:val="right" w:leader="dot" w:pos="9638"/>
          <w:tab w:val="clear" w:pos="8777"/>
        </w:tabs>
        <w:spacing w:line="480" w:lineRule="auto"/>
        <w:ind w:firstLine="105"/>
        <w:rPr>
          <w:color w:val="auto"/>
          <w:highlight w:val="none"/>
        </w:rPr>
      </w:pPr>
      <w:r>
        <w:rPr>
          <w:color w:val="auto"/>
          <w:highlight w:val="none"/>
        </w:rPr>
        <w:fldChar w:fldCharType="begin"/>
      </w:r>
      <w:r>
        <w:rPr>
          <w:color w:val="auto"/>
          <w:highlight w:val="none"/>
        </w:rPr>
        <w:instrText xml:space="preserve"> HYPERLINK \l "_Toc24086" </w:instrText>
      </w:r>
      <w:r>
        <w:rPr>
          <w:color w:val="auto"/>
          <w:highlight w:val="none"/>
        </w:rPr>
        <w:fldChar w:fldCharType="separate"/>
      </w:r>
      <w:r>
        <w:rPr>
          <w:rFonts w:hint="eastAsia" w:cs="Arial" w:asciiTheme="majorEastAsia" w:hAnsiTheme="majorEastAsia" w:eastAsiaTheme="majorEastAsia"/>
          <w:bCs/>
          <w:color w:val="auto"/>
          <w:szCs w:val="22"/>
          <w:highlight w:val="none"/>
        </w:rPr>
        <w:t>四、投标文件</w:t>
      </w:r>
      <w:r>
        <w:rPr>
          <w:color w:val="auto"/>
          <w:highlight w:val="none"/>
        </w:rPr>
        <w:tab/>
      </w:r>
      <w:r>
        <w:rPr>
          <w:color w:val="auto"/>
          <w:highlight w:val="none"/>
        </w:rPr>
        <w:fldChar w:fldCharType="begin"/>
      </w:r>
      <w:r>
        <w:rPr>
          <w:color w:val="auto"/>
          <w:highlight w:val="none"/>
        </w:rPr>
        <w:instrText xml:space="preserve"> PAGEREF _Toc24086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36"/>
        <w:tabs>
          <w:tab w:val="right" w:leader="dot" w:pos="9638"/>
          <w:tab w:val="clear" w:pos="8777"/>
        </w:tabs>
        <w:spacing w:line="480" w:lineRule="auto"/>
        <w:ind w:firstLine="105"/>
        <w:rPr>
          <w:color w:val="auto"/>
          <w:highlight w:val="none"/>
        </w:rPr>
      </w:pPr>
      <w:r>
        <w:rPr>
          <w:color w:val="auto"/>
          <w:highlight w:val="none"/>
        </w:rPr>
        <w:fldChar w:fldCharType="begin"/>
      </w:r>
      <w:r>
        <w:rPr>
          <w:color w:val="auto"/>
          <w:highlight w:val="none"/>
        </w:rPr>
        <w:instrText xml:space="preserve"> HYPERLINK \l "_Toc18653" </w:instrText>
      </w:r>
      <w:r>
        <w:rPr>
          <w:color w:val="auto"/>
          <w:highlight w:val="none"/>
        </w:rPr>
        <w:fldChar w:fldCharType="separate"/>
      </w:r>
      <w:r>
        <w:rPr>
          <w:rFonts w:hint="eastAsia" w:cs="Arial" w:asciiTheme="majorEastAsia" w:hAnsiTheme="majorEastAsia" w:eastAsiaTheme="majorEastAsia"/>
          <w:bCs/>
          <w:color w:val="auto"/>
          <w:szCs w:val="22"/>
          <w:highlight w:val="none"/>
        </w:rPr>
        <w:t>五、投标文件的密封</w:t>
      </w:r>
      <w:r>
        <w:rPr>
          <w:color w:val="auto"/>
          <w:highlight w:val="none"/>
        </w:rPr>
        <w:tab/>
      </w:r>
      <w:r>
        <w:rPr>
          <w:color w:val="auto"/>
          <w:highlight w:val="none"/>
        </w:rPr>
        <w:fldChar w:fldCharType="begin"/>
      </w:r>
      <w:r>
        <w:rPr>
          <w:color w:val="auto"/>
          <w:highlight w:val="none"/>
        </w:rPr>
        <w:instrText xml:space="preserve"> PAGEREF _Toc18653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36"/>
        <w:tabs>
          <w:tab w:val="right" w:leader="dot" w:pos="9638"/>
          <w:tab w:val="clear" w:pos="8777"/>
        </w:tabs>
        <w:spacing w:line="480" w:lineRule="auto"/>
        <w:ind w:firstLine="105"/>
        <w:rPr>
          <w:color w:val="auto"/>
          <w:highlight w:val="none"/>
        </w:rPr>
      </w:pPr>
      <w:r>
        <w:rPr>
          <w:color w:val="auto"/>
          <w:highlight w:val="none"/>
        </w:rPr>
        <w:fldChar w:fldCharType="begin"/>
      </w:r>
      <w:r>
        <w:rPr>
          <w:color w:val="auto"/>
          <w:highlight w:val="none"/>
        </w:rPr>
        <w:instrText xml:space="preserve"> HYPERLINK \l "_Toc144" </w:instrText>
      </w:r>
      <w:r>
        <w:rPr>
          <w:color w:val="auto"/>
          <w:highlight w:val="none"/>
        </w:rPr>
        <w:fldChar w:fldCharType="separate"/>
      </w:r>
      <w:r>
        <w:rPr>
          <w:rFonts w:hint="eastAsia" w:cs="Arial" w:asciiTheme="majorEastAsia" w:hAnsiTheme="majorEastAsia" w:eastAsiaTheme="majorEastAsia"/>
          <w:bCs/>
          <w:color w:val="auto"/>
          <w:szCs w:val="22"/>
          <w:highlight w:val="none"/>
        </w:rPr>
        <w:t>六、开标和评标</w:t>
      </w:r>
      <w:r>
        <w:rPr>
          <w:color w:val="auto"/>
          <w:highlight w:val="none"/>
        </w:rPr>
        <w:tab/>
      </w:r>
      <w:r>
        <w:rPr>
          <w:color w:val="auto"/>
          <w:highlight w:val="none"/>
        </w:rPr>
        <w:fldChar w:fldCharType="begin"/>
      </w:r>
      <w:r>
        <w:rPr>
          <w:color w:val="auto"/>
          <w:highlight w:val="none"/>
        </w:rPr>
        <w:instrText xml:space="preserve"> PAGEREF _Toc144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36"/>
        <w:tabs>
          <w:tab w:val="right" w:leader="dot" w:pos="9638"/>
          <w:tab w:val="clear" w:pos="8777"/>
        </w:tabs>
        <w:spacing w:line="480" w:lineRule="auto"/>
        <w:ind w:firstLine="105"/>
        <w:rPr>
          <w:color w:val="auto"/>
          <w:highlight w:val="none"/>
        </w:rPr>
      </w:pPr>
      <w:r>
        <w:rPr>
          <w:color w:val="auto"/>
          <w:highlight w:val="none"/>
        </w:rPr>
        <w:fldChar w:fldCharType="begin"/>
      </w:r>
      <w:r>
        <w:rPr>
          <w:color w:val="auto"/>
          <w:highlight w:val="none"/>
        </w:rPr>
        <w:instrText xml:space="preserve"> HYPERLINK \l "_Toc17810" </w:instrText>
      </w:r>
      <w:r>
        <w:rPr>
          <w:color w:val="auto"/>
          <w:highlight w:val="none"/>
        </w:rPr>
        <w:fldChar w:fldCharType="separate"/>
      </w:r>
      <w:r>
        <w:rPr>
          <w:rFonts w:hint="eastAsia" w:cs="Arial" w:asciiTheme="majorEastAsia" w:hAnsiTheme="majorEastAsia" w:eastAsiaTheme="majorEastAsia"/>
          <w:bCs/>
          <w:color w:val="auto"/>
          <w:szCs w:val="22"/>
          <w:highlight w:val="none"/>
        </w:rPr>
        <w:t>七、授予合同</w:t>
      </w:r>
      <w:r>
        <w:rPr>
          <w:color w:val="auto"/>
          <w:highlight w:val="none"/>
        </w:rPr>
        <w:tab/>
      </w:r>
      <w:r>
        <w:rPr>
          <w:color w:val="auto"/>
          <w:highlight w:val="none"/>
        </w:rPr>
        <w:fldChar w:fldCharType="begin"/>
      </w:r>
      <w:r>
        <w:rPr>
          <w:color w:val="auto"/>
          <w:highlight w:val="none"/>
        </w:rPr>
        <w:instrText xml:space="preserve"> PAGEREF _Toc17810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30"/>
        <w:tabs>
          <w:tab w:val="right" w:leader="dot" w:pos="9638"/>
          <w:tab w:val="clear" w:pos="8777"/>
        </w:tabs>
        <w:spacing w:line="480" w:lineRule="auto"/>
        <w:rPr>
          <w:color w:val="auto"/>
          <w:highlight w:val="none"/>
        </w:rPr>
      </w:pPr>
      <w:r>
        <w:rPr>
          <w:color w:val="auto"/>
          <w:highlight w:val="none"/>
        </w:rPr>
        <w:fldChar w:fldCharType="begin"/>
      </w:r>
      <w:r>
        <w:rPr>
          <w:color w:val="auto"/>
          <w:highlight w:val="none"/>
        </w:rPr>
        <w:instrText xml:space="preserve"> HYPERLINK \l "_Toc30125" </w:instrText>
      </w:r>
      <w:r>
        <w:rPr>
          <w:color w:val="auto"/>
          <w:highlight w:val="none"/>
        </w:rPr>
        <w:fldChar w:fldCharType="separate"/>
      </w:r>
      <w:r>
        <w:rPr>
          <w:rFonts w:hint="eastAsia" w:cs="新宋体" w:asciiTheme="majorEastAsia" w:hAnsiTheme="majorEastAsia" w:eastAsiaTheme="majorEastAsia"/>
          <w:color w:val="auto"/>
          <w:szCs w:val="30"/>
          <w:highlight w:val="none"/>
        </w:rPr>
        <w:t>第四部分</w:t>
      </w:r>
      <w:r>
        <w:rPr>
          <w:rFonts w:hint="eastAsia" w:cs="宋体" w:asciiTheme="majorEastAsia" w:hAnsiTheme="majorEastAsia" w:eastAsiaTheme="majorEastAsia"/>
          <w:color w:val="auto"/>
          <w:szCs w:val="30"/>
          <w:highlight w:val="none"/>
        </w:rPr>
        <w:t xml:space="preserve">  政府采购政策功能相关说明</w:t>
      </w:r>
      <w:r>
        <w:rPr>
          <w:color w:val="auto"/>
          <w:highlight w:val="none"/>
        </w:rPr>
        <w:tab/>
      </w:r>
      <w:r>
        <w:rPr>
          <w:color w:val="auto"/>
          <w:highlight w:val="none"/>
        </w:rPr>
        <w:fldChar w:fldCharType="begin"/>
      </w:r>
      <w:r>
        <w:rPr>
          <w:color w:val="auto"/>
          <w:highlight w:val="none"/>
        </w:rPr>
        <w:instrText xml:space="preserve"> PAGEREF _Toc30125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30"/>
        <w:tabs>
          <w:tab w:val="right" w:leader="dot" w:pos="9638"/>
          <w:tab w:val="clear" w:pos="8777"/>
        </w:tabs>
        <w:spacing w:line="480" w:lineRule="auto"/>
        <w:rPr>
          <w:color w:val="auto"/>
          <w:highlight w:val="none"/>
        </w:rPr>
      </w:pPr>
      <w:r>
        <w:rPr>
          <w:color w:val="auto"/>
          <w:highlight w:val="none"/>
        </w:rPr>
        <w:fldChar w:fldCharType="begin"/>
      </w:r>
      <w:r>
        <w:rPr>
          <w:color w:val="auto"/>
          <w:highlight w:val="none"/>
        </w:rPr>
        <w:instrText xml:space="preserve"> HYPERLINK \l "_Toc23974" </w:instrText>
      </w:r>
      <w:r>
        <w:rPr>
          <w:color w:val="auto"/>
          <w:highlight w:val="none"/>
        </w:rPr>
        <w:fldChar w:fldCharType="separate"/>
      </w:r>
      <w:r>
        <w:rPr>
          <w:rFonts w:hint="eastAsia" w:cs="新宋体" w:asciiTheme="majorEastAsia" w:hAnsiTheme="majorEastAsia" w:eastAsiaTheme="majorEastAsia"/>
          <w:color w:val="auto"/>
          <w:szCs w:val="30"/>
          <w:highlight w:val="none"/>
        </w:rPr>
        <w:t>第五部分  合同主要条款（参考格式）</w:t>
      </w:r>
      <w:r>
        <w:rPr>
          <w:color w:val="auto"/>
          <w:highlight w:val="none"/>
        </w:rPr>
        <w:tab/>
      </w:r>
      <w:r>
        <w:rPr>
          <w:color w:val="auto"/>
          <w:highlight w:val="none"/>
        </w:rPr>
        <w:fldChar w:fldCharType="begin"/>
      </w:r>
      <w:r>
        <w:rPr>
          <w:color w:val="auto"/>
          <w:highlight w:val="none"/>
        </w:rPr>
        <w:instrText xml:space="preserve"> PAGEREF _Toc23974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30"/>
        <w:tabs>
          <w:tab w:val="right" w:leader="dot" w:pos="9638"/>
          <w:tab w:val="clear" w:pos="8777"/>
        </w:tabs>
        <w:spacing w:line="480" w:lineRule="auto"/>
        <w:rPr>
          <w:color w:val="auto"/>
          <w:highlight w:val="none"/>
        </w:rPr>
      </w:pPr>
      <w:r>
        <w:rPr>
          <w:color w:val="auto"/>
          <w:highlight w:val="none"/>
        </w:rPr>
        <w:fldChar w:fldCharType="begin"/>
      </w:r>
      <w:r>
        <w:rPr>
          <w:color w:val="auto"/>
          <w:highlight w:val="none"/>
        </w:rPr>
        <w:instrText xml:space="preserve"> HYPERLINK \l "_Toc21992" </w:instrText>
      </w:r>
      <w:r>
        <w:rPr>
          <w:color w:val="auto"/>
          <w:highlight w:val="none"/>
        </w:rPr>
        <w:fldChar w:fldCharType="separate"/>
      </w:r>
      <w:r>
        <w:rPr>
          <w:rFonts w:hint="eastAsia" w:cs="新宋体" w:asciiTheme="majorEastAsia" w:hAnsiTheme="majorEastAsia" w:eastAsiaTheme="majorEastAsia"/>
          <w:color w:val="auto"/>
          <w:szCs w:val="30"/>
          <w:highlight w:val="none"/>
        </w:rPr>
        <w:t>第六部分 投标文件格式</w:t>
      </w:r>
      <w:r>
        <w:rPr>
          <w:color w:val="auto"/>
          <w:highlight w:val="none"/>
        </w:rPr>
        <w:tab/>
      </w:r>
      <w:r>
        <w:rPr>
          <w:color w:val="auto"/>
          <w:highlight w:val="none"/>
        </w:rPr>
        <w:fldChar w:fldCharType="begin"/>
      </w:r>
      <w:r>
        <w:rPr>
          <w:color w:val="auto"/>
          <w:highlight w:val="none"/>
        </w:rPr>
        <w:instrText xml:space="preserve"> PAGEREF _Toc21992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30"/>
        <w:tabs>
          <w:tab w:val="right" w:leader="dot" w:pos="9638"/>
          <w:tab w:val="clear" w:pos="8777"/>
        </w:tabs>
        <w:spacing w:line="480" w:lineRule="auto"/>
        <w:rPr>
          <w:color w:val="auto"/>
          <w:highlight w:val="none"/>
        </w:rPr>
      </w:pPr>
      <w:r>
        <w:rPr>
          <w:color w:val="auto"/>
          <w:highlight w:val="none"/>
        </w:rPr>
        <w:fldChar w:fldCharType="begin"/>
      </w:r>
      <w:r>
        <w:rPr>
          <w:color w:val="auto"/>
          <w:highlight w:val="none"/>
        </w:rPr>
        <w:instrText xml:space="preserve"> HYPERLINK \l "_Toc3026" </w:instrText>
      </w:r>
      <w:r>
        <w:rPr>
          <w:color w:val="auto"/>
          <w:highlight w:val="none"/>
        </w:rPr>
        <w:fldChar w:fldCharType="separate"/>
      </w:r>
      <w:r>
        <w:rPr>
          <w:rFonts w:hint="eastAsia" w:asciiTheme="majorEastAsia" w:hAnsiTheme="majorEastAsia" w:eastAsiaTheme="majorEastAsia"/>
          <w:color w:val="auto"/>
          <w:highlight w:val="none"/>
        </w:rPr>
        <w:t>一、资格文件部分格式</w:t>
      </w:r>
      <w:r>
        <w:rPr>
          <w:color w:val="auto"/>
          <w:highlight w:val="none"/>
        </w:rPr>
        <w:tab/>
      </w:r>
      <w:r>
        <w:rPr>
          <w:color w:val="auto"/>
          <w:highlight w:val="none"/>
        </w:rPr>
        <w:fldChar w:fldCharType="begin"/>
      </w:r>
      <w:r>
        <w:rPr>
          <w:color w:val="auto"/>
          <w:highlight w:val="none"/>
        </w:rPr>
        <w:instrText xml:space="preserve"> PAGEREF _Toc3026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30"/>
        <w:tabs>
          <w:tab w:val="right" w:leader="dot" w:pos="9638"/>
          <w:tab w:val="clear" w:pos="8777"/>
        </w:tabs>
        <w:spacing w:line="480" w:lineRule="auto"/>
        <w:rPr>
          <w:color w:val="auto"/>
          <w:highlight w:val="none"/>
        </w:rPr>
      </w:pPr>
      <w:r>
        <w:rPr>
          <w:color w:val="auto"/>
          <w:highlight w:val="none"/>
        </w:rPr>
        <w:fldChar w:fldCharType="begin"/>
      </w:r>
      <w:r>
        <w:rPr>
          <w:color w:val="auto"/>
          <w:highlight w:val="none"/>
        </w:rPr>
        <w:instrText xml:space="preserve"> HYPERLINK \l "_Toc3526" </w:instrText>
      </w:r>
      <w:r>
        <w:rPr>
          <w:color w:val="auto"/>
          <w:highlight w:val="none"/>
        </w:rPr>
        <w:fldChar w:fldCharType="separate"/>
      </w:r>
      <w:r>
        <w:rPr>
          <w:rFonts w:hint="eastAsia" w:asciiTheme="majorEastAsia" w:hAnsiTheme="majorEastAsia" w:eastAsiaTheme="majorEastAsia"/>
          <w:color w:val="auto"/>
          <w:highlight w:val="none"/>
        </w:rPr>
        <w:t>二、报价文件部分格式</w:t>
      </w:r>
      <w:r>
        <w:rPr>
          <w:color w:val="auto"/>
          <w:highlight w:val="none"/>
        </w:rPr>
        <w:tab/>
      </w:r>
      <w:r>
        <w:rPr>
          <w:color w:val="auto"/>
          <w:highlight w:val="none"/>
        </w:rPr>
        <w:fldChar w:fldCharType="begin"/>
      </w:r>
      <w:r>
        <w:rPr>
          <w:color w:val="auto"/>
          <w:highlight w:val="none"/>
        </w:rPr>
        <w:instrText xml:space="preserve"> PAGEREF _Toc3526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30"/>
        <w:tabs>
          <w:tab w:val="right" w:leader="dot" w:pos="9638"/>
          <w:tab w:val="clear" w:pos="8777"/>
        </w:tabs>
        <w:spacing w:line="480" w:lineRule="auto"/>
        <w:rPr>
          <w:color w:val="auto"/>
          <w:highlight w:val="none"/>
        </w:rPr>
      </w:pPr>
      <w:r>
        <w:rPr>
          <w:color w:val="auto"/>
          <w:highlight w:val="none"/>
        </w:rPr>
        <w:fldChar w:fldCharType="begin"/>
      </w:r>
      <w:r>
        <w:rPr>
          <w:color w:val="auto"/>
          <w:highlight w:val="none"/>
        </w:rPr>
        <w:instrText xml:space="preserve"> HYPERLINK \l "_Toc6383" </w:instrText>
      </w:r>
      <w:r>
        <w:rPr>
          <w:color w:val="auto"/>
          <w:highlight w:val="none"/>
        </w:rPr>
        <w:fldChar w:fldCharType="separate"/>
      </w:r>
      <w:r>
        <w:rPr>
          <w:rFonts w:hint="eastAsia" w:asciiTheme="majorEastAsia" w:hAnsiTheme="majorEastAsia" w:eastAsiaTheme="majorEastAsia"/>
          <w:color w:val="auto"/>
          <w:highlight w:val="none"/>
        </w:rPr>
        <w:t>三、商务技术文件部分格式</w:t>
      </w:r>
      <w:r>
        <w:rPr>
          <w:color w:val="auto"/>
          <w:highlight w:val="none"/>
        </w:rPr>
        <w:tab/>
      </w:r>
      <w:r>
        <w:rPr>
          <w:color w:val="auto"/>
          <w:highlight w:val="none"/>
        </w:rPr>
        <w:fldChar w:fldCharType="begin"/>
      </w:r>
      <w:r>
        <w:rPr>
          <w:color w:val="auto"/>
          <w:highlight w:val="none"/>
        </w:rPr>
        <w:instrText xml:space="preserve"> PAGEREF _Toc6383 \h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30"/>
        <w:tabs>
          <w:tab w:val="right" w:leader="dot" w:pos="9638"/>
          <w:tab w:val="clear" w:pos="8777"/>
        </w:tabs>
        <w:spacing w:line="480" w:lineRule="auto"/>
        <w:rPr>
          <w:color w:val="auto"/>
          <w:highlight w:val="none"/>
        </w:rPr>
      </w:pPr>
      <w:r>
        <w:rPr>
          <w:color w:val="auto"/>
          <w:highlight w:val="none"/>
        </w:rPr>
        <w:fldChar w:fldCharType="begin"/>
      </w:r>
      <w:r>
        <w:rPr>
          <w:color w:val="auto"/>
          <w:highlight w:val="none"/>
        </w:rPr>
        <w:instrText xml:space="preserve"> HYPERLINK \l "_Toc5132" </w:instrText>
      </w:r>
      <w:r>
        <w:rPr>
          <w:color w:val="auto"/>
          <w:highlight w:val="none"/>
        </w:rPr>
        <w:fldChar w:fldCharType="separate"/>
      </w:r>
      <w:r>
        <w:rPr>
          <w:rFonts w:hint="eastAsia" w:cs="新宋体" w:asciiTheme="majorEastAsia" w:hAnsiTheme="majorEastAsia" w:eastAsiaTheme="majorEastAsia"/>
          <w:color w:val="auto"/>
          <w:szCs w:val="30"/>
          <w:highlight w:val="none"/>
        </w:rPr>
        <w:t>第七部分 评标定标办法</w:t>
      </w:r>
      <w:r>
        <w:rPr>
          <w:color w:val="auto"/>
          <w:highlight w:val="none"/>
        </w:rPr>
        <w:tab/>
      </w:r>
      <w:r>
        <w:rPr>
          <w:color w:val="auto"/>
          <w:highlight w:val="none"/>
        </w:rPr>
        <w:fldChar w:fldCharType="begin"/>
      </w:r>
      <w:r>
        <w:rPr>
          <w:color w:val="auto"/>
          <w:highlight w:val="none"/>
        </w:rPr>
        <w:instrText xml:space="preserve"> PAGEREF _Toc5132 \h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spacing w:line="480" w:lineRule="auto"/>
        <w:rPr>
          <w:rFonts w:cs="新宋体" w:asciiTheme="majorEastAsia" w:hAnsiTheme="majorEastAsia" w:eastAsiaTheme="majorEastAsia"/>
          <w:color w:val="auto"/>
          <w:highlight w:val="none"/>
        </w:rPr>
      </w:pPr>
      <w:r>
        <w:rPr>
          <w:rFonts w:hint="eastAsia" w:cs="新宋体" w:asciiTheme="majorEastAsia" w:hAnsiTheme="majorEastAsia" w:eastAsiaTheme="majorEastAsia"/>
          <w:color w:val="auto"/>
          <w:highlight w:val="none"/>
        </w:rPr>
        <w:fldChar w:fldCharType="end"/>
      </w:r>
      <w:bookmarkStart w:id="2" w:name="_Toc498343162"/>
      <w:r>
        <w:rPr>
          <w:rFonts w:hint="eastAsia" w:ascii="宋体" w:hAnsi="宋体" w:cs="宋体"/>
          <w:b/>
          <w:bCs/>
          <w:color w:val="auto"/>
          <w:sz w:val="22"/>
          <w:szCs w:val="22"/>
          <w:highlight w:val="none"/>
        </w:rPr>
        <w:t>注：招标文件中部分加“▲”的条款，为招标的实质性要求和条件，着重提醒各投标供应商注意，并认真查看招标文件中的每一个条款及要求，因误读招标文件而造成的后果，招标人概不负责。</w:t>
      </w:r>
    </w:p>
    <w:p>
      <w:pPr>
        <w:spacing w:line="480" w:lineRule="auto"/>
        <w:rPr>
          <w:rFonts w:cs="新宋体" w:asciiTheme="majorEastAsia" w:hAnsiTheme="majorEastAsia" w:eastAsiaTheme="majorEastAsia"/>
          <w:color w:val="auto"/>
          <w:sz w:val="30"/>
          <w:szCs w:val="30"/>
          <w:highlight w:val="none"/>
        </w:rPr>
      </w:pPr>
    </w:p>
    <w:bookmarkEnd w:id="0"/>
    <w:bookmarkEnd w:id="2"/>
    <w:p>
      <w:pPr>
        <w:spacing w:line="360" w:lineRule="auto"/>
        <w:jc w:val="center"/>
        <w:rPr>
          <w:rFonts w:ascii="宋体" w:hAnsi="宋体" w:cs="宋体"/>
          <w:b/>
          <w:color w:val="auto"/>
          <w:sz w:val="32"/>
          <w:szCs w:val="32"/>
          <w:highlight w:val="none"/>
        </w:rPr>
      </w:pPr>
      <w:bookmarkStart w:id="3" w:name="_Toc496116239"/>
      <w:bookmarkStart w:id="4" w:name="_Toc498343164"/>
      <w:r>
        <w:rPr>
          <w:rFonts w:hint="eastAsia" w:cs="新宋体" w:asciiTheme="majorEastAsia" w:hAnsiTheme="majorEastAsia" w:eastAsiaTheme="majorEastAsia"/>
          <w:color w:val="auto"/>
          <w:sz w:val="30"/>
          <w:szCs w:val="30"/>
          <w:highlight w:val="none"/>
        </w:rPr>
        <w:br w:type="page"/>
      </w:r>
      <w:bookmarkStart w:id="5" w:name="_Toc11853"/>
      <w:r>
        <w:rPr>
          <w:rFonts w:hint="eastAsia" w:ascii="宋体" w:hAnsi="宋体" w:cs="宋体"/>
          <w:b/>
          <w:color w:val="auto"/>
          <w:sz w:val="32"/>
          <w:szCs w:val="32"/>
          <w:highlight w:val="none"/>
        </w:rPr>
        <w:t>温州市中概工程管理咨询有限公司关于</w:t>
      </w:r>
      <w:r>
        <w:rPr>
          <w:rFonts w:hint="eastAsia" w:ascii="宋体" w:hAnsi="宋体" w:cs="宋体"/>
          <w:b/>
          <w:color w:val="auto"/>
          <w:sz w:val="32"/>
          <w:szCs w:val="32"/>
          <w:highlight w:val="none"/>
          <w:lang w:eastAsia="zh-CN"/>
        </w:rPr>
        <w:t>中共永嘉县委组织部人才疗休养服务</w:t>
      </w:r>
      <w:r>
        <w:rPr>
          <w:rFonts w:hint="eastAsia" w:ascii="宋体" w:hAnsi="宋体" w:cs="宋体"/>
          <w:b/>
          <w:color w:val="auto"/>
          <w:sz w:val="32"/>
          <w:szCs w:val="32"/>
          <w:highlight w:val="none"/>
        </w:rPr>
        <w:t>的公开招标公告</w:t>
      </w:r>
      <w:bookmarkEnd w:id="5"/>
    </w:p>
    <w:p>
      <w:pPr>
        <w:pStyle w:val="39"/>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项目概况  </w:t>
      </w:r>
    </w:p>
    <w:p>
      <w:pPr>
        <w:pStyle w:val="39"/>
        <w:spacing w:line="360" w:lineRule="auto"/>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lang w:eastAsia="zh-CN"/>
        </w:rPr>
        <w:t>中共永嘉县委组织部人才疗休养服务</w:t>
      </w:r>
      <w:r>
        <w:rPr>
          <w:rFonts w:hint="eastAsia" w:asciiTheme="majorEastAsia" w:hAnsiTheme="majorEastAsia" w:eastAsiaTheme="majorEastAsia"/>
          <w:color w:val="auto"/>
          <w:sz w:val="22"/>
          <w:szCs w:val="22"/>
          <w:highlight w:val="none"/>
        </w:rPr>
        <w:t>招标项目的潜在</w:t>
      </w:r>
      <w:r>
        <w:rPr>
          <w:rFonts w:hint="eastAsia" w:asciiTheme="majorEastAsia" w:hAnsiTheme="majorEastAsia" w:eastAsiaTheme="majorEastAsia"/>
          <w:color w:val="auto"/>
          <w:sz w:val="22"/>
          <w:szCs w:val="22"/>
          <w:highlight w:val="none"/>
          <w:lang w:eastAsia="zh-CN"/>
        </w:rPr>
        <w:t>投标供应商</w:t>
      </w:r>
      <w:r>
        <w:rPr>
          <w:rFonts w:hint="eastAsia" w:asciiTheme="majorEastAsia" w:hAnsiTheme="majorEastAsia" w:eastAsiaTheme="majorEastAsia"/>
          <w:color w:val="auto"/>
          <w:sz w:val="22"/>
          <w:szCs w:val="22"/>
          <w:highlight w:val="none"/>
        </w:rPr>
        <w:t>应在政采云平台线上获取获取（下载）招标文件，并于2024年</w:t>
      </w:r>
      <w:r>
        <w:rPr>
          <w:rFonts w:hint="eastAsia" w:asciiTheme="majorEastAsia" w:hAnsiTheme="majorEastAsia" w:eastAsiaTheme="majorEastAsia"/>
          <w:color w:val="auto"/>
          <w:sz w:val="22"/>
          <w:szCs w:val="22"/>
          <w:highlight w:val="none"/>
          <w:lang w:val="en-US" w:eastAsia="zh-CN"/>
        </w:rPr>
        <w:t>6</w:t>
      </w:r>
      <w:r>
        <w:rPr>
          <w:rFonts w:hint="eastAsia" w:asciiTheme="majorEastAsia" w:hAnsiTheme="majorEastAsia" w:eastAsiaTheme="majorEastAsia"/>
          <w:color w:val="auto"/>
          <w:sz w:val="22"/>
          <w:szCs w:val="22"/>
          <w:highlight w:val="none"/>
        </w:rPr>
        <w:t>月</w:t>
      </w:r>
      <w:r>
        <w:rPr>
          <w:rFonts w:hint="eastAsia" w:asciiTheme="majorEastAsia" w:hAnsiTheme="majorEastAsia" w:eastAsiaTheme="majorEastAsia"/>
          <w:color w:val="auto"/>
          <w:sz w:val="22"/>
          <w:szCs w:val="22"/>
          <w:highlight w:val="none"/>
          <w:lang w:val="en-US" w:eastAsia="zh-CN"/>
        </w:rPr>
        <w:t>18</w:t>
      </w:r>
      <w:r>
        <w:rPr>
          <w:rFonts w:hint="eastAsia" w:asciiTheme="majorEastAsia" w:hAnsiTheme="majorEastAsia" w:eastAsiaTheme="majorEastAsia"/>
          <w:color w:val="auto"/>
          <w:sz w:val="22"/>
          <w:szCs w:val="22"/>
          <w:highlight w:val="none"/>
        </w:rPr>
        <w:t>日09:30（北京时间）前递交（上传）投标文件。</w:t>
      </w:r>
    </w:p>
    <w:p>
      <w:pPr>
        <w:widowControl/>
        <w:spacing w:before="225" w:after="225" w:line="360" w:lineRule="auto"/>
        <w:jc w:val="left"/>
        <w:rPr>
          <w:rFonts w:asciiTheme="majorEastAsia" w:hAnsiTheme="majorEastAsia" w:eastAsiaTheme="majorEastAsia"/>
          <w:color w:val="auto"/>
          <w:sz w:val="22"/>
          <w:szCs w:val="22"/>
          <w:highlight w:val="none"/>
        </w:rPr>
      </w:pPr>
      <w:r>
        <w:rPr>
          <w:rStyle w:val="46"/>
          <w:rFonts w:hint="eastAsia" w:asciiTheme="majorEastAsia" w:hAnsiTheme="majorEastAsia" w:eastAsiaTheme="majorEastAsia"/>
          <w:color w:val="auto"/>
          <w:sz w:val="22"/>
          <w:szCs w:val="22"/>
          <w:highlight w:val="none"/>
        </w:rPr>
        <w:t>一、项目</w:t>
      </w:r>
      <w:r>
        <w:rPr>
          <w:rFonts w:hint="eastAsia" w:cs="Arial"/>
          <w:b/>
          <w:color w:val="auto"/>
          <w:kern w:val="0"/>
          <w:highlight w:val="none"/>
        </w:rPr>
        <w:t>基本</w:t>
      </w:r>
      <w:r>
        <w:rPr>
          <w:rStyle w:val="46"/>
          <w:rFonts w:hint="eastAsia" w:asciiTheme="majorEastAsia" w:hAnsiTheme="majorEastAsia" w:eastAsiaTheme="majorEastAsia"/>
          <w:color w:val="auto"/>
          <w:sz w:val="22"/>
          <w:szCs w:val="22"/>
          <w:highlight w:val="none"/>
        </w:rPr>
        <w:t>情况</w:t>
      </w:r>
      <w:r>
        <w:rPr>
          <w:rFonts w:hint="eastAsia" w:asciiTheme="majorEastAsia" w:hAnsiTheme="majorEastAsia" w:eastAsiaTheme="majorEastAsia"/>
          <w:color w:val="auto"/>
          <w:sz w:val="22"/>
          <w:szCs w:val="22"/>
          <w:highlight w:val="none"/>
        </w:rPr>
        <w:t>                                            </w:t>
      </w:r>
    </w:p>
    <w:p>
      <w:pPr>
        <w:pStyle w:val="39"/>
        <w:spacing w:before="75" w:beforeAutospacing="0" w:after="75" w:afterAutospacing="0" w:line="300" w:lineRule="atLeast"/>
        <w:rPr>
          <w:rFonts w:cs="Arial"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   </w:t>
      </w:r>
      <w:r>
        <w:rPr>
          <w:rFonts w:hint="eastAsia" w:asciiTheme="majorEastAsia" w:hAnsiTheme="majorEastAsia" w:eastAsiaTheme="majorEastAsia"/>
          <w:color w:val="auto"/>
          <w:sz w:val="22"/>
          <w:szCs w:val="22"/>
          <w:highlight w:val="none"/>
          <w:lang w:val="en-US" w:eastAsia="zh-CN"/>
        </w:rPr>
        <w:t xml:space="preserve"> </w:t>
      </w:r>
      <w:r>
        <w:rPr>
          <w:rFonts w:cs="Arial" w:asciiTheme="majorEastAsia" w:hAnsiTheme="majorEastAsia" w:eastAsiaTheme="majorEastAsia"/>
          <w:color w:val="auto"/>
          <w:sz w:val="22"/>
          <w:szCs w:val="22"/>
          <w:highlight w:val="none"/>
        </w:rPr>
        <w:t>项目编号：</w:t>
      </w:r>
      <w:r>
        <w:rPr>
          <w:rFonts w:hint="eastAsia" w:cs="Arial" w:asciiTheme="majorEastAsia" w:hAnsiTheme="majorEastAsia" w:eastAsiaTheme="majorEastAsia"/>
          <w:color w:val="auto"/>
          <w:sz w:val="22"/>
          <w:szCs w:val="22"/>
          <w:highlight w:val="none"/>
          <w:lang w:eastAsia="zh-CN"/>
        </w:rPr>
        <w:t>ZGCG-20240530</w:t>
      </w:r>
      <w:r>
        <w:rPr>
          <w:rFonts w:cs="Arial" w:asciiTheme="majorEastAsia" w:hAnsiTheme="majorEastAsia" w:eastAsiaTheme="majorEastAsia"/>
          <w:color w:val="auto"/>
          <w:sz w:val="22"/>
          <w:szCs w:val="22"/>
          <w:highlight w:val="none"/>
        </w:rPr>
        <w:t> </w:t>
      </w:r>
    </w:p>
    <w:p>
      <w:pPr>
        <w:widowControl/>
        <w:spacing w:before="75" w:after="75" w:line="300" w:lineRule="atLeast"/>
        <w:jc w:val="left"/>
        <w:rPr>
          <w:rFonts w:hint="eastAsia" w:cs="Arial" w:asciiTheme="majorEastAsia" w:hAnsiTheme="majorEastAsia" w:eastAsiaTheme="majorEastAsia"/>
          <w:color w:val="auto"/>
          <w:kern w:val="0"/>
          <w:sz w:val="22"/>
          <w:szCs w:val="22"/>
          <w:highlight w:val="none"/>
          <w:lang w:eastAsia="zh-CN"/>
        </w:rPr>
      </w:pPr>
      <w:r>
        <w:rPr>
          <w:rFonts w:cs="Arial" w:asciiTheme="majorEastAsia" w:hAnsiTheme="majorEastAsia" w:eastAsiaTheme="majorEastAsia"/>
          <w:color w:val="auto"/>
          <w:kern w:val="0"/>
          <w:sz w:val="22"/>
          <w:szCs w:val="22"/>
          <w:highlight w:val="none"/>
        </w:rPr>
        <w:t>    项目名称：</w:t>
      </w:r>
      <w:r>
        <w:rPr>
          <w:rFonts w:hint="eastAsia" w:cs="Arial" w:asciiTheme="majorEastAsia" w:hAnsiTheme="majorEastAsia" w:eastAsiaTheme="majorEastAsia"/>
          <w:color w:val="auto"/>
          <w:kern w:val="0"/>
          <w:sz w:val="22"/>
          <w:szCs w:val="22"/>
          <w:highlight w:val="none"/>
          <w:lang w:eastAsia="zh-CN"/>
        </w:rPr>
        <w:t>中共永嘉县委组织部人才疗休养服务</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预算金额（元）：</w:t>
      </w:r>
      <w:r>
        <w:rPr>
          <w:rFonts w:hint="eastAsia" w:cs="Arial" w:asciiTheme="majorEastAsia" w:hAnsiTheme="majorEastAsia" w:eastAsiaTheme="majorEastAsia"/>
          <w:color w:val="auto"/>
          <w:kern w:val="0"/>
          <w:sz w:val="22"/>
          <w:szCs w:val="22"/>
          <w:highlight w:val="none"/>
          <w:lang w:val="en-US" w:eastAsia="zh-CN"/>
        </w:rPr>
        <w:t>80</w:t>
      </w:r>
      <w:r>
        <w:rPr>
          <w:rFonts w:cs="Arial" w:asciiTheme="majorEastAsia" w:hAnsiTheme="majorEastAsia" w:eastAsiaTheme="majorEastAsia"/>
          <w:color w:val="auto"/>
          <w:kern w:val="0"/>
          <w:sz w:val="22"/>
          <w:szCs w:val="22"/>
          <w:highlight w:val="none"/>
        </w:rPr>
        <w:t>0000  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最高限价（元）：/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采购需求：</w:t>
      </w:r>
    </w:p>
    <w:p>
      <w:pPr>
        <w:widowControl/>
        <w:shd w:val="clear" w:color="auto" w:fill="F7F7F7"/>
        <w:spacing w:before="75" w:after="75" w:line="36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w:t>
      </w:r>
      <w:r>
        <w:rPr>
          <w:rFonts w:cs="Arial" w:asciiTheme="majorEastAsia" w:hAnsiTheme="majorEastAsia" w:eastAsiaTheme="majorEastAsia"/>
          <w:color w:val="auto"/>
          <w:kern w:val="0"/>
          <w:sz w:val="22"/>
          <w:szCs w:val="22"/>
          <w:highlight w:val="none"/>
        </w:rPr>
        <w:br w:type="textWrapping"/>
      </w:r>
      <w:r>
        <w:rPr>
          <w:rFonts w:cs="Arial" w:asciiTheme="majorEastAsia" w:hAnsiTheme="majorEastAsia" w:eastAsiaTheme="majorEastAsia"/>
          <w:color w:val="auto"/>
          <w:kern w:val="0"/>
          <w:sz w:val="22"/>
          <w:szCs w:val="22"/>
          <w:highlight w:val="none"/>
        </w:rPr>
        <w:t>    标项名称: </w:t>
      </w:r>
      <w:r>
        <w:rPr>
          <w:rFonts w:hint="eastAsia" w:cs="Arial" w:asciiTheme="majorEastAsia" w:hAnsiTheme="majorEastAsia" w:eastAsiaTheme="majorEastAsia"/>
          <w:color w:val="auto"/>
          <w:kern w:val="0"/>
          <w:sz w:val="22"/>
          <w:szCs w:val="22"/>
          <w:highlight w:val="none"/>
          <w:lang w:eastAsia="zh-CN"/>
        </w:rPr>
        <w:t>中共永嘉县委组织部人才疗休养服务</w:t>
      </w:r>
      <w:r>
        <w:rPr>
          <w:rFonts w:cs="Arial" w:asciiTheme="majorEastAsia" w:hAnsiTheme="majorEastAsia" w:eastAsiaTheme="majorEastAsia"/>
          <w:color w:val="auto"/>
          <w:kern w:val="0"/>
          <w:sz w:val="22"/>
          <w:szCs w:val="22"/>
          <w:highlight w:val="none"/>
        </w:rPr>
        <w:t> </w:t>
      </w:r>
      <w:r>
        <w:rPr>
          <w:rFonts w:cs="Arial" w:asciiTheme="majorEastAsia" w:hAnsiTheme="majorEastAsia" w:eastAsiaTheme="majorEastAsia"/>
          <w:color w:val="auto"/>
          <w:kern w:val="0"/>
          <w:sz w:val="22"/>
          <w:szCs w:val="22"/>
          <w:highlight w:val="none"/>
        </w:rPr>
        <w:br w:type="textWrapping"/>
      </w:r>
      <w:r>
        <w:rPr>
          <w:rFonts w:cs="Arial" w:asciiTheme="majorEastAsia" w:hAnsiTheme="majorEastAsia" w:eastAsiaTheme="majorEastAsia"/>
          <w:color w:val="auto"/>
          <w:kern w:val="0"/>
          <w:sz w:val="22"/>
          <w:szCs w:val="22"/>
          <w:highlight w:val="none"/>
        </w:rPr>
        <w:t>    数量: 不限  </w:t>
      </w:r>
      <w:r>
        <w:rPr>
          <w:rFonts w:cs="Arial" w:asciiTheme="majorEastAsia" w:hAnsiTheme="majorEastAsia" w:eastAsiaTheme="majorEastAsia"/>
          <w:color w:val="auto"/>
          <w:kern w:val="0"/>
          <w:sz w:val="22"/>
          <w:szCs w:val="22"/>
          <w:highlight w:val="none"/>
        </w:rPr>
        <w:br w:type="textWrapping"/>
      </w:r>
      <w:r>
        <w:rPr>
          <w:rFonts w:cs="Arial" w:asciiTheme="majorEastAsia" w:hAnsiTheme="majorEastAsia" w:eastAsiaTheme="majorEastAsia"/>
          <w:color w:val="auto"/>
          <w:kern w:val="0"/>
          <w:sz w:val="22"/>
          <w:szCs w:val="22"/>
          <w:highlight w:val="none"/>
        </w:rPr>
        <w:t>    预算金额（元）: </w:t>
      </w:r>
      <w:r>
        <w:rPr>
          <w:rFonts w:hint="eastAsia" w:cs="Arial" w:asciiTheme="majorEastAsia" w:hAnsiTheme="majorEastAsia" w:eastAsiaTheme="majorEastAsia"/>
          <w:color w:val="auto"/>
          <w:kern w:val="0"/>
          <w:sz w:val="22"/>
          <w:szCs w:val="22"/>
          <w:highlight w:val="none"/>
          <w:lang w:val="en-US" w:eastAsia="zh-CN"/>
        </w:rPr>
        <w:t>80</w:t>
      </w:r>
      <w:r>
        <w:rPr>
          <w:rFonts w:cs="Arial" w:asciiTheme="majorEastAsia" w:hAnsiTheme="majorEastAsia" w:eastAsiaTheme="majorEastAsia"/>
          <w:color w:val="auto"/>
          <w:kern w:val="0"/>
          <w:sz w:val="22"/>
          <w:szCs w:val="22"/>
          <w:highlight w:val="none"/>
        </w:rPr>
        <w:t>0000 </w:t>
      </w:r>
      <w:r>
        <w:rPr>
          <w:rFonts w:cs="Arial" w:asciiTheme="majorEastAsia" w:hAnsiTheme="majorEastAsia" w:eastAsiaTheme="majorEastAsia"/>
          <w:color w:val="auto"/>
          <w:kern w:val="0"/>
          <w:sz w:val="22"/>
          <w:szCs w:val="22"/>
          <w:highlight w:val="none"/>
        </w:rPr>
        <w:br w:type="textWrapping"/>
      </w:r>
      <w:r>
        <w:rPr>
          <w:rFonts w:cs="Arial" w:asciiTheme="majorEastAsia" w:hAnsiTheme="majorEastAsia" w:eastAsiaTheme="majorEastAsia"/>
          <w:color w:val="auto"/>
          <w:kern w:val="0"/>
          <w:sz w:val="22"/>
          <w:szCs w:val="22"/>
          <w:highlight w:val="none"/>
        </w:rPr>
        <w:t>    简要规格描述或项目基本概况介绍、用途：</w:t>
      </w:r>
      <w:r>
        <w:rPr>
          <w:rFonts w:hint="eastAsia" w:cs="Arial" w:asciiTheme="majorEastAsia" w:hAnsiTheme="majorEastAsia" w:eastAsiaTheme="majorEastAsia"/>
          <w:color w:val="auto"/>
          <w:kern w:val="0"/>
          <w:sz w:val="22"/>
          <w:szCs w:val="22"/>
          <w:highlight w:val="none"/>
          <w:lang w:eastAsia="zh-CN"/>
        </w:rPr>
        <w:t>中共永嘉县委组织部人才疗休养服务</w:t>
      </w:r>
      <w:r>
        <w:rPr>
          <w:rFonts w:cs="Arial" w:asciiTheme="majorEastAsia" w:hAnsiTheme="majorEastAsia" w:eastAsiaTheme="majorEastAsia"/>
          <w:color w:val="auto"/>
          <w:kern w:val="0"/>
          <w:sz w:val="22"/>
          <w:szCs w:val="22"/>
          <w:highlight w:val="none"/>
        </w:rPr>
        <w:t>，详见招标文件 </w:t>
      </w:r>
      <w:r>
        <w:rPr>
          <w:rFonts w:cs="Arial" w:asciiTheme="majorEastAsia" w:hAnsiTheme="majorEastAsia" w:eastAsiaTheme="majorEastAsia"/>
          <w:color w:val="auto"/>
          <w:kern w:val="0"/>
          <w:sz w:val="22"/>
          <w:szCs w:val="22"/>
          <w:highlight w:val="none"/>
        </w:rPr>
        <w:br w:type="textWrapping"/>
      </w:r>
      <w:r>
        <w:rPr>
          <w:rFonts w:cs="Arial" w:asciiTheme="majorEastAsia" w:hAnsiTheme="majorEastAsia" w:eastAsiaTheme="majorEastAsia"/>
          <w:color w:val="auto"/>
          <w:kern w:val="0"/>
          <w:sz w:val="22"/>
          <w:szCs w:val="22"/>
          <w:highlight w:val="none"/>
        </w:rPr>
        <w:t>    备注：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合同履约期限：标项 1，详见招标文件</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本项目（否）接受联合体投标。</w:t>
      </w:r>
    </w:p>
    <w:p>
      <w:pPr>
        <w:widowControl/>
        <w:spacing w:before="225" w:after="225" w:line="300" w:lineRule="atLeast"/>
        <w:jc w:val="left"/>
        <w:rPr>
          <w:rFonts w:cs="Arial" w:asciiTheme="majorEastAsia" w:hAnsiTheme="majorEastAsia" w:eastAsiaTheme="majorEastAsia"/>
          <w:color w:val="auto"/>
          <w:kern w:val="0"/>
          <w:sz w:val="22"/>
          <w:szCs w:val="22"/>
          <w:highlight w:val="none"/>
        </w:rPr>
      </w:pPr>
      <w:r>
        <w:rPr>
          <w:rFonts w:hint="eastAsia" w:cs="Arial" w:asciiTheme="majorEastAsia" w:hAnsiTheme="majorEastAsia" w:eastAsiaTheme="majorEastAsia"/>
          <w:b/>
          <w:bCs/>
          <w:color w:val="auto"/>
          <w:kern w:val="0"/>
          <w:sz w:val="22"/>
          <w:szCs w:val="22"/>
          <w:highlight w:val="none"/>
        </w:rPr>
        <w:t>二、申请人的资格要求：</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xml:space="preserve">    </w:t>
      </w:r>
      <w:r>
        <w:rPr>
          <w:rFonts w:hint="eastAsia" w:cs="Arial" w:asciiTheme="majorEastAsia" w:hAnsiTheme="majorEastAsia" w:eastAsiaTheme="majorEastAsia"/>
          <w:color w:val="auto"/>
          <w:kern w:val="0"/>
          <w:sz w:val="22"/>
          <w:szCs w:val="22"/>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hint="eastAsia" w:cs="Arial" w:asciiTheme="majorEastAsia" w:hAnsiTheme="majorEastAsia" w:eastAsiaTheme="majorEastAsia"/>
          <w:color w:val="auto"/>
          <w:kern w:val="0"/>
          <w:sz w:val="22"/>
          <w:szCs w:val="22"/>
          <w:highlight w:val="none"/>
        </w:rPr>
        <w:t>    2.落实政府采购政策需满足的资格要求</w:t>
      </w:r>
      <w:r>
        <w:rPr>
          <w:rFonts w:hint="eastAsia" w:cs="Arial" w:asciiTheme="majorEastAsia" w:hAnsiTheme="majorEastAsia" w:eastAsiaTheme="majorEastAsia"/>
          <w:color w:val="auto"/>
          <w:kern w:val="0"/>
          <w:sz w:val="22"/>
          <w:szCs w:val="22"/>
          <w:highlight w:val="none"/>
          <w:lang w:eastAsia="zh-CN"/>
        </w:rPr>
        <w:t>：</w:t>
      </w:r>
      <w:r>
        <w:rPr>
          <w:rFonts w:hint="eastAsia" w:cs="Arial" w:asciiTheme="majorEastAsia" w:hAnsiTheme="majorEastAsia" w:eastAsiaTheme="majorEastAsia"/>
          <w:color w:val="auto"/>
          <w:kern w:val="0"/>
          <w:sz w:val="22"/>
          <w:szCs w:val="22"/>
          <w:highlight w:val="none"/>
        </w:rPr>
        <w:t>根据《政府采购促进中小企业发展管理办法》的通知（财库〔2020〕46号），本项目专门面向中小企业采购。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hint="eastAsia" w:cs="Arial" w:asciiTheme="majorEastAsia" w:hAnsiTheme="majorEastAsia" w:eastAsiaTheme="majorEastAsia"/>
          <w:color w:val="auto"/>
          <w:kern w:val="0"/>
          <w:sz w:val="22"/>
          <w:szCs w:val="22"/>
          <w:highlight w:val="none"/>
        </w:rPr>
        <w:t>    3.本项目的特定资格要求：【标项1】投标供应商应具有相应的旅行社业务经营许可证。 </w:t>
      </w:r>
    </w:p>
    <w:p>
      <w:pPr>
        <w:widowControl/>
        <w:spacing w:before="255" w:after="255" w:line="300" w:lineRule="atLeast"/>
        <w:rPr>
          <w:rFonts w:cs="Arial" w:asciiTheme="majorEastAsia" w:hAnsiTheme="majorEastAsia" w:eastAsiaTheme="majorEastAsia"/>
          <w:color w:val="auto"/>
          <w:kern w:val="0"/>
          <w:sz w:val="22"/>
          <w:szCs w:val="22"/>
          <w:highlight w:val="none"/>
        </w:rPr>
      </w:pPr>
      <w:r>
        <w:rPr>
          <w:rFonts w:hint="eastAsia" w:cs="Arial" w:asciiTheme="majorEastAsia" w:hAnsiTheme="majorEastAsia" w:eastAsiaTheme="majorEastAsia"/>
          <w:b/>
          <w:bCs/>
          <w:color w:val="auto"/>
          <w:kern w:val="0"/>
          <w:sz w:val="22"/>
          <w:szCs w:val="22"/>
          <w:highlight w:val="none"/>
        </w:rPr>
        <w:t>三、获取招标文件</w:t>
      </w:r>
      <w:r>
        <w:rPr>
          <w:rFonts w:hint="eastAsia" w:cs="宋体" w:asciiTheme="majorEastAsia" w:hAnsiTheme="majorEastAsia" w:eastAsiaTheme="majorEastAsia"/>
          <w:color w:val="auto"/>
          <w:kern w:val="0"/>
          <w:sz w:val="22"/>
          <w:szCs w:val="22"/>
          <w:highlight w:val="none"/>
        </w:rPr>
        <w:t> </w:t>
      </w:r>
    </w:p>
    <w:p>
      <w:pPr>
        <w:widowControl/>
        <w:spacing w:before="75" w:after="75" w:line="300" w:lineRule="atLeast"/>
        <w:jc w:val="left"/>
        <w:rPr>
          <w:rFonts w:hint="eastAsia"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时间：/至2024年</w:t>
      </w:r>
      <w:r>
        <w:rPr>
          <w:rFonts w:hint="eastAsia" w:cs="Arial" w:asciiTheme="majorEastAsia" w:hAnsiTheme="majorEastAsia" w:eastAsiaTheme="majorEastAsia"/>
          <w:color w:val="auto"/>
          <w:kern w:val="0"/>
          <w:sz w:val="22"/>
          <w:szCs w:val="22"/>
          <w:highlight w:val="none"/>
          <w:lang w:val="en-US" w:eastAsia="zh-CN"/>
        </w:rPr>
        <w:t>6</w:t>
      </w:r>
      <w:r>
        <w:rPr>
          <w:rFonts w:cs="Arial" w:asciiTheme="majorEastAsia" w:hAnsiTheme="majorEastAsia" w:eastAsiaTheme="majorEastAsia"/>
          <w:color w:val="auto"/>
          <w:kern w:val="0"/>
          <w:sz w:val="22"/>
          <w:szCs w:val="22"/>
          <w:highlight w:val="none"/>
        </w:rPr>
        <w:t>月</w:t>
      </w:r>
      <w:r>
        <w:rPr>
          <w:rFonts w:hint="eastAsia" w:cs="Arial" w:asciiTheme="majorEastAsia" w:hAnsiTheme="majorEastAsia" w:eastAsiaTheme="majorEastAsia"/>
          <w:color w:val="auto"/>
          <w:kern w:val="0"/>
          <w:sz w:val="22"/>
          <w:szCs w:val="22"/>
          <w:highlight w:val="none"/>
          <w:lang w:val="en-US" w:eastAsia="zh-CN"/>
        </w:rPr>
        <w:t>18</w:t>
      </w:r>
      <w:r>
        <w:rPr>
          <w:rFonts w:cs="Arial" w:asciiTheme="majorEastAsia" w:hAnsiTheme="majorEastAsia" w:eastAsiaTheme="majorEastAsia"/>
          <w:color w:val="auto"/>
          <w:kern w:val="0"/>
          <w:sz w:val="22"/>
          <w:szCs w:val="22"/>
          <w:highlight w:val="none"/>
        </w:rPr>
        <w:t>日 ，每天上午00:00至12:00 ，下午12:00至23:59（北京时间，线上获取法定节假日均可，线下获取文件法定节假日除外）</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地点（网址）：政采云平台线上获取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方式：供应商登录政采云平台https://www.zcygov.cn/在线申请获取采购文件（进入“项目采购”应用，在获取采购文件菜单中选择项目，申请获取采购文件）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售价（元）：0 </w:t>
      </w:r>
    </w:p>
    <w:p>
      <w:pPr>
        <w:widowControl/>
        <w:spacing w:before="255" w:after="255" w:line="300" w:lineRule="atLeast"/>
        <w:rPr>
          <w:rFonts w:cs="Arial" w:asciiTheme="majorEastAsia" w:hAnsiTheme="majorEastAsia" w:eastAsiaTheme="majorEastAsia"/>
          <w:color w:val="auto"/>
          <w:kern w:val="0"/>
          <w:sz w:val="22"/>
          <w:szCs w:val="22"/>
          <w:highlight w:val="none"/>
        </w:rPr>
      </w:pPr>
      <w:r>
        <w:rPr>
          <w:rFonts w:hint="eastAsia" w:cs="Arial" w:asciiTheme="majorEastAsia" w:hAnsiTheme="majorEastAsia" w:eastAsiaTheme="majorEastAsia"/>
          <w:b/>
          <w:bCs/>
          <w:color w:val="auto"/>
          <w:kern w:val="0"/>
          <w:sz w:val="22"/>
          <w:szCs w:val="22"/>
          <w:highlight w:val="none"/>
        </w:rPr>
        <w:t>四、提交投标文件截止时间、开标时间和地点</w:t>
      </w:r>
    </w:p>
    <w:p>
      <w:pPr>
        <w:widowControl/>
        <w:spacing w:before="75" w:after="75" w:line="300" w:lineRule="atLeast"/>
        <w:jc w:val="left"/>
        <w:rPr>
          <w:rFonts w:hint="eastAsia"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w:t>
      </w:r>
      <w:r>
        <w:rPr>
          <w:rFonts w:hint="eastAsia" w:cs="Arial" w:asciiTheme="majorEastAsia" w:hAnsiTheme="majorEastAsia" w:eastAsiaTheme="majorEastAsia"/>
          <w:color w:val="auto"/>
          <w:kern w:val="0"/>
          <w:sz w:val="22"/>
          <w:szCs w:val="22"/>
          <w:highlight w:val="none"/>
          <w:lang w:val="en-US" w:eastAsia="zh-CN"/>
        </w:rPr>
        <w:t xml:space="preserve"> </w:t>
      </w:r>
      <w:r>
        <w:rPr>
          <w:rFonts w:cs="Arial" w:asciiTheme="majorEastAsia" w:hAnsiTheme="majorEastAsia" w:eastAsiaTheme="majorEastAsia"/>
          <w:color w:val="auto"/>
          <w:kern w:val="0"/>
          <w:sz w:val="22"/>
          <w:szCs w:val="22"/>
          <w:highlight w:val="none"/>
        </w:rPr>
        <w:t>提交投标文件截止时间：2024年</w:t>
      </w:r>
      <w:r>
        <w:rPr>
          <w:rFonts w:hint="eastAsia" w:cs="Arial" w:asciiTheme="majorEastAsia" w:hAnsiTheme="majorEastAsia" w:eastAsiaTheme="majorEastAsia"/>
          <w:color w:val="auto"/>
          <w:kern w:val="0"/>
          <w:sz w:val="22"/>
          <w:szCs w:val="22"/>
          <w:highlight w:val="none"/>
          <w:lang w:val="en-US" w:eastAsia="zh-CN"/>
        </w:rPr>
        <w:t>6</w:t>
      </w:r>
      <w:r>
        <w:rPr>
          <w:rFonts w:cs="Arial" w:asciiTheme="majorEastAsia" w:hAnsiTheme="majorEastAsia" w:eastAsiaTheme="majorEastAsia"/>
          <w:color w:val="auto"/>
          <w:kern w:val="0"/>
          <w:sz w:val="22"/>
          <w:szCs w:val="22"/>
          <w:highlight w:val="none"/>
        </w:rPr>
        <w:t>月</w:t>
      </w:r>
      <w:r>
        <w:rPr>
          <w:rFonts w:hint="eastAsia" w:cs="Arial" w:asciiTheme="majorEastAsia" w:hAnsiTheme="majorEastAsia" w:eastAsiaTheme="majorEastAsia"/>
          <w:color w:val="auto"/>
          <w:kern w:val="0"/>
          <w:sz w:val="22"/>
          <w:szCs w:val="22"/>
          <w:highlight w:val="none"/>
          <w:lang w:val="en-US" w:eastAsia="zh-CN"/>
        </w:rPr>
        <w:t>18</w:t>
      </w:r>
      <w:r>
        <w:rPr>
          <w:rFonts w:cs="Arial" w:asciiTheme="majorEastAsia" w:hAnsiTheme="majorEastAsia" w:eastAsiaTheme="majorEastAsia"/>
          <w:color w:val="auto"/>
          <w:kern w:val="0"/>
          <w:sz w:val="22"/>
          <w:szCs w:val="22"/>
          <w:highlight w:val="none"/>
        </w:rPr>
        <w:t>日 09:30（北京时间）</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w:t>
      </w:r>
      <w:r>
        <w:rPr>
          <w:rFonts w:hint="eastAsia" w:cs="Arial" w:asciiTheme="majorEastAsia" w:hAnsiTheme="majorEastAsia" w:eastAsiaTheme="majorEastAsia"/>
          <w:color w:val="auto"/>
          <w:kern w:val="0"/>
          <w:sz w:val="22"/>
          <w:szCs w:val="22"/>
          <w:highlight w:val="none"/>
          <w:lang w:val="en-US" w:eastAsia="zh-CN"/>
        </w:rPr>
        <w:t xml:space="preserve"> </w:t>
      </w:r>
      <w:r>
        <w:rPr>
          <w:rFonts w:cs="Arial" w:asciiTheme="majorEastAsia" w:hAnsiTheme="majorEastAsia" w:eastAsiaTheme="majorEastAsia"/>
          <w:color w:val="auto"/>
          <w:kern w:val="0"/>
          <w:sz w:val="22"/>
          <w:szCs w:val="22"/>
          <w:highlight w:val="none"/>
        </w:rPr>
        <w:t>投标地点（网址）：请登录政采云投标客户端投标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开标时间：2024年</w:t>
      </w:r>
      <w:r>
        <w:rPr>
          <w:rFonts w:hint="eastAsia" w:cs="Arial" w:asciiTheme="majorEastAsia" w:hAnsiTheme="majorEastAsia" w:eastAsiaTheme="majorEastAsia"/>
          <w:color w:val="auto"/>
          <w:kern w:val="0"/>
          <w:sz w:val="22"/>
          <w:szCs w:val="22"/>
          <w:highlight w:val="none"/>
          <w:lang w:val="en-US" w:eastAsia="zh-CN"/>
        </w:rPr>
        <w:t>6</w:t>
      </w:r>
      <w:r>
        <w:rPr>
          <w:rFonts w:cs="Arial" w:asciiTheme="majorEastAsia" w:hAnsiTheme="majorEastAsia" w:eastAsiaTheme="majorEastAsia"/>
          <w:color w:val="auto"/>
          <w:kern w:val="0"/>
          <w:sz w:val="22"/>
          <w:szCs w:val="22"/>
          <w:highlight w:val="none"/>
        </w:rPr>
        <w:t>月</w:t>
      </w:r>
      <w:r>
        <w:rPr>
          <w:rFonts w:hint="eastAsia" w:cs="Arial" w:asciiTheme="majorEastAsia" w:hAnsiTheme="majorEastAsia" w:eastAsiaTheme="majorEastAsia"/>
          <w:color w:val="auto"/>
          <w:kern w:val="0"/>
          <w:sz w:val="22"/>
          <w:szCs w:val="22"/>
          <w:highlight w:val="none"/>
          <w:lang w:val="en-US" w:eastAsia="zh-CN"/>
        </w:rPr>
        <w:t>18</w:t>
      </w:r>
      <w:r>
        <w:rPr>
          <w:rFonts w:cs="Arial" w:asciiTheme="majorEastAsia" w:hAnsiTheme="majorEastAsia" w:eastAsiaTheme="majorEastAsia"/>
          <w:color w:val="auto"/>
          <w:kern w:val="0"/>
          <w:sz w:val="22"/>
          <w:szCs w:val="22"/>
          <w:highlight w:val="none"/>
        </w:rPr>
        <w:t>日 09:30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开标地点（网址）：温州市永嘉县南城街道环城北路云碓大厦503室  </w:t>
      </w:r>
    </w:p>
    <w:p>
      <w:pPr>
        <w:widowControl/>
        <w:spacing w:before="255" w:after="255" w:line="300" w:lineRule="atLeast"/>
        <w:rPr>
          <w:rFonts w:cs="Arial" w:asciiTheme="majorEastAsia" w:hAnsiTheme="majorEastAsia" w:eastAsiaTheme="majorEastAsia"/>
          <w:color w:val="auto"/>
          <w:kern w:val="0"/>
          <w:sz w:val="22"/>
          <w:szCs w:val="22"/>
          <w:highlight w:val="none"/>
        </w:rPr>
      </w:pPr>
      <w:r>
        <w:rPr>
          <w:rFonts w:hint="eastAsia" w:cs="Arial" w:asciiTheme="majorEastAsia" w:hAnsiTheme="majorEastAsia" w:eastAsiaTheme="majorEastAsia"/>
          <w:b/>
          <w:bCs/>
          <w:color w:val="auto"/>
          <w:kern w:val="0"/>
          <w:sz w:val="22"/>
          <w:szCs w:val="22"/>
          <w:highlight w:val="none"/>
        </w:rPr>
        <w:t>五、公告期限</w:t>
      </w:r>
      <w:r>
        <w:rPr>
          <w:rFonts w:hint="eastAsia" w:cs="宋体" w:asciiTheme="majorEastAsia" w:hAnsiTheme="majorEastAsia" w:eastAsiaTheme="majorEastAsia"/>
          <w:color w:val="auto"/>
          <w:kern w:val="0"/>
          <w:sz w:val="22"/>
          <w:szCs w:val="22"/>
          <w:highlight w:val="none"/>
        </w:rPr>
        <w:t> </w:t>
      </w:r>
    </w:p>
    <w:p>
      <w:pPr>
        <w:widowControl/>
        <w:spacing w:before="75" w:after="75"/>
        <w:jc w:val="left"/>
        <w:rPr>
          <w:rFonts w:hint="eastAsia"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自本公告发布之日起5个工作日。</w:t>
      </w:r>
    </w:p>
    <w:p>
      <w:pPr>
        <w:widowControl/>
        <w:spacing w:before="255" w:after="255" w:line="300" w:lineRule="atLeast"/>
        <w:rPr>
          <w:rFonts w:cs="Arial" w:asciiTheme="majorEastAsia" w:hAnsiTheme="majorEastAsia" w:eastAsiaTheme="majorEastAsia"/>
          <w:color w:val="auto"/>
          <w:kern w:val="0"/>
          <w:sz w:val="22"/>
          <w:szCs w:val="22"/>
          <w:highlight w:val="none"/>
        </w:rPr>
      </w:pPr>
      <w:r>
        <w:rPr>
          <w:rFonts w:hint="eastAsia" w:cs="Arial" w:asciiTheme="majorEastAsia" w:hAnsiTheme="majorEastAsia" w:eastAsiaTheme="majorEastAsia"/>
          <w:b/>
          <w:bCs/>
          <w:color w:val="auto"/>
          <w:kern w:val="0"/>
          <w:sz w:val="22"/>
          <w:szCs w:val="22"/>
          <w:highlight w:val="none"/>
        </w:rPr>
        <w:t>六、其他补充事宜</w:t>
      </w:r>
    </w:p>
    <w:p>
      <w:pPr>
        <w:widowControl/>
        <w:spacing w:before="255" w:after="255" w:line="300" w:lineRule="atLeast"/>
        <w:ind w:firstLine="480"/>
        <w:rPr>
          <w:rFonts w:hint="eastAsia"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spacing w:before="255" w:after="255" w:line="300" w:lineRule="atLeast"/>
        <w:ind w:firstLine="480"/>
        <w:rPr>
          <w:rFonts w:hint="eastAsia"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widowControl/>
        <w:spacing w:before="75" w:after="75" w:line="360" w:lineRule="atLeast"/>
        <w:ind w:firstLine="480"/>
        <w:jc w:val="left"/>
        <w:rPr>
          <w:rFonts w:hint="eastAsia"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3.其他事项：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“政采云电子交易客户端”请自行前往“浙江政府采购网-下载专区-电子交易客户端”进行下载；通过“政府采购云平台”参与在线投标时如遇平台技术问题详询95763。 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CA驱动和申领流程”进行查阅。 3、采购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 注：请供应商按上述要求获取采购文件，如未在“政采云”系统内完成相关流程，引起的投标无效责任自负。   </w:t>
      </w:r>
    </w:p>
    <w:p>
      <w:pPr>
        <w:widowControl/>
        <w:spacing w:before="255" w:after="255" w:line="480" w:lineRule="atLeast"/>
        <w:rPr>
          <w:rFonts w:cs="Arial" w:asciiTheme="majorEastAsia" w:hAnsiTheme="majorEastAsia" w:eastAsiaTheme="majorEastAsia"/>
          <w:color w:val="auto"/>
          <w:kern w:val="0"/>
          <w:sz w:val="22"/>
          <w:szCs w:val="22"/>
          <w:highlight w:val="none"/>
        </w:rPr>
      </w:pPr>
      <w:r>
        <w:rPr>
          <w:rFonts w:hint="eastAsia" w:cs="Arial" w:asciiTheme="majorEastAsia" w:hAnsiTheme="majorEastAsia" w:eastAsiaTheme="majorEastAsia"/>
          <w:b/>
          <w:bCs/>
          <w:color w:val="auto"/>
          <w:kern w:val="0"/>
          <w:sz w:val="22"/>
          <w:szCs w:val="22"/>
          <w:highlight w:val="none"/>
        </w:rPr>
        <w:t>七、对本次采购提出询问、质疑、投诉，请按以下方式联系</w:t>
      </w:r>
    </w:p>
    <w:p>
      <w:pPr>
        <w:widowControl/>
        <w:spacing w:before="75" w:after="75" w:line="300" w:lineRule="atLeast"/>
        <w:jc w:val="left"/>
        <w:rPr>
          <w:rFonts w:hint="eastAsia"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1.采购人信息</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xml:space="preserve">    </w:t>
      </w:r>
      <w:r>
        <w:rPr>
          <w:rFonts w:hint="eastAsia" w:cs="Arial" w:asciiTheme="majorEastAsia" w:hAnsiTheme="majorEastAsia" w:eastAsiaTheme="majorEastAsia"/>
          <w:color w:val="auto"/>
          <w:kern w:val="0"/>
          <w:sz w:val="22"/>
          <w:szCs w:val="22"/>
          <w:highlight w:val="none"/>
        </w:rPr>
        <w:t>名    称：</w:t>
      </w:r>
      <w:r>
        <w:rPr>
          <w:rFonts w:hint="eastAsia" w:cs="Arial" w:asciiTheme="majorEastAsia" w:hAnsiTheme="majorEastAsia" w:eastAsiaTheme="majorEastAsia"/>
          <w:color w:val="auto"/>
          <w:kern w:val="0"/>
          <w:sz w:val="22"/>
          <w:szCs w:val="22"/>
          <w:highlight w:val="none"/>
          <w:lang w:eastAsia="zh-CN"/>
        </w:rPr>
        <w:t>中共永嘉县委组织部</w:t>
      </w:r>
      <w:r>
        <w:rPr>
          <w:rFonts w:hint="eastAsia" w:cs="Arial" w:asciiTheme="majorEastAsia" w:hAnsiTheme="majorEastAsia" w:eastAsiaTheme="majorEastAsia"/>
          <w:color w:val="auto"/>
          <w:kern w:val="0"/>
          <w:sz w:val="22"/>
          <w:szCs w:val="22"/>
          <w:highlight w:val="none"/>
        </w:rPr>
        <w:t>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hint="eastAsia" w:cs="Arial" w:asciiTheme="majorEastAsia" w:hAnsiTheme="majorEastAsia" w:eastAsiaTheme="majorEastAsia"/>
          <w:color w:val="auto"/>
          <w:kern w:val="0"/>
          <w:sz w:val="22"/>
          <w:szCs w:val="22"/>
          <w:highlight w:val="none"/>
        </w:rPr>
        <w:t>    地    址：</w:t>
      </w:r>
      <w:r>
        <w:rPr>
          <w:rFonts w:hint="eastAsia" w:cs="Arial" w:asciiTheme="majorEastAsia" w:hAnsiTheme="majorEastAsia" w:eastAsiaTheme="majorEastAsia"/>
          <w:color w:val="auto"/>
          <w:kern w:val="0"/>
          <w:sz w:val="22"/>
          <w:szCs w:val="22"/>
          <w:highlight w:val="none"/>
          <w:lang w:eastAsia="zh-CN"/>
        </w:rPr>
        <w:t>永嘉县上塘中心城区县前路94号</w:t>
      </w:r>
      <w:r>
        <w:rPr>
          <w:rFonts w:hint="eastAsia" w:cs="Arial" w:asciiTheme="majorEastAsia" w:hAnsiTheme="majorEastAsia" w:eastAsiaTheme="majorEastAsia"/>
          <w:color w:val="auto"/>
          <w:kern w:val="0"/>
          <w:sz w:val="22"/>
          <w:szCs w:val="22"/>
          <w:highlight w:val="none"/>
        </w:rPr>
        <w:t>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hint="eastAsia" w:cs="Arial" w:asciiTheme="majorEastAsia" w:hAnsiTheme="majorEastAsia" w:eastAsiaTheme="majorEastAsia"/>
          <w:color w:val="auto"/>
          <w:kern w:val="0"/>
          <w:sz w:val="22"/>
          <w:szCs w:val="22"/>
          <w:highlight w:val="none"/>
        </w:rPr>
        <w:t>    传    真：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hint="eastAsia" w:cs="Arial" w:asciiTheme="majorEastAsia" w:hAnsiTheme="majorEastAsia" w:eastAsiaTheme="majorEastAsia"/>
          <w:color w:val="auto"/>
          <w:kern w:val="0"/>
          <w:sz w:val="22"/>
          <w:szCs w:val="22"/>
          <w:highlight w:val="none"/>
        </w:rPr>
        <w:t>    项目联系人（询问）：</w:t>
      </w:r>
      <w:r>
        <w:rPr>
          <w:rFonts w:hint="eastAsia" w:cs="Arial" w:asciiTheme="majorEastAsia" w:hAnsiTheme="majorEastAsia" w:eastAsiaTheme="majorEastAsia"/>
          <w:color w:val="auto"/>
          <w:kern w:val="0"/>
          <w:sz w:val="22"/>
          <w:szCs w:val="22"/>
          <w:highlight w:val="none"/>
          <w:lang w:val="en-US" w:eastAsia="zh-CN"/>
        </w:rPr>
        <w:t>诸葛先生</w:t>
      </w:r>
      <w:r>
        <w:rPr>
          <w:rFonts w:hint="eastAsia" w:cs="Arial" w:asciiTheme="majorEastAsia" w:hAnsiTheme="majorEastAsia" w:eastAsiaTheme="majorEastAsia"/>
          <w:color w:val="auto"/>
          <w:kern w:val="0"/>
          <w:sz w:val="22"/>
          <w:szCs w:val="22"/>
          <w:highlight w:val="none"/>
        </w:rPr>
        <w:t>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hint="eastAsia" w:cs="Arial" w:asciiTheme="majorEastAsia" w:hAnsiTheme="majorEastAsia" w:eastAsiaTheme="majorEastAsia"/>
          <w:color w:val="auto"/>
          <w:kern w:val="0"/>
          <w:sz w:val="22"/>
          <w:szCs w:val="22"/>
          <w:highlight w:val="none"/>
        </w:rPr>
        <w:t>    项目联系方式（询问）：15857731788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hint="eastAsia" w:cs="Arial" w:asciiTheme="majorEastAsia" w:hAnsiTheme="majorEastAsia" w:eastAsiaTheme="majorEastAsia"/>
          <w:color w:val="auto"/>
          <w:kern w:val="0"/>
          <w:sz w:val="22"/>
          <w:szCs w:val="22"/>
          <w:highlight w:val="none"/>
        </w:rPr>
        <w:t>    质疑联系人：</w:t>
      </w:r>
      <w:r>
        <w:rPr>
          <w:rFonts w:hint="eastAsia" w:cs="Arial" w:asciiTheme="majorEastAsia" w:hAnsiTheme="majorEastAsia" w:eastAsiaTheme="majorEastAsia"/>
          <w:color w:val="auto"/>
          <w:kern w:val="0"/>
          <w:sz w:val="22"/>
          <w:szCs w:val="22"/>
          <w:highlight w:val="none"/>
          <w:lang w:val="en-US" w:eastAsia="zh-CN"/>
        </w:rPr>
        <w:t>诸葛先生</w:t>
      </w:r>
      <w:r>
        <w:rPr>
          <w:rFonts w:hint="eastAsia" w:cs="Arial" w:asciiTheme="majorEastAsia" w:hAnsiTheme="majorEastAsia" w:eastAsiaTheme="majorEastAsia"/>
          <w:color w:val="auto"/>
          <w:kern w:val="0"/>
          <w:sz w:val="22"/>
          <w:szCs w:val="22"/>
          <w:highlight w:val="none"/>
        </w:rPr>
        <w:t>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hint="eastAsia" w:cs="Arial" w:asciiTheme="majorEastAsia" w:hAnsiTheme="majorEastAsia" w:eastAsiaTheme="majorEastAsia"/>
          <w:color w:val="auto"/>
          <w:kern w:val="0"/>
          <w:sz w:val="22"/>
          <w:szCs w:val="22"/>
          <w:highlight w:val="none"/>
        </w:rPr>
        <w:t>    质疑联系方式：15857731788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w:t>
      </w:r>
      <w:r>
        <w:rPr>
          <w:rFonts w:cs="Arial" w:asciiTheme="majorEastAsia" w:hAnsiTheme="majorEastAsia" w:eastAsiaTheme="majorEastAsia"/>
          <w:color w:val="auto"/>
          <w:kern w:val="0"/>
          <w:sz w:val="22"/>
          <w:szCs w:val="22"/>
          <w:highlight w:val="none"/>
        </w:rPr>
        <w:br w:type="textWrapping"/>
      </w:r>
      <w:r>
        <w:rPr>
          <w:rFonts w:cs="Arial" w:asciiTheme="majorEastAsia" w:hAnsiTheme="majorEastAsia" w:eastAsiaTheme="majorEastAsia"/>
          <w:color w:val="auto"/>
          <w:kern w:val="0"/>
          <w:sz w:val="22"/>
          <w:szCs w:val="22"/>
          <w:highlight w:val="none"/>
        </w:rPr>
        <w:t>    2.采购代理机构信息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名    称：温州市中概工程管理咨询有限公司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地    址：温州市永嘉县南城街道环城北路618号云碓大厦503室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传    真：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项目联系人（询问）：胡可可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项目联系方式（询问）：15258683545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质疑联系人：余茜茜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质疑联系方式：13567723502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w:t>
      </w:r>
      <w:r>
        <w:rPr>
          <w:rFonts w:cs="Arial" w:asciiTheme="majorEastAsia" w:hAnsiTheme="majorEastAsia" w:eastAsiaTheme="majorEastAsia"/>
          <w:color w:val="auto"/>
          <w:kern w:val="0"/>
          <w:sz w:val="22"/>
          <w:szCs w:val="22"/>
          <w:highlight w:val="none"/>
        </w:rPr>
        <w:br w:type="textWrapping"/>
      </w:r>
      <w:r>
        <w:rPr>
          <w:rFonts w:cs="Arial" w:asciiTheme="majorEastAsia" w:hAnsiTheme="majorEastAsia" w:eastAsiaTheme="majorEastAsia"/>
          <w:color w:val="auto"/>
          <w:kern w:val="0"/>
          <w:sz w:val="22"/>
          <w:szCs w:val="22"/>
          <w:highlight w:val="none"/>
        </w:rPr>
        <w:t>    3.</w:t>
      </w:r>
      <w:r>
        <w:rPr>
          <w:rFonts w:cs="宋体" w:asciiTheme="majorEastAsia" w:hAnsiTheme="majorEastAsia" w:eastAsiaTheme="majorEastAsia"/>
          <w:color w:val="auto"/>
          <w:kern w:val="0"/>
          <w:sz w:val="22"/>
          <w:szCs w:val="22"/>
          <w:highlight w:val="none"/>
        </w:rPr>
        <w:t>同级政府采购监督管理部门</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名    称：永嘉县财政局</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地    址：</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传    真：</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联 系 人：沈女士</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监督投诉电话：0577-67230257</w:t>
      </w:r>
    </w:p>
    <w:p>
      <w:pPr>
        <w:widowControl/>
        <w:spacing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w:t>
      </w:r>
    </w:p>
    <w:p>
      <w:pPr>
        <w:widowControl/>
        <w:spacing w:before="75" w:after="75" w:line="300" w:lineRule="atLeast"/>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         </w:t>
      </w:r>
    </w:p>
    <w:p>
      <w:pPr>
        <w:widowControl/>
        <w:spacing w:before="75" w:after="75"/>
        <w:jc w:val="left"/>
        <w:rPr>
          <w:rFonts w:cs="Arial" w:asciiTheme="majorEastAsia" w:hAnsiTheme="majorEastAsia" w:eastAsiaTheme="majorEastAsia"/>
          <w:color w:val="auto"/>
          <w:kern w:val="0"/>
          <w:sz w:val="22"/>
          <w:szCs w:val="22"/>
          <w:highlight w:val="none"/>
        </w:rPr>
      </w:pPr>
    </w:p>
    <w:p>
      <w:pPr>
        <w:widowControl/>
        <w:jc w:val="left"/>
        <w:rPr>
          <w:rFonts w:cs="Arial" w:asciiTheme="majorEastAsia" w:hAnsiTheme="majorEastAsia" w:eastAsiaTheme="majorEastAsia"/>
          <w:color w:val="auto"/>
          <w:kern w:val="0"/>
          <w:sz w:val="22"/>
          <w:szCs w:val="22"/>
          <w:highlight w:val="none"/>
        </w:rPr>
      </w:pPr>
      <w:r>
        <w:rPr>
          <w:rFonts w:cs="Arial" w:asciiTheme="majorEastAsia" w:hAnsiTheme="majorEastAsia" w:eastAsiaTheme="majorEastAsia"/>
          <w:color w:val="auto"/>
          <w:kern w:val="0"/>
          <w:sz w:val="22"/>
          <w:szCs w:val="22"/>
          <w:highlight w:val="none"/>
        </w:rPr>
        <w:t>若对项目采购电子交易系统操作有疑问，可登录政采云（https://www.zcygov.cn/），点击右侧咨询小采，获取采小蜜智能服务管家帮助，或拨打政采云服务热线95763获取热线服务帮助。       </w:t>
      </w:r>
    </w:p>
    <w:p>
      <w:pPr>
        <w:widowControl/>
        <w:jc w:val="left"/>
        <w:rPr>
          <w:rFonts w:cs="宋体" w:asciiTheme="majorEastAsia" w:hAnsiTheme="majorEastAsia" w:eastAsiaTheme="majorEastAsia"/>
          <w:color w:val="auto"/>
          <w:kern w:val="0"/>
          <w:sz w:val="22"/>
          <w:szCs w:val="22"/>
          <w:highlight w:val="none"/>
        </w:rPr>
      </w:pPr>
      <w:r>
        <w:rPr>
          <w:rFonts w:cs="宋体" w:asciiTheme="majorEastAsia" w:hAnsiTheme="majorEastAsia" w:eastAsiaTheme="majorEastAsia"/>
          <w:color w:val="auto"/>
          <w:kern w:val="0"/>
          <w:sz w:val="22"/>
          <w:szCs w:val="22"/>
          <w:highlight w:val="none"/>
        </w:rPr>
        <w:t>CA问题联系电话（人工）：汇信CA 400-888-4636；天谷CA 400-087-8198。</w:t>
      </w:r>
    </w:p>
    <w:p>
      <w:pPr>
        <w:pStyle w:val="40"/>
        <w:rPr>
          <w:rFonts w:cs="新宋体" w:asciiTheme="majorEastAsia" w:hAnsiTheme="majorEastAsia" w:eastAsiaTheme="majorEastAsia"/>
          <w:color w:val="auto"/>
          <w:sz w:val="30"/>
          <w:szCs w:val="30"/>
          <w:highlight w:val="none"/>
        </w:rPr>
      </w:pPr>
    </w:p>
    <w:p>
      <w:pPr>
        <w:rPr>
          <w:rFonts w:cs="新宋体" w:asciiTheme="majorEastAsia" w:hAnsiTheme="majorEastAsia" w:eastAsiaTheme="majorEastAsia"/>
          <w:color w:val="auto"/>
          <w:sz w:val="30"/>
          <w:szCs w:val="30"/>
          <w:highlight w:val="none"/>
        </w:rPr>
      </w:pPr>
      <w:r>
        <w:rPr>
          <w:rFonts w:hint="eastAsia" w:cs="新宋体" w:asciiTheme="majorEastAsia" w:hAnsiTheme="majorEastAsia" w:eastAsiaTheme="majorEastAsia"/>
          <w:color w:val="auto"/>
          <w:sz w:val="30"/>
          <w:szCs w:val="30"/>
          <w:highlight w:val="none"/>
        </w:rPr>
        <w:br w:type="page"/>
      </w:r>
    </w:p>
    <w:p>
      <w:pPr>
        <w:pStyle w:val="40"/>
        <w:rPr>
          <w:rFonts w:cs="新宋体" w:asciiTheme="majorEastAsia" w:hAnsiTheme="majorEastAsia" w:eastAsiaTheme="majorEastAsia"/>
          <w:color w:val="auto"/>
          <w:sz w:val="30"/>
          <w:szCs w:val="30"/>
          <w:highlight w:val="none"/>
        </w:rPr>
      </w:pPr>
      <w:bookmarkStart w:id="6" w:name="_Toc17480"/>
      <w:r>
        <w:rPr>
          <w:rFonts w:hint="eastAsia" w:cs="新宋体" w:asciiTheme="majorEastAsia" w:hAnsiTheme="majorEastAsia" w:eastAsiaTheme="majorEastAsia"/>
          <w:color w:val="auto"/>
          <w:sz w:val="30"/>
          <w:szCs w:val="30"/>
          <w:highlight w:val="none"/>
        </w:rPr>
        <w:t>第一部分  投标通知(邀请)书</w:t>
      </w:r>
      <w:bookmarkEnd w:id="3"/>
      <w:bookmarkEnd w:id="4"/>
      <w:bookmarkEnd w:id="6"/>
    </w:p>
    <w:tbl>
      <w:tblPr>
        <w:tblStyle w:val="43"/>
        <w:tblW w:w="102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94"/>
        <w:gridCol w:w="1715"/>
        <w:gridCol w:w="78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spacing w:line="400" w:lineRule="atLeast"/>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序号</w:t>
            </w:r>
          </w:p>
        </w:tc>
        <w:tc>
          <w:tcPr>
            <w:tcW w:w="1715" w:type="dxa"/>
            <w:vAlign w:val="center"/>
          </w:tcPr>
          <w:p>
            <w:pPr>
              <w:spacing w:line="400" w:lineRule="atLeast"/>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内容</w:t>
            </w:r>
          </w:p>
        </w:tc>
        <w:tc>
          <w:tcPr>
            <w:tcW w:w="7821" w:type="dxa"/>
            <w:vAlign w:val="center"/>
          </w:tcPr>
          <w:p>
            <w:pPr>
              <w:spacing w:line="400" w:lineRule="atLeast"/>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94"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1</w:t>
            </w:r>
          </w:p>
        </w:tc>
        <w:tc>
          <w:tcPr>
            <w:tcW w:w="1715" w:type="dxa"/>
            <w:vAlign w:val="center"/>
          </w:tcPr>
          <w:p>
            <w:pPr>
              <w:adjustRightInd w:val="0"/>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采购人</w:t>
            </w:r>
          </w:p>
        </w:tc>
        <w:tc>
          <w:tcPr>
            <w:tcW w:w="7821" w:type="dxa"/>
            <w:vAlign w:val="center"/>
          </w:tcPr>
          <w:p>
            <w:pPr>
              <w:adjustRightInd w:val="0"/>
              <w:rPr>
                <w:rFonts w:hint="eastAsia" w:cs="宋体" w:asciiTheme="majorEastAsia" w:hAnsiTheme="majorEastAsia" w:eastAsiaTheme="majorEastAsia"/>
                <w:color w:val="auto"/>
                <w:sz w:val="22"/>
                <w:szCs w:val="22"/>
                <w:highlight w:val="none"/>
                <w:lang w:eastAsia="zh-CN"/>
              </w:rPr>
            </w:pPr>
            <w:r>
              <w:rPr>
                <w:rFonts w:hint="eastAsia" w:cs="宋体" w:asciiTheme="majorEastAsia" w:hAnsiTheme="majorEastAsia" w:eastAsiaTheme="majorEastAsia"/>
                <w:color w:val="auto"/>
                <w:sz w:val="22"/>
                <w:szCs w:val="22"/>
                <w:highlight w:val="none"/>
              </w:rPr>
              <w:t>名称：</w:t>
            </w:r>
            <w:r>
              <w:rPr>
                <w:rFonts w:hint="eastAsia" w:cs="宋体" w:asciiTheme="majorEastAsia" w:hAnsiTheme="majorEastAsia" w:eastAsiaTheme="majorEastAsia"/>
                <w:color w:val="auto"/>
                <w:sz w:val="22"/>
                <w:szCs w:val="22"/>
                <w:highlight w:val="none"/>
                <w:lang w:eastAsia="zh-CN"/>
              </w:rPr>
              <w:t>中共永嘉县委组织部</w:t>
            </w:r>
          </w:p>
          <w:p>
            <w:pPr>
              <w:adjustRightInd w:val="0"/>
              <w:rPr>
                <w:rFonts w:hint="eastAsia"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项目联系人（询问）：诸葛先生 </w:t>
            </w:r>
          </w:p>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项目联系方式（询问）：15857731788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2</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采购代理机构</w:t>
            </w:r>
          </w:p>
        </w:tc>
        <w:tc>
          <w:tcPr>
            <w:tcW w:w="7821" w:type="dxa"/>
            <w:vAlign w:val="center"/>
          </w:tcPr>
          <w:p>
            <w:pPr>
              <w:adjustRightInd w:val="0"/>
              <w:rPr>
                <w:rFonts w:cs="宋体" w:asciiTheme="majorEastAsia" w:hAnsiTheme="majorEastAsia" w:eastAsiaTheme="majorEastAsia"/>
                <w:bCs/>
                <w:color w:val="auto"/>
                <w:sz w:val="22"/>
                <w:szCs w:val="22"/>
                <w:highlight w:val="none"/>
              </w:rPr>
            </w:pPr>
            <w:r>
              <w:rPr>
                <w:rFonts w:hint="eastAsia" w:cs="宋体" w:asciiTheme="majorEastAsia" w:hAnsiTheme="majorEastAsia" w:eastAsiaTheme="majorEastAsia"/>
                <w:bCs/>
                <w:color w:val="auto"/>
                <w:sz w:val="22"/>
                <w:szCs w:val="22"/>
                <w:highlight w:val="none"/>
              </w:rPr>
              <w:t>采购代理机构名称：温州市中概工程管理咨询有限公司</w:t>
            </w:r>
          </w:p>
          <w:p>
            <w:pPr>
              <w:adjustRightInd w:val="0"/>
              <w:rPr>
                <w:rFonts w:cs="宋体" w:asciiTheme="majorEastAsia" w:hAnsiTheme="majorEastAsia" w:eastAsiaTheme="majorEastAsia"/>
                <w:bCs/>
                <w:color w:val="auto"/>
                <w:sz w:val="22"/>
                <w:szCs w:val="22"/>
                <w:highlight w:val="none"/>
              </w:rPr>
            </w:pPr>
            <w:r>
              <w:rPr>
                <w:rFonts w:hint="eastAsia" w:cs="宋体" w:asciiTheme="majorEastAsia" w:hAnsiTheme="majorEastAsia" w:eastAsiaTheme="majorEastAsia"/>
                <w:bCs/>
                <w:color w:val="auto"/>
                <w:sz w:val="22"/>
                <w:szCs w:val="22"/>
                <w:highlight w:val="none"/>
              </w:rPr>
              <w:t>地点：温州市永嘉县南城街道环城北路云碓大厦503室</w:t>
            </w:r>
          </w:p>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联 系 人：胡可可</w:t>
            </w:r>
          </w:p>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联系电话：15258683545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3</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项目名称及项目编号</w:t>
            </w:r>
          </w:p>
        </w:tc>
        <w:tc>
          <w:tcPr>
            <w:tcW w:w="7821" w:type="dxa"/>
            <w:vAlign w:val="center"/>
          </w:tcPr>
          <w:p>
            <w:pPr>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kern w:val="0"/>
                <w:sz w:val="22"/>
                <w:szCs w:val="22"/>
                <w:highlight w:val="none"/>
              </w:rPr>
              <w:t>项目名称：</w:t>
            </w:r>
            <w:r>
              <w:rPr>
                <w:rFonts w:hint="eastAsia" w:cs="宋体" w:asciiTheme="majorEastAsia" w:hAnsiTheme="majorEastAsia" w:eastAsiaTheme="majorEastAsia"/>
                <w:bCs/>
                <w:color w:val="auto"/>
                <w:sz w:val="22"/>
                <w:szCs w:val="22"/>
                <w:highlight w:val="none"/>
                <w:lang w:eastAsia="zh-CN"/>
              </w:rPr>
              <w:t>中共永嘉县委组织部人才疗休养服务</w:t>
            </w:r>
          </w:p>
          <w:p>
            <w:pPr>
              <w:rPr>
                <w:rFonts w:hint="eastAsia" w:eastAsia="新宋体" w:cs="宋体" w:asciiTheme="majorEastAsia" w:hAnsiTheme="majorEastAsia"/>
                <w:color w:val="auto"/>
                <w:sz w:val="22"/>
                <w:szCs w:val="22"/>
                <w:highlight w:val="none"/>
                <w:lang w:eastAsia="zh-CN"/>
              </w:rPr>
            </w:pPr>
            <w:r>
              <w:rPr>
                <w:rFonts w:hint="eastAsia" w:ascii="新宋体" w:hAnsi="新宋体" w:eastAsia="新宋体" w:cs="新宋体"/>
                <w:color w:val="auto"/>
                <w:kern w:val="0"/>
                <w:sz w:val="22"/>
                <w:szCs w:val="22"/>
                <w:highlight w:val="none"/>
              </w:rPr>
              <w:t>项目编号：</w:t>
            </w:r>
            <w:r>
              <w:rPr>
                <w:rFonts w:hint="eastAsia" w:cs="宋体" w:asciiTheme="majorEastAsia" w:hAnsiTheme="majorEastAsia" w:eastAsiaTheme="majorEastAsia"/>
                <w:color w:val="auto"/>
                <w:sz w:val="22"/>
                <w:szCs w:val="22"/>
                <w:highlight w:val="none"/>
                <w:lang w:eastAsia="zh-CN"/>
              </w:rPr>
              <w:t>ZGCG-20240530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4</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采购预算</w:t>
            </w:r>
          </w:p>
        </w:tc>
        <w:tc>
          <w:tcPr>
            <w:tcW w:w="7821" w:type="dxa"/>
            <w:vAlign w:val="center"/>
          </w:tcPr>
          <w:p>
            <w:pPr>
              <w:rPr>
                <w:rFonts w:ascii="宋体" w:eastAsia="宋体"/>
                <w:b/>
                <w:bCs/>
                <w:color w:val="auto"/>
                <w:sz w:val="22"/>
                <w:szCs w:val="22"/>
                <w:highlight w:val="none"/>
                <w:u w:val="single"/>
              </w:rPr>
            </w:pPr>
            <w:bookmarkStart w:id="7" w:name="_Hlk70664164"/>
            <w:r>
              <w:rPr>
                <w:rFonts w:ascii="宋体" w:eastAsia="宋体"/>
                <w:b/>
                <w:bCs/>
                <w:color w:val="auto"/>
                <w:sz w:val="22"/>
                <w:szCs w:val="22"/>
                <w:highlight w:val="none"/>
                <w:u w:val="single"/>
              </w:rPr>
              <w:t>▲预算金额：</w:t>
            </w:r>
            <w:r>
              <w:rPr>
                <w:rFonts w:hint="eastAsia" w:ascii="宋体" w:eastAsia="宋体"/>
                <w:b/>
                <w:bCs/>
                <w:color w:val="auto"/>
                <w:sz w:val="22"/>
                <w:szCs w:val="22"/>
                <w:highlight w:val="none"/>
                <w:u w:val="single"/>
                <w:lang w:val="en-US" w:eastAsia="zh-CN"/>
              </w:rPr>
              <w:t>80</w:t>
            </w:r>
            <w:r>
              <w:rPr>
                <w:rFonts w:hint="eastAsia" w:ascii="宋体" w:eastAsia="宋体"/>
                <w:b/>
                <w:bCs/>
                <w:color w:val="auto"/>
                <w:sz w:val="22"/>
                <w:szCs w:val="22"/>
                <w:highlight w:val="none"/>
                <w:u w:val="single"/>
              </w:rPr>
              <w:t>万元，具体出行线路、出行次数、人数以采购人实际需求为准</w:t>
            </w:r>
            <w:r>
              <w:rPr>
                <w:rFonts w:ascii="宋体" w:eastAsia="宋体"/>
                <w:b/>
                <w:bCs/>
                <w:color w:val="auto"/>
                <w:sz w:val="22"/>
                <w:szCs w:val="22"/>
                <w:highlight w:val="none"/>
                <w:u w:val="single"/>
              </w:rPr>
              <w:t>。</w:t>
            </w:r>
          </w:p>
          <w:p>
            <w:pPr>
              <w:adjustRightInd w:val="0"/>
              <w:rPr>
                <w:rFonts w:cs="宋体" w:asciiTheme="majorEastAsia" w:hAnsiTheme="majorEastAsia" w:eastAsiaTheme="majorEastAsia"/>
                <w:color w:val="auto"/>
                <w:sz w:val="22"/>
                <w:szCs w:val="22"/>
                <w:highlight w:val="none"/>
              </w:rPr>
            </w:pPr>
            <w:r>
              <w:rPr>
                <w:rFonts w:hint="eastAsia" w:ascii="宋体" w:eastAsia="宋体"/>
                <w:b/>
                <w:bCs/>
                <w:color w:val="auto"/>
                <w:sz w:val="22"/>
                <w:szCs w:val="22"/>
                <w:highlight w:val="none"/>
                <w:u w:val="single"/>
              </w:rPr>
              <w:t>▲本项目所有线路均为固定报价：7</w:t>
            </w:r>
            <w:r>
              <w:rPr>
                <w:rFonts w:ascii="宋体" w:eastAsia="宋体"/>
                <w:b/>
                <w:bCs/>
                <w:color w:val="auto"/>
                <w:sz w:val="22"/>
                <w:szCs w:val="22"/>
                <w:highlight w:val="none"/>
                <w:u w:val="single"/>
              </w:rPr>
              <w:t>500</w:t>
            </w:r>
            <w:r>
              <w:rPr>
                <w:rFonts w:hint="eastAsia" w:ascii="宋体" w:eastAsia="宋体"/>
                <w:b/>
                <w:bCs/>
                <w:color w:val="auto"/>
                <w:sz w:val="22"/>
                <w:szCs w:val="22"/>
                <w:highlight w:val="none"/>
                <w:u w:val="single"/>
              </w:rPr>
              <w:t>元/人（线路1：</w:t>
            </w:r>
            <w:r>
              <w:rPr>
                <w:rFonts w:ascii="宋体" w:eastAsia="宋体"/>
                <w:b/>
                <w:bCs/>
                <w:color w:val="auto"/>
                <w:sz w:val="22"/>
                <w:szCs w:val="22"/>
                <w:highlight w:val="none"/>
                <w:u w:val="single"/>
              </w:rPr>
              <w:t>海南5</w:t>
            </w:r>
            <w:r>
              <w:rPr>
                <w:rFonts w:hint="eastAsia" w:ascii="宋体" w:eastAsia="宋体"/>
                <w:b/>
                <w:bCs/>
                <w:color w:val="auto"/>
                <w:sz w:val="22"/>
                <w:szCs w:val="22"/>
                <w:highlight w:val="none"/>
                <w:u w:val="single"/>
              </w:rPr>
              <w:t>天；线路2：</w:t>
            </w:r>
            <w:r>
              <w:rPr>
                <w:rFonts w:ascii="宋体" w:eastAsia="宋体"/>
                <w:b/>
                <w:bCs/>
                <w:color w:val="auto"/>
                <w:sz w:val="22"/>
                <w:szCs w:val="22"/>
                <w:highlight w:val="none"/>
                <w:u w:val="single"/>
              </w:rPr>
              <w:t>兰州、塔尔寺、青海湖、莫高窟8天</w:t>
            </w:r>
            <w:r>
              <w:rPr>
                <w:rFonts w:hint="eastAsia" w:ascii="宋体" w:eastAsia="宋体"/>
                <w:b/>
                <w:bCs/>
                <w:color w:val="auto"/>
                <w:sz w:val="22"/>
                <w:szCs w:val="22"/>
                <w:highlight w:val="none"/>
                <w:u w:val="single"/>
              </w:rPr>
              <w:t>；线路3：</w:t>
            </w:r>
            <w:r>
              <w:rPr>
                <w:rFonts w:ascii="宋体" w:eastAsia="宋体"/>
                <w:b/>
                <w:bCs/>
                <w:color w:val="auto"/>
                <w:sz w:val="22"/>
                <w:szCs w:val="22"/>
                <w:highlight w:val="none"/>
                <w:u w:val="single"/>
              </w:rPr>
              <w:t>呼伦贝尔大草原、室韦、满洲里6天</w:t>
            </w:r>
            <w:r>
              <w:rPr>
                <w:rFonts w:hint="eastAsia" w:ascii="宋体" w:eastAsia="宋体"/>
                <w:b/>
                <w:bCs/>
                <w:color w:val="auto"/>
                <w:sz w:val="22"/>
                <w:szCs w:val="22"/>
                <w:highlight w:val="none"/>
                <w:u w:val="single"/>
              </w:rPr>
              <w:t>；线路</w:t>
            </w:r>
            <w:r>
              <w:rPr>
                <w:rFonts w:ascii="宋体" w:eastAsia="宋体"/>
                <w:b/>
                <w:bCs/>
                <w:color w:val="auto"/>
                <w:sz w:val="22"/>
                <w:szCs w:val="22"/>
                <w:highlight w:val="none"/>
                <w:u w:val="single"/>
              </w:rPr>
              <w:t>4</w:t>
            </w:r>
            <w:r>
              <w:rPr>
                <w:rFonts w:hint="eastAsia" w:ascii="宋体" w:eastAsia="宋体"/>
                <w:b/>
                <w:bCs/>
                <w:color w:val="auto"/>
                <w:sz w:val="22"/>
                <w:szCs w:val="22"/>
                <w:highlight w:val="none"/>
                <w:u w:val="single"/>
              </w:rPr>
              <w:t>：</w:t>
            </w:r>
            <w:r>
              <w:rPr>
                <w:rFonts w:ascii="宋体" w:eastAsia="宋体"/>
                <w:b/>
                <w:bCs/>
                <w:color w:val="auto"/>
                <w:sz w:val="22"/>
                <w:szCs w:val="22"/>
                <w:highlight w:val="none"/>
                <w:u w:val="single"/>
              </w:rPr>
              <w:t>西安、郑州6天</w:t>
            </w:r>
            <w:r>
              <w:rPr>
                <w:rFonts w:hint="eastAsia" w:ascii="宋体" w:eastAsia="宋体"/>
                <w:b/>
                <w:bCs/>
                <w:color w:val="auto"/>
                <w:sz w:val="22"/>
                <w:szCs w:val="22"/>
                <w:highlight w:val="none"/>
                <w:u w:val="single"/>
              </w:rPr>
              <w:t>；不按固定价格报价的按投标无效处理。</w:t>
            </w:r>
            <w:bookmarkEnd w:id="7"/>
            <w:r>
              <w:rPr>
                <w:rFonts w:hint="eastAsia" w:ascii="宋体" w:eastAsia="宋体"/>
                <w:b/>
                <w:bCs/>
                <w:color w:val="auto"/>
                <w:sz w:val="22"/>
                <w:szCs w:val="22"/>
                <w:highlight w:val="none"/>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5</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评标办法</w:t>
            </w:r>
          </w:p>
        </w:tc>
        <w:tc>
          <w:tcPr>
            <w:tcW w:w="7821" w:type="dxa"/>
            <w:vAlign w:val="center"/>
          </w:tcPr>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6</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采购内容</w:t>
            </w:r>
          </w:p>
        </w:tc>
        <w:tc>
          <w:tcPr>
            <w:tcW w:w="7821" w:type="dxa"/>
            <w:vAlign w:val="center"/>
          </w:tcPr>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7</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供应商资格要求</w:t>
            </w:r>
          </w:p>
        </w:tc>
        <w:tc>
          <w:tcPr>
            <w:tcW w:w="7821" w:type="dxa"/>
            <w:vAlign w:val="center"/>
          </w:tcPr>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8</w:t>
            </w:r>
          </w:p>
        </w:tc>
        <w:tc>
          <w:tcPr>
            <w:tcW w:w="1715" w:type="dxa"/>
            <w:vAlign w:val="center"/>
          </w:tcPr>
          <w:p>
            <w:pPr>
              <w:adjustRightInd w:val="0"/>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是否接受联合体投标</w:t>
            </w:r>
          </w:p>
        </w:tc>
        <w:tc>
          <w:tcPr>
            <w:tcW w:w="7821" w:type="dxa"/>
            <w:vAlign w:val="center"/>
          </w:tcPr>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fldChar w:fldCharType="begin"/>
            </w:r>
            <w:r>
              <w:rPr>
                <w:rFonts w:hint="eastAsia" w:cs="宋体" w:asciiTheme="majorEastAsia" w:hAnsiTheme="majorEastAsia" w:eastAsiaTheme="majorEastAsia"/>
                <w:color w:val="auto"/>
                <w:sz w:val="22"/>
                <w:szCs w:val="22"/>
                <w:highlight w:val="none"/>
              </w:rPr>
              <w:instrText xml:space="preserve">eq \o\ac(□,√)</w:instrText>
            </w:r>
            <w:r>
              <w:rPr>
                <w:rFonts w:hint="eastAsia" w:cs="宋体" w:asciiTheme="majorEastAsia" w:hAnsiTheme="majorEastAsia" w:eastAsiaTheme="majorEastAsia"/>
                <w:color w:val="auto"/>
                <w:sz w:val="22"/>
                <w:szCs w:val="22"/>
                <w:highlight w:val="none"/>
              </w:rPr>
              <w:fldChar w:fldCharType="end"/>
            </w:r>
            <w:r>
              <w:rPr>
                <w:rFonts w:hint="eastAsia" w:cs="宋体" w:asciiTheme="majorEastAsia" w:hAnsiTheme="majorEastAsia" w:eastAsiaTheme="majorEastAsia"/>
                <w:color w:val="auto"/>
                <w:sz w:val="22"/>
                <w:szCs w:val="22"/>
                <w:highlight w:val="none"/>
              </w:rPr>
              <w:t>不接受</w:t>
            </w:r>
          </w:p>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9</w:t>
            </w:r>
          </w:p>
        </w:tc>
        <w:tc>
          <w:tcPr>
            <w:tcW w:w="1715" w:type="dxa"/>
            <w:vAlign w:val="center"/>
          </w:tcPr>
          <w:p>
            <w:pPr>
              <w:adjustRightInd w:val="0"/>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踏勘现场</w:t>
            </w:r>
          </w:p>
        </w:tc>
        <w:tc>
          <w:tcPr>
            <w:tcW w:w="7821" w:type="dxa"/>
            <w:vAlign w:val="center"/>
          </w:tcPr>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fldChar w:fldCharType="begin"/>
            </w:r>
            <w:r>
              <w:rPr>
                <w:rFonts w:hint="eastAsia" w:cs="宋体" w:asciiTheme="majorEastAsia" w:hAnsiTheme="majorEastAsia" w:eastAsiaTheme="majorEastAsia"/>
                <w:color w:val="auto"/>
                <w:sz w:val="22"/>
                <w:szCs w:val="22"/>
                <w:highlight w:val="none"/>
              </w:rPr>
              <w:instrText xml:space="preserve">eq \o\ac(□,√)</w:instrText>
            </w:r>
            <w:r>
              <w:rPr>
                <w:rFonts w:hint="eastAsia" w:cs="宋体" w:asciiTheme="majorEastAsia" w:hAnsiTheme="majorEastAsia" w:eastAsiaTheme="majorEastAsia"/>
                <w:color w:val="auto"/>
                <w:sz w:val="22"/>
                <w:szCs w:val="22"/>
                <w:highlight w:val="none"/>
              </w:rPr>
              <w:fldChar w:fldCharType="end"/>
            </w:r>
            <w:r>
              <w:rPr>
                <w:rFonts w:hint="eastAsia" w:cs="宋体" w:asciiTheme="majorEastAsia" w:hAnsiTheme="majorEastAsia" w:eastAsiaTheme="majorEastAsia"/>
                <w:color w:val="auto"/>
                <w:sz w:val="22"/>
                <w:szCs w:val="22"/>
                <w:highlight w:val="none"/>
              </w:rPr>
              <w:t>不组织</w:t>
            </w:r>
          </w:p>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10</w:t>
            </w:r>
          </w:p>
        </w:tc>
        <w:tc>
          <w:tcPr>
            <w:tcW w:w="1715" w:type="dxa"/>
            <w:vAlign w:val="center"/>
          </w:tcPr>
          <w:p>
            <w:pPr>
              <w:adjustRightInd w:val="0"/>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是否允许递交备选投标方案</w:t>
            </w:r>
          </w:p>
        </w:tc>
        <w:tc>
          <w:tcPr>
            <w:tcW w:w="7821" w:type="dxa"/>
            <w:vAlign w:val="center"/>
          </w:tcPr>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fldChar w:fldCharType="begin"/>
            </w:r>
            <w:r>
              <w:rPr>
                <w:rFonts w:hint="eastAsia" w:cs="宋体" w:asciiTheme="majorEastAsia" w:hAnsiTheme="majorEastAsia" w:eastAsiaTheme="majorEastAsia"/>
                <w:color w:val="auto"/>
                <w:sz w:val="22"/>
                <w:szCs w:val="22"/>
                <w:highlight w:val="none"/>
              </w:rPr>
              <w:instrText xml:space="preserve">eq \o\ac(□,√)</w:instrText>
            </w:r>
            <w:r>
              <w:rPr>
                <w:rFonts w:hint="eastAsia" w:cs="宋体" w:asciiTheme="majorEastAsia" w:hAnsiTheme="majorEastAsia" w:eastAsiaTheme="majorEastAsia"/>
                <w:color w:val="auto"/>
                <w:sz w:val="22"/>
                <w:szCs w:val="22"/>
                <w:highlight w:val="none"/>
              </w:rPr>
              <w:fldChar w:fldCharType="end"/>
            </w:r>
            <w:r>
              <w:rPr>
                <w:rFonts w:hint="eastAsia" w:cs="宋体" w:asciiTheme="majorEastAsia" w:hAnsiTheme="majorEastAsia" w:eastAsiaTheme="majorEastAsia"/>
                <w:color w:val="auto"/>
                <w:sz w:val="22"/>
                <w:szCs w:val="22"/>
                <w:highlight w:val="none"/>
              </w:rPr>
              <w:t xml:space="preserve"> 不允许</w:t>
            </w:r>
          </w:p>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11</w:t>
            </w:r>
          </w:p>
        </w:tc>
        <w:tc>
          <w:tcPr>
            <w:tcW w:w="1715" w:type="dxa"/>
            <w:vAlign w:val="center"/>
          </w:tcPr>
          <w:p>
            <w:pPr>
              <w:adjustRightInd w:val="0"/>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分包</w:t>
            </w:r>
          </w:p>
        </w:tc>
        <w:tc>
          <w:tcPr>
            <w:tcW w:w="7821" w:type="dxa"/>
            <w:vAlign w:val="center"/>
          </w:tcPr>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 允许</w:t>
            </w:r>
          </w:p>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sym w:font="Wingdings" w:char="00FE"/>
            </w:r>
            <w:r>
              <w:rPr>
                <w:rFonts w:hint="eastAsia" w:cs="宋体" w:asciiTheme="majorEastAsia" w:hAnsiTheme="majorEastAsia" w:eastAsiaTheme="majorEastAsia"/>
                <w:color w:val="auto"/>
                <w:sz w:val="22"/>
                <w:szCs w:val="22"/>
                <w:highlight w:val="none"/>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12</w:t>
            </w:r>
          </w:p>
        </w:tc>
        <w:tc>
          <w:tcPr>
            <w:tcW w:w="1715" w:type="dxa"/>
            <w:vAlign w:val="center"/>
          </w:tcPr>
          <w:p>
            <w:pPr>
              <w:adjustRightInd w:val="0"/>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报价货币</w:t>
            </w:r>
          </w:p>
        </w:tc>
        <w:tc>
          <w:tcPr>
            <w:tcW w:w="7821" w:type="dxa"/>
            <w:vAlign w:val="center"/>
          </w:tcPr>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13</w:t>
            </w:r>
          </w:p>
        </w:tc>
        <w:tc>
          <w:tcPr>
            <w:tcW w:w="1715" w:type="dxa"/>
            <w:vAlign w:val="center"/>
          </w:tcPr>
          <w:p>
            <w:pPr>
              <w:adjustRightInd w:val="0"/>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报价语言</w:t>
            </w:r>
          </w:p>
        </w:tc>
        <w:tc>
          <w:tcPr>
            <w:tcW w:w="7821" w:type="dxa"/>
            <w:vAlign w:val="center"/>
          </w:tcPr>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14</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投标保证金</w:t>
            </w:r>
          </w:p>
        </w:tc>
        <w:tc>
          <w:tcPr>
            <w:tcW w:w="7821" w:type="dxa"/>
            <w:vAlign w:val="center"/>
          </w:tcPr>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fldChar w:fldCharType="begin"/>
            </w:r>
            <w:r>
              <w:rPr>
                <w:rFonts w:hint="eastAsia" w:cs="宋体" w:asciiTheme="majorEastAsia" w:hAnsiTheme="majorEastAsia" w:eastAsiaTheme="majorEastAsia"/>
                <w:color w:val="auto"/>
                <w:sz w:val="22"/>
                <w:szCs w:val="22"/>
                <w:highlight w:val="none"/>
              </w:rPr>
              <w:instrText xml:space="preserve">eq \o\ac(□,√)</w:instrText>
            </w:r>
            <w:r>
              <w:rPr>
                <w:rFonts w:hint="eastAsia" w:cs="宋体" w:asciiTheme="majorEastAsia" w:hAnsiTheme="majorEastAsia" w:eastAsiaTheme="majorEastAsia"/>
                <w:color w:val="auto"/>
                <w:sz w:val="22"/>
                <w:szCs w:val="22"/>
                <w:highlight w:val="none"/>
              </w:rPr>
              <w:fldChar w:fldCharType="end"/>
            </w:r>
            <w:r>
              <w:rPr>
                <w:rFonts w:hint="eastAsia" w:cs="宋体" w:asciiTheme="majorEastAsia" w:hAnsiTheme="majorEastAsia" w:eastAsiaTheme="majorEastAsia"/>
                <w:color w:val="auto"/>
                <w:sz w:val="22"/>
                <w:szCs w:val="22"/>
                <w:highlight w:val="none"/>
              </w:rPr>
              <w:t>不需要</w:t>
            </w:r>
          </w:p>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15</w:t>
            </w:r>
          </w:p>
        </w:tc>
        <w:tc>
          <w:tcPr>
            <w:tcW w:w="1715" w:type="dxa"/>
            <w:vAlign w:val="center"/>
          </w:tcPr>
          <w:p>
            <w:pPr>
              <w:adjustRightInd w:val="0"/>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履约担保</w:t>
            </w:r>
          </w:p>
        </w:tc>
        <w:tc>
          <w:tcPr>
            <w:tcW w:w="7821" w:type="dxa"/>
            <w:vAlign w:val="center"/>
          </w:tcPr>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fldChar w:fldCharType="begin"/>
            </w:r>
            <w:r>
              <w:rPr>
                <w:rFonts w:hint="eastAsia" w:cs="宋体" w:asciiTheme="majorEastAsia" w:hAnsiTheme="majorEastAsia" w:eastAsiaTheme="majorEastAsia"/>
                <w:color w:val="auto"/>
                <w:sz w:val="22"/>
                <w:szCs w:val="22"/>
                <w:highlight w:val="none"/>
              </w:rPr>
              <w:instrText xml:space="preserve">eq \o\ac(□,√)</w:instrText>
            </w:r>
            <w:r>
              <w:rPr>
                <w:rFonts w:hint="eastAsia" w:cs="宋体" w:asciiTheme="majorEastAsia" w:hAnsiTheme="majorEastAsia" w:eastAsiaTheme="majorEastAsia"/>
                <w:color w:val="auto"/>
                <w:sz w:val="22"/>
                <w:szCs w:val="22"/>
                <w:highlight w:val="none"/>
              </w:rPr>
              <w:fldChar w:fldCharType="end"/>
            </w:r>
            <w:r>
              <w:rPr>
                <w:rFonts w:hint="eastAsia" w:cs="宋体" w:asciiTheme="majorEastAsia" w:hAnsiTheme="majorEastAsia" w:eastAsiaTheme="majorEastAsia"/>
                <w:color w:val="auto"/>
                <w:sz w:val="22"/>
                <w:szCs w:val="22"/>
                <w:highlight w:val="none"/>
              </w:rPr>
              <w:t>不需要</w:t>
            </w:r>
          </w:p>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 xml:space="preserve">□需要 </w:t>
            </w:r>
            <w:r>
              <w:rPr>
                <w:rFonts w:hint="eastAsia" w:cs="宋体" w:asciiTheme="majorEastAsia" w:hAnsiTheme="majorEastAsia" w:eastAsiaTheme="majorEastAsia"/>
                <w:bCs/>
                <w:color w:val="auto"/>
                <w:sz w:val="22"/>
                <w:szCs w:val="22"/>
                <w:highlight w:val="none"/>
              </w:rPr>
              <w:t xml:space="preserve"> 合同签订后</w:t>
            </w:r>
            <w:r>
              <w:rPr>
                <w:rFonts w:hint="eastAsia" w:cs="宋体" w:asciiTheme="majorEastAsia" w:hAnsiTheme="majorEastAsia" w:eastAsiaTheme="majorEastAsia"/>
                <w:bCs/>
                <w:color w:val="auto"/>
                <w:sz w:val="22"/>
                <w:szCs w:val="22"/>
                <w:highlight w:val="none"/>
                <w:lang w:eastAsia="zh-CN"/>
              </w:rPr>
              <w:t>中标供应商</w:t>
            </w:r>
            <w:r>
              <w:rPr>
                <w:rFonts w:hint="eastAsia" w:cs="宋体" w:asciiTheme="majorEastAsia" w:hAnsiTheme="majorEastAsia" w:eastAsiaTheme="majorEastAsia"/>
                <w:bCs/>
                <w:color w:val="auto"/>
                <w:sz w:val="22"/>
                <w:szCs w:val="22"/>
                <w:highlight w:val="none"/>
              </w:rPr>
              <w:t>应提供合同总金额1%的履约保证金至采购人指定账户，履约保证金可以以银行或保险公司出具的保函作为履约保函。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16</w:t>
            </w:r>
          </w:p>
        </w:tc>
        <w:tc>
          <w:tcPr>
            <w:tcW w:w="1715" w:type="dxa"/>
            <w:vAlign w:val="center"/>
          </w:tcPr>
          <w:p>
            <w:pPr>
              <w:jc w:val="center"/>
              <w:rPr>
                <w:rFonts w:cs="宋体" w:asciiTheme="majorEastAsia" w:hAnsiTheme="majorEastAsia" w:eastAsiaTheme="majorEastAsia"/>
                <w:b/>
                <w:color w:val="auto"/>
                <w:sz w:val="22"/>
                <w:szCs w:val="22"/>
                <w:highlight w:val="none"/>
              </w:rPr>
            </w:pPr>
            <w:r>
              <w:rPr>
                <w:rFonts w:hint="eastAsia" w:cs="宋体" w:asciiTheme="majorEastAsia" w:hAnsiTheme="majorEastAsia" w:eastAsiaTheme="majorEastAsia"/>
                <w:b/>
                <w:color w:val="auto"/>
                <w:sz w:val="22"/>
                <w:szCs w:val="22"/>
                <w:highlight w:val="none"/>
              </w:rPr>
              <w:t>投标文件递交截止时间及开标时间</w:t>
            </w:r>
          </w:p>
        </w:tc>
        <w:tc>
          <w:tcPr>
            <w:tcW w:w="7821" w:type="dxa"/>
            <w:vAlign w:val="center"/>
          </w:tcPr>
          <w:p>
            <w:pPr>
              <w:rPr>
                <w:rFonts w:cs="宋体" w:asciiTheme="majorEastAsia" w:hAnsiTheme="majorEastAsia" w:eastAsiaTheme="majorEastAsia"/>
                <w:b/>
                <w:color w:val="auto"/>
                <w:sz w:val="22"/>
                <w:szCs w:val="22"/>
                <w:highlight w:val="none"/>
              </w:rPr>
            </w:pPr>
            <w:r>
              <w:rPr>
                <w:rStyle w:val="93"/>
                <w:rFonts w:hint="eastAsia" w:cs="宋体" w:asciiTheme="majorEastAsia" w:hAnsiTheme="majorEastAsia" w:eastAsiaTheme="majorEastAsia"/>
                <w:b/>
                <w:color w:val="auto"/>
                <w:sz w:val="22"/>
                <w:szCs w:val="22"/>
                <w:highlight w:val="none"/>
              </w:rPr>
              <w:t>2024年</w:t>
            </w:r>
            <w:r>
              <w:rPr>
                <w:rStyle w:val="93"/>
                <w:rFonts w:hint="eastAsia" w:cs="宋体" w:asciiTheme="majorEastAsia" w:hAnsiTheme="majorEastAsia" w:eastAsiaTheme="majorEastAsia"/>
                <w:b/>
                <w:color w:val="auto"/>
                <w:sz w:val="22"/>
                <w:szCs w:val="22"/>
                <w:highlight w:val="none"/>
                <w:lang w:val="en-US" w:eastAsia="zh-CN"/>
              </w:rPr>
              <w:t>6</w:t>
            </w:r>
            <w:r>
              <w:rPr>
                <w:rStyle w:val="93"/>
                <w:rFonts w:hint="eastAsia" w:cs="宋体" w:asciiTheme="majorEastAsia" w:hAnsiTheme="majorEastAsia" w:eastAsiaTheme="majorEastAsia"/>
                <w:b/>
                <w:color w:val="auto"/>
                <w:sz w:val="22"/>
                <w:szCs w:val="22"/>
                <w:highlight w:val="none"/>
              </w:rPr>
              <w:t>月</w:t>
            </w:r>
            <w:r>
              <w:rPr>
                <w:rStyle w:val="93"/>
                <w:rFonts w:hint="eastAsia" w:cs="宋体" w:asciiTheme="majorEastAsia" w:hAnsiTheme="majorEastAsia" w:eastAsiaTheme="majorEastAsia"/>
                <w:b/>
                <w:color w:val="auto"/>
                <w:sz w:val="22"/>
                <w:szCs w:val="22"/>
                <w:highlight w:val="none"/>
                <w:lang w:val="en-US" w:eastAsia="zh-CN"/>
              </w:rPr>
              <w:t>18</w:t>
            </w:r>
            <w:r>
              <w:rPr>
                <w:rStyle w:val="93"/>
                <w:rFonts w:hint="eastAsia" w:cs="宋体" w:asciiTheme="majorEastAsia" w:hAnsiTheme="majorEastAsia" w:eastAsiaTheme="majorEastAsia"/>
                <w:b/>
                <w:color w:val="auto"/>
                <w:sz w:val="22"/>
                <w:szCs w:val="22"/>
                <w:highlight w:val="none"/>
              </w:rPr>
              <w:t>日</w:t>
            </w:r>
            <w:r>
              <w:rPr>
                <w:rFonts w:hint="eastAsia" w:cs="宋体" w:asciiTheme="majorEastAsia" w:hAnsiTheme="majorEastAsia" w:eastAsiaTheme="majorEastAsia"/>
                <w:b/>
                <w:i/>
                <w:color w:val="auto"/>
                <w:sz w:val="22"/>
                <w:szCs w:val="22"/>
                <w:highlight w:val="none"/>
              </w:rPr>
              <w:t>09:30 截</w:t>
            </w:r>
            <w:r>
              <w:rPr>
                <w:rFonts w:hint="eastAsia" w:cs="宋体" w:asciiTheme="majorEastAsia" w:hAnsiTheme="majorEastAsia" w:eastAsiaTheme="majorEastAsia"/>
                <w:b/>
                <w:color w:val="auto"/>
                <w:sz w:val="22"/>
                <w:szCs w:val="22"/>
                <w:highlight w:val="none"/>
              </w:rPr>
              <w:t>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17</w:t>
            </w:r>
          </w:p>
        </w:tc>
        <w:tc>
          <w:tcPr>
            <w:tcW w:w="1715" w:type="dxa"/>
            <w:vAlign w:val="center"/>
          </w:tcPr>
          <w:p>
            <w:pPr>
              <w:jc w:val="center"/>
              <w:rPr>
                <w:rFonts w:cs="宋体" w:asciiTheme="majorEastAsia" w:hAnsiTheme="majorEastAsia" w:eastAsiaTheme="majorEastAsia"/>
                <w:b/>
                <w:color w:val="auto"/>
                <w:sz w:val="22"/>
                <w:szCs w:val="22"/>
                <w:highlight w:val="none"/>
              </w:rPr>
            </w:pPr>
            <w:r>
              <w:rPr>
                <w:rFonts w:hint="eastAsia" w:cs="宋体" w:asciiTheme="majorEastAsia" w:hAnsiTheme="majorEastAsia" w:eastAsiaTheme="majorEastAsia"/>
                <w:b/>
                <w:color w:val="auto"/>
                <w:sz w:val="22"/>
                <w:szCs w:val="22"/>
                <w:highlight w:val="none"/>
                <w:lang w:bidi="ar"/>
              </w:rPr>
              <w:t>评标地址</w:t>
            </w:r>
          </w:p>
        </w:tc>
        <w:tc>
          <w:tcPr>
            <w:tcW w:w="7821" w:type="dxa"/>
            <w:vAlign w:val="center"/>
          </w:tcPr>
          <w:p>
            <w:pPr>
              <w:rPr>
                <w:rStyle w:val="93"/>
                <w:rFonts w:cs="宋体" w:asciiTheme="majorEastAsia" w:hAnsiTheme="majorEastAsia" w:eastAsiaTheme="majorEastAsia"/>
                <w:b/>
                <w:color w:val="auto"/>
                <w:sz w:val="22"/>
                <w:szCs w:val="22"/>
                <w:highlight w:val="none"/>
              </w:rPr>
            </w:pPr>
            <w:r>
              <w:rPr>
                <w:rFonts w:hint="eastAsia" w:asciiTheme="majorEastAsia" w:hAnsiTheme="majorEastAsia" w:eastAsiaTheme="majorEastAsia"/>
                <w:b/>
                <w:color w:val="auto"/>
                <w:sz w:val="22"/>
                <w:szCs w:val="22"/>
                <w:highlight w:val="none"/>
              </w:rPr>
              <w:t>温州市永嘉县南城街道环城北路云碓大厦503室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18</w:t>
            </w:r>
          </w:p>
        </w:tc>
        <w:tc>
          <w:tcPr>
            <w:tcW w:w="1715" w:type="dxa"/>
            <w:vAlign w:val="center"/>
          </w:tcPr>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投标文件的编制</w:t>
            </w:r>
          </w:p>
        </w:tc>
        <w:tc>
          <w:tcPr>
            <w:tcW w:w="7821" w:type="dxa"/>
            <w:vAlign w:val="center"/>
          </w:tcPr>
          <w:p>
            <w:pPr>
              <w:adjustRightInd w:val="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供应商应先安装“政采云电子交易客户端”，并按照本招标文件和“政采云平台”的要求，通过“政采云电子交易客户端”编制并加密投标文件。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0"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19</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报价有效期</w:t>
            </w:r>
          </w:p>
        </w:tc>
        <w:tc>
          <w:tcPr>
            <w:tcW w:w="7821" w:type="dxa"/>
            <w:vAlign w:val="center"/>
          </w:tcPr>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提交投标文件截止时间起90天内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0"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20</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签字或盖章要求</w:t>
            </w:r>
          </w:p>
        </w:tc>
        <w:tc>
          <w:tcPr>
            <w:tcW w:w="7821" w:type="dxa"/>
            <w:vAlign w:val="center"/>
          </w:tcPr>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投标文件的相应位置应加盖：电子签章。</w:t>
            </w:r>
          </w:p>
          <w:p>
            <w:pPr>
              <w:pStyle w:val="2"/>
              <w:ind w:firstLine="0" w:firstLineChars="0"/>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注：本项目电子招投标活动中的签字与电子签章具有同等法律效应。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21</w:t>
            </w:r>
          </w:p>
        </w:tc>
        <w:tc>
          <w:tcPr>
            <w:tcW w:w="1715" w:type="dxa"/>
            <w:vAlign w:val="center"/>
          </w:tcPr>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投标文件的形式、制作及组成</w:t>
            </w:r>
          </w:p>
        </w:tc>
        <w:tc>
          <w:tcPr>
            <w:tcW w:w="7821" w:type="dxa"/>
            <w:vAlign w:val="center"/>
          </w:tcPr>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本项目实行在线投标响应（电子投标）。</w:t>
            </w:r>
          </w:p>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投标供应商准备电子投标文件（包括“电子加密投标文件”和“备份投标文件”两类，在投标文件编制完成后同时生成）。</w:t>
            </w:r>
          </w:p>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（1）“电子加密投标文件”是指通过“政采云电子交易客户端”完成投标文件编制后生成并加密的数据电文形式的投标文件。</w:t>
            </w:r>
          </w:p>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（2）“备份投标文件”是指与“电子加密投标文件”同时生成的数据电文形式的电子文件（备份标书），其他方式编制的备份投标文件视为无效备份投标文件。</w:t>
            </w:r>
          </w:p>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以上两类投标文件均由资格文件、报价文件、商务技术文件三部分组成。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22</w:t>
            </w:r>
          </w:p>
        </w:tc>
        <w:tc>
          <w:tcPr>
            <w:tcW w:w="1715" w:type="dxa"/>
            <w:vAlign w:val="center"/>
          </w:tcPr>
          <w:p>
            <w:pPr>
              <w:adjustRightInd w:val="0"/>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投标文件份数</w:t>
            </w:r>
          </w:p>
        </w:tc>
        <w:tc>
          <w:tcPr>
            <w:tcW w:w="7821" w:type="dxa"/>
            <w:vAlign w:val="center"/>
          </w:tcPr>
          <w:p>
            <w:pPr>
              <w:adjustRightInd w:val="0"/>
              <w:jc w:val="left"/>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（1）“电子加密投标文件”：在线上传递交、一份。</w:t>
            </w:r>
          </w:p>
          <w:p>
            <w:pPr>
              <w:adjustRightInd w:val="0"/>
              <w:jc w:val="left"/>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2）“备份投标文件”：以U盘存储，密封包装后（顺丰快递形式）在投标文件递交截止时间及开标时间前递交，送达时间以签收人签收时间为准，一份，邮寄地址：温州市永嘉县南城街道环城北路云碓大厦503室，胡先生收，联系电话：15258683545。</w:t>
            </w:r>
          </w:p>
          <w:p>
            <w:pPr>
              <w:pStyle w:val="2"/>
              <w:ind w:firstLine="221"/>
              <w:rPr>
                <w:rFonts w:asciiTheme="majorEastAsia" w:hAnsiTheme="majorEastAsia" w:eastAsiaTheme="majorEastAsia"/>
                <w:b/>
                <w:color w:val="auto"/>
                <w:sz w:val="22"/>
                <w:szCs w:val="22"/>
                <w:highlight w:val="none"/>
              </w:rPr>
            </w:pPr>
            <w:r>
              <w:rPr>
                <w:rFonts w:hint="eastAsia" w:cs="宋体" w:asciiTheme="majorEastAsia" w:hAnsiTheme="majorEastAsia" w:eastAsiaTheme="majorEastAsia"/>
                <w:b/>
                <w:color w:val="auto"/>
                <w:sz w:val="22"/>
                <w:szCs w:val="22"/>
                <w:highlight w:val="none"/>
              </w:rPr>
              <w:t>注：“备份投标文件”</w:t>
            </w:r>
            <w:r>
              <w:rPr>
                <w:rFonts w:hint="eastAsia" w:ascii="宋体"/>
                <w:b/>
                <w:color w:val="auto"/>
                <w:sz w:val="22"/>
                <w:szCs w:val="22"/>
                <w:highlight w:val="none"/>
              </w:rPr>
              <w:t>不强制要求提供，</w:t>
            </w:r>
            <w:r>
              <w:rPr>
                <w:rFonts w:hint="eastAsia" w:cs="宋体" w:asciiTheme="majorEastAsia" w:hAnsiTheme="majorEastAsia" w:eastAsiaTheme="majorEastAsia"/>
                <w:b/>
                <w:color w:val="auto"/>
                <w:sz w:val="22"/>
                <w:szCs w:val="22"/>
                <w:highlight w:val="none"/>
              </w:rPr>
              <w:t>由供应商自行选择是否提供。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32"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23</w:t>
            </w:r>
          </w:p>
        </w:tc>
        <w:tc>
          <w:tcPr>
            <w:tcW w:w="1715" w:type="dxa"/>
            <w:vAlign w:val="center"/>
          </w:tcPr>
          <w:p>
            <w:pPr>
              <w:autoSpaceDE w:val="0"/>
              <w:autoSpaceDN w:val="0"/>
              <w:adjustRightInd w:val="0"/>
              <w:spacing w:line="300" w:lineRule="atLeast"/>
              <w:rPr>
                <w:rFonts w:cs="宋体" w:asciiTheme="majorEastAsia" w:hAnsiTheme="majorEastAsia" w:eastAsiaTheme="majorEastAsia"/>
                <w:color w:val="auto"/>
                <w:sz w:val="22"/>
                <w:szCs w:val="22"/>
                <w:highlight w:val="none"/>
                <w:lang w:val="zh-CN"/>
              </w:rPr>
            </w:pPr>
            <w:r>
              <w:rPr>
                <w:rFonts w:hint="eastAsia" w:cs="宋体" w:asciiTheme="majorEastAsia" w:hAnsiTheme="majorEastAsia" w:eastAsiaTheme="majorEastAsia"/>
                <w:color w:val="auto"/>
                <w:sz w:val="22"/>
                <w:szCs w:val="22"/>
                <w:highlight w:val="none"/>
                <w:lang w:val="zh-CN"/>
              </w:rPr>
              <w:t>投标文件的上传和递交</w:t>
            </w:r>
          </w:p>
        </w:tc>
        <w:tc>
          <w:tcPr>
            <w:tcW w:w="7821" w:type="dxa"/>
            <w:vAlign w:val="center"/>
          </w:tcPr>
          <w:p>
            <w:pPr>
              <w:pStyle w:val="83"/>
              <w:autoSpaceDE w:val="0"/>
              <w:autoSpaceDN w:val="0"/>
              <w:adjustRightInd w:val="0"/>
              <w:spacing w:line="300" w:lineRule="atLeast"/>
              <w:jc w:val="both"/>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sz w:val="22"/>
                <w:highlight w:val="none"/>
              </w:rPr>
              <w:t>一、“电子加密投标文件”的上传、递交：</w:t>
            </w:r>
          </w:p>
          <w:p>
            <w:pPr>
              <w:pStyle w:val="83"/>
              <w:autoSpaceDE w:val="0"/>
              <w:autoSpaceDN w:val="0"/>
              <w:adjustRightInd w:val="0"/>
              <w:spacing w:line="300" w:lineRule="atLeast"/>
              <w:ind w:firstLine="440" w:firstLineChars="200"/>
              <w:jc w:val="both"/>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sz w:val="22"/>
                <w:highlight w:val="none"/>
              </w:rPr>
              <w:t>a.投标供应商应在投标文件递交截止时间前将“电子加密投标文件”成功上传递交至“政采云平台”，否则投标无效。</w:t>
            </w:r>
          </w:p>
          <w:p>
            <w:pPr>
              <w:pStyle w:val="83"/>
              <w:autoSpaceDE w:val="0"/>
              <w:autoSpaceDN w:val="0"/>
              <w:adjustRightInd w:val="0"/>
              <w:spacing w:line="300" w:lineRule="atLeast"/>
              <w:ind w:firstLine="440" w:firstLineChars="200"/>
              <w:jc w:val="both"/>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sz w:val="22"/>
                <w:highlight w:val="none"/>
              </w:rPr>
              <w:t>b.“电子加密投标文件”成功上传递交后，供应商可自行打印投标文件接收回执。</w:t>
            </w:r>
          </w:p>
          <w:p>
            <w:pPr>
              <w:pStyle w:val="83"/>
              <w:autoSpaceDE w:val="0"/>
              <w:autoSpaceDN w:val="0"/>
              <w:adjustRightInd w:val="0"/>
              <w:spacing w:line="300" w:lineRule="atLeast"/>
              <w:jc w:val="both"/>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sz w:val="22"/>
                <w:highlight w:val="none"/>
              </w:rPr>
              <w:t>二、“备份投标文件”的密封包装、递交：</w:t>
            </w:r>
          </w:p>
          <w:p>
            <w:pPr>
              <w:pStyle w:val="83"/>
              <w:autoSpaceDE w:val="0"/>
              <w:autoSpaceDN w:val="0"/>
              <w:adjustRightInd w:val="0"/>
              <w:spacing w:line="300" w:lineRule="atLeast"/>
              <w:ind w:firstLine="440" w:firstLineChars="200"/>
              <w:jc w:val="both"/>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sz w:val="22"/>
                <w:highlight w:val="none"/>
              </w:rPr>
              <w:t>a.投标供应商在“政采云平台”完成“电子加密投标文件”的上传递交后，还可以（建议顺丰快递形式）递交以介质（U盘）存储的 “备份投标文件”（一份）；顺丰快递形式快递至采购代理机构地址（地址详见招标招标文件）；</w:t>
            </w:r>
            <w:r>
              <w:rPr>
                <w:rFonts w:hint="eastAsia" w:cs="宋体" w:asciiTheme="majorEastAsia" w:hAnsiTheme="majorEastAsia" w:eastAsiaTheme="majorEastAsia"/>
                <w:b/>
                <w:color w:val="auto"/>
                <w:sz w:val="22"/>
                <w:highlight w:val="none"/>
              </w:rPr>
              <w:t>解密CA必须是上传并制作电子投标文件CA锁</w:t>
            </w:r>
            <w:r>
              <w:rPr>
                <w:rFonts w:hint="eastAsia" w:cs="宋体" w:asciiTheme="majorEastAsia" w:hAnsiTheme="majorEastAsia" w:eastAsiaTheme="majorEastAsia"/>
                <w:color w:val="auto"/>
                <w:sz w:val="22"/>
                <w:highlight w:val="none"/>
              </w:rPr>
              <w:t>。</w:t>
            </w:r>
          </w:p>
          <w:p>
            <w:pPr>
              <w:autoSpaceDE w:val="0"/>
              <w:autoSpaceDN w:val="0"/>
              <w:adjustRightInd w:val="0"/>
              <w:spacing w:line="300" w:lineRule="atLeast"/>
              <w:ind w:firstLine="440" w:firstLineChars="200"/>
              <w:rPr>
                <w:rFonts w:cs="宋体" w:asciiTheme="majorEastAsia" w:hAnsiTheme="majorEastAsia" w:eastAsiaTheme="majorEastAsia"/>
                <w:color w:val="auto"/>
                <w:sz w:val="22"/>
                <w:szCs w:val="22"/>
                <w:highlight w:val="none"/>
                <w:lang w:val="zh-CN"/>
              </w:rPr>
            </w:pPr>
            <w:r>
              <w:rPr>
                <w:rFonts w:hint="eastAsia" w:cs="宋体" w:asciiTheme="majorEastAsia" w:hAnsiTheme="majorEastAsia" w:eastAsiaTheme="majorEastAsia"/>
                <w:color w:val="auto"/>
                <w:sz w:val="22"/>
                <w:szCs w:val="22"/>
                <w:highlight w:val="none"/>
                <w:lang w:val="zh-CN"/>
              </w:rPr>
              <w:t>b.“备份投标文件”应当密封包装，并在包装上标注投标项目名称、投标单位名称并加盖公章。没有密封包装或者逾期邮寄送达至投标地点的“备份投标文件”将不予接收。</w:t>
            </w:r>
          </w:p>
          <w:p>
            <w:pPr>
              <w:autoSpaceDE w:val="0"/>
              <w:autoSpaceDN w:val="0"/>
              <w:adjustRightInd w:val="0"/>
              <w:spacing w:line="300" w:lineRule="atLeast"/>
              <w:ind w:firstLine="440" w:firstLineChars="200"/>
              <w:rPr>
                <w:rFonts w:cs="宋体" w:asciiTheme="majorEastAsia" w:hAnsiTheme="majorEastAsia" w:eastAsiaTheme="majorEastAsia"/>
                <w:color w:val="auto"/>
                <w:sz w:val="22"/>
                <w:szCs w:val="22"/>
                <w:highlight w:val="none"/>
                <w:lang w:val="zh-CN"/>
              </w:rPr>
            </w:pPr>
            <w:r>
              <w:rPr>
                <w:rFonts w:hint="eastAsia" w:cs="宋体" w:asciiTheme="majorEastAsia" w:hAnsiTheme="majorEastAsia" w:eastAsiaTheme="majorEastAsia"/>
                <w:color w:val="auto"/>
                <w:sz w:val="22"/>
                <w:szCs w:val="22"/>
                <w:highlight w:val="none"/>
                <w:lang w:val="zh-CN"/>
              </w:rPr>
              <w:t>c.通过“政采云平台”成功上传递交的“电子加密投标文件”已按时解密的，“备份投标文件”自动失效。投标文件递交截止时间前，投标供应商仅递交了“备份投标文件”而未将“电子加密投标文件”成功上传至“政采云平台”的，投标无效。</w:t>
            </w:r>
          </w:p>
          <w:p>
            <w:pPr>
              <w:autoSpaceDE w:val="0"/>
              <w:autoSpaceDN w:val="0"/>
              <w:adjustRightInd w:val="0"/>
              <w:spacing w:line="300" w:lineRule="atLeast"/>
              <w:ind w:firstLine="440" w:firstLineChars="200"/>
              <w:rPr>
                <w:color w:val="auto"/>
                <w:highlight w:val="none"/>
                <w:lang w:val="zh-CN"/>
              </w:rPr>
            </w:pPr>
            <w:r>
              <w:rPr>
                <w:rFonts w:hint="eastAsia" w:cs="宋体" w:asciiTheme="majorEastAsia" w:hAnsiTheme="majorEastAsia" w:eastAsiaTheme="majorEastAsia"/>
                <w:color w:val="auto"/>
                <w:sz w:val="22"/>
                <w:szCs w:val="22"/>
                <w:highlight w:val="none"/>
                <w:lang w:val="zh-CN"/>
              </w:rPr>
              <w:t>d.供应商应加强U盘的包装与保护，因包装不当而造成“备份投标文件”损坏或不能在开评标现场设备上正确读取的责任由供应商自负。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32"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24</w:t>
            </w:r>
          </w:p>
        </w:tc>
        <w:tc>
          <w:tcPr>
            <w:tcW w:w="1715" w:type="dxa"/>
            <w:vAlign w:val="center"/>
          </w:tcPr>
          <w:p>
            <w:pPr>
              <w:autoSpaceDE w:val="0"/>
              <w:autoSpaceDN w:val="0"/>
              <w:adjustRightInd w:val="0"/>
              <w:spacing w:line="300" w:lineRule="atLeast"/>
              <w:rPr>
                <w:rFonts w:cs="宋体" w:asciiTheme="majorEastAsia" w:hAnsiTheme="majorEastAsia" w:eastAsiaTheme="majorEastAsia"/>
                <w:color w:val="auto"/>
                <w:sz w:val="22"/>
                <w:szCs w:val="22"/>
                <w:highlight w:val="none"/>
                <w:lang w:val="zh-CN"/>
              </w:rPr>
            </w:pPr>
            <w:r>
              <w:rPr>
                <w:rFonts w:hint="eastAsia" w:cs="宋体" w:asciiTheme="majorEastAsia" w:hAnsiTheme="majorEastAsia" w:eastAsiaTheme="majorEastAsia"/>
                <w:color w:val="auto"/>
                <w:sz w:val="22"/>
                <w:szCs w:val="22"/>
                <w:highlight w:val="none"/>
                <w:lang w:val="zh-CN"/>
              </w:rPr>
              <w:t>电子加密投标文件的解密和异常情况处理</w:t>
            </w:r>
          </w:p>
        </w:tc>
        <w:tc>
          <w:tcPr>
            <w:tcW w:w="7821" w:type="dxa"/>
            <w:vAlign w:val="center"/>
          </w:tcPr>
          <w:p>
            <w:pPr>
              <w:autoSpaceDE w:val="0"/>
              <w:autoSpaceDN w:val="0"/>
              <w:adjustRightInd w:val="0"/>
              <w:spacing w:line="300" w:lineRule="atLeast"/>
              <w:rPr>
                <w:rFonts w:cs="宋体" w:asciiTheme="majorEastAsia" w:hAnsiTheme="majorEastAsia" w:eastAsiaTheme="majorEastAsia"/>
                <w:color w:val="auto"/>
                <w:sz w:val="22"/>
                <w:szCs w:val="22"/>
                <w:highlight w:val="none"/>
                <w:lang w:val="zh-CN"/>
              </w:rPr>
            </w:pPr>
            <w:r>
              <w:rPr>
                <w:rFonts w:hint="eastAsia" w:cs="宋体" w:asciiTheme="majorEastAsia" w:hAnsiTheme="majorEastAsia" w:eastAsiaTheme="majorEastAsia"/>
                <w:color w:val="auto"/>
                <w:sz w:val="22"/>
                <w:szCs w:val="22"/>
                <w:highlight w:val="none"/>
                <w:lang w:val="zh-CN"/>
              </w:rPr>
              <w:t>（1）开标后，采购组织机构将向各投标供应商发出“电子加密投标文件”的解密通知，各投标供应商代表应当在接到解密通知后30分钟内自行完成“电子加密投标文件”的在线解密。</w:t>
            </w:r>
          </w:p>
          <w:p>
            <w:pPr>
              <w:autoSpaceDE w:val="0"/>
              <w:autoSpaceDN w:val="0"/>
              <w:adjustRightInd w:val="0"/>
              <w:spacing w:line="300" w:lineRule="atLeast"/>
              <w:rPr>
                <w:rFonts w:cs="宋体" w:asciiTheme="majorEastAsia" w:hAnsiTheme="majorEastAsia" w:eastAsiaTheme="majorEastAsia"/>
                <w:color w:val="auto"/>
                <w:sz w:val="22"/>
                <w:szCs w:val="22"/>
                <w:highlight w:val="none"/>
                <w:lang w:val="zh-CN"/>
              </w:rPr>
            </w:pPr>
            <w:r>
              <w:rPr>
                <w:rFonts w:hint="eastAsia" w:cs="宋体" w:asciiTheme="majorEastAsia" w:hAnsiTheme="majorEastAsia" w:eastAsiaTheme="majorEastAsia"/>
                <w:color w:val="auto"/>
                <w:sz w:val="22"/>
                <w:szCs w:val="22"/>
                <w:highlight w:val="none"/>
                <w:lang w:val="zh-CN"/>
              </w:rPr>
              <w:t>（2）通过“政采云平台”成功上传递交的“电子加密投标文件”无法按时解密，投标供应商如按规定递交了“备份投标文件”的，以“备份投标文件”为依据（由采购组织机构按“政采云平台”操作规范将“备份投标文件”上传至“政采云平台”，上传成功后，“电子加密投标文件”自动失效），否则视为投标文件撤回。</w:t>
            </w:r>
          </w:p>
          <w:p>
            <w:pPr>
              <w:autoSpaceDE w:val="0"/>
              <w:autoSpaceDN w:val="0"/>
              <w:adjustRightInd w:val="0"/>
              <w:spacing w:line="300" w:lineRule="atLeast"/>
              <w:rPr>
                <w:rFonts w:cs="宋体" w:asciiTheme="majorEastAsia" w:hAnsiTheme="majorEastAsia" w:eastAsiaTheme="majorEastAsia"/>
                <w:color w:val="auto"/>
                <w:sz w:val="22"/>
                <w:szCs w:val="22"/>
                <w:highlight w:val="none"/>
                <w:lang w:val="zh-CN"/>
              </w:rPr>
            </w:pPr>
            <w:r>
              <w:rPr>
                <w:rFonts w:hint="eastAsia" w:cs="宋体" w:asciiTheme="majorEastAsia" w:hAnsiTheme="majorEastAsia" w:eastAsiaTheme="majorEastAsia"/>
                <w:color w:val="auto"/>
                <w:sz w:val="22"/>
                <w:szCs w:val="22"/>
                <w:highlight w:val="none"/>
                <w:lang w:val="zh-CN"/>
              </w:rPr>
              <w:t>（3）投标文件递交截止时间前，投标供应商仅递交了“备份投标文件”而未将电子加密投标文件上传至“政采云平台”的，投标无效。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7"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25</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评标委员会成员的组建</w:t>
            </w:r>
          </w:p>
        </w:tc>
        <w:tc>
          <w:tcPr>
            <w:tcW w:w="7821" w:type="dxa"/>
            <w:vAlign w:val="center"/>
          </w:tcPr>
          <w:p>
            <w:pPr>
              <w:rPr>
                <w:rFonts w:cs="宋体" w:asciiTheme="majorEastAsia" w:hAnsiTheme="majorEastAsia" w:eastAsiaTheme="majorEastAsia"/>
                <w:color w:val="auto"/>
                <w:sz w:val="22"/>
                <w:szCs w:val="22"/>
                <w:highlight w:val="none"/>
              </w:rPr>
            </w:pPr>
            <w:r>
              <w:rPr>
                <w:rFonts w:hint="eastAsia" w:ascii="新宋体" w:hAnsi="新宋体" w:eastAsia="新宋体" w:cs="新宋体"/>
                <w:bCs/>
                <w:color w:val="auto"/>
                <w:sz w:val="22"/>
                <w:szCs w:val="22"/>
                <w:highlight w:val="none"/>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97"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26</w:t>
            </w:r>
          </w:p>
        </w:tc>
        <w:tc>
          <w:tcPr>
            <w:tcW w:w="1715" w:type="dxa"/>
            <w:vAlign w:val="center"/>
          </w:tcPr>
          <w:p>
            <w:pPr>
              <w:adjustRightInd w:val="0"/>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政府采购</w:t>
            </w:r>
          </w:p>
          <w:p>
            <w:pPr>
              <w:adjustRightInd w:val="0"/>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扶持政策</w:t>
            </w:r>
          </w:p>
        </w:tc>
        <w:tc>
          <w:tcPr>
            <w:tcW w:w="7821" w:type="dxa"/>
            <w:vAlign w:val="center"/>
          </w:tcPr>
          <w:p>
            <w:pPr>
              <w:spacing w:line="360" w:lineRule="exact"/>
              <w:rPr>
                <w:rFonts w:cs="宋体" w:asciiTheme="majorEastAsia" w:hAnsiTheme="majorEastAsia" w:eastAsiaTheme="majorEastAsia"/>
                <w:bCs/>
                <w:color w:val="auto"/>
                <w:sz w:val="22"/>
                <w:szCs w:val="22"/>
                <w:highlight w:val="none"/>
              </w:rPr>
            </w:pPr>
            <w:r>
              <w:rPr>
                <w:rFonts w:hint="eastAsia" w:cs="宋体" w:asciiTheme="majorEastAsia" w:hAnsiTheme="majorEastAsia" w:eastAsiaTheme="majorEastAsia"/>
                <w:bCs/>
                <w:color w:val="auto"/>
                <w:sz w:val="22"/>
                <w:szCs w:val="22"/>
                <w:highlight w:val="none"/>
              </w:rPr>
              <w:t>1.本项目对符合财政扶持政策的中小企业（小型、微型）、监狱企业、残疾人福利性单位给予价格优惠扶持，价格优惠扶持见《评分办法》。</w:t>
            </w:r>
          </w:p>
          <w:p>
            <w:pPr>
              <w:spacing w:line="360" w:lineRule="exact"/>
              <w:rPr>
                <w:rFonts w:cs="宋体" w:asciiTheme="majorEastAsia" w:hAnsiTheme="majorEastAsia" w:eastAsiaTheme="majorEastAsia"/>
                <w:bCs/>
                <w:color w:val="auto"/>
                <w:sz w:val="22"/>
                <w:szCs w:val="22"/>
                <w:highlight w:val="none"/>
              </w:rPr>
            </w:pPr>
            <w:r>
              <w:rPr>
                <w:rFonts w:hint="eastAsia" w:cs="宋体" w:asciiTheme="majorEastAsia" w:hAnsiTheme="majorEastAsia" w:eastAsiaTheme="majorEastAsia"/>
                <w:bCs/>
                <w:color w:val="auto"/>
                <w:sz w:val="22"/>
                <w:szCs w:val="22"/>
                <w:highlight w:val="none"/>
              </w:rPr>
              <w:t>2.满足财政部 工业和信息化部关于印发《政府采购促进中小企业发展管理办法》的通知（财库〔2020〕46号）的规定的中小企业可享受优惠扶持。</w:t>
            </w:r>
          </w:p>
          <w:p>
            <w:pPr>
              <w:spacing w:line="360" w:lineRule="exact"/>
              <w:rPr>
                <w:rFonts w:cs="宋体" w:asciiTheme="majorEastAsia" w:hAnsiTheme="majorEastAsia" w:eastAsiaTheme="majorEastAsia"/>
                <w:bCs/>
                <w:color w:val="auto"/>
                <w:sz w:val="22"/>
                <w:szCs w:val="22"/>
                <w:highlight w:val="none"/>
              </w:rPr>
            </w:pPr>
            <w:r>
              <w:rPr>
                <w:rFonts w:hint="eastAsia" w:cs="宋体" w:asciiTheme="majorEastAsia" w:hAnsiTheme="majorEastAsia" w:eastAsiaTheme="majorEastAsia"/>
                <w:bCs/>
                <w:color w:val="auto"/>
                <w:sz w:val="22"/>
                <w:szCs w:val="22"/>
                <w:highlight w:val="none"/>
              </w:rPr>
              <w:t>3.满足关于政府采购支持监狱企业发展有关问题的通知（财库[2014]68号）的规定的供应商可享受优惠扶持。</w:t>
            </w:r>
          </w:p>
          <w:p>
            <w:pPr>
              <w:spacing w:line="360" w:lineRule="exact"/>
              <w:rPr>
                <w:rFonts w:cs="宋体" w:asciiTheme="majorEastAsia" w:hAnsiTheme="majorEastAsia" w:eastAsiaTheme="majorEastAsia"/>
                <w:bCs/>
                <w:color w:val="auto"/>
                <w:sz w:val="22"/>
                <w:szCs w:val="22"/>
                <w:highlight w:val="none"/>
              </w:rPr>
            </w:pPr>
            <w:r>
              <w:rPr>
                <w:rFonts w:hint="eastAsia" w:cs="宋体" w:asciiTheme="majorEastAsia" w:hAnsiTheme="majorEastAsia" w:eastAsiaTheme="majorEastAsia"/>
                <w:bCs/>
                <w:color w:val="auto"/>
                <w:sz w:val="22"/>
                <w:szCs w:val="22"/>
                <w:highlight w:val="none"/>
              </w:rPr>
              <w:t>4.满足关于促进残疾人就业政府采购政策的通知（财库[2017]141号）的规定的供应商可享受优惠扶持。</w:t>
            </w:r>
          </w:p>
          <w:p>
            <w:pPr>
              <w:rPr>
                <w:rFonts w:cs="宋体" w:asciiTheme="majorEastAsia" w:hAnsiTheme="majorEastAsia" w:eastAsiaTheme="majorEastAsia"/>
                <w:bCs/>
                <w:color w:val="auto"/>
                <w:sz w:val="22"/>
                <w:szCs w:val="22"/>
                <w:highlight w:val="none"/>
              </w:rPr>
            </w:pPr>
            <w:r>
              <w:rPr>
                <w:rFonts w:hint="eastAsia" w:cs="宋体" w:asciiTheme="majorEastAsia" w:hAnsiTheme="majorEastAsia" w:eastAsiaTheme="majorEastAsia"/>
                <w:bCs/>
                <w:color w:val="auto"/>
                <w:sz w:val="22"/>
                <w:szCs w:val="22"/>
                <w:highlight w:val="none"/>
              </w:rPr>
              <w:t>5.</w:t>
            </w:r>
            <w:r>
              <w:rPr>
                <w:rFonts w:hint="eastAsia"/>
                <w:color w:val="auto"/>
                <w:highlight w:val="none"/>
              </w:rPr>
              <w:t xml:space="preserve"> </w:t>
            </w:r>
            <w:r>
              <w:rPr>
                <w:rFonts w:hint="eastAsia" w:cs="宋体" w:asciiTheme="majorEastAsia" w:hAnsiTheme="majorEastAsia" w:eastAsiaTheme="majorEastAsia"/>
                <w:bCs/>
                <w:color w:val="auto"/>
                <w:sz w:val="22"/>
                <w:szCs w:val="22"/>
                <w:highlight w:val="none"/>
              </w:rPr>
              <w:t>为支持和促进中小企业发展，进一步发挥政府采购政策功能，“政采云”平台目前提供政采贷、履约保函、预付款保函等金融服务，供应商若有融资意向，可登陆https://jinrong.zcygov.cn/finance-service/#/help查看详情。供应商中标后可在“政采云”平台申请政采贷：操作路径：登录政采云平台 - 金融服务中心 -【融资服务】，可在热门申请中选择产品直接申请，也可点击云智贷匹配适合产品进行申请，或者在可申请项目中根据该项目进行申请。</w:t>
            </w:r>
          </w:p>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bCs/>
                <w:color w:val="auto"/>
                <w:sz w:val="22"/>
                <w:szCs w:val="22"/>
                <w:highlight w:val="none"/>
              </w:rPr>
              <w:t>6.对节能、环保产品优先采购。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6"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27</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供应商信用</w:t>
            </w:r>
          </w:p>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查询</w:t>
            </w:r>
          </w:p>
        </w:tc>
        <w:tc>
          <w:tcPr>
            <w:tcW w:w="7821" w:type="dxa"/>
            <w:vAlign w:val="center"/>
          </w:tcPr>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1、投标供应商信用信息查询的查询渠道：“信用中国”(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cs="宋体" w:asciiTheme="majorEastAsia" w:hAnsiTheme="majorEastAsia" w:eastAsiaTheme="majorEastAsia"/>
                <w:color w:val="auto"/>
                <w:sz w:val="22"/>
                <w:szCs w:val="22"/>
                <w:highlight w:val="none"/>
              </w:rPr>
              <w:t>www.creditchina.gov.cn</w:t>
            </w:r>
            <w:r>
              <w:rPr>
                <w:rFonts w:hint="eastAsia" w:cs="宋体" w:asciiTheme="majorEastAsia" w:hAnsiTheme="majorEastAsia" w:eastAsiaTheme="majorEastAsia"/>
                <w:color w:val="auto"/>
                <w:sz w:val="22"/>
                <w:szCs w:val="22"/>
                <w:highlight w:val="none"/>
              </w:rPr>
              <w:fldChar w:fldCharType="end"/>
            </w:r>
            <w:r>
              <w:rPr>
                <w:rFonts w:hint="eastAsia" w:cs="宋体" w:asciiTheme="majorEastAsia" w:hAnsiTheme="majorEastAsia" w:eastAsiaTheme="majorEastAsia"/>
                <w:color w:val="auto"/>
                <w:sz w:val="22"/>
                <w:szCs w:val="22"/>
                <w:highlight w:val="none"/>
              </w:rPr>
              <w:t>)；“中国政府采购网”（</w:t>
            </w:r>
            <w:r>
              <w:rPr>
                <w:rFonts w:cs="宋体" w:asciiTheme="majorEastAsia" w:hAnsiTheme="majorEastAsia" w:eastAsiaTheme="majorEastAsia"/>
                <w:color w:val="auto"/>
                <w:sz w:val="22"/>
                <w:szCs w:val="22"/>
                <w:highlight w:val="none"/>
              </w:rPr>
              <w:t>www.ccgp.gov.cn/search/cr/</w:t>
            </w:r>
            <w:r>
              <w:rPr>
                <w:rFonts w:hint="eastAsia" w:cs="宋体" w:asciiTheme="majorEastAsia" w:hAnsiTheme="majorEastAsia" w:eastAsiaTheme="majorEastAsia"/>
                <w:color w:val="auto"/>
                <w:sz w:val="22"/>
                <w:szCs w:val="22"/>
                <w:highlight w:val="none"/>
              </w:rPr>
              <w:t>）；</w:t>
            </w:r>
          </w:p>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2、投标供应商信用信息查询截止时点：招标公告发布之日至投标截止时间前；</w:t>
            </w:r>
          </w:p>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3、投标供应商信用信息查询记录和证据留存的具体方式：网页截图或报告；</w:t>
            </w:r>
          </w:p>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86"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28</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合同备案</w:t>
            </w:r>
          </w:p>
        </w:tc>
        <w:tc>
          <w:tcPr>
            <w:tcW w:w="7821" w:type="dxa"/>
            <w:vAlign w:val="center"/>
          </w:tcPr>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1、中标供应商须在发出中标通知书之日起30日历天内与采购人签订合同。</w:t>
            </w:r>
          </w:p>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2、本项目政府采购合同按规定在浙江政府采购网（http://www.zjzfcg.gov.cn）予以公告。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71"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29</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合同履约管理</w:t>
            </w:r>
          </w:p>
        </w:tc>
        <w:tc>
          <w:tcPr>
            <w:tcW w:w="7821" w:type="dxa"/>
            <w:vAlign w:val="center"/>
          </w:tcPr>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合同签订后，采购人依法加强对合同履约进行管理，并在</w:t>
            </w:r>
            <w:r>
              <w:rPr>
                <w:rFonts w:hint="eastAsia" w:cs="宋体" w:asciiTheme="majorEastAsia" w:hAnsiTheme="majorEastAsia" w:eastAsiaTheme="majorEastAsia"/>
                <w:color w:val="auto"/>
                <w:sz w:val="22"/>
                <w:szCs w:val="22"/>
                <w:highlight w:val="none"/>
                <w:lang w:eastAsia="zh-CN"/>
              </w:rPr>
              <w:t>中标供应商</w:t>
            </w:r>
            <w:r>
              <w:rPr>
                <w:rFonts w:hint="eastAsia" w:cs="宋体" w:asciiTheme="majorEastAsia" w:hAnsiTheme="majorEastAsia" w:eastAsiaTheme="majorEastAsia"/>
                <w:color w:val="auto"/>
                <w:sz w:val="22"/>
                <w:szCs w:val="22"/>
                <w:highlight w:val="none"/>
              </w:rPr>
              <w:t>服务、项目验收等重要关节，如实填写《合同验收报告》，并及时向同级财政部门报告验收过程中遇到的问题。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05"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30</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免则声明</w:t>
            </w:r>
          </w:p>
        </w:tc>
        <w:tc>
          <w:tcPr>
            <w:tcW w:w="7821" w:type="dxa"/>
            <w:vAlign w:val="center"/>
          </w:tcPr>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1、供应商自行承担投标过程中产生的费用。无论何种因素导致采购项目延期开标、废标（流标）、供应商未成交、项目终止采购的，采购人与代理机构均不承担供应商投标费用。</w:t>
            </w:r>
          </w:p>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2、供应商在投标、合同履行过程中必须做好安全保障工作，不因项目实施而危及自身及第三方人员、财产安全。若发生任何安全事故，由</w:t>
            </w:r>
            <w:r>
              <w:rPr>
                <w:rFonts w:hint="eastAsia" w:cs="宋体" w:asciiTheme="majorEastAsia" w:hAnsiTheme="majorEastAsia" w:eastAsiaTheme="majorEastAsia"/>
                <w:color w:val="auto"/>
                <w:sz w:val="22"/>
                <w:szCs w:val="22"/>
                <w:highlight w:val="none"/>
                <w:lang w:eastAsia="zh-CN"/>
              </w:rPr>
              <w:t>中标供应商</w:t>
            </w:r>
            <w:r>
              <w:rPr>
                <w:rFonts w:hint="eastAsia" w:cs="宋体" w:asciiTheme="majorEastAsia" w:hAnsiTheme="majorEastAsia" w:eastAsiaTheme="majorEastAsia"/>
                <w:color w:val="auto"/>
                <w:sz w:val="22"/>
                <w:szCs w:val="22"/>
                <w:highlight w:val="none"/>
              </w:rPr>
              <w:t>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6"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31</w:t>
            </w:r>
          </w:p>
        </w:tc>
        <w:tc>
          <w:tcPr>
            <w:tcW w:w="1715" w:type="dxa"/>
            <w:vAlign w:val="center"/>
          </w:tcPr>
          <w:p>
            <w:pPr>
              <w:jc w:val="cente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解释权</w:t>
            </w:r>
          </w:p>
        </w:tc>
        <w:tc>
          <w:tcPr>
            <w:tcW w:w="7821" w:type="dxa"/>
            <w:vAlign w:val="center"/>
          </w:tcPr>
          <w:p>
            <w:pPr>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构成本招标文件的各个组成文件应互为解释，互为说明；如有不明确或不一致，构成合同文件组成内容的，以合同文件约定内容为准，且以专用合同条款约定的合同文件优先顺序解释；仅适用于采购阶段的约定，按采购公告、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42" w:hRule="atLeast"/>
          <w:jc w:val="center"/>
        </w:trPr>
        <w:tc>
          <w:tcPr>
            <w:tcW w:w="694" w:type="dxa"/>
            <w:vAlign w:val="center"/>
          </w:tcPr>
          <w:p>
            <w:pPr>
              <w:jc w:val="center"/>
              <w:rPr>
                <w:rFonts w:cs="宋体" w:asciiTheme="majorEastAsia" w:hAnsiTheme="majorEastAsia" w:eastAsiaTheme="majorEastAsia"/>
                <w:color w:val="auto"/>
                <w:kern w:val="2"/>
                <w:sz w:val="22"/>
                <w:szCs w:val="22"/>
                <w:highlight w:val="none"/>
                <w:lang w:val="en-US" w:eastAsia="zh-CN" w:bidi="ar-SA"/>
              </w:rPr>
            </w:pPr>
            <w:r>
              <w:rPr>
                <w:rFonts w:hint="eastAsia" w:cs="宋体" w:asciiTheme="majorEastAsia" w:hAnsiTheme="majorEastAsia" w:eastAsiaTheme="majorEastAsia"/>
                <w:color w:val="auto"/>
                <w:sz w:val="22"/>
                <w:szCs w:val="22"/>
                <w:highlight w:val="none"/>
              </w:rPr>
              <w:t>32</w:t>
            </w:r>
          </w:p>
        </w:tc>
        <w:tc>
          <w:tcPr>
            <w:tcW w:w="1715"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项目类型</w:t>
            </w:r>
          </w:p>
        </w:tc>
        <w:tc>
          <w:tcPr>
            <w:tcW w:w="7821" w:type="dxa"/>
            <w:vAlign w:val="center"/>
          </w:tcPr>
          <w:p>
            <w:pPr>
              <w:adjustRightInd w:val="0"/>
              <w:rPr>
                <w:rFonts w:ascii="宋体"/>
                <w:color w:val="auto"/>
                <w:sz w:val="22"/>
                <w:szCs w:val="22"/>
                <w:highlight w:val="none"/>
              </w:rPr>
            </w:pPr>
            <w:r>
              <w:rPr>
                <w:rFonts w:hint="eastAsia" w:cs="宋体" w:asciiTheme="majorEastAsia" w:hAnsiTheme="majorEastAsia" w:eastAsiaTheme="majorEastAsia"/>
                <w:b/>
                <w:color w:val="auto"/>
                <w:sz w:val="22"/>
                <w:szCs w:val="22"/>
                <w:highlight w:val="none"/>
              </w:rPr>
              <w:fldChar w:fldCharType="begin"/>
            </w:r>
            <w:r>
              <w:rPr>
                <w:rFonts w:hint="eastAsia" w:cs="宋体" w:asciiTheme="majorEastAsia" w:hAnsiTheme="majorEastAsia" w:eastAsiaTheme="majorEastAsia"/>
                <w:b/>
                <w:color w:val="auto"/>
                <w:sz w:val="22"/>
                <w:szCs w:val="22"/>
                <w:highlight w:val="none"/>
              </w:rPr>
              <w:instrText xml:space="preserve">eq \o\ac(□)</w:instrText>
            </w:r>
            <w:r>
              <w:rPr>
                <w:rFonts w:hint="eastAsia" w:cs="宋体" w:asciiTheme="majorEastAsia" w:hAnsiTheme="majorEastAsia" w:eastAsiaTheme="majorEastAsia"/>
                <w:b/>
                <w:color w:val="auto"/>
                <w:sz w:val="22"/>
                <w:szCs w:val="22"/>
                <w:highlight w:val="none"/>
              </w:rPr>
              <w:fldChar w:fldCharType="end"/>
            </w:r>
            <w:r>
              <w:rPr>
                <w:rFonts w:hint="eastAsia" w:ascii="宋体"/>
                <w:color w:val="auto"/>
                <w:sz w:val="22"/>
                <w:szCs w:val="22"/>
                <w:highlight w:val="none"/>
              </w:rPr>
              <w:t>A</w:t>
            </w:r>
            <w:r>
              <w:rPr>
                <w:rFonts w:hint="eastAsia" w:ascii="宋体"/>
                <w:b/>
                <w:color w:val="auto"/>
                <w:sz w:val="22"/>
                <w:szCs w:val="22"/>
                <w:highlight w:val="none"/>
              </w:rPr>
              <w:t>货物类</w:t>
            </w:r>
            <w:r>
              <w:rPr>
                <w:rFonts w:hint="eastAsia" w:ascii="宋体"/>
                <w:color w:val="auto"/>
                <w:sz w:val="22"/>
                <w:szCs w:val="22"/>
                <w:highlight w:val="none"/>
              </w:rPr>
              <w:t>，单一产品或核心产品为：</w:t>
            </w:r>
            <w:r>
              <w:rPr>
                <w:rFonts w:hint="eastAsia" w:ascii="宋体"/>
                <w:color w:val="auto"/>
                <w:sz w:val="22"/>
                <w:szCs w:val="22"/>
                <w:highlight w:val="none"/>
                <w:lang w:val="en-US" w:eastAsia="zh-CN"/>
              </w:rPr>
              <w:t>/</w:t>
            </w:r>
            <w:r>
              <w:rPr>
                <w:rFonts w:hint="eastAsia" w:ascii="宋体"/>
                <w:color w:val="auto"/>
                <w:sz w:val="22"/>
                <w:highlight w:val="none"/>
              </w:rPr>
              <w:t>。</w:t>
            </w:r>
          </w:p>
          <w:p>
            <w:pPr>
              <w:rPr>
                <w:rFonts w:ascii="宋体"/>
                <w:b/>
                <w:color w:val="auto"/>
                <w:sz w:val="22"/>
                <w:szCs w:val="22"/>
                <w:highlight w:val="none"/>
              </w:rPr>
            </w:pPr>
            <w:r>
              <w:rPr>
                <w:rFonts w:ascii="宋体"/>
                <w:b/>
                <w:color w:val="auto"/>
                <w:sz w:val="22"/>
                <w:szCs w:val="22"/>
                <w:highlight w:val="none"/>
              </w:rPr>
              <w:sym w:font="Wingdings 2" w:char="0052"/>
            </w:r>
            <w:r>
              <w:rPr>
                <w:rFonts w:hint="eastAsia" w:ascii="宋体"/>
                <w:b/>
                <w:color w:val="auto"/>
                <w:sz w:val="22"/>
                <w:szCs w:val="22"/>
                <w:highlight w:val="none"/>
              </w:rPr>
              <w:t>B服务类。</w:t>
            </w:r>
          </w:p>
          <w:p>
            <w:pPr>
              <w:rPr>
                <w:rFonts w:ascii="宋体"/>
                <w:color w:val="auto"/>
                <w:sz w:val="22"/>
                <w:szCs w:val="22"/>
                <w:highlight w:val="none"/>
              </w:rPr>
            </w:pPr>
            <w:r>
              <w:rPr>
                <w:rFonts w:hint="eastAsia" w:ascii="宋体"/>
                <w:color w:val="auto"/>
                <w:sz w:val="22"/>
                <w:szCs w:val="22"/>
                <w:highlight w:val="none"/>
              </w:rPr>
              <w:t>采购标的对应的中小企业划分标准所属行业：</w:t>
            </w:r>
            <w:r>
              <w:rPr>
                <w:rFonts w:hint="eastAsia" w:ascii="宋体" w:eastAsia="宋体"/>
                <w:b w:val="0"/>
                <w:color w:val="auto"/>
                <w:sz w:val="22"/>
                <w:szCs w:val="22"/>
                <w:highlight w:val="none"/>
                <w:u w:val="single"/>
              </w:rPr>
              <w:t>其他未列明行业</w:t>
            </w:r>
          </w:p>
        </w:tc>
      </w:tr>
    </w:tbl>
    <w:p>
      <w:pPr>
        <w:rPr>
          <w:rFonts w:asciiTheme="majorEastAsia" w:hAnsiTheme="majorEastAsia" w:eastAsiaTheme="majorEastAsia"/>
          <w:color w:val="auto"/>
          <w:highlight w:val="none"/>
        </w:rPr>
      </w:pPr>
    </w:p>
    <w:p>
      <w:pPr>
        <w:pStyle w:val="2"/>
        <w:ind w:firstLine="210"/>
        <w:rPr>
          <w:rFonts w:asciiTheme="majorEastAsia" w:hAnsiTheme="majorEastAsia" w:eastAsiaTheme="majorEastAsia"/>
          <w:color w:val="auto"/>
          <w:highlight w:val="none"/>
        </w:rPr>
      </w:pPr>
    </w:p>
    <w:p>
      <w:pPr>
        <w:pStyle w:val="2"/>
        <w:ind w:firstLine="210"/>
        <w:rPr>
          <w:rFonts w:asciiTheme="majorEastAsia" w:hAnsiTheme="majorEastAsia" w:eastAsiaTheme="majorEastAsia"/>
          <w:color w:val="auto"/>
          <w:highlight w:val="none"/>
        </w:rPr>
      </w:pPr>
    </w:p>
    <w:p>
      <w:pPr>
        <w:pStyle w:val="2"/>
        <w:ind w:firstLine="210"/>
        <w:rPr>
          <w:rFonts w:asciiTheme="majorEastAsia" w:hAnsiTheme="majorEastAsia" w:eastAsiaTheme="majorEastAsia"/>
          <w:color w:val="auto"/>
          <w:highlight w:val="none"/>
        </w:rPr>
      </w:pPr>
    </w:p>
    <w:p>
      <w:pPr>
        <w:pStyle w:val="40"/>
        <w:rPr>
          <w:rFonts w:cs="新宋体" w:asciiTheme="majorEastAsia" w:hAnsiTheme="majorEastAsia" w:eastAsiaTheme="majorEastAsia"/>
          <w:color w:val="auto"/>
          <w:sz w:val="30"/>
          <w:szCs w:val="30"/>
          <w:highlight w:val="none"/>
        </w:rPr>
      </w:pPr>
      <w:bookmarkStart w:id="8" w:name="_Toc461563840"/>
      <w:bookmarkStart w:id="9" w:name="_Toc498343165"/>
      <w:r>
        <w:rPr>
          <w:rFonts w:hint="eastAsia" w:cs="新宋体" w:asciiTheme="majorEastAsia" w:hAnsiTheme="majorEastAsia" w:eastAsiaTheme="majorEastAsia"/>
          <w:color w:val="auto"/>
          <w:sz w:val="30"/>
          <w:szCs w:val="30"/>
          <w:highlight w:val="none"/>
        </w:rPr>
        <w:br w:type="page"/>
      </w:r>
      <w:bookmarkStart w:id="10" w:name="_Toc13266"/>
      <w:r>
        <w:rPr>
          <w:rFonts w:hint="eastAsia" w:cs="新宋体" w:asciiTheme="majorEastAsia" w:hAnsiTheme="majorEastAsia" w:eastAsiaTheme="majorEastAsia"/>
          <w:color w:val="auto"/>
          <w:sz w:val="30"/>
          <w:szCs w:val="30"/>
          <w:highlight w:val="none"/>
        </w:rPr>
        <w:t xml:space="preserve">第二部分 </w:t>
      </w:r>
      <w:bookmarkEnd w:id="8"/>
      <w:bookmarkEnd w:id="9"/>
      <w:r>
        <w:rPr>
          <w:rFonts w:hint="eastAsia" w:cs="新宋体" w:asciiTheme="majorEastAsia" w:hAnsiTheme="majorEastAsia" w:eastAsiaTheme="majorEastAsia"/>
          <w:color w:val="auto"/>
          <w:sz w:val="30"/>
          <w:szCs w:val="30"/>
          <w:highlight w:val="none"/>
        </w:rPr>
        <w:t>招标内容及要求</w:t>
      </w:r>
      <w:bookmarkEnd w:id="10"/>
    </w:p>
    <w:p>
      <w:pPr>
        <w:pStyle w:val="84"/>
        <w:spacing w:line="360" w:lineRule="auto"/>
        <w:ind w:firstLineChars="0"/>
        <w:rPr>
          <w:rFonts w:ascii="宋体" w:hAnsi="宋体"/>
          <w:b/>
          <w:color w:val="auto"/>
          <w:sz w:val="22"/>
          <w:highlight w:val="none"/>
        </w:rPr>
      </w:pPr>
      <w:bookmarkStart w:id="11" w:name="_Toc461563851"/>
      <w:bookmarkStart w:id="12" w:name="_Toc498343168"/>
      <w:r>
        <w:rPr>
          <w:rFonts w:hint="eastAsia" w:ascii="宋体" w:hAnsi="宋体"/>
          <w:b/>
          <w:color w:val="auto"/>
          <w:sz w:val="22"/>
          <w:highlight w:val="none"/>
        </w:rPr>
        <w:t>一、采购内容</w:t>
      </w:r>
    </w:p>
    <w:tbl>
      <w:tblPr>
        <w:tblStyle w:val="43"/>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94"/>
        <w:gridCol w:w="6506"/>
        <w:gridCol w:w="2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657" w:type="pct"/>
            <w:noWrap w:val="0"/>
            <w:tcMar>
              <w:top w:w="0" w:type="dxa"/>
              <w:left w:w="108" w:type="dxa"/>
              <w:bottom w:w="0" w:type="dxa"/>
              <w:right w:w="108" w:type="dxa"/>
            </w:tcMar>
            <w:vAlign w:val="center"/>
          </w:tcPr>
          <w:p>
            <w:pPr>
              <w:widowControl/>
              <w:spacing w:line="360" w:lineRule="exact"/>
              <w:jc w:val="center"/>
              <w:rPr>
                <w:rFonts w:ascii="宋体" w:eastAsia="宋体"/>
                <w:bCs w:val="0"/>
                <w:color w:val="auto"/>
                <w:sz w:val="22"/>
                <w:highlight w:val="none"/>
              </w:rPr>
            </w:pPr>
            <w:r>
              <w:rPr>
                <w:rFonts w:hint="eastAsia" w:ascii="宋体" w:eastAsia="宋体"/>
                <w:bCs w:val="0"/>
                <w:color w:val="auto"/>
                <w:sz w:val="22"/>
                <w:highlight w:val="none"/>
              </w:rPr>
              <w:t>序号</w:t>
            </w:r>
          </w:p>
        </w:tc>
        <w:tc>
          <w:tcPr>
            <w:tcW w:w="3301" w:type="pct"/>
            <w:noWrap w:val="0"/>
            <w:vAlign w:val="center"/>
          </w:tcPr>
          <w:p>
            <w:pPr>
              <w:widowControl/>
              <w:spacing w:line="360" w:lineRule="exact"/>
              <w:jc w:val="center"/>
              <w:rPr>
                <w:rFonts w:ascii="宋体" w:eastAsia="宋体"/>
                <w:color w:val="auto"/>
                <w:sz w:val="22"/>
                <w:highlight w:val="none"/>
              </w:rPr>
            </w:pPr>
            <w:r>
              <w:rPr>
                <w:rFonts w:hint="eastAsia" w:ascii="宋体" w:eastAsia="宋体"/>
                <w:color w:val="auto"/>
                <w:sz w:val="22"/>
                <w:highlight w:val="none"/>
              </w:rPr>
              <w:t>路线安排</w:t>
            </w:r>
          </w:p>
        </w:tc>
        <w:tc>
          <w:tcPr>
            <w:tcW w:w="1041" w:type="pct"/>
            <w:noWrap w:val="0"/>
            <w:vAlign w:val="center"/>
          </w:tcPr>
          <w:p>
            <w:pPr>
              <w:widowControl/>
              <w:spacing w:line="360" w:lineRule="exact"/>
              <w:jc w:val="center"/>
              <w:rPr>
                <w:rFonts w:ascii="宋体" w:eastAsia="宋体"/>
                <w:color w:val="auto"/>
                <w:sz w:val="22"/>
                <w:highlight w:val="none"/>
              </w:rPr>
            </w:pPr>
            <w:r>
              <w:rPr>
                <w:rFonts w:hint="eastAsia" w:ascii="宋体" w:eastAsia="宋体"/>
                <w:bCs w:val="0"/>
                <w:color w:val="auto"/>
                <w:sz w:val="22"/>
                <w:szCs w:val="22"/>
                <w:highlight w:val="none"/>
                <w:u w:val="single"/>
              </w:rPr>
              <w:t>固定报价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657" w:type="pct"/>
            <w:noWrap w:val="0"/>
            <w:tcMar>
              <w:top w:w="0" w:type="dxa"/>
              <w:left w:w="108" w:type="dxa"/>
              <w:bottom w:w="0" w:type="dxa"/>
              <w:right w:w="108" w:type="dxa"/>
            </w:tcMar>
            <w:vAlign w:val="center"/>
          </w:tcPr>
          <w:p>
            <w:pPr>
              <w:widowControl/>
              <w:spacing w:line="360" w:lineRule="exact"/>
              <w:jc w:val="center"/>
              <w:rPr>
                <w:rFonts w:ascii="宋体" w:eastAsia="宋体"/>
                <w:bCs w:val="0"/>
                <w:color w:val="auto"/>
                <w:sz w:val="22"/>
                <w:highlight w:val="none"/>
              </w:rPr>
            </w:pPr>
            <w:r>
              <w:rPr>
                <w:rFonts w:hint="eastAsia" w:ascii="宋体" w:eastAsia="宋体"/>
                <w:color w:val="auto"/>
                <w:sz w:val="22"/>
                <w:highlight w:val="none"/>
              </w:rPr>
              <w:t>线路1</w:t>
            </w:r>
          </w:p>
        </w:tc>
        <w:tc>
          <w:tcPr>
            <w:tcW w:w="3301" w:type="pct"/>
            <w:noWrap w:val="0"/>
            <w:vAlign w:val="center"/>
          </w:tcPr>
          <w:p>
            <w:pPr>
              <w:widowControl/>
              <w:spacing w:line="360" w:lineRule="exact"/>
              <w:jc w:val="center"/>
              <w:rPr>
                <w:rFonts w:ascii="宋体" w:eastAsia="宋体"/>
                <w:color w:val="auto"/>
                <w:sz w:val="22"/>
                <w:highlight w:val="none"/>
              </w:rPr>
            </w:pPr>
            <w:r>
              <w:rPr>
                <w:rFonts w:ascii="宋体" w:eastAsia="宋体"/>
                <w:bCs w:val="0"/>
                <w:color w:val="auto"/>
                <w:sz w:val="22"/>
                <w:szCs w:val="22"/>
                <w:highlight w:val="none"/>
                <w:u w:val="single"/>
              </w:rPr>
              <w:t>海南5</w:t>
            </w:r>
            <w:r>
              <w:rPr>
                <w:rFonts w:hint="eastAsia" w:ascii="宋体" w:eastAsia="宋体"/>
                <w:bCs w:val="0"/>
                <w:color w:val="auto"/>
                <w:sz w:val="22"/>
                <w:szCs w:val="22"/>
                <w:highlight w:val="none"/>
                <w:u w:val="single"/>
              </w:rPr>
              <w:t>天</w:t>
            </w:r>
          </w:p>
        </w:tc>
        <w:tc>
          <w:tcPr>
            <w:tcW w:w="1041" w:type="pct"/>
            <w:noWrap w:val="0"/>
            <w:vAlign w:val="center"/>
          </w:tcPr>
          <w:p>
            <w:pPr>
              <w:widowControl/>
              <w:spacing w:line="360" w:lineRule="exact"/>
              <w:jc w:val="center"/>
              <w:rPr>
                <w:rFonts w:ascii="宋体" w:eastAsia="宋体"/>
                <w:color w:val="auto"/>
                <w:sz w:val="22"/>
                <w:highlight w:val="none"/>
              </w:rPr>
            </w:pPr>
            <w:r>
              <w:rPr>
                <w:rFonts w:hint="eastAsia" w:ascii="宋体" w:eastAsia="宋体"/>
                <w:bCs w:val="0"/>
                <w:color w:val="auto"/>
                <w:sz w:val="22"/>
                <w:szCs w:val="22"/>
                <w:highlight w:val="none"/>
                <w:u w:val="single"/>
              </w:rPr>
              <w:t>7</w:t>
            </w:r>
            <w:r>
              <w:rPr>
                <w:rFonts w:ascii="宋体" w:eastAsia="宋体"/>
                <w:bCs w:val="0"/>
                <w:color w:val="auto"/>
                <w:sz w:val="22"/>
                <w:szCs w:val="22"/>
                <w:highlight w:val="none"/>
                <w:u w:val="single"/>
              </w:rPr>
              <w:t>500</w:t>
            </w:r>
            <w:r>
              <w:rPr>
                <w:rFonts w:hint="eastAsia" w:ascii="宋体" w:eastAsia="宋体"/>
                <w:bCs w:val="0"/>
                <w:color w:val="auto"/>
                <w:sz w:val="22"/>
                <w:szCs w:val="22"/>
                <w:highlight w:val="none"/>
                <w:u w:val="single"/>
              </w:rPr>
              <w:t>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657" w:type="pct"/>
            <w:noWrap w:val="0"/>
            <w:tcMar>
              <w:top w:w="0" w:type="dxa"/>
              <w:left w:w="108" w:type="dxa"/>
              <w:bottom w:w="0" w:type="dxa"/>
              <w:right w:w="108" w:type="dxa"/>
            </w:tcMar>
            <w:vAlign w:val="center"/>
          </w:tcPr>
          <w:p>
            <w:pPr>
              <w:widowControl/>
              <w:spacing w:line="360" w:lineRule="exact"/>
              <w:jc w:val="center"/>
              <w:rPr>
                <w:rFonts w:ascii="宋体" w:eastAsia="宋体"/>
                <w:bCs w:val="0"/>
                <w:color w:val="auto"/>
                <w:sz w:val="22"/>
                <w:highlight w:val="none"/>
              </w:rPr>
            </w:pPr>
            <w:r>
              <w:rPr>
                <w:rFonts w:hint="eastAsia" w:ascii="宋体" w:eastAsia="宋体"/>
                <w:color w:val="auto"/>
                <w:sz w:val="22"/>
                <w:highlight w:val="none"/>
              </w:rPr>
              <w:t>线路2</w:t>
            </w:r>
          </w:p>
        </w:tc>
        <w:tc>
          <w:tcPr>
            <w:tcW w:w="3301" w:type="pct"/>
            <w:noWrap w:val="0"/>
            <w:vAlign w:val="center"/>
          </w:tcPr>
          <w:p>
            <w:pPr>
              <w:widowControl/>
              <w:spacing w:line="360" w:lineRule="exact"/>
              <w:jc w:val="center"/>
              <w:rPr>
                <w:rFonts w:ascii="宋体" w:eastAsia="宋体"/>
                <w:color w:val="auto"/>
                <w:sz w:val="22"/>
                <w:highlight w:val="none"/>
              </w:rPr>
            </w:pPr>
            <w:r>
              <w:rPr>
                <w:rFonts w:ascii="宋体" w:eastAsia="宋体"/>
                <w:bCs w:val="0"/>
                <w:color w:val="auto"/>
                <w:sz w:val="22"/>
                <w:szCs w:val="22"/>
                <w:highlight w:val="none"/>
                <w:u w:val="single"/>
              </w:rPr>
              <w:t>兰州、塔尔寺、青海湖、莫高窟8天</w:t>
            </w:r>
          </w:p>
        </w:tc>
        <w:tc>
          <w:tcPr>
            <w:tcW w:w="1041" w:type="pct"/>
            <w:noWrap w:val="0"/>
            <w:vAlign w:val="center"/>
          </w:tcPr>
          <w:p>
            <w:pPr>
              <w:widowControl/>
              <w:spacing w:line="360" w:lineRule="exact"/>
              <w:jc w:val="center"/>
              <w:rPr>
                <w:rFonts w:ascii="宋体" w:eastAsia="宋体"/>
                <w:color w:val="auto"/>
                <w:sz w:val="22"/>
                <w:highlight w:val="none"/>
              </w:rPr>
            </w:pPr>
            <w:r>
              <w:rPr>
                <w:rFonts w:hint="eastAsia" w:ascii="宋体" w:eastAsia="宋体"/>
                <w:bCs w:val="0"/>
                <w:color w:val="auto"/>
                <w:sz w:val="22"/>
                <w:szCs w:val="22"/>
                <w:highlight w:val="none"/>
                <w:u w:val="single"/>
              </w:rPr>
              <w:t>7</w:t>
            </w:r>
            <w:r>
              <w:rPr>
                <w:rFonts w:ascii="宋体" w:eastAsia="宋体"/>
                <w:bCs w:val="0"/>
                <w:color w:val="auto"/>
                <w:sz w:val="22"/>
                <w:szCs w:val="22"/>
                <w:highlight w:val="none"/>
                <w:u w:val="single"/>
              </w:rPr>
              <w:t>500</w:t>
            </w:r>
            <w:r>
              <w:rPr>
                <w:rFonts w:hint="eastAsia" w:ascii="宋体" w:eastAsia="宋体"/>
                <w:bCs w:val="0"/>
                <w:color w:val="auto"/>
                <w:sz w:val="22"/>
                <w:szCs w:val="22"/>
                <w:highlight w:val="none"/>
                <w:u w:val="single"/>
              </w:rPr>
              <w:t>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657" w:type="pct"/>
            <w:noWrap w:val="0"/>
            <w:tcMar>
              <w:top w:w="0" w:type="dxa"/>
              <w:left w:w="108" w:type="dxa"/>
              <w:bottom w:w="0" w:type="dxa"/>
              <w:right w:w="108" w:type="dxa"/>
            </w:tcMar>
            <w:vAlign w:val="center"/>
          </w:tcPr>
          <w:p>
            <w:pPr>
              <w:widowControl/>
              <w:spacing w:line="360" w:lineRule="exact"/>
              <w:jc w:val="center"/>
              <w:rPr>
                <w:rFonts w:ascii="宋体" w:eastAsia="宋体"/>
                <w:bCs w:val="0"/>
                <w:color w:val="auto"/>
                <w:sz w:val="22"/>
                <w:highlight w:val="none"/>
              </w:rPr>
            </w:pPr>
            <w:r>
              <w:rPr>
                <w:rFonts w:hint="eastAsia" w:ascii="宋体" w:eastAsia="宋体"/>
                <w:color w:val="auto"/>
                <w:sz w:val="22"/>
                <w:highlight w:val="none"/>
              </w:rPr>
              <w:t>线路3</w:t>
            </w:r>
          </w:p>
        </w:tc>
        <w:tc>
          <w:tcPr>
            <w:tcW w:w="3301" w:type="pct"/>
            <w:noWrap w:val="0"/>
            <w:vAlign w:val="center"/>
          </w:tcPr>
          <w:p>
            <w:pPr>
              <w:widowControl/>
              <w:spacing w:line="360" w:lineRule="exact"/>
              <w:jc w:val="center"/>
              <w:rPr>
                <w:rFonts w:ascii="宋体" w:eastAsia="宋体"/>
                <w:color w:val="auto"/>
                <w:sz w:val="22"/>
                <w:highlight w:val="none"/>
              </w:rPr>
            </w:pPr>
            <w:r>
              <w:rPr>
                <w:rFonts w:ascii="宋体" w:eastAsia="宋体"/>
                <w:bCs w:val="0"/>
                <w:color w:val="auto"/>
                <w:sz w:val="22"/>
                <w:szCs w:val="22"/>
                <w:highlight w:val="none"/>
                <w:u w:val="single"/>
              </w:rPr>
              <w:t>呼伦贝尔大草原、室韦、满洲里6天</w:t>
            </w:r>
          </w:p>
        </w:tc>
        <w:tc>
          <w:tcPr>
            <w:tcW w:w="1041" w:type="pct"/>
            <w:noWrap w:val="0"/>
            <w:vAlign w:val="center"/>
          </w:tcPr>
          <w:p>
            <w:pPr>
              <w:widowControl/>
              <w:spacing w:line="360" w:lineRule="exact"/>
              <w:jc w:val="center"/>
              <w:rPr>
                <w:rFonts w:ascii="宋体" w:eastAsia="宋体"/>
                <w:color w:val="auto"/>
                <w:sz w:val="22"/>
                <w:highlight w:val="none"/>
              </w:rPr>
            </w:pPr>
            <w:r>
              <w:rPr>
                <w:rFonts w:hint="eastAsia" w:ascii="宋体" w:eastAsia="宋体"/>
                <w:bCs w:val="0"/>
                <w:color w:val="auto"/>
                <w:sz w:val="22"/>
                <w:szCs w:val="22"/>
                <w:highlight w:val="none"/>
                <w:u w:val="single"/>
              </w:rPr>
              <w:t>7</w:t>
            </w:r>
            <w:r>
              <w:rPr>
                <w:rFonts w:ascii="宋体" w:eastAsia="宋体"/>
                <w:bCs w:val="0"/>
                <w:color w:val="auto"/>
                <w:sz w:val="22"/>
                <w:szCs w:val="22"/>
                <w:highlight w:val="none"/>
                <w:u w:val="single"/>
              </w:rPr>
              <w:t>500</w:t>
            </w:r>
            <w:r>
              <w:rPr>
                <w:rFonts w:hint="eastAsia" w:ascii="宋体" w:eastAsia="宋体"/>
                <w:bCs w:val="0"/>
                <w:color w:val="auto"/>
                <w:sz w:val="22"/>
                <w:szCs w:val="22"/>
                <w:highlight w:val="none"/>
                <w:u w:val="single"/>
              </w:rPr>
              <w:t>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657" w:type="pct"/>
            <w:noWrap w:val="0"/>
            <w:tcMar>
              <w:top w:w="0" w:type="dxa"/>
              <w:left w:w="108" w:type="dxa"/>
              <w:bottom w:w="0" w:type="dxa"/>
              <w:right w:w="108" w:type="dxa"/>
            </w:tcMar>
            <w:vAlign w:val="center"/>
          </w:tcPr>
          <w:p>
            <w:pPr>
              <w:widowControl/>
              <w:spacing w:line="360" w:lineRule="exact"/>
              <w:jc w:val="center"/>
              <w:rPr>
                <w:rFonts w:ascii="宋体" w:eastAsia="宋体"/>
                <w:bCs w:val="0"/>
                <w:color w:val="auto"/>
                <w:sz w:val="22"/>
                <w:highlight w:val="none"/>
              </w:rPr>
            </w:pPr>
            <w:r>
              <w:rPr>
                <w:rFonts w:hint="eastAsia" w:ascii="宋体" w:eastAsia="宋体"/>
                <w:color w:val="auto"/>
                <w:sz w:val="22"/>
                <w:highlight w:val="none"/>
              </w:rPr>
              <w:t>线路4</w:t>
            </w:r>
          </w:p>
        </w:tc>
        <w:tc>
          <w:tcPr>
            <w:tcW w:w="3301" w:type="pct"/>
            <w:noWrap w:val="0"/>
            <w:vAlign w:val="center"/>
          </w:tcPr>
          <w:p>
            <w:pPr>
              <w:widowControl/>
              <w:spacing w:line="360" w:lineRule="exact"/>
              <w:jc w:val="center"/>
              <w:rPr>
                <w:rFonts w:ascii="宋体" w:eastAsia="宋体"/>
                <w:color w:val="auto"/>
                <w:sz w:val="22"/>
                <w:highlight w:val="none"/>
              </w:rPr>
            </w:pPr>
            <w:r>
              <w:rPr>
                <w:rFonts w:ascii="宋体" w:eastAsia="宋体"/>
                <w:bCs w:val="0"/>
                <w:color w:val="auto"/>
                <w:sz w:val="22"/>
                <w:szCs w:val="22"/>
                <w:highlight w:val="none"/>
                <w:u w:val="single"/>
              </w:rPr>
              <w:t>西安、郑州6天</w:t>
            </w:r>
          </w:p>
        </w:tc>
        <w:tc>
          <w:tcPr>
            <w:tcW w:w="1041" w:type="pct"/>
            <w:noWrap w:val="0"/>
            <w:vAlign w:val="center"/>
          </w:tcPr>
          <w:p>
            <w:pPr>
              <w:widowControl/>
              <w:spacing w:line="360" w:lineRule="exact"/>
              <w:jc w:val="center"/>
              <w:rPr>
                <w:rFonts w:ascii="宋体" w:eastAsia="宋体"/>
                <w:color w:val="auto"/>
                <w:sz w:val="22"/>
                <w:highlight w:val="none"/>
              </w:rPr>
            </w:pPr>
            <w:r>
              <w:rPr>
                <w:rFonts w:hint="eastAsia" w:ascii="宋体" w:eastAsia="宋体"/>
                <w:bCs w:val="0"/>
                <w:color w:val="auto"/>
                <w:sz w:val="22"/>
                <w:szCs w:val="22"/>
                <w:highlight w:val="none"/>
                <w:u w:val="single"/>
              </w:rPr>
              <w:t>7</w:t>
            </w:r>
            <w:r>
              <w:rPr>
                <w:rFonts w:ascii="宋体" w:eastAsia="宋体"/>
                <w:bCs w:val="0"/>
                <w:color w:val="auto"/>
                <w:sz w:val="22"/>
                <w:szCs w:val="22"/>
                <w:highlight w:val="none"/>
                <w:u w:val="single"/>
              </w:rPr>
              <w:t>500</w:t>
            </w:r>
            <w:r>
              <w:rPr>
                <w:rFonts w:hint="eastAsia" w:ascii="宋体" w:eastAsia="宋体"/>
                <w:bCs w:val="0"/>
                <w:color w:val="auto"/>
                <w:sz w:val="22"/>
                <w:szCs w:val="22"/>
                <w:highlight w:val="none"/>
                <w:u w:val="single"/>
              </w:rPr>
              <w:t>元/人</w:t>
            </w:r>
          </w:p>
        </w:tc>
      </w:tr>
    </w:tbl>
    <w:p>
      <w:pPr>
        <w:spacing w:line="360" w:lineRule="auto"/>
        <w:rPr>
          <w:rFonts w:ascii="宋体" w:eastAsia="宋体"/>
          <w:color w:val="auto"/>
          <w:sz w:val="22"/>
          <w:highlight w:val="none"/>
          <w:u w:val="single"/>
        </w:rPr>
      </w:pPr>
      <w:r>
        <w:rPr>
          <w:rFonts w:hint="eastAsia" w:ascii="宋体" w:eastAsia="宋体"/>
          <w:color w:val="auto"/>
          <w:sz w:val="22"/>
          <w:highlight w:val="none"/>
          <w:u w:val="single"/>
        </w:rPr>
        <w:t>注：</w:t>
      </w:r>
    </w:p>
    <w:p>
      <w:pPr>
        <w:spacing w:line="360" w:lineRule="auto"/>
        <w:rPr>
          <w:rFonts w:ascii="宋体" w:eastAsia="宋体"/>
          <w:color w:val="auto"/>
          <w:sz w:val="22"/>
          <w:highlight w:val="none"/>
        </w:rPr>
      </w:pPr>
      <w:r>
        <w:rPr>
          <w:rFonts w:hint="eastAsia" w:ascii="宋体" w:eastAsia="宋体"/>
          <w:color w:val="auto"/>
          <w:sz w:val="22"/>
          <w:highlight w:val="none"/>
          <w:u w:val="single"/>
        </w:rPr>
        <w:t>1、</w:t>
      </w:r>
      <w:r>
        <w:rPr>
          <w:rFonts w:hint="eastAsia" w:ascii="宋体" w:eastAsia="宋体"/>
          <w:b/>
          <w:bCs/>
          <w:color w:val="auto"/>
          <w:sz w:val="22"/>
          <w:highlight w:val="none"/>
          <w:u w:val="single"/>
        </w:rPr>
        <w:t>▲本项目所有线路均为固定报价：7</w:t>
      </w:r>
      <w:r>
        <w:rPr>
          <w:rFonts w:ascii="宋体" w:eastAsia="宋体"/>
          <w:b/>
          <w:bCs/>
          <w:color w:val="auto"/>
          <w:sz w:val="22"/>
          <w:highlight w:val="none"/>
          <w:u w:val="single"/>
        </w:rPr>
        <w:t>500</w:t>
      </w:r>
      <w:r>
        <w:rPr>
          <w:rFonts w:hint="eastAsia" w:ascii="宋体" w:eastAsia="宋体"/>
          <w:b/>
          <w:bCs/>
          <w:color w:val="auto"/>
          <w:sz w:val="22"/>
          <w:highlight w:val="none"/>
          <w:u w:val="single"/>
        </w:rPr>
        <w:t>元/人</w:t>
      </w:r>
      <w:r>
        <w:rPr>
          <w:rFonts w:hint="eastAsia" w:ascii="宋体" w:eastAsia="宋体"/>
          <w:b/>
          <w:bCs/>
          <w:color w:val="auto"/>
          <w:sz w:val="22"/>
          <w:highlight w:val="none"/>
          <w:u w:val="single"/>
          <w:lang w:eastAsia="zh-CN"/>
        </w:rPr>
        <w:t>，</w:t>
      </w:r>
      <w:r>
        <w:rPr>
          <w:rFonts w:hint="eastAsia" w:ascii="宋体" w:hAnsi="宋体" w:eastAsia="宋体"/>
          <w:b/>
          <w:bCs/>
          <w:color w:val="auto"/>
          <w:sz w:val="22"/>
          <w:szCs w:val="22"/>
          <w:highlight w:val="none"/>
          <w:u w:val="single"/>
          <w:lang w:eastAsia="zh-CN"/>
        </w:rPr>
        <w:t>具体结算价格按实际情况结算支付</w:t>
      </w:r>
      <w:r>
        <w:rPr>
          <w:rFonts w:hint="eastAsia" w:ascii="宋体" w:eastAsia="宋体"/>
          <w:b/>
          <w:bCs/>
          <w:color w:val="auto"/>
          <w:sz w:val="22"/>
          <w:szCs w:val="22"/>
          <w:highlight w:val="none"/>
          <w:u w:val="single"/>
          <w:lang w:eastAsia="zh-CN"/>
        </w:rPr>
        <w:t>，</w:t>
      </w:r>
      <w:r>
        <w:rPr>
          <w:rFonts w:hint="eastAsia" w:ascii="宋体" w:eastAsia="宋体"/>
          <w:b/>
          <w:bCs/>
          <w:color w:val="auto"/>
          <w:sz w:val="22"/>
          <w:highlight w:val="none"/>
          <w:u w:val="single"/>
        </w:rPr>
        <w:t>不按固定价格报价的按投标无效处理。</w:t>
      </w:r>
    </w:p>
    <w:p>
      <w:pPr>
        <w:spacing w:line="360" w:lineRule="auto"/>
        <w:rPr>
          <w:rFonts w:hint="eastAsia" w:ascii="宋体" w:eastAsia="宋体"/>
          <w:color w:val="auto"/>
          <w:sz w:val="22"/>
          <w:highlight w:val="none"/>
          <w:u w:val="single"/>
        </w:rPr>
      </w:pPr>
      <w:bookmarkStart w:id="13" w:name="_Toc71206405"/>
      <w:bookmarkStart w:id="14" w:name="_Toc71203003"/>
      <w:r>
        <w:rPr>
          <w:rFonts w:hint="eastAsia" w:ascii="宋体" w:eastAsia="宋体"/>
          <w:color w:val="auto"/>
          <w:sz w:val="22"/>
          <w:highlight w:val="none"/>
          <w:u w:val="single"/>
        </w:rPr>
        <w:t>2、以上线路为暂定线路，具体出行线路、出行次数、人数以采购人实际需求为准，供应商须自行考虑投标成本，具体出行方案以</w:t>
      </w:r>
      <w:r>
        <w:rPr>
          <w:rFonts w:hint="eastAsia" w:ascii="宋体"/>
          <w:color w:val="auto"/>
          <w:sz w:val="22"/>
          <w:highlight w:val="none"/>
          <w:u w:val="single"/>
          <w:lang w:eastAsia="zh-CN"/>
        </w:rPr>
        <w:t>中标供应商</w:t>
      </w:r>
      <w:r>
        <w:rPr>
          <w:rFonts w:hint="eastAsia" w:ascii="宋体" w:eastAsia="宋体"/>
          <w:color w:val="auto"/>
          <w:sz w:val="22"/>
          <w:highlight w:val="none"/>
          <w:u w:val="single"/>
        </w:rPr>
        <w:t>与招标人协商，获得采购人认可的方案为准。在服务期内，采购人可任选相应的线路，如新增线路，经双方协商确定。</w:t>
      </w:r>
      <w:bookmarkEnd w:id="13"/>
      <w:bookmarkEnd w:id="14"/>
    </w:p>
    <w:p>
      <w:pPr>
        <w:pStyle w:val="84"/>
        <w:spacing w:line="360" w:lineRule="auto"/>
        <w:ind w:firstLine="0" w:firstLineChars="0"/>
        <w:rPr>
          <w:rFonts w:ascii="宋体" w:hAnsi="宋体"/>
          <w:b/>
          <w:color w:val="auto"/>
          <w:sz w:val="22"/>
          <w:highlight w:val="none"/>
        </w:rPr>
      </w:pPr>
      <w:r>
        <w:rPr>
          <w:rFonts w:hint="eastAsia" w:ascii="宋体" w:hAnsi="宋体"/>
          <w:b/>
          <w:color w:val="auto"/>
          <w:sz w:val="22"/>
          <w:highlight w:val="none"/>
        </w:rPr>
        <w:t>二、采购要求</w:t>
      </w:r>
    </w:p>
    <w:p>
      <w:pPr>
        <w:pStyle w:val="84"/>
        <w:numPr>
          <w:ilvl w:val="0"/>
          <w:numId w:val="1"/>
        </w:numPr>
        <w:tabs>
          <w:tab w:val="left" w:pos="284"/>
          <w:tab w:val="left" w:pos="567"/>
        </w:tabs>
        <w:spacing w:line="400" w:lineRule="exact"/>
        <w:ind w:firstLineChars="0"/>
        <w:rPr>
          <w:rFonts w:ascii="宋体" w:hAnsi="宋体" w:cs="宋体"/>
          <w:b/>
          <w:bCs/>
          <w:vanish/>
          <w:color w:val="auto"/>
          <w:kern w:val="0"/>
          <w:szCs w:val="21"/>
          <w:highlight w:val="none"/>
        </w:rPr>
      </w:pPr>
    </w:p>
    <w:p>
      <w:pPr>
        <w:pStyle w:val="84"/>
        <w:numPr>
          <w:ilvl w:val="0"/>
          <w:numId w:val="1"/>
        </w:numPr>
        <w:tabs>
          <w:tab w:val="left" w:pos="284"/>
          <w:tab w:val="left" w:pos="567"/>
        </w:tabs>
        <w:spacing w:line="400" w:lineRule="exact"/>
        <w:ind w:firstLineChars="0"/>
        <w:rPr>
          <w:rFonts w:ascii="宋体" w:hAnsi="宋体" w:cs="宋体"/>
          <w:b/>
          <w:bCs/>
          <w:vanish/>
          <w:color w:val="auto"/>
          <w:kern w:val="0"/>
          <w:szCs w:val="21"/>
          <w:highlight w:val="none"/>
        </w:rPr>
      </w:pPr>
    </w:p>
    <w:p>
      <w:pPr>
        <w:numPr>
          <w:ilvl w:val="1"/>
          <w:numId w:val="1"/>
        </w:numPr>
        <w:tabs>
          <w:tab w:val="left" w:pos="284"/>
          <w:tab w:val="left" w:pos="425"/>
        </w:tabs>
        <w:spacing w:line="400" w:lineRule="exact"/>
        <w:rPr>
          <w:rFonts w:ascii="宋体" w:eastAsia="宋体"/>
          <w:b w:val="0"/>
          <w:bCs w:val="0"/>
          <w:color w:val="auto"/>
          <w:highlight w:val="none"/>
        </w:rPr>
      </w:pPr>
      <w:r>
        <w:rPr>
          <w:rFonts w:hint="eastAsia" w:ascii="宋体" w:eastAsia="宋体"/>
          <w:color w:val="auto"/>
          <w:highlight w:val="none"/>
        </w:rPr>
        <w:tab/>
      </w:r>
      <w:r>
        <w:rPr>
          <w:rFonts w:hint="eastAsia" w:ascii="宋体" w:eastAsia="宋体"/>
          <w:color w:val="auto"/>
          <w:highlight w:val="none"/>
        </w:rPr>
        <w:t>疗休养时间：</w:t>
      </w:r>
      <w:r>
        <w:rPr>
          <w:rFonts w:hint="eastAsia" w:ascii="宋体" w:eastAsia="宋体"/>
          <w:b w:val="0"/>
          <w:bCs w:val="0"/>
          <w:color w:val="auto"/>
          <w:highlight w:val="none"/>
        </w:rPr>
        <w:t>海南5天(含在途时间)；兰州、塔尔寺、青海湖、莫高窟8天(含在途时间)；呼伦贝尔大草原、室韦、满洲里6天(含在途时间)；西安、郑州6天(含在途时间)，供应商规划线路时应做充分考虑。</w:t>
      </w:r>
    </w:p>
    <w:p>
      <w:pPr>
        <w:numPr>
          <w:ilvl w:val="1"/>
          <w:numId w:val="1"/>
        </w:numPr>
        <w:tabs>
          <w:tab w:val="left" w:pos="284"/>
          <w:tab w:val="left" w:pos="425"/>
        </w:tabs>
        <w:spacing w:line="400" w:lineRule="exact"/>
        <w:rPr>
          <w:rFonts w:ascii="宋体" w:eastAsia="宋体"/>
          <w:color w:val="auto"/>
          <w:highlight w:val="none"/>
        </w:rPr>
      </w:pPr>
      <w:r>
        <w:rPr>
          <w:rFonts w:hint="eastAsia" w:ascii="宋体" w:eastAsia="宋体"/>
          <w:color w:val="auto"/>
          <w:highlight w:val="none"/>
        </w:rPr>
        <w:t xml:space="preserve"> 服务期限：</w:t>
      </w:r>
      <w:r>
        <w:rPr>
          <w:rFonts w:ascii="宋体" w:eastAsia="宋体"/>
          <w:color w:val="auto"/>
          <w:highlight w:val="none"/>
        </w:rPr>
        <w:t>本次采购合同一年一签（1+1+1形式）。第一年合同执行时间自签订合同之日起一年，合同期满后根据服务情况由采购人决定是否续签。</w:t>
      </w:r>
    </w:p>
    <w:p>
      <w:pPr>
        <w:numPr>
          <w:ilvl w:val="1"/>
          <w:numId w:val="1"/>
        </w:numPr>
        <w:tabs>
          <w:tab w:val="left" w:pos="284"/>
          <w:tab w:val="left" w:pos="425"/>
        </w:tabs>
        <w:spacing w:line="400" w:lineRule="exact"/>
        <w:rPr>
          <w:rFonts w:ascii="宋体" w:eastAsia="宋体"/>
          <w:b w:val="0"/>
          <w:bCs w:val="0"/>
          <w:color w:val="auto"/>
          <w:highlight w:val="none"/>
        </w:rPr>
      </w:pPr>
      <w:r>
        <w:rPr>
          <w:rFonts w:hint="eastAsia" w:ascii="宋体" w:eastAsia="宋体"/>
          <w:b w:val="0"/>
          <w:bCs w:val="0"/>
          <w:color w:val="auto"/>
          <w:highlight w:val="none"/>
        </w:rPr>
        <w:t xml:space="preserve"> </w:t>
      </w:r>
      <w:r>
        <w:rPr>
          <w:rFonts w:hint="eastAsia" w:ascii="宋体" w:eastAsia="宋体"/>
          <w:color w:val="auto"/>
          <w:highlight w:val="none"/>
        </w:rPr>
        <w:t>保险：</w:t>
      </w:r>
      <w:r>
        <w:rPr>
          <w:rFonts w:hint="eastAsia" w:ascii="宋体" w:eastAsia="宋体"/>
          <w:b w:val="0"/>
          <w:bCs w:val="0"/>
          <w:color w:val="auto"/>
          <w:highlight w:val="none"/>
        </w:rPr>
        <w:t>供应商报价包含必须为疗休养职工购买具有一定抵抗风险的保险，包括旅行社责任险和个人旅游人身意外险，个人旅游人身意外险保额不得低于</w:t>
      </w:r>
      <w:r>
        <w:rPr>
          <w:rFonts w:hint="eastAsia" w:ascii="宋体"/>
          <w:b w:val="0"/>
          <w:bCs w:val="0"/>
          <w:color w:val="auto"/>
          <w:highlight w:val="none"/>
          <w:lang w:eastAsia="zh-CN"/>
        </w:rPr>
        <w:t>150万元</w:t>
      </w:r>
      <w:r>
        <w:rPr>
          <w:rFonts w:hint="eastAsia" w:ascii="宋体" w:eastAsia="宋体"/>
          <w:b w:val="0"/>
          <w:bCs w:val="0"/>
          <w:color w:val="auto"/>
          <w:highlight w:val="none"/>
        </w:rPr>
        <w:t>。</w:t>
      </w:r>
    </w:p>
    <w:p>
      <w:pPr>
        <w:numPr>
          <w:ilvl w:val="1"/>
          <w:numId w:val="1"/>
        </w:numPr>
        <w:tabs>
          <w:tab w:val="left" w:pos="284"/>
          <w:tab w:val="left" w:pos="425"/>
        </w:tabs>
        <w:spacing w:line="400" w:lineRule="exact"/>
        <w:rPr>
          <w:rFonts w:ascii="宋体" w:eastAsia="宋体"/>
          <w:b w:val="0"/>
          <w:bCs w:val="0"/>
          <w:color w:val="auto"/>
          <w:highlight w:val="none"/>
        </w:rPr>
      </w:pPr>
      <w:r>
        <w:rPr>
          <w:rFonts w:hint="eastAsia" w:ascii="宋体" w:eastAsia="宋体"/>
          <w:color w:val="auto"/>
          <w:highlight w:val="none"/>
        </w:rPr>
        <w:t xml:space="preserve"> 酒店：</w:t>
      </w:r>
      <w:r>
        <w:rPr>
          <w:rFonts w:hint="eastAsia" w:ascii="宋体" w:eastAsia="宋体"/>
          <w:b w:val="0"/>
          <w:bCs w:val="0"/>
          <w:color w:val="auto"/>
          <w:highlight w:val="none"/>
        </w:rPr>
        <w:t>住宿酒店为四星（4钻）及以上商务标间。供应商方案应列出每一线路的酒店名称、具体地点、网评分（以携程APP上网页截图为准，评分达到4.5分及以上，如未能在携程APP中搜索到，应提供酒店外观、房间、周围环境等图片），具体成团的酒店以供应商编制并获得采购人认可的方案为准，另外若团队中出现单男单女，个人不补住房差价，由</w:t>
      </w:r>
      <w:r>
        <w:rPr>
          <w:rFonts w:hint="eastAsia" w:ascii="宋体"/>
          <w:b w:val="0"/>
          <w:bCs w:val="0"/>
          <w:color w:val="auto"/>
          <w:highlight w:val="none"/>
          <w:lang w:eastAsia="zh-CN"/>
        </w:rPr>
        <w:t>中标供应商</w:t>
      </w:r>
      <w:r>
        <w:rPr>
          <w:rFonts w:hint="eastAsia" w:ascii="宋体" w:eastAsia="宋体"/>
          <w:b w:val="0"/>
          <w:bCs w:val="0"/>
          <w:color w:val="auto"/>
          <w:highlight w:val="none"/>
        </w:rPr>
        <w:t>安排并承担；个人要求单住房，需要补交个人房差价。</w:t>
      </w:r>
    </w:p>
    <w:p>
      <w:pPr>
        <w:numPr>
          <w:ilvl w:val="1"/>
          <w:numId w:val="1"/>
        </w:numPr>
        <w:tabs>
          <w:tab w:val="left" w:pos="284"/>
          <w:tab w:val="left" w:pos="425"/>
        </w:tabs>
        <w:spacing w:line="400" w:lineRule="exact"/>
        <w:rPr>
          <w:rFonts w:ascii="宋体" w:eastAsia="宋体"/>
          <w:b w:val="0"/>
          <w:bCs w:val="0"/>
          <w:color w:val="auto"/>
          <w:highlight w:val="none"/>
        </w:rPr>
      </w:pPr>
      <w:r>
        <w:rPr>
          <w:rFonts w:hint="eastAsia" w:ascii="宋体" w:eastAsia="宋体"/>
          <w:color w:val="auto"/>
          <w:highlight w:val="none"/>
        </w:rPr>
        <w:t xml:space="preserve"> 就餐安排：</w:t>
      </w:r>
      <w:r>
        <w:rPr>
          <w:rFonts w:hint="eastAsia" w:ascii="宋体" w:eastAsia="宋体"/>
          <w:b w:val="0"/>
          <w:bCs w:val="0"/>
          <w:color w:val="auto"/>
          <w:highlight w:val="none"/>
        </w:rPr>
        <w:t>在正规饭店或农家乐就餐，可采用10人一桌或自助餐的形式。入住酒店必须包含早餐，每人每天午餐餐费标准不低于50元/人，晚餐餐费标准不低于80元/人。具体供应正餐次数以供应商编制并获得采购人认可的方案为准；</w:t>
      </w:r>
    </w:p>
    <w:p>
      <w:pPr>
        <w:numPr>
          <w:ilvl w:val="1"/>
          <w:numId w:val="1"/>
        </w:numPr>
        <w:tabs>
          <w:tab w:val="left" w:pos="284"/>
          <w:tab w:val="left" w:pos="425"/>
        </w:tabs>
        <w:spacing w:line="400" w:lineRule="exact"/>
        <w:rPr>
          <w:rFonts w:ascii="宋体" w:eastAsia="宋体"/>
          <w:b w:val="0"/>
          <w:bCs w:val="0"/>
          <w:color w:val="auto"/>
          <w:highlight w:val="none"/>
        </w:rPr>
      </w:pPr>
      <w:r>
        <w:rPr>
          <w:rFonts w:hint="eastAsia" w:ascii="宋体" w:eastAsia="宋体"/>
          <w:color w:val="auto"/>
          <w:highlight w:val="none"/>
        </w:rPr>
        <w:t xml:space="preserve"> 交通：</w:t>
      </w:r>
      <w:r>
        <w:rPr>
          <w:rFonts w:hint="eastAsia" w:ascii="宋体" w:eastAsia="宋体"/>
          <w:b w:val="0"/>
          <w:bCs w:val="0"/>
          <w:color w:val="auto"/>
          <w:highlight w:val="none"/>
        </w:rPr>
        <w:t>建议优先采用飞机出行方案。采用飞机出行的路线，由</w:t>
      </w:r>
      <w:r>
        <w:rPr>
          <w:rFonts w:hint="eastAsia" w:ascii="宋体"/>
          <w:b w:val="0"/>
          <w:bCs w:val="0"/>
          <w:color w:val="auto"/>
          <w:highlight w:val="none"/>
          <w:lang w:eastAsia="zh-CN"/>
        </w:rPr>
        <w:t>中标供应商</w:t>
      </w:r>
      <w:r>
        <w:rPr>
          <w:rFonts w:hint="eastAsia" w:ascii="宋体" w:eastAsia="宋体"/>
          <w:b w:val="0"/>
          <w:bCs w:val="0"/>
          <w:color w:val="auto"/>
          <w:highlight w:val="none"/>
        </w:rPr>
        <w:t>接送，统一在上塘永嘉县人民政府门口集合出发，从永嘉至线路目的地就近的机场。到达目的地后采用空调旅游车（包括目的地就近机场至疗休养酒店或安排的景点、景区等），空调旅游车应提供车况好（2017年1月以后登记上牌）、内饰干净、下部有行李箱的车辆；驾驶员应具备准驾车型三年或以上驾龄。供应商方案应对此作出承诺，并预备不同人数团队的适配车型，并应获得采购人认可；团队出发前需提供机票、旅游车辆及驾驶员信息；抱团出行人按供应商要求提早提供相关身份证信息，以供购买机票。具体出行方案以</w:t>
      </w:r>
      <w:r>
        <w:rPr>
          <w:rFonts w:hint="eastAsia" w:ascii="宋体"/>
          <w:b w:val="0"/>
          <w:bCs w:val="0"/>
          <w:color w:val="auto"/>
          <w:highlight w:val="none"/>
          <w:lang w:eastAsia="zh-CN"/>
        </w:rPr>
        <w:t>中标供应商</w:t>
      </w:r>
      <w:r>
        <w:rPr>
          <w:rFonts w:hint="eastAsia" w:ascii="宋体" w:eastAsia="宋体"/>
          <w:b w:val="0"/>
          <w:bCs w:val="0"/>
          <w:color w:val="auto"/>
          <w:highlight w:val="none"/>
        </w:rPr>
        <w:t>与采购人协商，获得采购人认可的方案为准。</w:t>
      </w:r>
    </w:p>
    <w:p>
      <w:pPr>
        <w:numPr>
          <w:ilvl w:val="1"/>
          <w:numId w:val="1"/>
        </w:numPr>
        <w:tabs>
          <w:tab w:val="left" w:pos="284"/>
          <w:tab w:val="left" w:pos="425"/>
        </w:tabs>
        <w:spacing w:line="400" w:lineRule="exact"/>
        <w:rPr>
          <w:rFonts w:ascii="宋体" w:eastAsia="宋体"/>
          <w:b w:val="0"/>
          <w:bCs w:val="0"/>
          <w:color w:val="auto"/>
          <w:highlight w:val="none"/>
        </w:rPr>
      </w:pPr>
      <w:r>
        <w:rPr>
          <w:rFonts w:hint="eastAsia" w:ascii="宋体" w:eastAsia="宋体"/>
          <w:color w:val="auto"/>
          <w:highlight w:val="none"/>
        </w:rPr>
        <w:t xml:space="preserve"> 景点：</w:t>
      </w:r>
      <w:r>
        <w:rPr>
          <w:rFonts w:hint="eastAsia" w:ascii="宋体" w:eastAsia="宋体"/>
          <w:b w:val="0"/>
          <w:bCs w:val="0"/>
          <w:color w:val="auto"/>
          <w:highlight w:val="none"/>
        </w:rPr>
        <w:t>包含线路安排的必排景点，其他沿途景点或周边景点以供应商编制并获得采购人认可的方案为准，</w:t>
      </w:r>
      <w:r>
        <w:rPr>
          <w:rFonts w:hint="eastAsia" w:ascii="宋体" w:eastAsia="宋体"/>
          <w:color w:val="auto"/>
          <w:highlight w:val="none"/>
        </w:rPr>
        <w:t>不得安排购物点</w:t>
      </w:r>
      <w:r>
        <w:rPr>
          <w:rFonts w:hint="eastAsia" w:ascii="宋体" w:eastAsia="宋体"/>
          <w:b w:val="0"/>
          <w:bCs w:val="0"/>
          <w:color w:val="auto"/>
          <w:highlight w:val="none"/>
        </w:rPr>
        <w:t>。景点门票包括大门票和景点内必游的小门票，以及索道（如有）、电瓶车（如有）、游船（如有）等，线路行程外的自费娱乐项目由出行人员自行承担。方案应针对每条线路具体编制，并列出每个参观景点及计划参观时间等。</w:t>
      </w:r>
    </w:p>
    <w:p>
      <w:pPr>
        <w:numPr>
          <w:ilvl w:val="1"/>
          <w:numId w:val="1"/>
        </w:numPr>
        <w:tabs>
          <w:tab w:val="left" w:pos="284"/>
          <w:tab w:val="left" w:pos="425"/>
        </w:tabs>
        <w:spacing w:line="400" w:lineRule="exact"/>
        <w:rPr>
          <w:rFonts w:ascii="宋体" w:eastAsia="宋体"/>
          <w:b w:val="0"/>
          <w:bCs w:val="0"/>
          <w:color w:val="auto"/>
          <w:highlight w:val="none"/>
        </w:rPr>
      </w:pPr>
      <w:r>
        <w:rPr>
          <w:rFonts w:hint="eastAsia" w:ascii="宋体" w:eastAsia="宋体"/>
          <w:color w:val="auto"/>
          <w:highlight w:val="none"/>
        </w:rPr>
        <w:t xml:space="preserve"> </w:t>
      </w:r>
      <w:r>
        <w:rPr>
          <w:rFonts w:hint="eastAsia" w:ascii="宋体"/>
          <w:color w:val="auto"/>
          <w:highlight w:val="none"/>
        </w:rPr>
        <w:t>组团：</w:t>
      </w:r>
      <w:r>
        <w:rPr>
          <w:rFonts w:hint="eastAsia" w:ascii="宋体" w:eastAsia="宋体"/>
          <w:b w:val="0"/>
          <w:bCs w:val="0"/>
          <w:color w:val="auto"/>
          <w:highlight w:val="none"/>
        </w:rPr>
        <w:t>采购人内部公布线路和供应商方案后，由职工自由报名组团[车53座（每团最少安排45人，每团人数范围45人至50人）或车37座（每团最少安排30人，每团人数范围30人至34人）；不足30人时可与采购人协商提供其他较少座位数车辆，但必须保证车辆足够舒适，供应商可提前在</w:t>
      </w:r>
      <w:r>
        <w:rPr>
          <w:rFonts w:hint="eastAsia" w:ascii="宋体"/>
          <w:b w:val="0"/>
          <w:bCs w:val="0"/>
          <w:color w:val="auto"/>
          <w:highlight w:val="none"/>
          <w:lang w:eastAsia="zh-CN"/>
        </w:rPr>
        <w:t>投标文件</w:t>
      </w:r>
      <w:r>
        <w:rPr>
          <w:rFonts w:hint="eastAsia" w:ascii="宋体" w:eastAsia="宋体"/>
          <w:b w:val="0"/>
          <w:bCs w:val="0"/>
          <w:color w:val="auto"/>
          <w:highlight w:val="none"/>
        </w:rPr>
        <w:t>中做好预案供采购人参考，最低组团人数不低于20人（如本单位人数不足20人，允许和其他单位人员凑团出行，但须事先经采购人同意；已报名成团的，因临时退团不足20人的，该团继续出行，退团人员按退团规定补退团费用即可），供应商可提出更灵活更优惠的方案。因采购人工作的特殊性，组团后可能出现临时退团的情形，</w:t>
      </w:r>
      <w:r>
        <w:rPr>
          <w:rFonts w:hint="eastAsia" w:ascii="宋体"/>
          <w:b w:val="0"/>
          <w:bCs w:val="0"/>
          <w:color w:val="auto"/>
          <w:highlight w:val="none"/>
          <w:lang w:eastAsia="zh-CN"/>
        </w:rPr>
        <w:t>中标供应商</w:t>
      </w:r>
      <w:r>
        <w:rPr>
          <w:rFonts w:hint="eastAsia" w:ascii="宋体" w:eastAsia="宋体"/>
          <w:b w:val="0"/>
          <w:bCs w:val="0"/>
          <w:color w:val="auto"/>
          <w:highlight w:val="none"/>
        </w:rPr>
        <w:t>应允许无条件退团，且不得降低未退团职工约定的疗休养标准；出团前提出退团的，由退团职工按国家规定支付预定的高铁车票退票费用。出团时如临时替换换人员的，被更换人员应承担高铁退票费用。由此产生的风险由供应商综合考虑进行报价。</w:t>
      </w:r>
    </w:p>
    <w:p>
      <w:pPr>
        <w:numPr>
          <w:ilvl w:val="1"/>
          <w:numId w:val="1"/>
        </w:numPr>
        <w:tabs>
          <w:tab w:val="left" w:pos="284"/>
          <w:tab w:val="left" w:pos="425"/>
        </w:tabs>
        <w:spacing w:line="400" w:lineRule="exact"/>
        <w:rPr>
          <w:rFonts w:ascii="宋体" w:eastAsia="宋体"/>
          <w:b w:val="0"/>
          <w:bCs w:val="0"/>
          <w:color w:val="auto"/>
          <w:highlight w:val="none"/>
        </w:rPr>
      </w:pPr>
      <w:r>
        <w:rPr>
          <w:rFonts w:hint="eastAsia" w:ascii="宋体" w:eastAsia="宋体"/>
          <w:b w:val="0"/>
          <w:bCs w:val="0"/>
          <w:color w:val="auto"/>
          <w:highlight w:val="none"/>
        </w:rPr>
        <w:t xml:space="preserve"> </w:t>
      </w:r>
      <w:r>
        <w:rPr>
          <w:rFonts w:hint="eastAsia" w:ascii="宋体"/>
          <w:b w:val="0"/>
          <w:bCs w:val="0"/>
          <w:color w:val="auto"/>
          <w:highlight w:val="none"/>
          <w:lang w:eastAsia="zh-CN"/>
        </w:rPr>
        <w:t>中标供应商</w:t>
      </w:r>
      <w:r>
        <w:rPr>
          <w:rFonts w:hint="eastAsia" w:ascii="宋体" w:eastAsia="宋体"/>
          <w:b w:val="0"/>
          <w:bCs w:val="0"/>
          <w:color w:val="auto"/>
          <w:highlight w:val="none"/>
        </w:rPr>
        <w:t>的方案应获得采购人的认可，采购人保留对</w:t>
      </w:r>
      <w:r>
        <w:rPr>
          <w:rFonts w:hint="eastAsia" w:ascii="宋体"/>
          <w:b w:val="0"/>
          <w:bCs w:val="0"/>
          <w:color w:val="auto"/>
          <w:highlight w:val="none"/>
          <w:lang w:eastAsia="zh-CN"/>
        </w:rPr>
        <w:t>中标供应商</w:t>
      </w:r>
      <w:r>
        <w:rPr>
          <w:rFonts w:hint="eastAsia" w:ascii="宋体" w:eastAsia="宋体"/>
          <w:b w:val="0"/>
          <w:bCs w:val="0"/>
          <w:color w:val="auto"/>
          <w:highlight w:val="none"/>
        </w:rPr>
        <w:t>的某一线路指定其他方案的权利，组团时间按采购人计划实施，具体出团及返回时间根据供应商编制并获得采购人认可的方案为准。</w:t>
      </w:r>
    </w:p>
    <w:p>
      <w:pPr>
        <w:numPr>
          <w:ilvl w:val="1"/>
          <w:numId w:val="1"/>
        </w:numPr>
        <w:tabs>
          <w:tab w:val="left" w:pos="284"/>
          <w:tab w:val="left" w:pos="425"/>
        </w:tabs>
        <w:spacing w:line="400" w:lineRule="exact"/>
        <w:rPr>
          <w:rFonts w:ascii="宋体" w:eastAsia="宋体"/>
          <w:b w:val="0"/>
          <w:bCs w:val="0"/>
          <w:color w:val="auto"/>
          <w:highlight w:val="none"/>
        </w:rPr>
      </w:pPr>
      <w:r>
        <w:rPr>
          <w:rFonts w:hint="eastAsia" w:ascii="宋体" w:eastAsia="宋体"/>
          <w:b w:val="0"/>
          <w:bCs w:val="0"/>
          <w:color w:val="auto"/>
          <w:highlight w:val="none"/>
        </w:rPr>
        <w:t>针对本项目要求供应商拟派出的服务人员须持有导游资格证书，其它人员亦要求具有相应的执业资格；</w:t>
      </w:r>
    </w:p>
    <w:p>
      <w:pPr>
        <w:numPr>
          <w:ilvl w:val="1"/>
          <w:numId w:val="1"/>
        </w:numPr>
        <w:tabs>
          <w:tab w:val="left" w:pos="284"/>
          <w:tab w:val="left" w:pos="425"/>
        </w:tabs>
        <w:spacing w:line="400" w:lineRule="exact"/>
        <w:rPr>
          <w:rFonts w:ascii="宋体" w:eastAsia="宋体"/>
          <w:b w:val="0"/>
          <w:bCs w:val="0"/>
          <w:color w:val="auto"/>
          <w:highlight w:val="none"/>
        </w:rPr>
      </w:pPr>
      <w:r>
        <w:rPr>
          <w:rFonts w:hint="eastAsia" w:ascii="宋体" w:eastAsia="宋体"/>
          <w:b w:val="0"/>
          <w:bCs w:val="0"/>
          <w:color w:val="auto"/>
          <w:highlight w:val="none"/>
        </w:rPr>
        <w:t>供应商拟投入本项目在职的导游人数要求在3人及以上，提供正规劳动合同和导游证。要求具备一定的资历资格和丰富的从业经验，具有较强的沟通及应急处理能力，且可根据要求及时调整出行方案。出团时全程配导游，要求不少于三年导游经验，负责引导、讲解景点、典故等，解决旅途中可能出现的突发事件，并给予游客食、宿、行等方面的帮助；</w:t>
      </w:r>
    </w:p>
    <w:p>
      <w:pPr>
        <w:numPr>
          <w:ilvl w:val="1"/>
          <w:numId w:val="1"/>
        </w:numPr>
        <w:tabs>
          <w:tab w:val="left" w:pos="284"/>
          <w:tab w:val="left" w:pos="425"/>
        </w:tabs>
        <w:spacing w:line="400" w:lineRule="exact"/>
        <w:rPr>
          <w:rFonts w:ascii="宋体" w:eastAsia="宋体"/>
          <w:b w:val="0"/>
          <w:bCs w:val="0"/>
          <w:color w:val="auto"/>
          <w:highlight w:val="none"/>
        </w:rPr>
      </w:pPr>
      <w:r>
        <w:rPr>
          <w:rFonts w:hint="eastAsia" w:ascii="宋体" w:eastAsia="宋体"/>
          <w:b w:val="0"/>
          <w:bCs w:val="0"/>
          <w:color w:val="auto"/>
          <w:highlight w:val="none"/>
        </w:rPr>
        <w:t>供应商必须明确具体项目负责人，全权负责202</w:t>
      </w:r>
      <w:r>
        <w:rPr>
          <w:rFonts w:hint="eastAsia" w:ascii="宋体" w:eastAsia="宋体"/>
          <w:b w:val="0"/>
          <w:bCs w:val="0"/>
          <w:color w:val="auto"/>
          <w:highlight w:val="none"/>
          <w:lang w:val="en-US" w:eastAsia="zh-CN"/>
        </w:rPr>
        <w:t>4</w:t>
      </w:r>
      <w:r>
        <w:rPr>
          <w:rFonts w:hint="eastAsia" w:ascii="宋体" w:eastAsia="宋体"/>
          <w:b w:val="0"/>
          <w:bCs w:val="0"/>
          <w:color w:val="auto"/>
          <w:highlight w:val="none"/>
        </w:rPr>
        <w:t>年中共永嘉县委组织部人才疗休养服务项目以及后续事宜。</w:t>
      </w:r>
      <w:r>
        <w:rPr>
          <w:rFonts w:hint="eastAsia" w:ascii="宋体" w:eastAsia="宋体"/>
          <w:color w:val="auto"/>
          <w:highlight w:val="none"/>
        </w:rPr>
        <w:t>项目负责人须为副总经理及以上职务的人员</w:t>
      </w:r>
      <w:r>
        <w:rPr>
          <w:rFonts w:hint="eastAsia" w:ascii="宋体" w:eastAsia="宋体"/>
          <w:b w:val="0"/>
          <w:bCs w:val="0"/>
          <w:color w:val="auto"/>
          <w:highlight w:val="none"/>
        </w:rPr>
        <w:t>，并提供联系方式等信息，以便采购人与其进行联络。项目负责人在协议期内有人事变动，应当及时书面通知采购人，经采购人认可且满足文件相关要求后，可更换项目负责人。</w:t>
      </w:r>
    </w:p>
    <w:p>
      <w:pPr>
        <w:numPr>
          <w:ilvl w:val="1"/>
          <w:numId w:val="1"/>
        </w:numPr>
        <w:tabs>
          <w:tab w:val="left" w:pos="284"/>
          <w:tab w:val="left" w:pos="425"/>
        </w:tabs>
        <w:spacing w:line="400" w:lineRule="exact"/>
        <w:rPr>
          <w:rFonts w:ascii="宋体" w:eastAsia="宋体"/>
          <w:b w:val="0"/>
          <w:bCs w:val="0"/>
          <w:color w:val="auto"/>
          <w:highlight w:val="none"/>
        </w:rPr>
      </w:pPr>
      <w:r>
        <w:rPr>
          <w:rFonts w:hint="eastAsia" w:ascii="宋体" w:eastAsia="宋体"/>
          <w:b w:val="0"/>
          <w:bCs w:val="0"/>
          <w:color w:val="auto"/>
          <w:highlight w:val="none"/>
        </w:rPr>
        <w:t>供应商必须对采购人要求的全部服务范围进行响应，不得限定采购人活动区域范围，不得进行选择性服务；</w:t>
      </w:r>
    </w:p>
    <w:p>
      <w:pPr>
        <w:numPr>
          <w:ilvl w:val="1"/>
          <w:numId w:val="1"/>
        </w:numPr>
        <w:tabs>
          <w:tab w:val="left" w:pos="284"/>
          <w:tab w:val="left" w:pos="425"/>
        </w:tabs>
        <w:spacing w:line="400" w:lineRule="exact"/>
        <w:rPr>
          <w:rFonts w:ascii="宋体" w:eastAsia="宋体"/>
          <w:b w:val="0"/>
          <w:bCs w:val="0"/>
          <w:color w:val="auto"/>
          <w:highlight w:val="none"/>
        </w:rPr>
      </w:pPr>
      <w:r>
        <w:rPr>
          <w:rFonts w:hint="eastAsia" w:ascii="宋体" w:eastAsia="宋体"/>
          <w:b w:val="0"/>
          <w:bCs w:val="0"/>
          <w:color w:val="auto"/>
          <w:highlight w:val="none"/>
        </w:rPr>
        <w:t>提供完善的职工疗休养工作台账制度（包括疗休养服务协议、职工意见反馈表、行程单、每次疗休养服务小结），并交中共永嘉县委组织部备案；</w:t>
      </w:r>
    </w:p>
    <w:p>
      <w:pPr>
        <w:numPr>
          <w:ilvl w:val="1"/>
          <w:numId w:val="1"/>
        </w:numPr>
        <w:tabs>
          <w:tab w:val="left" w:pos="284"/>
          <w:tab w:val="left" w:pos="425"/>
        </w:tabs>
        <w:spacing w:line="400" w:lineRule="exact"/>
        <w:rPr>
          <w:rFonts w:ascii="宋体" w:eastAsia="宋体"/>
          <w:b w:val="0"/>
          <w:bCs w:val="0"/>
          <w:color w:val="auto"/>
          <w:highlight w:val="none"/>
        </w:rPr>
      </w:pPr>
      <w:r>
        <w:rPr>
          <w:rFonts w:hint="eastAsia" w:ascii="宋体" w:eastAsia="宋体"/>
          <w:b w:val="0"/>
          <w:bCs w:val="0"/>
          <w:color w:val="auto"/>
          <w:highlight w:val="none"/>
        </w:rPr>
        <w:t>本项目不得以任何理由、任何形式进行转、分包，一经发现采购人可单方面解除合同，所造成的任何损失由供应商自行负责。</w:t>
      </w:r>
    </w:p>
    <w:p>
      <w:pPr>
        <w:spacing w:line="360" w:lineRule="auto"/>
        <w:rPr>
          <w:rFonts w:hint="eastAsia"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lang w:val="en-US" w:eastAsia="zh-CN"/>
        </w:rPr>
        <w:t>三</w:t>
      </w:r>
      <w:r>
        <w:rPr>
          <w:rFonts w:hint="eastAsia" w:cs="宋体" w:asciiTheme="majorEastAsia" w:hAnsiTheme="majorEastAsia" w:eastAsiaTheme="majorEastAsia"/>
          <w:color w:val="auto"/>
          <w:sz w:val="22"/>
          <w:szCs w:val="22"/>
          <w:highlight w:val="none"/>
        </w:rPr>
        <w:t>、付款方式：</w:t>
      </w:r>
    </w:p>
    <w:p>
      <w:pPr>
        <w:spacing w:line="360" w:lineRule="auto"/>
        <w:ind w:firstLine="440" w:firstLineChars="200"/>
        <w:rPr>
          <w:rFonts w:hint="eastAsia" w:asciiTheme="majorEastAsia" w:hAnsiTheme="majorEastAsia" w:eastAsiaTheme="majorEastAsia"/>
          <w:color w:val="auto"/>
          <w:sz w:val="22"/>
          <w:szCs w:val="22"/>
          <w:highlight w:val="none"/>
        </w:rPr>
      </w:pPr>
      <w:r>
        <w:rPr>
          <w:rFonts w:hint="eastAsia" w:ascii="宋体" w:eastAsia="宋体"/>
          <w:b w:val="0"/>
          <w:color w:val="auto"/>
          <w:sz w:val="22"/>
          <w:szCs w:val="22"/>
          <w:highlight w:val="none"/>
        </w:rPr>
        <w:t>自服务期限开始计算之日起，</w:t>
      </w:r>
      <w:r>
        <w:rPr>
          <w:rFonts w:hint="eastAsia" w:ascii="宋体" w:eastAsia="宋体"/>
          <w:b w:val="0"/>
          <w:color w:val="auto"/>
          <w:sz w:val="22"/>
          <w:szCs w:val="22"/>
          <w:highlight w:val="none"/>
          <w:lang w:val="en-US" w:eastAsia="zh-CN"/>
        </w:rPr>
        <w:t>供应商</w:t>
      </w:r>
      <w:r>
        <w:rPr>
          <w:rFonts w:hint="eastAsia" w:ascii="宋体" w:eastAsia="宋体"/>
          <w:b w:val="0"/>
          <w:color w:val="auto"/>
          <w:sz w:val="22"/>
          <w:szCs w:val="22"/>
          <w:highlight w:val="none"/>
        </w:rPr>
        <w:t>应在年度疗休养活动结束后，按</w:t>
      </w:r>
      <w:r>
        <w:rPr>
          <w:rFonts w:hint="eastAsia" w:ascii="宋体" w:eastAsia="宋体"/>
          <w:b w:val="0"/>
          <w:color w:val="auto"/>
          <w:sz w:val="22"/>
          <w:szCs w:val="22"/>
          <w:highlight w:val="none"/>
          <w:lang w:val="en-US" w:eastAsia="zh-CN"/>
        </w:rPr>
        <w:t>采购人</w:t>
      </w:r>
      <w:r>
        <w:rPr>
          <w:rFonts w:hint="eastAsia" w:ascii="宋体" w:eastAsia="宋体"/>
          <w:b w:val="0"/>
          <w:color w:val="auto"/>
          <w:sz w:val="22"/>
          <w:szCs w:val="22"/>
          <w:highlight w:val="none"/>
        </w:rPr>
        <w:t>实际参与疗休养的人数结合满意度考核办法与</w:t>
      </w:r>
      <w:r>
        <w:rPr>
          <w:rFonts w:hint="eastAsia" w:ascii="宋体" w:eastAsia="宋体"/>
          <w:b w:val="0"/>
          <w:color w:val="auto"/>
          <w:sz w:val="22"/>
          <w:szCs w:val="22"/>
          <w:highlight w:val="none"/>
          <w:lang w:val="en-US" w:eastAsia="zh-CN"/>
        </w:rPr>
        <w:t>采购人</w:t>
      </w:r>
      <w:r>
        <w:rPr>
          <w:rFonts w:hint="eastAsia" w:ascii="宋体" w:eastAsia="宋体"/>
          <w:b w:val="0"/>
          <w:color w:val="auto"/>
          <w:sz w:val="22"/>
          <w:szCs w:val="22"/>
          <w:highlight w:val="none"/>
        </w:rPr>
        <w:t>进行结算，并由</w:t>
      </w:r>
      <w:r>
        <w:rPr>
          <w:rFonts w:hint="eastAsia" w:ascii="宋体" w:eastAsia="宋体"/>
          <w:b w:val="0"/>
          <w:color w:val="auto"/>
          <w:sz w:val="22"/>
          <w:szCs w:val="22"/>
          <w:highlight w:val="none"/>
          <w:lang w:val="en-US" w:eastAsia="zh-CN"/>
        </w:rPr>
        <w:t>采购人</w:t>
      </w:r>
      <w:r>
        <w:rPr>
          <w:rFonts w:hint="eastAsia" w:ascii="宋体" w:eastAsia="宋体"/>
          <w:b w:val="0"/>
          <w:color w:val="auto"/>
          <w:sz w:val="22"/>
          <w:szCs w:val="22"/>
          <w:highlight w:val="none"/>
        </w:rPr>
        <w:t>书面确认年度的疗休养费用。待</w:t>
      </w:r>
      <w:r>
        <w:rPr>
          <w:rFonts w:hint="eastAsia" w:ascii="宋体" w:eastAsia="宋体"/>
          <w:b w:val="0"/>
          <w:color w:val="auto"/>
          <w:sz w:val="22"/>
          <w:szCs w:val="22"/>
          <w:highlight w:val="none"/>
          <w:lang w:val="en-US" w:eastAsia="zh-CN"/>
        </w:rPr>
        <w:t>采购人</w:t>
      </w:r>
      <w:r>
        <w:rPr>
          <w:rFonts w:hint="eastAsia" w:ascii="宋体" w:eastAsia="宋体"/>
          <w:b w:val="0"/>
          <w:color w:val="auto"/>
          <w:sz w:val="22"/>
          <w:szCs w:val="22"/>
          <w:highlight w:val="none"/>
        </w:rPr>
        <w:t>书面确认年度疗休养费用之日起五日内，</w:t>
      </w:r>
      <w:r>
        <w:rPr>
          <w:rFonts w:hint="eastAsia" w:ascii="宋体" w:eastAsia="宋体"/>
          <w:b w:val="0"/>
          <w:color w:val="auto"/>
          <w:sz w:val="22"/>
          <w:szCs w:val="22"/>
          <w:highlight w:val="none"/>
          <w:lang w:val="en-US" w:eastAsia="zh-CN"/>
        </w:rPr>
        <w:t>供应商</w:t>
      </w:r>
      <w:r>
        <w:rPr>
          <w:rFonts w:hint="eastAsia" w:ascii="宋体" w:eastAsia="宋体"/>
          <w:b w:val="0"/>
          <w:color w:val="auto"/>
          <w:sz w:val="22"/>
          <w:szCs w:val="22"/>
          <w:highlight w:val="none"/>
        </w:rPr>
        <w:t>应向</w:t>
      </w:r>
      <w:r>
        <w:rPr>
          <w:rFonts w:hint="eastAsia" w:ascii="宋体" w:eastAsia="宋体"/>
          <w:b w:val="0"/>
          <w:color w:val="auto"/>
          <w:sz w:val="22"/>
          <w:szCs w:val="22"/>
          <w:highlight w:val="none"/>
          <w:lang w:val="en-US" w:eastAsia="zh-CN"/>
        </w:rPr>
        <w:t>采购人</w:t>
      </w:r>
      <w:r>
        <w:rPr>
          <w:rFonts w:hint="eastAsia" w:ascii="宋体" w:eastAsia="宋体"/>
          <w:b w:val="0"/>
          <w:color w:val="auto"/>
          <w:sz w:val="22"/>
          <w:szCs w:val="22"/>
          <w:highlight w:val="none"/>
        </w:rPr>
        <w:t>提供相应增值税专用发票，</w:t>
      </w:r>
      <w:r>
        <w:rPr>
          <w:rFonts w:hint="eastAsia" w:ascii="宋体" w:eastAsia="宋体"/>
          <w:b w:val="0"/>
          <w:color w:val="auto"/>
          <w:sz w:val="22"/>
          <w:szCs w:val="22"/>
          <w:highlight w:val="none"/>
          <w:lang w:val="en-US" w:eastAsia="zh-CN"/>
        </w:rPr>
        <w:t>采购人</w:t>
      </w:r>
      <w:r>
        <w:rPr>
          <w:rFonts w:hint="eastAsia" w:ascii="宋体" w:eastAsia="宋体"/>
          <w:b w:val="0"/>
          <w:color w:val="auto"/>
          <w:sz w:val="22"/>
          <w:szCs w:val="22"/>
          <w:highlight w:val="none"/>
        </w:rPr>
        <w:t>在收到增值税发票后</w:t>
      </w:r>
      <w:r>
        <w:rPr>
          <w:rFonts w:ascii="宋体" w:eastAsia="宋体"/>
          <w:b w:val="0"/>
          <w:color w:val="auto"/>
          <w:sz w:val="22"/>
          <w:szCs w:val="22"/>
          <w:highlight w:val="none"/>
        </w:rPr>
        <w:t>20个工作日内</w:t>
      </w:r>
      <w:r>
        <w:rPr>
          <w:rFonts w:hint="eastAsia" w:ascii="宋体" w:eastAsia="宋体"/>
          <w:b w:val="0"/>
          <w:color w:val="auto"/>
          <w:sz w:val="22"/>
          <w:szCs w:val="22"/>
          <w:highlight w:val="none"/>
        </w:rPr>
        <w:t>一次性支付全部疗休养费用，具体到账时间必须以财政拨款为准。（根据《浙江省财政厅关于进一步发挥政府采购政策功能全力推动经济稳进提质的通知》（浙财采监[2022]3号）的规定，双方协商决定付款比例，如采购人无法按上述约定期限支付对应款项的，采购人与中标供应商根据实际情况另行协商确定付款时间，中标供应商确认不因采购人延期付款的情形要求采购人承担逾期付款利息等违约责任。）</w:t>
      </w:r>
    </w:p>
    <w:p>
      <w:pPr>
        <w:autoSpaceDE w:val="0"/>
        <w:autoSpaceDN w:val="0"/>
        <w:adjustRightInd w:val="0"/>
        <w:spacing w:line="460" w:lineRule="atLeast"/>
        <w:rPr>
          <w:rFonts w:ascii="宋体" w:cs="仿宋_GB2312"/>
          <w:color w:val="auto"/>
          <w:sz w:val="22"/>
          <w:szCs w:val="22"/>
          <w:highlight w:val="none"/>
          <w:lang w:val="zh-CN"/>
        </w:rPr>
      </w:pPr>
    </w:p>
    <w:p>
      <w:pPr>
        <w:pStyle w:val="40"/>
        <w:rPr>
          <w:rFonts w:cs="新宋体" w:asciiTheme="majorEastAsia" w:hAnsiTheme="majorEastAsia" w:eastAsiaTheme="majorEastAsia"/>
          <w:color w:val="auto"/>
          <w:sz w:val="30"/>
          <w:szCs w:val="30"/>
          <w:highlight w:val="none"/>
        </w:rPr>
      </w:pPr>
    </w:p>
    <w:p>
      <w:pPr>
        <w:rPr>
          <w:rFonts w:cs="新宋体" w:asciiTheme="majorEastAsia" w:hAnsiTheme="majorEastAsia" w:eastAsiaTheme="majorEastAsia"/>
          <w:color w:val="auto"/>
          <w:sz w:val="30"/>
          <w:szCs w:val="30"/>
          <w:highlight w:val="none"/>
        </w:rPr>
      </w:pPr>
      <w:r>
        <w:rPr>
          <w:rFonts w:hint="eastAsia" w:cs="新宋体" w:asciiTheme="majorEastAsia" w:hAnsiTheme="majorEastAsia" w:eastAsiaTheme="majorEastAsia"/>
          <w:color w:val="auto"/>
          <w:sz w:val="30"/>
          <w:szCs w:val="30"/>
          <w:highlight w:val="none"/>
        </w:rPr>
        <w:br w:type="page"/>
      </w:r>
    </w:p>
    <w:p>
      <w:pPr>
        <w:pStyle w:val="40"/>
        <w:rPr>
          <w:rFonts w:cs="新宋体" w:asciiTheme="majorEastAsia" w:hAnsiTheme="majorEastAsia" w:eastAsiaTheme="majorEastAsia"/>
          <w:color w:val="auto"/>
          <w:sz w:val="30"/>
          <w:szCs w:val="30"/>
          <w:highlight w:val="none"/>
        </w:rPr>
      </w:pPr>
      <w:bookmarkStart w:id="15" w:name="_Toc15919"/>
      <w:r>
        <w:rPr>
          <w:rFonts w:hint="eastAsia" w:cs="新宋体" w:asciiTheme="majorEastAsia" w:hAnsiTheme="majorEastAsia" w:eastAsiaTheme="majorEastAsia"/>
          <w:color w:val="auto"/>
          <w:sz w:val="30"/>
          <w:szCs w:val="30"/>
          <w:highlight w:val="none"/>
        </w:rPr>
        <w:t>第三部分 供应商须知</w:t>
      </w:r>
      <w:bookmarkEnd w:id="11"/>
      <w:bookmarkEnd w:id="12"/>
      <w:bookmarkEnd w:id="15"/>
    </w:p>
    <w:p>
      <w:pPr>
        <w:autoSpaceDE w:val="0"/>
        <w:autoSpaceDN w:val="0"/>
        <w:adjustRightInd w:val="0"/>
        <w:snapToGrid w:val="0"/>
        <w:spacing w:line="440" w:lineRule="exact"/>
        <w:ind w:firstLine="422" w:firstLineChars="150"/>
        <w:jc w:val="center"/>
        <w:textAlignment w:val="bottom"/>
        <w:outlineLvl w:val="1"/>
        <w:rPr>
          <w:rFonts w:cs="Arial" w:asciiTheme="majorEastAsia" w:hAnsiTheme="majorEastAsia" w:eastAsiaTheme="majorEastAsia"/>
          <w:b/>
          <w:bCs/>
          <w:color w:val="auto"/>
          <w:sz w:val="28"/>
          <w:szCs w:val="28"/>
          <w:highlight w:val="none"/>
        </w:rPr>
      </w:pPr>
      <w:bookmarkStart w:id="16" w:name="_Toc3034"/>
      <w:bookmarkStart w:id="17" w:name="_Toc461563852"/>
      <w:r>
        <w:rPr>
          <w:rFonts w:hint="eastAsia" w:cs="Arial" w:asciiTheme="majorEastAsia" w:hAnsiTheme="majorEastAsia" w:eastAsiaTheme="majorEastAsia"/>
          <w:b/>
          <w:bCs/>
          <w:color w:val="auto"/>
          <w:sz w:val="28"/>
          <w:szCs w:val="28"/>
          <w:highlight w:val="none"/>
        </w:rPr>
        <w:t>一、说明</w:t>
      </w:r>
      <w:bookmarkEnd w:id="16"/>
      <w:bookmarkEnd w:id="17"/>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1、本次采购工作是按照《中华人民共和国政府采购法》、</w:t>
      </w:r>
      <w:r>
        <w:rPr>
          <w:rFonts w:hint="eastAsia" w:ascii="新宋体" w:hAnsi="新宋体" w:eastAsia="新宋体" w:cs="新宋体"/>
          <w:color w:val="auto"/>
          <w:sz w:val="22"/>
          <w:szCs w:val="22"/>
          <w:highlight w:val="none"/>
        </w:rPr>
        <w:t>《中华人民共和国政府采购法实施条例》、</w:t>
      </w:r>
      <w:r>
        <w:rPr>
          <w:rFonts w:hint="eastAsia" w:cs="新宋体" w:asciiTheme="majorEastAsia" w:hAnsiTheme="majorEastAsia" w:eastAsiaTheme="majorEastAsia"/>
          <w:color w:val="auto"/>
          <w:sz w:val="22"/>
          <w:szCs w:val="22"/>
          <w:highlight w:val="none"/>
        </w:rPr>
        <w:t>《政府采购货物和服务招标投标管理办法》及相关法律规章组织和实施。</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2、供应商必须对全部内容进行投标报价，只对部分内容进行投标报价的供应商将按无效投标处理。</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3、无论投标过程中的作法和结果如何，供应商自行承担投标活动中所发生的全部费用。</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供应商须自行现场勘察，确认采购人的实际需求，取得准确的报价依据。如果认为招标文件描述或所列范围、面积与实际情况有较大出入，请在规定的招标质疑截止时间前列出详细的异议意见和数据向采购代理机构书面反映，逾期不得再对招标文件的条款提出质疑，视为接受招标文件，投标供应商中标后不得以各种理由提出增价要求，否则做投标违约处理，采购人有权取消其中标资格。</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5、本项目采购预算见采购公告。</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lang w:val="zh-CN"/>
        </w:rPr>
        <w:t>6、</w:t>
      </w:r>
      <w:r>
        <w:rPr>
          <w:rFonts w:hint="eastAsia" w:cs="新宋体" w:asciiTheme="majorEastAsia" w:hAnsiTheme="majorEastAsia" w:eastAsiaTheme="majorEastAsia"/>
          <w:color w:val="auto"/>
          <w:sz w:val="22"/>
          <w:szCs w:val="22"/>
          <w:highlight w:val="none"/>
        </w:rPr>
        <w:t>投标供应商认为完成本招标文件规定的项目承包内容所发生的直接成本、间接成本、利润、税金、政策性文件规定的费用等一切费用均应计入投标报价，凡未列入的将被认为均已包含在投标总价中，今后不得以任何理由追加或调整。</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7、</w:t>
      </w:r>
      <w:r>
        <w:rPr>
          <w:rFonts w:cs="新宋体" w:asciiTheme="majorEastAsia" w:hAnsiTheme="majorEastAsia" w:eastAsiaTheme="majorEastAsia"/>
          <w:color w:val="auto"/>
          <w:sz w:val="22"/>
          <w:szCs w:val="22"/>
          <w:highlight w:val="none"/>
        </w:rPr>
        <w:t>采用最低评标价法的采购项目，提供相同品牌产品的不同投标供应商参加同一合同项下投标的，以其中通过资格审查、符合性审查且报价最低的参加评标；报价相同的，采取随机抽取方式确定，其他投标无效。</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cs="新宋体" w:asciiTheme="majorEastAsia" w:hAnsiTheme="majorEastAsia" w:eastAsiaTheme="majorEastAsia"/>
          <w:color w:val="auto"/>
          <w:sz w:val="22"/>
          <w:szCs w:val="22"/>
          <w:highlight w:val="none"/>
        </w:rPr>
        <w:t>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pPr>
        <w:widowControl/>
        <w:autoSpaceDE w:val="0"/>
        <w:autoSpaceDN w:val="0"/>
        <w:adjustRightInd w:val="0"/>
        <w:spacing w:line="460" w:lineRule="atLeast"/>
        <w:ind w:firstLine="464" w:firstLineChars="200"/>
        <w:textAlignment w:val="bottom"/>
        <w:rPr>
          <w:rFonts w:cs="新宋体" w:asciiTheme="majorEastAsia" w:hAnsiTheme="majorEastAsia" w:eastAsiaTheme="majorEastAsia"/>
          <w:color w:val="auto"/>
          <w:sz w:val="22"/>
          <w:szCs w:val="22"/>
          <w:highlight w:val="none"/>
        </w:rPr>
      </w:pPr>
      <w:r>
        <w:rPr>
          <w:rFonts w:hint="eastAsia" w:ascii="新宋体" w:hAnsi="新宋体" w:eastAsia="新宋体" w:cs="宋体"/>
          <w:bCs/>
          <w:color w:val="auto"/>
          <w:spacing w:val="6"/>
          <w:sz w:val="22"/>
          <w:szCs w:val="22"/>
          <w:highlight w:val="none"/>
        </w:rPr>
        <w:t>非单一产品采购项目，采购人应当根据采购项目技术构成、产品价格比重等合理确定核心产品，并在采购文件中载明。多家供应商提供的核心产品品牌相同的，按前两款规定处理</w:t>
      </w:r>
      <w:r>
        <w:rPr>
          <w:rFonts w:hint="eastAsia" w:cs="新宋体" w:asciiTheme="majorEastAsia" w:hAnsiTheme="majorEastAsia" w:eastAsiaTheme="majorEastAsia"/>
          <w:color w:val="auto"/>
          <w:sz w:val="22"/>
          <w:szCs w:val="22"/>
          <w:highlight w:val="none"/>
        </w:rPr>
        <w:t>。</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8、</w:t>
      </w:r>
      <w:r>
        <w:rPr>
          <w:rFonts w:cs="新宋体" w:asciiTheme="majorEastAsia" w:hAnsiTheme="majorEastAsia" w:eastAsiaTheme="majorEastAsia"/>
          <w:color w:val="auto"/>
          <w:sz w:val="22"/>
          <w:szCs w:val="22"/>
          <w:highlight w:val="none"/>
        </w:rPr>
        <w:t>本项目对符合财政扶持政策的中小企业（小型、微型）、监狱企业、残疾人福利性单位给予价格优惠扶持，执行节能产品政府强制采购和优先采购政策，执行环境标志产品政府优先采购政策；</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9、“政采金融服务：政采云平台目前为供应商提供政采贷、履约保函、预付款保函等相关金融服务，相关操作帮助及情况介绍见以下链接：https://jinrong.zcygov.cn/finance-service/#/help”</w:t>
      </w:r>
      <w:r>
        <w:rPr>
          <w:rFonts w:cs="新宋体" w:asciiTheme="majorEastAsia" w:hAnsiTheme="majorEastAsia" w:eastAsiaTheme="majorEastAsia"/>
          <w:color w:val="auto"/>
          <w:sz w:val="22"/>
          <w:szCs w:val="22"/>
          <w:highlight w:val="none"/>
        </w:rPr>
        <w:t>。</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10、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11、非浙江政府采购网注册的供应商或发生变更且未及时更新的供应商，应当在规定时间内按照《浙江省政府采购供应商注册及诚信管理暂行办法》（浙财采监字［2009］28号）的相关规定及时办理更新或供应商注册事项。一旦被确定为中标人的，在合同签订前按本办法的规定完成注册并成为正式注册供应商</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12、投标供应商代表指全权代表投标供应商参加投标活动并签署投标文件的人。如果投标供应商代表是法定代表人的，仅须提供身份证扫描件；如果投标供应商代表不是法定代表人，须持有《法定代表人授权书》。</w:t>
      </w:r>
    </w:p>
    <w:p>
      <w:pPr>
        <w:widowControl/>
        <w:autoSpaceDE w:val="0"/>
        <w:autoSpaceDN w:val="0"/>
        <w:adjustRightInd w:val="0"/>
        <w:spacing w:line="460" w:lineRule="atLeast"/>
        <w:ind w:firstLine="420" w:firstLineChars="200"/>
        <w:textAlignment w:val="bottom"/>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13、</w:t>
      </w:r>
      <w:r>
        <w:rPr>
          <w:rFonts w:hint="eastAsia" w:cs="新宋体" w:asciiTheme="majorEastAsia" w:hAnsiTheme="majorEastAsia" w:eastAsiaTheme="majorEastAsia"/>
          <w:color w:val="auto"/>
          <w:sz w:val="22"/>
          <w:szCs w:val="22"/>
          <w:highlight w:val="none"/>
        </w:rPr>
        <w:t>《浙江省财政厅关于进一步加大政府采购支持中小企业力度助力扎实稳住经济的通知》（浙财采监（2022）8号）已于2022年7月1日开始实施，此前有关规定与上述文件内容不一致的，按上述文件要求执行。</w:t>
      </w:r>
    </w:p>
    <w:p>
      <w:pPr>
        <w:autoSpaceDE w:val="0"/>
        <w:autoSpaceDN w:val="0"/>
        <w:adjustRightInd w:val="0"/>
        <w:snapToGrid w:val="0"/>
        <w:spacing w:line="440" w:lineRule="exact"/>
        <w:ind w:firstLine="422" w:firstLineChars="150"/>
        <w:jc w:val="center"/>
        <w:textAlignment w:val="bottom"/>
        <w:outlineLvl w:val="1"/>
        <w:rPr>
          <w:rFonts w:cs="Arial" w:asciiTheme="majorEastAsia" w:hAnsiTheme="majorEastAsia" w:eastAsiaTheme="majorEastAsia"/>
          <w:b/>
          <w:bCs/>
          <w:color w:val="auto"/>
          <w:sz w:val="28"/>
          <w:szCs w:val="28"/>
          <w:highlight w:val="none"/>
        </w:rPr>
      </w:pPr>
      <w:bookmarkStart w:id="18" w:name="_Toc13701"/>
      <w:bookmarkStart w:id="19" w:name="_Toc461563853"/>
      <w:r>
        <w:rPr>
          <w:rFonts w:hint="eastAsia" w:cs="Arial" w:asciiTheme="majorEastAsia" w:hAnsiTheme="majorEastAsia" w:eastAsiaTheme="majorEastAsia"/>
          <w:b/>
          <w:bCs/>
          <w:color w:val="auto"/>
          <w:sz w:val="28"/>
          <w:szCs w:val="28"/>
          <w:highlight w:val="none"/>
        </w:rPr>
        <w:t>二、供应商资格条件</w:t>
      </w:r>
      <w:bookmarkEnd w:id="18"/>
      <w:bookmarkEnd w:id="19"/>
    </w:p>
    <w:p>
      <w:pPr>
        <w:autoSpaceDE w:val="0"/>
        <w:autoSpaceDN w:val="0"/>
        <w:adjustRightInd w:val="0"/>
        <w:spacing w:line="450" w:lineRule="exact"/>
        <w:ind w:firstLine="440" w:firstLineChars="200"/>
        <w:rPr>
          <w:rFonts w:cs="新宋体" w:asciiTheme="majorEastAsia" w:hAnsiTheme="majorEastAsia" w:eastAsiaTheme="majorEastAsia"/>
          <w:color w:val="auto"/>
          <w:sz w:val="22"/>
          <w:szCs w:val="22"/>
          <w:highlight w:val="none"/>
          <w:lang w:val="zh-CN"/>
        </w:rPr>
      </w:pPr>
      <w:r>
        <w:rPr>
          <w:rFonts w:hint="eastAsia" w:cs="新宋体" w:asciiTheme="majorEastAsia" w:hAnsiTheme="majorEastAsia" w:eastAsiaTheme="majorEastAsia"/>
          <w:color w:val="auto"/>
          <w:sz w:val="22"/>
          <w:szCs w:val="22"/>
          <w:highlight w:val="none"/>
          <w:lang w:val="zh-CN"/>
        </w:rPr>
        <w:t>按招标公告要求。</w:t>
      </w:r>
    </w:p>
    <w:p>
      <w:pPr>
        <w:autoSpaceDE w:val="0"/>
        <w:autoSpaceDN w:val="0"/>
        <w:adjustRightInd w:val="0"/>
        <w:snapToGrid w:val="0"/>
        <w:spacing w:line="440" w:lineRule="exact"/>
        <w:ind w:firstLine="422" w:firstLineChars="150"/>
        <w:jc w:val="center"/>
        <w:textAlignment w:val="bottom"/>
        <w:outlineLvl w:val="1"/>
        <w:rPr>
          <w:rFonts w:cs="Arial" w:asciiTheme="majorEastAsia" w:hAnsiTheme="majorEastAsia" w:eastAsiaTheme="majorEastAsia"/>
          <w:b/>
          <w:bCs/>
          <w:color w:val="auto"/>
          <w:sz w:val="28"/>
          <w:szCs w:val="28"/>
          <w:highlight w:val="none"/>
        </w:rPr>
      </w:pPr>
      <w:bookmarkStart w:id="20" w:name="_Toc461563854"/>
      <w:bookmarkStart w:id="21" w:name="_Toc13744"/>
      <w:r>
        <w:rPr>
          <w:rFonts w:hint="eastAsia" w:cs="Arial" w:asciiTheme="majorEastAsia" w:hAnsiTheme="majorEastAsia" w:eastAsiaTheme="majorEastAsia"/>
          <w:b/>
          <w:bCs/>
          <w:color w:val="auto"/>
          <w:sz w:val="28"/>
          <w:szCs w:val="28"/>
          <w:highlight w:val="none"/>
        </w:rPr>
        <w:t>三、招标文件</w:t>
      </w:r>
      <w:bookmarkEnd w:id="20"/>
      <w:bookmarkEnd w:id="21"/>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1、招标文件</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1.1招标文件约束力</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u w:val="single"/>
        </w:rPr>
      </w:pPr>
      <w:r>
        <w:rPr>
          <w:rFonts w:hint="eastAsia" w:cs="新宋体" w:asciiTheme="majorEastAsia" w:hAnsiTheme="majorEastAsia" w:eastAsiaTheme="majorEastAsia"/>
          <w:color w:val="auto"/>
          <w:sz w:val="22"/>
          <w:szCs w:val="22"/>
          <w:highlight w:val="none"/>
        </w:rPr>
        <w:t>▲</w:t>
      </w:r>
      <w:r>
        <w:rPr>
          <w:rFonts w:hint="eastAsia" w:cs="新宋体" w:asciiTheme="majorEastAsia" w:hAnsiTheme="majorEastAsia" w:eastAsiaTheme="majorEastAsia"/>
          <w:b/>
          <w:color w:val="auto"/>
          <w:sz w:val="22"/>
          <w:szCs w:val="22"/>
          <w:highlight w:val="none"/>
          <w:u w:val="single"/>
        </w:rPr>
        <w:t>供应商一旦获取了本招标文件并参加投标，即被认为接受了本招标文件中所有条款和规定。</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1.2招标文件的组成</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招标文件由招标文件总目录所列内容及补充资料等组成。</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2、质疑</w:t>
      </w:r>
    </w:p>
    <w:p>
      <w:pPr>
        <w:autoSpaceDE w:val="0"/>
        <w:autoSpaceDN w:val="0"/>
        <w:adjustRightInd w:val="0"/>
        <w:spacing w:line="460" w:lineRule="atLeast"/>
        <w:ind w:firstLine="440" w:firstLineChars="200"/>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color w:val="auto"/>
          <w:sz w:val="22"/>
          <w:szCs w:val="22"/>
          <w:highlight w:val="none"/>
        </w:rPr>
        <w:t>2.1供应商认为采购文件、采购过程、中标或者成交结果使自己的权益受到损害的，可以在知道或者应知其权益受到损害之日起7个工作日内，以书面形式（包括信函、传真，下同）或政采云系统向采购人、采购代理机构提出质疑。逾期提出的，采购组织机构将不予受理、答复。</w:t>
      </w:r>
      <w:r>
        <w:rPr>
          <w:rFonts w:hint="eastAsia" w:cs="新宋体" w:asciiTheme="majorEastAsia" w:hAnsiTheme="majorEastAsia" w:eastAsiaTheme="majorEastAsia"/>
          <w:b/>
          <w:color w:val="auto"/>
          <w:sz w:val="22"/>
          <w:szCs w:val="22"/>
          <w:highlight w:val="none"/>
        </w:rPr>
        <w:t>任何口头答复均不作为投标依据。</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2.2供应商提出质疑应当提交质疑函和必要的证明材料，质疑函范本请到“浙江政府采购网下载专区”下载，质疑函内容及签署等相关要求请参看《政府采购质疑和投诉办法》相关规定。</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2.3提出质疑的供应商应当是参与本项目招标活动的供应商。供应商在法定质疑期内一次性提出针对同一采购程序环节的质疑。</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2.4根据《政府采购质疑和投诉办法》第三十七条的规定，投诉人在全国范围12个月内三次以上投诉查无实据的，由财政部门列入不良行为记录名单。</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3、投诉</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3.1质疑供应商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4、招标文件</w:t>
      </w:r>
      <w:r>
        <w:rPr>
          <w:rFonts w:hint="eastAsia" w:ascii="新宋体" w:hAnsi="新宋体" w:eastAsia="新宋体" w:cs="新宋体"/>
          <w:color w:val="auto"/>
          <w:sz w:val="22"/>
          <w:szCs w:val="22"/>
          <w:highlight w:val="none"/>
        </w:rPr>
        <w:t>的澄清或修改</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4.1</w:t>
      </w:r>
      <w:r>
        <w:rPr>
          <w:rFonts w:ascii="宋体"/>
          <w:color w:val="auto"/>
          <w:sz w:val="22"/>
          <w:szCs w:val="22"/>
          <w:highlight w:val="none"/>
        </w:rPr>
        <w:t>采购人或者采购代理机构可以对已发出的采购文件进行必要的澄清或者修改。澄清或者修改在浙江政府采购网上发布公告，同时政采云系统会向所有已按采购文件规定方式获取采购文件的潜在投标供应商发送更正提醒信息，潜在投标供应商请自行到浙江省政府采购网上</w:t>
      </w:r>
      <w:r>
        <w:rPr>
          <w:rFonts w:hint="eastAsia" w:ascii="宋体"/>
          <w:color w:val="auto"/>
          <w:sz w:val="22"/>
          <w:szCs w:val="22"/>
          <w:highlight w:val="none"/>
        </w:rPr>
        <w:t>查看</w:t>
      </w:r>
      <w:r>
        <w:rPr>
          <w:rFonts w:ascii="宋体"/>
          <w:color w:val="auto"/>
          <w:sz w:val="22"/>
          <w:szCs w:val="22"/>
          <w:highlight w:val="none"/>
        </w:rPr>
        <w:t>更正</w:t>
      </w:r>
      <w:r>
        <w:rPr>
          <w:rFonts w:hint="eastAsia" w:ascii="宋体"/>
          <w:color w:val="auto"/>
          <w:sz w:val="22"/>
          <w:szCs w:val="22"/>
          <w:highlight w:val="none"/>
        </w:rPr>
        <w:t>（澄清或补充）公告</w:t>
      </w:r>
      <w:r>
        <w:rPr>
          <w:rFonts w:ascii="宋体"/>
          <w:color w:val="auto"/>
          <w:sz w:val="22"/>
          <w:szCs w:val="22"/>
          <w:highlight w:val="none"/>
        </w:rPr>
        <w:t>，潜在投标供应商在收到该公告后应于1日内，以书面或传真形式（签署意见并加盖公章）向采购代理机构回函给予确认。过期未回复的，视为默认接受。澄清或者修改的内容为采购文件的组成部分</w:t>
      </w:r>
      <w:r>
        <w:rPr>
          <w:rFonts w:hint="eastAsia" w:cs="新宋体" w:asciiTheme="majorEastAsia" w:hAnsiTheme="majorEastAsia" w:eastAsiaTheme="majorEastAsia"/>
          <w:color w:val="auto"/>
          <w:sz w:val="22"/>
          <w:szCs w:val="22"/>
          <w:highlight w:val="none"/>
        </w:rPr>
        <w:t>，对所有投标供应商均有约束力。</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4.2澄清或者修改的内容可能影响投标文件编制的，采购人或者采购代理机构在投标截止时间至少15日前，以书面形式通知所有获取招标文件的潜在投标供应商；不足15日的，采购人或者采购代理机构顺延提交投标文件的截止时间。</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4.3补充、更正文件在浙江政府采购网（http://www.zjzfcg.gov.cn/）予以公告公布。</w:t>
      </w:r>
      <w:bookmarkEnd w:id="1"/>
      <w:r>
        <w:rPr>
          <w:rFonts w:hint="eastAsia" w:asciiTheme="majorEastAsia" w:hAnsiTheme="majorEastAsia" w:eastAsiaTheme="majorEastAsia"/>
          <w:b/>
          <w:bCs/>
          <w:color w:val="auto"/>
          <w:sz w:val="22"/>
          <w:szCs w:val="22"/>
          <w:highlight w:val="none"/>
        </w:rPr>
        <w:t>供应商须在开标前一日自行查看是否有补充更正文件，并按补充更正文件要求响应，否则责任自负。</w:t>
      </w:r>
    </w:p>
    <w:p>
      <w:pPr>
        <w:autoSpaceDE w:val="0"/>
        <w:autoSpaceDN w:val="0"/>
        <w:adjustRightInd w:val="0"/>
        <w:snapToGrid w:val="0"/>
        <w:spacing w:line="440" w:lineRule="exact"/>
        <w:ind w:firstLine="422" w:firstLineChars="150"/>
        <w:jc w:val="center"/>
        <w:textAlignment w:val="bottom"/>
        <w:outlineLvl w:val="1"/>
        <w:rPr>
          <w:rFonts w:cs="Arial" w:asciiTheme="majorEastAsia" w:hAnsiTheme="majorEastAsia" w:eastAsiaTheme="majorEastAsia"/>
          <w:b/>
          <w:bCs/>
          <w:color w:val="auto"/>
          <w:sz w:val="28"/>
          <w:szCs w:val="28"/>
          <w:highlight w:val="none"/>
        </w:rPr>
      </w:pPr>
      <w:bookmarkStart w:id="22" w:name="_Toc24086"/>
      <w:bookmarkStart w:id="23" w:name="_Toc496116252"/>
      <w:r>
        <w:rPr>
          <w:rFonts w:hint="eastAsia" w:cs="Arial" w:asciiTheme="majorEastAsia" w:hAnsiTheme="majorEastAsia" w:eastAsiaTheme="majorEastAsia"/>
          <w:b/>
          <w:bCs/>
          <w:color w:val="auto"/>
          <w:sz w:val="28"/>
          <w:szCs w:val="28"/>
          <w:highlight w:val="none"/>
        </w:rPr>
        <w:t>四、投标文件</w:t>
      </w:r>
      <w:bookmarkEnd w:id="22"/>
      <w:bookmarkEnd w:id="23"/>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1、投标文件</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1.1供应商提交的投标文件以及供应商与采购人就有关投标的所有来往函电均应使用中文。供应商可以提交用其它语言印制的资料，但必须译成中文，在有差异和矛盾时以中文为准。</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1.2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在基本满足招标技术要求的前提下出现的微小差异。</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1.3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1.4供应商应仔细阅读招标文件中的所有内容，按照招标文件要求，详细编制投标文件，所有文件资料必须是针对本次投标。不按招标文件的要求提供的投标文件可能导致被拒绝。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lang w:val="zh-CN"/>
        </w:rPr>
      </w:pPr>
      <w:r>
        <w:rPr>
          <w:rFonts w:hint="eastAsia" w:cs="新宋体" w:asciiTheme="majorEastAsia" w:hAnsiTheme="majorEastAsia" w:eastAsiaTheme="majorEastAsia"/>
          <w:color w:val="auto"/>
          <w:sz w:val="22"/>
          <w:szCs w:val="22"/>
          <w:highlight w:val="none"/>
          <w:lang w:val="zh-CN"/>
        </w:rPr>
        <w:t>2、投标文件的组成</w:t>
      </w:r>
    </w:p>
    <w:p>
      <w:pPr>
        <w:autoSpaceDE w:val="0"/>
        <w:autoSpaceDN w:val="0"/>
        <w:adjustRightInd w:val="0"/>
        <w:spacing w:line="460" w:lineRule="atLeast"/>
        <w:ind w:firstLine="442" w:firstLineChars="200"/>
        <w:rPr>
          <w:rFonts w:cs="新宋体" w:asciiTheme="majorEastAsia" w:hAnsiTheme="majorEastAsia" w:eastAsiaTheme="majorEastAsia"/>
          <w:b/>
          <w:color w:val="auto"/>
          <w:sz w:val="22"/>
          <w:szCs w:val="22"/>
          <w:highlight w:val="none"/>
          <w:lang w:val="zh-CN"/>
        </w:rPr>
      </w:pPr>
      <w:r>
        <w:rPr>
          <w:rFonts w:hint="eastAsia" w:cs="新宋体" w:asciiTheme="majorEastAsia" w:hAnsiTheme="majorEastAsia" w:eastAsiaTheme="majorEastAsia"/>
          <w:b/>
          <w:bCs/>
          <w:color w:val="auto"/>
          <w:sz w:val="22"/>
          <w:szCs w:val="22"/>
          <w:highlight w:val="none"/>
          <w:u w:val="single"/>
        </w:rPr>
        <w:t>投标文件由资格证明文件、报价文件部分和技术资信部分三部分组成。</w:t>
      </w:r>
    </w:p>
    <w:p>
      <w:pPr>
        <w:autoSpaceDE w:val="0"/>
        <w:autoSpaceDN w:val="0"/>
        <w:adjustRightInd w:val="0"/>
        <w:spacing w:line="450" w:lineRule="atLeast"/>
        <w:ind w:firstLine="442" w:firstLineChars="200"/>
        <w:rPr>
          <w:rFonts w:cs="仿宋_GB2312" w:asciiTheme="majorEastAsia" w:hAnsiTheme="majorEastAsia" w:eastAsiaTheme="majorEastAsia"/>
          <w:b/>
          <w:color w:val="auto"/>
          <w:sz w:val="22"/>
          <w:szCs w:val="22"/>
          <w:highlight w:val="none"/>
          <w:u w:val="single"/>
          <w:lang w:val="zh-CN"/>
        </w:rPr>
      </w:pPr>
      <w:bookmarkStart w:id="24" w:name="_Toc132122412"/>
      <w:bookmarkStart w:id="25" w:name="_Toc132122115"/>
      <w:r>
        <w:rPr>
          <w:rFonts w:hint="eastAsia" w:cs="仿宋_GB2312" w:asciiTheme="majorEastAsia" w:hAnsiTheme="majorEastAsia" w:eastAsiaTheme="majorEastAsia"/>
          <w:b/>
          <w:color w:val="auto"/>
          <w:sz w:val="22"/>
          <w:szCs w:val="22"/>
          <w:highlight w:val="none"/>
          <w:u w:val="single"/>
          <w:lang w:val="zh-CN"/>
        </w:rPr>
        <w:t>2.1资格证明文件部分组成</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7957"/>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30" w:lineRule="atLeast"/>
              <w:jc w:val="center"/>
              <w:rPr>
                <w:rFonts w:ascii="宋体" w:hAnsi="宋体" w:cs="宋体"/>
                <w:b/>
                <w:bCs/>
                <w:color w:val="auto"/>
                <w:sz w:val="22"/>
                <w:szCs w:val="22"/>
                <w:highlight w:val="none"/>
                <w:lang w:val="zh-CN"/>
              </w:rPr>
            </w:pPr>
            <w:r>
              <w:rPr>
                <w:rFonts w:hint="eastAsia" w:ascii="宋体" w:hAnsi="宋体" w:cs="宋体"/>
                <w:color w:val="auto"/>
                <w:sz w:val="22"/>
                <w:szCs w:val="22"/>
                <w:highlight w:val="none"/>
                <w:lang w:val="zh-CN"/>
              </w:rPr>
              <w:t>序号</w:t>
            </w:r>
          </w:p>
        </w:tc>
        <w:tc>
          <w:tcPr>
            <w:tcW w:w="4036"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30" w:lineRule="atLeast"/>
              <w:jc w:val="center"/>
              <w:rPr>
                <w:rFonts w:ascii="宋体" w:hAnsi="宋体" w:cs="宋体"/>
                <w:b/>
                <w:bCs/>
                <w:color w:val="auto"/>
                <w:sz w:val="22"/>
                <w:szCs w:val="22"/>
                <w:highlight w:val="none"/>
                <w:lang w:val="zh-CN"/>
              </w:rPr>
            </w:pPr>
            <w:r>
              <w:rPr>
                <w:rFonts w:hint="eastAsia" w:asciiTheme="majorEastAsia" w:hAnsiTheme="majorEastAsia" w:eastAsiaTheme="majorEastAsia"/>
                <w:color w:val="auto"/>
                <w:sz w:val="22"/>
                <w:szCs w:val="22"/>
                <w:highlight w:val="none"/>
                <w:u w:val="single"/>
                <w:lang w:val="zh-CN"/>
              </w:rPr>
              <w:t>内容（▲以下资格证明文件必须提供，否则不能通过资格审查的，责任自负</w:t>
            </w:r>
            <w:r>
              <w:rPr>
                <w:rFonts w:hint="eastAsia" w:asciiTheme="majorEastAsia" w:hAnsiTheme="majorEastAsia" w:eastAsiaTheme="majorEastAsia"/>
                <w:color w:val="auto"/>
                <w:sz w:val="22"/>
                <w:szCs w:val="22"/>
                <w:highlight w:val="none"/>
                <w:lang w:val="zh-CN"/>
              </w:rPr>
              <w:t>）</w:t>
            </w:r>
          </w:p>
        </w:tc>
        <w:tc>
          <w:tcPr>
            <w:tcW w:w="558"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30" w:lineRule="atLeast"/>
              <w:jc w:val="center"/>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4"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1</w:t>
            </w:r>
          </w:p>
        </w:tc>
        <w:tc>
          <w:tcPr>
            <w:tcW w:w="4036"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ascii="宋体" w:hAnsi="宋体" w:cs="宋体"/>
                <w:color w:val="auto"/>
                <w:sz w:val="22"/>
                <w:szCs w:val="22"/>
                <w:highlight w:val="none"/>
                <w:lang w:val="zh-CN"/>
              </w:rPr>
            </w:pPr>
            <w:r>
              <w:rPr>
                <w:rFonts w:hint="eastAsia" w:ascii="宋体" w:hAnsi="宋体" w:cs="宋体"/>
                <w:color w:val="auto"/>
                <w:sz w:val="22"/>
                <w:szCs w:val="22"/>
                <w:highlight w:val="none"/>
              </w:rPr>
              <w:t>投标供应商的营业执照（或事业法人登记证书或其它工商等登记证明材料）、税务登记证（如为多证合一仅需提供营业执照（或事业法人登记证书或其它工商等登记证明材料），扫描件加盖公章）</w:t>
            </w:r>
          </w:p>
        </w:tc>
        <w:tc>
          <w:tcPr>
            <w:tcW w:w="558"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4"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2</w:t>
            </w:r>
          </w:p>
        </w:tc>
        <w:tc>
          <w:tcPr>
            <w:tcW w:w="4036"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ascii="宋体" w:hAnsi="宋体" w:cs="宋体"/>
                <w:color w:val="auto"/>
                <w:sz w:val="22"/>
                <w:szCs w:val="22"/>
                <w:highlight w:val="none"/>
              </w:rPr>
            </w:pPr>
            <w:r>
              <w:rPr>
                <w:rFonts w:hint="eastAsia" w:ascii="宋体" w:hAnsi="宋体" w:cs="宋体"/>
                <w:color w:val="auto"/>
                <w:sz w:val="22"/>
                <w:szCs w:val="22"/>
                <w:highlight w:val="none"/>
                <w:lang w:val="zh-CN"/>
              </w:rPr>
              <w:t>具有财务会计制度、设备和专业技术能力、</w:t>
            </w:r>
            <w:r>
              <w:rPr>
                <w:rFonts w:hint="eastAsia" w:ascii="宋体" w:hAnsi="宋体" w:cs="宋体"/>
                <w:color w:val="auto"/>
                <w:sz w:val="22"/>
                <w:szCs w:val="22"/>
                <w:highlight w:val="none"/>
              </w:rPr>
              <w:t>依法</w:t>
            </w:r>
            <w:r>
              <w:rPr>
                <w:rFonts w:hint="eastAsia" w:ascii="宋体" w:hAnsi="宋体" w:cs="宋体"/>
                <w:color w:val="auto"/>
                <w:sz w:val="22"/>
                <w:szCs w:val="22"/>
                <w:highlight w:val="none"/>
                <w:lang w:val="zh-CN"/>
              </w:rPr>
              <w:t>缴纳税收和社会保障资金</w:t>
            </w:r>
            <w:r>
              <w:rPr>
                <w:rFonts w:hint="eastAsia" w:ascii="宋体" w:hAnsi="宋体" w:cs="宋体"/>
                <w:color w:val="auto"/>
                <w:sz w:val="22"/>
                <w:szCs w:val="22"/>
                <w:highlight w:val="none"/>
              </w:rPr>
              <w:t>记录</w:t>
            </w: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无</w:t>
            </w:r>
            <w:r>
              <w:rPr>
                <w:rFonts w:hint="eastAsia" w:ascii="宋体" w:hAnsi="宋体" w:cs="宋体"/>
                <w:color w:val="auto"/>
                <w:sz w:val="22"/>
                <w:szCs w:val="22"/>
                <w:highlight w:val="none"/>
                <w:lang w:val="zh-CN"/>
              </w:rPr>
              <w:t>重大违法记录的承诺函</w:t>
            </w:r>
          </w:p>
        </w:tc>
        <w:tc>
          <w:tcPr>
            <w:tcW w:w="5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430" w:lineRule="atLeast"/>
              <w:jc w:val="center"/>
              <w:textAlignment w:val="bottom"/>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4"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4036"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ascii="宋体" w:hAnsi="宋体" w:cs="宋体"/>
                <w:b/>
                <w:color w:val="auto"/>
                <w:sz w:val="22"/>
                <w:szCs w:val="22"/>
                <w:highlight w:val="none"/>
              </w:rPr>
            </w:pPr>
            <w:r>
              <w:rPr>
                <w:rFonts w:hint="eastAsia" w:ascii="宋体" w:hAnsi="宋体" w:cs="宋体"/>
                <w:color w:val="auto"/>
                <w:sz w:val="22"/>
                <w:szCs w:val="22"/>
                <w:highlight w:val="none"/>
              </w:rPr>
              <w:t>投标供应商</w:t>
            </w:r>
            <w:r>
              <w:rPr>
                <w:rFonts w:hint="eastAsia" w:ascii="宋体" w:hAnsi="宋体" w:cs="宋体"/>
                <w:b/>
                <w:color w:val="auto"/>
                <w:sz w:val="22"/>
                <w:szCs w:val="22"/>
                <w:highlight w:val="none"/>
              </w:rPr>
              <w:t>同时提供以下</w:t>
            </w:r>
            <w:r>
              <w:rPr>
                <w:rFonts w:hint="eastAsia" w:ascii="宋体" w:hAnsi="宋体" w:cs="宋体"/>
                <w:color w:val="auto"/>
                <w:sz w:val="22"/>
                <w:szCs w:val="22"/>
                <w:highlight w:val="none"/>
              </w:rPr>
              <w:t>信用记录查询网页截图或报告（采购公告发布之日至投标文件递交截止时间前关于投标供应商信用记录的查询网页）</w:t>
            </w:r>
            <w:r>
              <w:rPr>
                <w:rFonts w:hint="eastAsia" w:ascii="宋体" w:hAnsi="宋体" w:cs="宋体"/>
                <w:b/>
                <w:color w:val="auto"/>
                <w:sz w:val="22"/>
                <w:szCs w:val="22"/>
                <w:highlight w:val="none"/>
              </w:rPr>
              <w:t>：</w:t>
            </w:r>
          </w:p>
          <w:p>
            <w:pPr>
              <w:tabs>
                <w:tab w:val="left" w:pos="4140"/>
              </w:tabs>
              <w:adjustRightInd w:val="0"/>
              <w:snapToGrid w:val="0"/>
              <w:spacing w:line="320" w:lineRule="atLeast"/>
              <w:rPr>
                <w:rFonts w:ascii="宋体" w:hAnsi="宋体" w:cs="宋体"/>
                <w:color w:val="auto"/>
                <w:sz w:val="22"/>
                <w:szCs w:val="22"/>
                <w:highlight w:val="none"/>
              </w:rPr>
            </w:pPr>
            <w:r>
              <w:rPr>
                <w:rFonts w:hint="eastAsia" w:ascii="宋体" w:hAnsi="宋体" w:cs="宋体"/>
                <w:color w:val="auto"/>
                <w:sz w:val="22"/>
                <w:szCs w:val="22"/>
                <w:highlight w:val="none"/>
              </w:rPr>
              <w:t>（1）“信用中国”(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50"/>
                <w:rFonts w:hint="eastAsia" w:ascii="宋体" w:hAnsi="宋体" w:cs="宋体"/>
                <w:color w:val="auto"/>
                <w:sz w:val="22"/>
                <w:szCs w:val="22"/>
                <w:highlight w:val="none"/>
              </w:rPr>
              <w:t>www.creditchina.gov.cn</w:t>
            </w:r>
            <w:r>
              <w:rPr>
                <w:rStyle w:val="50"/>
                <w:rFonts w:hint="eastAsia" w:ascii="宋体" w:hAnsi="宋体" w:cs="宋体"/>
                <w:color w:val="auto"/>
                <w:sz w:val="22"/>
                <w:szCs w:val="22"/>
                <w:highlight w:val="none"/>
              </w:rPr>
              <w:fldChar w:fldCharType="end"/>
            </w:r>
            <w:r>
              <w:rPr>
                <w:rFonts w:hint="eastAsia" w:ascii="宋体" w:hAnsi="宋体" w:cs="宋体"/>
                <w:color w:val="auto"/>
                <w:sz w:val="22"/>
                <w:szCs w:val="22"/>
                <w:highlight w:val="none"/>
              </w:rPr>
              <w:t>)，在信用中国首页搜索栏中直接输入投标供应商全称搜索信用信息，再找到并点击进人投标供应商全称的查询页面。</w:t>
            </w:r>
          </w:p>
          <w:p>
            <w:pPr>
              <w:tabs>
                <w:tab w:val="left" w:pos="4140"/>
              </w:tabs>
              <w:adjustRightInd w:val="0"/>
              <w:snapToGrid w:val="0"/>
              <w:spacing w:line="320" w:lineRule="atLeast"/>
              <w:rPr>
                <w:rFonts w:ascii="宋体" w:hAnsi="宋体" w:cs="宋体"/>
                <w:color w:val="auto"/>
                <w:sz w:val="22"/>
                <w:szCs w:val="22"/>
                <w:highlight w:val="none"/>
              </w:rPr>
            </w:pPr>
            <w:r>
              <w:rPr>
                <w:rFonts w:hint="eastAsia" w:ascii="宋体" w:hAnsi="宋体" w:cs="宋体"/>
                <w:color w:val="auto"/>
                <w:sz w:val="22"/>
                <w:szCs w:val="22"/>
                <w:highlight w:val="none"/>
              </w:rPr>
              <w:t>（2）“中国政府采购网”（</w:t>
            </w:r>
            <w:r>
              <w:rPr>
                <w:color w:val="auto"/>
                <w:highlight w:val="none"/>
              </w:rPr>
              <w:fldChar w:fldCharType="begin"/>
            </w:r>
            <w:r>
              <w:rPr>
                <w:color w:val="auto"/>
                <w:highlight w:val="none"/>
              </w:rPr>
              <w:instrText xml:space="preserve"> HYPERLINK "http://www.ccgp.gov.cn/search/cr/" </w:instrText>
            </w:r>
            <w:r>
              <w:rPr>
                <w:color w:val="auto"/>
                <w:highlight w:val="none"/>
              </w:rPr>
              <w:fldChar w:fldCharType="separate"/>
            </w:r>
            <w:r>
              <w:rPr>
                <w:rStyle w:val="50"/>
                <w:rFonts w:ascii="宋体" w:hAnsi="宋体" w:cs="宋体"/>
                <w:color w:val="auto"/>
                <w:sz w:val="22"/>
                <w:szCs w:val="22"/>
                <w:highlight w:val="none"/>
              </w:rPr>
              <w:t>www.ccgp.gov.cn/search/cr/</w:t>
            </w:r>
            <w:r>
              <w:rPr>
                <w:rStyle w:val="50"/>
                <w:rFonts w:ascii="宋体" w:hAnsi="宋体" w:cs="宋体"/>
                <w:color w:val="auto"/>
                <w:sz w:val="22"/>
                <w:szCs w:val="22"/>
                <w:highlight w:val="none"/>
              </w:rPr>
              <w:fldChar w:fldCharType="end"/>
            </w:r>
            <w:r>
              <w:rPr>
                <w:rFonts w:hint="eastAsia" w:ascii="宋体" w:hAnsi="宋体" w:cs="宋体"/>
                <w:color w:val="auto"/>
                <w:sz w:val="22"/>
                <w:szCs w:val="22"/>
                <w:highlight w:val="none"/>
              </w:rPr>
              <w:t>）</w:t>
            </w:r>
          </w:p>
          <w:p>
            <w:pPr>
              <w:rPr>
                <w:rFonts w:cs="宋体" w:asciiTheme="majorEastAsia" w:hAnsiTheme="majorEastAsia" w:eastAsiaTheme="majorEastAsia"/>
                <w:color w:val="auto"/>
                <w:sz w:val="22"/>
                <w:szCs w:val="22"/>
                <w:highlight w:val="none"/>
              </w:rPr>
            </w:pPr>
            <w:r>
              <w:rPr>
                <w:rFonts w:hint="eastAsia"/>
                <w:color w:val="auto"/>
                <w:highlight w:val="none"/>
              </w:rPr>
              <w:t>注：</w:t>
            </w:r>
            <w:r>
              <w:rPr>
                <w:rFonts w:hint="eastAsia" w:cs="宋体" w:asciiTheme="majorEastAsia" w:hAnsiTheme="majorEastAsia" w:eastAsiaTheme="majorEastAsia"/>
                <w:color w:val="auto"/>
                <w:sz w:val="22"/>
                <w:szCs w:val="22"/>
                <w:highlight w:val="none"/>
              </w:rPr>
              <w:t>①若供应商查询页面“行政处罚”栏显示有行政处罚事项，须将所有行政处罚事项在“信用中国”网页上列出的明细一并打印，并附说明，是否属于“经营活动中的重大违法记录”。</w:t>
            </w:r>
          </w:p>
          <w:p>
            <w:pPr>
              <w:pStyle w:val="8"/>
              <w:ind w:firstLine="442"/>
              <w:rPr>
                <w:color w:val="auto"/>
                <w:highlight w:val="none"/>
              </w:rPr>
            </w:pPr>
            <w:r>
              <w:rPr>
                <w:rFonts w:hint="eastAsia" w:asciiTheme="majorEastAsia" w:hAnsiTheme="majorEastAsia" w:eastAsiaTheme="majorEastAsia"/>
                <w:color w:val="auto"/>
                <w:sz w:val="22"/>
                <w:szCs w:val="22"/>
                <w:highlight w:val="none"/>
              </w:rPr>
              <w:t>②若供应商在“信用中国”无数据，亦须将搜索结果页面打印，并附说明。</w:t>
            </w:r>
          </w:p>
        </w:tc>
        <w:tc>
          <w:tcPr>
            <w:tcW w:w="5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430" w:lineRule="atLeast"/>
              <w:jc w:val="center"/>
              <w:textAlignment w:val="bottom"/>
              <w:rPr>
                <w:rFonts w:asciiTheme="majorEastAsia" w:hAnsiTheme="majorEastAsia" w:eastAsiaTheme="maj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04"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c>
          <w:tcPr>
            <w:tcW w:w="4036"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ascii="宋体" w:hAnsi="宋体" w:cs="宋体"/>
                <w:color w:val="auto"/>
                <w:sz w:val="22"/>
                <w:szCs w:val="22"/>
                <w:highlight w:val="none"/>
              </w:rPr>
            </w:pPr>
            <w:r>
              <w:rPr>
                <w:rFonts w:hint="eastAsia" w:ascii="宋体" w:hAnsi="宋体" w:cs="宋体"/>
                <w:color w:val="auto"/>
                <w:sz w:val="22"/>
                <w:szCs w:val="22"/>
                <w:highlight w:val="none"/>
              </w:rPr>
              <w:t>与参加本次项目同一合同项下政府采购活动的其他供应商不存在单位负责人为同一人或者直接控股、管理关系的承诺函</w:t>
            </w:r>
          </w:p>
        </w:tc>
        <w:tc>
          <w:tcPr>
            <w:tcW w:w="55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atLeast"/>
              <w:jc w:val="center"/>
              <w:textAlignment w:val="bottom"/>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4"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ascii="宋体" w:hAnsi="宋体" w:cs="宋体"/>
                <w:color w:val="auto"/>
                <w:sz w:val="22"/>
                <w:szCs w:val="22"/>
                <w:highlight w:val="none"/>
              </w:rPr>
            </w:pPr>
            <w:r>
              <w:rPr>
                <w:rFonts w:hint="eastAsia" w:ascii="宋体" w:hAnsi="宋体" w:cs="宋体"/>
                <w:color w:val="auto"/>
                <w:sz w:val="22"/>
                <w:szCs w:val="22"/>
                <w:highlight w:val="none"/>
              </w:rPr>
              <w:t>5</w:t>
            </w:r>
          </w:p>
        </w:tc>
        <w:tc>
          <w:tcPr>
            <w:tcW w:w="4036" w:type="pct"/>
            <w:tcBorders>
              <w:top w:val="single" w:color="auto" w:sz="4" w:space="0"/>
              <w:left w:val="single" w:color="auto" w:sz="4" w:space="0"/>
              <w:bottom w:val="single" w:color="auto" w:sz="4" w:space="0"/>
              <w:right w:val="single" w:color="auto" w:sz="4" w:space="0"/>
            </w:tcBorders>
          </w:tcPr>
          <w:p>
            <w:pPr>
              <w:tabs>
                <w:tab w:val="left" w:pos="4140"/>
              </w:tabs>
              <w:adjustRightInd w:val="0"/>
              <w:snapToGrid w:val="0"/>
              <w:spacing w:line="320" w:lineRule="atLeast"/>
              <w:rPr>
                <w:rFonts w:ascii="宋体" w:hAnsi="宋体" w:cs="宋体"/>
                <w:color w:val="auto"/>
                <w:sz w:val="22"/>
                <w:szCs w:val="22"/>
                <w:highlight w:val="none"/>
              </w:rPr>
            </w:pPr>
            <w:r>
              <w:rPr>
                <w:rFonts w:hint="eastAsia" w:ascii="宋体" w:hAnsi="宋体" w:cs="宋体"/>
                <w:color w:val="auto"/>
                <w:sz w:val="22"/>
                <w:szCs w:val="22"/>
                <w:highlight w:val="none"/>
              </w:rPr>
              <w:t>供应商法定代表人授权书（</w:t>
            </w:r>
            <w:r>
              <w:rPr>
                <w:rFonts w:hint="eastAsia" w:cs="宋体" w:asciiTheme="majorEastAsia" w:hAnsiTheme="majorEastAsia" w:eastAsiaTheme="majorEastAsia"/>
                <w:color w:val="auto"/>
                <w:sz w:val="22"/>
                <w:szCs w:val="22"/>
                <w:highlight w:val="none"/>
              </w:rPr>
              <w:t>如果投标供应商代表是法定代表人的，仅须提供身份证扫描件；如果投标供应商代表不是法定代表人，须持有《法定代表人授权书》</w:t>
            </w:r>
            <w:r>
              <w:rPr>
                <w:rFonts w:hint="eastAsia" w:ascii="宋体" w:hAnsi="宋体" w:cs="宋体"/>
                <w:color w:val="auto"/>
                <w:sz w:val="22"/>
                <w:szCs w:val="22"/>
                <w:highlight w:val="none"/>
              </w:rPr>
              <w:t>）</w:t>
            </w:r>
          </w:p>
        </w:tc>
        <w:tc>
          <w:tcPr>
            <w:tcW w:w="5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430" w:lineRule="atLeast"/>
              <w:jc w:val="center"/>
              <w:textAlignment w:val="bottom"/>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4"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hint="eastAsia" w:ascii="宋体" w:hAnsi="Times New Roman" w:eastAsia="宋体" w:cs="Times New Roman"/>
                <w:b w:val="0"/>
                <w:bCs w:val="0"/>
                <w:color w:val="auto"/>
                <w:kern w:val="2"/>
                <w:sz w:val="22"/>
                <w:szCs w:val="24"/>
                <w:highlight w:val="none"/>
                <w:lang w:val="en-US" w:eastAsia="zh-CN" w:bidi="ar-SA"/>
              </w:rPr>
            </w:pPr>
            <w:r>
              <w:rPr>
                <w:rFonts w:hint="eastAsia" w:ascii="宋体" w:eastAsia="宋体"/>
                <w:b w:val="0"/>
                <w:bCs w:val="0"/>
                <w:color w:val="auto"/>
                <w:sz w:val="22"/>
                <w:highlight w:val="none"/>
                <w:lang w:val="en-US" w:eastAsia="zh-CN"/>
              </w:rPr>
              <w:t>6</w:t>
            </w:r>
          </w:p>
        </w:tc>
        <w:tc>
          <w:tcPr>
            <w:tcW w:w="4036" w:type="pct"/>
            <w:tcBorders>
              <w:top w:val="single" w:color="auto" w:sz="4" w:space="0"/>
              <w:left w:val="single" w:color="auto" w:sz="4" w:space="0"/>
              <w:bottom w:val="single" w:color="auto" w:sz="4" w:space="0"/>
              <w:right w:val="single" w:color="auto" w:sz="4" w:space="0"/>
            </w:tcBorders>
            <w:vAlign w:val="top"/>
          </w:tcPr>
          <w:p>
            <w:pPr>
              <w:tabs>
                <w:tab w:val="left" w:pos="4140"/>
              </w:tabs>
              <w:adjustRightInd w:val="0"/>
              <w:snapToGrid w:val="0"/>
              <w:spacing w:line="320" w:lineRule="atLeast"/>
              <w:rPr>
                <w:rFonts w:hint="eastAsia" w:ascii="宋体" w:hAnsi="Times New Roman" w:eastAsia="宋体" w:cs="Times New Roman"/>
                <w:b w:val="0"/>
                <w:bCs w:val="0"/>
                <w:color w:val="auto"/>
                <w:kern w:val="2"/>
                <w:sz w:val="22"/>
                <w:szCs w:val="22"/>
                <w:highlight w:val="none"/>
                <w:lang w:val="en-US" w:eastAsia="zh-CN" w:bidi="ar-SA"/>
              </w:rPr>
            </w:pPr>
            <w:r>
              <w:rPr>
                <w:rFonts w:hint="eastAsia" w:ascii="宋体" w:eastAsia="宋体"/>
                <w:b w:val="0"/>
                <w:color w:val="auto"/>
                <w:sz w:val="22"/>
                <w:szCs w:val="22"/>
                <w:highlight w:val="none"/>
              </w:rPr>
              <w:t>中小企业（含残疾人福利性单位）声明函或监狱企业证明材料</w:t>
            </w:r>
            <w:r>
              <w:rPr>
                <w:rFonts w:hint="eastAsia" w:ascii="宋体" w:eastAsia="宋体"/>
                <w:b w:val="0"/>
                <w:color w:val="auto"/>
                <w:sz w:val="22"/>
                <w:szCs w:val="22"/>
                <w:highlight w:val="none"/>
                <w:lang w:eastAsia="zh-CN"/>
              </w:rPr>
              <w:t>（</w:t>
            </w:r>
            <w:r>
              <w:rPr>
                <w:rFonts w:hint="eastAsia" w:ascii="宋体" w:eastAsia="宋体"/>
                <w:b w:val="0"/>
                <w:color w:val="auto"/>
                <w:sz w:val="22"/>
                <w:szCs w:val="22"/>
                <w:highlight w:val="none"/>
              </w:rPr>
              <w:t>格式见</w:t>
            </w:r>
            <w:r>
              <w:rPr>
                <w:rFonts w:hint="eastAsia" w:ascii="宋体" w:eastAsia="宋体"/>
                <w:b w:val="0"/>
                <w:color w:val="auto"/>
                <w:sz w:val="22"/>
                <w:szCs w:val="22"/>
                <w:highlight w:val="none"/>
                <w:lang w:val="en-US" w:eastAsia="zh-CN"/>
              </w:rPr>
              <w:t>招标文件</w:t>
            </w:r>
            <w:r>
              <w:rPr>
                <w:rFonts w:hint="eastAsia" w:ascii="宋体" w:eastAsia="宋体"/>
                <w:b w:val="0"/>
                <w:color w:val="auto"/>
                <w:sz w:val="22"/>
                <w:szCs w:val="22"/>
                <w:highlight w:val="none"/>
              </w:rPr>
              <w:t>第四部分</w:t>
            </w:r>
            <w:r>
              <w:rPr>
                <w:rFonts w:hint="eastAsia" w:ascii="宋体" w:eastAsia="宋体"/>
                <w:b w:val="0"/>
                <w:color w:val="auto"/>
                <w:sz w:val="22"/>
                <w:szCs w:val="22"/>
                <w:highlight w:val="none"/>
                <w:lang w:eastAsia="zh-CN"/>
              </w:rPr>
              <w:t>）</w:t>
            </w:r>
          </w:p>
        </w:tc>
        <w:tc>
          <w:tcPr>
            <w:tcW w:w="5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430" w:lineRule="atLeast"/>
              <w:jc w:val="center"/>
              <w:textAlignment w:val="bottom"/>
              <w:rPr>
                <w:rFonts w:hint="eastAsia" w:asciiTheme="majorEastAsia" w:hAnsiTheme="majorEastAsia" w:eastAsiaTheme="maj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4" w:type="pct"/>
            <w:tcBorders>
              <w:top w:val="single" w:color="auto" w:sz="4" w:space="0"/>
              <w:left w:val="single" w:color="auto" w:sz="4" w:space="0"/>
              <w:bottom w:val="single" w:color="auto" w:sz="4" w:space="0"/>
              <w:right w:val="single" w:color="auto" w:sz="4" w:space="0"/>
            </w:tcBorders>
            <w:vAlign w:val="center"/>
          </w:tcPr>
          <w:p>
            <w:pPr>
              <w:tabs>
                <w:tab w:val="left" w:pos="4140"/>
              </w:tabs>
              <w:adjustRightInd w:val="0"/>
              <w:snapToGrid w:val="0"/>
              <w:spacing w:line="320" w:lineRule="atLeast"/>
              <w:jc w:val="center"/>
              <w:rPr>
                <w:rFonts w:hint="eastAsia" w:ascii="宋体" w:hAnsi="Times New Roman" w:eastAsia="宋体" w:cs="Times New Roman"/>
                <w:b w:val="0"/>
                <w:bCs w:val="0"/>
                <w:color w:val="auto"/>
                <w:kern w:val="2"/>
                <w:sz w:val="22"/>
                <w:szCs w:val="24"/>
                <w:highlight w:val="none"/>
                <w:lang w:val="en-US" w:eastAsia="zh-CN" w:bidi="ar-SA"/>
              </w:rPr>
            </w:pPr>
            <w:r>
              <w:rPr>
                <w:rFonts w:hint="eastAsia" w:ascii="宋体" w:eastAsia="宋体"/>
                <w:b w:val="0"/>
                <w:bCs w:val="0"/>
                <w:color w:val="auto"/>
                <w:sz w:val="22"/>
                <w:highlight w:val="none"/>
                <w:lang w:val="en-US" w:eastAsia="zh-CN"/>
              </w:rPr>
              <w:t>7</w:t>
            </w:r>
          </w:p>
        </w:tc>
        <w:tc>
          <w:tcPr>
            <w:tcW w:w="4036" w:type="pct"/>
            <w:tcBorders>
              <w:top w:val="single" w:color="auto" w:sz="4" w:space="0"/>
              <w:left w:val="single" w:color="auto" w:sz="4" w:space="0"/>
              <w:bottom w:val="single" w:color="auto" w:sz="4" w:space="0"/>
              <w:right w:val="single" w:color="auto" w:sz="4" w:space="0"/>
            </w:tcBorders>
            <w:vAlign w:val="top"/>
          </w:tcPr>
          <w:p>
            <w:pPr>
              <w:tabs>
                <w:tab w:val="left" w:pos="4140"/>
              </w:tabs>
              <w:adjustRightInd w:val="0"/>
              <w:snapToGrid w:val="0"/>
              <w:spacing w:line="320" w:lineRule="atLeast"/>
              <w:rPr>
                <w:rFonts w:hint="eastAsia" w:ascii="宋体" w:hAnsi="Times New Roman" w:eastAsia="宋体" w:cs="Times New Roman"/>
                <w:b w:val="0"/>
                <w:bCs w:val="0"/>
                <w:color w:val="auto"/>
                <w:kern w:val="2"/>
                <w:sz w:val="22"/>
                <w:szCs w:val="22"/>
                <w:highlight w:val="none"/>
                <w:lang w:val="en-US" w:eastAsia="zh-CN" w:bidi="ar-SA"/>
              </w:rPr>
            </w:pPr>
            <w:r>
              <w:rPr>
                <w:rFonts w:hint="eastAsia" w:ascii="宋体" w:eastAsia="宋体"/>
                <w:b w:val="0"/>
                <w:color w:val="auto"/>
                <w:sz w:val="22"/>
                <w:szCs w:val="22"/>
                <w:highlight w:val="none"/>
              </w:rPr>
              <w:t>投标供应商特定资格条件证明：相应的旅行社业务经营许可证</w:t>
            </w:r>
          </w:p>
        </w:tc>
        <w:tc>
          <w:tcPr>
            <w:tcW w:w="5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430" w:lineRule="atLeast"/>
              <w:jc w:val="center"/>
              <w:textAlignment w:val="bottom"/>
              <w:rPr>
                <w:rFonts w:hint="eastAsia" w:asciiTheme="majorEastAsia" w:hAnsiTheme="majorEastAsia" w:eastAsiaTheme="majorEastAsia"/>
                <w:color w:val="auto"/>
                <w:sz w:val="22"/>
                <w:szCs w:val="22"/>
                <w:highlight w:val="none"/>
              </w:rPr>
            </w:pPr>
          </w:p>
        </w:tc>
      </w:tr>
    </w:tbl>
    <w:p>
      <w:pPr>
        <w:autoSpaceDE w:val="0"/>
        <w:autoSpaceDN w:val="0"/>
        <w:adjustRightInd w:val="0"/>
        <w:spacing w:line="450" w:lineRule="atLeast"/>
        <w:ind w:firstLine="442" w:firstLineChars="200"/>
        <w:rPr>
          <w:rFonts w:cs="仿宋_GB2312" w:asciiTheme="majorEastAsia" w:hAnsiTheme="majorEastAsia" w:eastAsiaTheme="majorEastAsia"/>
          <w:b/>
          <w:color w:val="auto"/>
          <w:sz w:val="22"/>
          <w:szCs w:val="22"/>
          <w:highlight w:val="none"/>
          <w:u w:val="single"/>
          <w:lang w:val="zh-CN"/>
        </w:rPr>
      </w:pPr>
      <w:r>
        <w:rPr>
          <w:rFonts w:hint="eastAsia" w:cs="仿宋_GB2312" w:asciiTheme="majorEastAsia" w:hAnsiTheme="majorEastAsia" w:eastAsiaTheme="majorEastAsia"/>
          <w:b/>
          <w:color w:val="auto"/>
          <w:sz w:val="22"/>
          <w:szCs w:val="22"/>
          <w:highlight w:val="none"/>
          <w:u w:val="single"/>
          <w:lang w:val="zh-CN"/>
        </w:rPr>
        <w:t>2.2报价文件部分组成</w:t>
      </w:r>
    </w:p>
    <w:tbl>
      <w:tblPr>
        <w:tblStyle w:val="4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08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autoSpaceDE w:val="0"/>
              <w:autoSpaceDN w:val="0"/>
              <w:adjustRightInd w:val="0"/>
              <w:snapToGrid w:val="0"/>
              <w:spacing w:line="430" w:lineRule="atLeast"/>
              <w:rPr>
                <w:rFonts w:asciiTheme="majorEastAsia" w:hAnsiTheme="majorEastAsia" w:eastAsiaTheme="majorEastAsia"/>
                <w:b/>
                <w:bCs/>
                <w:color w:val="auto"/>
                <w:sz w:val="22"/>
                <w:highlight w:val="none"/>
                <w:lang w:val="zh-CN"/>
              </w:rPr>
            </w:pPr>
            <w:r>
              <w:rPr>
                <w:rFonts w:hint="eastAsia" w:asciiTheme="majorEastAsia" w:hAnsiTheme="majorEastAsia" w:eastAsiaTheme="majorEastAsia"/>
                <w:color w:val="auto"/>
                <w:sz w:val="22"/>
                <w:szCs w:val="22"/>
                <w:highlight w:val="none"/>
                <w:lang w:val="zh-CN"/>
              </w:rPr>
              <w:t>序号</w:t>
            </w:r>
          </w:p>
        </w:tc>
        <w:tc>
          <w:tcPr>
            <w:tcW w:w="8080" w:type="dxa"/>
          </w:tcPr>
          <w:p>
            <w:pPr>
              <w:autoSpaceDE w:val="0"/>
              <w:autoSpaceDN w:val="0"/>
              <w:adjustRightInd w:val="0"/>
              <w:snapToGrid w:val="0"/>
              <w:spacing w:line="430" w:lineRule="atLeast"/>
              <w:rPr>
                <w:rFonts w:asciiTheme="majorEastAsia" w:hAnsiTheme="majorEastAsia" w:eastAsiaTheme="majorEastAsia"/>
                <w:b/>
                <w:bCs/>
                <w:color w:val="auto"/>
                <w:sz w:val="22"/>
                <w:highlight w:val="none"/>
                <w:lang w:val="zh-CN"/>
              </w:rPr>
            </w:pPr>
            <w:r>
              <w:rPr>
                <w:rFonts w:hint="eastAsia" w:asciiTheme="majorEastAsia" w:hAnsiTheme="majorEastAsia" w:eastAsiaTheme="majorEastAsia"/>
                <w:color w:val="auto"/>
                <w:sz w:val="22"/>
                <w:szCs w:val="22"/>
                <w:highlight w:val="none"/>
                <w:lang w:val="zh-CN"/>
              </w:rPr>
              <w:t>内容（▲</w:t>
            </w:r>
            <w:r>
              <w:rPr>
                <w:rFonts w:hint="eastAsia" w:asciiTheme="majorEastAsia" w:hAnsiTheme="majorEastAsia" w:eastAsiaTheme="majorEastAsia"/>
                <w:color w:val="auto"/>
                <w:sz w:val="22"/>
                <w:szCs w:val="22"/>
                <w:highlight w:val="none"/>
                <w:u w:val="single"/>
                <w:lang w:val="zh-CN"/>
              </w:rPr>
              <w:t>序号</w:t>
            </w:r>
            <w:r>
              <w:rPr>
                <w:rFonts w:asciiTheme="majorEastAsia" w:hAnsiTheme="majorEastAsia" w:eastAsiaTheme="majorEastAsia"/>
                <w:color w:val="auto"/>
                <w:sz w:val="22"/>
                <w:szCs w:val="22"/>
                <w:highlight w:val="none"/>
                <w:u w:val="single"/>
                <w:lang w:val="zh-CN"/>
              </w:rPr>
              <w:t>1</w:t>
            </w:r>
            <w:r>
              <w:rPr>
                <w:rFonts w:hint="eastAsia" w:asciiTheme="majorEastAsia" w:hAnsiTheme="majorEastAsia" w:eastAsiaTheme="majorEastAsia"/>
                <w:color w:val="auto"/>
                <w:sz w:val="22"/>
                <w:szCs w:val="22"/>
                <w:highlight w:val="none"/>
                <w:u w:val="single"/>
                <w:lang w:val="zh-CN"/>
              </w:rPr>
              <w:t>项供应商必须提供，否则不能通过符合性审查的，责任自负</w:t>
            </w:r>
            <w:r>
              <w:rPr>
                <w:rFonts w:hint="eastAsia" w:asciiTheme="majorEastAsia" w:hAnsiTheme="majorEastAsia" w:eastAsiaTheme="majorEastAsia"/>
                <w:color w:val="auto"/>
                <w:sz w:val="22"/>
                <w:szCs w:val="22"/>
                <w:highlight w:val="none"/>
                <w:lang w:val="zh-CN"/>
              </w:rPr>
              <w:t>）</w:t>
            </w:r>
          </w:p>
        </w:tc>
        <w:tc>
          <w:tcPr>
            <w:tcW w:w="1099" w:type="dxa"/>
          </w:tcPr>
          <w:p>
            <w:pPr>
              <w:autoSpaceDE w:val="0"/>
              <w:autoSpaceDN w:val="0"/>
              <w:adjustRightInd w:val="0"/>
              <w:snapToGrid w:val="0"/>
              <w:spacing w:line="430" w:lineRule="atLeast"/>
              <w:jc w:val="center"/>
              <w:rPr>
                <w:rFonts w:asciiTheme="majorEastAsia" w:hAnsiTheme="majorEastAsia" w:eastAsiaTheme="majorEastAsia"/>
                <w:color w:val="auto"/>
                <w:sz w:val="22"/>
                <w:szCs w:val="22"/>
                <w:highlight w:val="none"/>
                <w:lang w:val="zh-CN"/>
              </w:rPr>
            </w:pPr>
            <w:r>
              <w:rPr>
                <w:rFonts w:hint="eastAsia" w:asciiTheme="majorEastAsia" w:hAnsiTheme="majorEastAsia" w:eastAsiaTheme="majorEastAsia"/>
                <w:color w:val="auto"/>
                <w:sz w:val="22"/>
                <w:szCs w:val="22"/>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autoSpaceDE w:val="0"/>
              <w:autoSpaceDN w:val="0"/>
              <w:adjustRightInd w:val="0"/>
              <w:snapToGrid w:val="0"/>
              <w:spacing w:line="430" w:lineRule="atLeast"/>
              <w:jc w:val="center"/>
              <w:rPr>
                <w:rFonts w:asciiTheme="majorEastAsia" w:hAnsiTheme="majorEastAsia" w:eastAsiaTheme="majorEastAsia"/>
                <w:b/>
                <w:bCs/>
                <w:color w:val="auto"/>
                <w:sz w:val="22"/>
                <w:highlight w:val="none"/>
                <w:lang w:val="zh-CN"/>
              </w:rPr>
            </w:pPr>
            <w:r>
              <w:rPr>
                <w:rFonts w:asciiTheme="majorEastAsia" w:hAnsiTheme="majorEastAsia" w:eastAsiaTheme="majorEastAsia"/>
                <w:color w:val="auto"/>
                <w:sz w:val="22"/>
                <w:szCs w:val="22"/>
                <w:highlight w:val="none"/>
                <w:lang w:val="zh-CN"/>
              </w:rPr>
              <w:t>1</w:t>
            </w:r>
          </w:p>
        </w:tc>
        <w:tc>
          <w:tcPr>
            <w:tcW w:w="8080" w:type="dxa"/>
          </w:tcPr>
          <w:p>
            <w:pPr>
              <w:autoSpaceDE w:val="0"/>
              <w:autoSpaceDN w:val="0"/>
              <w:adjustRightInd w:val="0"/>
              <w:spacing w:line="430" w:lineRule="atLeast"/>
              <w:textAlignment w:val="bottom"/>
              <w:rPr>
                <w:rFonts w:asciiTheme="majorEastAsia" w:hAnsiTheme="majorEastAsia" w:eastAsiaTheme="majorEastAsia"/>
                <w:b/>
                <w:bCs/>
                <w:color w:val="auto"/>
                <w:sz w:val="22"/>
                <w:highlight w:val="none"/>
              </w:rPr>
            </w:pPr>
            <w:r>
              <w:rPr>
                <w:rFonts w:hint="eastAsia" w:asciiTheme="majorEastAsia" w:hAnsiTheme="majorEastAsia" w:eastAsiaTheme="majorEastAsia"/>
                <w:color w:val="auto"/>
                <w:sz w:val="22"/>
                <w:szCs w:val="22"/>
                <w:highlight w:val="none"/>
              </w:rPr>
              <w:t>报价一览表</w:t>
            </w:r>
          </w:p>
        </w:tc>
        <w:tc>
          <w:tcPr>
            <w:tcW w:w="1099" w:type="dxa"/>
          </w:tcPr>
          <w:p>
            <w:pPr>
              <w:autoSpaceDE w:val="0"/>
              <w:autoSpaceDN w:val="0"/>
              <w:adjustRightInd w:val="0"/>
              <w:spacing w:line="430" w:lineRule="atLeast"/>
              <w:jc w:val="center"/>
              <w:textAlignment w:val="bottom"/>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附件四</w:t>
            </w:r>
          </w:p>
        </w:tc>
      </w:tr>
    </w:tbl>
    <w:p>
      <w:pPr>
        <w:autoSpaceDE w:val="0"/>
        <w:autoSpaceDN w:val="0"/>
        <w:adjustRightInd w:val="0"/>
        <w:spacing w:line="450" w:lineRule="atLeast"/>
        <w:ind w:firstLine="442" w:firstLineChars="200"/>
        <w:rPr>
          <w:rFonts w:cs="仿宋_GB2312" w:asciiTheme="majorEastAsia" w:hAnsiTheme="majorEastAsia" w:eastAsiaTheme="majorEastAsia"/>
          <w:b/>
          <w:color w:val="auto"/>
          <w:sz w:val="22"/>
          <w:szCs w:val="22"/>
          <w:highlight w:val="none"/>
          <w:u w:val="single"/>
          <w:lang w:val="zh-CN"/>
        </w:rPr>
      </w:pPr>
      <w:bookmarkStart w:id="26" w:name="_Toc132122410"/>
      <w:bookmarkStart w:id="27" w:name="_Toc132122113"/>
      <w:r>
        <w:rPr>
          <w:rFonts w:hint="eastAsia" w:cs="仿宋_GB2312" w:asciiTheme="majorEastAsia" w:hAnsiTheme="majorEastAsia" w:eastAsiaTheme="majorEastAsia"/>
          <w:b/>
          <w:color w:val="auto"/>
          <w:sz w:val="22"/>
          <w:szCs w:val="22"/>
          <w:highlight w:val="none"/>
          <w:u w:val="single"/>
          <w:lang w:val="zh-CN"/>
        </w:rPr>
        <w:t>2.3商务技术文件部分组成</w:t>
      </w:r>
    </w:p>
    <w:bookmarkEnd w:id="26"/>
    <w:bookmarkEnd w:id="27"/>
    <w:tbl>
      <w:tblPr>
        <w:tblStyle w:val="4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827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eastAsia="宋体"/>
                <w:b w:val="0"/>
                <w:color w:val="auto"/>
                <w:sz w:val="22"/>
                <w:highlight w:val="none"/>
                <w:lang w:val="zh-CN"/>
              </w:rPr>
            </w:pPr>
            <w:r>
              <w:rPr>
                <w:rFonts w:hint="eastAsia" w:ascii="宋体" w:eastAsia="宋体"/>
                <w:color w:val="auto"/>
                <w:sz w:val="22"/>
                <w:szCs w:val="22"/>
                <w:highlight w:val="none"/>
                <w:lang w:val="zh-CN"/>
              </w:rPr>
              <w:t>序号</w:t>
            </w:r>
          </w:p>
        </w:tc>
        <w:tc>
          <w:tcPr>
            <w:tcW w:w="4200" w:type="pct"/>
            <w:noWrap w:val="0"/>
            <w:vAlign w:val="top"/>
          </w:tcPr>
          <w:p>
            <w:pPr>
              <w:autoSpaceDE w:val="0"/>
              <w:autoSpaceDN w:val="0"/>
              <w:adjustRightInd w:val="0"/>
              <w:snapToGrid w:val="0"/>
              <w:spacing w:line="430" w:lineRule="atLeast"/>
              <w:jc w:val="center"/>
              <w:rPr>
                <w:rFonts w:ascii="宋体" w:eastAsia="宋体"/>
                <w:b w:val="0"/>
                <w:color w:val="auto"/>
                <w:sz w:val="22"/>
                <w:highlight w:val="none"/>
                <w:lang w:val="zh-CN"/>
              </w:rPr>
            </w:pPr>
            <w:r>
              <w:rPr>
                <w:rFonts w:hint="eastAsia" w:ascii="宋体" w:eastAsia="宋体"/>
                <w:color w:val="auto"/>
                <w:sz w:val="22"/>
                <w:szCs w:val="22"/>
                <w:highlight w:val="none"/>
                <w:lang w:val="zh-CN"/>
              </w:rPr>
              <w:t>内容</w:t>
            </w:r>
          </w:p>
        </w:tc>
        <w:tc>
          <w:tcPr>
            <w:tcW w:w="549" w:type="pct"/>
            <w:noWrap w:val="0"/>
            <w:vAlign w:val="top"/>
          </w:tcPr>
          <w:p>
            <w:pPr>
              <w:autoSpaceDE w:val="0"/>
              <w:autoSpaceDN w:val="0"/>
              <w:adjustRightInd w:val="0"/>
              <w:snapToGrid w:val="0"/>
              <w:spacing w:line="430" w:lineRule="atLeast"/>
              <w:jc w:val="center"/>
              <w:rPr>
                <w:rFonts w:hint="default" w:ascii="宋体" w:eastAsia="宋体"/>
                <w:color w:val="auto"/>
                <w:sz w:val="22"/>
                <w:szCs w:val="22"/>
                <w:highlight w:val="none"/>
                <w:lang w:val="en-US" w:eastAsia="zh-CN"/>
              </w:rPr>
            </w:pPr>
            <w:r>
              <w:rPr>
                <w:rFonts w:hint="eastAsia" w:ascii="宋体" w:eastAsia="宋体"/>
                <w:color w:val="auto"/>
                <w:sz w:val="2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0" w:type="pct"/>
            <w:gridSpan w:val="2"/>
            <w:noWrap w:val="0"/>
            <w:vAlign w:val="top"/>
          </w:tcPr>
          <w:p>
            <w:pPr>
              <w:autoSpaceDE w:val="0"/>
              <w:autoSpaceDN w:val="0"/>
              <w:adjustRightInd w:val="0"/>
              <w:snapToGrid w:val="0"/>
              <w:spacing w:line="430" w:lineRule="atLeast"/>
              <w:rPr>
                <w:rFonts w:ascii="宋体" w:eastAsia="宋体"/>
                <w:b w:val="0"/>
                <w:color w:val="auto"/>
                <w:sz w:val="22"/>
                <w:highlight w:val="none"/>
                <w:lang w:val="zh-CN"/>
              </w:rPr>
            </w:pPr>
            <w:r>
              <w:rPr>
                <w:rFonts w:hint="eastAsia" w:ascii="宋体" w:eastAsia="宋体"/>
                <w:color w:val="auto"/>
                <w:sz w:val="22"/>
                <w:szCs w:val="22"/>
                <w:highlight w:val="none"/>
                <w:lang w:val="zh-CN"/>
              </w:rPr>
              <w:t>资信部分（▲</w:t>
            </w:r>
            <w:r>
              <w:rPr>
                <w:rFonts w:hint="eastAsia" w:ascii="宋体" w:eastAsia="宋体"/>
                <w:color w:val="auto"/>
                <w:sz w:val="22"/>
                <w:szCs w:val="22"/>
                <w:highlight w:val="none"/>
                <w:u w:val="single"/>
                <w:lang w:val="zh-CN"/>
              </w:rPr>
              <w:t>序号1、</w:t>
            </w:r>
            <w:r>
              <w:rPr>
                <w:rFonts w:hint="eastAsia" w:ascii="宋体" w:eastAsia="宋体"/>
                <w:color w:val="auto"/>
                <w:sz w:val="22"/>
                <w:szCs w:val="22"/>
                <w:highlight w:val="none"/>
                <w:u w:val="single"/>
                <w:lang w:val="en-US" w:eastAsia="zh-CN"/>
              </w:rPr>
              <w:t>2、6</w:t>
            </w:r>
            <w:r>
              <w:rPr>
                <w:rFonts w:hint="eastAsia" w:ascii="宋体" w:eastAsia="宋体"/>
                <w:color w:val="auto"/>
                <w:sz w:val="22"/>
                <w:szCs w:val="22"/>
                <w:highlight w:val="none"/>
                <w:u w:val="single"/>
                <w:lang w:val="zh-CN"/>
              </w:rPr>
              <w:t>项供应商必须提供，否则不能通过符合性审查的，责任自负，投标供应商法定代表人参加投标的。</w:t>
            </w:r>
            <w:r>
              <w:rPr>
                <w:rFonts w:hint="eastAsia" w:ascii="宋体" w:eastAsia="宋体"/>
                <w:color w:val="auto"/>
                <w:sz w:val="22"/>
                <w:szCs w:val="22"/>
                <w:highlight w:val="none"/>
                <w:lang w:val="zh-CN"/>
              </w:rPr>
              <w:t>）</w:t>
            </w:r>
          </w:p>
        </w:tc>
        <w:tc>
          <w:tcPr>
            <w:tcW w:w="549" w:type="pct"/>
            <w:noWrap w:val="0"/>
            <w:vAlign w:val="top"/>
          </w:tcPr>
          <w:p>
            <w:pPr>
              <w:autoSpaceDE w:val="0"/>
              <w:autoSpaceDN w:val="0"/>
              <w:adjustRightInd w:val="0"/>
              <w:snapToGrid w:val="0"/>
              <w:spacing w:line="430" w:lineRule="atLeast"/>
              <w:rPr>
                <w:rFonts w:hint="eastAsia" w:ascii="宋体" w:eastAsia="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0" w:type="pct"/>
            <w:noWrap w:val="0"/>
            <w:vAlign w:val="top"/>
          </w:tcPr>
          <w:p>
            <w:pPr>
              <w:autoSpaceDE w:val="0"/>
              <w:autoSpaceDN w:val="0"/>
              <w:adjustRightInd w:val="0"/>
              <w:snapToGrid w:val="0"/>
              <w:spacing w:line="430" w:lineRule="atLeast"/>
              <w:jc w:val="center"/>
              <w:rPr>
                <w:rFonts w:ascii="宋体" w:eastAsia="宋体"/>
                <w:b w:val="0"/>
                <w:color w:val="auto"/>
                <w:sz w:val="22"/>
                <w:highlight w:val="none"/>
              </w:rPr>
            </w:pPr>
            <w:r>
              <w:rPr>
                <w:rFonts w:hint="eastAsia" w:ascii="宋体" w:eastAsia="宋体"/>
                <w:b w:val="0"/>
                <w:color w:val="auto"/>
                <w:sz w:val="22"/>
                <w:szCs w:val="22"/>
                <w:highlight w:val="none"/>
              </w:rPr>
              <w:t>1</w:t>
            </w:r>
          </w:p>
        </w:tc>
        <w:tc>
          <w:tcPr>
            <w:tcW w:w="4200" w:type="pct"/>
            <w:noWrap w:val="0"/>
            <w:vAlign w:val="top"/>
          </w:tcPr>
          <w:p>
            <w:pPr>
              <w:autoSpaceDE w:val="0"/>
              <w:autoSpaceDN w:val="0"/>
              <w:adjustRightInd w:val="0"/>
              <w:snapToGrid w:val="0"/>
              <w:spacing w:line="430" w:lineRule="atLeast"/>
              <w:rPr>
                <w:rFonts w:hint="eastAsia" w:ascii="宋体" w:eastAsia="宋体"/>
                <w:b w:val="0"/>
                <w:color w:val="auto"/>
                <w:sz w:val="22"/>
                <w:highlight w:val="none"/>
                <w:lang w:val="zh-CN" w:eastAsia="zh-CN"/>
              </w:rPr>
            </w:pPr>
            <w:r>
              <w:rPr>
                <w:rFonts w:hint="eastAsia" w:ascii="宋体" w:eastAsia="宋体"/>
                <w:b w:val="0"/>
                <w:color w:val="auto"/>
                <w:sz w:val="22"/>
                <w:szCs w:val="22"/>
                <w:highlight w:val="none"/>
                <w:lang w:val="en-US" w:eastAsia="zh-CN"/>
              </w:rPr>
              <w:t>投标</w:t>
            </w:r>
            <w:r>
              <w:rPr>
                <w:rFonts w:hint="eastAsia" w:ascii="宋体" w:eastAsia="宋体"/>
                <w:b w:val="0"/>
                <w:color w:val="auto"/>
                <w:sz w:val="22"/>
                <w:szCs w:val="22"/>
                <w:highlight w:val="none"/>
                <w:lang w:eastAsia="zh-CN"/>
              </w:rPr>
              <w:t>函</w:t>
            </w:r>
          </w:p>
        </w:tc>
        <w:tc>
          <w:tcPr>
            <w:tcW w:w="549" w:type="pct"/>
            <w:noWrap w:val="0"/>
            <w:vAlign w:val="top"/>
          </w:tcPr>
          <w:p>
            <w:pPr>
              <w:autoSpaceDE w:val="0"/>
              <w:autoSpaceDN w:val="0"/>
              <w:adjustRightInd w:val="0"/>
              <w:snapToGrid w:val="0"/>
              <w:spacing w:line="430" w:lineRule="atLeast"/>
              <w:rPr>
                <w:rFonts w:hint="eastAsia" w:ascii="宋体" w:eastAsia="宋体"/>
                <w:b w:val="0"/>
                <w:color w:val="auto"/>
                <w:sz w:val="22"/>
                <w:szCs w:val="22"/>
                <w:highlight w:val="none"/>
                <w:lang w:val="en-US" w:eastAsia="zh-CN"/>
              </w:rPr>
            </w:pPr>
            <w:r>
              <w:rPr>
                <w:rFonts w:hint="eastAsia" w:ascii="宋体" w:eastAsia="宋体"/>
                <w:b w:val="0"/>
                <w:color w:val="auto"/>
                <w:sz w:val="22"/>
                <w:szCs w:val="22"/>
                <w:highlight w:val="none"/>
              </w:rPr>
              <w:t>附件</w:t>
            </w:r>
            <w:r>
              <w:rPr>
                <w:rFonts w:hint="eastAsia" w:ascii="宋体" w:eastAsia="宋体"/>
                <w:b w:val="0"/>
                <w:color w:val="auto"/>
                <w:sz w:val="22"/>
                <w:szCs w:val="22"/>
                <w:highlight w:val="none"/>
                <w:lang w:val="en-US"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eastAsia="宋体"/>
                <w:b w:val="0"/>
                <w:color w:val="auto"/>
                <w:sz w:val="22"/>
                <w:highlight w:val="none"/>
              </w:rPr>
            </w:pPr>
            <w:r>
              <w:rPr>
                <w:rFonts w:hint="eastAsia" w:ascii="宋体" w:eastAsia="宋体"/>
                <w:b w:val="0"/>
                <w:color w:val="auto"/>
                <w:sz w:val="22"/>
                <w:szCs w:val="22"/>
                <w:highlight w:val="none"/>
              </w:rPr>
              <w:t>2</w:t>
            </w:r>
          </w:p>
        </w:tc>
        <w:tc>
          <w:tcPr>
            <w:tcW w:w="4200" w:type="pct"/>
            <w:noWrap w:val="0"/>
            <w:vAlign w:val="top"/>
          </w:tcPr>
          <w:p>
            <w:pPr>
              <w:autoSpaceDE w:val="0"/>
              <w:autoSpaceDN w:val="0"/>
              <w:adjustRightInd w:val="0"/>
              <w:snapToGrid w:val="0"/>
              <w:spacing w:line="430" w:lineRule="atLeast"/>
              <w:rPr>
                <w:rFonts w:ascii="宋体" w:eastAsia="宋体"/>
                <w:b w:val="0"/>
                <w:color w:val="auto"/>
                <w:sz w:val="22"/>
                <w:highlight w:val="none"/>
              </w:rPr>
            </w:pPr>
            <w:r>
              <w:rPr>
                <w:rFonts w:hint="eastAsia" w:ascii="宋体" w:eastAsia="宋体"/>
                <w:b w:val="0"/>
                <w:color w:val="auto"/>
                <w:sz w:val="22"/>
                <w:szCs w:val="22"/>
                <w:highlight w:val="none"/>
              </w:rPr>
              <w:t>法定代表人诚信投标承诺书</w:t>
            </w:r>
          </w:p>
        </w:tc>
        <w:tc>
          <w:tcPr>
            <w:tcW w:w="549" w:type="pct"/>
            <w:noWrap w:val="0"/>
            <w:vAlign w:val="top"/>
          </w:tcPr>
          <w:p>
            <w:pPr>
              <w:autoSpaceDE w:val="0"/>
              <w:autoSpaceDN w:val="0"/>
              <w:adjustRightInd w:val="0"/>
              <w:snapToGrid w:val="0"/>
              <w:spacing w:line="430" w:lineRule="atLeast"/>
              <w:rPr>
                <w:rFonts w:hint="default" w:ascii="宋体" w:eastAsia="宋体"/>
                <w:b w:val="0"/>
                <w:color w:val="auto"/>
                <w:sz w:val="22"/>
                <w:szCs w:val="22"/>
                <w:highlight w:val="none"/>
                <w:lang w:val="en-US" w:eastAsia="zh-CN"/>
              </w:rPr>
            </w:pPr>
            <w:r>
              <w:rPr>
                <w:rFonts w:hint="eastAsia" w:ascii="宋体" w:eastAsia="宋体"/>
                <w:b w:val="0"/>
                <w:color w:val="auto"/>
                <w:sz w:val="22"/>
                <w:szCs w:val="22"/>
                <w:highlight w:val="none"/>
                <w:lang w:val="en-US" w:eastAsia="zh-CN"/>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eastAsia="宋体"/>
                <w:b w:val="0"/>
                <w:color w:val="auto"/>
                <w:sz w:val="22"/>
                <w:highlight w:val="none"/>
              </w:rPr>
            </w:pPr>
            <w:r>
              <w:rPr>
                <w:rFonts w:hint="eastAsia" w:ascii="宋体" w:eastAsia="宋体"/>
                <w:b w:val="0"/>
                <w:color w:val="auto"/>
                <w:sz w:val="22"/>
                <w:szCs w:val="22"/>
                <w:highlight w:val="none"/>
              </w:rPr>
              <w:t>3</w:t>
            </w:r>
          </w:p>
        </w:tc>
        <w:tc>
          <w:tcPr>
            <w:tcW w:w="4200" w:type="pct"/>
            <w:noWrap w:val="0"/>
            <w:vAlign w:val="top"/>
          </w:tcPr>
          <w:p>
            <w:pPr>
              <w:autoSpaceDE w:val="0"/>
              <w:autoSpaceDN w:val="0"/>
              <w:adjustRightInd w:val="0"/>
              <w:snapToGrid w:val="0"/>
              <w:spacing w:line="430" w:lineRule="atLeast"/>
              <w:rPr>
                <w:rFonts w:ascii="宋体" w:hAnsi="宋体" w:eastAsia="宋体" w:cs="宋体"/>
                <w:b w:val="0"/>
                <w:bCs/>
                <w:color w:val="auto"/>
                <w:sz w:val="22"/>
                <w:szCs w:val="21"/>
                <w:highlight w:val="none"/>
                <w:lang w:val="en-US" w:eastAsia="zh-CN" w:bidi="ar-SA"/>
              </w:rPr>
            </w:pPr>
            <w:r>
              <w:rPr>
                <w:rFonts w:hint="eastAsia" w:ascii="宋体" w:eastAsia="宋体"/>
                <w:b w:val="0"/>
                <w:color w:val="auto"/>
                <w:sz w:val="22"/>
                <w:szCs w:val="22"/>
                <w:highlight w:val="none"/>
              </w:rPr>
              <w:t>供应商相关资质、资信或信用证书、获奖证书等（如有则提供，扫描件加盖有效公章）</w:t>
            </w:r>
          </w:p>
        </w:tc>
        <w:tc>
          <w:tcPr>
            <w:tcW w:w="549" w:type="pct"/>
            <w:noWrap w:val="0"/>
            <w:vAlign w:val="top"/>
          </w:tcPr>
          <w:p>
            <w:pPr>
              <w:autoSpaceDE w:val="0"/>
              <w:autoSpaceDN w:val="0"/>
              <w:adjustRightInd w:val="0"/>
              <w:snapToGrid w:val="0"/>
              <w:spacing w:line="430" w:lineRule="atLeast"/>
              <w:rPr>
                <w:rFonts w:hint="default" w:ascii="宋体" w:eastAsia="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eastAsia="宋体"/>
                <w:b w:val="0"/>
                <w:color w:val="auto"/>
                <w:sz w:val="22"/>
                <w:highlight w:val="none"/>
              </w:rPr>
            </w:pPr>
            <w:r>
              <w:rPr>
                <w:rFonts w:hint="eastAsia" w:ascii="宋体" w:eastAsia="宋体"/>
                <w:b w:val="0"/>
                <w:color w:val="auto"/>
                <w:sz w:val="22"/>
                <w:szCs w:val="22"/>
                <w:highlight w:val="none"/>
              </w:rPr>
              <w:t>4</w:t>
            </w:r>
          </w:p>
        </w:tc>
        <w:tc>
          <w:tcPr>
            <w:tcW w:w="4200" w:type="pct"/>
            <w:noWrap w:val="0"/>
            <w:vAlign w:val="top"/>
          </w:tcPr>
          <w:p>
            <w:pPr>
              <w:autoSpaceDE w:val="0"/>
              <w:autoSpaceDN w:val="0"/>
              <w:adjustRightInd w:val="0"/>
              <w:snapToGrid w:val="0"/>
              <w:spacing w:line="430" w:lineRule="atLeast"/>
              <w:rPr>
                <w:rFonts w:ascii="宋体" w:hAnsi="宋体" w:eastAsia="宋体" w:cs="宋体"/>
                <w:b w:val="0"/>
                <w:bCs/>
                <w:color w:val="auto"/>
                <w:sz w:val="22"/>
                <w:szCs w:val="21"/>
                <w:highlight w:val="none"/>
                <w:lang w:val="en-US" w:eastAsia="zh-CN" w:bidi="ar-SA"/>
              </w:rPr>
            </w:pPr>
            <w:r>
              <w:rPr>
                <w:rFonts w:hint="eastAsia" w:ascii="宋体" w:eastAsia="宋体" w:cs="仿宋_GB2312"/>
                <w:b w:val="0"/>
                <w:color w:val="auto"/>
                <w:sz w:val="22"/>
                <w:szCs w:val="22"/>
                <w:highlight w:val="none"/>
                <w:lang w:val="zh-CN"/>
              </w:rPr>
              <w:t>供应商在201</w:t>
            </w:r>
            <w:r>
              <w:rPr>
                <w:rFonts w:hint="eastAsia" w:ascii="宋体" w:eastAsia="宋体" w:cs="仿宋_GB2312"/>
                <w:b w:val="0"/>
                <w:color w:val="auto"/>
                <w:sz w:val="22"/>
                <w:szCs w:val="22"/>
                <w:highlight w:val="none"/>
                <w:lang w:val="en-US" w:eastAsia="zh-CN"/>
              </w:rPr>
              <w:t>9</w:t>
            </w:r>
            <w:r>
              <w:rPr>
                <w:rFonts w:hint="eastAsia" w:ascii="宋体" w:eastAsia="宋体" w:cs="仿宋_GB2312"/>
                <w:b w:val="0"/>
                <w:color w:val="auto"/>
                <w:sz w:val="22"/>
                <w:szCs w:val="22"/>
                <w:highlight w:val="none"/>
                <w:lang w:val="zh-CN"/>
              </w:rPr>
              <w:t>年1月以来同类项目业绩</w:t>
            </w:r>
          </w:p>
        </w:tc>
        <w:tc>
          <w:tcPr>
            <w:tcW w:w="549" w:type="pct"/>
            <w:noWrap w:val="0"/>
            <w:vAlign w:val="top"/>
          </w:tcPr>
          <w:p>
            <w:pPr>
              <w:autoSpaceDE w:val="0"/>
              <w:autoSpaceDN w:val="0"/>
              <w:adjustRightInd w:val="0"/>
              <w:snapToGrid w:val="0"/>
              <w:spacing w:line="430" w:lineRule="atLeast"/>
              <w:rPr>
                <w:rFonts w:hint="default" w:ascii="宋体" w:eastAsia="宋体"/>
                <w:b w:val="0"/>
                <w:color w:val="auto"/>
                <w:sz w:val="22"/>
                <w:szCs w:val="22"/>
                <w:highlight w:val="none"/>
                <w:lang w:val="en-US" w:eastAsia="zh-CN"/>
              </w:rPr>
            </w:pPr>
            <w:r>
              <w:rPr>
                <w:rFonts w:hint="eastAsia" w:ascii="宋体" w:eastAsia="宋体"/>
                <w:b w:val="0"/>
                <w:color w:val="auto"/>
                <w:sz w:val="22"/>
                <w:szCs w:val="22"/>
                <w:highlight w:val="none"/>
                <w:lang w:val="en-US" w:eastAsia="zh-CN"/>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eastAsia="宋体"/>
                <w:b w:val="0"/>
                <w:color w:val="auto"/>
                <w:sz w:val="22"/>
                <w:highlight w:val="none"/>
              </w:rPr>
            </w:pPr>
            <w:r>
              <w:rPr>
                <w:rFonts w:hint="eastAsia" w:ascii="宋体" w:eastAsia="宋体"/>
                <w:b w:val="0"/>
                <w:color w:val="auto"/>
                <w:sz w:val="22"/>
                <w:szCs w:val="22"/>
                <w:highlight w:val="none"/>
              </w:rPr>
              <w:t>5</w:t>
            </w:r>
          </w:p>
        </w:tc>
        <w:tc>
          <w:tcPr>
            <w:tcW w:w="4200" w:type="pct"/>
            <w:noWrap w:val="0"/>
            <w:vAlign w:val="center"/>
          </w:tcPr>
          <w:p>
            <w:pPr>
              <w:tabs>
                <w:tab w:val="left" w:pos="4140"/>
              </w:tabs>
              <w:adjustRightInd w:val="0"/>
              <w:snapToGrid w:val="0"/>
              <w:spacing w:line="320" w:lineRule="atLeast"/>
              <w:rPr>
                <w:rFonts w:ascii="宋体" w:hAnsi="宋体" w:eastAsia="宋体" w:cs="宋体"/>
                <w:b w:val="0"/>
                <w:bCs/>
                <w:color w:val="auto"/>
                <w:sz w:val="22"/>
                <w:szCs w:val="21"/>
                <w:highlight w:val="none"/>
                <w:lang w:val="en-US" w:eastAsia="zh-CN" w:bidi="ar-SA"/>
              </w:rPr>
            </w:pPr>
            <w:r>
              <w:rPr>
                <w:rFonts w:hint="eastAsia" w:ascii="宋体" w:eastAsia="宋体"/>
                <w:b w:val="0"/>
                <w:color w:val="auto"/>
                <w:sz w:val="22"/>
                <w:szCs w:val="22"/>
                <w:highlight w:val="none"/>
              </w:rPr>
              <w:t>其它须说明的资料（如有则提供）</w:t>
            </w:r>
          </w:p>
        </w:tc>
        <w:tc>
          <w:tcPr>
            <w:tcW w:w="549" w:type="pct"/>
            <w:noWrap w:val="0"/>
            <w:vAlign w:val="top"/>
          </w:tcPr>
          <w:p>
            <w:pPr>
              <w:autoSpaceDE w:val="0"/>
              <w:autoSpaceDN w:val="0"/>
              <w:adjustRightInd w:val="0"/>
              <w:snapToGrid w:val="0"/>
              <w:spacing w:line="430" w:lineRule="atLeast"/>
              <w:rPr>
                <w:rFonts w:hint="eastAsia" w:ascii="宋体" w:eastAsia="宋体" w:cs="仿宋_GB2312"/>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0" w:type="pct"/>
            <w:gridSpan w:val="2"/>
            <w:noWrap w:val="0"/>
            <w:vAlign w:val="top"/>
          </w:tcPr>
          <w:p>
            <w:pPr>
              <w:autoSpaceDE w:val="0"/>
              <w:autoSpaceDN w:val="0"/>
              <w:adjustRightInd w:val="0"/>
              <w:snapToGrid w:val="0"/>
              <w:spacing w:line="430" w:lineRule="atLeast"/>
              <w:rPr>
                <w:rFonts w:ascii="宋体" w:eastAsia="宋体"/>
                <w:b w:val="0"/>
                <w:color w:val="auto"/>
                <w:sz w:val="22"/>
                <w:highlight w:val="none"/>
              </w:rPr>
            </w:pPr>
            <w:r>
              <w:rPr>
                <w:rFonts w:hint="eastAsia" w:ascii="宋体" w:eastAsia="宋体"/>
                <w:b w:val="0"/>
                <w:color w:val="auto"/>
                <w:sz w:val="22"/>
                <w:szCs w:val="22"/>
                <w:highlight w:val="none"/>
                <w:lang w:val="zh-CN"/>
              </w:rPr>
              <w:t>技术部分（如资料提供不齐全，将可能导致不利的评定）</w:t>
            </w:r>
          </w:p>
        </w:tc>
        <w:tc>
          <w:tcPr>
            <w:tcW w:w="549" w:type="pct"/>
            <w:noWrap w:val="0"/>
            <w:vAlign w:val="top"/>
          </w:tcPr>
          <w:p>
            <w:pPr>
              <w:autoSpaceDE w:val="0"/>
              <w:autoSpaceDN w:val="0"/>
              <w:adjustRightInd w:val="0"/>
              <w:snapToGrid w:val="0"/>
              <w:spacing w:line="430" w:lineRule="atLeast"/>
              <w:rPr>
                <w:rFonts w:hint="eastAsia" w:ascii="宋体" w:eastAsia="宋体"/>
                <w:b w:val="0"/>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hint="eastAsia" w:ascii="宋体" w:eastAsia="宋体"/>
                <w:b w:val="0"/>
                <w:color w:val="auto"/>
                <w:sz w:val="22"/>
                <w:highlight w:val="none"/>
                <w:lang w:val="en-US" w:eastAsia="zh-CN"/>
              </w:rPr>
            </w:pPr>
            <w:r>
              <w:rPr>
                <w:rFonts w:hint="eastAsia" w:ascii="宋体" w:eastAsia="宋体"/>
                <w:b w:val="0"/>
                <w:color w:val="auto"/>
                <w:sz w:val="22"/>
                <w:highlight w:val="none"/>
                <w:lang w:val="en-US" w:eastAsia="zh-CN"/>
              </w:rPr>
              <w:t>6</w:t>
            </w:r>
          </w:p>
        </w:tc>
        <w:tc>
          <w:tcPr>
            <w:tcW w:w="4200" w:type="pct"/>
            <w:noWrap w:val="0"/>
            <w:vAlign w:val="top"/>
          </w:tcPr>
          <w:p>
            <w:pPr>
              <w:autoSpaceDE w:val="0"/>
              <w:autoSpaceDN w:val="0"/>
              <w:adjustRightInd w:val="0"/>
              <w:snapToGrid w:val="0"/>
              <w:spacing w:line="430" w:lineRule="atLeast"/>
              <w:rPr>
                <w:rFonts w:ascii="宋体" w:eastAsia="宋体"/>
                <w:b w:val="0"/>
                <w:color w:val="auto"/>
                <w:sz w:val="22"/>
                <w:highlight w:val="none"/>
              </w:rPr>
            </w:pPr>
            <w:r>
              <w:rPr>
                <w:rFonts w:hint="eastAsia" w:ascii="宋体" w:eastAsia="宋体"/>
                <w:b w:val="0"/>
                <w:color w:val="auto"/>
                <w:sz w:val="22"/>
                <w:szCs w:val="22"/>
                <w:highlight w:val="none"/>
              </w:rPr>
              <w:t>商务、技术偏离表</w:t>
            </w:r>
          </w:p>
        </w:tc>
        <w:tc>
          <w:tcPr>
            <w:tcW w:w="549" w:type="pct"/>
            <w:noWrap w:val="0"/>
            <w:vAlign w:val="top"/>
          </w:tcPr>
          <w:p>
            <w:pPr>
              <w:autoSpaceDE w:val="0"/>
              <w:autoSpaceDN w:val="0"/>
              <w:adjustRightInd w:val="0"/>
              <w:snapToGrid w:val="0"/>
              <w:spacing w:line="430" w:lineRule="atLeast"/>
              <w:rPr>
                <w:rFonts w:hint="default" w:ascii="宋体" w:eastAsia="宋体"/>
                <w:b w:val="0"/>
                <w:color w:val="auto"/>
                <w:sz w:val="22"/>
                <w:szCs w:val="22"/>
                <w:highlight w:val="none"/>
                <w:lang w:val="en-US" w:eastAsia="zh-CN"/>
              </w:rPr>
            </w:pPr>
            <w:r>
              <w:rPr>
                <w:rFonts w:hint="eastAsia" w:ascii="宋体" w:eastAsia="宋体"/>
                <w:b w:val="0"/>
                <w:color w:val="auto"/>
                <w:sz w:val="22"/>
                <w:szCs w:val="22"/>
                <w:highlight w:val="none"/>
                <w:lang w:val="en-US" w:eastAsia="zh-CN"/>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hAnsi="宋体" w:eastAsia="宋体" w:cs="宋体"/>
                <w:b w:val="0"/>
                <w:bCs/>
                <w:color w:val="auto"/>
                <w:sz w:val="22"/>
                <w:szCs w:val="21"/>
                <w:highlight w:val="none"/>
                <w:lang w:val="en-US" w:eastAsia="zh-CN" w:bidi="ar-SA"/>
              </w:rPr>
            </w:pPr>
            <w:r>
              <w:rPr>
                <w:rFonts w:hint="eastAsia" w:ascii="宋体" w:eastAsia="宋体"/>
                <w:b w:val="0"/>
                <w:color w:val="auto"/>
                <w:sz w:val="22"/>
                <w:szCs w:val="22"/>
                <w:highlight w:val="none"/>
              </w:rPr>
              <w:t>7</w:t>
            </w:r>
          </w:p>
        </w:tc>
        <w:tc>
          <w:tcPr>
            <w:tcW w:w="4200" w:type="pct"/>
            <w:noWrap w:val="0"/>
            <w:vAlign w:val="center"/>
          </w:tcPr>
          <w:p>
            <w:pPr>
              <w:autoSpaceDE w:val="0"/>
              <w:autoSpaceDN w:val="0"/>
              <w:adjustRightInd w:val="0"/>
              <w:snapToGrid w:val="0"/>
              <w:spacing w:line="430" w:lineRule="atLeast"/>
              <w:rPr>
                <w:rFonts w:ascii="宋体" w:eastAsia="宋体"/>
                <w:b w:val="0"/>
                <w:color w:val="auto"/>
                <w:sz w:val="22"/>
                <w:szCs w:val="22"/>
                <w:highlight w:val="none"/>
                <w:lang w:val="zh-CN"/>
              </w:rPr>
            </w:pPr>
            <w:r>
              <w:rPr>
                <w:rFonts w:ascii="宋体" w:eastAsia="宋体"/>
                <w:b w:val="0"/>
                <w:color w:val="auto"/>
                <w:sz w:val="22"/>
                <w:szCs w:val="22"/>
                <w:highlight w:val="none"/>
                <w:lang w:val="zh-CN"/>
              </w:rPr>
              <w:t>拟投入的主要设备表</w:t>
            </w:r>
          </w:p>
        </w:tc>
        <w:tc>
          <w:tcPr>
            <w:tcW w:w="549" w:type="pct"/>
            <w:noWrap w:val="0"/>
            <w:vAlign w:val="center"/>
          </w:tcPr>
          <w:p>
            <w:pPr>
              <w:autoSpaceDE w:val="0"/>
              <w:autoSpaceDN w:val="0"/>
              <w:adjustRightInd w:val="0"/>
              <w:snapToGrid w:val="0"/>
              <w:spacing w:line="430" w:lineRule="atLeast"/>
              <w:rPr>
                <w:rFonts w:ascii="宋体" w:eastAsia="宋体"/>
                <w:b w:val="0"/>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hAnsi="宋体" w:eastAsia="宋体" w:cs="宋体"/>
                <w:b w:val="0"/>
                <w:bCs/>
                <w:color w:val="auto"/>
                <w:sz w:val="22"/>
                <w:szCs w:val="21"/>
                <w:highlight w:val="none"/>
                <w:lang w:val="en-US" w:eastAsia="zh-CN" w:bidi="ar-SA"/>
              </w:rPr>
            </w:pPr>
            <w:r>
              <w:rPr>
                <w:rFonts w:hint="eastAsia" w:ascii="宋体" w:eastAsia="宋体"/>
                <w:b w:val="0"/>
                <w:color w:val="auto"/>
                <w:sz w:val="22"/>
                <w:szCs w:val="22"/>
                <w:highlight w:val="none"/>
              </w:rPr>
              <w:t>8</w:t>
            </w:r>
          </w:p>
        </w:tc>
        <w:tc>
          <w:tcPr>
            <w:tcW w:w="4200" w:type="pct"/>
            <w:noWrap w:val="0"/>
            <w:vAlign w:val="top"/>
          </w:tcPr>
          <w:p>
            <w:pPr>
              <w:autoSpaceDE w:val="0"/>
              <w:autoSpaceDN w:val="0"/>
              <w:adjustRightInd w:val="0"/>
              <w:snapToGrid w:val="0"/>
              <w:spacing w:line="430" w:lineRule="atLeast"/>
              <w:rPr>
                <w:rFonts w:ascii="宋体" w:eastAsia="宋体"/>
                <w:b w:val="0"/>
                <w:color w:val="auto"/>
                <w:sz w:val="22"/>
                <w:szCs w:val="22"/>
                <w:highlight w:val="none"/>
              </w:rPr>
            </w:pPr>
            <w:r>
              <w:rPr>
                <w:rFonts w:hint="eastAsia" w:ascii="宋体" w:eastAsia="宋体" w:cs="Arial"/>
                <w:b w:val="0"/>
                <w:color w:val="auto"/>
                <w:sz w:val="22"/>
                <w:szCs w:val="22"/>
                <w:highlight w:val="none"/>
              </w:rPr>
              <w:t>项目负责人的资质证书</w:t>
            </w:r>
            <w:r>
              <w:rPr>
                <w:rFonts w:hint="eastAsia" w:ascii="宋体" w:eastAsia="宋体" w:cs="仿宋_GB2312"/>
                <w:b w:val="0"/>
                <w:color w:val="auto"/>
                <w:sz w:val="22"/>
                <w:szCs w:val="22"/>
                <w:highlight w:val="none"/>
                <w:lang w:val="zh-CN"/>
              </w:rPr>
              <w:t>，从业经历、履历介绍（扫描件）</w:t>
            </w:r>
          </w:p>
        </w:tc>
        <w:tc>
          <w:tcPr>
            <w:tcW w:w="549" w:type="pct"/>
            <w:noWrap w:val="0"/>
            <w:vAlign w:val="top"/>
          </w:tcPr>
          <w:p>
            <w:pPr>
              <w:autoSpaceDE w:val="0"/>
              <w:autoSpaceDN w:val="0"/>
              <w:adjustRightInd w:val="0"/>
              <w:snapToGrid w:val="0"/>
              <w:spacing w:line="430" w:lineRule="atLeast"/>
              <w:rPr>
                <w:rFonts w:hint="default" w:ascii="宋体" w:eastAsia="宋体" w:cs="Arial"/>
                <w:b w:val="0"/>
                <w:color w:val="auto"/>
                <w:sz w:val="22"/>
                <w:szCs w:val="22"/>
                <w:highlight w:val="none"/>
                <w:lang w:val="en-US" w:eastAsia="zh-CN"/>
              </w:rPr>
            </w:pPr>
            <w:r>
              <w:rPr>
                <w:rFonts w:hint="eastAsia" w:ascii="宋体" w:eastAsia="宋体" w:cs="Arial"/>
                <w:b w:val="0"/>
                <w:color w:val="auto"/>
                <w:sz w:val="22"/>
                <w:szCs w:val="22"/>
                <w:highlight w:val="none"/>
                <w:lang w:val="en-US" w:eastAsia="zh-CN"/>
              </w:rPr>
              <w:t>附件九-1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hAnsi="宋体" w:eastAsia="宋体" w:cs="宋体"/>
                <w:b w:val="0"/>
                <w:bCs/>
                <w:color w:val="auto"/>
                <w:sz w:val="22"/>
                <w:szCs w:val="21"/>
                <w:highlight w:val="none"/>
                <w:lang w:val="en-US" w:eastAsia="zh-CN" w:bidi="ar-SA"/>
              </w:rPr>
            </w:pPr>
            <w:r>
              <w:rPr>
                <w:rFonts w:hint="eastAsia" w:ascii="宋体" w:eastAsia="宋体"/>
                <w:b w:val="0"/>
                <w:color w:val="auto"/>
                <w:sz w:val="22"/>
                <w:szCs w:val="22"/>
                <w:highlight w:val="none"/>
              </w:rPr>
              <w:t>9</w:t>
            </w:r>
          </w:p>
        </w:tc>
        <w:tc>
          <w:tcPr>
            <w:tcW w:w="4200" w:type="pct"/>
            <w:noWrap w:val="0"/>
            <w:vAlign w:val="top"/>
          </w:tcPr>
          <w:p>
            <w:pPr>
              <w:autoSpaceDE w:val="0"/>
              <w:autoSpaceDN w:val="0"/>
              <w:adjustRightInd w:val="0"/>
              <w:snapToGrid w:val="0"/>
              <w:spacing w:line="430" w:lineRule="atLeast"/>
              <w:rPr>
                <w:rFonts w:ascii="宋体" w:eastAsia="宋体"/>
                <w:b w:val="0"/>
                <w:color w:val="auto"/>
                <w:sz w:val="22"/>
                <w:szCs w:val="22"/>
                <w:highlight w:val="none"/>
              </w:rPr>
            </w:pPr>
            <w:r>
              <w:rPr>
                <w:rFonts w:hint="eastAsia" w:ascii="宋体" w:eastAsia="宋体" w:cs="Arial"/>
                <w:b w:val="0"/>
                <w:color w:val="auto"/>
                <w:sz w:val="22"/>
                <w:szCs w:val="22"/>
                <w:highlight w:val="none"/>
              </w:rPr>
              <w:t>供应商为本项目专门组织的工作小组名单</w:t>
            </w:r>
            <w:r>
              <w:rPr>
                <w:rFonts w:hint="eastAsia" w:ascii="宋体" w:eastAsia="宋体" w:cs="仿宋_GB2312"/>
                <w:b w:val="0"/>
                <w:color w:val="auto"/>
                <w:sz w:val="22"/>
                <w:szCs w:val="22"/>
                <w:highlight w:val="none"/>
                <w:lang w:val="zh-CN"/>
              </w:rPr>
              <w:t>，安排人员的履历表。履历表主要内容包括学历(附最高学历证书)、</w:t>
            </w:r>
            <w:r>
              <w:rPr>
                <w:rFonts w:hint="eastAsia" w:ascii="宋体" w:eastAsia="宋体" w:cs="楷体"/>
                <w:b w:val="0"/>
                <w:color w:val="auto"/>
                <w:sz w:val="22"/>
                <w:szCs w:val="22"/>
                <w:highlight w:val="none"/>
              </w:rPr>
              <w:t>资格证书（附资格证明材料）、</w:t>
            </w:r>
            <w:r>
              <w:rPr>
                <w:rFonts w:hint="eastAsia" w:ascii="宋体" w:eastAsia="宋体" w:cs="仿宋_GB2312"/>
                <w:b w:val="0"/>
                <w:color w:val="auto"/>
                <w:sz w:val="22"/>
                <w:szCs w:val="22"/>
                <w:highlight w:val="none"/>
                <w:lang w:val="zh-CN"/>
              </w:rPr>
              <w:t>工作特长（特长领域、能力取向等）、经验与业绩（包括从事相关业务的经验，在具体参与项目中的职责及参与的时间。应对这些项目有一个简要的描述）等</w:t>
            </w:r>
            <w:r>
              <w:rPr>
                <w:rFonts w:hint="eastAsia" w:ascii="宋体" w:eastAsia="宋体" w:cs="仿宋_GB2312"/>
                <w:b w:val="0"/>
                <w:color w:val="auto"/>
                <w:sz w:val="22"/>
                <w:szCs w:val="22"/>
                <w:highlight w:val="none"/>
              </w:rPr>
              <w:t xml:space="preserve"> </w:t>
            </w:r>
          </w:p>
        </w:tc>
        <w:tc>
          <w:tcPr>
            <w:tcW w:w="549" w:type="pct"/>
            <w:noWrap w:val="0"/>
            <w:vAlign w:val="top"/>
          </w:tcPr>
          <w:p>
            <w:pPr>
              <w:autoSpaceDE w:val="0"/>
              <w:autoSpaceDN w:val="0"/>
              <w:adjustRightInd w:val="0"/>
              <w:snapToGrid w:val="0"/>
              <w:spacing w:line="430" w:lineRule="atLeast"/>
              <w:rPr>
                <w:rFonts w:hint="default" w:ascii="宋体" w:eastAsia="宋体" w:cs="Arial"/>
                <w:b w:val="0"/>
                <w:color w:val="auto"/>
                <w:sz w:val="22"/>
                <w:szCs w:val="22"/>
                <w:highlight w:val="none"/>
                <w:lang w:val="en-US"/>
              </w:rPr>
            </w:pPr>
            <w:r>
              <w:rPr>
                <w:rFonts w:hint="eastAsia" w:ascii="宋体" w:eastAsia="宋体" w:cs="Arial"/>
                <w:b w:val="0"/>
                <w:color w:val="auto"/>
                <w:sz w:val="22"/>
                <w:szCs w:val="22"/>
                <w:highlight w:val="none"/>
                <w:lang w:val="en-US" w:eastAsia="zh-CN"/>
              </w:rPr>
              <w:t>附件九-2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hAnsi="宋体" w:eastAsia="宋体" w:cs="宋体"/>
                <w:b w:val="0"/>
                <w:bCs/>
                <w:color w:val="auto"/>
                <w:sz w:val="22"/>
                <w:szCs w:val="21"/>
                <w:highlight w:val="none"/>
                <w:lang w:val="en-US" w:eastAsia="zh-CN" w:bidi="ar-SA"/>
              </w:rPr>
            </w:pPr>
            <w:r>
              <w:rPr>
                <w:rFonts w:hint="eastAsia" w:ascii="宋体" w:eastAsia="宋体"/>
                <w:b w:val="0"/>
                <w:color w:val="auto"/>
                <w:sz w:val="22"/>
                <w:szCs w:val="22"/>
                <w:highlight w:val="none"/>
              </w:rPr>
              <w:t>10</w:t>
            </w:r>
          </w:p>
        </w:tc>
        <w:tc>
          <w:tcPr>
            <w:tcW w:w="4200" w:type="pct"/>
            <w:noWrap w:val="0"/>
            <w:vAlign w:val="top"/>
          </w:tcPr>
          <w:p>
            <w:pPr>
              <w:autoSpaceDE w:val="0"/>
              <w:autoSpaceDN w:val="0"/>
              <w:adjustRightInd w:val="0"/>
              <w:snapToGrid w:val="0"/>
              <w:spacing w:line="430" w:lineRule="atLeast"/>
              <w:rPr>
                <w:rFonts w:ascii="宋体" w:eastAsia="宋体"/>
                <w:b w:val="0"/>
                <w:color w:val="auto"/>
                <w:sz w:val="22"/>
                <w:szCs w:val="22"/>
                <w:highlight w:val="none"/>
              </w:rPr>
            </w:pPr>
            <w:r>
              <w:rPr>
                <w:rFonts w:hint="eastAsia" w:ascii="宋体" w:eastAsia="宋体" w:cs="楷体"/>
                <w:b w:val="0"/>
                <w:color w:val="auto"/>
                <w:sz w:val="22"/>
                <w:szCs w:val="22"/>
                <w:highlight w:val="none"/>
              </w:rPr>
              <w:t>实施本项目的整体服务方案、承诺；</w:t>
            </w:r>
          </w:p>
        </w:tc>
        <w:tc>
          <w:tcPr>
            <w:tcW w:w="549" w:type="pct"/>
            <w:noWrap w:val="0"/>
            <w:vAlign w:val="top"/>
          </w:tcPr>
          <w:p>
            <w:pPr>
              <w:autoSpaceDE w:val="0"/>
              <w:autoSpaceDN w:val="0"/>
              <w:adjustRightInd w:val="0"/>
              <w:snapToGrid w:val="0"/>
              <w:spacing w:line="430" w:lineRule="atLeast"/>
              <w:rPr>
                <w:rFonts w:hint="eastAsia" w:ascii="宋体" w:eastAsia="宋体" w:cs="楷体"/>
                <w:b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hAnsi="宋体" w:eastAsia="宋体" w:cs="宋体"/>
                <w:b w:val="0"/>
                <w:bCs/>
                <w:color w:val="auto"/>
                <w:sz w:val="22"/>
                <w:szCs w:val="21"/>
                <w:highlight w:val="none"/>
                <w:lang w:val="en-US" w:eastAsia="zh-CN" w:bidi="ar-SA"/>
              </w:rPr>
            </w:pPr>
            <w:r>
              <w:rPr>
                <w:rFonts w:hint="eastAsia" w:ascii="宋体" w:eastAsia="宋体"/>
                <w:b w:val="0"/>
                <w:color w:val="auto"/>
                <w:sz w:val="22"/>
                <w:szCs w:val="22"/>
                <w:highlight w:val="none"/>
              </w:rPr>
              <w:t>11</w:t>
            </w:r>
          </w:p>
        </w:tc>
        <w:tc>
          <w:tcPr>
            <w:tcW w:w="4200" w:type="pct"/>
            <w:noWrap w:val="0"/>
            <w:vAlign w:val="top"/>
          </w:tcPr>
          <w:p>
            <w:pPr>
              <w:autoSpaceDE w:val="0"/>
              <w:autoSpaceDN w:val="0"/>
              <w:adjustRightInd w:val="0"/>
              <w:snapToGrid w:val="0"/>
              <w:spacing w:line="430" w:lineRule="atLeast"/>
              <w:rPr>
                <w:rFonts w:ascii="宋体" w:eastAsia="宋体"/>
                <w:b w:val="0"/>
                <w:color w:val="auto"/>
                <w:sz w:val="22"/>
                <w:szCs w:val="22"/>
                <w:highlight w:val="none"/>
              </w:rPr>
            </w:pPr>
            <w:r>
              <w:rPr>
                <w:rFonts w:hint="eastAsia" w:ascii="宋体" w:eastAsia="宋体"/>
                <w:b w:val="0"/>
                <w:bCs w:val="0"/>
                <w:color w:val="auto"/>
                <w:sz w:val="22"/>
                <w:szCs w:val="22"/>
                <w:highlight w:val="none"/>
              </w:rPr>
              <w:t>疗养活动方案（</w:t>
            </w:r>
            <w:r>
              <w:rPr>
                <w:rFonts w:hint="eastAsia" w:ascii="宋体" w:eastAsia="宋体"/>
                <w:b w:val="0"/>
                <w:color w:val="auto"/>
                <w:sz w:val="22"/>
                <w:szCs w:val="22"/>
                <w:highlight w:val="none"/>
              </w:rPr>
              <w:t>包括但不限于以下内容）：</w:t>
            </w:r>
          </w:p>
          <w:p>
            <w:pPr>
              <w:autoSpaceDE w:val="0"/>
              <w:autoSpaceDN w:val="0"/>
              <w:adjustRightInd w:val="0"/>
              <w:snapToGrid w:val="0"/>
              <w:spacing w:line="430" w:lineRule="atLeast"/>
              <w:rPr>
                <w:rFonts w:ascii="宋体" w:eastAsia="宋体" w:cs="楷体"/>
                <w:b w:val="0"/>
                <w:color w:val="auto"/>
                <w:sz w:val="22"/>
                <w:szCs w:val="22"/>
                <w:highlight w:val="none"/>
              </w:rPr>
            </w:pPr>
            <w:r>
              <w:rPr>
                <w:rFonts w:hint="eastAsia" w:ascii="宋体" w:eastAsia="宋体"/>
                <w:b w:val="0"/>
                <w:color w:val="auto"/>
                <w:sz w:val="22"/>
                <w:szCs w:val="22"/>
                <w:highlight w:val="none"/>
              </w:rPr>
              <w:t>1）</w:t>
            </w:r>
            <w:r>
              <w:rPr>
                <w:rFonts w:hint="eastAsia" w:ascii="宋体" w:eastAsia="宋体" w:cs="楷体"/>
                <w:b w:val="0"/>
                <w:color w:val="auto"/>
                <w:sz w:val="22"/>
                <w:szCs w:val="22"/>
                <w:highlight w:val="none"/>
              </w:rPr>
              <w:t>根据各</w:t>
            </w:r>
            <w:r>
              <w:rPr>
                <w:rFonts w:hint="eastAsia" w:ascii="宋体" w:cs="楷体"/>
                <w:b w:val="0"/>
                <w:color w:val="auto"/>
                <w:sz w:val="22"/>
                <w:szCs w:val="22"/>
                <w:highlight w:val="none"/>
                <w:lang w:eastAsia="zh-CN"/>
              </w:rPr>
              <w:t>投标供应商</w:t>
            </w:r>
            <w:r>
              <w:rPr>
                <w:rFonts w:hint="eastAsia" w:ascii="宋体" w:eastAsia="宋体" w:cs="楷体"/>
                <w:b w:val="0"/>
                <w:color w:val="auto"/>
                <w:sz w:val="22"/>
                <w:szCs w:val="22"/>
                <w:highlight w:val="none"/>
              </w:rPr>
              <w:t>对疗休养的理解及相关线路的制定；</w:t>
            </w:r>
          </w:p>
          <w:p>
            <w:pPr>
              <w:autoSpaceDE w:val="0"/>
              <w:autoSpaceDN w:val="0"/>
              <w:adjustRightInd w:val="0"/>
              <w:snapToGrid w:val="0"/>
              <w:spacing w:line="430" w:lineRule="atLeast"/>
              <w:rPr>
                <w:rFonts w:ascii="宋体" w:eastAsia="宋体" w:cs="楷体"/>
                <w:b w:val="0"/>
                <w:color w:val="auto"/>
                <w:sz w:val="22"/>
                <w:szCs w:val="22"/>
                <w:highlight w:val="none"/>
              </w:rPr>
            </w:pPr>
            <w:r>
              <w:rPr>
                <w:rFonts w:hint="eastAsia" w:ascii="宋体" w:eastAsia="宋体" w:cs="楷体"/>
                <w:b w:val="0"/>
                <w:color w:val="auto"/>
                <w:sz w:val="22"/>
                <w:szCs w:val="22"/>
                <w:highlight w:val="none"/>
              </w:rPr>
              <w:t>2）根据各</w:t>
            </w:r>
            <w:r>
              <w:rPr>
                <w:rFonts w:hint="eastAsia" w:ascii="宋体" w:cs="楷体"/>
                <w:b w:val="0"/>
                <w:color w:val="auto"/>
                <w:sz w:val="22"/>
                <w:szCs w:val="22"/>
                <w:highlight w:val="none"/>
                <w:lang w:eastAsia="zh-CN"/>
              </w:rPr>
              <w:t>投标供应商</w:t>
            </w:r>
            <w:r>
              <w:rPr>
                <w:rFonts w:hint="eastAsia" w:ascii="宋体" w:eastAsia="宋体" w:cs="楷体"/>
                <w:b w:val="0"/>
                <w:color w:val="auto"/>
                <w:sz w:val="22"/>
                <w:szCs w:val="22"/>
                <w:highlight w:val="none"/>
              </w:rPr>
              <w:t>服务流程、费用、服务内容、服务标准；</w:t>
            </w:r>
          </w:p>
          <w:p>
            <w:pPr>
              <w:autoSpaceDE w:val="0"/>
              <w:autoSpaceDN w:val="0"/>
              <w:adjustRightInd w:val="0"/>
              <w:snapToGrid w:val="0"/>
              <w:spacing w:line="430" w:lineRule="atLeast"/>
              <w:rPr>
                <w:rFonts w:ascii="宋体" w:eastAsia="宋体" w:cs="楷体"/>
                <w:b w:val="0"/>
                <w:color w:val="auto"/>
                <w:sz w:val="22"/>
                <w:szCs w:val="22"/>
                <w:highlight w:val="none"/>
              </w:rPr>
            </w:pPr>
            <w:r>
              <w:rPr>
                <w:rFonts w:hint="eastAsia" w:ascii="宋体" w:eastAsia="宋体" w:cs="楷体"/>
                <w:b w:val="0"/>
                <w:color w:val="auto"/>
                <w:sz w:val="22"/>
                <w:szCs w:val="22"/>
                <w:highlight w:val="none"/>
              </w:rPr>
              <w:t>3）人身财产保护措施、意外状况的处理方案。</w:t>
            </w:r>
          </w:p>
        </w:tc>
        <w:tc>
          <w:tcPr>
            <w:tcW w:w="549" w:type="pct"/>
            <w:noWrap w:val="0"/>
            <w:vAlign w:val="top"/>
          </w:tcPr>
          <w:p>
            <w:pPr>
              <w:autoSpaceDE w:val="0"/>
              <w:autoSpaceDN w:val="0"/>
              <w:adjustRightInd w:val="0"/>
              <w:snapToGrid w:val="0"/>
              <w:spacing w:line="430" w:lineRule="atLeast"/>
              <w:rPr>
                <w:rFonts w:hint="eastAsia" w:ascii="宋体" w:eastAsia="宋体" w:cs="楷体"/>
                <w:b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hAnsi="宋体" w:eastAsia="宋体" w:cs="宋体"/>
                <w:b w:val="0"/>
                <w:bCs/>
                <w:color w:val="auto"/>
                <w:sz w:val="22"/>
                <w:szCs w:val="22"/>
                <w:highlight w:val="none"/>
                <w:lang w:val="en-US" w:eastAsia="zh-CN" w:bidi="ar-SA"/>
              </w:rPr>
            </w:pPr>
            <w:r>
              <w:rPr>
                <w:rFonts w:hint="eastAsia" w:ascii="宋体" w:eastAsia="宋体"/>
                <w:b w:val="0"/>
                <w:color w:val="auto"/>
                <w:sz w:val="22"/>
                <w:szCs w:val="22"/>
                <w:highlight w:val="none"/>
              </w:rPr>
              <w:t>12</w:t>
            </w:r>
          </w:p>
        </w:tc>
        <w:tc>
          <w:tcPr>
            <w:tcW w:w="4200" w:type="pct"/>
            <w:noWrap w:val="0"/>
            <w:vAlign w:val="top"/>
          </w:tcPr>
          <w:p>
            <w:pPr>
              <w:autoSpaceDE w:val="0"/>
              <w:autoSpaceDN w:val="0"/>
              <w:adjustRightInd w:val="0"/>
              <w:snapToGrid w:val="0"/>
              <w:spacing w:line="430" w:lineRule="atLeast"/>
              <w:rPr>
                <w:rFonts w:ascii="宋体" w:eastAsia="宋体" w:cs="楷体"/>
                <w:b w:val="0"/>
                <w:color w:val="auto"/>
                <w:sz w:val="22"/>
                <w:szCs w:val="22"/>
                <w:highlight w:val="none"/>
              </w:rPr>
            </w:pPr>
            <w:r>
              <w:rPr>
                <w:rFonts w:hint="eastAsia" w:ascii="宋体" w:eastAsia="宋体" w:cs="楷体"/>
                <w:b w:val="0"/>
                <w:color w:val="auto"/>
                <w:sz w:val="22"/>
                <w:szCs w:val="22"/>
                <w:highlight w:val="none"/>
              </w:rPr>
              <w:t>企业管理制度、投诉处理、</w:t>
            </w:r>
            <w:r>
              <w:rPr>
                <w:rFonts w:hint="eastAsia" w:ascii="宋体" w:eastAsia="宋体"/>
                <w:b w:val="0"/>
                <w:color w:val="auto"/>
                <w:sz w:val="22"/>
                <w:szCs w:val="22"/>
                <w:highlight w:val="none"/>
                <w:lang w:val="zh-CN"/>
              </w:rPr>
              <w:t>质量保障措施</w:t>
            </w:r>
            <w:r>
              <w:rPr>
                <w:rFonts w:hint="eastAsia" w:ascii="宋体" w:eastAsia="宋体" w:cs="楷体"/>
                <w:b w:val="0"/>
                <w:color w:val="auto"/>
                <w:sz w:val="22"/>
                <w:szCs w:val="22"/>
                <w:highlight w:val="none"/>
              </w:rPr>
              <w:t>等制度建设等内容；</w:t>
            </w:r>
          </w:p>
        </w:tc>
        <w:tc>
          <w:tcPr>
            <w:tcW w:w="549" w:type="pct"/>
            <w:noWrap w:val="0"/>
            <w:vAlign w:val="top"/>
          </w:tcPr>
          <w:p>
            <w:pPr>
              <w:autoSpaceDE w:val="0"/>
              <w:autoSpaceDN w:val="0"/>
              <w:adjustRightInd w:val="0"/>
              <w:snapToGrid w:val="0"/>
              <w:spacing w:line="430" w:lineRule="atLeast"/>
              <w:rPr>
                <w:rFonts w:hint="eastAsia" w:ascii="宋体" w:eastAsia="宋体" w:cs="楷体"/>
                <w:b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hAnsi="宋体" w:eastAsia="宋体" w:cs="宋体"/>
                <w:b w:val="0"/>
                <w:bCs/>
                <w:color w:val="auto"/>
                <w:sz w:val="22"/>
                <w:szCs w:val="22"/>
                <w:highlight w:val="none"/>
                <w:lang w:val="en-US" w:eastAsia="zh-CN" w:bidi="ar-SA"/>
              </w:rPr>
            </w:pPr>
            <w:r>
              <w:rPr>
                <w:rFonts w:hint="eastAsia" w:ascii="宋体" w:eastAsia="宋体"/>
                <w:b w:val="0"/>
                <w:color w:val="auto"/>
                <w:sz w:val="22"/>
                <w:szCs w:val="22"/>
                <w:highlight w:val="none"/>
              </w:rPr>
              <w:t>13</w:t>
            </w:r>
          </w:p>
        </w:tc>
        <w:tc>
          <w:tcPr>
            <w:tcW w:w="4200" w:type="pct"/>
            <w:noWrap w:val="0"/>
            <w:vAlign w:val="center"/>
          </w:tcPr>
          <w:p>
            <w:pPr>
              <w:autoSpaceDE w:val="0"/>
              <w:autoSpaceDN w:val="0"/>
              <w:adjustRightInd w:val="0"/>
              <w:snapToGrid w:val="0"/>
              <w:spacing w:line="430" w:lineRule="atLeast"/>
              <w:rPr>
                <w:rFonts w:ascii="宋体" w:eastAsia="宋体"/>
                <w:b w:val="0"/>
                <w:color w:val="auto"/>
                <w:sz w:val="22"/>
                <w:szCs w:val="22"/>
                <w:highlight w:val="none"/>
                <w:lang w:val="zh-CN"/>
              </w:rPr>
            </w:pPr>
            <w:r>
              <w:rPr>
                <w:rFonts w:hint="eastAsia" w:ascii="宋体" w:eastAsia="宋体"/>
                <w:b w:val="0"/>
                <w:color w:val="auto"/>
                <w:sz w:val="22"/>
                <w:szCs w:val="22"/>
                <w:highlight w:val="none"/>
              </w:rPr>
              <w:t>距采购人最近的分社或服务网点介绍、服务人员情况、人员数量等情况</w:t>
            </w:r>
          </w:p>
        </w:tc>
        <w:tc>
          <w:tcPr>
            <w:tcW w:w="549" w:type="pct"/>
            <w:noWrap w:val="0"/>
            <w:vAlign w:val="center"/>
          </w:tcPr>
          <w:p>
            <w:pPr>
              <w:autoSpaceDE w:val="0"/>
              <w:autoSpaceDN w:val="0"/>
              <w:adjustRightInd w:val="0"/>
              <w:snapToGrid w:val="0"/>
              <w:spacing w:line="430" w:lineRule="atLeast"/>
              <w:rPr>
                <w:rFonts w:hint="eastAsia" w:ascii="宋体" w:eastAsia="宋体"/>
                <w:b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hAnsi="宋体" w:eastAsia="宋体" w:cs="宋体"/>
                <w:b w:val="0"/>
                <w:bCs/>
                <w:color w:val="auto"/>
                <w:sz w:val="22"/>
                <w:szCs w:val="22"/>
                <w:highlight w:val="none"/>
                <w:lang w:val="en-US" w:eastAsia="zh-CN" w:bidi="ar-SA"/>
              </w:rPr>
            </w:pPr>
            <w:r>
              <w:rPr>
                <w:rFonts w:hint="eastAsia" w:ascii="宋体" w:eastAsia="宋体"/>
                <w:b w:val="0"/>
                <w:color w:val="auto"/>
                <w:sz w:val="22"/>
                <w:szCs w:val="22"/>
                <w:highlight w:val="none"/>
              </w:rPr>
              <w:t>14</w:t>
            </w:r>
          </w:p>
        </w:tc>
        <w:tc>
          <w:tcPr>
            <w:tcW w:w="4200" w:type="pct"/>
            <w:noWrap w:val="0"/>
            <w:vAlign w:val="center"/>
          </w:tcPr>
          <w:p>
            <w:pPr>
              <w:autoSpaceDE w:val="0"/>
              <w:autoSpaceDN w:val="0"/>
              <w:adjustRightInd w:val="0"/>
              <w:snapToGrid w:val="0"/>
              <w:spacing w:line="430" w:lineRule="atLeast"/>
              <w:rPr>
                <w:rFonts w:ascii="宋体" w:eastAsia="宋体"/>
                <w:b w:val="0"/>
                <w:color w:val="auto"/>
                <w:sz w:val="22"/>
                <w:szCs w:val="22"/>
                <w:highlight w:val="none"/>
                <w:lang w:val="zh-CN"/>
              </w:rPr>
            </w:pPr>
            <w:r>
              <w:rPr>
                <w:rFonts w:hint="eastAsia" w:ascii="宋体" w:eastAsia="宋体"/>
                <w:b w:val="0"/>
                <w:color w:val="auto"/>
                <w:sz w:val="22"/>
                <w:szCs w:val="22"/>
                <w:highlight w:val="none"/>
                <w:lang w:val="zh-CN"/>
              </w:rPr>
              <w:t>服务承诺</w:t>
            </w:r>
          </w:p>
        </w:tc>
        <w:tc>
          <w:tcPr>
            <w:tcW w:w="549" w:type="pct"/>
            <w:noWrap w:val="0"/>
            <w:vAlign w:val="center"/>
          </w:tcPr>
          <w:p>
            <w:pPr>
              <w:autoSpaceDE w:val="0"/>
              <w:autoSpaceDN w:val="0"/>
              <w:adjustRightInd w:val="0"/>
              <w:snapToGrid w:val="0"/>
              <w:spacing w:line="430" w:lineRule="atLeast"/>
              <w:rPr>
                <w:rFonts w:hint="eastAsia" w:ascii="宋体" w:eastAsia="宋体"/>
                <w:b w:val="0"/>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hAnsi="宋体" w:eastAsia="宋体" w:cs="宋体"/>
                <w:b w:val="0"/>
                <w:bCs/>
                <w:color w:val="auto"/>
                <w:sz w:val="22"/>
                <w:szCs w:val="21"/>
                <w:highlight w:val="none"/>
                <w:lang w:val="en-US" w:eastAsia="zh-CN" w:bidi="ar-SA"/>
              </w:rPr>
            </w:pPr>
            <w:r>
              <w:rPr>
                <w:rFonts w:hint="eastAsia" w:ascii="宋体" w:eastAsia="宋体"/>
                <w:b w:val="0"/>
                <w:color w:val="auto"/>
                <w:sz w:val="22"/>
                <w:szCs w:val="22"/>
                <w:highlight w:val="none"/>
              </w:rPr>
              <w:t>15</w:t>
            </w:r>
          </w:p>
        </w:tc>
        <w:tc>
          <w:tcPr>
            <w:tcW w:w="4200" w:type="pct"/>
            <w:noWrap w:val="0"/>
            <w:vAlign w:val="top"/>
          </w:tcPr>
          <w:p>
            <w:pPr>
              <w:autoSpaceDE w:val="0"/>
              <w:autoSpaceDN w:val="0"/>
              <w:adjustRightInd w:val="0"/>
              <w:snapToGrid w:val="0"/>
              <w:spacing w:line="430" w:lineRule="atLeast"/>
              <w:rPr>
                <w:rFonts w:ascii="宋体" w:eastAsia="宋体"/>
                <w:b w:val="0"/>
                <w:color w:val="auto"/>
                <w:sz w:val="22"/>
                <w:szCs w:val="22"/>
                <w:highlight w:val="none"/>
              </w:rPr>
            </w:pPr>
            <w:r>
              <w:rPr>
                <w:rFonts w:hint="eastAsia" w:ascii="宋体" w:eastAsia="宋体"/>
                <w:b w:val="0"/>
                <w:color w:val="auto"/>
                <w:sz w:val="22"/>
                <w:szCs w:val="22"/>
                <w:highlight w:val="none"/>
              </w:rPr>
              <w:t>根据招标文件中的采购内容与技术要求、评标细则，需要提供的其它文件和资料。</w:t>
            </w:r>
          </w:p>
        </w:tc>
        <w:tc>
          <w:tcPr>
            <w:tcW w:w="549" w:type="pct"/>
            <w:noWrap w:val="0"/>
            <w:vAlign w:val="top"/>
          </w:tcPr>
          <w:p>
            <w:pPr>
              <w:autoSpaceDE w:val="0"/>
              <w:autoSpaceDN w:val="0"/>
              <w:adjustRightInd w:val="0"/>
              <w:snapToGrid w:val="0"/>
              <w:spacing w:line="430" w:lineRule="atLeast"/>
              <w:rPr>
                <w:rFonts w:hint="eastAsia" w:ascii="宋体" w:eastAsia="宋体"/>
                <w:b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 w:type="pct"/>
            <w:noWrap w:val="0"/>
            <w:vAlign w:val="top"/>
          </w:tcPr>
          <w:p>
            <w:pPr>
              <w:autoSpaceDE w:val="0"/>
              <w:autoSpaceDN w:val="0"/>
              <w:adjustRightInd w:val="0"/>
              <w:snapToGrid w:val="0"/>
              <w:spacing w:line="430" w:lineRule="atLeast"/>
              <w:jc w:val="center"/>
              <w:rPr>
                <w:rFonts w:ascii="宋体" w:hAnsi="宋体" w:eastAsia="宋体" w:cs="宋体"/>
                <w:b w:val="0"/>
                <w:bCs/>
                <w:color w:val="auto"/>
                <w:sz w:val="22"/>
                <w:szCs w:val="22"/>
                <w:highlight w:val="none"/>
                <w:lang w:val="en-US" w:eastAsia="zh-CN" w:bidi="ar-SA"/>
              </w:rPr>
            </w:pPr>
            <w:r>
              <w:rPr>
                <w:rFonts w:hint="eastAsia" w:ascii="宋体" w:eastAsia="宋体"/>
                <w:b w:val="0"/>
                <w:color w:val="auto"/>
                <w:sz w:val="22"/>
                <w:szCs w:val="22"/>
                <w:highlight w:val="none"/>
              </w:rPr>
              <w:t>16</w:t>
            </w:r>
          </w:p>
        </w:tc>
        <w:tc>
          <w:tcPr>
            <w:tcW w:w="4200" w:type="pct"/>
            <w:noWrap w:val="0"/>
            <w:vAlign w:val="top"/>
          </w:tcPr>
          <w:p>
            <w:pPr>
              <w:autoSpaceDE w:val="0"/>
              <w:autoSpaceDN w:val="0"/>
              <w:adjustRightInd w:val="0"/>
              <w:snapToGrid w:val="0"/>
              <w:spacing w:line="430" w:lineRule="atLeast"/>
              <w:rPr>
                <w:rFonts w:ascii="宋体" w:eastAsia="宋体"/>
                <w:b w:val="0"/>
                <w:color w:val="auto"/>
                <w:sz w:val="22"/>
                <w:highlight w:val="none"/>
              </w:rPr>
            </w:pPr>
            <w:r>
              <w:rPr>
                <w:rFonts w:hint="eastAsia" w:ascii="宋体" w:eastAsia="宋体"/>
                <w:b w:val="0"/>
                <w:color w:val="auto"/>
                <w:sz w:val="22"/>
                <w:szCs w:val="22"/>
                <w:highlight w:val="none"/>
              </w:rPr>
              <w:t>其它供应商须说明的资料（如有则提供）</w:t>
            </w:r>
          </w:p>
        </w:tc>
        <w:tc>
          <w:tcPr>
            <w:tcW w:w="549" w:type="pct"/>
            <w:noWrap w:val="0"/>
            <w:vAlign w:val="top"/>
          </w:tcPr>
          <w:p>
            <w:pPr>
              <w:autoSpaceDE w:val="0"/>
              <w:autoSpaceDN w:val="0"/>
              <w:adjustRightInd w:val="0"/>
              <w:snapToGrid w:val="0"/>
              <w:spacing w:line="430" w:lineRule="atLeast"/>
              <w:rPr>
                <w:rFonts w:hint="eastAsia" w:ascii="宋体" w:eastAsia="宋体"/>
                <w:b w:val="0"/>
                <w:color w:val="auto"/>
                <w:sz w:val="22"/>
                <w:szCs w:val="22"/>
                <w:highlight w:val="none"/>
              </w:rPr>
            </w:pPr>
          </w:p>
        </w:tc>
      </w:tr>
    </w:tbl>
    <w:p>
      <w:pPr>
        <w:spacing w:line="43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备注：</w:t>
      </w:r>
    </w:p>
    <w:p>
      <w:pPr>
        <w:numPr>
          <w:ilvl w:val="0"/>
          <w:numId w:val="2"/>
        </w:numPr>
        <w:spacing w:line="430" w:lineRule="exact"/>
        <w:rPr>
          <w:rFonts w:ascii="新宋体" w:hAnsi="新宋体" w:eastAsia="新宋体" w:cs="新宋体"/>
          <w:color w:val="auto"/>
          <w:highlight w:val="none"/>
        </w:rPr>
      </w:pPr>
      <w:r>
        <w:rPr>
          <w:rFonts w:hint="eastAsia" w:ascii="新宋体" w:hAnsi="新宋体" w:eastAsia="新宋体" w:cs="新宋体"/>
          <w:color w:val="auto"/>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numPr>
          <w:ilvl w:val="0"/>
          <w:numId w:val="2"/>
        </w:numPr>
        <w:spacing w:line="43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中应承诺：供应商所提供的技术资料的所有权归采购人所有。如若发生第三方侵权事件，其侵权责任与采购人及采购代理机构无关，由供应商承担全部责任。侵权造成的所有相关费用，均由供应商支付，保证不伤害采购人的利益。</w:t>
      </w:r>
    </w:p>
    <w:p>
      <w:pPr>
        <w:numPr>
          <w:ilvl w:val="0"/>
          <w:numId w:val="2"/>
        </w:numPr>
        <w:spacing w:line="43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以上所需的各种证书、证件、证明等若系复印件、扫描件，须加盖供应商有效的公章。</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3、投标文件编制</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3.1本项目通过“政采云平台（www.zcygov.cn）”实行在线投标响应（电子投标）。供应商应通过“政采云电子交易客户端”，并按照本招标文件和“政采云平台”的要求编制并加密投标文件。</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3.2投标供应商应当按照本章节 “投标文件组成”规定的内容及顺序在“政采云电子交易客户端”编制投标文件。其中 “技术资信文件”中不得出现本项目投标报价，如因投标供应商原因提前泄露投标报价，是投标供应商的责任。</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3.3本招标文件“投标文件格式”中有提供格式的，投标供应商须参照格式进行编制（格式中要求提供相关证明材料的还需后附相关证明材料），并按格式要求在指定位置根据要求进行签章，否则视为未提供；本文件“投标文件格式”未提供格式的，请各投标单位自行拟定格式，并加盖单位公章并由法定代表人或其授权代表签署（签字或盖章），否则视为未提供。</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3.4投标文件内容不完整、编排混乱导致投标文件被误读、漏读或者查找不到相关内容的，是投标供应商的责任。</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3.5投标文件因字迹潦草或表达不清所引起的后果由投标供应商负责。</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3.6 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4、投标文件的签章</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4.1投标文件的签章要求：投标供应商须知前附表；</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4.2投标文件应由投标供应商法定代表人或其授权代表签章，并加盖投标供应商公章。</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4.3电子签章操作指南详见采购公告附件《供应商项目采购-电子招投标操作指南》。</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5、投标文件的形式</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5.1投标文件的形式：见投标供应商须知前附表；</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5.2“电子加密投标文件”：“电子加密投标文件”是指通过“政采云电子交易客户端”完成投标文件编制后生成并加密的数据电文形式的投标文件。</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5.3“备份投标文件”：“备份投标文件”是指与“电子加密投标文件”同时生成的数据电文形式的电子文件（备份标书），其他方式编制的“备份投标文件”视为无效的“备份投标文件”。</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6、投标文件的份数</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6.1投标文件的份数：见投标供应商须知前附表。</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7、投标报价</w:t>
      </w:r>
      <w:bookmarkEnd w:id="24"/>
      <w:bookmarkEnd w:id="25"/>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sz w:val="22"/>
          <w:szCs w:val="22"/>
          <w:highlight w:val="none"/>
        </w:rPr>
      </w:pPr>
      <w:bookmarkStart w:id="28" w:name="_Toc132122413"/>
      <w:bookmarkStart w:id="29" w:name="_Toc132122116"/>
      <w:r>
        <w:rPr>
          <w:rFonts w:hint="eastAsia" w:cs="新宋体" w:asciiTheme="majorEastAsia" w:hAnsiTheme="majorEastAsia" w:eastAsiaTheme="majorEastAsia"/>
          <w:bCs/>
          <w:color w:val="auto"/>
          <w:sz w:val="22"/>
          <w:szCs w:val="22"/>
          <w:highlight w:val="none"/>
        </w:rPr>
        <w:t>7.1供应商应按招标文件中《开标一览表》及《投标分项报价表》（如有）填写投标总价及分项报价。</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7.2本次招标只允许有一个报价，有选择的报价将不予接受。</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7.3投标报价应按包含以下费用。</w:t>
      </w:r>
    </w:p>
    <w:p>
      <w:pPr>
        <w:autoSpaceDE w:val="0"/>
        <w:autoSpaceDN w:val="0"/>
        <w:adjustRightInd w:val="0"/>
        <w:spacing w:line="360" w:lineRule="auto"/>
        <w:ind w:firstLine="440" w:firstLineChars="200"/>
        <w:textAlignment w:val="bottom"/>
        <w:rPr>
          <w:rFonts w:ascii="宋体" w:eastAsia="宋体"/>
          <w:b w:val="0"/>
          <w:bCs w:val="0"/>
          <w:color w:val="auto"/>
          <w:sz w:val="22"/>
          <w:szCs w:val="22"/>
          <w:highlight w:val="none"/>
        </w:rPr>
      </w:pPr>
      <w:r>
        <w:rPr>
          <w:rFonts w:hint="eastAsia" w:ascii="宋体" w:eastAsia="宋体"/>
          <w:b w:val="0"/>
          <w:bCs w:val="0"/>
          <w:color w:val="auto"/>
          <w:sz w:val="22"/>
          <w:szCs w:val="22"/>
          <w:highlight w:val="none"/>
        </w:rPr>
        <w:t>投标报价应按包含以下费用。</w:t>
      </w:r>
    </w:p>
    <w:p>
      <w:pPr>
        <w:numPr>
          <w:ilvl w:val="0"/>
          <w:numId w:val="3"/>
        </w:numPr>
        <w:tabs>
          <w:tab w:val="left" w:pos="965"/>
          <w:tab w:val="left" w:pos="1025"/>
          <w:tab w:val="clear" w:pos="425"/>
        </w:tabs>
        <w:adjustRightInd w:val="0"/>
        <w:spacing w:line="360" w:lineRule="auto"/>
        <w:ind w:left="630" w:leftChars="300"/>
        <w:rPr>
          <w:rFonts w:ascii="宋体" w:eastAsia="宋体"/>
          <w:b w:val="0"/>
          <w:color w:val="auto"/>
          <w:sz w:val="22"/>
          <w:szCs w:val="22"/>
          <w:highlight w:val="none"/>
        </w:rPr>
      </w:pPr>
      <w:r>
        <w:rPr>
          <w:rFonts w:hint="eastAsia" w:ascii="宋体" w:eastAsia="宋体"/>
          <w:b w:val="0"/>
          <w:color w:val="auto"/>
          <w:sz w:val="22"/>
          <w:szCs w:val="22"/>
          <w:highlight w:val="none"/>
        </w:rPr>
        <w:t>服务价格</w:t>
      </w:r>
    </w:p>
    <w:p>
      <w:pPr>
        <w:numPr>
          <w:ilvl w:val="0"/>
          <w:numId w:val="3"/>
        </w:numPr>
        <w:tabs>
          <w:tab w:val="left" w:pos="965"/>
          <w:tab w:val="left" w:pos="1025"/>
          <w:tab w:val="clear" w:pos="425"/>
        </w:tabs>
        <w:adjustRightInd w:val="0"/>
        <w:spacing w:line="360" w:lineRule="auto"/>
        <w:ind w:left="630" w:leftChars="300"/>
        <w:rPr>
          <w:rFonts w:ascii="宋体" w:eastAsia="宋体"/>
          <w:b w:val="0"/>
          <w:color w:val="auto"/>
          <w:sz w:val="22"/>
          <w:szCs w:val="22"/>
          <w:highlight w:val="none"/>
        </w:rPr>
      </w:pPr>
      <w:r>
        <w:rPr>
          <w:rFonts w:hint="eastAsia" w:ascii="宋体" w:eastAsia="宋体"/>
          <w:b w:val="0"/>
          <w:color w:val="auto"/>
          <w:sz w:val="22"/>
          <w:szCs w:val="22"/>
          <w:highlight w:val="none"/>
        </w:rPr>
        <w:t>关税、增值税等其它税，须将税费及税率单列</w:t>
      </w:r>
    </w:p>
    <w:p>
      <w:pPr>
        <w:numPr>
          <w:ilvl w:val="0"/>
          <w:numId w:val="3"/>
        </w:numPr>
        <w:tabs>
          <w:tab w:val="left" w:pos="965"/>
          <w:tab w:val="left" w:pos="1025"/>
          <w:tab w:val="clear" w:pos="425"/>
        </w:tabs>
        <w:adjustRightInd w:val="0"/>
        <w:spacing w:line="360" w:lineRule="auto"/>
        <w:ind w:left="630" w:leftChars="300"/>
        <w:rPr>
          <w:rFonts w:ascii="宋体" w:eastAsia="宋体"/>
          <w:b w:val="0"/>
          <w:color w:val="auto"/>
          <w:sz w:val="22"/>
          <w:szCs w:val="22"/>
          <w:highlight w:val="none"/>
        </w:rPr>
      </w:pPr>
      <w:r>
        <w:rPr>
          <w:rFonts w:hint="eastAsia" w:ascii="宋体" w:eastAsia="宋体"/>
          <w:b w:val="0"/>
          <w:color w:val="auto"/>
          <w:sz w:val="22"/>
          <w:szCs w:val="22"/>
          <w:highlight w:val="none"/>
        </w:rPr>
        <w:t>代理服务费</w:t>
      </w:r>
    </w:p>
    <w:p>
      <w:pPr>
        <w:numPr>
          <w:ilvl w:val="0"/>
          <w:numId w:val="3"/>
        </w:numPr>
        <w:tabs>
          <w:tab w:val="left" w:pos="965"/>
          <w:tab w:val="left" w:pos="1025"/>
          <w:tab w:val="clear" w:pos="425"/>
        </w:tabs>
        <w:adjustRightInd w:val="0"/>
        <w:spacing w:line="360" w:lineRule="auto"/>
        <w:ind w:left="630" w:leftChars="300"/>
        <w:rPr>
          <w:rFonts w:cs="新宋体" w:asciiTheme="majorEastAsia" w:hAnsiTheme="majorEastAsia" w:eastAsiaTheme="majorEastAsia"/>
          <w:bCs/>
          <w:color w:val="auto"/>
          <w:sz w:val="22"/>
          <w:szCs w:val="22"/>
          <w:highlight w:val="none"/>
        </w:rPr>
      </w:pPr>
      <w:r>
        <w:rPr>
          <w:rFonts w:hint="eastAsia" w:ascii="宋体" w:eastAsia="宋体"/>
          <w:b w:val="0"/>
          <w:color w:val="auto"/>
          <w:sz w:val="22"/>
          <w:szCs w:val="22"/>
          <w:highlight w:val="none"/>
        </w:rPr>
        <w:t>其他费用</w:t>
      </w:r>
    </w:p>
    <w:p>
      <w:pPr>
        <w:autoSpaceDE w:val="0"/>
        <w:autoSpaceDN w:val="0"/>
        <w:adjustRightInd w:val="0"/>
        <w:spacing w:line="460" w:lineRule="atLeast"/>
        <w:ind w:firstLine="442" w:firstLineChars="200"/>
        <w:textAlignment w:val="bottom"/>
        <w:rPr>
          <w:rFonts w:cs="新宋体" w:asciiTheme="majorEastAsia" w:hAnsiTheme="majorEastAsia" w:eastAsiaTheme="majorEastAsia"/>
          <w:b/>
          <w:bCs/>
          <w:color w:val="auto"/>
          <w:sz w:val="22"/>
          <w:szCs w:val="22"/>
          <w:highlight w:val="none"/>
          <w:u w:val="single"/>
        </w:rPr>
      </w:pPr>
      <w:r>
        <w:rPr>
          <w:rFonts w:hint="eastAsia" w:cs="新宋体" w:asciiTheme="majorEastAsia" w:hAnsiTheme="majorEastAsia" w:eastAsiaTheme="majorEastAsia"/>
          <w:b/>
          <w:bCs/>
          <w:color w:val="auto"/>
          <w:sz w:val="22"/>
          <w:szCs w:val="22"/>
          <w:highlight w:val="none"/>
          <w:u w:val="single"/>
        </w:rPr>
        <w:t>供应商在投标报价中应充分考虑所有可能发生的费用，否则采购人将视投标总价中已包括所有费用。</w:t>
      </w:r>
    </w:p>
    <w:p>
      <w:pPr>
        <w:autoSpaceDE w:val="0"/>
        <w:autoSpaceDN w:val="0"/>
        <w:adjustRightInd w:val="0"/>
        <w:spacing w:line="460" w:lineRule="atLeast"/>
        <w:ind w:firstLine="442" w:firstLineChars="200"/>
        <w:textAlignment w:val="bottom"/>
        <w:rPr>
          <w:rFonts w:cs="新宋体" w:asciiTheme="majorEastAsia" w:hAnsiTheme="majorEastAsia" w:eastAsiaTheme="majorEastAsia"/>
          <w:bCs/>
          <w:color w:val="auto"/>
          <w:sz w:val="22"/>
          <w:szCs w:val="22"/>
          <w:highlight w:val="none"/>
          <w:u w:val="single"/>
        </w:rPr>
      </w:pPr>
      <w:r>
        <w:rPr>
          <w:rFonts w:hint="eastAsia" w:cs="新宋体" w:asciiTheme="majorEastAsia" w:hAnsiTheme="majorEastAsia" w:eastAsiaTheme="majorEastAsia"/>
          <w:b/>
          <w:bCs/>
          <w:color w:val="auto"/>
          <w:sz w:val="22"/>
          <w:szCs w:val="22"/>
          <w:highlight w:val="none"/>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填写报价表格时，各项费用应如实填写。</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8、采购人要求分类报价是为了方便评标，但在任何情况下不限制采购人以其认为最合适的条款签订合同的权利。</w:t>
      </w:r>
    </w:p>
    <w:bookmarkEnd w:id="28"/>
    <w:bookmarkEnd w:id="29"/>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sz w:val="22"/>
          <w:szCs w:val="22"/>
          <w:highlight w:val="none"/>
        </w:rPr>
      </w:pPr>
      <w:bookmarkStart w:id="30" w:name="_Toc132122117"/>
      <w:bookmarkStart w:id="31" w:name="_Toc132122414"/>
      <w:bookmarkStart w:id="32" w:name="_Toc132122120"/>
      <w:bookmarkStart w:id="33" w:name="_Toc132126155"/>
      <w:bookmarkStart w:id="34" w:name="_Toc132124595"/>
      <w:bookmarkStart w:id="35" w:name="_Toc132125096"/>
      <w:bookmarkStart w:id="36" w:name="_Toc332809833"/>
      <w:bookmarkStart w:id="37" w:name="_Toc132125984"/>
      <w:bookmarkStart w:id="38" w:name="_Toc132123839"/>
      <w:bookmarkStart w:id="39" w:name="_Toc132122417"/>
      <w:bookmarkStart w:id="40" w:name="_Toc132123440"/>
      <w:bookmarkStart w:id="41" w:name="_Toc132125575"/>
      <w:bookmarkStart w:id="42" w:name="_Toc132123882"/>
      <w:bookmarkStart w:id="43" w:name="_Toc132125152"/>
      <w:bookmarkStart w:id="44" w:name="_Toc132123548"/>
      <w:bookmarkStart w:id="45" w:name="_Toc132655777"/>
      <w:bookmarkStart w:id="46" w:name="_Toc132125038"/>
      <w:bookmarkStart w:id="47" w:name="_Toc132123635"/>
      <w:r>
        <w:rPr>
          <w:rFonts w:hint="eastAsia" w:cs="新宋体" w:asciiTheme="majorEastAsia" w:hAnsiTheme="majorEastAsia" w:eastAsiaTheme="majorEastAsia"/>
          <w:bCs/>
          <w:color w:val="auto"/>
          <w:sz w:val="22"/>
          <w:szCs w:val="22"/>
          <w:highlight w:val="none"/>
        </w:rPr>
        <w:t>9、投标文件的有效期</w:t>
      </w:r>
      <w:bookmarkEnd w:id="30"/>
      <w:bookmarkEnd w:id="31"/>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9.1 自投标截止时间起90天内，投标文件应保持有效。有效期短于这个规定期限的投标将被拒绝。</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9.2 在特殊情况下，采购人可与供应商协商延长投标文件的有效期，这种要求和答复均应以书面形式进行。</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9.3 供应商可拒绝接受延期要求。同意延长有效期的供应商不能修改投标文件。</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10、投标供应商如发生下列情况之一，将上报同级政府采购监督管理部门，追究其责任：</w:t>
      </w:r>
    </w:p>
    <w:p>
      <w:pPr>
        <w:pStyle w:val="84"/>
        <w:numPr>
          <w:ilvl w:val="0"/>
          <w:numId w:val="4"/>
        </w:numPr>
        <w:autoSpaceDE w:val="0"/>
        <w:autoSpaceDN w:val="0"/>
        <w:adjustRightInd w:val="0"/>
        <w:spacing w:line="460" w:lineRule="atLeast"/>
        <w:ind w:firstLineChars="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投标供应商在招标文件规定的投标有效期内撤回投标；</w:t>
      </w:r>
    </w:p>
    <w:p>
      <w:pPr>
        <w:pStyle w:val="84"/>
        <w:numPr>
          <w:ilvl w:val="0"/>
          <w:numId w:val="4"/>
        </w:numPr>
        <w:autoSpaceDE w:val="0"/>
        <w:autoSpaceDN w:val="0"/>
        <w:adjustRightInd w:val="0"/>
        <w:spacing w:line="460" w:lineRule="atLeast"/>
        <w:ind w:firstLineChars="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中标人未按中标通知书中规定的时间与采购人签订合同；</w:t>
      </w:r>
    </w:p>
    <w:p>
      <w:pPr>
        <w:pStyle w:val="84"/>
        <w:numPr>
          <w:ilvl w:val="0"/>
          <w:numId w:val="4"/>
        </w:numPr>
        <w:autoSpaceDE w:val="0"/>
        <w:autoSpaceDN w:val="0"/>
        <w:adjustRightInd w:val="0"/>
        <w:spacing w:line="460" w:lineRule="atLeast"/>
        <w:ind w:firstLineChars="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投标供应商在招标文件中提供虚假技术指标及参数，经评标委员会确认属实的。</w:t>
      </w:r>
    </w:p>
    <w:p>
      <w:pPr>
        <w:pStyle w:val="84"/>
        <w:numPr>
          <w:ilvl w:val="0"/>
          <w:numId w:val="4"/>
        </w:numPr>
        <w:autoSpaceDE w:val="0"/>
        <w:autoSpaceDN w:val="0"/>
        <w:adjustRightInd w:val="0"/>
        <w:spacing w:line="460" w:lineRule="atLeast"/>
        <w:ind w:firstLineChars="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经同级政府采购监督管理部门审查认定投标供应商有违反《中华人民共和国政府采购法》等有关法律法规的行为。</w:t>
      </w:r>
    </w:p>
    <w:p>
      <w:pPr>
        <w:autoSpaceDE w:val="0"/>
        <w:autoSpaceDN w:val="0"/>
        <w:adjustRightInd w:val="0"/>
        <w:snapToGrid w:val="0"/>
        <w:spacing w:line="440" w:lineRule="exact"/>
        <w:ind w:firstLine="422" w:firstLineChars="150"/>
        <w:jc w:val="center"/>
        <w:textAlignment w:val="bottom"/>
        <w:outlineLvl w:val="1"/>
        <w:rPr>
          <w:rFonts w:cs="Arial" w:asciiTheme="majorEastAsia" w:hAnsiTheme="majorEastAsia" w:eastAsiaTheme="majorEastAsia"/>
          <w:b/>
          <w:bCs/>
          <w:color w:val="auto"/>
          <w:sz w:val="28"/>
          <w:szCs w:val="28"/>
          <w:highlight w:val="none"/>
        </w:rPr>
      </w:pPr>
      <w:bookmarkStart w:id="48" w:name="_Toc132123439"/>
      <w:bookmarkStart w:id="49" w:name="_Toc132123838"/>
      <w:bookmarkStart w:id="50" w:name="_Toc132124594"/>
      <w:bookmarkStart w:id="51" w:name="_Toc132125095"/>
      <w:bookmarkStart w:id="52" w:name="_Toc132125151"/>
      <w:bookmarkStart w:id="53" w:name="_Toc132122416"/>
      <w:bookmarkStart w:id="54" w:name="_Toc132125037"/>
      <w:bookmarkStart w:id="55" w:name="_Toc132123634"/>
      <w:bookmarkStart w:id="56" w:name="_Toc132125574"/>
      <w:bookmarkStart w:id="57" w:name="_Toc132123881"/>
      <w:bookmarkStart w:id="58" w:name="_Toc132123547"/>
      <w:bookmarkStart w:id="59" w:name="_Toc132126154"/>
      <w:bookmarkStart w:id="60" w:name="_Toc496116253"/>
      <w:bookmarkStart w:id="61" w:name="_Toc132122119"/>
      <w:bookmarkStart w:id="62" w:name="_Toc132125983"/>
      <w:bookmarkStart w:id="63" w:name="_Toc132655776"/>
      <w:bookmarkStart w:id="64" w:name="_Toc18653"/>
      <w:r>
        <w:rPr>
          <w:rFonts w:hint="eastAsia" w:cs="Arial" w:asciiTheme="majorEastAsia" w:hAnsiTheme="majorEastAsia" w:eastAsiaTheme="majorEastAsia"/>
          <w:b/>
          <w:bCs/>
          <w:color w:val="auto"/>
          <w:sz w:val="28"/>
          <w:szCs w:val="28"/>
          <w:highlight w:val="none"/>
        </w:rPr>
        <w:t>五、投标文件的</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hint="eastAsia" w:cs="Arial" w:asciiTheme="majorEastAsia" w:hAnsiTheme="majorEastAsia" w:eastAsiaTheme="majorEastAsia"/>
          <w:b/>
          <w:bCs/>
          <w:color w:val="auto"/>
          <w:sz w:val="28"/>
          <w:szCs w:val="28"/>
          <w:highlight w:val="none"/>
        </w:rPr>
        <w:t>递交</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1、投标文件的递交</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kern w:val="0"/>
          <w:sz w:val="22"/>
          <w:szCs w:val="22"/>
          <w:highlight w:val="none"/>
        </w:rPr>
      </w:pPr>
      <w:r>
        <w:rPr>
          <w:rFonts w:hint="eastAsia" w:cs="新宋体" w:asciiTheme="majorEastAsia" w:hAnsiTheme="majorEastAsia" w:eastAsiaTheme="majorEastAsia"/>
          <w:bCs/>
          <w:color w:val="auto"/>
          <w:sz w:val="22"/>
          <w:szCs w:val="22"/>
          <w:highlight w:val="none"/>
        </w:rPr>
        <w:t>1.1投标文件的上传、递交：见投标供应商须知前附表。</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2、 “电子加密投标文件”解密和异常情况处理。</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sz w:val="22"/>
          <w:szCs w:val="22"/>
          <w:highlight w:val="none"/>
        </w:rPr>
      </w:pPr>
      <w:r>
        <w:rPr>
          <w:rFonts w:hint="eastAsia" w:cs="新宋体" w:asciiTheme="majorEastAsia" w:hAnsiTheme="majorEastAsia" w:eastAsiaTheme="majorEastAsia"/>
          <w:bCs/>
          <w:color w:val="auto"/>
          <w:sz w:val="22"/>
          <w:szCs w:val="22"/>
          <w:highlight w:val="none"/>
        </w:rPr>
        <w:t>2.1“电子加密投标文件”解密：见投标供应商须知前附表。</w:t>
      </w:r>
    </w:p>
    <w:p>
      <w:pPr>
        <w:autoSpaceDE w:val="0"/>
        <w:autoSpaceDN w:val="0"/>
        <w:adjustRightInd w:val="0"/>
        <w:spacing w:line="460" w:lineRule="atLeast"/>
        <w:ind w:firstLine="442" w:firstLineChars="200"/>
        <w:textAlignment w:val="bottom"/>
        <w:rPr>
          <w:rFonts w:cs="新宋体" w:asciiTheme="majorEastAsia" w:hAnsiTheme="majorEastAsia" w:eastAsiaTheme="majorEastAsia"/>
          <w:b/>
          <w:bCs/>
          <w:color w:val="auto"/>
          <w:kern w:val="0"/>
          <w:sz w:val="22"/>
          <w:szCs w:val="22"/>
          <w:highlight w:val="none"/>
        </w:rPr>
      </w:pPr>
      <w:r>
        <w:rPr>
          <w:rFonts w:hint="eastAsia" w:cs="新宋体" w:asciiTheme="majorEastAsia" w:hAnsiTheme="majorEastAsia" w:eastAsiaTheme="majorEastAsia"/>
          <w:b/>
          <w:bCs/>
          <w:color w:val="auto"/>
          <w:kern w:val="0"/>
          <w:sz w:val="22"/>
          <w:szCs w:val="22"/>
          <w:highlight w:val="none"/>
        </w:rPr>
        <w:t>3、 投标文件的补充、修改或撤回</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kern w:val="0"/>
          <w:sz w:val="22"/>
          <w:szCs w:val="22"/>
          <w:highlight w:val="none"/>
        </w:rPr>
      </w:pPr>
      <w:r>
        <w:rPr>
          <w:rFonts w:hint="eastAsia" w:cs="新宋体" w:asciiTheme="majorEastAsia" w:hAnsiTheme="majorEastAsia" w:eastAsiaTheme="majorEastAsia"/>
          <w:bCs/>
          <w:color w:val="auto"/>
          <w:kern w:val="0"/>
          <w:sz w:val="22"/>
          <w:szCs w:val="22"/>
          <w:highlight w:val="none"/>
        </w:rPr>
        <w:t>3.1供应商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kern w:val="0"/>
          <w:sz w:val="22"/>
          <w:szCs w:val="22"/>
          <w:highlight w:val="none"/>
        </w:rPr>
      </w:pPr>
      <w:r>
        <w:rPr>
          <w:rFonts w:hint="eastAsia" w:cs="新宋体" w:asciiTheme="majorEastAsia" w:hAnsiTheme="majorEastAsia" w:eastAsiaTheme="majorEastAsia"/>
          <w:bCs/>
          <w:color w:val="auto"/>
          <w:kern w:val="0"/>
          <w:sz w:val="22"/>
          <w:szCs w:val="22"/>
          <w:highlight w:val="none"/>
        </w:rPr>
        <w:t>3.2投标文件递交截止时间后，投标供应商不得撤回、修改投标文件。</w:t>
      </w:r>
    </w:p>
    <w:p>
      <w:pPr>
        <w:autoSpaceDE w:val="0"/>
        <w:autoSpaceDN w:val="0"/>
        <w:adjustRightInd w:val="0"/>
        <w:spacing w:line="460" w:lineRule="atLeast"/>
        <w:ind w:firstLine="442" w:firstLineChars="200"/>
        <w:textAlignment w:val="bottom"/>
        <w:rPr>
          <w:rFonts w:cs="新宋体" w:asciiTheme="majorEastAsia" w:hAnsiTheme="majorEastAsia" w:eastAsiaTheme="majorEastAsia"/>
          <w:bCs/>
          <w:color w:val="auto"/>
          <w:kern w:val="0"/>
          <w:sz w:val="22"/>
          <w:szCs w:val="22"/>
          <w:highlight w:val="none"/>
        </w:rPr>
      </w:pPr>
      <w:r>
        <w:rPr>
          <w:rFonts w:hint="eastAsia" w:cs="新宋体" w:asciiTheme="majorEastAsia" w:hAnsiTheme="majorEastAsia" w:eastAsiaTheme="majorEastAsia"/>
          <w:b/>
          <w:bCs/>
          <w:color w:val="auto"/>
          <w:kern w:val="0"/>
          <w:sz w:val="22"/>
          <w:szCs w:val="22"/>
          <w:highlight w:val="none"/>
        </w:rPr>
        <w:t>4、投标文件的备选方案</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kern w:val="0"/>
          <w:sz w:val="22"/>
          <w:szCs w:val="22"/>
          <w:highlight w:val="none"/>
        </w:rPr>
      </w:pPr>
      <w:r>
        <w:rPr>
          <w:rFonts w:hint="eastAsia" w:cs="新宋体" w:asciiTheme="majorEastAsia" w:hAnsiTheme="majorEastAsia" w:eastAsiaTheme="majorEastAsia"/>
          <w:bCs/>
          <w:color w:val="auto"/>
          <w:kern w:val="0"/>
          <w:sz w:val="22"/>
          <w:szCs w:val="22"/>
          <w:highlight w:val="none"/>
        </w:rPr>
        <w:t>4.1投标供应商不得递交任何的投标备选（替代）方案，否则其投标文件将作无效标处理。与“电子加密投标文件”同时生成的“备份投标文件”不是投标备选（替代）方案。</w:t>
      </w:r>
    </w:p>
    <w:p>
      <w:pPr>
        <w:autoSpaceDE w:val="0"/>
        <w:autoSpaceDN w:val="0"/>
        <w:adjustRightInd w:val="0"/>
        <w:snapToGrid w:val="0"/>
        <w:spacing w:line="440" w:lineRule="exact"/>
        <w:ind w:firstLine="422" w:firstLineChars="150"/>
        <w:jc w:val="center"/>
        <w:textAlignment w:val="bottom"/>
        <w:outlineLvl w:val="1"/>
        <w:rPr>
          <w:rFonts w:cs="Arial" w:asciiTheme="majorEastAsia" w:hAnsiTheme="majorEastAsia" w:eastAsiaTheme="majorEastAsia"/>
          <w:b/>
          <w:bCs/>
          <w:color w:val="auto"/>
          <w:sz w:val="22"/>
          <w:szCs w:val="22"/>
          <w:highlight w:val="none"/>
        </w:rPr>
      </w:pPr>
      <w:bookmarkStart w:id="65" w:name="_Toc144"/>
      <w:bookmarkStart w:id="66" w:name="_Toc496116254"/>
      <w:r>
        <w:rPr>
          <w:rFonts w:hint="eastAsia" w:cs="Arial" w:asciiTheme="majorEastAsia" w:hAnsiTheme="majorEastAsia" w:eastAsiaTheme="majorEastAsia"/>
          <w:b/>
          <w:bCs/>
          <w:color w:val="auto"/>
          <w:sz w:val="28"/>
          <w:szCs w:val="28"/>
          <w:highlight w:val="none"/>
        </w:rPr>
        <w:t>六、开标和评标</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65"/>
      <w:bookmarkEnd w:id="66"/>
    </w:p>
    <w:p>
      <w:pPr>
        <w:autoSpaceDE w:val="0"/>
        <w:autoSpaceDN w:val="0"/>
        <w:adjustRightInd w:val="0"/>
        <w:spacing w:line="460" w:lineRule="atLeast"/>
        <w:ind w:firstLine="442" w:firstLineChars="200"/>
        <w:textAlignment w:val="bottom"/>
        <w:rPr>
          <w:rFonts w:cs="新宋体" w:asciiTheme="majorEastAsia" w:hAnsiTheme="majorEastAsia" w:eastAsiaTheme="majorEastAsia"/>
          <w:b/>
          <w:bCs/>
          <w:color w:val="auto"/>
          <w:kern w:val="0"/>
          <w:sz w:val="22"/>
          <w:szCs w:val="22"/>
          <w:highlight w:val="none"/>
        </w:rPr>
      </w:pPr>
      <w:r>
        <w:rPr>
          <w:rFonts w:hint="eastAsia" w:cs="新宋体" w:asciiTheme="majorEastAsia" w:hAnsiTheme="majorEastAsia" w:eastAsiaTheme="majorEastAsia"/>
          <w:b/>
          <w:bCs/>
          <w:color w:val="auto"/>
          <w:kern w:val="0"/>
          <w:sz w:val="22"/>
          <w:szCs w:val="22"/>
          <w:highlight w:val="none"/>
        </w:rPr>
        <w:t>1、开标形式</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kern w:val="0"/>
          <w:sz w:val="22"/>
          <w:szCs w:val="22"/>
          <w:highlight w:val="none"/>
        </w:rPr>
      </w:pPr>
      <w:r>
        <w:rPr>
          <w:rFonts w:hint="eastAsia" w:cs="新宋体" w:asciiTheme="majorEastAsia" w:hAnsiTheme="majorEastAsia" w:eastAsiaTheme="majorEastAsia"/>
          <w:bCs/>
          <w:color w:val="auto"/>
          <w:kern w:val="0"/>
          <w:sz w:val="22"/>
          <w:szCs w:val="22"/>
          <w:highlight w:val="none"/>
        </w:rPr>
        <w:t>1.1 采购组织机构将按照招标文件规定的时间通过“政采云平台”组织开标、开启投标文件，所有供应商均应当准时在线参加。</w:t>
      </w:r>
    </w:p>
    <w:p>
      <w:pPr>
        <w:autoSpaceDE w:val="0"/>
        <w:autoSpaceDN w:val="0"/>
        <w:adjustRightInd w:val="0"/>
        <w:spacing w:line="460" w:lineRule="atLeast"/>
        <w:ind w:firstLine="442" w:firstLineChars="200"/>
        <w:textAlignment w:val="bottom"/>
        <w:rPr>
          <w:rFonts w:cs="新宋体" w:asciiTheme="majorEastAsia" w:hAnsiTheme="majorEastAsia" w:eastAsiaTheme="majorEastAsia"/>
          <w:b/>
          <w:bCs/>
          <w:color w:val="auto"/>
          <w:kern w:val="0"/>
          <w:sz w:val="22"/>
          <w:szCs w:val="22"/>
          <w:highlight w:val="none"/>
        </w:rPr>
      </w:pPr>
      <w:r>
        <w:rPr>
          <w:rFonts w:hint="eastAsia" w:cs="新宋体" w:asciiTheme="majorEastAsia" w:hAnsiTheme="majorEastAsia" w:eastAsiaTheme="majorEastAsia"/>
          <w:b/>
          <w:bCs/>
          <w:color w:val="auto"/>
          <w:kern w:val="0"/>
          <w:sz w:val="22"/>
          <w:szCs w:val="22"/>
          <w:highlight w:val="none"/>
        </w:rPr>
        <w:t>2、 开标准备</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kern w:val="0"/>
          <w:sz w:val="22"/>
          <w:szCs w:val="22"/>
          <w:highlight w:val="none"/>
        </w:rPr>
      </w:pPr>
      <w:r>
        <w:rPr>
          <w:rFonts w:hint="eastAsia" w:cs="新宋体" w:asciiTheme="majorEastAsia" w:hAnsiTheme="majorEastAsia" w:eastAsiaTheme="majorEastAsia"/>
          <w:bCs/>
          <w:color w:val="auto"/>
          <w:kern w:val="0"/>
          <w:sz w:val="22"/>
          <w:szCs w:val="22"/>
          <w:highlight w:val="none"/>
        </w:rPr>
        <w:t>2.1开标的准备工作由采购组织机构负责落实。</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kern w:val="0"/>
          <w:sz w:val="22"/>
          <w:szCs w:val="22"/>
          <w:highlight w:val="none"/>
        </w:rPr>
      </w:pPr>
      <w:r>
        <w:rPr>
          <w:rFonts w:hint="eastAsia" w:cs="新宋体" w:asciiTheme="majorEastAsia" w:hAnsiTheme="majorEastAsia" w:eastAsiaTheme="majorEastAsia"/>
          <w:bCs/>
          <w:color w:val="auto"/>
          <w:kern w:val="0"/>
          <w:sz w:val="22"/>
          <w:szCs w:val="22"/>
          <w:highlight w:val="none"/>
        </w:rPr>
        <w:t>2.2采购组织机构将按照招标文件规定的时间通过“政采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autoSpaceDE w:val="0"/>
        <w:autoSpaceDN w:val="0"/>
        <w:adjustRightInd w:val="0"/>
        <w:spacing w:line="460" w:lineRule="atLeast"/>
        <w:ind w:firstLine="442" w:firstLineChars="200"/>
        <w:textAlignment w:val="bottom"/>
        <w:rPr>
          <w:rFonts w:cs="新宋体" w:asciiTheme="majorEastAsia" w:hAnsiTheme="majorEastAsia" w:eastAsiaTheme="majorEastAsia"/>
          <w:b/>
          <w:bCs/>
          <w:color w:val="auto"/>
          <w:kern w:val="0"/>
          <w:sz w:val="22"/>
          <w:szCs w:val="22"/>
          <w:highlight w:val="none"/>
        </w:rPr>
      </w:pPr>
      <w:r>
        <w:rPr>
          <w:rFonts w:hint="eastAsia" w:cs="新宋体" w:asciiTheme="majorEastAsia" w:hAnsiTheme="majorEastAsia" w:eastAsiaTheme="majorEastAsia"/>
          <w:b/>
          <w:bCs/>
          <w:color w:val="auto"/>
          <w:kern w:val="0"/>
          <w:sz w:val="22"/>
          <w:szCs w:val="22"/>
          <w:highlight w:val="none"/>
        </w:rPr>
        <w:t>3、开标流程（两阶段）</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kern w:val="0"/>
          <w:sz w:val="22"/>
          <w:szCs w:val="22"/>
          <w:highlight w:val="none"/>
        </w:rPr>
      </w:pPr>
      <w:r>
        <w:rPr>
          <w:rFonts w:hint="eastAsia" w:cs="新宋体" w:asciiTheme="majorEastAsia" w:hAnsiTheme="majorEastAsia" w:eastAsiaTheme="majorEastAsia"/>
          <w:bCs/>
          <w:color w:val="auto"/>
          <w:kern w:val="0"/>
          <w:sz w:val="22"/>
          <w:szCs w:val="22"/>
          <w:highlight w:val="none"/>
        </w:rPr>
        <w:t>3.1开标第一阶段</w:t>
      </w:r>
    </w:p>
    <w:p>
      <w:pPr>
        <w:tabs>
          <w:tab w:val="left" w:pos="540"/>
        </w:tabs>
        <w:spacing w:line="460" w:lineRule="exact"/>
        <w:ind w:firstLine="325" w:firstLineChars="147"/>
        <w:rPr>
          <w:rFonts w:cs="新宋体" w:asciiTheme="majorEastAsia" w:hAnsiTheme="majorEastAsia" w:eastAsiaTheme="majorEastAsia"/>
          <w:b/>
          <w:bCs/>
          <w:color w:val="auto"/>
          <w:kern w:val="0"/>
          <w:sz w:val="22"/>
          <w:szCs w:val="22"/>
          <w:highlight w:val="none"/>
        </w:rPr>
      </w:pPr>
      <w:r>
        <w:rPr>
          <w:rFonts w:hint="eastAsia" w:cs="新宋体" w:asciiTheme="majorEastAsia" w:hAnsiTheme="majorEastAsia" w:eastAsiaTheme="majorEastAsia"/>
          <w:b/>
          <w:bCs/>
          <w:color w:val="auto"/>
          <w:kern w:val="0"/>
          <w:sz w:val="22"/>
          <w:szCs w:val="22"/>
          <w:highlight w:val="none"/>
        </w:rPr>
        <w:t>（1）向各投标供应商发出电子加密投标文件【开始解密】通知，由供应商按招标文件规定的时间内自行进行投标文件解密。投标供应商在规定的时间内（开标时间起30分钟内）无法完成已递交的“电子加密投标文件”解密的，如已按规定递交了备份投标文件的，将由采购组织机构按“政采云平台”操作规范将备份投标文件上传至“政采云平台”，上传成功后，“电子加密投标文件”自动失效；</w:t>
      </w:r>
    </w:p>
    <w:p>
      <w:pPr>
        <w:tabs>
          <w:tab w:val="left" w:pos="540"/>
        </w:tabs>
        <w:spacing w:line="460" w:lineRule="exact"/>
        <w:ind w:firstLine="325" w:firstLineChars="147"/>
        <w:rPr>
          <w:rFonts w:cs="新宋体" w:asciiTheme="majorEastAsia" w:hAnsiTheme="majorEastAsia" w:eastAsiaTheme="majorEastAsia"/>
          <w:b/>
          <w:bCs/>
          <w:color w:val="auto"/>
          <w:kern w:val="0"/>
          <w:sz w:val="22"/>
          <w:szCs w:val="22"/>
          <w:highlight w:val="none"/>
        </w:rPr>
      </w:pPr>
      <w:r>
        <w:rPr>
          <w:rFonts w:hint="eastAsia" w:cs="新宋体" w:asciiTheme="majorEastAsia" w:hAnsiTheme="majorEastAsia" w:eastAsiaTheme="majorEastAsia"/>
          <w:b/>
          <w:bCs/>
          <w:color w:val="auto"/>
          <w:kern w:val="0"/>
          <w:sz w:val="22"/>
          <w:szCs w:val="22"/>
          <w:highlight w:val="none"/>
        </w:rPr>
        <w:t>（2）开启投标文件，进入资格审查；</w:t>
      </w:r>
    </w:p>
    <w:p>
      <w:pPr>
        <w:tabs>
          <w:tab w:val="left" w:pos="540"/>
        </w:tabs>
        <w:spacing w:line="460" w:lineRule="exact"/>
        <w:ind w:firstLine="325" w:firstLineChars="147"/>
        <w:rPr>
          <w:rFonts w:cs="新宋体" w:asciiTheme="majorEastAsia" w:hAnsiTheme="majorEastAsia" w:eastAsiaTheme="majorEastAsia"/>
          <w:b/>
          <w:bCs/>
          <w:color w:val="auto"/>
          <w:kern w:val="0"/>
          <w:sz w:val="22"/>
          <w:szCs w:val="22"/>
          <w:highlight w:val="none"/>
        </w:rPr>
      </w:pPr>
      <w:r>
        <w:rPr>
          <w:rFonts w:hint="eastAsia" w:cs="新宋体" w:asciiTheme="majorEastAsia" w:hAnsiTheme="majorEastAsia" w:eastAsiaTheme="majorEastAsia"/>
          <w:b/>
          <w:bCs/>
          <w:color w:val="auto"/>
          <w:kern w:val="0"/>
          <w:sz w:val="22"/>
          <w:szCs w:val="22"/>
          <w:highlight w:val="none"/>
        </w:rPr>
        <w:t>（3）资格审查通过的投标供应商的技术资信文件进入符合性审查、技术评审；</w:t>
      </w:r>
    </w:p>
    <w:p>
      <w:pPr>
        <w:tabs>
          <w:tab w:val="left" w:pos="540"/>
        </w:tabs>
        <w:spacing w:line="460" w:lineRule="exact"/>
        <w:ind w:firstLine="325" w:firstLineChars="147"/>
        <w:rPr>
          <w:rFonts w:cs="新宋体" w:asciiTheme="majorEastAsia" w:hAnsiTheme="majorEastAsia" w:eastAsiaTheme="majorEastAsia"/>
          <w:b/>
          <w:bCs/>
          <w:color w:val="auto"/>
          <w:kern w:val="0"/>
          <w:sz w:val="22"/>
          <w:szCs w:val="22"/>
          <w:highlight w:val="none"/>
        </w:rPr>
      </w:pPr>
      <w:r>
        <w:rPr>
          <w:rFonts w:hint="eastAsia" w:cs="新宋体" w:asciiTheme="majorEastAsia" w:hAnsiTheme="majorEastAsia" w:eastAsiaTheme="majorEastAsia"/>
          <w:b/>
          <w:bCs/>
          <w:color w:val="auto"/>
          <w:kern w:val="0"/>
          <w:sz w:val="22"/>
          <w:szCs w:val="22"/>
          <w:highlight w:val="none"/>
        </w:rPr>
        <w:t>（4）第一阶段开标结束。</w:t>
      </w:r>
    </w:p>
    <w:p>
      <w:pPr>
        <w:tabs>
          <w:tab w:val="left" w:pos="540"/>
        </w:tabs>
        <w:spacing w:line="460" w:lineRule="exact"/>
        <w:rPr>
          <w:rFonts w:cs="新宋体" w:asciiTheme="majorEastAsia" w:hAnsiTheme="majorEastAsia" w:eastAsiaTheme="majorEastAsia"/>
          <w:b/>
          <w:bCs/>
          <w:color w:val="auto"/>
          <w:kern w:val="0"/>
          <w:sz w:val="22"/>
          <w:szCs w:val="22"/>
          <w:highlight w:val="none"/>
        </w:rPr>
      </w:pPr>
      <w:r>
        <w:rPr>
          <w:rFonts w:hint="eastAsia" w:cs="新宋体" w:asciiTheme="majorEastAsia" w:hAnsiTheme="majorEastAsia" w:eastAsiaTheme="majorEastAsia"/>
          <w:b/>
          <w:bCs/>
          <w:color w:val="auto"/>
          <w:kern w:val="0"/>
          <w:sz w:val="22"/>
          <w:szCs w:val="22"/>
          <w:highlight w:val="none"/>
        </w:rPr>
        <w:t>备注：开标大会的第一阶段结束后，采购人或采购代理机构将对依法对投标供应商的资格进行审查，资格审查结束后进入符合性审查和技术资信文件的评审工作，具体见本章节“投标供应商资格审查”相关规定。</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kern w:val="0"/>
          <w:sz w:val="22"/>
          <w:szCs w:val="22"/>
          <w:highlight w:val="none"/>
        </w:rPr>
      </w:pPr>
      <w:r>
        <w:rPr>
          <w:rFonts w:hint="eastAsia" w:cs="新宋体" w:asciiTheme="majorEastAsia" w:hAnsiTheme="majorEastAsia" w:eastAsiaTheme="majorEastAsia"/>
          <w:bCs/>
          <w:color w:val="auto"/>
          <w:kern w:val="0"/>
          <w:sz w:val="22"/>
          <w:szCs w:val="22"/>
          <w:highlight w:val="none"/>
        </w:rPr>
        <w:t>3.2开标第二阶段</w:t>
      </w:r>
    </w:p>
    <w:p>
      <w:pPr>
        <w:tabs>
          <w:tab w:val="left" w:pos="540"/>
        </w:tabs>
        <w:spacing w:line="460" w:lineRule="exact"/>
        <w:ind w:firstLine="325" w:firstLineChars="147"/>
        <w:rPr>
          <w:rFonts w:cs="新宋体" w:asciiTheme="majorEastAsia" w:hAnsiTheme="majorEastAsia" w:eastAsiaTheme="majorEastAsia"/>
          <w:b/>
          <w:bCs/>
          <w:color w:val="auto"/>
          <w:kern w:val="0"/>
          <w:sz w:val="22"/>
          <w:szCs w:val="22"/>
          <w:highlight w:val="none"/>
        </w:rPr>
      </w:pPr>
      <w:r>
        <w:rPr>
          <w:rFonts w:hint="eastAsia" w:cs="新宋体" w:asciiTheme="majorEastAsia" w:hAnsiTheme="majorEastAsia" w:eastAsiaTheme="majorEastAsia"/>
          <w:b/>
          <w:bCs/>
          <w:color w:val="auto"/>
          <w:kern w:val="0"/>
          <w:sz w:val="22"/>
          <w:szCs w:val="22"/>
          <w:highlight w:val="none"/>
        </w:rPr>
        <w:t>（1）符合性审查、技术资信文件的评审结束后，举行开标大会第二阶段会议。首先在“政采云平台”系统平台上公布符合性审查、技术资信评审无效供应商名称及理由；公布经技术资信评审后有效投标供应商的名单，同时公布其技术资信部分得分情况。</w:t>
      </w:r>
    </w:p>
    <w:p>
      <w:pPr>
        <w:tabs>
          <w:tab w:val="left" w:pos="540"/>
        </w:tabs>
        <w:spacing w:line="460" w:lineRule="exact"/>
        <w:ind w:firstLine="325" w:firstLineChars="147"/>
        <w:rPr>
          <w:rFonts w:cs="新宋体" w:asciiTheme="majorEastAsia" w:hAnsiTheme="majorEastAsia" w:eastAsiaTheme="majorEastAsia"/>
          <w:b/>
          <w:bCs/>
          <w:color w:val="auto"/>
          <w:kern w:val="0"/>
          <w:sz w:val="22"/>
          <w:szCs w:val="22"/>
          <w:highlight w:val="none"/>
        </w:rPr>
      </w:pPr>
      <w:r>
        <w:rPr>
          <w:rFonts w:hint="eastAsia" w:cs="新宋体" w:asciiTheme="majorEastAsia" w:hAnsiTheme="majorEastAsia" w:eastAsiaTheme="majorEastAsia"/>
          <w:b/>
          <w:bCs/>
          <w:color w:val="auto"/>
          <w:kern w:val="0"/>
          <w:sz w:val="22"/>
          <w:szCs w:val="22"/>
          <w:highlight w:val="none"/>
        </w:rPr>
        <w:t>（2）开启通过符合性审查、技术资信文件评审有效投标供应商的商务（报价）文件，在“政采云平台”系统平台上公布开标一览表有关内容，同时当场制作开标记录。开标结束后，由评标委员会对报价的合理性、准确性等进行审查核实。</w:t>
      </w:r>
    </w:p>
    <w:p>
      <w:pPr>
        <w:spacing w:line="460" w:lineRule="exact"/>
        <w:ind w:firstLine="440" w:firstLineChars="200"/>
        <w:rPr>
          <w:rFonts w:ascii="新宋体" w:hAnsi="新宋体" w:eastAsia="新宋体" w:cs="新宋体"/>
          <w:color w:val="auto"/>
          <w:kern w:val="0"/>
          <w:sz w:val="22"/>
          <w:szCs w:val="22"/>
          <w:highlight w:val="none"/>
        </w:rPr>
      </w:pPr>
      <w:r>
        <w:rPr>
          <w:rFonts w:hint="eastAsia" w:ascii="新宋体" w:hAnsi="新宋体" w:eastAsia="新宋体" w:cs="宋体"/>
          <w:color w:val="auto"/>
          <w:sz w:val="22"/>
          <w:highlight w:val="none"/>
        </w:rPr>
        <w:t>投标文件报价出现前后不一致的，除采购文件另有规定外，按照下列规定修正</w:t>
      </w:r>
      <w:r>
        <w:rPr>
          <w:rFonts w:hint="eastAsia" w:ascii="新宋体" w:hAnsi="新宋体" w:eastAsia="新宋体" w:cs="新宋体"/>
          <w:color w:val="auto"/>
          <w:kern w:val="0"/>
          <w:sz w:val="22"/>
          <w:szCs w:val="22"/>
          <w:highlight w:val="none"/>
        </w:rPr>
        <w:t>：</w:t>
      </w:r>
    </w:p>
    <w:p>
      <w:pPr>
        <w:spacing w:line="460" w:lineRule="exact"/>
        <w:ind w:firstLine="418" w:firstLineChars="19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r>
        <w:rPr>
          <w:rFonts w:hint="eastAsia" w:ascii="新宋体" w:hAnsi="新宋体" w:eastAsia="新宋体" w:cs="宋体"/>
          <w:color w:val="auto"/>
          <w:sz w:val="22"/>
          <w:highlight w:val="none"/>
        </w:rPr>
        <w:t>投标文件中开标一览表（报价表）内容与投标文件中相应内容不一致的，以开标一览表（报价表）为准</w:t>
      </w:r>
      <w:r>
        <w:rPr>
          <w:rFonts w:hint="eastAsia" w:ascii="新宋体" w:hAnsi="新宋体" w:eastAsia="新宋体" w:cs="新宋体"/>
          <w:color w:val="auto"/>
          <w:kern w:val="0"/>
          <w:sz w:val="22"/>
          <w:szCs w:val="22"/>
          <w:highlight w:val="none"/>
        </w:rPr>
        <w:t>。</w:t>
      </w:r>
    </w:p>
    <w:p>
      <w:pPr>
        <w:spacing w:line="460" w:lineRule="exact"/>
        <w:ind w:firstLine="418" w:firstLineChars="190"/>
        <w:rPr>
          <w:rFonts w:ascii="新宋体" w:hAnsi="新宋体" w:eastAsia="新宋体" w:cs="宋体"/>
          <w:color w:val="auto"/>
          <w:sz w:val="22"/>
          <w:highlight w:val="none"/>
        </w:rPr>
      </w:pPr>
      <w:r>
        <w:rPr>
          <w:rFonts w:hint="eastAsia" w:ascii="新宋体" w:hAnsi="新宋体" w:eastAsia="新宋体" w:cs="新宋体"/>
          <w:color w:val="auto"/>
          <w:kern w:val="0"/>
          <w:sz w:val="22"/>
          <w:szCs w:val="22"/>
          <w:highlight w:val="none"/>
        </w:rPr>
        <w:t>2）</w:t>
      </w:r>
      <w:r>
        <w:rPr>
          <w:rFonts w:hint="eastAsia" w:ascii="新宋体" w:hAnsi="新宋体" w:eastAsia="新宋体" w:cs="宋体"/>
          <w:color w:val="auto"/>
          <w:sz w:val="22"/>
          <w:highlight w:val="none"/>
        </w:rPr>
        <w:t>大写金额和小写金额不一致的，以大写金额为准。</w:t>
      </w:r>
    </w:p>
    <w:p>
      <w:pPr>
        <w:spacing w:line="460" w:lineRule="exact"/>
        <w:ind w:firstLine="418" w:firstLineChars="190"/>
        <w:rPr>
          <w:rFonts w:ascii="新宋体" w:hAnsi="新宋体" w:eastAsia="新宋体" w:cs="宋体"/>
          <w:color w:val="auto"/>
          <w:sz w:val="22"/>
          <w:highlight w:val="none"/>
        </w:rPr>
      </w:pPr>
      <w:r>
        <w:rPr>
          <w:rFonts w:hint="eastAsia" w:ascii="新宋体" w:hAnsi="新宋体" w:eastAsia="新宋体" w:cs="宋体"/>
          <w:color w:val="auto"/>
          <w:sz w:val="22"/>
          <w:highlight w:val="none"/>
        </w:rPr>
        <w:t>3）单价金额小数点或者百分比有明显错位的，以开标一览表的总价为准，并修改单价。</w:t>
      </w:r>
    </w:p>
    <w:p>
      <w:pPr>
        <w:spacing w:line="460" w:lineRule="exact"/>
        <w:ind w:firstLine="418" w:firstLineChars="190"/>
        <w:rPr>
          <w:rFonts w:ascii="新宋体" w:hAnsi="新宋体" w:eastAsia="新宋体" w:cs="宋体"/>
          <w:color w:val="auto"/>
          <w:sz w:val="22"/>
          <w:highlight w:val="none"/>
        </w:rPr>
      </w:pPr>
      <w:r>
        <w:rPr>
          <w:rFonts w:hint="eastAsia" w:ascii="新宋体" w:hAnsi="新宋体" w:eastAsia="新宋体" w:cs="宋体"/>
          <w:color w:val="auto"/>
          <w:sz w:val="22"/>
          <w:highlight w:val="none"/>
        </w:rPr>
        <w:t>4）总价金额与按单价汇总金额不一致的，以单价金额计算结果为准。</w:t>
      </w:r>
    </w:p>
    <w:p>
      <w:pPr>
        <w:spacing w:line="460" w:lineRule="exact"/>
        <w:ind w:firstLine="418" w:firstLineChars="190"/>
        <w:rPr>
          <w:rFonts w:ascii="新宋体" w:hAnsi="新宋体" w:eastAsia="新宋体" w:cs="宋体"/>
          <w:color w:val="auto"/>
          <w:sz w:val="22"/>
          <w:highlight w:val="none"/>
        </w:rPr>
      </w:pPr>
      <w:r>
        <w:rPr>
          <w:rFonts w:hint="eastAsia" w:ascii="新宋体" w:hAnsi="新宋体" w:eastAsia="新宋体" w:cs="宋体"/>
          <w:color w:val="auto"/>
          <w:sz w:val="22"/>
          <w:highlight w:val="none"/>
        </w:rPr>
        <w:t>5）</w:t>
      </w:r>
      <w:r>
        <w:rPr>
          <w:rFonts w:hint="eastAsia" w:ascii="新宋体" w:hAnsi="新宋体" w:eastAsia="新宋体" w:cs="新宋体"/>
          <w:color w:val="auto"/>
          <w:sz w:val="22"/>
          <w:szCs w:val="22"/>
          <w:highlight w:val="none"/>
          <w:lang w:eastAsia="zh-CN"/>
        </w:rPr>
        <w:t>投标供应商</w:t>
      </w:r>
      <w:r>
        <w:rPr>
          <w:rFonts w:hint="eastAsia" w:ascii="新宋体" w:hAnsi="新宋体" w:eastAsia="新宋体" w:cs="新宋体"/>
          <w:color w:val="auto"/>
          <w:sz w:val="22"/>
          <w:szCs w:val="22"/>
          <w:highlight w:val="none"/>
        </w:rPr>
        <w:t>在政采云</w:t>
      </w:r>
      <w:r>
        <w:rPr>
          <w:rFonts w:hint="eastAsia" w:ascii="宋体" w:hAnsi="宋体" w:cs="宋体"/>
          <w:color w:val="auto"/>
          <w:sz w:val="22"/>
          <w:szCs w:val="22"/>
          <w:highlight w:val="none"/>
        </w:rPr>
        <w:t>客户端填写的报价与以pdf格式上传文件中的报价不一致的，应以Pdf格式上传文件中的报价为准，修正客户端的报价。</w:t>
      </w:r>
    </w:p>
    <w:p>
      <w:pPr>
        <w:spacing w:line="460" w:lineRule="exact"/>
        <w:ind w:firstLine="420" w:firstLineChars="190"/>
        <w:rPr>
          <w:rFonts w:ascii="新宋体" w:hAnsi="新宋体" w:eastAsia="新宋体" w:cs="宋体"/>
          <w:b/>
          <w:bCs/>
          <w:color w:val="auto"/>
          <w:sz w:val="22"/>
          <w:szCs w:val="22"/>
          <w:highlight w:val="none"/>
        </w:rPr>
      </w:pPr>
      <w:r>
        <w:rPr>
          <w:rFonts w:hint="eastAsia" w:ascii="新宋体" w:hAnsi="新宋体" w:eastAsia="新宋体" w:cs="宋体"/>
          <w:b/>
          <w:bCs/>
          <w:color w:val="auto"/>
          <w:sz w:val="22"/>
          <w:highlight w:val="none"/>
        </w:rPr>
        <w:t>同时出现两种以上不一致的，按照前款规定的顺序修正。修正后的报价按照本采购文件规定经供应商确认后产生约束力，供应商不确认的，其投标无效。</w:t>
      </w:r>
    </w:p>
    <w:p>
      <w:pPr>
        <w:tabs>
          <w:tab w:val="left" w:pos="540"/>
        </w:tabs>
        <w:spacing w:line="460" w:lineRule="exact"/>
        <w:ind w:firstLine="325" w:firstLineChars="147"/>
        <w:rPr>
          <w:rFonts w:cs="新宋体" w:asciiTheme="majorEastAsia" w:hAnsiTheme="majorEastAsia" w:eastAsiaTheme="majorEastAsia"/>
          <w:b/>
          <w:bCs/>
          <w:color w:val="auto"/>
          <w:kern w:val="0"/>
          <w:sz w:val="22"/>
          <w:szCs w:val="22"/>
          <w:highlight w:val="none"/>
        </w:rPr>
      </w:pPr>
      <w:r>
        <w:rPr>
          <w:rFonts w:hint="eastAsia" w:cs="新宋体" w:asciiTheme="majorEastAsia" w:hAnsiTheme="majorEastAsia" w:eastAsiaTheme="majorEastAsia"/>
          <w:b/>
          <w:bCs/>
          <w:color w:val="auto"/>
          <w:kern w:val="0"/>
          <w:sz w:val="22"/>
          <w:szCs w:val="22"/>
          <w:highlight w:val="none"/>
        </w:rPr>
        <w:t>（3）评审结束后，在“政采云平台”系统平台上公布中标（成交）候选供应商名单，及采购人最终确定中标或</w:t>
      </w:r>
      <w:r>
        <w:rPr>
          <w:rFonts w:hint="eastAsia" w:cs="新宋体" w:asciiTheme="majorEastAsia" w:hAnsiTheme="majorEastAsia" w:eastAsiaTheme="majorEastAsia"/>
          <w:b/>
          <w:bCs/>
          <w:color w:val="auto"/>
          <w:kern w:val="0"/>
          <w:sz w:val="22"/>
          <w:szCs w:val="22"/>
          <w:highlight w:val="none"/>
          <w:lang w:eastAsia="zh-CN"/>
        </w:rPr>
        <w:t>中标供应商</w:t>
      </w:r>
      <w:r>
        <w:rPr>
          <w:rFonts w:hint="eastAsia" w:cs="新宋体" w:asciiTheme="majorEastAsia" w:hAnsiTheme="majorEastAsia" w:eastAsiaTheme="majorEastAsia"/>
          <w:b/>
          <w:bCs/>
          <w:color w:val="auto"/>
          <w:kern w:val="0"/>
          <w:sz w:val="22"/>
          <w:szCs w:val="22"/>
          <w:highlight w:val="none"/>
        </w:rPr>
        <w:t>名单的时间和公告方式等。</w:t>
      </w:r>
    </w:p>
    <w:p>
      <w:pPr>
        <w:tabs>
          <w:tab w:val="left" w:pos="540"/>
        </w:tabs>
        <w:spacing w:line="460" w:lineRule="exact"/>
        <w:rPr>
          <w:rFonts w:cs="新宋体" w:asciiTheme="majorEastAsia" w:hAnsiTheme="majorEastAsia" w:eastAsiaTheme="majorEastAsia"/>
          <w:b/>
          <w:bCs/>
          <w:color w:val="auto"/>
          <w:kern w:val="0"/>
          <w:sz w:val="22"/>
          <w:szCs w:val="22"/>
          <w:highlight w:val="none"/>
        </w:rPr>
      </w:pPr>
      <w:r>
        <w:rPr>
          <w:rFonts w:hint="eastAsia" w:cs="新宋体" w:asciiTheme="majorEastAsia" w:hAnsiTheme="majorEastAsia" w:eastAsiaTheme="majorEastAsia"/>
          <w:b/>
          <w:bCs/>
          <w:color w:val="auto"/>
          <w:kern w:val="0"/>
          <w:sz w:val="22"/>
          <w:szCs w:val="22"/>
          <w:highlight w:val="none"/>
        </w:rPr>
        <w:t>特别说明：如遇“政采云平台”电子化开标或评审程序调整的，按调整后程序执行。</w:t>
      </w:r>
    </w:p>
    <w:p>
      <w:pPr>
        <w:autoSpaceDE w:val="0"/>
        <w:autoSpaceDN w:val="0"/>
        <w:adjustRightInd w:val="0"/>
        <w:spacing w:line="460" w:lineRule="atLeast"/>
        <w:ind w:firstLine="442" w:firstLineChars="200"/>
        <w:textAlignment w:val="bottom"/>
        <w:rPr>
          <w:rFonts w:cs="新宋体" w:asciiTheme="majorEastAsia" w:hAnsiTheme="majorEastAsia" w:eastAsiaTheme="majorEastAsia"/>
          <w:b/>
          <w:bCs/>
          <w:color w:val="auto"/>
          <w:kern w:val="0"/>
          <w:sz w:val="22"/>
          <w:szCs w:val="22"/>
          <w:highlight w:val="none"/>
        </w:rPr>
      </w:pPr>
      <w:bookmarkStart w:id="67" w:name="_Toc33194393"/>
      <w:bookmarkStart w:id="68" w:name="_Toc24550037"/>
      <w:r>
        <w:rPr>
          <w:rFonts w:hint="eastAsia" w:cs="新宋体" w:asciiTheme="majorEastAsia" w:hAnsiTheme="majorEastAsia" w:eastAsiaTheme="majorEastAsia"/>
          <w:b/>
          <w:bCs/>
          <w:color w:val="auto"/>
          <w:kern w:val="0"/>
          <w:sz w:val="22"/>
          <w:szCs w:val="22"/>
          <w:highlight w:val="none"/>
        </w:rPr>
        <w:t>4、 投标供应商资格审查</w:t>
      </w:r>
      <w:bookmarkEnd w:id="67"/>
      <w:bookmarkEnd w:id="68"/>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kern w:val="0"/>
          <w:sz w:val="22"/>
          <w:szCs w:val="22"/>
          <w:highlight w:val="none"/>
        </w:rPr>
      </w:pPr>
      <w:r>
        <w:rPr>
          <w:rFonts w:hint="eastAsia" w:cs="新宋体" w:asciiTheme="majorEastAsia" w:hAnsiTheme="majorEastAsia" w:eastAsiaTheme="majorEastAsia"/>
          <w:bCs/>
          <w:color w:val="auto"/>
          <w:kern w:val="0"/>
          <w:sz w:val="22"/>
          <w:szCs w:val="22"/>
          <w:highlight w:val="none"/>
        </w:rPr>
        <w:t>4.1开标大会第一阶段结束后，采购人或采购代理机构首先依法对各投标供应商的资格进行审查，审查各投标供应商的资格是否满足招标文件的要求。采购人或采购代理机构对投标供应商所提交的资格审查材料仅负审核的责任。如发现投标供应商所提交的资格审查材料不合法或与事实不符，采购人可取消其中标资格并追究投标供应商的法律责任。</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kern w:val="0"/>
          <w:sz w:val="22"/>
          <w:szCs w:val="22"/>
          <w:highlight w:val="none"/>
        </w:rPr>
      </w:pPr>
      <w:r>
        <w:rPr>
          <w:rFonts w:hint="eastAsia" w:cs="新宋体" w:asciiTheme="majorEastAsia" w:hAnsiTheme="majorEastAsia" w:eastAsiaTheme="majorEastAsia"/>
          <w:bCs/>
          <w:color w:val="auto"/>
          <w:kern w:val="0"/>
          <w:sz w:val="22"/>
          <w:szCs w:val="22"/>
          <w:highlight w:val="none"/>
        </w:rPr>
        <w:t>4.2投标供应商提交的资格审查材料无法证明其符合招标文件规定的“投标供应商资格要求”的，采购人或采购代理机构将对其作资格审查不通过处理（无效投标），并不再将其投标提交评标委员会进行后续评审。</w:t>
      </w:r>
    </w:p>
    <w:p>
      <w:pPr>
        <w:autoSpaceDE w:val="0"/>
        <w:autoSpaceDN w:val="0"/>
        <w:adjustRightInd w:val="0"/>
        <w:spacing w:line="460" w:lineRule="atLeast"/>
        <w:ind w:firstLine="440" w:firstLineChars="200"/>
        <w:textAlignment w:val="bottom"/>
        <w:rPr>
          <w:rFonts w:cs="新宋体" w:asciiTheme="majorEastAsia" w:hAnsiTheme="majorEastAsia" w:eastAsiaTheme="majorEastAsia"/>
          <w:bCs/>
          <w:color w:val="auto"/>
          <w:kern w:val="0"/>
          <w:sz w:val="22"/>
          <w:szCs w:val="22"/>
          <w:highlight w:val="none"/>
        </w:rPr>
      </w:pPr>
      <w:r>
        <w:rPr>
          <w:rFonts w:hint="eastAsia" w:cs="新宋体" w:asciiTheme="majorEastAsia" w:hAnsiTheme="majorEastAsia" w:eastAsiaTheme="majorEastAsia"/>
          <w:bCs/>
          <w:color w:val="auto"/>
          <w:kern w:val="0"/>
          <w:sz w:val="22"/>
          <w:szCs w:val="22"/>
          <w:highlight w:val="none"/>
        </w:rPr>
        <w:t>4.3单位负责人为同一人或者存在直接控股、管理关系的不同供应商参加同一合同项下的政府采购活动的，相关投标供应商均作资格无效处理。</w:t>
      </w:r>
    </w:p>
    <w:p>
      <w:pPr>
        <w:pStyle w:val="24"/>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5、评标</w:t>
      </w:r>
    </w:p>
    <w:p>
      <w:pPr>
        <w:pStyle w:val="24"/>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5.1评标由采购人依法组建的评标委员会负责，并独立履行下列职责：</w:t>
      </w:r>
    </w:p>
    <w:p>
      <w:pPr>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1）审查投标文件是否符合招标文件要求，并做出评价；</w:t>
      </w:r>
    </w:p>
    <w:p>
      <w:pPr>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2）要求供应商对投标文件有关事项做出解释或者澄清；</w:t>
      </w:r>
    </w:p>
    <w:p>
      <w:pPr>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3）按照招标文件确定的评标办法确定中标人，并对其排序；综合得分最高的供应商推荐为中标人；</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4）向采购人或者有关部门报告非法干预评标工作的行为。</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5）根据采购人的授权确定中标人名单；</w:t>
      </w:r>
    </w:p>
    <w:p>
      <w:pPr>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5.2评标应当遵循下列工作程序：</w:t>
      </w:r>
    </w:p>
    <w:p>
      <w:pPr>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1）投标文件初审。初审为符合性检查。</w:t>
      </w:r>
    </w:p>
    <w:p>
      <w:pPr>
        <w:snapToGrid w:val="0"/>
        <w:spacing w:line="460" w:lineRule="atLeast"/>
        <w:ind w:firstLine="323" w:firstLineChars="14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（1)符合性检查。依据招标文件的规定，从投标文件的有效性、完整性和对招标文件的响应程度进行审查，以确定是否对招标文件的实质性要求做出响应。</w:t>
      </w:r>
    </w:p>
    <w:p>
      <w:pPr>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pPr>
        <w:adjustRightInd w:val="0"/>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实质上没有响应招标文件要求的投标将被拒绝。供应商不得通过修正或撤消不合要求的偏离从而使其投标成为实质上响应的投标。</w:t>
      </w:r>
    </w:p>
    <w:p>
      <w:pPr>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评标委员会对投标文件的判定，只依据投标文件内容本身，不依靠开标后的任何外来证明。</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3）比较与评价。按招标文件中规定的评标方法和标准，对资格性检查和符合性检查合格的投标文件进行商务和技术评估，综合比较与评价。</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4）推荐中标人候选人名单，并根据采购人的授权确定中标人。</w:t>
      </w:r>
    </w:p>
    <w:p>
      <w:pPr>
        <w:pStyle w:val="24"/>
        <w:snapToGrid w:val="0"/>
        <w:spacing w:line="460" w:lineRule="atLeast"/>
        <w:ind w:firstLine="435" w:firstLineChars="197"/>
        <w:rPr>
          <w:rFonts w:cs="新宋体" w:asciiTheme="majorEastAsia" w:hAnsiTheme="majorEastAsia" w:eastAsiaTheme="majorEastAsia"/>
          <w:b/>
          <w:color w:val="auto"/>
          <w:sz w:val="22"/>
          <w:szCs w:val="22"/>
          <w:highlight w:val="none"/>
          <w:u w:val="single"/>
        </w:rPr>
      </w:pPr>
      <w:r>
        <w:rPr>
          <w:rFonts w:hint="eastAsia" w:cs="新宋体" w:asciiTheme="majorEastAsia" w:hAnsiTheme="majorEastAsia" w:eastAsiaTheme="majorEastAsia"/>
          <w:b/>
          <w:color w:val="auto"/>
          <w:sz w:val="22"/>
          <w:szCs w:val="22"/>
          <w:highlight w:val="none"/>
        </w:rPr>
        <w:t xml:space="preserve">5.3 </w:t>
      </w:r>
      <w:r>
        <w:rPr>
          <w:rFonts w:hint="eastAsia" w:cs="新宋体" w:asciiTheme="majorEastAsia" w:hAnsiTheme="majorEastAsia" w:eastAsiaTheme="majorEastAsia"/>
          <w:b/>
          <w:color w:val="auto"/>
          <w:sz w:val="22"/>
          <w:szCs w:val="22"/>
          <w:highlight w:val="none"/>
          <w:u w:val="single"/>
        </w:rPr>
        <w:t>▲投标供应商存在下列情况之一的，投标无效:</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1）投标文件未按招标文件要求签署、盖章的；</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2）不具备招标文件中规定的资格要求的；</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3）报价超过招标文件中规定的预算金额或者最高限价的；</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4）投标文件含有采购人不能接受的附加条件的（包括招标文件中明确要求不得偏离的招标要求，存在负偏离的）;</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5）仅提交“备份投标文件”的；</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6）对关键条文的偏离、保留或反对，例如关于付款方式、完工期、免费质保期、适用法律法规、标准、税费等其他内容；</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7）存在串标、抬标或弄虚作假情况的；</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8）法律、法规和招标文件规定的其他无效情形（或出现重大偏差）。</w:t>
      </w:r>
    </w:p>
    <w:p>
      <w:pPr>
        <w:pStyle w:val="24"/>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5.4 ▲</w:t>
      </w:r>
      <w:r>
        <w:rPr>
          <w:rFonts w:hint="eastAsia" w:cs="新宋体" w:asciiTheme="majorEastAsia" w:hAnsiTheme="majorEastAsia" w:eastAsiaTheme="majorEastAsia"/>
          <w:b/>
          <w:color w:val="auto"/>
          <w:sz w:val="22"/>
          <w:szCs w:val="22"/>
          <w:highlight w:val="none"/>
          <w:u w:val="single"/>
        </w:rPr>
        <w:t>评标委员会发现投标文件有下列情形之一的属于重大偏差(评标委员会按少数服从多数原则认定)，按照无效投标处理：</w:t>
      </w:r>
    </w:p>
    <w:p>
      <w:pPr>
        <w:pStyle w:val="24"/>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1）未按招标文件要求编制或字迹模糊、辨认不清的投标文件；</w:t>
      </w:r>
    </w:p>
    <w:p>
      <w:pPr>
        <w:pStyle w:val="24"/>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2）供应商技术资信投标文件中出现投标报价；</w:t>
      </w:r>
    </w:p>
    <w:p>
      <w:pPr>
        <w:pStyle w:val="24"/>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3）除5.3条款以外，出现其它明显不符合技术规格、技术标准的要求或不满足招标文件技术规格书中的主要参数的投标文件；</w:t>
      </w:r>
    </w:p>
    <w:p>
      <w:pPr>
        <w:pStyle w:val="24"/>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4）除5.3条款以外，出现投标服务内容与招标文件对比出现较大偏差；商务报价明细表计算错误，出现较大差错；</w:t>
      </w:r>
    </w:p>
    <w:p>
      <w:pPr>
        <w:pStyle w:val="24"/>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5）除5.3条款以外，出现其它不符合招标文件中规定的实质性要求的投标文件，是否为偏离实质性要求由评标委员会认定。</w:t>
      </w:r>
    </w:p>
    <w:p>
      <w:pPr>
        <w:pStyle w:val="24"/>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5.5 开启供应商商务报价文件后发现价格、数量有误，其投标价将按下述原则处理：</w:t>
      </w:r>
    </w:p>
    <w:p>
      <w:pPr>
        <w:adjustRightInd w:val="0"/>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 任何有漏去一些小项货物或服务的投标将被视为其费用已包含在投标总价中，投标价格不予调整。如果供应商不接受上述处理方式，将作为无效投标。</w:t>
      </w:r>
    </w:p>
    <w:p>
      <w:pPr>
        <w:adjustRightInd w:val="0"/>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2) 任何有多报一些小项工程或服务的投标其投标价不予调整，如果该供应商中标，则合同价格必须为核减掉多报的一些小项工程或服务后的价格。如果供应商不接受上述处理方式，将作为无效投标。</w:t>
      </w:r>
    </w:p>
    <w:p>
      <w:pPr>
        <w:adjustRightInd w:val="0"/>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3）对于计算错误的其投标价不予调整，如果该供应商中标，如其投标价格计算错误导致多报者合同价格予以据实核减，少报者合同价格不予调整。如果供应商不接受上述处理方式，将作为无效投标。</w:t>
      </w:r>
    </w:p>
    <w:p>
      <w:pPr>
        <w:adjustRightInd w:val="0"/>
        <w:snapToGrid w:val="0"/>
        <w:spacing w:line="460" w:lineRule="atLeast"/>
        <w:ind w:firstLine="433" w:firstLineChars="197"/>
        <w:rPr>
          <w:rFonts w:cs="新宋体" w:asciiTheme="majorEastAsia" w:hAnsiTheme="majorEastAsia" w:eastAsiaTheme="majorEastAsia"/>
          <w:color w:val="auto"/>
          <w:sz w:val="22"/>
          <w:szCs w:val="22"/>
          <w:highlight w:val="none"/>
          <w:u w:val="single"/>
        </w:rPr>
      </w:pPr>
      <w:r>
        <w:rPr>
          <w:rFonts w:hint="eastAsia" w:cs="新宋体" w:asciiTheme="majorEastAsia" w:hAnsiTheme="majorEastAsia" w:eastAsiaTheme="majorEastAsia"/>
          <w:color w:val="auto"/>
          <w:sz w:val="22"/>
          <w:szCs w:val="22"/>
          <w:highlight w:val="none"/>
          <w:u w:val="single"/>
        </w:rPr>
        <w:t>4）对于计算错误，多报或漏报的一些小项工程或服务的仅仅为非实质性重大偏差范围内的偏离，并经过评标委员会按少数服从多数原则认定为细微偏差，评审时其投标价不予调整。</w:t>
      </w:r>
      <w:r>
        <w:rPr>
          <w:rFonts w:hint="eastAsia" w:cs="新宋体" w:asciiTheme="majorEastAsia" w:hAnsiTheme="majorEastAsia" w:eastAsiaTheme="majorEastAsia"/>
          <w:b/>
          <w:color w:val="auto"/>
          <w:sz w:val="22"/>
          <w:szCs w:val="22"/>
          <w:highlight w:val="none"/>
          <w:u w:val="single"/>
        </w:rPr>
        <w:t>如认定为重大偏差的，做无效投标处理。</w:t>
      </w:r>
    </w:p>
    <w:p>
      <w:pPr>
        <w:adjustRightInd w:val="0"/>
        <w:snapToGrid w:val="0"/>
        <w:spacing w:line="460" w:lineRule="atLeast"/>
        <w:ind w:firstLine="435" w:firstLineChars="197"/>
        <w:rPr>
          <w:rFonts w:cs="新宋体" w:asciiTheme="majorEastAsia" w:hAnsiTheme="majorEastAsia" w:eastAsiaTheme="majorEastAsia"/>
          <w:b/>
          <w:color w:val="auto"/>
          <w:sz w:val="22"/>
          <w:szCs w:val="22"/>
          <w:highlight w:val="none"/>
          <w:u w:val="single"/>
        </w:rPr>
      </w:pPr>
      <w:r>
        <w:rPr>
          <w:rFonts w:hint="eastAsia" w:cs="新宋体" w:asciiTheme="majorEastAsia" w:hAnsiTheme="majorEastAsia" w:eastAsiaTheme="majorEastAsia"/>
          <w:b/>
          <w:color w:val="auto"/>
          <w:sz w:val="22"/>
          <w:szCs w:val="22"/>
          <w:highlight w:val="none"/>
          <w:u w:val="single"/>
        </w:rPr>
        <w:t>5.6▲评标委员会认为投标供应商的报价明显低于其他通过符合性审查投标供应商的报价，有可能影响产品质量或者不能诚信履约的，将要求其在合理时间内在“政采云平台”上作出在线澄清并提供书面说明，必要时提交相关证明材料；投标供应商不能证明其报价合理性的，评标委员会应当将其作为无效投标处理。</w:t>
      </w:r>
    </w:p>
    <w:p>
      <w:pPr>
        <w:adjustRightInd w:val="0"/>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u w:val="single"/>
        </w:rPr>
        <w:t>5.7如果投标供应商代表拒绝按评标委员会要求在“政采云平台”作出在线回复且无其他有效回复方式的，评标委员会可以对其作出否决投标处理。</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5.8 经澄清后，若偏差仍存在，且不可接受，则投标文件将被认定为“没有实质性响应招标文件要求”，按无效投标处理，不再进入下一步评审。评标委员会在评标中，不得改变招标文件中规定的评标标准、方法和中标条件。</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5.9 评标时如遇到招标文件未规定的特殊情况，由评标委员会按少数服从多数原则集体决定处理。</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6、投标文件的澄清</w:t>
      </w:r>
    </w:p>
    <w:p>
      <w:pPr>
        <w:adjustRightInd w:val="0"/>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 xml:space="preserve">6.1 </w:t>
      </w:r>
      <w:r>
        <w:rPr>
          <w:rFonts w:hint="eastAsia" w:cs="宋体" w:asciiTheme="majorEastAsia" w:hAnsiTheme="majorEastAsia" w:eastAsiaTheme="majorEastAsia"/>
          <w:b/>
          <w:bCs/>
          <w:color w:val="auto"/>
          <w:sz w:val="22"/>
          <w:szCs w:val="22"/>
          <w:highlight w:val="none"/>
        </w:rPr>
        <w:t>为有助于投标文件的审查、评价和比较，评标小组可以在“政采云平台”在线询标或其他有效形式要求投标供应商对同一份投标文件含义不明确或同类问题表述不一致的内容（招标文件其它地方有规定处理方法的除外）作必要的澄清或说明，投标供应商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r>
        <w:rPr>
          <w:rFonts w:hint="eastAsia" w:cs="新宋体" w:asciiTheme="majorEastAsia" w:hAnsiTheme="majorEastAsia" w:eastAsiaTheme="majorEastAsia"/>
          <w:color w:val="auto"/>
          <w:sz w:val="22"/>
          <w:szCs w:val="22"/>
          <w:highlight w:val="none"/>
        </w:rPr>
        <w:t>。</w:t>
      </w:r>
    </w:p>
    <w:p>
      <w:pPr>
        <w:adjustRightInd w:val="0"/>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6.2 若投标文件中所提交的证书、证明等材料若出现已过有效期、时间或其他主要信息不明确，且投标供应商书面澄清（书面澄清仅限在投标文件递交截止时间前所提交投标文件及相关材料中未被评标委员会审查出的内容）亦不明确的，评审过程中将不予认可，不再寻求外部证据（外部证据包括投标供应商在澄清过程中申请补交的证明材料或网络查询结果等非投标文件本身内容）。</w:t>
      </w:r>
    </w:p>
    <w:p>
      <w:pPr>
        <w:adjustRightInd w:val="0"/>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 xml:space="preserve">6.3 供应商对投标文件的澄清不得寻求、提供或允许改变投标价格等实质性内容。 </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7、禁止供应商相互串通投标。</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7.1、有下列情形之一的，视为供应商相互串通投标：</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（一）不同供应商的投标文件由同一单位或者个人编制；</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（二）不同供应商委托同一单位或者个人办理投标事宜；</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（三）不同供应商的投标文件载明的项目管理成员为同一人；</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（四）不同供应商的投标文件异常一致或者投标报价呈规律性差异；</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（五）不同供应商的投标文件相互混装；</w:t>
      </w:r>
    </w:p>
    <w:p>
      <w:pPr>
        <w:adjustRightInd w:val="0"/>
        <w:snapToGrid w:val="0"/>
        <w:spacing w:line="460" w:lineRule="atLeast"/>
        <w:ind w:left="414" w:left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7.2、经评标委员会认定供应商进行串通投标的，评标委员会可以对相关供应商做出无效投标处理，并上报政府采购管理部门进行进一步处理。</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8、评标原则</w:t>
      </w:r>
    </w:p>
    <w:p>
      <w:pPr>
        <w:pStyle w:val="24"/>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8.1 ▲</w:t>
      </w:r>
      <w:r>
        <w:rPr>
          <w:rFonts w:hint="eastAsia" w:cs="新宋体" w:asciiTheme="majorEastAsia" w:hAnsiTheme="majorEastAsia" w:eastAsiaTheme="majorEastAsia"/>
          <w:b/>
          <w:color w:val="auto"/>
          <w:sz w:val="22"/>
          <w:szCs w:val="22"/>
          <w:highlight w:val="none"/>
          <w:u w:val="single"/>
        </w:rPr>
        <w:t>投标截止时或评审过程中有效投标供应商不足三家的，不予开标或评标。</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9、确定中标候选人</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9.1本次招标由评标委员会推荐中标候选人，采购人根据评标委员会的推荐结果进行最终确认。</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9.2评标委员会依据法律、法规及招标文件有关规定在有效标中按投标供应商的最终得分（即技术分与商务分之和）高低进行排序，得分前二名的投标供应商推荐为第一中标候选人与第二中标候选人（得分相同投标报价低的排序第一；得分且投标报价相同的，由评标委员会成员抽签决定排序）。</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9.3若出现以下情形之一，采购人可视具体情况确定是否由下一候选人为中标人或重新组织招标：</w:t>
      </w:r>
    </w:p>
    <w:p>
      <w:pPr>
        <w:spacing w:line="460" w:lineRule="exact"/>
        <w:ind w:firstLine="418" w:firstLineChars="190"/>
        <w:rPr>
          <w:rFonts w:cs="新宋体" w:asciiTheme="majorEastAsia" w:hAnsiTheme="majorEastAsia" w:eastAsiaTheme="majorEastAsia"/>
          <w:color w:val="auto"/>
          <w:kern w:val="0"/>
          <w:sz w:val="22"/>
          <w:szCs w:val="22"/>
          <w:highlight w:val="none"/>
        </w:rPr>
      </w:pPr>
      <w:r>
        <w:rPr>
          <w:rFonts w:hint="eastAsia" w:cs="新宋体" w:asciiTheme="majorEastAsia" w:hAnsiTheme="majorEastAsia" w:eastAsiaTheme="majorEastAsia"/>
          <w:color w:val="auto"/>
          <w:kern w:val="0"/>
          <w:sz w:val="22"/>
          <w:szCs w:val="22"/>
          <w:highlight w:val="none"/>
        </w:rPr>
        <w:t>1）中标候选人放弃中标资格；</w:t>
      </w:r>
    </w:p>
    <w:p>
      <w:pPr>
        <w:spacing w:line="460" w:lineRule="exact"/>
        <w:ind w:firstLine="418" w:firstLineChars="190"/>
        <w:rPr>
          <w:rFonts w:cs="新宋体" w:asciiTheme="majorEastAsia" w:hAnsiTheme="majorEastAsia" w:eastAsiaTheme="majorEastAsia"/>
          <w:color w:val="auto"/>
          <w:kern w:val="0"/>
          <w:sz w:val="22"/>
          <w:szCs w:val="22"/>
          <w:highlight w:val="none"/>
        </w:rPr>
      </w:pPr>
      <w:r>
        <w:rPr>
          <w:rFonts w:hint="eastAsia" w:cs="新宋体" w:asciiTheme="majorEastAsia" w:hAnsiTheme="majorEastAsia" w:eastAsiaTheme="majorEastAsia"/>
          <w:color w:val="auto"/>
          <w:kern w:val="0"/>
          <w:sz w:val="22"/>
          <w:szCs w:val="22"/>
          <w:highlight w:val="none"/>
        </w:rPr>
        <w:t>2）中标候选人因不可抗力提出不能履行合同；</w:t>
      </w:r>
    </w:p>
    <w:p>
      <w:pPr>
        <w:spacing w:line="460" w:lineRule="exact"/>
        <w:ind w:firstLine="418" w:firstLineChars="190"/>
        <w:rPr>
          <w:rFonts w:cs="新宋体" w:asciiTheme="majorEastAsia" w:hAnsiTheme="majorEastAsia" w:eastAsiaTheme="majorEastAsia"/>
          <w:color w:val="auto"/>
          <w:kern w:val="0"/>
          <w:sz w:val="22"/>
          <w:szCs w:val="22"/>
          <w:highlight w:val="none"/>
        </w:rPr>
      </w:pPr>
      <w:r>
        <w:rPr>
          <w:rFonts w:hint="eastAsia" w:cs="新宋体" w:asciiTheme="majorEastAsia" w:hAnsiTheme="majorEastAsia" w:eastAsiaTheme="majorEastAsia"/>
          <w:color w:val="auto"/>
          <w:kern w:val="0"/>
          <w:sz w:val="22"/>
          <w:szCs w:val="22"/>
          <w:highlight w:val="none"/>
        </w:rPr>
        <w:t>3）中标候选人未能在规定时间内与采购单位签订合同；</w:t>
      </w:r>
    </w:p>
    <w:p>
      <w:pPr>
        <w:spacing w:line="460" w:lineRule="exact"/>
        <w:ind w:firstLine="418" w:firstLineChars="190"/>
        <w:rPr>
          <w:rFonts w:cs="新宋体" w:asciiTheme="majorEastAsia" w:hAnsiTheme="majorEastAsia" w:eastAsiaTheme="majorEastAsia"/>
          <w:color w:val="auto"/>
          <w:kern w:val="0"/>
          <w:sz w:val="22"/>
          <w:szCs w:val="22"/>
          <w:highlight w:val="none"/>
        </w:rPr>
      </w:pPr>
      <w:r>
        <w:rPr>
          <w:rFonts w:hint="eastAsia" w:cs="新宋体" w:asciiTheme="majorEastAsia" w:hAnsiTheme="majorEastAsia" w:eastAsiaTheme="majorEastAsia"/>
          <w:color w:val="auto"/>
          <w:kern w:val="0"/>
          <w:sz w:val="22"/>
          <w:szCs w:val="22"/>
          <w:highlight w:val="none"/>
        </w:rPr>
        <w:t>4）经质疑，采购人审查后，中标候选人确实在本次采购活动中存在违法违规行为或其他原因使质疑成立的。</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9.4采购人、采购代理机构及评标委员会对未中标的供应商不作解释。</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10、评标细则详见“评标原则及方法”。</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11、 可中止电子交易活动的情形</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11.1采购过程中出现以下情形，导致电子交易平台无法正常运行，或者无法保证电子交易的公平、公正和安全时，采购组织机构可中止电子交易活动：</w:t>
      </w:r>
    </w:p>
    <w:p>
      <w:pPr>
        <w:numPr>
          <w:ilvl w:val="2"/>
          <w:numId w:val="5"/>
        </w:numPr>
        <w:tabs>
          <w:tab w:val="left" w:pos="993"/>
        </w:tabs>
        <w:spacing w:line="460" w:lineRule="exact"/>
        <w:ind w:left="993" w:hanging="426"/>
        <w:rPr>
          <w:rFonts w:cs="新宋体" w:asciiTheme="majorEastAsia" w:hAnsiTheme="majorEastAsia" w:eastAsiaTheme="majorEastAsia"/>
          <w:color w:val="auto"/>
          <w:kern w:val="0"/>
          <w:sz w:val="22"/>
          <w:szCs w:val="22"/>
          <w:highlight w:val="none"/>
        </w:rPr>
      </w:pPr>
      <w:r>
        <w:rPr>
          <w:rFonts w:hint="eastAsia" w:cs="新宋体" w:asciiTheme="majorEastAsia" w:hAnsiTheme="majorEastAsia" w:eastAsiaTheme="majorEastAsia"/>
          <w:color w:val="auto"/>
          <w:kern w:val="0"/>
          <w:sz w:val="22"/>
          <w:szCs w:val="22"/>
          <w:highlight w:val="none"/>
        </w:rPr>
        <w:t>电子交易平台发生故障而无法登录访问的；</w:t>
      </w:r>
    </w:p>
    <w:p>
      <w:pPr>
        <w:numPr>
          <w:ilvl w:val="2"/>
          <w:numId w:val="5"/>
        </w:numPr>
        <w:tabs>
          <w:tab w:val="left" w:pos="993"/>
        </w:tabs>
        <w:spacing w:line="460" w:lineRule="exact"/>
        <w:ind w:left="993" w:hanging="426"/>
        <w:rPr>
          <w:rFonts w:cs="新宋体" w:asciiTheme="majorEastAsia" w:hAnsiTheme="majorEastAsia" w:eastAsiaTheme="majorEastAsia"/>
          <w:color w:val="auto"/>
          <w:kern w:val="0"/>
          <w:sz w:val="22"/>
          <w:szCs w:val="22"/>
          <w:highlight w:val="none"/>
        </w:rPr>
      </w:pPr>
      <w:r>
        <w:rPr>
          <w:rFonts w:hint="eastAsia" w:cs="新宋体" w:asciiTheme="majorEastAsia" w:hAnsiTheme="majorEastAsia" w:eastAsiaTheme="majorEastAsia"/>
          <w:color w:val="auto"/>
          <w:kern w:val="0"/>
          <w:sz w:val="22"/>
          <w:szCs w:val="22"/>
          <w:highlight w:val="none"/>
        </w:rPr>
        <w:t>电子交易平台应用或数据库出现错误，不能进行正常操作的；</w:t>
      </w:r>
    </w:p>
    <w:p>
      <w:pPr>
        <w:numPr>
          <w:ilvl w:val="2"/>
          <w:numId w:val="5"/>
        </w:numPr>
        <w:tabs>
          <w:tab w:val="left" w:pos="993"/>
        </w:tabs>
        <w:spacing w:line="460" w:lineRule="exact"/>
        <w:ind w:left="993" w:hanging="426"/>
        <w:rPr>
          <w:rFonts w:cs="新宋体" w:asciiTheme="majorEastAsia" w:hAnsiTheme="majorEastAsia" w:eastAsiaTheme="majorEastAsia"/>
          <w:color w:val="auto"/>
          <w:kern w:val="0"/>
          <w:sz w:val="22"/>
          <w:szCs w:val="22"/>
          <w:highlight w:val="none"/>
        </w:rPr>
      </w:pPr>
      <w:r>
        <w:rPr>
          <w:rFonts w:hint="eastAsia" w:cs="新宋体" w:asciiTheme="majorEastAsia" w:hAnsiTheme="majorEastAsia" w:eastAsiaTheme="majorEastAsia"/>
          <w:color w:val="auto"/>
          <w:kern w:val="0"/>
          <w:sz w:val="22"/>
          <w:szCs w:val="22"/>
          <w:highlight w:val="none"/>
        </w:rPr>
        <w:t>电子交易平台发现严重安全漏洞，有潜在泄密危险的；</w:t>
      </w:r>
    </w:p>
    <w:p>
      <w:pPr>
        <w:numPr>
          <w:ilvl w:val="2"/>
          <w:numId w:val="5"/>
        </w:numPr>
        <w:tabs>
          <w:tab w:val="left" w:pos="993"/>
        </w:tabs>
        <w:spacing w:line="460" w:lineRule="exact"/>
        <w:ind w:left="993" w:hanging="426"/>
        <w:rPr>
          <w:rFonts w:cs="新宋体" w:asciiTheme="majorEastAsia" w:hAnsiTheme="majorEastAsia" w:eastAsiaTheme="majorEastAsia"/>
          <w:color w:val="auto"/>
          <w:kern w:val="0"/>
          <w:sz w:val="22"/>
          <w:szCs w:val="22"/>
          <w:highlight w:val="none"/>
        </w:rPr>
      </w:pPr>
      <w:r>
        <w:rPr>
          <w:rFonts w:hint="eastAsia" w:cs="新宋体" w:asciiTheme="majorEastAsia" w:hAnsiTheme="majorEastAsia" w:eastAsiaTheme="majorEastAsia"/>
          <w:color w:val="auto"/>
          <w:kern w:val="0"/>
          <w:sz w:val="22"/>
          <w:szCs w:val="22"/>
          <w:highlight w:val="none"/>
        </w:rPr>
        <w:t>病毒发作导致不能进行正常操作的；</w:t>
      </w:r>
    </w:p>
    <w:p>
      <w:pPr>
        <w:numPr>
          <w:ilvl w:val="2"/>
          <w:numId w:val="5"/>
        </w:numPr>
        <w:tabs>
          <w:tab w:val="left" w:pos="993"/>
        </w:tabs>
        <w:spacing w:line="460" w:lineRule="exact"/>
        <w:ind w:left="993" w:hanging="426"/>
        <w:rPr>
          <w:rFonts w:cs="新宋体" w:asciiTheme="majorEastAsia" w:hAnsiTheme="majorEastAsia" w:eastAsiaTheme="majorEastAsia"/>
          <w:color w:val="auto"/>
          <w:kern w:val="0"/>
          <w:sz w:val="22"/>
          <w:szCs w:val="22"/>
          <w:highlight w:val="none"/>
        </w:rPr>
      </w:pPr>
      <w:r>
        <w:rPr>
          <w:rFonts w:hint="eastAsia" w:cs="新宋体" w:asciiTheme="majorEastAsia" w:hAnsiTheme="majorEastAsia" w:eastAsiaTheme="majorEastAsia"/>
          <w:color w:val="auto"/>
          <w:kern w:val="0"/>
          <w:sz w:val="22"/>
          <w:szCs w:val="22"/>
          <w:highlight w:val="none"/>
        </w:rPr>
        <w:t>其他无法保证电子交易的公平、公正和安全的情况。</w:t>
      </w:r>
    </w:p>
    <w:p>
      <w:pPr>
        <w:adjustRightInd w:val="0"/>
        <w:snapToGrid w:val="0"/>
        <w:spacing w:line="460" w:lineRule="atLeast"/>
        <w:ind w:left="414" w:left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11.2出现前款规定情形，不影响采购公平、公正性的，采购组织机构可以待上述情形消除后继续组织电子交易活动；影响或可能影响采购公平、公正性的，应当重新采购。</w:t>
      </w:r>
    </w:p>
    <w:p>
      <w:pPr>
        <w:autoSpaceDE w:val="0"/>
        <w:autoSpaceDN w:val="0"/>
        <w:adjustRightInd w:val="0"/>
        <w:snapToGrid w:val="0"/>
        <w:spacing w:line="440" w:lineRule="exact"/>
        <w:ind w:firstLine="422" w:firstLineChars="150"/>
        <w:jc w:val="center"/>
        <w:textAlignment w:val="bottom"/>
        <w:outlineLvl w:val="1"/>
        <w:rPr>
          <w:rFonts w:cs="Arial" w:asciiTheme="majorEastAsia" w:hAnsiTheme="majorEastAsia" w:eastAsiaTheme="majorEastAsia"/>
          <w:b/>
          <w:bCs/>
          <w:color w:val="auto"/>
          <w:sz w:val="28"/>
          <w:szCs w:val="28"/>
          <w:highlight w:val="none"/>
        </w:rPr>
      </w:pPr>
      <w:bookmarkStart w:id="69" w:name="_Toc496116255"/>
      <w:bookmarkStart w:id="70" w:name="_Toc17810"/>
      <w:r>
        <w:rPr>
          <w:rFonts w:hint="eastAsia" w:cs="Arial" w:asciiTheme="majorEastAsia" w:hAnsiTheme="majorEastAsia" w:eastAsiaTheme="majorEastAsia"/>
          <w:b/>
          <w:bCs/>
          <w:color w:val="auto"/>
          <w:sz w:val="28"/>
          <w:szCs w:val="28"/>
          <w:highlight w:val="none"/>
        </w:rPr>
        <w:t>七、授予合同</w:t>
      </w:r>
      <w:bookmarkEnd w:id="69"/>
      <w:bookmarkEnd w:id="70"/>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1、决标</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1.1、评标结束后，评标委员会按照招标文件确定的评标办法推荐中标供应商。</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2、中标通知书</w:t>
      </w:r>
    </w:p>
    <w:p>
      <w:pPr>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2.1、采购人依法确认中标供应商后，代理机构在浙江省政府采购网上公告中标结果，公告期限为1个工作日。同时向中标供应商发出中标通知书。</w:t>
      </w:r>
    </w:p>
    <w:p>
      <w:pPr>
        <w:adjustRightInd w:val="0"/>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2.2、中标通知书对采购人和中标人具有法律约束力。中标通知书发出后，采购人改变中标结果或者中标人放弃中标的，应当承担法律责任。</w:t>
      </w:r>
    </w:p>
    <w:p>
      <w:pPr>
        <w:adjustRightInd w:val="0"/>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2.3、中标无效</w:t>
      </w:r>
    </w:p>
    <w:p>
      <w:pPr>
        <w:adjustRightInd w:val="0"/>
        <w:snapToGrid w:val="0"/>
        <w:spacing w:line="460" w:lineRule="atLeast"/>
        <w:ind w:firstLine="433" w:firstLineChars="197"/>
        <w:rPr>
          <w:rFonts w:cs="新宋体" w:asciiTheme="majorEastAsia" w:hAnsiTheme="majorEastAsia" w:eastAsiaTheme="majorEastAsia"/>
          <w:color w:val="auto"/>
          <w:sz w:val="22"/>
          <w:szCs w:val="22"/>
          <w:highlight w:val="none"/>
          <w:u w:val="single"/>
        </w:rPr>
      </w:pPr>
      <w:r>
        <w:rPr>
          <w:rFonts w:hint="eastAsia" w:cs="新宋体" w:asciiTheme="majorEastAsia" w:hAnsiTheme="majorEastAsia" w:eastAsiaTheme="majorEastAsia"/>
          <w:color w:val="auto"/>
          <w:sz w:val="22"/>
          <w:szCs w:val="22"/>
          <w:highlight w:val="none"/>
          <w:u w:val="single"/>
        </w:rPr>
        <w:t>1）发现中标供应商资格无效或中标供应商放弃中标或拒绝与采购人签订合同的，采购人可以按照评审报告推荐的中标候选人名单排序，确定下一候选人为中标供应商，也可以重新开展政府采购活动。</w:t>
      </w:r>
    </w:p>
    <w:p>
      <w:pPr>
        <w:adjustRightInd w:val="0"/>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2）有《中华人民共和国政府采购法实施条例》第七十一条、第七十二条、第七十三条、第七十四条规定的违法行为之一，由政府采购监管部门依法处理。</w:t>
      </w:r>
    </w:p>
    <w:p>
      <w:pPr>
        <w:adjustRightInd w:val="0"/>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4、签订合同</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4.1 中标供应商须主动联系采购人或采购代理机构领取中标通知书。中标供应商应当在中标通知书发出之日起30日历天内与采购人签订合同。中标供应商未经采购人许可，在规定时间内未到采购人处与采购人签订合同，则视为拒签合同。</w:t>
      </w:r>
    </w:p>
    <w:p>
      <w:pPr>
        <w:adjustRightInd w:val="0"/>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4.2 招标文件、中标供应商的投标文件及投标修改文件、评标过程中有关澄清文件及经双方签字的询标纪要（承诺）和中标通知书均作为合同附件。</w:t>
      </w:r>
    </w:p>
    <w:p>
      <w:pPr>
        <w:adjustRightInd w:val="0"/>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4.3 拒签合同的责任</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中标供应商在规定时间内（30日历天）借故否认已经承诺的条件、拒签合同或拒交履约保证金者，以投标违约处理，赔偿采购人由此造成的直接经济损失；采购人重新组织招标的，所需费用由原中标供应商承担。</w:t>
      </w:r>
    </w:p>
    <w:p>
      <w:pPr>
        <w:pStyle w:val="24"/>
        <w:snapToGrid w:val="0"/>
        <w:spacing w:line="460" w:lineRule="atLeast"/>
        <w:ind w:firstLine="433" w:firstLineChars="197"/>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4.4 采购人在授予合同时有权对采购的服务予以增加或减少，但不得对单价或其他的条款和条件做任何改变。</w:t>
      </w:r>
    </w:p>
    <w:p>
      <w:pPr>
        <w:pStyle w:val="24"/>
        <w:snapToGrid w:val="0"/>
        <w:spacing w:line="460" w:lineRule="atLeast"/>
        <w:ind w:firstLine="435" w:firstLineChars="197"/>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5、履约保证金</w:t>
      </w:r>
    </w:p>
    <w:p>
      <w:pPr>
        <w:autoSpaceDE w:val="0"/>
        <w:autoSpaceDN w:val="0"/>
        <w:adjustRightInd w:val="0"/>
        <w:snapToGrid w:val="0"/>
        <w:spacing w:line="460" w:lineRule="atLeast"/>
        <w:ind w:firstLine="433" w:firstLineChars="197"/>
        <w:textAlignment w:val="bottom"/>
        <w:rPr>
          <w:rFonts w:cs="新宋体" w:asciiTheme="majorEastAsia" w:hAnsiTheme="majorEastAsia" w:eastAsiaTheme="majorEastAsia"/>
          <w:color w:val="auto"/>
          <w:sz w:val="22"/>
          <w:szCs w:val="22"/>
          <w:highlight w:val="none"/>
          <w:u w:val="single"/>
        </w:rPr>
      </w:pPr>
      <w:r>
        <w:rPr>
          <w:rFonts w:hint="eastAsia" w:cs="新宋体" w:asciiTheme="majorEastAsia" w:hAnsiTheme="majorEastAsia" w:eastAsiaTheme="majorEastAsia"/>
          <w:color w:val="auto"/>
          <w:sz w:val="22"/>
          <w:szCs w:val="22"/>
          <w:highlight w:val="none"/>
          <w:u w:val="single"/>
        </w:rPr>
        <w:t>履约保证金按招标文件规定，在中标人与采购人签订合同后递交。</w:t>
      </w:r>
    </w:p>
    <w:p>
      <w:pPr>
        <w:pStyle w:val="8"/>
        <w:ind w:firstLine="422"/>
        <w:rPr>
          <w:color w:val="auto"/>
          <w:highlight w:val="none"/>
        </w:rPr>
      </w:pPr>
      <w:r>
        <w:rPr>
          <w:rFonts w:hint="eastAsia"/>
          <w:color w:val="auto"/>
          <w:highlight w:val="none"/>
        </w:rPr>
        <w:t>6、</w:t>
      </w:r>
      <w:r>
        <w:rPr>
          <w:rFonts w:hint="eastAsia" w:cs="新宋体" w:asciiTheme="majorEastAsia" w:hAnsiTheme="majorEastAsia" w:eastAsiaTheme="majorEastAsia"/>
          <w:color w:val="auto"/>
          <w:sz w:val="22"/>
          <w:szCs w:val="22"/>
          <w:highlight w:val="none"/>
        </w:rPr>
        <w:t>招标代理服务费</w:t>
      </w:r>
    </w:p>
    <w:p>
      <w:pPr>
        <w:autoSpaceDE w:val="0"/>
        <w:autoSpaceDN w:val="0"/>
        <w:adjustRightInd w:val="0"/>
        <w:snapToGrid w:val="0"/>
        <w:spacing w:line="460" w:lineRule="atLeast"/>
        <w:ind w:firstLine="433" w:firstLineChars="197"/>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本次项目招标代理服务费按固定金额人民币</w:t>
      </w:r>
      <w:r>
        <w:rPr>
          <w:rFonts w:hint="eastAsia" w:cs="新宋体" w:asciiTheme="majorEastAsia" w:hAnsiTheme="majorEastAsia" w:eastAsiaTheme="majorEastAsia"/>
          <w:color w:val="auto"/>
          <w:sz w:val="22"/>
          <w:szCs w:val="22"/>
          <w:highlight w:val="none"/>
          <w:lang w:val="en-US" w:eastAsia="zh-CN"/>
        </w:rPr>
        <w:t>88</w:t>
      </w:r>
      <w:r>
        <w:rPr>
          <w:rFonts w:hint="eastAsia" w:cs="新宋体" w:asciiTheme="majorEastAsia" w:hAnsiTheme="majorEastAsia" w:eastAsiaTheme="majorEastAsia"/>
          <w:color w:val="auto"/>
          <w:sz w:val="22"/>
          <w:szCs w:val="22"/>
          <w:highlight w:val="none"/>
        </w:rPr>
        <w:t>00元收取。采购人不负责任何招标代理服务费用。招标代理服务费由中标人支付，请报价人在报价时予以考虑。招标代理服务费汇入以下帐户：</w:t>
      </w:r>
    </w:p>
    <w:p>
      <w:pPr>
        <w:autoSpaceDE w:val="0"/>
        <w:autoSpaceDN w:val="0"/>
        <w:adjustRightInd w:val="0"/>
        <w:snapToGrid w:val="0"/>
        <w:spacing w:line="460" w:lineRule="atLeast"/>
        <w:ind w:firstLine="433" w:firstLineChars="197"/>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开户银行：中国建设银行永嘉广场支行</w:t>
      </w:r>
    </w:p>
    <w:p>
      <w:pPr>
        <w:autoSpaceDE w:val="0"/>
        <w:autoSpaceDN w:val="0"/>
        <w:adjustRightInd w:val="0"/>
        <w:snapToGrid w:val="0"/>
        <w:spacing w:line="460" w:lineRule="atLeast"/>
        <w:ind w:firstLine="433" w:firstLineChars="197"/>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开户名称：温州市中概工程管理咨询有限公司</w:t>
      </w:r>
    </w:p>
    <w:p>
      <w:pPr>
        <w:autoSpaceDE w:val="0"/>
        <w:autoSpaceDN w:val="0"/>
        <w:adjustRightInd w:val="0"/>
        <w:snapToGrid w:val="0"/>
        <w:spacing w:line="460" w:lineRule="atLeast"/>
        <w:ind w:firstLine="433" w:firstLineChars="197"/>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开户帐号：33050162766300000011</w:t>
      </w:r>
    </w:p>
    <w:p>
      <w:pPr>
        <w:autoSpaceDE w:val="0"/>
        <w:autoSpaceDN w:val="0"/>
        <w:adjustRightInd w:val="0"/>
        <w:snapToGrid w:val="0"/>
        <w:spacing w:line="460" w:lineRule="atLeast"/>
        <w:ind w:firstLine="433" w:firstLineChars="197"/>
        <w:textAlignment w:val="bottom"/>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招标代理服务费须在领取《中标通知书》前付清。</w:t>
      </w:r>
    </w:p>
    <w:p>
      <w:pPr>
        <w:spacing w:line="360" w:lineRule="auto"/>
        <w:ind w:left="480" w:hanging="480" w:hangingChars="200"/>
        <w:rPr>
          <w:rFonts w:cs="新宋体" w:asciiTheme="majorEastAsia" w:hAnsiTheme="majorEastAsia" w:eastAsiaTheme="majorEastAsia"/>
          <w:color w:val="auto"/>
          <w:sz w:val="24"/>
          <w:highlight w:val="none"/>
        </w:rPr>
      </w:pPr>
      <w:bookmarkStart w:id="71" w:name="_Toc293038718"/>
    </w:p>
    <w:bookmarkEnd w:id="71"/>
    <w:p>
      <w:pPr>
        <w:spacing w:line="360" w:lineRule="auto"/>
        <w:ind w:left="480" w:hanging="480" w:hangingChars="200"/>
        <w:rPr>
          <w:rFonts w:cs="新宋体" w:asciiTheme="majorEastAsia" w:hAnsiTheme="majorEastAsia" w:eastAsiaTheme="majorEastAsia"/>
          <w:color w:val="auto"/>
          <w:sz w:val="24"/>
          <w:highlight w:val="none"/>
        </w:rPr>
        <w:sectPr>
          <w:footerReference r:id="rId9" w:type="first"/>
          <w:footerReference r:id="rId8" w:type="default"/>
          <w:pgSz w:w="11906" w:h="16838"/>
          <w:pgMar w:top="1134" w:right="1134" w:bottom="1134" w:left="1134" w:header="851" w:footer="850" w:gutter="0"/>
          <w:pgNumType w:start="1"/>
          <w:cols w:space="720" w:num="1"/>
          <w:titlePg/>
          <w:docGrid w:type="lines" w:linePitch="312" w:charSpace="0"/>
        </w:sectPr>
      </w:pPr>
    </w:p>
    <w:p>
      <w:pPr>
        <w:pStyle w:val="40"/>
        <w:rPr>
          <w:rFonts w:cs="宋体" w:asciiTheme="majorEastAsia" w:hAnsiTheme="majorEastAsia" w:eastAsiaTheme="majorEastAsia"/>
          <w:color w:val="auto"/>
          <w:sz w:val="30"/>
          <w:szCs w:val="30"/>
          <w:highlight w:val="none"/>
        </w:rPr>
      </w:pPr>
      <w:bookmarkStart w:id="72" w:name="_Toc30125"/>
      <w:bookmarkStart w:id="73" w:name="_Toc498343170"/>
      <w:bookmarkStart w:id="74" w:name="_Toc293038719"/>
      <w:r>
        <w:rPr>
          <w:rFonts w:hint="eastAsia" w:cs="新宋体" w:asciiTheme="majorEastAsia" w:hAnsiTheme="majorEastAsia" w:eastAsiaTheme="majorEastAsia"/>
          <w:color w:val="auto"/>
          <w:sz w:val="30"/>
          <w:szCs w:val="30"/>
          <w:highlight w:val="none"/>
        </w:rPr>
        <w:t>第四部分</w:t>
      </w:r>
      <w:r>
        <w:rPr>
          <w:rFonts w:hint="eastAsia" w:cs="宋体" w:asciiTheme="majorEastAsia" w:hAnsiTheme="majorEastAsia" w:eastAsiaTheme="majorEastAsia"/>
          <w:color w:val="auto"/>
          <w:sz w:val="30"/>
          <w:szCs w:val="30"/>
          <w:highlight w:val="none"/>
        </w:rPr>
        <w:t xml:space="preserve">  政府采购政策功能相关说明</w:t>
      </w:r>
      <w:bookmarkEnd w:id="72"/>
    </w:p>
    <w:p>
      <w:pPr>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一、小、微企业（含监狱企业、残疾人福利性单位）扶持政策说明</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1、文件依据</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（1）关于印发《政府采购促进中小企业发展管理办法》的通知（财库〔2020〕46号）</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（2）浙江省省财政厅《关于开展政府采购投标供应商网上注册登记和诚信管理工作的通知》（浙财采监〔2010〕8号)</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（3）《工业和信息化部、国家统计局、国家发展和改革委员会、财政部关于印发中小企业划型标准规定的通知》（工信部联企业[2011]300号）</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（4）财政部、司法部《关于政府采购支持监狱企业发展有关问题的通知》（财库〔2014〕68号）</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（5）《财政部 民政部 中国残疾人联合会关于促进残疾人就业政府采购政策的通知》（财库〔2017〕 141号）</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（6）《浙江省财政厅  浙江省经济和信息化委员会关于简化中小企业类别确认流程有关事项的通知》（浙财采监〔2018〕2号)</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（7）《浙江省财政厅关于进一步发挥政府采购政策功能全力推动经济稳进提质的通知》（浙财采监〔2022〕3号）</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（8）《浙江省财政厅关于进一步加大政府采购支持中小企业力度 助力扎实稳住经济的通知》（浙财采监〔2022〕8号）</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2、享受小微企业价格折扣应具备的条件与价格折扣比例</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（1）在货物采购项目中，货物由中小企业制造，即货物由中小企业生产且使用该中小企业商号或者注册商标；</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（2）在工程采购项目中，工程由中小企业承建，即工程施工单位为中小企业；</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（3）在服务采购项目中，服务由中小企业承接，即提供服务的人员为中小企业依照《中华人民共和国劳动合同法》订立劳动合同的从业人员。</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在货物采购项目中，供应商提供的货物既有中小企业制造货物，也有大型企业制造货物的，不享受本办法规定的中小企业扶持政策。</w:t>
      </w:r>
    </w:p>
    <w:p>
      <w:pPr>
        <w:spacing w:line="440" w:lineRule="atLeast"/>
        <w:jc w:val="left"/>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color w:val="auto"/>
          <w:sz w:val="22"/>
          <w:szCs w:val="22"/>
          <w:highlight w:val="none"/>
        </w:rPr>
        <w:t>以联合体形式参加政府采购活动，联合体各方均为中小企业的，联合体视同中小企业。其中，联合体各方均为小微企业的，联合体视同小微企业。</w:t>
      </w:r>
    </w:p>
    <w:p>
      <w:pPr>
        <w:spacing w:line="360" w:lineRule="auto"/>
        <w:jc w:val="left"/>
        <w:rPr>
          <w:rFonts w:ascii="宋体" w:eastAsia="宋体"/>
          <w:b w:val="0"/>
          <w:color w:val="auto"/>
          <w:sz w:val="22"/>
          <w:szCs w:val="22"/>
          <w:highlight w:val="none"/>
          <w:u w:val="single"/>
        </w:rPr>
      </w:pPr>
      <w:r>
        <w:rPr>
          <w:rFonts w:hint="eastAsia" w:ascii="宋体" w:eastAsia="宋体"/>
          <w:b w:val="0"/>
          <w:color w:val="auto"/>
          <w:sz w:val="22"/>
          <w:szCs w:val="22"/>
          <w:highlight w:val="none"/>
          <w:u w:val="single"/>
        </w:rPr>
        <w:t>（3）</w:t>
      </w:r>
      <w:r>
        <w:rPr>
          <w:rFonts w:hint="eastAsia" w:ascii="宋体" w:eastAsia="宋体"/>
          <w:b/>
          <w:bCs w:val="0"/>
          <w:color w:val="auto"/>
          <w:sz w:val="22"/>
          <w:szCs w:val="22"/>
          <w:highlight w:val="none"/>
          <w:u w:val="single"/>
        </w:rPr>
        <w:t>本项目专门面向中小微企业（监狱企业、残疾人企业等同中小微企业），不再执行价格评审优惠政策。</w:t>
      </w:r>
    </w:p>
    <w:p>
      <w:pPr>
        <w:spacing w:line="360" w:lineRule="auto"/>
        <w:jc w:val="lef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lang w:eastAsia="zh-CN"/>
        </w:rPr>
        <w:t>（</w:t>
      </w:r>
      <w:r>
        <w:rPr>
          <w:rFonts w:hint="eastAsia" w:ascii="宋体" w:hAnsi="宋体" w:eastAsia="宋体" w:cs="宋体"/>
          <w:b w:val="0"/>
          <w:color w:val="auto"/>
          <w:sz w:val="22"/>
          <w:szCs w:val="22"/>
          <w:highlight w:val="none"/>
          <w:lang w:val="en-US" w:eastAsia="zh-CN"/>
        </w:rPr>
        <w:t>4</w:t>
      </w:r>
      <w:r>
        <w:rPr>
          <w:rFonts w:hint="eastAsia" w:ascii="宋体" w:hAnsi="宋体" w:eastAsia="宋体" w:cs="宋体"/>
          <w:b w:val="0"/>
          <w:color w:val="auto"/>
          <w:sz w:val="22"/>
          <w:szCs w:val="22"/>
          <w:highlight w:val="none"/>
          <w:lang w:eastAsia="zh-CN"/>
        </w:rPr>
        <w:t>）</w:t>
      </w:r>
      <w:r>
        <w:rPr>
          <w:rFonts w:hint="eastAsia" w:ascii="宋体" w:hAnsi="宋体" w:eastAsia="宋体" w:cs="宋体"/>
          <w:b w:val="0"/>
          <w:color w:val="auto"/>
          <w:sz w:val="22"/>
          <w:szCs w:val="22"/>
          <w:highlight w:val="none"/>
        </w:rPr>
        <w:t>符合《关于促进残疾人就业政府采购政策的通知》（财库〔2017〕141号）规定的条件并提供《残疾人福利性单位声明函》（附件2）的残疾人福利性单位视同小型、微型企业；</w:t>
      </w:r>
    </w:p>
    <w:p>
      <w:pPr>
        <w:spacing w:line="360" w:lineRule="auto"/>
        <w:jc w:val="left"/>
        <w:rPr>
          <w:rFonts w:cs="宋体" w:asciiTheme="majorEastAsia" w:hAnsiTheme="majorEastAsia" w:eastAsiaTheme="majorEastAsia"/>
          <w:color w:val="auto"/>
          <w:sz w:val="22"/>
          <w:szCs w:val="22"/>
          <w:highlight w:val="none"/>
        </w:rPr>
      </w:pPr>
      <w:r>
        <w:rPr>
          <w:rFonts w:hint="eastAsia" w:ascii="宋体" w:hAnsi="宋体" w:eastAsia="宋体" w:cs="宋体"/>
          <w:b w:val="0"/>
          <w:color w:val="auto"/>
          <w:sz w:val="22"/>
          <w:szCs w:val="22"/>
          <w:highlight w:val="none"/>
          <w:lang w:eastAsia="zh-CN"/>
        </w:rPr>
        <w:t>（</w:t>
      </w:r>
      <w:r>
        <w:rPr>
          <w:rFonts w:hint="eastAsia" w:ascii="宋体" w:hAnsi="宋体" w:eastAsia="宋体" w:cs="宋体"/>
          <w:b w:val="0"/>
          <w:color w:val="auto"/>
          <w:sz w:val="22"/>
          <w:szCs w:val="22"/>
          <w:highlight w:val="none"/>
          <w:lang w:val="en-US" w:eastAsia="zh-CN"/>
        </w:rPr>
        <w:t>5</w:t>
      </w:r>
      <w:r>
        <w:rPr>
          <w:rFonts w:hint="eastAsia" w:ascii="宋体" w:hAnsi="宋体" w:eastAsia="宋体" w:cs="宋体"/>
          <w:b w:val="0"/>
          <w:color w:val="auto"/>
          <w:sz w:val="22"/>
          <w:szCs w:val="22"/>
          <w:highlight w:val="none"/>
          <w:lang w:eastAsia="zh-CN"/>
        </w:rPr>
        <w:t>）</w:t>
      </w:r>
      <w:r>
        <w:rPr>
          <w:rFonts w:hint="eastAsia" w:ascii="宋体" w:hAnsi="宋体" w:eastAsia="宋体" w:cs="宋体"/>
          <w:b w:val="0"/>
          <w:color w:val="auto"/>
          <w:sz w:val="22"/>
          <w:szCs w:val="22"/>
          <w:highlight w:val="none"/>
        </w:rPr>
        <w:t>符合</w:t>
      </w:r>
      <w:r>
        <w:rPr>
          <w:rFonts w:hint="eastAsia" w:ascii="宋体" w:eastAsia="宋体" w:cs="Arial"/>
          <w:b w:val="0"/>
          <w:color w:val="auto"/>
          <w:sz w:val="22"/>
          <w:szCs w:val="22"/>
          <w:highlight w:val="none"/>
        </w:rPr>
        <w:t>《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40" w:lineRule="atLeast"/>
        <w:jc w:val="left"/>
        <w:rPr>
          <w:rFonts w:cs="宋体" w:asciiTheme="majorEastAsia" w:hAnsiTheme="majorEastAsia" w:eastAsiaTheme="majorEastAsia"/>
          <w:b/>
          <w:bCs/>
          <w:color w:val="auto"/>
          <w:sz w:val="22"/>
          <w:szCs w:val="22"/>
          <w:highlight w:val="none"/>
        </w:rPr>
      </w:pPr>
    </w:p>
    <w:p>
      <w:pPr>
        <w:spacing w:line="440" w:lineRule="atLeast"/>
        <w:jc w:val="left"/>
        <w:rPr>
          <w:rFonts w:cs="宋体" w:asciiTheme="majorEastAsia" w:hAnsiTheme="majorEastAsia" w:eastAsiaTheme="majorEastAsia"/>
          <w:b/>
          <w:bCs/>
          <w:color w:val="auto"/>
          <w:sz w:val="22"/>
          <w:szCs w:val="22"/>
          <w:highlight w:val="none"/>
        </w:rPr>
      </w:pPr>
    </w:p>
    <w:p>
      <w:pPr>
        <w:spacing w:line="440" w:lineRule="atLeast"/>
        <w:jc w:val="left"/>
        <w:rPr>
          <w:rFonts w:cs="宋体" w:asciiTheme="majorEastAsia" w:hAnsiTheme="majorEastAsia" w:eastAsiaTheme="majorEastAsia"/>
          <w:b/>
          <w:bCs/>
          <w:color w:val="auto"/>
          <w:sz w:val="22"/>
          <w:szCs w:val="22"/>
          <w:highlight w:val="none"/>
        </w:rPr>
      </w:pPr>
    </w:p>
    <w:p>
      <w:pPr>
        <w:spacing w:line="440" w:lineRule="atLeast"/>
        <w:jc w:val="left"/>
        <w:rPr>
          <w:rFonts w:cs="宋体" w:asciiTheme="majorEastAsia" w:hAnsiTheme="majorEastAsia" w:eastAsiaTheme="majorEastAsia"/>
          <w:b/>
          <w:bCs/>
          <w:color w:val="auto"/>
          <w:sz w:val="22"/>
          <w:szCs w:val="22"/>
          <w:highlight w:val="none"/>
        </w:rPr>
      </w:pPr>
    </w:p>
    <w:p>
      <w:pPr>
        <w:spacing w:line="440" w:lineRule="atLeast"/>
        <w:jc w:val="left"/>
        <w:rPr>
          <w:rFonts w:cs="宋体" w:asciiTheme="majorEastAsia" w:hAnsiTheme="majorEastAsia" w:eastAsiaTheme="majorEastAsia"/>
          <w:b/>
          <w:bCs/>
          <w:color w:val="auto"/>
          <w:sz w:val="22"/>
          <w:szCs w:val="22"/>
          <w:highlight w:val="none"/>
        </w:rPr>
      </w:pPr>
    </w:p>
    <w:p>
      <w:pPr>
        <w:spacing w:line="440" w:lineRule="atLeast"/>
        <w:jc w:val="left"/>
        <w:rPr>
          <w:rFonts w:cs="宋体" w:asciiTheme="majorEastAsia" w:hAnsiTheme="majorEastAsia" w:eastAsiaTheme="majorEastAsia"/>
          <w:b/>
          <w:bCs/>
          <w:color w:val="auto"/>
          <w:sz w:val="22"/>
          <w:szCs w:val="22"/>
          <w:highlight w:val="none"/>
        </w:rPr>
      </w:pPr>
    </w:p>
    <w:p>
      <w:pPr>
        <w:spacing w:line="440" w:lineRule="atLeast"/>
        <w:jc w:val="left"/>
        <w:rPr>
          <w:rFonts w:cs="宋体" w:asciiTheme="majorEastAsia" w:hAnsiTheme="majorEastAsia" w:eastAsiaTheme="majorEastAsia"/>
          <w:b/>
          <w:bCs/>
          <w:color w:val="auto"/>
          <w:sz w:val="22"/>
          <w:szCs w:val="22"/>
          <w:highlight w:val="none"/>
        </w:rPr>
      </w:pPr>
    </w:p>
    <w:p>
      <w:pPr>
        <w:spacing w:line="440" w:lineRule="atLeast"/>
        <w:jc w:val="left"/>
        <w:rPr>
          <w:rFonts w:cs="宋体" w:asciiTheme="majorEastAsia" w:hAnsiTheme="majorEastAsia" w:eastAsiaTheme="majorEastAsia"/>
          <w:b/>
          <w:bCs/>
          <w:color w:val="auto"/>
          <w:sz w:val="22"/>
          <w:szCs w:val="22"/>
          <w:highlight w:val="none"/>
        </w:rPr>
      </w:pPr>
    </w:p>
    <w:p>
      <w:pPr>
        <w:spacing w:line="440" w:lineRule="atLeast"/>
        <w:jc w:val="left"/>
        <w:rPr>
          <w:rFonts w:cs="宋体" w:asciiTheme="majorEastAsia" w:hAnsiTheme="majorEastAsia" w:eastAsiaTheme="majorEastAsia"/>
          <w:b/>
          <w:bCs/>
          <w:color w:val="auto"/>
          <w:sz w:val="22"/>
          <w:szCs w:val="22"/>
          <w:highlight w:val="none"/>
        </w:rPr>
      </w:pPr>
    </w:p>
    <w:p>
      <w:pPr>
        <w:spacing w:line="440" w:lineRule="atLeast"/>
        <w:jc w:val="left"/>
        <w:rPr>
          <w:rFonts w:cs="宋体" w:asciiTheme="majorEastAsia" w:hAnsiTheme="majorEastAsia" w:eastAsiaTheme="majorEastAsia"/>
          <w:b/>
          <w:bCs/>
          <w:color w:val="auto"/>
          <w:sz w:val="22"/>
          <w:szCs w:val="22"/>
          <w:highlight w:val="none"/>
        </w:rPr>
      </w:pPr>
    </w:p>
    <w:p>
      <w:pPr>
        <w:spacing w:line="440" w:lineRule="atLeast"/>
        <w:jc w:val="left"/>
        <w:rPr>
          <w:rFonts w:cs="宋体" w:asciiTheme="majorEastAsia" w:hAnsiTheme="majorEastAsia" w:eastAsiaTheme="majorEastAsia"/>
          <w:b/>
          <w:bCs/>
          <w:color w:val="auto"/>
          <w:sz w:val="22"/>
          <w:szCs w:val="22"/>
          <w:highlight w:val="none"/>
        </w:rPr>
      </w:pPr>
    </w:p>
    <w:p>
      <w:pPr>
        <w:widowControl/>
        <w:spacing w:before="100" w:beforeAutospacing="1" w:after="100" w:afterAutospacing="1" w:line="440" w:lineRule="atLeast"/>
        <w:jc w:val="left"/>
        <w:rPr>
          <w:rFonts w:cs="宋体" w:asciiTheme="majorEastAsia" w:hAnsiTheme="majorEastAsia" w:eastAsiaTheme="majorEastAsia"/>
          <w:b/>
          <w:bCs/>
          <w:color w:val="auto"/>
          <w:sz w:val="24"/>
          <w:highlight w:val="none"/>
        </w:rPr>
      </w:pPr>
    </w:p>
    <w:p>
      <w:pPr>
        <w:rPr>
          <w:rFonts w:cs="宋体" w:asciiTheme="majorEastAsia" w:hAnsiTheme="majorEastAsia" w:eastAsiaTheme="majorEastAsia"/>
          <w:b/>
          <w:bCs/>
          <w:color w:val="auto"/>
          <w:sz w:val="24"/>
          <w:highlight w:val="none"/>
        </w:rPr>
      </w:pPr>
      <w:r>
        <w:rPr>
          <w:rFonts w:hint="eastAsia" w:cs="宋体" w:asciiTheme="majorEastAsia" w:hAnsiTheme="majorEastAsia" w:eastAsiaTheme="majorEastAsia"/>
          <w:b/>
          <w:bCs/>
          <w:color w:val="auto"/>
          <w:sz w:val="24"/>
          <w:highlight w:val="none"/>
        </w:rPr>
        <w:br w:type="page"/>
      </w:r>
    </w:p>
    <w:p>
      <w:pPr>
        <w:widowControl/>
        <w:spacing w:before="100" w:beforeAutospacing="1" w:after="100" w:afterAutospacing="1" w:line="440" w:lineRule="atLeast"/>
        <w:jc w:val="left"/>
        <w:rPr>
          <w:rFonts w:cs="宋体" w:asciiTheme="majorEastAsia" w:hAnsiTheme="majorEastAsia" w:eastAsiaTheme="majorEastAsia"/>
          <w:b/>
          <w:bCs/>
          <w:color w:val="auto"/>
          <w:sz w:val="24"/>
          <w:highlight w:val="none"/>
        </w:rPr>
      </w:pPr>
      <w:r>
        <w:rPr>
          <w:rFonts w:hint="eastAsia" w:cs="宋体" w:asciiTheme="majorEastAsia" w:hAnsiTheme="majorEastAsia" w:eastAsiaTheme="majorEastAsia"/>
          <w:b/>
          <w:bCs/>
          <w:color w:val="auto"/>
          <w:sz w:val="24"/>
          <w:highlight w:val="none"/>
        </w:rPr>
        <w:t>附件1：</w:t>
      </w:r>
    </w:p>
    <w:p>
      <w:pPr>
        <w:widowControl/>
        <w:jc w:val="left"/>
        <w:rPr>
          <w:rFonts w:cs="宋体" w:asciiTheme="majorEastAsia" w:hAnsiTheme="majorEastAsia" w:eastAsiaTheme="majorEastAsia"/>
          <w:color w:val="auto"/>
          <w:sz w:val="22"/>
          <w:szCs w:val="22"/>
          <w:highlight w:val="none"/>
        </w:rPr>
      </w:pPr>
    </w:p>
    <w:p>
      <w:pPr>
        <w:pStyle w:val="40"/>
        <w:rPr>
          <w:rFonts w:ascii="宋体" w:hAnsi="宋体" w:cs="宋体"/>
          <w:color w:val="auto"/>
          <w:highlight w:val="none"/>
        </w:rPr>
      </w:pPr>
      <w:bookmarkStart w:id="75" w:name="_Toc61276420"/>
      <w:bookmarkStart w:id="76" w:name="_Toc31622"/>
      <w:r>
        <w:rPr>
          <w:rFonts w:hint="eastAsia" w:ascii="宋体" w:hAnsi="宋体" w:cs="宋体"/>
          <w:color w:val="auto"/>
          <w:highlight w:val="none"/>
        </w:rPr>
        <w:t>中小企业声明函（工程、服务）</w:t>
      </w:r>
      <w:bookmarkEnd w:id="75"/>
      <w:bookmarkEnd w:id="76"/>
    </w:p>
    <w:p>
      <w:pPr>
        <w:widowControl/>
        <w:spacing w:before="100" w:beforeAutospacing="1" w:after="100" w:afterAutospacing="1" w:line="440" w:lineRule="atLeast"/>
        <w:ind w:firstLine="440" w:firstLineChars="200"/>
        <w:jc w:val="left"/>
        <w:rPr>
          <w:rFonts w:ascii="宋体" w:eastAsia="宋体"/>
          <w:b w:val="0"/>
          <w:color w:val="auto"/>
          <w:sz w:val="22"/>
          <w:szCs w:val="22"/>
          <w:highlight w:val="none"/>
        </w:rPr>
      </w:pPr>
      <w:r>
        <w:rPr>
          <w:rFonts w:hint="eastAsia" w:ascii="宋体" w:eastAsia="宋体"/>
          <w:b w:val="0"/>
          <w:color w:val="auto"/>
          <w:sz w:val="22"/>
          <w:szCs w:val="22"/>
          <w:highlight w:val="none"/>
        </w:rPr>
        <w:t>本公司（联合体）郑重声明，根据《政府采购促进中小企业发展管理办法》（财库﹝2020﹞46 号）的规定，本公司（联合体）参加</w:t>
      </w:r>
      <w:r>
        <w:rPr>
          <w:rFonts w:hint="eastAsia" w:ascii="宋体" w:eastAsia="宋体"/>
          <w:b w:val="0"/>
          <w:color w:val="auto"/>
          <w:sz w:val="22"/>
          <w:szCs w:val="22"/>
          <w:highlight w:val="none"/>
          <w:u w:val="single"/>
        </w:rPr>
        <w:t xml:space="preserve"> （单位名称）</w:t>
      </w:r>
      <w:r>
        <w:rPr>
          <w:rFonts w:hint="eastAsia" w:ascii="宋体" w:eastAsia="宋体"/>
          <w:b w:val="0"/>
          <w:color w:val="auto"/>
          <w:sz w:val="22"/>
          <w:szCs w:val="22"/>
          <w:highlight w:val="none"/>
        </w:rPr>
        <w:t xml:space="preserve"> 的 </w:t>
      </w:r>
      <w:r>
        <w:rPr>
          <w:rFonts w:hint="eastAsia" w:ascii="宋体" w:eastAsia="宋体"/>
          <w:b w:val="0"/>
          <w:color w:val="auto"/>
          <w:sz w:val="22"/>
          <w:szCs w:val="22"/>
          <w:highlight w:val="none"/>
          <w:u w:val="single"/>
        </w:rPr>
        <w:t>（项目名称）</w:t>
      </w:r>
      <w:r>
        <w:rPr>
          <w:rFonts w:hint="eastAsia" w:ascii="宋体" w:eastAsia="宋体"/>
          <w:b w:val="0"/>
          <w:color w:val="auto"/>
          <w:sz w:val="22"/>
          <w:szCs w:val="22"/>
          <w:highlight w:val="none"/>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100" w:beforeAutospacing="1" w:after="100" w:afterAutospacing="1" w:line="440" w:lineRule="atLeast"/>
        <w:ind w:firstLine="440" w:firstLineChars="200"/>
        <w:jc w:val="left"/>
        <w:rPr>
          <w:rFonts w:ascii="宋体" w:eastAsia="宋体"/>
          <w:b w:val="0"/>
          <w:color w:val="auto"/>
          <w:sz w:val="22"/>
          <w:szCs w:val="22"/>
          <w:highlight w:val="none"/>
        </w:rPr>
      </w:pPr>
      <w:r>
        <w:rPr>
          <w:rFonts w:hint="eastAsia" w:ascii="宋体" w:eastAsia="宋体"/>
          <w:b w:val="0"/>
          <w:color w:val="auto"/>
          <w:sz w:val="22"/>
          <w:szCs w:val="22"/>
          <w:highlight w:val="none"/>
        </w:rPr>
        <w:t xml:space="preserve">1. </w:t>
      </w:r>
      <w:r>
        <w:rPr>
          <w:rFonts w:hint="eastAsia" w:ascii="宋体" w:eastAsia="宋体"/>
          <w:b w:val="0"/>
          <w:color w:val="auto"/>
          <w:sz w:val="22"/>
          <w:szCs w:val="22"/>
          <w:highlight w:val="none"/>
          <w:u w:val="single"/>
        </w:rPr>
        <w:t xml:space="preserve">（标的名称） </w:t>
      </w:r>
      <w:r>
        <w:rPr>
          <w:rFonts w:hint="eastAsia" w:ascii="宋体" w:eastAsia="宋体"/>
          <w:b w:val="0"/>
          <w:color w:val="auto"/>
          <w:sz w:val="22"/>
          <w:szCs w:val="22"/>
          <w:highlight w:val="none"/>
        </w:rPr>
        <w:t>，属于</w:t>
      </w:r>
      <w:r>
        <w:rPr>
          <w:rFonts w:hint="eastAsia" w:ascii="宋体" w:eastAsia="宋体"/>
          <w:b w:val="0"/>
          <w:color w:val="auto"/>
          <w:sz w:val="22"/>
          <w:szCs w:val="22"/>
          <w:highlight w:val="none"/>
          <w:u w:val="single"/>
        </w:rPr>
        <w:t>其他未列明行业</w:t>
      </w:r>
      <w:r>
        <w:rPr>
          <w:rFonts w:hint="eastAsia" w:ascii="宋体" w:eastAsia="宋体"/>
          <w:b w:val="0"/>
          <w:color w:val="auto"/>
          <w:sz w:val="22"/>
          <w:szCs w:val="22"/>
          <w:highlight w:val="none"/>
        </w:rPr>
        <w:t xml:space="preserve"> ；承建（承接）企业为 </w:t>
      </w:r>
      <w:r>
        <w:rPr>
          <w:rFonts w:hint="eastAsia" w:ascii="宋体" w:eastAsia="宋体"/>
          <w:b w:val="0"/>
          <w:color w:val="auto"/>
          <w:sz w:val="22"/>
          <w:szCs w:val="22"/>
          <w:highlight w:val="none"/>
          <w:u w:val="single"/>
        </w:rPr>
        <w:t xml:space="preserve">（企业名称） </w:t>
      </w:r>
      <w:r>
        <w:rPr>
          <w:rFonts w:hint="eastAsia" w:ascii="宋体" w:eastAsia="宋体"/>
          <w:b w:val="0"/>
          <w:color w:val="auto"/>
          <w:sz w:val="22"/>
          <w:szCs w:val="22"/>
          <w:highlight w:val="none"/>
        </w:rPr>
        <w:t>，从业人员</w:t>
      </w:r>
      <w:r>
        <w:rPr>
          <w:rFonts w:hint="eastAsia" w:ascii="宋体" w:eastAsia="宋体"/>
          <w:b w:val="0"/>
          <w:color w:val="auto"/>
          <w:sz w:val="22"/>
          <w:szCs w:val="22"/>
          <w:highlight w:val="none"/>
          <w:u w:val="single"/>
        </w:rPr>
        <w:t xml:space="preserve">        </w:t>
      </w:r>
      <w:r>
        <w:rPr>
          <w:rFonts w:hint="eastAsia" w:ascii="宋体" w:eastAsia="宋体"/>
          <w:b w:val="0"/>
          <w:color w:val="auto"/>
          <w:sz w:val="22"/>
          <w:szCs w:val="22"/>
          <w:highlight w:val="none"/>
        </w:rPr>
        <w:t>人，营业收入为</w:t>
      </w:r>
      <w:r>
        <w:rPr>
          <w:rFonts w:hint="eastAsia" w:ascii="宋体" w:eastAsia="宋体"/>
          <w:b w:val="0"/>
          <w:color w:val="auto"/>
          <w:sz w:val="22"/>
          <w:szCs w:val="22"/>
          <w:highlight w:val="none"/>
          <w:u w:val="single"/>
        </w:rPr>
        <w:t xml:space="preserve">        </w:t>
      </w:r>
      <w:r>
        <w:rPr>
          <w:rFonts w:hint="eastAsia" w:ascii="宋体" w:eastAsia="宋体"/>
          <w:b w:val="0"/>
          <w:color w:val="auto"/>
          <w:sz w:val="22"/>
          <w:szCs w:val="22"/>
          <w:highlight w:val="none"/>
        </w:rPr>
        <w:t>万元，资产总额为</w:t>
      </w:r>
      <w:r>
        <w:rPr>
          <w:rFonts w:hint="eastAsia" w:ascii="宋体" w:eastAsia="宋体"/>
          <w:b w:val="0"/>
          <w:color w:val="auto"/>
          <w:sz w:val="22"/>
          <w:szCs w:val="22"/>
          <w:highlight w:val="none"/>
          <w:u w:val="single"/>
        </w:rPr>
        <w:t xml:space="preserve">        </w:t>
      </w:r>
      <w:r>
        <w:rPr>
          <w:rFonts w:hint="eastAsia" w:ascii="宋体" w:eastAsia="宋体"/>
          <w:b w:val="0"/>
          <w:color w:val="auto"/>
          <w:sz w:val="22"/>
          <w:szCs w:val="22"/>
          <w:highlight w:val="none"/>
        </w:rPr>
        <w:t>万元 ，属于</w:t>
      </w:r>
      <w:r>
        <w:rPr>
          <w:rFonts w:hint="eastAsia" w:ascii="宋体" w:eastAsia="宋体"/>
          <w:b w:val="0"/>
          <w:color w:val="auto"/>
          <w:sz w:val="22"/>
          <w:szCs w:val="22"/>
          <w:highlight w:val="none"/>
          <w:u w:val="single"/>
        </w:rPr>
        <w:t xml:space="preserve"> （中型企业、小型企业、微型企业） </w:t>
      </w:r>
      <w:r>
        <w:rPr>
          <w:rFonts w:hint="eastAsia" w:ascii="宋体" w:eastAsia="宋体"/>
          <w:b w:val="0"/>
          <w:color w:val="auto"/>
          <w:sz w:val="22"/>
          <w:szCs w:val="22"/>
          <w:highlight w:val="none"/>
        </w:rPr>
        <w:t>；</w:t>
      </w:r>
    </w:p>
    <w:p>
      <w:pPr>
        <w:widowControl/>
        <w:spacing w:before="100" w:beforeAutospacing="1" w:after="100" w:afterAutospacing="1" w:line="440" w:lineRule="atLeast"/>
        <w:ind w:firstLine="440" w:firstLineChars="200"/>
        <w:jc w:val="left"/>
        <w:rPr>
          <w:rFonts w:ascii="宋体" w:eastAsia="宋体"/>
          <w:b w:val="0"/>
          <w:color w:val="auto"/>
          <w:sz w:val="22"/>
          <w:szCs w:val="22"/>
          <w:highlight w:val="none"/>
        </w:rPr>
      </w:pPr>
      <w:r>
        <w:rPr>
          <w:rFonts w:hint="eastAsia" w:ascii="宋体" w:eastAsia="宋体"/>
          <w:b w:val="0"/>
          <w:color w:val="auto"/>
          <w:sz w:val="22"/>
          <w:szCs w:val="22"/>
          <w:highlight w:val="none"/>
        </w:rPr>
        <w:t xml:space="preserve">2. </w:t>
      </w:r>
      <w:r>
        <w:rPr>
          <w:rFonts w:hint="eastAsia" w:ascii="宋体" w:eastAsia="宋体"/>
          <w:b w:val="0"/>
          <w:color w:val="auto"/>
          <w:sz w:val="22"/>
          <w:szCs w:val="22"/>
          <w:highlight w:val="none"/>
          <w:u w:val="single"/>
        </w:rPr>
        <w:t>（标的名称）</w:t>
      </w:r>
      <w:r>
        <w:rPr>
          <w:rFonts w:hint="eastAsia" w:ascii="宋体" w:eastAsia="宋体"/>
          <w:b w:val="0"/>
          <w:color w:val="auto"/>
          <w:sz w:val="22"/>
          <w:szCs w:val="22"/>
          <w:highlight w:val="none"/>
        </w:rPr>
        <w:t xml:space="preserve"> ，属于</w:t>
      </w:r>
      <w:r>
        <w:rPr>
          <w:rFonts w:hint="eastAsia" w:ascii="宋体" w:eastAsia="宋体"/>
          <w:b w:val="0"/>
          <w:color w:val="auto"/>
          <w:sz w:val="22"/>
          <w:szCs w:val="22"/>
          <w:highlight w:val="none"/>
          <w:u w:val="single"/>
        </w:rPr>
        <w:t xml:space="preserve">其他未列明行业 </w:t>
      </w:r>
      <w:r>
        <w:rPr>
          <w:rFonts w:hint="eastAsia" w:ascii="宋体" w:eastAsia="宋体"/>
          <w:b w:val="0"/>
          <w:color w:val="auto"/>
          <w:sz w:val="22"/>
          <w:szCs w:val="22"/>
          <w:highlight w:val="none"/>
        </w:rPr>
        <w:t>；承建（承接）企业为</w:t>
      </w:r>
      <w:r>
        <w:rPr>
          <w:rFonts w:hint="eastAsia" w:ascii="宋体" w:eastAsia="宋体"/>
          <w:b w:val="0"/>
          <w:color w:val="auto"/>
          <w:sz w:val="22"/>
          <w:szCs w:val="22"/>
          <w:highlight w:val="none"/>
          <w:u w:val="single"/>
        </w:rPr>
        <w:t xml:space="preserve"> （企业名称）</w:t>
      </w:r>
      <w:r>
        <w:rPr>
          <w:rFonts w:hint="eastAsia" w:ascii="宋体" w:eastAsia="宋体"/>
          <w:b w:val="0"/>
          <w:color w:val="auto"/>
          <w:sz w:val="22"/>
          <w:szCs w:val="22"/>
          <w:highlight w:val="none"/>
        </w:rPr>
        <w:t xml:space="preserve"> ，从业人员</w:t>
      </w:r>
      <w:r>
        <w:rPr>
          <w:rFonts w:hint="eastAsia" w:ascii="宋体" w:eastAsia="宋体"/>
          <w:b w:val="0"/>
          <w:color w:val="auto"/>
          <w:sz w:val="22"/>
          <w:szCs w:val="22"/>
          <w:highlight w:val="none"/>
          <w:u w:val="single"/>
        </w:rPr>
        <w:t xml:space="preserve">        </w:t>
      </w:r>
      <w:r>
        <w:rPr>
          <w:rFonts w:hint="eastAsia" w:ascii="宋体" w:eastAsia="宋体"/>
          <w:b w:val="0"/>
          <w:color w:val="auto"/>
          <w:sz w:val="22"/>
          <w:szCs w:val="22"/>
          <w:highlight w:val="none"/>
        </w:rPr>
        <w:t>人，营业收入为</w:t>
      </w:r>
      <w:r>
        <w:rPr>
          <w:rFonts w:hint="eastAsia" w:ascii="宋体" w:eastAsia="宋体"/>
          <w:b w:val="0"/>
          <w:color w:val="auto"/>
          <w:sz w:val="22"/>
          <w:szCs w:val="22"/>
          <w:highlight w:val="none"/>
          <w:u w:val="single"/>
        </w:rPr>
        <w:t xml:space="preserve">        </w:t>
      </w:r>
      <w:r>
        <w:rPr>
          <w:rFonts w:hint="eastAsia" w:ascii="宋体" w:eastAsia="宋体"/>
          <w:b w:val="0"/>
          <w:color w:val="auto"/>
          <w:sz w:val="22"/>
          <w:szCs w:val="22"/>
          <w:highlight w:val="none"/>
        </w:rPr>
        <w:t>万元，资产总额为</w:t>
      </w:r>
      <w:r>
        <w:rPr>
          <w:rFonts w:hint="eastAsia" w:ascii="宋体" w:eastAsia="宋体"/>
          <w:b w:val="0"/>
          <w:color w:val="auto"/>
          <w:sz w:val="22"/>
          <w:szCs w:val="22"/>
          <w:highlight w:val="none"/>
          <w:u w:val="single"/>
        </w:rPr>
        <w:t xml:space="preserve">        </w:t>
      </w:r>
      <w:r>
        <w:rPr>
          <w:rFonts w:hint="eastAsia" w:ascii="宋体" w:eastAsia="宋体"/>
          <w:b w:val="0"/>
          <w:color w:val="auto"/>
          <w:sz w:val="22"/>
          <w:szCs w:val="22"/>
          <w:highlight w:val="none"/>
        </w:rPr>
        <w:t xml:space="preserve">万元，属于 </w:t>
      </w:r>
      <w:r>
        <w:rPr>
          <w:rFonts w:hint="eastAsia" w:ascii="宋体" w:eastAsia="宋体"/>
          <w:b w:val="0"/>
          <w:color w:val="auto"/>
          <w:sz w:val="22"/>
          <w:szCs w:val="22"/>
          <w:highlight w:val="none"/>
          <w:u w:val="single"/>
        </w:rPr>
        <w:t>（中型企业、小型企业、微型企业）</w:t>
      </w:r>
      <w:r>
        <w:rPr>
          <w:rFonts w:hint="eastAsia" w:ascii="宋体" w:eastAsia="宋体"/>
          <w:b w:val="0"/>
          <w:color w:val="auto"/>
          <w:sz w:val="22"/>
          <w:szCs w:val="22"/>
          <w:highlight w:val="none"/>
        </w:rPr>
        <w:t xml:space="preserve"> ；</w:t>
      </w:r>
    </w:p>
    <w:p>
      <w:pPr>
        <w:widowControl/>
        <w:spacing w:before="100" w:beforeAutospacing="1" w:after="100" w:afterAutospacing="1" w:line="440" w:lineRule="atLeast"/>
        <w:ind w:firstLine="440" w:firstLineChars="200"/>
        <w:jc w:val="left"/>
        <w:rPr>
          <w:rFonts w:ascii="宋体" w:eastAsia="宋体"/>
          <w:b w:val="0"/>
          <w:color w:val="auto"/>
          <w:sz w:val="22"/>
          <w:szCs w:val="22"/>
          <w:highlight w:val="none"/>
        </w:rPr>
      </w:pPr>
      <w:r>
        <w:rPr>
          <w:rFonts w:hint="eastAsia" w:ascii="宋体" w:eastAsia="宋体"/>
          <w:b w:val="0"/>
          <w:color w:val="auto"/>
          <w:sz w:val="22"/>
          <w:szCs w:val="22"/>
          <w:highlight w:val="none"/>
        </w:rPr>
        <w:t>……</w:t>
      </w:r>
    </w:p>
    <w:p>
      <w:pPr>
        <w:widowControl/>
        <w:spacing w:before="100" w:beforeAutospacing="1" w:after="100" w:afterAutospacing="1" w:line="440" w:lineRule="atLeast"/>
        <w:ind w:firstLine="440" w:firstLineChars="200"/>
        <w:jc w:val="left"/>
        <w:rPr>
          <w:rFonts w:ascii="宋体" w:eastAsia="宋体"/>
          <w:b w:val="0"/>
          <w:color w:val="auto"/>
          <w:sz w:val="22"/>
          <w:szCs w:val="22"/>
          <w:highlight w:val="none"/>
        </w:rPr>
      </w:pPr>
      <w:r>
        <w:rPr>
          <w:rFonts w:hint="eastAsia" w:ascii="宋体" w:eastAsia="宋体"/>
          <w:b w:val="0"/>
          <w:color w:val="auto"/>
          <w:sz w:val="22"/>
          <w:szCs w:val="22"/>
          <w:highlight w:val="none"/>
        </w:rPr>
        <w:t>以上企业，不属于大企业的分支机构，不存在控股股东为大企业的情形，也不存在与大企业的负责人为同一人的情形。</w:t>
      </w:r>
    </w:p>
    <w:p>
      <w:pPr>
        <w:widowControl/>
        <w:spacing w:before="100" w:beforeAutospacing="1" w:after="100" w:afterAutospacing="1" w:line="440" w:lineRule="atLeast"/>
        <w:ind w:firstLine="440" w:firstLineChars="200"/>
        <w:jc w:val="left"/>
        <w:rPr>
          <w:rFonts w:ascii="宋体" w:eastAsia="宋体"/>
          <w:b w:val="0"/>
          <w:color w:val="auto"/>
          <w:sz w:val="22"/>
          <w:szCs w:val="22"/>
          <w:highlight w:val="none"/>
        </w:rPr>
      </w:pPr>
      <w:r>
        <w:rPr>
          <w:rFonts w:hint="eastAsia" w:ascii="宋体" w:eastAsia="宋体"/>
          <w:b w:val="0"/>
          <w:color w:val="auto"/>
          <w:sz w:val="22"/>
          <w:szCs w:val="22"/>
          <w:highlight w:val="none"/>
        </w:rPr>
        <w:t>本企业对上述声明内容的真实性负责。如有虚假，将依法承担相应责任。</w:t>
      </w:r>
    </w:p>
    <w:p>
      <w:pPr>
        <w:widowControl/>
        <w:spacing w:before="100" w:beforeAutospacing="1" w:after="100" w:afterAutospacing="1" w:line="440" w:lineRule="atLeast"/>
        <w:ind w:firstLine="440" w:firstLineChars="200"/>
        <w:jc w:val="left"/>
        <w:rPr>
          <w:rFonts w:ascii="宋体" w:eastAsia="宋体"/>
          <w:b w:val="0"/>
          <w:color w:val="auto"/>
          <w:sz w:val="22"/>
          <w:szCs w:val="22"/>
          <w:highlight w:val="none"/>
        </w:rPr>
      </w:pPr>
      <w:r>
        <w:rPr>
          <w:rFonts w:hint="eastAsia" w:ascii="宋体" w:eastAsia="宋体"/>
          <w:b w:val="0"/>
          <w:color w:val="auto"/>
          <w:sz w:val="22"/>
          <w:szCs w:val="22"/>
          <w:highlight w:val="none"/>
        </w:rPr>
        <w:t>企业名称（盖章）：</w:t>
      </w:r>
    </w:p>
    <w:p>
      <w:pPr>
        <w:widowControl/>
        <w:spacing w:before="100" w:beforeAutospacing="1" w:after="100" w:afterAutospacing="1" w:line="440" w:lineRule="atLeast"/>
        <w:ind w:firstLine="440" w:firstLineChars="200"/>
        <w:jc w:val="left"/>
        <w:rPr>
          <w:rFonts w:cs="宋体" w:asciiTheme="majorEastAsia" w:hAnsiTheme="majorEastAsia" w:eastAsiaTheme="majorEastAsia"/>
          <w:b/>
          <w:bCs/>
          <w:color w:val="auto"/>
          <w:sz w:val="24"/>
          <w:highlight w:val="none"/>
        </w:rPr>
      </w:pPr>
      <w:r>
        <w:rPr>
          <w:rFonts w:hint="eastAsia" w:ascii="宋体" w:eastAsia="宋体"/>
          <w:b w:val="0"/>
          <w:color w:val="auto"/>
          <w:sz w:val="22"/>
          <w:szCs w:val="22"/>
          <w:highlight w:val="none"/>
        </w:rPr>
        <w:t>日 期：      </w:t>
      </w:r>
      <w:r>
        <w:rPr>
          <w:rFonts w:hint="eastAsia" w:cs="宋体" w:asciiTheme="majorEastAsia" w:hAnsiTheme="majorEastAsia" w:eastAsiaTheme="majorEastAsia"/>
          <w:color w:val="auto"/>
          <w:sz w:val="22"/>
          <w:szCs w:val="22"/>
          <w:highlight w:val="none"/>
        </w:rPr>
        <w:t>                  　　　　</w:t>
      </w:r>
      <w:r>
        <w:rPr>
          <w:rFonts w:hint="eastAsia" w:cs="宋体" w:asciiTheme="majorEastAsia" w:hAnsiTheme="majorEastAsia" w:eastAsiaTheme="majorEastAsia"/>
          <w:b/>
          <w:bCs/>
          <w:color w:val="auto"/>
          <w:sz w:val="24"/>
          <w:highlight w:val="none"/>
        </w:rPr>
        <w:t>　</w:t>
      </w:r>
    </w:p>
    <w:p>
      <w:pPr>
        <w:widowControl/>
        <w:spacing w:before="100" w:beforeAutospacing="1" w:after="100" w:afterAutospacing="1" w:line="440" w:lineRule="atLeast"/>
        <w:jc w:val="left"/>
        <w:rPr>
          <w:rFonts w:cs="宋体" w:asciiTheme="majorEastAsia" w:hAnsiTheme="majorEastAsia" w:eastAsiaTheme="majorEastAsia"/>
          <w:b/>
          <w:bCs/>
          <w:color w:val="auto"/>
          <w:sz w:val="24"/>
          <w:highlight w:val="none"/>
        </w:rPr>
      </w:pPr>
      <w:r>
        <w:rPr>
          <w:rFonts w:hint="eastAsia" w:cs="宋体" w:asciiTheme="majorEastAsia" w:hAnsiTheme="majorEastAsia" w:eastAsiaTheme="majorEastAsia"/>
          <w:b/>
          <w:bCs/>
          <w:color w:val="auto"/>
          <w:sz w:val="24"/>
          <w:highlight w:val="none"/>
        </w:rPr>
        <w:br w:type="page"/>
      </w:r>
      <w:r>
        <w:rPr>
          <w:rFonts w:hint="eastAsia" w:cs="宋体" w:asciiTheme="majorEastAsia" w:hAnsiTheme="majorEastAsia" w:eastAsiaTheme="majorEastAsia"/>
          <w:b/>
          <w:bCs/>
          <w:color w:val="auto"/>
          <w:sz w:val="24"/>
          <w:highlight w:val="none"/>
        </w:rPr>
        <w:t>附件2</w:t>
      </w:r>
    </w:p>
    <w:p>
      <w:pPr>
        <w:widowControl/>
        <w:spacing w:before="100" w:beforeAutospacing="1" w:after="100" w:afterAutospacing="1" w:line="440" w:lineRule="atLeast"/>
        <w:jc w:val="center"/>
        <w:rPr>
          <w:rFonts w:cs="宋体" w:asciiTheme="majorEastAsia" w:hAnsiTheme="majorEastAsia" w:eastAsiaTheme="majorEastAsia"/>
          <w:b/>
          <w:bCs/>
          <w:color w:val="auto"/>
          <w:sz w:val="24"/>
          <w:highlight w:val="none"/>
        </w:rPr>
      </w:pPr>
      <w:bookmarkStart w:id="77" w:name="OLE_LINK14"/>
      <w:bookmarkStart w:id="78" w:name="OLE_LINK13"/>
      <w:r>
        <w:rPr>
          <w:rFonts w:hint="eastAsia" w:cs="宋体" w:asciiTheme="majorEastAsia" w:hAnsiTheme="majorEastAsia" w:eastAsiaTheme="majorEastAsia"/>
          <w:b/>
          <w:bCs/>
          <w:color w:val="auto"/>
          <w:sz w:val="24"/>
          <w:highlight w:val="none"/>
        </w:rPr>
        <w:t>残疾人福利性单位声明函</w:t>
      </w:r>
    </w:p>
    <w:bookmarkEnd w:id="77"/>
    <w:bookmarkEnd w:id="78"/>
    <w:p>
      <w:pPr>
        <w:spacing w:line="588" w:lineRule="exact"/>
        <w:rPr>
          <w:rFonts w:cs="宋体" w:asciiTheme="majorEastAsia" w:hAnsiTheme="majorEastAsia" w:eastAsiaTheme="majorEastAsia"/>
          <w:b/>
          <w:bCs/>
          <w:color w:val="auto"/>
          <w:spacing w:val="6"/>
          <w:sz w:val="30"/>
          <w:szCs w:val="30"/>
          <w:highlight w:val="none"/>
        </w:rPr>
      </w:pPr>
    </w:p>
    <w:p>
      <w:pPr>
        <w:spacing w:line="588" w:lineRule="exact"/>
        <w:ind w:firstLine="464" w:firstLineChars="200"/>
        <w:rPr>
          <w:rFonts w:cs="宋体" w:asciiTheme="majorEastAsia" w:hAnsiTheme="majorEastAsia" w:eastAsiaTheme="majorEastAsia"/>
          <w:color w:val="auto"/>
          <w:spacing w:val="6"/>
          <w:sz w:val="22"/>
          <w:szCs w:val="22"/>
          <w:highlight w:val="none"/>
        </w:rPr>
      </w:pPr>
      <w:r>
        <w:rPr>
          <w:rFonts w:hint="eastAsia" w:cs="宋体" w:asciiTheme="majorEastAsia" w:hAnsiTheme="majorEastAsia" w:eastAsiaTheme="majorEastAsia"/>
          <w:color w:val="auto"/>
          <w:spacing w:val="6"/>
          <w:sz w:val="22"/>
          <w:szCs w:val="22"/>
          <w:highlight w:val="none"/>
        </w:rPr>
        <w:t>本单位郑重声明，根据《财政部 民政部 中国残疾人联合会关于促进残疾人就业政府采购政策的通知》（财库</w:t>
      </w:r>
      <w:r>
        <w:rPr>
          <w:rFonts w:hint="eastAsia" w:cs="宋体" w:asciiTheme="majorEastAsia" w:hAnsiTheme="majorEastAsia" w:eastAsiaTheme="majorEastAsia"/>
          <w:color w:val="auto"/>
          <w:sz w:val="22"/>
          <w:szCs w:val="22"/>
          <w:highlight w:val="none"/>
        </w:rPr>
        <w:t>〔2017〕 141</w:t>
      </w:r>
      <w:r>
        <w:rPr>
          <w:rFonts w:hint="eastAsia" w:cs="宋体" w:asciiTheme="majorEastAsia" w:hAnsiTheme="majorEastAsia" w:eastAsiaTheme="majorEastAsia"/>
          <w:color w:val="auto"/>
          <w:spacing w:val="6"/>
          <w:sz w:val="22"/>
          <w:szCs w:val="2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cs="宋体" w:asciiTheme="majorEastAsia" w:hAnsiTheme="majorEastAsia" w:eastAsiaTheme="majorEastAsia"/>
          <w:color w:val="auto"/>
          <w:spacing w:val="6"/>
          <w:sz w:val="22"/>
          <w:szCs w:val="22"/>
          <w:highlight w:val="none"/>
        </w:rPr>
      </w:pPr>
      <w:r>
        <w:rPr>
          <w:rFonts w:hint="eastAsia" w:cs="宋体" w:asciiTheme="majorEastAsia" w:hAnsiTheme="majorEastAsia" w:eastAsiaTheme="majorEastAsia"/>
          <w:color w:val="auto"/>
          <w:spacing w:val="6"/>
          <w:sz w:val="22"/>
          <w:szCs w:val="22"/>
          <w:highlight w:val="none"/>
        </w:rPr>
        <w:t>本单位对上述声明的真实性负责。如有虚假，将依法承担相应责任。</w:t>
      </w:r>
    </w:p>
    <w:p>
      <w:pPr>
        <w:spacing w:line="588" w:lineRule="exact"/>
        <w:ind w:firstLine="464" w:firstLineChars="200"/>
        <w:rPr>
          <w:rFonts w:cs="宋体" w:asciiTheme="majorEastAsia" w:hAnsiTheme="majorEastAsia" w:eastAsiaTheme="majorEastAsia"/>
          <w:color w:val="auto"/>
          <w:spacing w:val="6"/>
          <w:sz w:val="22"/>
          <w:szCs w:val="22"/>
          <w:highlight w:val="none"/>
        </w:rPr>
      </w:pPr>
    </w:p>
    <w:p>
      <w:pPr>
        <w:tabs>
          <w:tab w:val="left" w:pos="4860"/>
        </w:tabs>
        <w:spacing w:line="588" w:lineRule="exact"/>
        <w:ind w:right="1560" w:firstLine="464" w:firstLineChars="200"/>
        <w:rPr>
          <w:rFonts w:cs="宋体" w:asciiTheme="majorEastAsia" w:hAnsiTheme="majorEastAsia" w:eastAsiaTheme="majorEastAsia"/>
          <w:color w:val="auto"/>
          <w:spacing w:val="6"/>
          <w:sz w:val="22"/>
          <w:szCs w:val="22"/>
          <w:highlight w:val="none"/>
        </w:rPr>
      </w:pPr>
    </w:p>
    <w:p>
      <w:pPr>
        <w:tabs>
          <w:tab w:val="left" w:pos="4860"/>
        </w:tabs>
        <w:spacing w:line="588" w:lineRule="exact"/>
        <w:ind w:right="1560" w:firstLine="464" w:firstLineChars="200"/>
        <w:rPr>
          <w:rFonts w:cs="宋体" w:asciiTheme="majorEastAsia" w:hAnsiTheme="majorEastAsia" w:eastAsiaTheme="majorEastAsia"/>
          <w:color w:val="auto"/>
          <w:spacing w:val="6"/>
          <w:sz w:val="22"/>
          <w:szCs w:val="22"/>
          <w:highlight w:val="none"/>
        </w:rPr>
      </w:pPr>
      <w:r>
        <w:rPr>
          <w:rFonts w:hint="eastAsia" w:cs="宋体" w:asciiTheme="majorEastAsia" w:hAnsiTheme="majorEastAsia" w:eastAsiaTheme="majorEastAsia"/>
          <w:color w:val="auto"/>
          <w:spacing w:val="6"/>
          <w:sz w:val="22"/>
          <w:szCs w:val="22"/>
          <w:highlight w:val="none"/>
        </w:rPr>
        <w:t>投标供应商全称（盖章）：</w:t>
      </w:r>
    </w:p>
    <w:p>
      <w:pPr>
        <w:tabs>
          <w:tab w:val="left" w:pos="4860"/>
        </w:tabs>
        <w:spacing w:line="588" w:lineRule="exact"/>
        <w:ind w:right="1560" w:firstLine="464" w:firstLineChars="200"/>
        <w:rPr>
          <w:rFonts w:cs="宋体" w:asciiTheme="majorEastAsia" w:hAnsiTheme="majorEastAsia" w:eastAsiaTheme="majorEastAsia"/>
          <w:color w:val="auto"/>
          <w:spacing w:val="6"/>
          <w:sz w:val="22"/>
          <w:szCs w:val="22"/>
          <w:highlight w:val="none"/>
        </w:rPr>
      </w:pPr>
      <w:r>
        <w:rPr>
          <w:rFonts w:hint="eastAsia" w:cs="宋体" w:asciiTheme="majorEastAsia" w:hAnsiTheme="majorEastAsia" w:eastAsiaTheme="majorEastAsia"/>
          <w:color w:val="auto"/>
          <w:spacing w:val="6"/>
          <w:sz w:val="22"/>
          <w:szCs w:val="22"/>
          <w:highlight w:val="none"/>
        </w:rPr>
        <w:t>日  期：</w:t>
      </w:r>
    </w:p>
    <w:p>
      <w:pPr>
        <w:tabs>
          <w:tab w:val="left" w:pos="4860"/>
        </w:tabs>
        <w:spacing w:line="588" w:lineRule="exact"/>
        <w:ind w:right="1560" w:firstLine="464" w:firstLineChars="200"/>
        <w:jc w:val="center"/>
        <w:rPr>
          <w:rFonts w:cs="宋体" w:asciiTheme="majorEastAsia" w:hAnsiTheme="majorEastAsia" w:eastAsiaTheme="majorEastAsia"/>
          <w:color w:val="auto"/>
          <w:spacing w:val="6"/>
          <w:sz w:val="22"/>
          <w:szCs w:val="22"/>
          <w:highlight w:val="none"/>
        </w:rPr>
      </w:pPr>
    </w:p>
    <w:p>
      <w:pPr>
        <w:tabs>
          <w:tab w:val="left" w:pos="4860"/>
        </w:tabs>
        <w:spacing w:line="588" w:lineRule="exact"/>
        <w:ind w:right="1560" w:firstLine="464" w:firstLineChars="200"/>
        <w:jc w:val="center"/>
        <w:rPr>
          <w:rFonts w:cs="宋体" w:asciiTheme="majorEastAsia" w:hAnsiTheme="majorEastAsia" w:eastAsiaTheme="majorEastAsia"/>
          <w:color w:val="auto"/>
          <w:spacing w:val="6"/>
          <w:sz w:val="22"/>
          <w:szCs w:val="22"/>
          <w:highlight w:val="none"/>
        </w:rPr>
      </w:pPr>
    </w:p>
    <w:p>
      <w:pPr>
        <w:tabs>
          <w:tab w:val="left" w:pos="4860"/>
        </w:tabs>
        <w:spacing w:line="588" w:lineRule="exact"/>
        <w:ind w:right="1560"/>
        <w:jc w:val="left"/>
        <w:rPr>
          <w:rFonts w:cs="宋体" w:asciiTheme="majorEastAsia" w:hAnsiTheme="majorEastAsia" w:eastAsiaTheme="majorEastAsia"/>
          <w:b/>
          <w:bCs/>
          <w:color w:val="auto"/>
          <w:sz w:val="22"/>
          <w:szCs w:val="22"/>
          <w:highlight w:val="none"/>
        </w:rPr>
      </w:pPr>
      <w:r>
        <w:rPr>
          <w:rFonts w:hint="eastAsia" w:cs="宋体" w:asciiTheme="majorEastAsia" w:hAnsiTheme="majorEastAsia" w:eastAsiaTheme="majorEastAsia"/>
          <w:b/>
          <w:bCs/>
          <w:color w:val="auto"/>
          <w:sz w:val="22"/>
          <w:szCs w:val="22"/>
          <w:highlight w:val="none"/>
        </w:rPr>
        <w:t>备注说明：</w:t>
      </w:r>
    </w:p>
    <w:p>
      <w:pPr>
        <w:tabs>
          <w:tab w:val="left" w:pos="4860"/>
        </w:tabs>
        <w:spacing w:line="588" w:lineRule="exact"/>
        <w:ind w:right="1560"/>
        <w:jc w:val="left"/>
        <w:rPr>
          <w:rFonts w:cs="宋体" w:asciiTheme="majorEastAsia" w:hAnsiTheme="majorEastAsia" w:eastAsiaTheme="majorEastAsia"/>
          <w:b/>
          <w:bCs/>
          <w:color w:val="auto"/>
          <w:sz w:val="22"/>
          <w:szCs w:val="22"/>
          <w:highlight w:val="none"/>
        </w:rPr>
      </w:pPr>
      <w:r>
        <w:rPr>
          <w:rFonts w:hint="eastAsia" w:cs="宋体" w:asciiTheme="majorEastAsia" w:hAnsiTheme="majorEastAsia" w:eastAsiaTheme="majorEastAsia"/>
          <w:b/>
          <w:bCs/>
          <w:color w:val="auto"/>
          <w:sz w:val="22"/>
          <w:szCs w:val="22"/>
          <w:highlight w:val="none"/>
        </w:rPr>
        <w:t>1、如中标，将在中标公示中将此声明函予以公示，接受社会监督；</w:t>
      </w:r>
    </w:p>
    <w:p>
      <w:pPr>
        <w:autoSpaceDE w:val="0"/>
        <w:autoSpaceDN w:val="0"/>
        <w:adjustRightInd w:val="0"/>
        <w:spacing w:line="460" w:lineRule="atLeast"/>
        <w:textAlignment w:val="bottom"/>
        <w:rPr>
          <w:rFonts w:cs="宋体" w:asciiTheme="majorEastAsia" w:hAnsiTheme="majorEastAsia" w:eastAsiaTheme="majorEastAsia"/>
          <w:color w:val="auto"/>
          <w:sz w:val="22"/>
          <w:szCs w:val="22"/>
          <w:highlight w:val="none"/>
        </w:rPr>
      </w:pPr>
      <w:r>
        <w:rPr>
          <w:rFonts w:hint="eastAsia" w:cs="宋体" w:asciiTheme="majorEastAsia" w:hAnsiTheme="majorEastAsia" w:eastAsiaTheme="majorEastAsia"/>
          <w:b/>
          <w:bCs/>
          <w:color w:val="auto"/>
          <w:sz w:val="22"/>
          <w:szCs w:val="22"/>
          <w:highlight w:val="none"/>
        </w:rPr>
        <w:t>2、投标供应商提供的《残疾人福利性单位声明函》与事实不符的，依照《政府采购法》第七十七条第一款的规定追究法律责任。</w:t>
      </w:r>
    </w:p>
    <w:p>
      <w:pPr>
        <w:spacing w:line="360" w:lineRule="auto"/>
        <w:outlineLvl w:val="0"/>
        <w:rPr>
          <w:rFonts w:cs="宋体" w:asciiTheme="majorEastAsia" w:hAnsiTheme="majorEastAsia" w:eastAsiaTheme="majorEastAsia"/>
          <w:b/>
          <w:bCs/>
          <w:color w:val="auto"/>
          <w:sz w:val="28"/>
          <w:szCs w:val="28"/>
          <w:highlight w:val="none"/>
        </w:rPr>
      </w:pPr>
    </w:p>
    <w:p>
      <w:pPr>
        <w:pStyle w:val="40"/>
        <w:rPr>
          <w:rFonts w:cs="宋体" w:asciiTheme="majorEastAsia" w:hAnsiTheme="majorEastAsia" w:eastAsiaTheme="majorEastAsia"/>
          <w:color w:val="auto"/>
          <w:sz w:val="30"/>
          <w:szCs w:val="30"/>
          <w:highlight w:val="none"/>
        </w:rPr>
      </w:pPr>
    </w:p>
    <w:p>
      <w:pPr>
        <w:widowControl/>
        <w:jc w:val="left"/>
        <w:rPr>
          <w:rFonts w:cs="新宋体" w:asciiTheme="majorEastAsia" w:hAnsiTheme="majorEastAsia" w:eastAsiaTheme="majorEastAsia"/>
          <w:b/>
          <w:bCs/>
          <w:color w:val="auto"/>
          <w:sz w:val="30"/>
          <w:szCs w:val="30"/>
          <w:highlight w:val="none"/>
        </w:rPr>
      </w:pPr>
      <w:r>
        <w:rPr>
          <w:rFonts w:cs="新宋体" w:asciiTheme="majorEastAsia" w:hAnsiTheme="majorEastAsia" w:eastAsiaTheme="majorEastAsia"/>
          <w:color w:val="auto"/>
          <w:sz w:val="30"/>
          <w:szCs w:val="30"/>
          <w:highlight w:val="none"/>
        </w:rPr>
        <w:br w:type="page"/>
      </w:r>
    </w:p>
    <w:p>
      <w:pPr>
        <w:spacing w:line="360" w:lineRule="auto"/>
        <w:jc w:val="center"/>
        <w:outlineLvl w:val="0"/>
        <w:rPr>
          <w:b/>
          <w:color w:val="auto"/>
          <w:sz w:val="36"/>
          <w:szCs w:val="36"/>
          <w:highlight w:val="none"/>
        </w:rPr>
      </w:pPr>
      <w:bookmarkStart w:id="79" w:name="_Toc23974"/>
      <w:r>
        <w:rPr>
          <w:rFonts w:hint="eastAsia" w:cs="新宋体" w:asciiTheme="majorEastAsia" w:hAnsiTheme="majorEastAsia" w:eastAsiaTheme="majorEastAsia"/>
          <w:color w:val="auto"/>
          <w:sz w:val="30"/>
          <w:szCs w:val="30"/>
          <w:highlight w:val="none"/>
        </w:rPr>
        <w:t xml:space="preserve">第五部分  </w:t>
      </w:r>
      <w:bookmarkEnd w:id="73"/>
      <w:bookmarkEnd w:id="74"/>
      <w:r>
        <w:rPr>
          <w:rFonts w:hint="eastAsia" w:cs="新宋体" w:asciiTheme="majorEastAsia" w:hAnsiTheme="majorEastAsia" w:eastAsiaTheme="majorEastAsia"/>
          <w:color w:val="auto"/>
          <w:sz w:val="30"/>
          <w:szCs w:val="30"/>
          <w:highlight w:val="none"/>
        </w:rPr>
        <w:t>合同格式（参考格式）</w:t>
      </w:r>
      <w:bookmarkEnd w:id="79"/>
      <w:r>
        <w:rPr>
          <w:rFonts w:hint="eastAsia" w:cs="新宋体" w:asciiTheme="majorEastAsia" w:hAnsiTheme="majorEastAsia" w:eastAsiaTheme="majorEastAsia"/>
          <w:color w:val="auto"/>
          <w:sz w:val="30"/>
          <w:szCs w:val="30"/>
          <w:highlight w:val="none"/>
        </w:rPr>
        <w:t xml:space="preserve">  </w:t>
      </w:r>
    </w:p>
    <w:p>
      <w:pPr>
        <w:snapToGrid w:val="0"/>
        <w:spacing w:line="360" w:lineRule="auto"/>
        <w:rPr>
          <w:rFonts w:ascii="宋体" w:eastAsia="宋体"/>
          <w:b w:val="0"/>
          <w:color w:val="auto"/>
          <w:sz w:val="22"/>
          <w:szCs w:val="22"/>
          <w:highlight w:val="none"/>
        </w:rPr>
      </w:pPr>
      <w:bookmarkStart w:id="80" w:name="_Toc496116263"/>
      <w:bookmarkStart w:id="81" w:name="_Toc498343172"/>
      <w:bookmarkStart w:id="82" w:name="_Toc293038721"/>
      <w:r>
        <w:rPr>
          <w:rFonts w:hint="eastAsia" w:ascii="宋体" w:eastAsia="宋体"/>
          <w:b w:val="0"/>
          <w:color w:val="auto"/>
          <w:sz w:val="22"/>
          <w:szCs w:val="22"/>
          <w:highlight w:val="none"/>
        </w:rPr>
        <w:t>甲方（委托方）：</w:t>
      </w:r>
    </w:p>
    <w:p>
      <w:pPr>
        <w:pStyle w:val="2"/>
        <w:spacing w:before="120"/>
        <w:ind w:firstLine="0"/>
        <w:rPr>
          <w:rFonts w:ascii="宋体" w:hAnsi="宋体" w:eastAsia="宋体"/>
          <w:color w:val="auto"/>
          <w:sz w:val="22"/>
          <w:szCs w:val="22"/>
          <w:highlight w:val="none"/>
        </w:rPr>
      </w:pPr>
      <w:r>
        <w:rPr>
          <w:rFonts w:hint="eastAsia" w:ascii="宋体" w:hAnsi="宋体" w:eastAsia="宋体"/>
          <w:color w:val="auto"/>
          <w:sz w:val="22"/>
          <w:szCs w:val="22"/>
          <w:highlight w:val="none"/>
        </w:rPr>
        <w:t>地址：</w:t>
      </w:r>
    </w:p>
    <w:p>
      <w:pPr>
        <w:pStyle w:val="2"/>
        <w:spacing w:before="120"/>
        <w:ind w:firstLine="0"/>
        <w:rPr>
          <w:rFonts w:ascii="宋体" w:hAnsi="宋体" w:eastAsia="宋体"/>
          <w:color w:val="auto"/>
          <w:sz w:val="22"/>
          <w:szCs w:val="22"/>
          <w:highlight w:val="none"/>
        </w:rPr>
      </w:pPr>
      <w:r>
        <w:rPr>
          <w:rFonts w:hint="eastAsia" w:ascii="宋体" w:hAnsi="宋体" w:eastAsia="宋体"/>
          <w:color w:val="auto"/>
          <w:sz w:val="22"/>
          <w:szCs w:val="22"/>
          <w:highlight w:val="none"/>
        </w:rPr>
        <w:t>电话：</w:t>
      </w:r>
    </w:p>
    <w:p>
      <w:pPr>
        <w:snapToGrid w:val="0"/>
        <w:spacing w:line="360" w:lineRule="auto"/>
        <w:rPr>
          <w:rFonts w:ascii="宋体" w:eastAsia="宋体"/>
          <w:b w:val="0"/>
          <w:color w:val="auto"/>
          <w:sz w:val="22"/>
          <w:szCs w:val="22"/>
          <w:highlight w:val="none"/>
        </w:rPr>
      </w:pPr>
      <w:r>
        <w:rPr>
          <w:rFonts w:hint="eastAsia" w:ascii="宋体" w:eastAsia="宋体"/>
          <w:b w:val="0"/>
          <w:color w:val="auto"/>
          <w:sz w:val="22"/>
          <w:szCs w:val="22"/>
          <w:highlight w:val="none"/>
        </w:rPr>
        <w:t>乙方（受托方）：</w:t>
      </w:r>
    </w:p>
    <w:p>
      <w:pPr>
        <w:pStyle w:val="2"/>
        <w:spacing w:before="120"/>
        <w:ind w:firstLine="0"/>
        <w:rPr>
          <w:rFonts w:ascii="宋体" w:hAnsi="宋体" w:eastAsia="宋体"/>
          <w:color w:val="auto"/>
          <w:sz w:val="22"/>
          <w:szCs w:val="22"/>
          <w:highlight w:val="none"/>
        </w:rPr>
      </w:pPr>
      <w:r>
        <w:rPr>
          <w:rFonts w:hint="eastAsia" w:ascii="宋体" w:hAnsi="宋体" w:eastAsia="宋体"/>
          <w:color w:val="auto"/>
          <w:sz w:val="22"/>
          <w:szCs w:val="22"/>
          <w:highlight w:val="none"/>
        </w:rPr>
        <w:t>地址：</w:t>
      </w:r>
    </w:p>
    <w:p>
      <w:pPr>
        <w:pStyle w:val="2"/>
        <w:spacing w:before="120"/>
        <w:ind w:firstLine="0"/>
        <w:rPr>
          <w:rFonts w:ascii="宋体" w:hAnsi="宋体" w:eastAsia="宋体"/>
          <w:color w:val="auto"/>
          <w:sz w:val="22"/>
          <w:szCs w:val="22"/>
          <w:highlight w:val="none"/>
        </w:rPr>
      </w:pPr>
      <w:r>
        <w:rPr>
          <w:rFonts w:hint="eastAsia" w:ascii="宋体" w:hAnsi="宋体" w:eastAsia="宋体"/>
          <w:color w:val="auto"/>
          <w:sz w:val="22"/>
          <w:szCs w:val="22"/>
          <w:highlight w:val="none"/>
        </w:rPr>
        <w:t>电话</w:t>
      </w:r>
    </w:p>
    <w:p>
      <w:pPr>
        <w:snapToGrid w:val="0"/>
        <w:spacing w:line="360" w:lineRule="auto"/>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为了保护各方合法权益，根据《中华人民共和国政府采购法》、《中华人民共和国</w:t>
      </w:r>
      <w:r>
        <w:rPr>
          <w:rFonts w:hint="eastAsia" w:ascii="宋体" w:eastAsia="宋体"/>
          <w:b w:val="0"/>
          <w:color w:val="auto"/>
          <w:sz w:val="22"/>
          <w:szCs w:val="22"/>
          <w:highlight w:val="none"/>
          <w:lang w:val="en-US" w:eastAsia="zh-CN"/>
        </w:rPr>
        <w:t>民法典</w:t>
      </w:r>
      <w:r>
        <w:rPr>
          <w:rFonts w:hint="eastAsia" w:ascii="宋体" w:eastAsia="宋体"/>
          <w:b w:val="0"/>
          <w:color w:val="auto"/>
          <w:sz w:val="22"/>
          <w:szCs w:val="22"/>
          <w:highlight w:val="none"/>
        </w:rPr>
        <w:t>》等相关法律法规的规定并严格遵循</w:t>
      </w:r>
      <w:r>
        <w:rPr>
          <w:rFonts w:hint="eastAsia" w:ascii="宋体" w:eastAsia="宋体"/>
          <w:b w:val="0"/>
          <w:color w:val="auto"/>
          <w:sz w:val="22"/>
          <w:szCs w:val="22"/>
          <w:highlight w:val="none"/>
          <w:u w:val="single"/>
        </w:rPr>
        <w:t xml:space="preserve">                  </w:t>
      </w:r>
      <w:r>
        <w:rPr>
          <w:rFonts w:hint="eastAsia" w:ascii="宋体" w:eastAsia="宋体"/>
          <w:b w:val="0"/>
          <w:color w:val="auto"/>
          <w:sz w:val="22"/>
          <w:szCs w:val="22"/>
          <w:highlight w:val="none"/>
        </w:rPr>
        <w:t>项目[项目编号：     ]招标文件中的相关规定，签订本合同，并共同遵守。</w:t>
      </w:r>
    </w:p>
    <w:p>
      <w:pPr>
        <w:numPr>
          <w:ilvl w:val="0"/>
          <w:numId w:val="6"/>
        </w:numPr>
        <w:spacing w:line="360" w:lineRule="exact"/>
        <w:ind w:firstLine="440" w:firstLineChars="200"/>
        <w:rPr>
          <w:rFonts w:ascii="宋体" w:eastAsia="宋体"/>
          <w:b w:val="0"/>
          <w:bCs w:val="0"/>
          <w:color w:val="auto"/>
          <w:sz w:val="22"/>
          <w:szCs w:val="22"/>
          <w:highlight w:val="none"/>
        </w:rPr>
      </w:pPr>
      <w:r>
        <w:rPr>
          <w:rFonts w:hint="eastAsia" w:ascii="宋体" w:eastAsia="宋体"/>
          <w:b w:val="0"/>
          <w:color w:val="auto"/>
          <w:sz w:val="22"/>
          <w:szCs w:val="22"/>
          <w:highlight w:val="none"/>
        </w:rPr>
        <w:t>委托事项：甲方委托乙方，就甲方疗休养活动指制定方案并进行全程安排。</w:t>
      </w:r>
    </w:p>
    <w:p>
      <w:pPr>
        <w:numPr>
          <w:ilvl w:val="0"/>
          <w:numId w:val="6"/>
        </w:numPr>
        <w:spacing w:line="360" w:lineRule="exact"/>
        <w:ind w:firstLine="440" w:firstLineChars="200"/>
        <w:rPr>
          <w:rFonts w:ascii="宋体" w:eastAsia="宋体"/>
          <w:b w:val="0"/>
          <w:bCs w:val="0"/>
          <w:color w:val="auto"/>
          <w:sz w:val="22"/>
          <w:szCs w:val="22"/>
          <w:highlight w:val="none"/>
        </w:rPr>
      </w:pPr>
      <w:r>
        <w:rPr>
          <w:rFonts w:hint="eastAsia" w:ascii="宋体" w:eastAsia="宋体"/>
          <w:b w:val="0"/>
          <w:color w:val="auto"/>
          <w:sz w:val="22"/>
          <w:szCs w:val="22"/>
          <w:highlight w:val="none"/>
        </w:rPr>
        <w:t>服务期限：</w:t>
      </w:r>
    </w:p>
    <w:p>
      <w:pPr>
        <w:spacing w:line="360" w:lineRule="exact"/>
        <w:ind w:left="440"/>
        <w:rPr>
          <w:rFonts w:ascii="宋体" w:eastAsia="宋体"/>
          <w:b w:val="0"/>
          <w:color w:val="auto"/>
          <w:sz w:val="22"/>
          <w:szCs w:val="22"/>
          <w:highlight w:val="none"/>
        </w:rPr>
      </w:pPr>
      <w:r>
        <w:rPr>
          <w:rFonts w:hint="eastAsia" w:ascii="宋体" w:eastAsia="宋体"/>
          <w:b w:val="0"/>
          <w:color w:val="auto"/>
          <w:sz w:val="22"/>
          <w:szCs w:val="22"/>
          <w:highlight w:val="none"/>
        </w:rPr>
        <w:t>本</w:t>
      </w:r>
      <w:r>
        <w:rPr>
          <w:rFonts w:hint="eastAsia" w:ascii="宋体" w:eastAsia="宋体"/>
          <w:b w:val="0"/>
          <w:color w:val="auto"/>
          <w:sz w:val="22"/>
          <w:szCs w:val="22"/>
          <w:highlight w:val="none"/>
        </w:rPr>
        <w:t>项目财政预算价为</w:t>
      </w:r>
      <w:r>
        <w:rPr>
          <w:rFonts w:hint="eastAsia" w:ascii="宋体" w:eastAsia="宋体"/>
          <w:b w:val="0"/>
          <w:color w:val="auto"/>
          <w:sz w:val="22"/>
          <w:szCs w:val="22"/>
          <w:highlight w:val="none"/>
          <w:u w:val="single"/>
        </w:rPr>
        <w:t xml:space="preserve">      </w:t>
      </w:r>
      <w:r>
        <w:rPr>
          <w:rFonts w:hint="eastAsia" w:ascii="宋体" w:eastAsia="宋体"/>
          <w:b w:val="0"/>
          <w:color w:val="auto"/>
          <w:sz w:val="22"/>
          <w:szCs w:val="22"/>
          <w:highlight w:val="none"/>
        </w:rPr>
        <w:t>元（大写：</w:t>
      </w:r>
      <w:r>
        <w:rPr>
          <w:rFonts w:hint="eastAsia" w:ascii="宋体" w:eastAsia="宋体"/>
          <w:b w:val="0"/>
          <w:color w:val="auto"/>
          <w:sz w:val="22"/>
          <w:szCs w:val="22"/>
          <w:highlight w:val="none"/>
          <w:u w:val="single"/>
        </w:rPr>
        <w:t xml:space="preserve">人民币  </w:t>
      </w:r>
      <w:r>
        <w:rPr>
          <w:rFonts w:ascii="宋体" w:eastAsia="宋体"/>
          <w:b w:val="0"/>
          <w:color w:val="auto"/>
          <w:sz w:val="22"/>
          <w:szCs w:val="22"/>
          <w:highlight w:val="none"/>
          <w:u w:val="single"/>
        </w:rPr>
        <w:t xml:space="preserve">       </w:t>
      </w:r>
      <w:r>
        <w:rPr>
          <w:rFonts w:hint="eastAsia" w:ascii="宋体" w:eastAsia="宋体"/>
          <w:b w:val="0"/>
          <w:color w:val="auto"/>
          <w:sz w:val="22"/>
          <w:szCs w:val="22"/>
          <w:highlight w:val="none"/>
          <w:u w:val="single"/>
        </w:rPr>
        <w:t>元整</w:t>
      </w:r>
      <w:r>
        <w:rPr>
          <w:rFonts w:hint="eastAsia" w:ascii="宋体" w:eastAsia="宋体"/>
          <w:b w:val="0"/>
          <w:color w:val="auto"/>
          <w:sz w:val="22"/>
          <w:szCs w:val="22"/>
          <w:highlight w:val="none"/>
        </w:rPr>
        <w:t>）。乙方应于疗养活动</w:t>
      </w:r>
    </w:p>
    <w:p>
      <w:pPr>
        <w:spacing w:line="360" w:lineRule="exact"/>
        <w:rPr>
          <w:rFonts w:ascii="宋体" w:eastAsia="宋体"/>
          <w:b w:val="0"/>
          <w:color w:val="auto"/>
          <w:sz w:val="22"/>
          <w:szCs w:val="22"/>
          <w:highlight w:val="none"/>
        </w:rPr>
      </w:pPr>
      <w:r>
        <w:rPr>
          <w:rFonts w:hint="eastAsia" w:ascii="宋体" w:eastAsia="宋体"/>
          <w:b w:val="0"/>
          <w:color w:val="auto"/>
          <w:sz w:val="22"/>
          <w:szCs w:val="22"/>
          <w:highlight w:val="none"/>
        </w:rPr>
        <w:t>全部结束之日起</w:t>
      </w:r>
      <w:r>
        <w:rPr>
          <w:rFonts w:hint="eastAsia" w:ascii="宋体" w:eastAsia="宋体"/>
          <w:b w:val="0"/>
          <w:color w:val="auto"/>
          <w:sz w:val="22"/>
          <w:szCs w:val="22"/>
          <w:highlight w:val="none"/>
          <w:u w:val="single"/>
        </w:rPr>
        <w:t xml:space="preserve">    </w:t>
      </w:r>
      <w:r>
        <w:rPr>
          <w:rFonts w:hint="eastAsia" w:ascii="宋体" w:eastAsia="宋体"/>
          <w:b w:val="0"/>
          <w:color w:val="auto"/>
          <w:sz w:val="22"/>
          <w:szCs w:val="22"/>
          <w:highlight w:val="none"/>
        </w:rPr>
        <w:t>日内与甲方进行结算，最终疗养费用总额需经甲方书面确认。</w:t>
      </w:r>
    </w:p>
    <w:p>
      <w:pPr>
        <w:spacing w:line="360" w:lineRule="exact"/>
        <w:ind w:firstLine="440" w:firstLineChars="200"/>
        <w:rPr>
          <w:rFonts w:hint="default" w:ascii="宋体" w:eastAsia="宋体"/>
          <w:b w:val="0"/>
          <w:color w:val="auto"/>
          <w:sz w:val="22"/>
          <w:szCs w:val="22"/>
          <w:highlight w:val="none"/>
          <w:lang w:val="en-US" w:eastAsia="zh-CN"/>
        </w:rPr>
      </w:pPr>
      <w:r>
        <w:rPr>
          <w:rFonts w:hint="eastAsia" w:ascii="宋体" w:eastAsia="宋体"/>
          <w:b w:val="0"/>
          <w:color w:val="auto"/>
          <w:sz w:val="22"/>
          <w:szCs w:val="22"/>
          <w:highlight w:val="none"/>
          <w:lang w:val="en-US" w:eastAsia="zh-CN"/>
        </w:rPr>
        <w:t>2024年</w:t>
      </w:r>
      <w:r>
        <w:rPr>
          <w:rFonts w:hint="eastAsia" w:ascii="宋体" w:eastAsia="宋体"/>
          <w:b w:val="0"/>
          <w:color w:val="auto"/>
          <w:sz w:val="22"/>
          <w:szCs w:val="22"/>
          <w:highlight w:val="none"/>
          <w:u w:val="single"/>
          <w:lang w:val="en-US" w:eastAsia="zh-CN"/>
        </w:rPr>
        <w:t xml:space="preserve">  </w:t>
      </w:r>
      <w:r>
        <w:rPr>
          <w:rFonts w:hint="eastAsia" w:ascii="宋体" w:eastAsia="宋体"/>
          <w:b w:val="0"/>
          <w:color w:val="auto"/>
          <w:sz w:val="22"/>
          <w:szCs w:val="22"/>
          <w:highlight w:val="none"/>
          <w:lang w:val="en-US" w:eastAsia="zh-CN"/>
        </w:rPr>
        <w:t>月</w:t>
      </w:r>
      <w:r>
        <w:rPr>
          <w:rFonts w:hint="eastAsia" w:ascii="宋体" w:eastAsia="宋体"/>
          <w:b w:val="0"/>
          <w:color w:val="auto"/>
          <w:sz w:val="22"/>
          <w:szCs w:val="22"/>
          <w:highlight w:val="none"/>
          <w:u w:val="single"/>
          <w:lang w:val="en-US" w:eastAsia="zh-CN"/>
        </w:rPr>
        <w:t xml:space="preserve">  </w:t>
      </w:r>
      <w:r>
        <w:rPr>
          <w:rFonts w:hint="eastAsia" w:ascii="宋体" w:eastAsia="宋体"/>
          <w:b w:val="0"/>
          <w:color w:val="auto"/>
          <w:sz w:val="22"/>
          <w:szCs w:val="22"/>
          <w:highlight w:val="none"/>
          <w:lang w:val="en-US" w:eastAsia="zh-CN"/>
        </w:rPr>
        <w:t>日起至202  年</w:t>
      </w:r>
      <w:r>
        <w:rPr>
          <w:rFonts w:hint="eastAsia" w:ascii="宋体" w:eastAsia="宋体"/>
          <w:b w:val="0"/>
          <w:color w:val="auto"/>
          <w:sz w:val="22"/>
          <w:szCs w:val="22"/>
          <w:highlight w:val="none"/>
          <w:u w:val="single"/>
          <w:lang w:val="en-US" w:eastAsia="zh-CN"/>
        </w:rPr>
        <w:t xml:space="preserve">  </w:t>
      </w:r>
      <w:r>
        <w:rPr>
          <w:rFonts w:hint="eastAsia" w:ascii="宋体" w:eastAsia="宋体"/>
          <w:b w:val="0"/>
          <w:color w:val="auto"/>
          <w:sz w:val="22"/>
          <w:szCs w:val="22"/>
          <w:highlight w:val="none"/>
          <w:lang w:val="en-US" w:eastAsia="zh-CN"/>
        </w:rPr>
        <w:t>月</w:t>
      </w:r>
      <w:r>
        <w:rPr>
          <w:rFonts w:hint="eastAsia" w:ascii="宋体" w:eastAsia="宋体"/>
          <w:b w:val="0"/>
          <w:color w:val="auto"/>
          <w:sz w:val="22"/>
          <w:szCs w:val="22"/>
          <w:highlight w:val="none"/>
          <w:u w:val="single"/>
          <w:lang w:val="en-US" w:eastAsia="zh-CN"/>
        </w:rPr>
        <w:t xml:space="preserve">  </w:t>
      </w:r>
      <w:r>
        <w:rPr>
          <w:rFonts w:hint="eastAsia" w:ascii="宋体" w:eastAsia="宋体"/>
          <w:b w:val="0"/>
          <w:color w:val="auto"/>
          <w:sz w:val="22"/>
          <w:szCs w:val="22"/>
          <w:highlight w:val="none"/>
          <w:lang w:val="en-US" w:eastAsia="zh-CN"/>
        </w:rPr>
        <w:t>日止</w:t>
      </w:r>
      <w:r>
        <w:rPr>
          <w:rFonts w:ascii="宋体" w:eastAsia="宋体"/>
          <w:b w:val="0"/>
          <w:color w:val="auto"/>
          <w:sz w:val="22"/>
          <w:szCs w:val="22"/>
          <w:highlight w:val="none"/>
        </w:rPr>
        <w:t>。</w:t>
      </w:r>
      <w:r>
        <w:rPr>
          <w:rFonts w:hint="eastAsia" w:ascii="宋体" w:eastAsia="宋体"/>
          <w:b w:val="0"/>
          <w:color w:val="auto"/>
          <w:sz w:val="22"/>
          <w:szCs w:val="22"/>
          <w:highlight w:val="none"/>
          <w:lang w:val="en-US" w:eastAsia="zh-CN"/>
        </w:rPr>
        <w:t>合同期满后，根据甲乙双方协商，可顺延，顺延时间不超过2年。</w:t>
      </w:r>
    </w:p>
    <w:p>
      <w:pPr>
        <w:numPr>
          <w:ilvl w:val="0"/>
          <w:numId w:val="6"/>
        </w:numPr>
        <w:spacing w:line="360" w:lineRule="exact"/>
        <w:rPr>
          <w:rFonts w:ascii="宋体" w:eastAsia="宋体"/>
          <w:b w:val="0"/>
          <w:bCs w:val="0"/>
          <w:color w:val="auto"/>
          <w:sz w:val="22"/>
          <w:szCs w:val="22"/>
          <w:highlight w:val="none"/>
        </w:rPr>
      </w:pPr>
      <w:r>
        <w:rPr>
          <w:rFonts w:hint="eastAsia" w:ascii="MS Mincho" w:hAnsi="MS Mincho" w:eastAsia="MS Mincho" w:cs="MS Mincho"/>
          <w:b w:val="0"/>
          <w:color w:val="auto"/>
          <w:sz w:val="22"/>
          <w:szCs w:val="22"/>
          <w:highlight w:val="none"/>
        </w:rPr>
        <w:t> </w:t>
      </w:r>
      <w:r>
        <w:rPr>
          <w:rFonts w:hint="eastAsia" w:ascii="宋体" w:eastAsia="宋体"/>
          <w:b w:val="0"/>
          <w:color w:val="auto"/>
          <w:sz w:val="22"/>
          <w:szCs w:val="22"/>
          <w:highlight w:val="none"/>
        </w:rPr>
        <w:t>付款方式：</w:t>
      </w:r>
    </w:p>
    <w:p>
      <w:pPr>
        <w:numPr>
          <w:ilvl w:val="0"/>
          <w:numId w:val="7"/>
        </w:num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自服务期限开始计算之日起，乙方应在年度疗休养活动结束后，按甲方实际参与疗休养的人数结合满意度考核办法与甲方进行结算，并由甲方书面确认年度的疗休养费用。待甲方书面确认年度疗休养费用之日起五日内，乙方应向甲方提供相应增值税专用发票，甲方在收到增值税发票后</w:t>
      </w:r>
      <w:r>
        <w:rPr>
          <w:rFonts w:ascii="宋体" w:eastAsia="宋体"/>
          <w:b w:val="0"/>
          <w:color w:val="auto"/>
          <w:sz w:val="22"/>
          <w:szCs w:val="22"/>
          <w:highlight w:val="none"/>
        </w:rPr>
        <w:t>20个工作日内</w:t>
      </w:r>
      <w:r>
        <w:rPr>
          <w:rFonts w:hint="eastAsia" w:ascii="宋体" w:eastAsia="宋体"/>
          <w:b w:val="0"/>
          <w:color w:val="auto"/>
          <w:sz w:val="22"/>
          <w:szCs w:val="22"/>
          <w:highlight w:val="none"/>
        </w:rPr>
        <w:t>一次性支付全部疗休养费用，具体到账时间必须以财政拨款为准。（根据《浙江省财政厅关于进一步发挥政府采购政策功能全力推动经济稳进提质的通知》（浙财采监[2022]3号）的规定，双方协商决定付款比例，如采购人无法按上述约定期限支付对应款项的，采购人与中标供应商根据实际情况另行协商确定付款时间，中标供应商确认不因采购人延期付款的情形要求采购人承担逾期付款利息等违约责任。）</w:t>
      </w:r>
      <w:r>
        <w:rPr>
          <w:rFonts w:hint="eastAsia" w:ascii="宋体" w:eastAsia="宋体" w:cs="Arial"/>
          <w:b w:val="0"/>
          <w:color w:val="auto"/>
          <w:sz w:val="22"/>
          <w:szCs w:val="22"/>
          <w:highlight w:val="none"/>
        </w:rPr>
        <w:t>。</w:t>
      </w:r>
    </w:p>
    <w:p>
      <w:pPr>
        <w:numPr>
          <w:ilvl w:val="0"/>
          <w:numId w:val="6"/>
        </w:numPr>
        <w:spacing w:line="360" w:lineRule="exact"/>
        <w:ind w:firstLine="0"/>
        <w:rPr>
          <w:rFonts w:ascii="宋体" w:eastAsia="宋体"/>
          <w:b w:val="0"/>
          <w:bCs w:val="0"/>
          <w:color w:val="auto"/>
          <w:sz w:val="22"/>
          <w:szCs w:val="22"/>
          <w:highlight w:val="none"/>
        </w:rPr>
      </w:pPr>
      <w:r>
        <w:rPr>
          <w:rFonts w:hint="eastAsia" w:ascii="宋体" w:eastAsia="宋体"/>
          <w:b w:val="0"/>
          <w:color w:val="auto"/>
          <w:sz w:val="22"/>
          <w:szCs w:val="22"/>
          <w:highlight w:val="none"/>
        </w:rPr>
        <w:t>疗休养的地点及每个疗休养地点的时间安排：乙方负责安排制定疗养方案，负责按双方协商妥的方案（包括但不限于行程/标准）进行安排，疗养方案以甲方书面认可的方案为准；乙方不得擅自改变选定方案，如因天气/道路等客观因素需对选定方案进行调整时应先</w:t>
      </w:r>
      <w:r>
        <w:rPr>
          <w:rFonts w:hint="eastAsia" w:ascii="宋体" w:eastAsia="宋体"/>
          <w:b w:val="0"/>
          <w:color w:val="auto"/>
          <w:sz w:val="22"/>
          <w:szCs w:val="22"/>
          <w:highlight w:val="none"/>
        </w:rPr>
        <w:t>征得甲方同意。</w:t>
      </w:r>
    </w:p>
    <w:p>
      <w:pPr>
        <w:numPr>
          <w:ilvl w:val="0"/>
          <w:numId w:val="6"/>
        </w:numPr>
        <w:spacing w:line="360" w:lineRule="exact"/>
        <w:ind w:firstLine="0"/>
        <w:rPr>
          <w:rFonts w:ascii="宋体" w:eastAsia="宋体"/>
          <w:b w:val="0"/>
          <w:color w:val="auto"/>
          <w:sz w:val="22"/>
          <w:szCs w:val="22"/>
          <w:highlight w:val="none"/>
        </w:rPr>
      </w:pPr>
      <w:r>
        <w:rPr>
          <w:rFonts w:hint="eastAsia" w:ascii="宋体" w:eastAsia="宋体"/>
          <w:b w:val="0"/>
          <w:color w:val="auto"/>
          <w:sz w:val="22"/>
          <w:szCs w:val="22"/>
          <w:highlight w:val="none"/>
        </w:rPr>
        <w:t>疗休养线路及费用：</w:t>
      </w:r>
    </w:p>
    <w:p>
      <w:pPr>
        <w:ind w:left="426"/>
        <w:rPr>
          <w:rFonts w:ascii="宋体" w:eastAsia="宋体"/>
          <w:color w:val="auto"/>
          <w:sz w:val="22"/>
          <w:highlight w:val="none"/>
          <w:u w:val="single"/>
        </w:rPr>
      </w:pPr>
      <w:r>
        <w:rPr>
          <w:rFonts w:ascii="宋体" w:eastAsia="宋体"/>
          <w:color w:val="auto"/>
          <w:sz w:val="22"/>
          <w:highlight w:val="none"/>
        </w:rPr>
        <w:t>▲</w:t>
      </w:r>
      <w:r>
        <w:rPr>
          <w:rFonts w:ascii="宋体" w:eastAsia="宋体"/>
          <w:color w:val="auto"/>
          <w:sz w:val="22"/>
          <w:highlight w:val="none"/>
          <w:u w:val="single"/>
        </w:rPr>
        <w:t>预算金额：</w:t>
      </w:r>
      <w:r>
        <w:rPr>
          <w:rFonts w:hint="eastAsia" w:ascii="宋体" w:eastAsia="宋体"/>
          <w:color w:val="auto"/>
          <w:sz w:val="22"/>
          <w:highlight w:val="none"/>
          <w:u w:val="single"/>
          <w:lang w:val="en-US" w:eastAsia="zh-CN"/>
        </w:rPr>
        <w:t>80</w:t>
      </w:r>
      <w:r>
        <w:rPr>
          <w:rFonts w:hint="eastAsia" w:ascii="宋体" w:eastAsia="宋体"/>
          <w:color w:val="auto"/>
          <w:sz w:val="22"/>
          <w:highlight w:val="none"/>
          <w:u w:val="single"/>
        </w:rPr>
        <w:t>万元，</w:t>
      </w:r>
      <w:r>
        <w:rPr>
          <w:rFonts w:ascii="宋体" w:eastAsia="宋体"/>
          <w:color w:val="auto"/>
          <w:sz w:val="22"/>
          <w:highlight w:val="none"/>
          <w:u w:val="single"/>
        </w:rPr>
        <w:t>具体疗休养人数</w:t>
      </w:r>
      <w:r>
        <w:rPr>
          <w:rFonts w:hint="eastAsia" w:ascii="宋体" w:eastAsia="宋体"/>
          <w:color w:val="auto"/>
          <w:sz w:val="22"/>
          <w:highlight w:val="none"/>
          <w:u w:val="single"/>
        </w:rPr>
        <w:t>、线路及线路次数由采购人</w:t>
      </w:r>
      <w:r>
        <w:rPr>
          <w:rFonts w:ascii="宋体" w:eastAsia="宋体"/>
          <w:color w:val="auto"/>
          <w:sz w:val="22"/>
          <w:highlight w:val="none"/>
          <w:u w:val="single"/>
        </w:rPr>
        <w:t>根据</w:t>
      </w:r>
      <w:r>
        <w:rPr>
          <w:rFonts w:hint="eastAsia" w:ascii="宋体" w:eastAsia="宋体"/>
          <w:color w:val="auto"/>
          <w:sz w:val="22"/>
          <w:highlight w:val="none"/>
          <w:u w:val="single"/>
        </w:rPr>
        <w:t>实际情况</w:t>
      </w:r>
      <w:r>
        <w:rPr>
          <w:rFonts w:ascii="宋体" w:eastAsia="宋体"/>
          <w:color w:val="auto"/>
          <w:sz w:val="22"/>
          <w:highlight w:val="none"/>
          <w:u w:val="single"/>
        </w:rPr>
        <w:t>确定。</w:t>
      </w:r>
    </w:p>
    <w:p>
      <w:pPr>
        <w:pStyle w:val="2"/>
        <w:ind w:left="426" w:firstLine="0"/>
        <w:rPr>
          <w:rFonts w:ascii="宋体" w:hAnsi="宋体" w:eastAsia="宋体" w:cs="宋体"/>
          <w:b/>
          <w:bCs/>
          <w:color w:val="auto"/>
          <w:kern w:val="0"/>
          <w:sz w:val="22"/>
          <w:szCs w:val="22"/>
          <w:highlight w:val="none"/>
        </w:rPr>
      </w:pPr>
      <w:r>
        <w:rPr>
          <w:rFonts w:hint="eastAsia" w:ascii="宋体" w:hAnsi="宋体" w:eastAsia="宋体"/>
          <w:b/>
          <w:bCs/>
          <w:color w:val="auto"/>
          <w:sz w:val="22"/>
          <w:szCs w:val="22"/>
          <w:highlight w:val="none"/>
          <w:u w:val="single"/>
        </w:rPr>
        <w:t>▲本项目所有线路</w:t>
      </w:r>
      <w:r>
        <w:rPr>
          <w:rFonts w:hint="eastAsia" w:ascii="宋体" w:hAnsi="宋体" w:eastAsia="宋体"/>
          <w:b/>
          <w:bCs/>
          <w:color w:val="auto"/>
          <w:sz w:val="22"/>
          <w:szCs w:val="22"/>
          <w:highlight w:val="none"/>
          <w:u w:val="single"/>
          <w:lang w:eastAsia="zh-CN"/>
        </w:rPr>
        <w:t>价格</w:t>
      </w:r>
      <w:r>
        <w:rPr>
          <w:rFonts w:hint="eastAsia" w:ascii="宋体" w:hAnsi="宋体" w:eastAsia="宋体"/>
          <w:b/>
          <w:bCs/>
          <w:color w:val="auto"/>
          <w:sz w:val="22"/>
          <w:szCs w:val="22"/>
          <w:highlight w:val="none"/>
          <w:u w:val="single"/>
        </w:rPr>
        <w:t>均</w:t>
      </w:r>
      <w:r>
        <w:rPr>
          <w:rFonts w:hint="eastAsia" w:ascii="宋体" w:hAnsi="宋体" w:eastAsia="宋体"/>
          <w:b/>
          <w:bCs/>
          <w:color w:val="auto"/>
          <w:sz w:val="22"/>
          <w:szCs w:val="22"/>
          <w:highlight w:val="none"/>
          <w:u w:val="single"/>
          <w:lang w:eastAsia="zh-CN"/>
        </w:rPr>
        <w:t>不高于</w:t>
      </w:r>
      <w:r>
        <w:rPr>
          <w:rFonts w:hint="eastAsia" w:ascii="宋体" w:hAnsi="宋体" w:eastAsia="宋体"/>
          <w:b/>
          <w:bCs/>
          <w:color w:val="auto"/>
          <w:sz w:val="22"/>
          <w:szCs w:val="22"/>
          <w:highlight w:val="none"/>
          <w:u w:val="single"/>
        </w:rPr>
        <w:t>7</w:t>
      </w:r>
      <w:r>
        <w:rPr>
          <w:rFonts w:ascii="宋体" w:hAnsi="宋体" w:eastAsia="宋体"/>
          <w:b/>
          <w:bCs/>
          <w:color w:val="auto"/>
          <w:sz w:val="22"/>
          <w:szCs w:val="22"/>
          <w:highlight w:val="none"/>
          <w:u w:val="single"/>
        </w:rPr>
        <w:t>500</w:t>
      </w:r>
      <w:r>
        <w:rPr>
          <w:rFonts w:hint="eastAsia" w:ascii="宋体" w:hAnsi="宋体" w:eastAsia="宋体"/>
          <w:b/>
          <w:bCs/>
          <w:color w:val="auto"/>
          <w:sz w:val="22"/>
          <w:szCs w:val="22"/>
          <w:highlight w:val="none"/>
          <w:u w:val="single"/>
        </w:rPr>
        <w:t>元/人</w:t>
      </w:r>
      <w:r>
        <w:rPr>
          <w:rFonts w:hint="eastAsia" w:ascii="宋体" w:hAnsi="宋体" w:eastAsia="宋体"/>
          <w:b/>
          <w:bCs/>
          <w:color w:val="auto"/>
          <w:sz w:val="22"/>
          <w:szCs w:val="22"/>
          <w:highlight w:val="none"/>
          <w:u w:val="single"/>
          <w:lang w:eastAsia="zh-CN"/>
        </w:rPr>
        <w:t>，具体结算价格按实际情况结算支付</w:t>
      </w:r>
      <w:r>
        <w:rPr>
          <w:rFonts w:hint="eastAsia" w:ascii="宋体" w:hAnsi="宋体" w:eastAsia="宋体"/>
          <w:b/>
          <w:bCs/>
          <w:color w:val="auto"/>
          <w:sz w:val="22"/>
          <w:szCs w:val="22"/>
          <w:highlight w:val="none"/>
          <w:u w:val="single"/>
        </w:rPr>
        <w:t>（线路1：</w:t>
      </w:r>
      <w:r>
        <w:rPr>
          <w:rFonts w:ascii="宋体" w:hAnsi="宋体" w:eastAsia="宋体"/>
          <w:b/>
          <w:bCs/>
          <w:color w:val="auto"/>
          <w:sz w:val="22"/>
          <w:szCs w:val="22"/>
          <w:highlight w:val="none"/>
          <w:u w:val="single"/>
        </w:rPr>
        <w:t>海南5</w:t>
      </w:r>
      <w:r>
        <w:rPr>
          <w:rFonts w:hint="eastAsia" w:ascii="宋体" w:hAnsi="宋体" w:eastAsia="宋体"/>
          <w:b/>
          <w:bCs/>
          <w:color w:val="auto"/>
          <w:sz w:val="22"/>
          <w:szCs w:val="22"/>
          <w:highlight w:val="none"/>
          <w:u w:val="single"/>
        </w:rPr>
        <w:t>天；线路2：</w:t>
      </w:r>
      <w:r>
        <w:rPr>
          <w:rFonts w:ascii="宋体" w:hAnsi="宋体" w:eastAsia="宋体"/>
          <w:b/>
          <w:bCs/>
          <w:color w:val="auto"/>
          <w:sz w:val="22"/>
          <w:szCs w:val="22"/>
          <w:highlight w:val="none"/>
          <w:u w:val="single"/>
        </w:rPr>
        <w:t>兰州、塔尔寺、青海湖、莫高窟8天</w:t>
      </w:r>
      <w:r>
        <w:rPr>
          <w:rFonts w:hint="eastAsia" w:ascii="宋体" w:hAnsi="宋体" w:eastAsia="宋体"/>
          <w:b/>
          <w:bCs/>
          <w:color w:val="auto"/>
          <w:sz w:val="22"/>
          <w:szCs w:val="22"/>
          <w:highlight w:val="none"/>
          <w:u w:val="single"/>
        </w:rPr>
        <w:t>；线路3：</w:t>
      </w:r>
      <w:r>
        <w:rPr>
          <w:rFonts w:ascii="宋体" w:hAnsi="宋体" w:eastAsia="宋体"/>
          <w:b/>
          <w:bCs/>
          <w:color w:val="auto"/>
          <w:sz w:val="22"/>
          <w:szCs w:val="22"/>
          <w:highlight w:val="none"/>
          <w:u w:val="single"/>
        </w:rPr>
        <w:t>呼伦贝尔大草原、室韦、满洲里6天</w:t>
      </w:r>
      <w:r>
        <w:rPr>
          <w:rFonts w:hint="eastAsia" w:ascii="宋体" w:hAnsi="宋体" w:eastAsia="宋体"/>
          <w:b/>
          <w:bCs/>
          <w:color w:val="auto"/>
          <w:sz w:val="22"/>
          <w:szCs w:val="22"/>
          <w:highlight w:val="none"/>
          <w:u w:val="single"/>
        </w:rPr>
        <w:t>；线路</w:t>
      </w:r>
      <w:r>
        <w:rPr>
          <w:rFonts w:ascii="宋体" w:hAnsi="宋体" w:eastAsia="宋体"/>
          <w:b/>
          <w:bCs/>
          <w:color w:val="auto"/>
          <w:sz w:val="22"/>
          <w:szCs w:val="22"/>
          <w:highlight w:val="none"/>
          <w:u w:val="single"/>
        </w:rPr>
        <w:t>4</w:t>
      </w:r>
      <w:r>
        <w:rPr>
          <w:rFonts w:hint="eastAsia" w:ascii="宋体" w:hAnsi="宋体" w:eastAsia="宋体"/>
          <w:b/>
          <w:bCs/>
          <w:color w:val="auto"/>
          <w:sz w:val="22"/>
          <w:szCs w:val="22"/>
          <w:highlight w:val="none"/>
          <w:u w:val="single"/>
        </w:rPr>
        <w:t>：</w:t>
      </w:r>
      <w:r>
        <w:rPr>
          <w:rFonts w:ascii="宋体" w:hAnsi="宋体" w:eastAsia="宋体"/>
          <w:b/>
          <w:bCs/>
          <w:color w:val="auto"/>
          <w:sz w:val="22"/>
          <w:szCs w:val="22"/>
          <w:highlight w:val="none"/>
          <w:u w:val="single"/>
        </w:rPr>
        <w:t>西安、郑州6天</w:t>
      </w:r>
      <w:r>
        <w:rPr>
          <w:rFonts w:hint="eastAsia" w:ascii="宋体" w:hAnsi="宋体" w:eastAsia="宋体"/>
          <w:b/>
          <w:bCs/>
          <w:color w:val="auto"/>
          <w:sz w:val="22"/>
          <w:szCs w:val="22"/>
          <w:highlight w:val="none"/>
          <w:u w:val="single"/>
        </w:rPr>
        <w:t>；不按固定价格报价的按投标无效处理。）</w:t>
      </w:r>
    </w:p>
    <w:p>
      <w:pPr>
        <w:numPr>
          <w:ilvl w:val="0"/>
          <w:numId w:val="6"/>
        </w:numPr>
        <w:spacing w:line="360" w:lineRule="exact"/>
        <w:ind w:firstLine="0"/>
        <w:rPr>
          <w:rFonts w:ascii="宋体" w:eastAsia="宋体"/>
          <w:b w:val="0"/>
          <w:bCs w:val="0"/>
          <w:color w:val="auto"/>
          <w:sz w:val="22"/>
          <w:szCs w:val="22"/>
          <w:highlight w:val="none"/>
        </w:rPr>
      </w:pPr>
      <w:r>
        <w:rPr>
          <w:rFonts w:hint="eastAsia" w:ascii="宋体" w:eastAsia="宋体"/>
          <w:b w:val="0"/>
          <w:color w:val="auto"/>
          <w:sz w:val="22"/>
          <w:szCs w:val="22"/>
          <w:highlight w:val="none"/>
        </w:rPr>
        <w:t>疗休养的生</w:t>
      </w:r>
      <w:r>
        <w:rPr>
          <w:rFonts w:hint="eastAsia" w:ascii="宋体" w:eastAsia="宋体"/>
          <w:b w:val="0"/>
          <w:color w:val="auto"/>
          <w:sz w:val="22"/>
          <w:szCs w:val="22"/>
          <w:highlight w:val="none"/>
        </w:rPr>
        <w:t>活安排：</w:t>
      </w:r>
    </w:p>
    <w:p>
      <w:p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乙方为甲方提供食宿，每天伙食在________元至________元标准内。</w:t>
      </w:r>
    </w:p>
    <w:p>
      <w:pPr>
        <w:numPr>
          <w:ilvl w:val="0"/>
          <w:numId w:val="6"/>
        </w:numPr>
        <w:spacing w:line="360" w:lineRule="exact"/>
        <w:ind w:firstLine="0"/>
        <w:rPr>
          <w:rFonts w:ascii="宋体" w:eastAsia="宋体"/>
          <w:b w:val="0"/>
          <w:bCs w:val="0"/>
          <w:color w:val="auto"/>
          <w:sz w:val="22"/>
          <w:szCs w:val="22"/>
          <w:highlight w:val="none"/>
        </w:rPr>
      </w:pPr>
      <w:r>
        <w:rPr>
          <w:rFonts w:hint="eastAsia" w:ascii="宋体" w:eastAsia="宋体"/>
          <w:b w:val="0"/>
          <w:color w:val="auto"/>
          <w:sz w:val="22"/>
          <w:szCs w:val="22"/>
          <w:highlight w:val="none"/>
        </w:rPr>
        <w:t>导游服务：</w:t>
      </w:r>
    </w:p>
    <w:p>
      <w:pPr>
        <w:spacing w:line="360" w:lineRule="exact"/>
        <w:ind w:firstLine="440" w:firstLineChars="200"/>
        <w:rPr>
          <w:rFonts w:ascii="宋体" w:eastAsia="宋体"/>
          <w:b w:val="0"/>
          <w:bCs w:val="0"/>
          <w:color w:val="auto"/>
          <w:sz w:val="22"/>
          <w:szCs w:val="22"/>
          <w:highlight w:val="none"/>
        </w:rPr>
      </w:pPr>
      <w:r>
        <w:rPr>
          <w:rFonts w:hint="eastAsia" w:ascii="宋体" w:eastAsia="宋体"/>
          <w:b w:val="0"/>
          <w:color w:val="auto"/>
          <w:sz w:val="22"/>
          <w:szCs w:val="22"/>
          <w:highlight w:val="none"/>
        </w:rPr>
        <w:t>乙方为甲方提供导游服务，服务内容：____________________.</w:t>
      </w:r>
    </w:p>
    <w:p>
      <w:pPr>
        <w:numPr>
          <w:ilvl w:val="0"/>
          <w:numId w:val="6"/>
        </w:numPr>
        <w:spacing w:line="360" w:lineRule="exact"/>
        <w:ind w:firstLine="0"/>
        <w:rPr>
          <w:rFonts w:ascii="宋体" w:eastAsia="宋体"/>
          <w:b w:val="0"/>
          <w:bCs w:val="0"/>
          <w:color w:val="auto"/>
          <w:sz w:val="22"/>
          <w:szCs w:val="22"/>
          <w:highlight w:val="none"/>
        </w:rPr>
      </w:pPr>
      <w:r>
        <w:rPr>
          <w:rFonts w:hint="eastAsia" w:ascii="宋体" w:eastAsia="宋体"/>
          <w:b w:val="0"/>
          <w:color w:val="auto"/>
          <w:sz w:val="22"/>
          <w:szCs w:val="22"/>
          <w:highlight w:val="none"/>
        </w:rPr>
        <w:t>疗休养的交通工具：</w:t>
      </w:r>
    </w:p>
    <w:p>
      <w:p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 xml:space="preserve">乙方为甲方提供交通工具。________、________、________等交通工具都由乙方联系、提供，并保证甲方的疗休养安全。 </w:t>
      </w:r>
    </w:p>
    <w:p>
      <w:pPr>
        <w:numPr>
          <w:ilvl w:val="0"/>
          <w:numId w:val="6"/>
        </w:numPr>
        <w:spacing w:line="360" w:lineRule="exact"/>
        <w:ind w:firstLine="0"/>
        <w:rPr>
          <w:rFonts w:ascii="宋体" w:eastAsia="宋体"/>
          <w:b w:val="0"/>
          <w:bCs w:val="0"/>
          <w:color w:val="auto"/>
          <w:sz w:val="22"/>
          <w:szCs w:val="22"/>
          <w:highlight w:val="none"/>
        </w:rPr>
      </w:pPr>
      <w:r>
        <w:rPr>
          <w:rFonts w:hint="eastAsia" w:ascii="宋体" w:eastAsia="宋体"/>
          <w:b w:val="0"/>
          <w:color w:val="auto"/>
          <w:sz w:val="22"/>
          <w:szCs w:val="22"/>
          <w:highlight w:val="none"/>
        </w:rPr>
        <w:t>乙方的权利义务及考核方法：</w:t>
      </w:r>
    </w:p>
    <w:p>
      <w:p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1、乙方应按本合同的规定按时为甲方安排本次疗休养。</w:t>
      </w:r>
    </w:p>
    <w:p>
      <w:p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2、乙方未经甲方同意不得擅自减少或增加疗休养地点和缩短疗休养时间。如乙方违反约定，应向甲方赔偿合同总额5％的违约金或者甲方可以要求乙方按约定继续提供疗休养服务，乙方不提供的，甲方可以自行疗休养，支出的合理费用，由乙方承担；乙方增加疗休养地点的，增加的费用由乙方承担。事后甲方有权单方解除合同。</w:t>
      </w:r>
    </w:p>
    <w:p>
      <w:p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3、乙方应按本合同规定为甲方提供优质的服务，以保证本次疗休养的顺利进行。</w:t>
      </w:r>
    </w:p>
    <w:p>
      <w:p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4、乙方不得擅自变更或解除合同，否则按约定赔偿甲方合同总额30％的违约金，若因不可抗力导致合同无法继续履行或者完全履行的情况，乙方应先向甲方作出说明，征得甲方同意后在合理范围内变更合同，甲方不同意变更的，乙方不得擅自变更或解除合同。</w:t>
      </w:r>
    </w:p>
    <w:p>
      <w:p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5、乙方应该按照有关规定及疗养方案购买人身意外保险等相关保险，由于乙方的原因导致甲方受到财产损失和人身伤害的，乙方负赔偿责任。如因第三人的过错造成损失的，乙方在赔偿损失后，有权向第三人追偿。</w:t>
      </w:r>
    </w:p>
    <w:p>
      <w:p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6、根据满意度调查表进行调整，全部休养结束后甲方对乙方的服务对象进行满意度调查，根据调查结果做出相应决定。</w:t>
      </w:r>
    </w:p>
    <w:p>
      <w:p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7、甲方制定动态考核办法，对乙方实行动态管理，进行不定期业务考核，考核不达标的，甲方有权取消其资格，终止合同。</w:t>
      </w:r>
    </w:p>
    <w:p>
      <w:p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8、如果乙方为甲方提供的服务未达到甲方的要求，甲方有权随时单方解除合同并对乙方造成的损失不负任何责任。</w:t>
      </w:r>
    </w:p>
    <w:p>
      <w:p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9、考核方式：每次完成疗养服务回程时，导游发放《满意度调查表》，出行人员对本次出行计划、酒店、就餐等情况进行满意度评分并填写《满意度调查表》（调查表选项填写不全或赋分不在设定范围的无效），满意度调查结果由导游（或乙方代表）和职工代表签字留存并当场宣布，甲方根据满意度平均分确认当次疗休养费用。</w:t>
      </w:r>
    </w:p>
    <w:p>
      <w:p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10、考核标准：当次满意度平均分高于85分（含），支付当次疗休养费用的100%；当次满意度平均分高于75分（含）低于85分，扣减当次疗休养费用5%；当次满意度平均分低75分，扣减当次疗休养费用10%。出现2次（含）以上满意度平均分低于60分（含）的，招标人有权终止合同。</w:t>
      </w:r>
    </w:p>
    <w:p>
      <w:pPr>
        <w:pStyle w:val="2"/>
        <w:spacing w:before="120"/>
        <w:ind w:firstLine="442"/>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满意度调查表</w:t>
      </w:r>
    </w:p>
    <w:tbl>
      <w:tblPr>
        <w:tblStyle w:val="4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63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pStyle w:val="2"/>
              <w:spacing w:before="120"/>
              <w:ind w:firstLine="442"/>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疗养地点</w:t>
            </w:r>
          </w:p>
        </w:tc>
        <w:tc>
          <w:tcPr>
            <w:tcW w:w="6328" w:type="dxa"/>
            <w:noWrap w:val="0"/>
            <w:vAlign w:val="top"/>
          </w:tcPr>
          <w:p>
            <w:pPr>
              <w:pStyle w:val="2"/>
              <w:spacing w:before="120"/>
              <w:ind w:firstLine="442"/>
              <w:jc w:val="center"/>
              <w:rPr>
                <w:rFonts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pStyle w:val="2"/>
              <w:spacing w:before="120"/>
              <w:ind w:firstLine="442"/>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疗养时间</w:t>
            </w:r>
          </w:p>
        </w:tc>
        <w:tc>
          <w:tcPr>
            <w:tcW w:w="6328" w:type="dxa"/>
            <w:noWrap w:val="0"/>
            <w:vAlign w:val="top"/>
          </w:tcPr>
          <w:p>
            <w:pPr>
              <w:pStyle w:val="2"/>
              <w:spacing w:before="120"/>
              <w:ind w:firstLine="442"/>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年</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月</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日至</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年</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月</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pStyle w:val="2"/>
              <w:spacing w:before="120"/>
              <w:ind w:firstLine="0"/>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住宿满意度（30分）</w:t>
            </w:r>
          </w:p>
        </w:tc>
        <w:tc>
          <w:tcPr>
            <w:tcW w:w="6328" w:type="dxa"/>
            <w:noWrap w:val="0"/>
            <w:vAlign w:val="top"/>
          </w:tcPr>
          <w:p>
            <w:pPr>
              <w:pStyle w:val="2"/>
              <w:spacing w:before="120"/>
              <w:ind w:firstLine="442"/>
              <w:jc w:val="center"/>
              <w:rPr>
                <w:rFonts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pStyle w:val="2"/>
              <w:spacing w:before="120"/>
              <w:ind w:firstLine="0"/>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餐饮满意度（30分）</w:t>
            </w:r>
          </w:p>
        </w:tc>
        <w:tc>
          <w:tcPr>
            <w:tcW w:w="6328" w:type="dxa"/>
            <w:noWrap w:val="0"/>
            <w:vAlign w:val="top"/>
          </w:tcPr>
          <w:p>
            <w:pPr>
              <w:pStyle w:val="2"/>
              <w:spacing w:before="120"/>
              <w:ind w:firstLine="442"/>
              <w:jc w:val="center"/>
              <w:rPr>
                <w:rFonts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pStyle w:val="2"/>
              <w:spacing w:before="120"/>
              <w:ind w:firstLine="0"/>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行程安排满意度（10分）</w:t>
            </w:r>
          </w:p>
        </w:tc>
        <w:tc>
          <w:tcPr>
            <w:tcW w:w="6328" w:type="dxa"/>
            <w:noWrap w:val="0"/>
            <w:vAlign w:val="top"/>
          </w:tcPr>
          <w:p>
            <w:pPr>
              <w:pStyle w:val="2"/>
              <w:spacing w:before="120"/>
              <w:ind w:firstLine="442"/>
              <w:jc w:val="center"/>
              <w:rPr>
                <w:rFonts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pStyle w:val="2"/>
              <w:spacing w:before="120"/>
              <w:ind w:firstLine="442"/>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服务质量（10分）</w:t>
            </w:r>
          </w:p>
        </w:tc>
        <w:tc>
          <w:tcPr>
            <w:tcW w:w="6328" w:type="dxa"/>
            <w:noWrap w:val="0"/>
            <w:vAlign w:val="top"/>
          </w:tcPr>
          <w:p>
            <w:pPr>
              <w:pStyle w:val="2"/>
              <w:spacing w:before="120"/>
              <w:ind w:firstLine="442"/>
              <w:jc w:val="center"/>
              <w:rPr>
                <w:rFonts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pStyle w:val="2"/>
              <w:spacing w:before="120"/>
              <w:ind w:firstLine="442"/>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整体评价（20分）</w:t>
            </w:r>
          </w:p>
        </w:tc>
        <w:tc>
          <w:tcPr>
            <w:tcW w:w="6328" w:type="dxa"/>
            <w:noWrap w:val="0"/>
            <w:vAlign w:val="top"/>
          </w:tcPr>
          <w:p>
            <w:pPr>
              <w:pStyle w:val="2"/>
              <w:spacing w:before="120"/>
              <w:ind w:firstLine="442"/>
              <w:jc w:val="center"/>
              <w:rPr>
                <w:rFonts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top"/>
          </w:tcPr>
          <w:p>
            <w:pPr>
              <w:pStyle w:val="2"/>
              <w:spacing w:before="120"/>
              <w:ind w:firstLine="442"/>
              <w:jc w:val="center"/>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合计（100分）</w:t>
            </w:r>
          </w:p>
        </w:tc>
        <w:tc>
          <w:tcPr>
            <w:tcW w:w="6328" w:type="dxa"/>
            <w:noWrap w:val="0"/>
            <w:vAlign w:val="top"/>
          </w:tcPr>
          <w:p>
            <w:pPr>
              <w:pStyle w:val="2"/>
              <w:spacing w:before="120"/>
              <w:ind w:firstLine="442"/>
              <w:jc w:val="center"/>
              <w:rPr>
                <w:rFonts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720" w:type="dxa"/>
            <w:gridSpan w:val="2"/>
            <w:noWrap w:val="0"/>
            <w:vAlign w:val="top"/>
          </w:tcPr>
          <w:p>
            <w:pPr>
              <w:pStyle w:val="2"/>
              <w:spacing w:before="120"/>
              <w:ind w:firstLine="442"/>
              <w:jc w:val="left"/>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对本次疗休养的整体评价及建议</w:t>
            </w:r>
          </w:p>
        </w:tc>
      </w:tr>
    </w:tbl>
    <w:p>
      <w:pPr>
        <w:pStyle w:val="2"/>
        <w:spacing w:before="120"/>
        <w:ind w:left="0" w:leftChars="0" w:firstLine="0" w:firstLineChars="0"/>
        <w:jc w:val="both"/>
        <w:rPr>
          <w:rFonts w:ascii="宋体" w:hAnsi="宋体" w:eastAsia="宋体" w:cs="宋体"/>
          <w:color w:val="auto"/>
          <w:sz w:val="22"/>
          <w:szCs w:val="22"/>
          <w:highlight w:val="none"/>
        </w:rPr>
      </w:pPr>
    </w:p>
    <w:p>
      <w:pPr>
        <w:numPr>
          <w:ilvl w:val="0"/>
          <w:numId w:val="6"/>
        </w:numPr>
        <w:spacing w:line="360" w:lineRule="exact"/>
        <w:ind w:firstLine="0"/>
        <w:rPr>
          <w:rFonts w:ascii="宋体" w:eastAsia="宋体"/>
          <w:b w:val="0"/>
          <w:bCs w:val="0"/>
          <w:color w:val="auto"/>
          <w:sz w:val="22"/>
          <w:szCs w:val="22"/>
          <w:highlight w:val="none"/>
        </w:rPr>
      </w:pPr>
      <w:r>
        <w:rPr>
          <w:rFonts w:hint="eastAsia" w:ascii="宋体" w:eastAsia="宋体"/>
          <w:b w:val="0"/>
          <w:color w:val="auto"/>
          <w:sz w:val="22"/>
          <w:szCs w:val="22"/>
          <w:highlight w:val="none"/>
        </w:rPr>
        <w:t>转让和分包</w:t>
      </w:r>
    </w:p>
    <w:p>
      <w:p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 xml:space="preserve">未经甲方事先书面同意，乙方不得部分转让或分包或全部转让其应履行的合同义务。    </w:t>
      </w:r>
    </w:p>
    <w:p>
      <w:pPr>
        <w:numPr>
          <w:ilvl w:val="0"/>
          <w:numId w:val="6"/>
        </w:numPr>
        <w:spacing w:line="360" w:lineRule="exact"/>
        <w:ind w:firstLine="0"/>
        <w:rPr>
          <w:rFonts w:ascii="宋体" w:eastAsia="宋体"/>
          <w:b w:val="0"/>
          <w:bCs w:val="0"/>
          <w:color w:val="auto"/>
          <w:sz w:val="22"/>
          <w:szCs w:val="22"/>
          <w:highlight w:val="none"/>
        </w:rPr>
      </w:pPr>
      <w:r>
        <w:rPr>
          <w:rFonts w:hint="eastAsia" w:ascii="宋体" w:eastAsia="宋体"/>
          <w:b w:val="0"/>
          <w:color w:val="auto"/>
          <w:sz w:val="22"/>
          <w:szCs w:val="22"/>
          <w:highlight w:val="none"/>
        </w:rPr>
        <w:t>争端的解决</w:t>
      </w:r>
    </w:p>
    <w:p>
      <w:pPr>
        <w:spacing w:line="360" w:lineRule="exact"/>
        <w:ind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合同实施或与合同有关的一切争端，甲乙双方首先应通过友好协商解决，如果协商仍得不到解决，任何一方可向</w:t>
      </w:r>
      <w:r>
        <w:rPr>
          <w:rFonts w:hint="eastAsia" w:ascii="宋体" w:eastAsia="宋体"/>
          <w:b w:val="0"/>
          <w:color w:val="auto"/>
          <w:sz w:val="22"/>
          <w:szCs w:val="22"/>
          <w:highlight w:val="none"/>
          <w:lang w:val="en-US" w:eastAsia="zh-CN"/>
        </w:rPr>
        <w:t>永嘉县</w:t>
      </w:r>
      <w:r>
        <w:rPr>
          <w:rFonts w:hint="eastAsia" w:ascii="宋体" w:eastAsia="宋体"/>
          <w:b w:val="0"/>
          <w:color w:val="auto"/>
          <w:sz w:val="22"/>
          <w:szCs w:val="22"/>
          <w:highlight w:val="none"/>
        </w:rPr>
        <w:t>人民法院起诉。</w:t>
      </w:r>
    </w:p>
    <w:p>
      <w:pPr>
        <w:numPr>
          <w:ilvl w:val="0"/>
          <w:numId w:val="6"/>
        </w:numPr>
        <w:spacing w:line="360" w:lineRule="exact"/>
        <w:ind w:firstLine="0"/>
        <w:rPr>
          <w:rFonts w:ascii="宋体" w:eastAsia="宋体"/>
          <w:b w:val="0"/>
          <w:bCs w:val="0"/>
          <w:color w:val="auto"/>
          <w:sz w:val="22"/>
          <w:szCs w:val="22"/>
          <w:highlight w:val="none"/>
        </w:rPr>
      </w:pPr>
      <w:r>
        <w:rPr>
          <w:rFonts w:hint="eastAsia" w:ascii="宋体" w:eastAsia="宋体"/>
          <w:b w:val="0"/>
          <w:color w:val="auto"/>
          <w:sz w:val="22"/>
          <w:szCs w:val="22"/>
          <w:highlight w:val="none"/>
        </w:rPr>
        <w:t>约定事项</w:t>
      </w:r>
    </w:p>
    <w:p>
      <w:pPr>
        <w:numPr>
          <w:ilvl w:val="0"/>
          <w:numId w:val="8"/>
        </w:numPr>
        <w:spacing w:line="360" w:lineRule="exact"/>
        <w:ind w:left="0"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本合同一式</w:t>
      </w:r>
      <w:r>
        <w:rPr>
          <w:rFonts w:hint="eastAsia" w:ascii="宋体" w:eastAsia="宋体"/>
          <w:b w:val="0"/>
          <w:color w:val="auto"/>
          <w:sz w:val="22"/>
          <w:szCs w:val="22"/>
          <w:highlight w:val="none"/>
          <w:lang w:val="en-US" w:eastAsia="zh-CN"/>
        </w:rPr>
        <w:t>肆</w:t>
      </w:r>
      <w:r>
        <w:rPr>
          <w:rFonts w:hint="eastAsia" w:ascii="宋体" w:eastAsia="宋体"/>
          <w:b w:val="0"/>
          <w:color w:val="auto"/>
          <w:sz w:val="22"/>
          <w:szCs w:val="22"/>
          <w:highlight w:val="none"/>
        </w:rPr>
        <w:t>份，甲方贰份、乙方贰份。</w:t>
      </w:r>
    </w:p>
    <w:p>
      <w:pPr>
        <w:numPr>
          <w:ilvl w:val="0"/>
          <w:numId w:val="8"/>
        </w:numPr>
        <w:spacing w:line="360" w:lineRule="exact"/>
        <w:ind w:left="0"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合同经甲乙双方签字盖章后生效。</w:t>
      </w:r>
    </w:p>
    <w:p>
      <w:pPr>
        <w:numPr>
          <w:ilvl w:val="0"/>
          <w:numId w:val="8"/>
        </w:numPr>
        <w:spacing w:line="360" w:lineRule="exact"/>
        <w:ind w:left="0"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如需修改或补充合同内容，经协商，双方应签署书面修改或补充协议，该协议将作为本合同的一个组成部分。</w:t>
      </w:r>
    </w:p>
    <w:p>
      <w:pPr>
        <w:numPr>
          <w:ilvl w:val="0"/>
          <w:numId w:val="8"/>
        </w:numPr>
        <w:spacing w:line="360" w:lineRule="exact"/>
        <w:ind w:left="0" w:firstLine="440" w:firstLineChars="200"/>
        <w:rPr>
          <w:rFonts w:ascii="宋体" w:eastAsia="宋体"/>
          <w:b w:val="0"/>
          <w:color w:val="auto"/>
          <w:sz w:val="22"/>
          <w:szCs w:val="22"/>
          <w:highlight w:val="none"/>
        </w:rPr>
      </w:pPr>
      <w:r>
        <w:rPr>
          <w:rFonts w:hint="eastAsia" w:ascii="宋体" w:eastAsia="宋体"/>
          <w:b w:val="0"/>
          <w:color w:val="auto"/>
          <w:sz w:val="22"/>
          <w:szCs w:val="22"/>
          <w:highlight w:val="none"/>
        </w:rPr>
        <w:t>本合同未尽事宜及对合同内容如有异议，以甲方招标文件和乙方投标文件以及在招标现场承诺为准，如遇国家法律、法规及政策另有规定的，从其规定。</w:t>
      </w:r>
    </w:p>
    <w:p>
      <w:pPr>
        <w:pStyle w:val="39"/>
        <w:spacing w:after="120" w:line="360" w:lineRule="auto"/>
        <w:ind w:firstLine="440" w:firstLineChars="200"/>
        <w:rPr>
          <w:rFonts w:ascii="宋体" w:hAnsi="宋体"/>
          <w:bCs/>
          <w:color w:val="auto"/>
          <w:sz w:val="22"/>
          <w:szCs w:val="22"/>
          <w:highlight w:val="none"/>
        </w:rPr>
      </w:pPr>
    </w:p>
    <w:p>
      <w:pPr>
        <w:adjustRightInd w:val="0"/>
        <w:snapToGrid w:val="0"/>
        <w:spacing w:line="400" w:lineRule="atLeast"/>
        <w:ind w:firstLine="440" w:firstLineChars="200"/>
        <w:rPr>
          <w:rFonts w:ascii="宋体" w:eastAsia="宋体" w:cs="Arial"/>
          <w:b w:val="0"/>
          <w:color w:val="auto"/>
          <w:sz w:val="22"/>
          <w:szCs w:val="22"/>
          <w:highlight w:val="none"/>
        </w:rPr>
      </w:pPr>
      <w:r>
        <w:rPr>
          <w:rFonts w:ascii="宋体" w:eastAsia="宋体" w:cs="Arial"/>
          <w:b w:val="0"/>
          <w:color w:val="auto"/>
          <w:sz w:val="22"/>
          <w:szCs w:val="22"/>
          <w:highlight w:val="none"/>
        </w:rPr>
        <w:t xml:space="preserve">甲方：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 xml:space="preserve">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 xml:space="preserve"> 乙方：</w:t>
      </w:r>
    </w:p>
    <w:p>
      <w:pPr>
        <w:adjustRightInd w:val="0"/>
        <w:snapToGrid w:val="0"/>
        <w:spacing w:line="400" w:lineRule="atLeast"/>
        <w:ind w:firstLine="440" w:firstLineChars="200"/>
        <w:rPr>
          <w:rFonts w:ascii="宋体" w:eastAsia="宋体" w:cs="Arial"/>
          <w:b w:val="0"/>
          <w:color w:val="auto"/>
          <w:sz w:val="22"/>
          <w:szCs w:val="22"/>
          <w:highlight w:val="none"/>
        </w:rPr>
      </w:pPr>
      <w:r>
        <w:rPr>
          <w:rFonts w:ascii="宋体" w:eastAsia="宋体" w:cs="Arial"/>
          <w:b w:val="0"/>
          <w:color w:val="auto"/>
          <w:sz w:val="22"/>
          <w:szCs w:val="22"/>
          <w:highlight w:val="none"/>
        </w:rPr>
        <w:t xml:space="preserve">（盖章）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 xml:space="preserve">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（盖章）</w:t>
      </w:r>
    </w:p>
    <w:p>
      <w:pPr>
        <w:adjustRightInd w:val="0"/>
        <w:snapToGrid w:val="0"/>
        <w:spacing w:line="400" w:lineRule="atLeast"/>
        <w:ind w:firstLine="440" w:firstLineChars="200"/>
        <w:rPr>
          <w:rFonts w:ascii="宋体" w:eastAsia="宋体" w:cs="Arial"/>
          <w:b w:val="0"/>
          <w:color w:val="auto"/>
          <w:sz w:val="22"/>
          <w:szCs w:val="22"/>
          <w:highlight w:val="none"/>
        </w:rPr>
      </w:pPr>
      <w:r>
        <w:rPr>
          <w:rFonts w:ascii="宋体" w:eastAsia="宋体" w:cs="Arial"/>
          <w:b w:val="0"/>
          <w:color w:val="auto"/>
          <w:sz w:val="22"/>
          <w:szCs w:val="22"/>
          <w:highlight w:val="none"/>
        </w:rPr>
        <w:t xml:space="preserve">法定代表人：（签字）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 xml:space="preserve"> 　法定代表人：（签字）</w:t>
      </w:r>
    </w:p>
    <w:p>
      <w:pPr>
        <w:adjustRightInd w:val="0"/>
        <w:snapToGrid w:val="0"/>
        <w:spacing w:line="400" w:lineRule="atLeast"/>
        <w:ind w:firstLine="440" w:firstLineChars="200"/>
        <w:rPr>
          <w:rFonts w:ascii="宋体" w:eastAsia="宋体" w:cs="Arial"/>
          <w:b w:val="0"/>
          <w:color w:val="auto"/>
          <w:sz w:val="22"/>
          <w:szCs w:val="22"/>
          <w:highlight w:val="none"/>
        </w:rPr>
      </w:pPr>
      <w:r>
        <w:rPr>
          <w:rFonts w:ascii="宋体" w:eastAsia="宋体" w:cs="Arial"/>
          <w:b w:val="0"/>
          <w:color w:val="auto"/>
          <w:sz w:val="22"/>
          <w:szCs w:val="22"/>
          <w:highlight w:val="none"/>
        </w:rPr>
        <w:t>委托代理人：（签字）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 xml:space="preserve">   　委托代理人：（签字）</w:t>
      </w:r>
    </w:p>
    <w:p>
      <w:pPr>
        <w:adjustRightInd w:val="0"/>
        <w:snapToGrid w:val="0"/>
        <w:spacing w:line="400" w:lineRule="atLeast"/>
        <w:ind w:firstLine="440" w:firstLineChars="200"/>
        <w:rPr>
          <w:rFonts w:ascii="宋体" w:eastAsia="宋体" w:cs="Arial"/>
          <w:b w:val="0"/>
          <w:color w:val="auto"/>
          <w:sz w:val="22"/>
          <w:szCs w:val="22"/>
          <w:highlight w:val="none"/>
        </w:rPr>
      </w:pPr>
      <w:r>
        <w:rPr>
          <w:rFonts w:ascii="宋体" w:eastAsia="宋体" w:cs="Arial"/>
          <w:b w:val="0"/>
          <w:color w:val="auto"/>
          <w:sz w:val="22"/>
          <w:szCs w:val="22"/>
          <w:highlight w:val="none"/>
        </w:rPr>
        <w:t>邮政编码：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邮政编码：</w:t>
      </w:r>
    </w:p>
    <w:p>
      <w:pPr>
        <w:adjustRightInd w:val="0"/>
        <w:snapToGrid w:val="0"/>
        <w:spacing w:line="400" w:lineRule="atLeast"/>
        <w:ind w:firstLine="440" w:firstLineChars="200"/>
        <w:rPr>
          <w:rFonts w:ascii="宋体" w:eastAsia="宋体" w:cs="Arial"/>
          <w:b w:val="0"/>
          <w:color w:val="auto"/>
          <w:sz w:val="22"/>
          <w:szCs w:val="22"/>
          <w:highlight w:val="none"/>
        </w:rPr>
      </w:pPr>
      <w:r>
        <w:rPr>
          <w:rFonts w:ascii="宋体" w:eastAsia="宋体" w:cs="Arial"/>
          <w:b w:val="0"/>
          <w:color w:val="auto"/>
          <w:sz w:val="22"/>
          <w:szCs w:val="22"/>
          <w:highlight w:val="none"/>
        </w:rPr>
        <w:t>电　　话：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电　　话：</w:t>
      </w:r>
    </w:p>
    <w:p>
      <w:pPr>
        <w:adjustRightInd w:val="0"/>
        <w:snapToGrid w:val="0"/>
        <w:spacing w:line="400" w:lineRule="atLeast"/>
        <w:ind w:firstLine="440" w:firstLineChars="200"/>
        <w:rPr>
          <w:rFonts w:ascii="宋体" w:eastAsia="宋体" w:cs="Arial"/>
          <w:b w:val="0"/>
          <w:color w:val="auto"/>
          <w:sz w:val="22"/>
          <w:szCs w:val="22"/>
          <w:highlight w:val="none"/>
        </w:rPr>
      </w:pPr>
      <w:r>
        <w:rPr>
          <w:rFonts w:ascii="宋体" w:eastAsia="宋体" w:cs="Arial"/>
          <w:b w:val="0"/>
          <w:color w:val="auto"/>
          <w:sz w:val="22"/>
          <w:szCs w:val="22"/>
          <w:highlight w:val="none"/>
        </w:rPr>
        <w:t xml:space="preserve">传　　真：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 xml:space="preserve">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传　　真：</w:t>
      </w:r>
    </w:p>
    <w:p>
      <w:pPr>
        <w:adjustRightInd w:val="0"/>
        <w:snapToGrid w:val="0"/>
        <w:spacing w:line="400" w:lineRule="atLeast"/>
        <w:ind w:firstLine="440" w:firstLineChars="200"/>
        <w:rPr>
          <w:rFonts w:ascii="宋体" w:eastAsia="宋体" w:cs="Arial"/>
          <w:b w:val="0"/>
          <w:color w:val="auto"/>
          <w:sz w:val="22"/>
          <w:szCs w:val="22"/>
          <w:highlight w:val="none"/>
        </w:rPr>
      </w:pPr>
      <w:r>
        <w:rPr>
          <w:rFonts w:ascii="宋体" w:eastAsia="宋体" w:cs="Arial"/>
          <w:b w:val="0"/>
          <w:color w:val="auto"/>
          <w:sz w:val="22"/>
          <w:szCs w:val="22"/>
          <w:highlight w:val="none"/>
        </w:rPr>
        <w:t>开户银行：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　开户银行：</w:t>
      </w:r>
    </w:p>
    <w:p>
      <w:pPr>
        <w:adjustRightInd w:val="0"/>
        <w:snapToGrid w:val="0"/>
        <w:spacing w:line="400" w:lineRule="atLeast"/>
        <w:ind w:firstLine="440" w:firstLineChars="200"/>
        <w:rPr>
          <w:rFonts w:ascii="宋体" w:eastAsia="宋体" w:cs="Arial"/>
          <w:b w:val="0"/>
          <w:color w:val="auto"/>
          <w:sz w:val="22"/>
          <w:szCs w:val="22"/>
          <w:highlight w:val="none"/>
        </w:rPr>
      </w:pPr>
      <w:r>
        <w:rPr>
          <w:rFonts w:ascii="宋体" w:eastAsia="宋体" w:cs="Arial"/>
          <w:b w:val="0"/>
          <w:color w:val="auto"/>
          <w:sz w:val="22"/>
          <w:szCs w:val="22"/>
          <w:highlight w:val="none"/>
        </w:rPr>
        <w:t>银行帐号：　　　　　　   　　　</w:t>
      </w:r>
      <w:r>
        <w:rPr>
          <w:rFonts w:hint="eastAsia" w:ascii="宋体" w:eastAsia="宋体" w:cs="Arial"/>
          <w:b w:val="0"/>
          <w:color w:val="auto"/>
          <w:sz w:val="22"/>
          <w:szCs w:val="22"/>
          <w:highlight w:val="none"/>
        </w:rPr>
        <w:t xml:space="preserve">           </w:t>
      </w:r>
      <w:r>
        <w:rPr>
          <w:rFonts w:ascii="宋体" w:eastAsia="宋体" w:cs="Arial"/>
          <w:b w:val="0"/>
          <w:color w:val="auto"/>
          <w:sz w:val="22"/>
          <w:szCs w:val="22"/>
          <w:highlight w:val="none"/>
        </w:rPr>
        <w:t>银行帐号：</w:t>
      </w:r>
    </w:p>
    <w:p>
      <w:pPr>
        <w:adjustRightInd w:val="0"/>
        <w:snapToGrid w:val="0"/>
        <w:spacing w:line="400" w:lineRule="atLeast"/>
        <w:ind w:firstLine="440" w:firstLineChars="200"/>
        <w:rPr>
          <w:rFonts w:ascii="宋体" w:eastAsia="宋体" w:cs="Arial"/>
          <w:b w:val="0"/>
          <w:color w:val="auto"/>
          <w:sz w:val="22"/>
          <w:szCs w:val="22"/>
          <w:highlight w:val="none"/>
        </w:rPr>
      </w:pPr>
      <w:r>
        <w:rPr>
          <w:rFonts w:hint="eastAsia" w:ascii="宋体" w:eastAsia="宋体" w:cs="Arial"/>
          <w:b w:val="0"/>
          <w:color w:val="auto"/>
          <w:sz w:val="22"/>
          <w:szCs w:val="22"/>
          <w:highlight w:val="none"/>
        </w:rPr>
        <w:t>签约时间：                                签约时间：</w:t>
      </w:r>
    </w:p>
    <w:p>
      <w:pPr>
        <w:spacing w:line="460" w:lineRule="atLeast"/>
        <w:ind w:firstLine="440" w:firstLineChars="200"/>
        <w:rPr>
          <w:rFonts w:ascii="宋体"/>
          <w:b/>
          <w:color w:val="auto"/>
          <w:sz w:val="22"/>
          <w:szCs w:val="22"/>
          <w:highlight w:val="none"/>
        </w:rPr>
      </w:pPr>
      <w:r>
        <w:rPr>
          <w:rFonts w:ascii="宋体" w:eastAsia="宋体" w:cs="Arial"/>
          <w:b w:val="0"/>
          <w:color w:val="auto"/>
          <w:sz w:val="22"/>
          <w:szCs w:val="22"/>
          <w:highlight w:val="none"/>
        </w:rPr>
        <w:t>注：上述条款仅供参考，具体以中标供应商与招标人所签定正式合同为准。</w:t>
      </w:r>
    </w:p>
    <w:p>
      <w:pPr>
        <w:pStyle w:val="24"/>
        <w:spacing w:line="460" w:lineRule="atLeast"/>
        <w:ind w:firstLine="325" w:firstLineChars="147"/>
        <w:rPr>
          <w:rFonts w:hAnsi="宋体"/>
          <w:b/>
          <w:color w:val="auto"/>
          <w:sz w:val="22"/>
          <w:szCs w:val="22"/>
          <w:highlight w:val="none"/>
        </w:rPr>
      </w:pPr>
    </w:p>
    <w:p>
      <w:pPr>
        <w:pStyle w:val="40"/>
        <w:jc w:val="both"/>
        <w:rPr>
          <w:rFonts w:cs="新宋体" w:asciiTheme="majorEastAsia" w:hAnsiTheme="majorEastAsia" w:eastAsiaTheme="majorEastAsia"/>
          <w:color w:val="auto"/>
          <w:sz w:val="30"/>
          <w:szCs w:val="30"/>
          <w:highlight w:val="none"/>
        </w:rPr>
        <w:sectPr>
          <w:headerReference r:id="rId10" w:type="default"/>
          <w:footerReference r:id="rId11" w:type="default"/>
          <w:pgSz w:w="11906" w:h="16838"/>
          <w:pgMar w:top="1440" w:right="1701" w:bottom="1440" w:left="1701" w:header="851" w:footer="992" w:gutter="0"/>
          <w:cols w:space="720" w:num="1"/>
          <w:docGrid w:linePitch="312" w:charSpace="0"/>
        </w:sectPr>
      </w:pPr>
    </w:p>
    <w:p>
      <w:pPr>
        <w:pStyle w:val="40"/>
        <w:rPr>
          <w:rFonts w:cs="新宋体" w:asciiTheme="majorEastAsia" w:hAnsiTheme="majorEastAsia" w:eastAsiaTheme="majorEastAsia"/>
          <w:color w:val="auto"/>
          <w:sz w:val="30"/>
          <w:szCs w:val="30"/>
          <w:highlight w:val="none"/>
        </w:rPr>
      </w:pPr>
      <w:bookmarkStart w:id="83" w:name="_Toc21992"/>
      <w:r>
        <w:rPr>
          <w:rFonts w:hint="eastAsia" w:cs="新宋体" w:asciiTheme="majorEastAsia" w:hAnsiTheme="majorEastAsia" w:eastAsiaTheme="majorEastAsia"/>
          <w:color w:val="auto"/>
          <w:sz w:val="30"/>
          <w:szCs w:val="30"/>
          <w:highlight w:val="none"/>
        </w:rPr>
        <w:t>第六部分 投标文件格式</w:t>
      </w:r>
      <w:bookmarkEnd w:id="80"/>
      <w:bookmarkEnd w:id="81"/>
      <w:bookmarkEnd w:id="83"/>
    </w:p>
    <w:bookmarkEnd w:id="82"/>
    <w:p>
      <w:pPr>
        <w:widowControl/>
        <w:spacing w:line="460" w:lineRule="atLeast"/>
        <w:jc w:val="center"/>
        <w:rPr>
          <w:rFonts w:asciiTheme="majorEastAsia" w:hAnsiTheme="majorEastAsia" w:eastAsiaTheme="majorEastAsia"/>
          <w:b/>
          <w:bCs/>
          <w:color w:val="auto"/>
          <w:sz w:val="32"/>
          <w:szCs w:val="32"/>
          <w:highlight w:val="none"/>
        </w:rPr>
      </w:pPr>
      <w:bookmarkStart w:id="84" w:name="_Toc161563051"/>
      <w:bookmarkStart w:id="85" w:name="_Toc498343176"/>
      <w:bookmarkStart w:id="86" w:name="_Toc496116282"/>
      <w:bookmarkStart w:id="87" w:name="_Toc293038733"/>
    </w:p>
    <w:p>
      <w:pPr>
        <w:pStyle w:val="40"/>
        <w:rPr>
          <w:rFonts w:asciiTheme="majorEastAsia" w:hAnsiTheme="majorEastAsia" w:eastAsiaTheme="majorEastAsia"/>
          <w:color w:val="auto"/>
          <w:highlight w:val="none"/>
        </w:rPr>
      </w:pPr>
      <w:bookmarkStart w:id="88" w:name="_Toc3026"/>
      <w:bookmarkStart w:id="89" w:name="_Toc65830018"/>
      <w:bookmarkStart w:id="90" w:name="_Toc65590090"/>
      <w:bookmarkStart w:id="91" w:name="_Toc42678689"/>
      <w:bookmarkStart w:id="92" w:name="_Toc96970922"/>
      <w:r>
        <w:rPr>
          <w:rFonts w:hint="eastAsia" w:asciiTheme="majorEastAsia" w:hAnsiTheme="majorEastAsia" w:eastAsiaTheme="majorEastAsia"/>
          <w:color w:val="auto"/>
          <w:highlight w:val="none"/>
        </w:rPr>
        <w:t>一、资格文件部分格式</w:t>
      </w:r>
      <w:bookmarkEnd w:id="88"/>
      <w:bookmarkEnd w:id="89"/>
      <w:bookmarkEnd w:id="90"/>
      <w:bookmarkEnd w:id="91"/>
      <w:bookmarkEnd w:id="92"/>
    </w:p>
    <w:p>
      <w:pPr>
        <w:widowControl/>
        <w:spacing w:line="460" w:lineRule="atLeast"/>
        <w:jc w:val="left"/>
        <w:rPr>
          <w:rFonts w:asciiTheme="majorEastAsia" w:hAnsiTheme="majorEastAsia" w:eastAsiaTheme="majorEastAsia"/>
          <w:b/>
          <w:bCs/>
          <w:color w:val="auto"/>
          <w:sz w:val="22"/>
          <w:szCs w:val="22"/>
          <w:highlight w:val="none"/>
        </w:rPr>
      </w:pPr>
      <w:r>
        <w:rPr>
          <w:rFonts w:hint="eastAsia" w:asciiTheme="majorEastAsia" w:hAnsiTheme="majorEastAsia" w:eastAsiaTheme="majorEastAsia"/>
          <w:b/>
          <w:color w:val="auto"/>
          <w:sz w:val="22"/>
          <w:szCs w:val="22"/>
          <w:highlight w:val="none"/>
        </w:rPr>
        <w:t>附件一</w:t>
      </w:r>
    </w:p>
    <w:p>
      <w:pPr>
        <w:pStyle w:val="40"/>
        <w:rPr>
          <w:rFonts w:asciiTheme="majorEastAsia" w:hAnsiTheme="majorEastAsia" w:eastAsiaTheme="majorEastAsia"/>
          <w:color w:val="auto"/>
          <w:highlight w:val="none"/>
          <w:lang w:val="zh-CN"/>
        </w:rPr>
      </w:pPr>
      <w:bookmarkStart w:id="93" w:name="_Toc42243282"/>
      <w:bookmarkStart w:id="94" w:name="_Toc42678024"/>
      <w:bookmarkStart w:id="95" w:name="_Toc42678690"/>
      <w:bookmarkStart w:id="96" w:name="_Toc12671"/>
      <w:bookmarkStart w:id="97" w:name="_Toc5942"/>
      <w:bookmarkStart w:id="98" w:name="_Toc42678179"/>
      <w:bookmarkStart w:id="99" w:name="_Toc65830019"/>
      <w:bookmarkStart w:id="100" w:name="_Toc61444210"/>
      <w:bookmarkStart w:id="101" w:name="_Toc65590091"/>
      <w:bookmarkStart w:id="102" w:name="_Toc56004404"/>
      <w:bookmarkStart w:id="103" w:name="_Toc61444213"/>
      <w:r>
        <w:rPr>
          <w:rFonts w:hint="eastAsia" w:cs="宋体" w:asciiTheme="majorEastAsia" w:hAnsiTheme="majorEastAsia" w:eastAsiaTheme="majorEastAsia"/>
          <w:color w:val="auto"/>
          <w:highlight w:val="none"/>
          <w:lang w:val="zh-CN"/>
        </w:rPr>
        <w:t>具有财务会计制度、设备和专业技术能力、</w:t>
      </w:r>
      <w:r>
        <w:rPr>
          <w:rFonts w:hint="eastAsia" w:cs="宋体" w:asciiTheme="majorEastAsia" w:hAnsiTheme="majorEastAsia" w:eastAsiaTheme="majorEastAsia"/>
          <w:color w:val="auto"/>
          <w:highlight w:val="none"/>
        </w:rPr>
        <w:t>依法</w:t>
      </w:r>
      <w:r>
        <w:rPr>
          <w:rFonts w:hint="eastAsia" w:cs="宋体" w:asciiTheme="majorEastAsia" w:hAnsiTheme="majorEastAsia" w:eastAsiaTheme="majorEastAsia"/>
          <w:color w:val="auto"/>
          <w:highlight w:val="none"/>
          <w:lang w:val="zh-CN"/>
        </w:rPr>
        <w:t>缴纳税收和社会保障资金</w:t>
      </w:r>
      <w:r>
        <w:rPr>
          <w:rFonts w:hint="eastAsia" w:cs="宋体" w:asciiTheme="majorEastAsia" w:hAnsiTheme="majorEastAsia" w:eastAsiaTheme="majorEastAsia"/>
          <w:color w:val="auto"/>
          <w:highlight w:val="none"/>
        </w:rPr>
        <w:t>记录</w:t>
      </w:r>
      <w:r>
        <w:rPr>
          <w:rFonts w:hint="eastAsia" w:cs="宋体" w:asciiTheme="majorEastAsia" w:hAnsiTheme="majorEastAsia" w:eastAsiaTheme="majorEastAsia"/>
          <w:color w:val="auto"/>
          <w:highlight w:val="none"/>
          <w:lang w:val="zh-CN"/>
        </w:rPr>
        <w:t>、</w:t>
      </w:r>
      <w:r>
        <w:rPr>
          <w:rFonts w:hint="eastAsia" w:cs="宋体" w:asciiTheme="majorEastAsia" w:hAnsiTheme="majorEastAsia" w:eastAsiaTheme="majorEastAsia"/>
          <w:color w:val="auto"/>
          <w:highlight w:val="none"/>
        </w:rPr>
        <w:t>无</w:t>
      </w:r>
      <w:r>
        <w:rPr>
          <w:rFonts w:hint="eastAsia" w:cs="宋体" w:asciiTheme="majorEastAsia" w:hAnsiTheme="majorEastAsia" w:eastAsiaTheme="majorEastAsia"/>
          <w:color w:val="auto"/>
          <w:highlight w:val="none"/>
          <w:lang w:val="zh-CN"/>
        </w:rPr>
        <w:t>重大违法记录的承诺函</w:t>
      </w:r>
      <w:bookmarkEnd w:id="93"/>
      <w:bookmarkEnd w:id="94"/>
      <w:bookmarkEnd w:id="95"/>
      <w:bookmarkEnd w:id="96"/>
      <w:bookmarkEnd w:id="97"/>
      <w:bookmarkEnd w:id="98"/>
      <w:bookmarkEnd w:id="99"/>
      <w:bookmarkEnd w:id="100"/>
      <w:bookmarkEnd w:id="101"/>
    </w:p>
    <w:p>
      <w:pPr>
        <w:spacing w:line="460" w:lineRule="exact"/>
        <w:rPr>
          <w:rFonts w:cs="黑体" w:asciiTheme="majorEastAsia" w:hAnsiTheme="majorEastAsia" w:eastAsiaTheme="majorEastAsia"/>
          <w:b/>
          <w:color w:val="auto"/>
          <w:sz w:val="22"/>
          <w:szCs w:val="22"/>
          <w:highlight w:val="none"/>
          <w:u w:val="single"/>
        </w:rPr>
      </w:pPr>
    </w:p>
    <w:p>
      <w:pPr>
        <w:spacing w:line="460" w:lineRule="exact"/>
        <w:rPr>
          <w:rFonts w:cs="黑体" w:asciiTheme="majorEastAsia" w:hAnsiTheme="majorEastAsia" w:eastAsiaTheme="majorEastAsia"/>
          <w:b/>
          <w:color w:val="auto"/>
          <w:sz w:val="22"/>
          <w:szCs w:val="22"/>
          <w:highlight w:val="none"/>
          <w:u w:val="single"/>
        </w:rPr>
      </w:pPr>
      <w:r>
        <w:rPr>
          <w:rFonts w:hint="eastAsia" w:cs="黑体" w:asciiTheme="majorEastAsia" w:hAnsiTheme="majorEastAsia" w:eastAsiaTheme="majorEastAsia"/>
          <w:b/>
          <w:color w:val="auto"/>
          <w:sz w:val="22"/>
          <w:szCs w:val="22"/>
          <w:highlight w:val="none"/>
          <w:u w:val="single"/>
          <w:lang w:eastAsia="zh-CN"/>
        </w:rPr>
        <w:t>中共永嘉县委组织部</w:t>
      </w:r>
      <w:r>
        <w:rPr>
          <w:rFonts w:hint="eastAsia" w:cs="黑体" w:asciiTheme="majorEastAsia" w:hAnsiTheme="majorEastAsia" w:eastAsiaTheme="majorEastAsia"/>
          <w:b/>
          <w:color w:val="auto"/>
          <w:sz w:val="22"/>
          <w:szCs w:val="22"/>
          <w:highlight w:val="none"/>
          <w:u w:val="single"/>
        </w:rPr>
        <w:t>：</w:t>
      </w:r>
    </w:p>
    <w:p>
      <w:pPr>
        <w:spacing w:line="460" w:lineRule="exact"/>
        <w:rPr>
          <w:rFonts w:cs="黑体" w:asciiTheme="majorEastAsia" w:hAnsiTheme="majorEastAsia" w:eastAsiaTheme="majorEastAsia"/>
          <w:b/>
          <w:color w:val="auto"/>
          <w:sz w:val="22"/>
          <w:szCs w:val="22"/>
          <w:highlight w:val="none"/>
          <w:u w:val="single"/>
        </w:rPr>
      </w:pPr>
      <w:r>
        <w:rPr>
          <w:rFonts w:hint="eastAsia" w:cs="黑体" w:asciiTheme="majorEastAsia" w:hAnsiTheme="majorEastAsia" w:eastAsiaTheme="majorEastAsia"/>
          <w:b/>
          <w:color w:val="auto"/>
          <w:sz w:val="22"/>
          <w:szCs w:val="22"/>
          <w:highlight w:val="none"/>
          <w:u w:val="single"/>
        </w:rPr>
        <w:t>温州市中概工程管理咨询有限公司：</w:t>
      </w:r>
    </w:p>
    <w:p>
      <w:pPr>
        <w:widowControl/>
        <w:snapToGrid w:val="0"/>
        <w:spacing w:line="460" w:lineRule="exact"/>
        <w:ind w:firstLine="442" w:firstLineChars="200"/>
        <w:jc w:val="left"/>
        <w:rPr>
          <w:rFonts w:cs="Courier New" w:asciiTheme="majorEastAsia" w:hAnsiTheme="majorEastAsia" w:eastAsiaTheme="majorEastAsia"/>
          <w:b/>
          <w:color w:val="auto"/>
          <w:sz w:val="22"/>
          <w:szCs w:val="22"/>
          <w:highlight w:val="none"/>
        </w:rPr>
      </w:pPr>
    </w:p>
    <w:p>
      <w:pPr>
        <w:widowControl/>
        <w:snapToGrid w:val="0"/>
        <w:spacing w:line="460" w:lineRule="exact"/>
        <w:ind w:firstLine="440" w:firstLineChars="200"/>
        <w:jc w:val="left"/>
        <w:rPr>
          <w:rFonts w:asciiTheme="majorEastAsia" w:hAnsiTheme="majorEastAsia" w:eastAsiaTheme="majorEastAsia"/>
          <w:b/>
          <w:color w:val="auto"/>
          <w:sz w:val="22"/>
          <w:szCs w:val="22"/>
          <w:highlight w:val="none"/>
        </w:rPr>
      </w:pPr>
      <w:r>
        <w:rPr>
          <w:rFonts w:hint="eastAsia" w:asciiTheme="majorEastAsia" w:hAnsiTheme="majorEastAsia" w:eastAsiaTheme="majorEastAsia"/>
          <w:color w:val="auto"/>
          <w:sz w:val="22"/>
          <w:szCs w:val="22"/>
          <w:highlight w:val="none"/>
        </w:rPr>
        <w:t>我公司郑重声明:</w:t>
      </w:r>
    </w:p>
    <w:p>
      <w:pPr>
        <w:widowControl/>
        <w:snapToGrid w:val="0"/>
        <w:spacing w:line="460" w:lineRule="exact"/>
        <w:ind w:firstLine="440" w:firstLineChars="200"/>
        <w:jc w:val="left"/>
        <w:rPr>
          <w:rFonts w:asciiTheme="majorEastAsia" w:hAnsiTheme="majorEastAsia" w:eastAsiaTheme="majorEastAsia"/>
          <w:b/>
          <w:color w:val="auto"/>
          <w:sz w:val="22"/>
          <w:szCs w:val="22"/>
          <w:highlight w:val="none"/>
        </w:rPr>
      </w:pPr>
      <w:r>
        <w:rPr>
          <w:rFonts w:hint="eastAsia" w:asciiTheme="majorEastAsia" w:hAnsiTheme="majorEastAsia" w:eastAsiaTheme="majorEastAsia"/>
          <w:color w:val="auto"/>
          <w:sz w:val="22"/>
          <w:szCs w:val="22"/>
          <w:highlight w:val="none"/>
        </w:rPr>
        <w:t>1、具有良好的商业信誉和健全的财务会计制度；</w:t>
      </w:r>
    </w:p>
    <w:p>
      <w:pPr>
        <w:widowControl/>
        <w:snapToGrid w:val="0"/>
        <w:spacing w:line="460" w:lineRule="exact"/>
        <w:ind w:firstLine="440" w:firstLineChars="200"/>
        <w:jc w:val="left"/>
        <w:rPr>
          <w:rFonts w:asciiTheme="majorEastAsia" w:hAnsiTheme="majorEastAsia" w:eastAsiaTheme="majorEastAsia"/>
          <w:b/>
          <w:color w:val="auto"/>
          <w:sz w:val="22"/>
          <w:szCs w:val="22"/>
          <w:highlight w:val="none"/>
        </w:rPr>
      </w:pPr>
      <w:r>
        <w:rPr>
          <w:rFonts w:hint="eastAsia" w:asciiTheme="majorEastAsia" w:hAnsiTheme="majorEastAsia" w:eastAsiaTheme="majorEastAsia"/>
          <w:color w:val="auto"/>
          <w:sz w:val="22"/>
          <w:szCs w:val="22"/>
          <w:highlight w:val="none"/>
        </w:rPr>
        <w:t>2、承诺具有履行合同所必需的设备和专业技术能力。如有虚假，采购人可取消我方任何资格（投标/中标/签订合同），我方对此无任何异议。</w:t>
      </w:r>
    </w:p>
    <w:p>
      <w:pPr>
        <w:widowControl/>
        <w:snapToGrid w:val="0"/>
        <w:spacing w:line="460" w:lineRule="exact"/>
        <w:ind w:firstLine="440" w:firstLineChars="200"/>
        <w:jc w:val="left"/>
        <w:rPr>
          <w:rFonts w:asciiTheme="majorEastAsia" w:hAnsiTheme="majorEastAsia" w:eastAsiaTheme="majorEastAsia"/>
          <w:b/>
          <w:color w:val="auto"/>
          <w:sz w:val="22"/>
          <w:szCs w:val="22"/>
          <w:highlight w:val="none"/>
        </w:rPr>
      </w:pPr>
      <w:r>
        <w:rPr>
          <w:rFonts w:hint="eastAsia" w:asciiTheme="majorEastAsia" w:hAnsiTheme="majorEastAsia" w:eastAsiaTheme="majorEastAsia"/>
          <w:color w:val="auto"/>
          <w:sz w:val="22"/>
          <w:szCs w:val="22"/>
          <w:highlight w:val="none"/>
        </w:rPr>
        <w:t>3、严格依法缴纳税收和社会保障资金，本文件中所提供的相关材料均真实有效，不存在虚假、造假行为。如有违反，愿承担一切责任。</w:t>
      </w:r>
    </w:p>
    <w:p>
      <w:pPr>
        <w:widowControl/>
        <w:snapToGrid w:val="0"/>
        <w:spacing w:line="460" w:lineRule="exact"/>
        <w:ind w:firstLine="440" w:firstLineChars="200"/>
        <w:jc w:val="left"/>
        <w:rPr>
          <w:rFonts w:asciiTheme="majorEastAsia" w:hAnsiTheme="majorEastAsia" w:eastAsiaTheme="majorEastAsia"/>
          <w:color w:val="auto"/>
          <w:highlight w:val="none"/>
        </w:rPr>
      </w:pPr>
      <w:r>
        <w:rPr>
          <w:rFonts w:hint="eastAsia" w:asciiTheme="majorEastAsia" w:hAnsiTheme="majorEastAsia" w:eastAsiaTheme="majorEastAsia"/>
          <w:color w:val="auto"/>
          <w:sz w:val="22"/>
          <w:szCs w:val="22"/>
          <w:highlight w:val="none"/>
        </w:rPr>
        <w:t>4、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460" w:lineRule="exact"/>
        <w:ind w:firstLine="442" w:firstLineChars="200"/>
        <w:jc w:val="left"/>
        <w:rPr>
          <w:rFonts w:asciiTheme="majorEastAsia" w:hAnsiTheme="majorEastAsia" w:eastAsiaTheme="majorEastAsia"/>
          <w:b/>
          <w:color w:val="auto"/>
          <w:sz w:val="22"/>
          <w:szCs w:val="22"/>
          <w:highlight w:val="none"/>
        </w:rPr>
      </w:pPr>
    </w:p>
    <w:p>
      <w:pPr>
        <w:widowControl/>
        <w:snapToGrid w:val="0"/>
        <w:spacing w:line="460" w:lineRule="exact"/>
        <w:ind w:firstLine="440" w:firstLineChars="200"/>
        <w:jc w:val="left"/>
        <w:rPr>
          <w:rFonts w:asciiTheme="majorEastAsia" w:hAnsiTheme="majorEastAsia" w:eastAsiaTheme="majorEastAsia"/>
          <w:b/>
          <w:color w:val="auto"/>
          <w:sz w:val="22"/>
          <w:szCs w:val="22"/>
          <w:highlight w:val="none"/>
        </w:rPr>
      </w:pPr>
      <w:r>
        <w:rPr>
          <w:rFonts w:hint="eastAsia" w:asciiTheme="majorEastAsia" w:hAnsiTheme="majorEastAsia" w:eastAsiaTheme="majorEastAsia"/>
          <w:color w:val="auto"/>
          <w:sz w:val="22"/>
          <w:szCs w:val="22"/>
          <w:highlight w:val="none"/>
        </w:rPr>
        <w:t>特此承诺！</w:t>
      </w:r>
    </w:p>
    <w:p>
      <w:pPr>
        <w:widowControl/>
        <w:snapToGrid w:val="0"/>
        <w:spacing w:line="460" w:lineRule="exact"/>
        <w:ind w:firstLine="442" w:firstLineChars="200"/>
        <w:jc w:val="left"/>
        <w:rPr>
          <w:rFonts w:asciiTheme="majorEastAsia" w:hAnsiTheme="majorEastAsia" w:eastAsiaTheme="majorEastAsia"/>
          <w:b/>
          <w:color w:val="auto"/>
          <w:sz w:val="22"/>
          <w:szCs w:val="22"/>
          <w:highlight w:val="none"/>
        </w:rPr>
      </w:pPr>
    </w:p>
    <w:p>
      <w:pPr>
        <w:widowControl/>
        <w:snapToGrid w:val="0"/>
        <w:spacing w:line="460" w:lineRule="exact"/>
        <w:ind w:firstLine="440" w:firstLineChars="200"/>
        <w:jc w:val="left"/>
        <w:rPr>
          <w:rFonts w:asciiTheme="majorEastAsia" w:hAnsiTheme="majorEastAsia" w:eastAsiaTheme="majorEastAsia"/>
          <w:b/>
          <w:color w:val="auto"/>
          <w:sz w:val="22"/>
          <w:szCs w:val="22"/>
          <w:highlight w:val="none"/>
        </w:rPr>
      </w:pPr>
      <w:r>
        <w:rPr>
          <w:rFonts w:hint="eastAsia" w:asciiTheme="majorEastAsia" w:hAnsiTheme="majorEastAsia" w:eastAsiaTheme="majorEastAsia"/>
          <w:color w:val="auto"/>
          <w:sz w:val="22"/>
          <w:szCs w:val="22"/>
          <w:highlight w:val="none"/>
        </w:rPr>
        <w:t>投标供应商（盖章） ：</w:t>
      </w:r>
    </w:p>
    <w:p>
      <w:pPr>
        <w:widowControl/>
        <w:snapToGrid w:val="0"/>
        <w:spacing w:line="460" w:lineRule="exact"/>
        <w:ind w:firstLine="440" w:firstLineChars="200"/>
        <w:jc w:val="left"/>
        <w:rPr>
          <w:rFonts w:asciiTheme="majorEastAsia" w:hAnsiTheme="majorEastAsia" w:eastAsiaTheme="majorEastAsia"/>
          <w:b/>
          <w:color w:val="auto"/>
          <w:sz w:val="22"/>
          <w:szCs w:val="22"/>
          <w:highlight w:val="none"/>
        </w:rPr>
      </w:pPr>
      <w:r>
        <w:rPr>
          <w:rFonts w:hint="eastAsia" w:asciiTheme="majorEastAsia" w:hAnsiTheme="majorEastAsia" w:eastAsiaTheme="majorEastAsia"/>
          <w:color w:val="auto"/>
          <w:sz w:val="22"/>
          <w:szCs w:val="22"/>
          <w:highlight w:val="none"/>
        </w:rPr>
        <w:t>日期：</w:t>
      </w:r>
    </w:p>
    <w:p>
      <w:pPr>
        <w:widowControl/>
        <w:jc w:val="left"/>
        <w:rPr>
          <w:rFonts w:asciiTheme="majorEastAsia" w:hAnsiTheme="majorEastAsia" w:eastAsiaTheme="majorEastAsia"/>
          <w:b/>
          <w:bCs/>
          <w:color w:val="auto"/>
          <w:sz w:val="22"/>
          <w:szCs w:val="22"/>
          <w:highlight w:val="none"/>
        </w:rPr>
      </w:pPr>
      <w:r>
        <w:rPr>
          <w:rFonts w:hint="eastAsia" w:cs="Arial" w:asciiTheme="majorEastAsia" w:hAnsiTheme="majorEastAsia" w:eastAsiaTheme="majorEastAsia"/>
          <w:color w:val="auto"/>
          <w:sz w:val="36"/>
          <w:szCs w:val="32"/>
          <w:highlight w:val="none"/>
        </w:rPr>
        <w:br w:type="page"/>
      </w:r>
      <w:r>
        <w:rPr>
          <w:rFonts w:hint="eastAsia" w:asciiTheme="majorEastAsia" w:hAnsiTheme="majorEastAsia" w:eastAsiaTheme="majorEastAsia"/>
          <w:b/>
          <w:color w:val="auto"/>
          <w:sz w:val="22"/>
          <w:szCs w:val="22"/>
          <w:highlight w:val="none"/>
        </w:rPr>
        <w:t>附件二</w:t>
      </w:r>
    </w:p>
    <w:p>
      <w:pPr>
        <w:pStyle w:val="14"/>
        <w:spacing w:before="240" w:after="60"/>
        <w:jc w:val="center"/>
        <w:outlineLvl w:val="0"/>
        <w:rPr>
          <w:rFonts w:cs="宋体" w:asciiTheme="majorEastAsia" w:hAnsiTheme="majorEastAsia" w:eastAsiaTheme="majorEastAsia"/>
          <w:b/>
          <w:color w:val="auto"/>
          <w:kern w:val="0"/>
          <w:sz w:val="32"/>
          <w:szCs w:val="32"/>
          <w:highlight w:val="none"/>
          <w:lang w:val="zh-CN"/>
        </w:rPr>
      </w:pPr>
      <w:bookmarkStart w:id="104" w:name="_Toc23799"/>
      <w:bookmarkStart w:id="105" w:name="_Toc14892"/>
      <w:bookmarkStart w:id="106" w:name="_Toc6694"/>
      <w:bookmarkStart w:id="107" w:name="_Toc97033068"/>
      <w:bookmarkStart w:id="108" w:name="_Toc87518414"/>
      <w:bookmarkStart w:id="109" w:name="_Toc65830022"/>
      <w:bookmarkStart w:id="110" w:name="_Toc96970926"/>
      <w:bookmarkStart w:id="111" w:name="_Toc68188789"/>
      <w:bookmarkStart w:id="112" w:name="_Toc11018"/>
      <w:bookmarkStart w:id="113" w:name="_Toc68187553"/>
      <w:bookmarkStart w:id="114" w:name="_Toc87518591"/>
      <w:bookmarkStart w:id="115" w:name="_Toc68189103"/>
      <w:bookmarkStart w:id="116" w:name="_Toc65590094"/>
      <w:r>
        <w:rPr>
          <w:rFonts w:cs="宋体" w:asciiTheme="majorEastAsia" w:hAnsiTheme="majorEastAsia" w:eastAsiaTheme="majorEastAsia"/>
          <w:b/>
          <w:color w:val="auto"/>
          <w:kern w:val="0"/>
          <w:sz w:val="32"/>
          <w:szCs w:val="32"/>
          <w:highlight w:val="none"/>
          <w:lang w:val="zh-CN"/>
        </w:rPr>
        <w:t>与参加本次项目同一合同项下政府采购活动的其他供应商不存在单位负责人为同一人或者直接控股、管理关系的承诺函</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spacing w:line="460" w:lineRule="exact"/>
        <w:rPr>
          <w:rFonts w:cs="黑体" w:asciiTheme="majorEastAsia" w:hAnsiTheme="majorEastAsia" w:eastAsiaTheme="majorEastAsia"/>
          <w:b/>
          <w:color w:val="auto"/>
          <w:sz w:val="22"/>
          <w:szCs w:val="22"/>
          <w:highlight w:val="none"/>
          <w:u w:val="single"/>
        </w:rPr>
      </w:pPr>
    </w:p>
    <w:p>
      <w:pPr>
        <w:spacing w:line="460" w:lineRule="exact"/>
        <w:jc w:val="left"/>
        <w:rPr>
          <w:rFonts w:cs="黑体" w:asciiTheme="majorEastAsia" w:hAnsiTheme="majorEastAsia" w:eastAsiaTheme="majorEastAsia"/>
          <w:b/>
          <w:color w:val="auto"/>
          <w:sz w:val="22"/>
          <w:szCs w:val="22"/>
          <w:highlight w:val="none"/>
          <w:u w:val="single"/>
        </w:rPr>
      </w:pPr>
      <w:r>
        <w:rPr>
          <w:rFonts w:hint="eastAsia" w:cs="黑体" w:asciiTheme="majorEastAsia" w:hAnsiTheme="majorEastAsia" w:eastAsiaTheme="majorEastAsia"/>
          <w:b/>
          <w:color w:val="auto"/>
          <w:sz w:val="22"/>
          <w:szCs w:val="22"/>
          <w:highlight w:val="none"/>
          <w:u w:val="single"/>
          <w:lang w:eastAsia="zh-CN"/>
        </w:rPr>
        <w:t>中共永嘉县委组织部</w:t>
      </w:r>
      <w:r>
        <w:rPr>
          <w:rFonts w:hint="eastAsia" w:cs="黑体" w:asciiTheme="majorEastAsia" w:hAnsiTheme="majorEastAsia" w:eastAsiaTheme="majorEastAsia"/>
          <w:b/>
          <w:color w:val="auto"/>
          <w:sz w:val="22"/>
          <w:szCs w:val="22"/>
          <w:highlight w:val="none"/>
          <w:u w:val="single"/>
        </w:rPr>
        <w:t>：</w:t>
      </w:r>
    </w:p>
    <w:p>
      <w:pPr>
        <w:spacing w:line="460" w:lineRule="exact"/>
        <w:jc w:val="left"/>
        <w:rPr>
          <w:rFonts w:cs="黑体" w:asciiTheme="majorEastAsia" w:hAnsiTheme="majorEastAsia" w:eastAsiaTheme="majorEastAsia"/>
          <w:b/>
          <w:color w:val="auto"/>
          <w:sz w:val="22"/>
          <w:szCs w:val="22"/>
          <w:highlight w:val="none"/>
          <w:u w:val="single"/>
        </w:rPr>
      </w:pPr>
      <w:r>
        <w:rPr>
          <w:rFonts w:hint="eastAsia" w:cs="黑体" w:asciiTheme="majorEastAsia" w:hAnsiTheme="majorEastAsia" w:eastAsiaTheme="majorEastAsia"/>
          <w:b/>
          <w:color w:val="auto"/>
          <w:sz w:val="22"/>
          <w:szCs w:val="22"/>
          <w:highlight w:val="none"/>
          <w:u w:val="single"/>
        </w:rPr>
        <w:t>温州市中概工程管理咨询有限公司：</w:t>
      </w:r>
    </w:p>
    <w:p>
      <w:pPr>
        <w:widowControl/>
        <w:spacing w:line="460" w:lineRule="exact"/>
        <w:ind w:firstLine="440"/>
        <w:jc w:val="left"/>
        <w:rPr>
          <w:rFonts w:cs="Courier New" w:asciiTheme="majorEastAsia" w:hAnsiTheme="majorEastAsia" w:eastAsiaTheme="majorEastAsia"/>
          <w:color w:val="auto"/>
          <w:sz w:val="22"/>
          <w:szCs w:val="22"/>
          <w:highlight w:val="none"/>
        </w:rPr>
      </w:pPr>
      <w:r>
        <w:rPr>
          <w:rFonts w:cs="Courier New" w:asciiTheme="majorEastAsia" w:hAnsiTheme="majorEastAsia" w:eastAsiaTheme="majorEastAsia"/>
          <w:color w:val="auto"/>
          <w:sz w:val="22"/>
          <w:szCs w:val="22"/>
          <w:highlight w:val="none"/>
        </w:rPr>
        <w:t>我方郑重承诺，我方此次参加</w:t>
      </w:r>
      <w:r>
        <w:rPr>
          <w:rFonts w:hint="eastAsia" w:cs="Courier New" w:asciiTheme="majorEastAsia" w:hAnsiTheme="majorEastAsia" w:eastAsiaTheme="majorEastAsia"/>
          <w:color w:val="auto"/>
          <w:sz w:val="22"/>
          <w:szCs w:val="22"/>
          <w:highlight w:val="none"/>
        </w:rPr>
        <w:t>本</w:t>
      </w:r>
      <w:r>
        <w:rPr>
          <w:rFonts w:cs="Courier New" w:asciiTheme="majorEastAsia" w:hAnsiTheme="majorEastAsia" w:eastAsiaTheme="majorEastAsia"/>
          <w:color w:val="auto"/>
          <w:sz w:val="22"/>
          <w:szCs w:val="22"/>
          <w:highlight w:val="none"/>
        </w:rPr>
        <w:t>项目的投标，与参加本次项目同一合同项下政府采购活动的其他供应商不存在单位负责人为同一人或者直接控股、管理关系。如有虚假或隐瞒，愿意承担一切后果。</w:t>
      </w:r>
    </w:p>
    <w:p>
      <w:pPr>
        <w:pStyle w:val="2"/>
        <w:ind w:firstLine="210"/>
        <w:rPr>
          <w:rFonts w:asciiTheme="majorEastAsia" w:hAnsiTheme="majorEastAsia" w:eastAsiaTheme="majorEastAsia"/>
          <w:color w:val="auto"/>
          <w:highlight w:val="none"/>
        </w:rPr>
      </w:pPr>
    </w:p>
    <w:p>
      <w:pPr>
        <w:widowControl/>
        <w:spacing w:line="460" w:lineRule="exact"/>
        <w:ind w:firstLine="440"/>
        <w:jc w:val="left"/>
        <w:rPr>
          <w:rFonts w:cs="Courier New" w:asciiTheme="majorEastAsia" w:hAnsiTheme="majorEastAsia" w:eastAsiaTheme="majorEastAsia"/>
          <w:color w:val="auto"/>
          <w:sz w:val="22"/>
          <w:szCs w:val="22"/>
          <w:highlight w:val="none"/>
        </w:rPr>
      </w:pPr>
      <w:r>
        <w:rPr>
          <w:rFonts w:cs="Courier New" w:asciiTheme="majorEastAsia" w:hAnsiTheme="majorEastAsia" w:eastAsiaTheme="majorEastAsia"/>
          <w:color w:val="auto"/>
          <w:sz w:val="22"/>
          <w:szCs w:val="22"/>
          <w:highlight w:val="none"/>
        </w:rPr>
        <w:t>特此承诺！</w:t>
      </w:r>
    </w:p>
    <w:p>
      <w:pPr>
        <w:widowControl/>
        <w:spacing w:line="460" w:lineRule="exact"/>
        <w:ind w:firstLine="440"/>
        <w:jc w:val="left"/>
        <w:rPr>
          <w:rFonts w:cs="Courier New" w:asciiTheme="majorEastAsia" w:hAnsiTheme="majorEastAsia" w:eastAsiaTheme="majorEastAsia"/>
          <w:color w:val="auto"/>
          <w:sz w:val="22"/>
          <w:szCs w:val="22"/>
          <w:highlight w:val="none"/>
        </w:rPr>
      </w:pPr>
    </w:p>
    <w:p>
      <w:pPr>
        <w:widowControl/>
        <w:spacing w:line="460" w:lineRule="exact"/>
        <w:ind w:firstLine="440"/>
        <w:jc w:val="left"/>
        <w:rPr>
          <w:rFonts w:cs="Courier New" w:asciiTheme="majorEastAsia" w:hAnsiTheme="majorEastAsia" w:eastAsiaTheme="majorEastAsia"/>
          <w:color w:val="auto"/>
          <w:sz w:val="22"/>
          <w:szCs w:val="22"/>
          <w:highlight w:val="none"/>
        </w:rPr>
      </w:pPr>
      <w:r>
        <w:rPr>
          <w:rFonts w:cs="Courier New" w:asciiTheme="majorEastAsia" w:hAnsiTheme="majorEastAsia" w:eastAsiaTheme="majorEastAsia"/>
          <w:color w:val="auto"/>
          <w:sz w:val="22"/>
          <w:szCs w:val="22"/>
          <w:highlight w:val="none"/>
        </w:rPr>
        <w:t>投标供应商（盖章） ：</w:t>
      </w:r>
    </w:p>
    <w:p>
      <w:pPr>
        <w:spacing w:line="460" w:lineRule="atLeast"/>
        <w:ind w:firstLine="440"/>
        <w:rPr>
          <w:rFonts w:asciiTheme="majorEastAsia" w:hAnsiTheme="majorEastAsia" w:eastAsiaTheme="majorEastAsia"/>
          <w:color w:val="auto"/>
          <w:sz w:val="36"/>
          <w:highlight w:val="none"/>
        </w:rPr>
      </w:pPr>
      <w:r>
        <w:rPr>
          <w:rFonts w:cs="Courier New" w:asciiTheme="majorEastAsia" w:hAnsiTheme="majorEastAsia" w:eastAsiaTheme="majorEastAsia"/>
          <w:color w:val="auto"/>
          <w:sz w:val="22"/>
          <w:szCs w:val="22"/>
          <w:highlight w:val="none"/>
        </w:rPr>
        <w:t>日期：</w:t>
      </w:r>
    </w:p>
    <w:p>
      <w:pPr>
        <w:widowControl/>
        <w:snapToGrid w:val="0"/>
        <w:spacing w:line="460" w:lineRule="exact"/>
        <w:ind w:firstLine="440" w:firstLineChars="200"/>
        <w:jc w:val="left"/>
        <w:rPr>
          <w:rFonts w:cs="Courier New" w:asciiTheme="majorEastAsia" w:hAnsiTheme="majorEastAsia" w:eastAsiaTheme="majorEastAsia"/>
          <w:color w:val="auto"/>
          <w:sz w:val="22"/>
          <w:szCs w:val="22"/>
          <w:highlight w:val="none"/>
        </w:rPr>
      </w:pPr>
    </w:p>
    <w:p>
      <w:pPr>
        <w:widowControl/>
        <w:spacing w:line="460" w:lineRule="atLeast"/>
        <w:jc w:val="left"/>
        <w:rPr>
          <w:rFonts w:asciiTheme="majorEastAsia" w:hAnsiTheme="majorEastAsia" w:eastAsiaTheme="majorEastAsia"/>
          <w:b/>
          <w:bCs/>
          <w:color w:val="auto"/>
          <w:sz w:val="22"/>
          <w:szCs w:val="22"/>
          <w:highlight w:val="none"/>
        </w:rPr>
      </w:pPr>
      <w:bookmarkStart w:id="117" w:name="_Toc509485354"/>
      <w:r>
        <w:rPr>
          <w:rFonts w:asciiTheme="majorEastAsia" w:hAnsiTheme="majorEastAsia" w:eastAsiaTheme="majorEastAsia"/>
          <w:color w:val="auto"/>
          <w:sz w:val="22"/>
          <w:szCs w:val="22"/>
          <w:highlight w:val="none"/>
        </w:rPr>
        <w:br w:type="page"/>
      </w:r>
      <w:r>
        <w:rPr>
          <w:rFonts w:hint="eastAsia" w:asciiTheme="majorEastAsia" w:hAnsiTheme="majorEastAsia" w:eastAsiaTheme="majorEastAsia"/>
          <w:b/>
          <w:color w:val="auto"/>
          <w:sz w:val="22"/>
          <w:szCs w:val="22"/>
          <w:highlight w:val="none"/>
        </w:rPr>
        <w:t>附件</w:t>
      </w:r>
      <w:bookmarkEnd w:id="117"/>
      <w:r>
        <w:rPr>
          <w:rFonts w:hint="eastAsia" w:asciiTheme="majorEastAsia" w:hAnsiTheme="majorEastAsia" w:eastAsiaTheme="majorEastAsia"/>
          <w:b/>
          <w:color w:val="auto"/>
          <w:sz w:val="22"/>
          <w:szCs w:val="22"/>
          <w:highlight w:val="none"/>
        </w:rPr>
        <w:t>三</w:t>
      </w:r>
    </w:p>
    <w:p>
      <w:pPr>
        <w:pStyle w:val="40"/>
        <w:rPr>
          <w:rFonts w:asciiTheme="majorEastAsia" w:hAnsiTheme="majorEastAsia" w:eastAsiaTheme="majorEastAsia"/>
          <w:color w:val="auto"/>
          <w:highlight w:val="none"/>
        </w:rPr>
      </w:pPr>
      <w:bookmarkStart w:id="118" w:name="_Toc459450868"/>
      <w:bookmarkStart w:id="119" w:name="_Toc19204522"/>
      <w:bookmarkStart w:id="120" w:name="_Toc42243289"/>
      <w:bookmarkStart w:id="121" w:name="_Toc9334951"/>
      <w:bookmarkStart w:id="122" w:name="_Toc430717503"/>
      <w:bookmarkStart w:id="123" w:name="_Toc87518592"/>
      <w:bookmarkStart w:id="124" w:name="_Toc68188794"/>
      <w:bookmarkStart w:id="125" w:name="_Toc26971"/>
      <w:bookmarkStart w:id="126" w:name="_Toc68187558"/>
      <w:bookmarkStart w:id="127" w:name="_Toc42678697"/>
      <w:bookmarkStart w:id="128" w:name="_Toc96970928"/>
      <w:bookmarkStart w:id="129" w:name="_Toc42678031"/>
      <w:bookmarkStart w:id="130" w:name="_Toc402361081"/>
      <w:bookmarkStart w:id="131" w:name="_Toc65830027"/>
      <w:bookmarkStart w:id="132" w:name="_Toc438150553"/>
      <w:bookmarkStart w:id="133" w:name="_Toc404262445"/>
      <w:bookmarkStart w:id="134" w:name="_Toc410055446"/>
      <w:bookmarkStart w:id="135" w:name="_Toc42678186"/>
      <w:bookmarkStart w:id="136" w:name="_Toc522469121"/>
      <w:bookmarkStart w:id="137" w:name="_Toc491606420"/>
      <w:bookmarkStart w:id="138" w:name="_Toc496618934"/>
      <w:bookmarkStart w:id="139" w:name="_Toc61444218"/>
      <w:bookmarkStart w:id="140" w:name="_Toc65590099"/>
      <w:bookmarkStart w:id="141" w:name="_Toc7382"/>
      <w:bookmarkStart w:id="142" w:name="_Toc459361857"/>
      <w:bookmarkStart w:id="143" w:name="_Toc518512536"/>
      <w:bookmarkStart w:id="144" w:name="_Toc68189108"/>
      <w:bookmarkStart w:id="145" w:name="_Toc855"/>
      <w:bookmarkStart w:id="146" w:name="_Toc427581337"/>
      <w:bookmarkStart w:id="147" w:name="_Toc42678618"/>
      <w:bookmarkStart w:id="148" w:name="_Toc15893"/>
      <w:bookmarkStart w:id="149" w:name="_Toc97033070"/>
      <w:bookmarkStart w:id="150" w:name="_Toc402360964"/>
      <w:bookmarkStart w:id="151" w:name="_Toc511045483"/>
      <w:bookmarkStart w:id="152" w:name="_Toc87518415"/>
      <w:bookmarkStart w:id="153" w:name="_Toc65830023"/>
      <w:bookmarkStart w:id="154" w:name="_Toc65590095"/>
      <w:bookmarkStart w:id="155" w:name="_Toc42678693"/>
      <w:bookmarkStart w:id="156" w:name="_Toc42243285"/>
      <w:r>
        <w:rPr>
          <w:rFonts w:hint="eastAsia" w:asciiTheme="majorEastAsia" w:hAnsiTheme="majorEastAsia" w:eastAsiaTheme="majorEastAsia"/>
          <w:color w:val="auto"/>
          <w:highlight w:val="none"/>
        </w:rPr>
        <w:t>法定代表人授权书</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spacing w:line="480" w:lineRule="auto"/>
        <w:rPr>
          <w:rFonts w:asciiTheme="majorEastAsia" w:hAnsiTheme="majorEastAsia" w:eastAsiaTheme="majorEastAsia"/>
          <w:b/>
          <w:color w:val="auto"/>
          <w:sz w:val="22"/>
          <w:szCs w:val="22"/>
          <w:highlight w:val="none"/>
        </w:rPr>
      </w:pPr>
      <w:r>
        <w:rPr>
          <w:rFonts w:hint="eastAsia" w:asciiTheme="majorEastAsia" w:hAnsiTheme="majorEastAsia" w:eastAsiaTheme="majorEastAsia"/>
          <w:b/>
          <w:color w:val="auto"/>
          <w:sz w:val="22"/>
          <w:szCs w:val="22"/>
          <w:highlight w:val="none"/>
          <w:u w:val="single"/>
        </w:rPr>
        <w:t>（采购人名称）</w:t>
      </w:r>
      <w:r>
        <w:rPr>
          <w:rFonts w:hint="eastAsia" w:asciiTheme="majorEastAsia" w:hAnsiTheme="majorEastAsia" w:eastAsiaTheme="majorEastAsia"/>
          <w:b/>
          <w:color w:val="auto"/>
          <w:sz w:val="22"/>
          <w:szCs w:val="22"/>
          <w:highlight w:val="none"/>
          <w:lang w:val="zh-CN"/>
        </w:rPr>
        <w:t>：</w:t>
      </w:r>
    </w:p>
    <w:p>
      <w:pPr>
        <w:spacing w:line="480" w:lineRule="auto"/>
        <w:ind w:firstLine="440" w:firstLineChars="200"/>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本授权委托书声明：我</w:t>
      </w:r>
      <w:r>
        <w:rPr>
          <w:rFonts w:hint="eastAsia" w:asciiTheme="majorEastAsia" w:hAnsiTheme="majorEastAsia" w:eastAsiaTheme="majorEastAsia"/>
          <w:color w:val="auto"/>
          <w:sz w:val="22"/>
          <w:szCs w:val="22"/>
          <w:highlight w:val="none"/>
          <w:u w:val="single"/>
        </w:rPr>
        <w:t xml:space="preserve">   （法定代表人姓名）   </w:t>
      </w:r>
      <w:r>
        <w:rPr>
          <w:rFonts w:hint="eastAsia" w:asciiTheme="majorEastAsia" w:hAnsiTheme="majorEastAsia" w:eastAsiaTheme="majorEastAsia"/>
          <w:color w:val="auto"/>
          <w:sz w:val="22"/>
          <w:szCs w:val="22"/>
          <w:highlight w:val="none"/>
        </w:rPr>
        <w:t>系</w:t>
      </w:r>
      <w:r>
        <w:rPr>
          <w:rFonts w:hint="eastAsia" w:asciiTheme="majorEastAsia" w:hAnsiTheme="majorEastAsia" w:eastAsiaTheme="majorEastAsia"/>
          <w:color w:val="auto"/>
          <w:sz w:val="22"/>
          <w:szCs w:val="22"/>
          <w:highlight w:val="none"/>
          <w:u w:val="single"/>
        </w:rPr>
        <w:t xml:space="preserve">   （供 应 商 名 称）  </w:t>
      </w:r>
      <w:r>
        <w:rPr>
          <w:rFonts w:hint="eastAsia" w:asciiTheme="majorEastAsia" w:hAnsiTheme="majorEastAsia" w:eastAsiaTheme="majorEastAsia"/>
          <w:color w:val="auto"/>
          <w:sz w:val="22"/>
          <w:szCs w:val="22"/>
          <w:highlight w:val="none"/>
        </w:rPr>
        <w:t>的法定代表人，现授权委托</w:t>
      </w:r>
      <w:r>
        <w:rPr>
          <w:rFonts w:hint="eastAsia" w:asciiTheme="majorEastAsia" w:hAnsiTheme="majorEastAsia" w:eastAsiaTheme="majorEastAsia"/>
          <w:color w:val="auto"/>
          <w:sz w:val="22"/>
          <w:szCs w:val="22"/>
          <w:highlight w:val="none"/>
          <w:u w:val="single"/>
        </w:rPr>
        <w:t xml:space="preserve">  （单 位 名 称）   </w:t>
      </w:r>
      <w:r>
        <w:rPr>
          <w:rFonts w:hint="eastAsia" w:asciiTheme="majorEastAsia" w:hAnsiTheme="majorEastAsia" w:eastAsiaTheme="majorEastAsia"/>
          <w:color w:val="auto"/>
          <w:sz w:val="22"/>
          <w:szCs w:val="22"/>
          <w:highlight w:val="none"/>
        </w:rPr>
        <w:t>的</w:t>
      </w:r>
      <w:r>
        <w:rPr>
          <w:rFonts w:hint="eastAsia" w:asciiTheme="majorEastAsia" w:hAnsiTheme="majorEastAsia" w:eastAsiaTheme="majorEastAsia"/>
          <w:color w:val="auto"/>
          <w:sz w:val="22"/>
          <w:szCs w:val="22"/>
          <w:highlight w:val="none"/>
          <w:u w:val="single"/>
        </w:rPr>
        <w:t xml:space="preserve">  （授权代表姓名）  </w:t>
      </w:r>
      <w:r>
        <w:rPr>
          <w:rFonts w:hint="eastAsia" w:asciiTheme="majorEastAsia" w:hAnsiTheme="majorEastAsia" w:eastAsiaTheme="majorEastAsia"/>
          <w:color w:val="auto"/>
          <w:sz w:val="22"/>
          <w:szCs w:val="22"/>
          <w:highlight w:val="none"/>
        </w:rPr>
        <w:t>为我公司法定代表人授权代表，参加贵处组织的</w:t>
      </w:r>
      <w:r>
        <w:rPr>
          <w:rFonts w:hint="eastAsia" w:asciiTheme="majorEastAsia" w:hAnsiTheme="majorEastAsia" w:eastAsiaTheme="majorEastAsia"/>
          <w:color w:val="auto"/>
          <w:sz w:val="22"/>
          <w:szCs w:val="22"/>
          <w:highlight w:val="none"/>
          <w:u w:val="single"/>
        </w:rPr>
        <w:t xml:space="preserve">  （招标项目名称，括号中填写项目编号）  </w:t>
      </w:r>
      <w:r>
        <w:rPr>
          <w:rFonts w:hint="eastAsia" w:asciiTheme="majorEastAsia" w:hAnsiTheme="majorEastAsia" w:eastAsiaTheme="majorEastAsia"/>
          <w:color w:val="auto"/>
          <w:sz w:val="22"/>
          <w:szCs w:val="22"/>
          <w:highlight w:val="none"/>
        </w:rPr>
        <w:t>项目投标，全权处理本次招投标活动中的一切事宜，我承认授权代表全权代表我所签署的本项目的投标文件的内容。</w:t>
      </w:r>
    </w:p>
    <w:p>
      <w:pPr>
        <w:spacing w:line="480" w:lineRule="auto"/>
        <w:ind w:firstLine="440" w:firstLineChars="200"/>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授权代表无转授权，特此授权</w:t>
      </w:r>
    </w:p>
    <w:p>
      <w:pPr>
        <w:spacing w:line="360" w:lineRule="auto"/>
        <w:ind w:left="1260"/>
        <w:rPr>
          <w:rFonts w:asciiTheme="majorEastAsia" w:hAnsiTheme="majorEastAsia" w:eastAsiaTheme="majorEastAsia"/>
          <w:color w:val="auto"/>
          <w:sz w:val="22"/>
          <w:szCs w:val="22"/>
          <w:highlight w:val="none"/>
        </w:rPr>
      </w:pPr>
    </w:p>
    <w:p>
      <w:pPr>
        <w:spacing w:line="480" w:lineRule="auto"/>
        <w:ind w:left="2100" w:leftChars="1000" w:firstLine="440" w:firstLineChars="200"/>
        <w:rPr>
          <w:rFonts w:asciiTheme="majorEastAsia" w:hAnsiTheme="majorEastAsia" w:eastAsiaTheme="majorEastAsia"/>
          <w:color w:val="auto"/>
          <w:sz w:val="22"/>
          <w:szCs w:val="22"/>
          <w:highlight w:val="none"/>
          <w:u w:val="single"/>
        </w:rPr>
      </w:pPr>
      <w:r>
        <w:rPr>
          <w:rFonts w:hint="eastAsia" w:asciiTheme="majorEastAsia" w:hAnsiTheme="majorEastAsia" w:eastAsiaTheme="majorEastAsia"/>
          <w:color w:val="auto"/>
          <w:sz w:val="22"/>
          <w:szCs w:val="22"/>
          <w:highlight w:val="none"/>
        </w:rPr>
        <w:t>授权代表： 性别 ：</w:t>
      </w:r>
    </w:p>
    <w:p>
      <w:pPr>
        <w:spacing w:line="480" w:lineRule="auto"/>
        <w:ind w:left="2100" w:leftChars="1000" w:firstLine="440" w:firstLineChars="200"/>
        <w:rPr>
          <w:rFonts w:asciiTheme="majorEastAsia" w:hAnsiTheme="majorEastAsia" w:eastAsiaTheme="majorEastAsia"/>
          <w:color w:val="auto"/>
          <w:sz w:val="22"/>
          <w:szCs w:val="22"/>
          <w:highlight w:val="none"/>
          <w:u w:val="single"/>
        </w:rPr>
      </w:pPr>
      <w:r>
        <w:rPr>
          <w:rFonts w:hint="eastAsia" w:asciiTheme="majorEastAsia" w:hAnsiTheme="majorEastAsia" w:eastAsiaTheme="majorEastAsia"/>
          <w:color w:val="auto"/>
          <w:sz w:val="22"/>
          <w:szCs w:val="22"/>
          <w:highlight w:val="none"/>
        </w:rPr>
        <w:t>职务：年龄：</w:t>
      </w:r>
    </w:p>
    <w:p>
      <w:pPr>
        <w:spacing w:line="480" w:lineRule="auto"/>
        <w:ind w:left="2100" w:leftChars="1000" w:firstLine="440" w:firstLineChars="200"/>
        <w:rPr>
          <w:rFonts w:asciiTheme="majorEastAsia" w:hAnsiTheme="majorEastAsia" w:eastAsiaTheme="majorEastAsia"/>
          <w:color w:val="auto"/>
          <w:sz w:val="22"/>
          <w:szCs w:val="22"/>
          <w:highlight w:val="none"/>
          <w:u w:val="single"/>
        </w:rPr>
      </w:pPr>
      <w:r>
        <w:rPr>
          <w:rFonts w:hint="eastAsia" w:asciiTheme="majorEastAsia" w:hAnsiTheme="majorEastAsia" w:eastAsiaTheme="majorEastAsia"/>
          <w:color w:val="auto"/>
          <w:sz w:val="22"/>
          <w:szCs w:val="22"/>
          <w:highlight w:val="none"/>
        </w:rPr>
        <w:t>详细通讯地址： 邮政编码：</w:t>
      </w:r>
    </w:p>
    <w:p>
      <w:pPr>
        <w:spacing w:line="480" w:lineRule="auto"/>
        <w:ind w:left="1" w:firstLine="2510" w:firstLineChars="1141"/>
        <w:rPr>
          <w:rFonts w:asciiTheme="majorEastAsia" w:hAnsiTheme="majorEastAsia" w:eastAsiaTheme="majorEastAsia"/>
          <w:color w:val="auto"/>
          <w:sz w:val="22"/>
          <w:szCs w:val="22"/>
          <w:highlight w:val="none"/>
          <w:u w:val="single"/>
        </w:rPr>
      </w:pPr>
      <w:r>
        <w:rPr>
          <w:rFonts w:hint="eastAsia" w:asciiTheme="majorEastAsia" w:hAnsiTheme="majorEastAsia" w:eastAsiaTheme="majorEastAsia"/>
          <w:color w:val="auto"/>
          <w:sz w:val="22"/>
          <w:szCs w:val="22"/>
          <w:highlight w:val="none"/>
        </w:rPr>
        <w:t>电话： 传真：</w:t>
      </w:r>
    </w:p>
    <w:p>
      <w:pPr>
        <w:spacing w:line="480" w:lineRule="auto"/>
        <w:ind w:left="1" w:firstLine="422" w:firstLineChars="192"/>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 xml:space="preserve">                   投标供应商：</w:t>
      </w:r>
      <w:r>
        <w:rPr>
          <w:rFonts w:hint="eastAsia" w:asciiTheme="majorEastAsia" w:hAnsiTheme="majorEastAsia" w:eastAsiaTheme="majorEastAsia"/>
          <w:color w:val="auto"/>
          <w:sz w:val="22"/>
          <w:szCs w:val="22"/>
          <w:highlight w:val="none"/>
          <w:u w:val="single"/>
        </w:rPr>
        <w:t xml:space="preserve">                              （盖章）</w:t>
      </w:r>
    </w:p>
    <w:p>
      <w:pPr>
        <w:spacing w:line="480" w:lineRule="auto"/>
        <w:ind w:left="2100" w:right="440"/>
        <w:jc w:val="center"/>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 xml:space="preserve">   法定代表人：</w:t>
      </w:r>
      <w:r>
        <w:rPr>
          <w:rFonts w:hint="eastAsia" w:asciiTheme="majorEastAsia" w:hAnsiTheme="majorEastAsia" w:eastAsiaTheme="majorEastAsia"/>
          <w:color w:val="auto"/>
          <w:sz w:val="22"/>
          <w:szCs w:val="22"/>
          <w:highlight w:val="none"/>
          <w:u w:val="single"/>
        </w:rPr>
        <w:t xml:space="preserve">                        （签字或盖章）</w:t>
      </w:r>
    </w:p>
    <w:p>
      <w:pPr>
        <w:spacing w:line="480" w:lineRule="auto"/>
        <w:ind w:right="440" w:firstLine="3300" w:firstLineChars="1500"/>
        <w:jc w:val="right"/>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授权委托日期：年 月日</w:t>
      </w:r>
    </w:p>
    <w:tbl>
      <w:tblPr>
        <w:tblStyle w:val="43"/>
        <w:tblW w:w="7720" w:type="dxa"/>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trPr>
        <w:tc>
          <w:tcPr>
            <w:tcW w:w="7720" w:type="dxa"/>
          </w:tcPr>
          <w:p>
            <w:pPr>
              <w:pStyle w:val="24"/>
              <w:spacing w:line="440" w:lineRule="atLeast"/>
              <w:rPr>
                <w:rFonts w:asciiTheme="majorEastAsia" w:hAnsiTheme="majorEastAsia" w:eastAsiaTheme="majorEastAsia"/>
                <w:b/>
                <w:color w:val="auto"/>
                <w:sz w:val="36"/>
                <w:highlight w:val="none"/>
              </w:rPr>
            </w:pPr>
          </w:p>
          <w:p>
            <w:pPr>
              <w:pStyle w:val="24"/>
              <w:spacing w:line="440" w:lineRule="atLeast"/>
              <w:jc w:val="center"/>
              <w:rPr>
                <w:rFonts w:asciiTheme="majorEastAsia" w:hAnsiTheme="majorEastAsia" w:eastAsiaTheme="majorEastAsia"/>
                <w:b/>
                <w:color w:val="auto"/>
                <w:sz w:val="36"/>
                <w:highlight w:val="none"/>
              </w:rPr>
            </w:pPr>
          </w:p>
          <w:p>
            <w:pPr>
              <w:pStyle w:val="24"/>
              <w:spacing w:line="440" w:lineRule="atLeast"/>
              <w:jc w:val="center"/>
              <w:rPr>
                <w:rFonts w:asciiTheme="majorEastAsia" w:hAnsiTheme="majorEastAsia" w:eastAsiaTheme="majorEastAsia"/>
                <w:b/>
                <w:color w:val="auto"/>
                <w:sz w:val="36"/>
                <w:highlight w:val="none"/>
              </w:rPr>
            </w:pPr>
          </w:p>
          <w:p>
            <w:pPr>
              <w:pStyle w:val="24"/>
              <w:spacing w:line="440" w:lineRule="atLeast"/>
              <w:jc w:val="center"/>
              <w:rPr>
                <w:rFonts w:asciiTheme="majorEastAsia" w:hAnsiTheme="majorEastAsia" w:eastAsiaTheme="majorEastAsia"/>
                <w:b/>
                <w:color w:val="auto"/>
                <w:sz w:val="36"/>
                <w:highlight w:val="none"/>
              </w:rPr>
            </w:pPr>
          </w:p>
          <w:p>
            <w:pPr>
              <w:pStyle w:val="24"/>
              <w:spacing w:line="440" w:lineRule="atLeast"/>
              <w:jc w:val="center"/>
              <w:rPr>
                <w:rFonts w:asciiTheme="majorEastAsia" w:hAnsiTheme="majorEastAsia" w:eastAsiaTheme="majorEastAsia"/>
                <w:b/>
                <w:color w:val="auto"/>
                <w:sz w:val="36"/>
                <w:highlight w:val="none"/>
              </w:rPr>
            </w:pPr>
            <w:r>
              <w:rPr>
                <w:rFonts w:hint="eastAsia" w:asciiTheme="majorEastAsia" w:hAnsiTheme="majorEastAsia" w:eastAsiaTheme="majorEastAsia"/>
                <w:color w:val="auto"/>
                <w:sz w:val="36"/>
                <w:highlight w:val="none"/>
              </w:rPr>
              <w:t>（授权代表身份证扫描件或影印件）</w:t>
            </w:r>
          </w:p>
          <w:p>
            <w:pPr>
              <w:pStyle w:val="24"/>
              <w:spacing w:line="440" w:lineRule="atLeast"/>
              <w:ind w:left="5271" w:firstLine="1084" w:firstLineChars="300"/>
              <w:rPr>
                <w:rFonts w:asciiTheme="majorEastAsia" w:hAnsiTheme="majorEastAsia" w:eastAsiaTheme="majorEastAsia"/>
                <w:b/>
                <w:color w:val="auto"/>
                <w:sz w:val="36"/>
                <w:highlight w:val="none"/>
              </w:rPr>
            </w:pPr>
          </w:p>
        </w:tc>
      </w:tr>
    </w:tbl>
    <w:p>
      <w:pPr>
        <w:pStyle w:val="40"/>
        <w:rPr>
          <w:rFonts w:asciiTheme="majorEastAsia" w:hAnsiTheme="majorEastAsia" w:eastAsiaTheme="majorEastAsia"/>
          <w:color w:val="auto"/>
          <w:highlight w:val="none"/>
        </w:rPr>
      </w:pPr>
      <w:bookmarkStart w:id="157" w:name="_Toc3526"/>
      <w:r>
        <w:rPr>
          <w:rFonts w:hint="eastAsia" w:asciiTheme="majorEastAsia" w:hAnsiTheme="majorEastAsia" w:eastAsiaTheme="majorEastAsia"/>
          <w:color w:val="auto"/>
          <w:highlight w:val="none"/>
        </w:rPr>
        <w:t>二、报价文件部分格式</w:t>
      </w:r>
      <w:bookmarkEnd w:id="153"/>
      <w:bookmarkEnd w:id="154"/>
      <w:bookmarkEnd w:id="155"/>
      <w:bookmarkEnd w:id="156"/>
      <w:bookmarkEnd w:id="157"/>
    </w:p>
    <w:p>
      <w:pPr>
        <w:widowControl/>
        <w:spacing w:line="460" w:lineRule="atLeast"/>
        <w:jc w:val="left"/>
        <w:rPr>
          <w:rFonts w:asciiTheme="majorEastAsia" w:hAnsiTheme="majorEastAsia" w:eastAsiaTheme="majorEastAsia"/>
          <w:b/>
          <w:bCs/>
          <w:color w:val="auto"/>
          <w:sz w:val="22"/>
          <w:szCs w:val="22"/>
          <w:highlight w:val="none"/>
        </w:rPr>
      </w:pPr>
      <w:r>
        <w:rPr>
          <w:rFonts w:hint="eastAsia" w:asciiTheme="majorEastAsia" w:hAnsiTheme="majorEastAsia" w:eastAsiaTheme="majorEastAsia"/>
          <w:b/>
          <w:color w:val="auto"/>
          <w:sz w:val="22"/>
          <w:szCs w:val="22"/>
          <w:highlight w:val="none"/>
        </w:rPr>
        <w:t>附</w:t>
      </w:r>
      <w:bookmarkStart w:id="158" w:name="_Toc413747701"/>
      <w:r>
        <w:rPr>
          <w:rFonts w:hint="eastAsia" w:asciiTheme="majorEastAsia" w:hAnsiTheme="majorEastAsia" w:eastAsiaTheme="majorEastAsia"/>
          <w:b/>
          <w:color w:val="auto"/>
          <w:sz w:val="22"/>
          <w:szCs w:val="22"/>
          <w:highlight w:val="none"/>
        </w:rPr>
        <w:t>件</w:t>
      </w:r>
      <w:bookmarkEnd w:id="158"/>
      <w:r>
        <w:rPr>
          <w:rFonts w:hint="eastAsia" w:asciiTheme="majorEastAsia" w:hAnsiTheme="majorEastAsia" w:eastAsiaTheme="majorEastAsia"/>
          <w:b/>
          <w:color w:val="auto"/>
          <w:sz w:val="22"/>
          <w:szCs w:val="22"/>
          <w:highlight w:val="none"/>
        </w:rPr>
        <w:t>四</w:t>
      </w:r>
    </w:p>
    <w:p>
      <w:pPr>
        <w:pStyle w:val="40"/>
        <w:rPr>
          <w:rFonts w:asciiTheme="majorEastAsia" w:hAnsiTheme="majorEastAsia" w:eastAsiaTheme="majorEastAsia"/>
          <w:color w:val="auto"/>
          <w:sz w:val="22"/>
          <w:szCs w:val="22"/>
          <w:highlight w:val="none"/>
        </w:rPr>
      </w:pPr>
      <w:bookmarkStart w:id="159" w:name="_Toc65590096"/>
      <w:bookmarkStart w:id="160" w:name="_Toc10399"/>
      <w:bookmarkStart w:id="161" w:name="_Toc42678694"/>
      <w:bookmarkStart w:id="162" w:name="_Toc68187555"/>
      <w:bookmarkStart w:id="163" w:name="_Toc522469114"/>
      <w:bookmarkStart w:id="164" w:name="_Toc96970930"/>
      <w:bookmarkStart w:id="165" w:name="_Toc65830024"/>
      <w:bookmarkStart w:id="166" w:name="_Toc496618930"/>
      <w:bookmarkStart w:id="167" w:name="_Toc68188791"/>
      <w:bookmarkStart w:id="168" w:name="_Toc19204519"/>
      <w:bookmarkStart w:id="169" w:name="_Toc87518594"/>
      <w:bookmarkStart w:id="170" w:name="_Toc42678183"/>
      <w:bookmarkStart w:id="171" w:name="_Toc61444215"/>
      <w:bookmarkStart w:id="172" w:name="_Toc511045476"/>
      <w:bookmarkStart w:id="173" w:name="_Toc22422"/>
      <w:bookmarkStart w:id="174" w:name="_Toc42678615"/>
      <w:bookmarkStart w:id="175" w:name="_Toc87518417"/>
      <w:bookmarkStart w:id="176" w:name="_Toc42678028"/>
      <w:bookmarkStart w:id="177" w:name="_Toc9334945"/>
      <w:bookmarkStart w:id="178" w:name="_Toc518512529"/>
      <w:bookmarkStart w:id="179" w:name="_Toc42243286"/>
      <w:bookmarkStart w:id="180" w:name="_Toc97033072"/>
      <w:bookmarkStart w:id="181" w:name="_Toc68189105"/>
      <w:bookmarkStart w:id="182" w:name="_Toc20005"/>
      <w:bookmarkStart w:id="183" w:name="_Toc7030"/>
      <w:r>
        <w:rPr>
          <w:rFonts w:hint="eastAsia" w:asciiTheme="majorEastAsia" w:hAnsiTheme="majorEastAsia" w:eastAsiaTheme="majorEastAsia"/>
          <w:color w:val="auto"/>
          <w:sz w:val="22"/>
          <w:szCs w:val="22"/>
          <w:highlight w:val="none"/>
        </w:rPr>
        <w:t>报价一览表</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autoSpaceDE w:val="0"/>
        <w:autoSpaceDN w:val="0"/>
        <w:adjustRightInd w:val="0"/>
        <w:rPr>
          <w:rFonts w:ascii="宋体" w:eastAsia="宋体"/>
          <w:color w:val="auto"/>
          <w:sz w:val="22"/>
          <w:szCs w:val="22"/>
          <w:highlight w:val="none"/>
          <w:u w:val="single"/>
          <w:lang w:val="zh-CN"/>
        </w:rPr>
      </w:pPr>
      <w:r>
        <w:rPr>
          <w:rFonts w:hint="eastAsia" w:ascii="宋体"/>
          <w:color w:val="auto"/>
          <w:sz w:val="22"/>
          <w:szCs w:val="22"/>
          <w:highlight w:val="none"/>
          <w:lang w:val="zh-CN"/>
        </w:rPr>
        <w:t>投标供应商</w:t>
      </w:r>
      <w:r>
        <w:rPr>
          <w:rFonts w:hint="eastAsia" w:ascii="宋体" w:eastAsia="宋体"/>
          <w:color w:val="auto"/>
          <w:sz w:val="22"/>
          <w:szCs w:val="22"/>
          <w:highlight w:val="none"/>
          <w:lang w:val="zh-CN"/>
        </w:rPr>
        <w:t>名称：</w:t>
      </w:r>
      <w:r>
        <w:rPr>
          <w:rFonts w:ascii="宋体" w:eastAsia="宋体"/>
          <w:color w:val="auto"/>
          <w:sz w:val="22"/>
          <w:szCs w:val="22"/>
          <w:highlight w:val="none"/>
          <w:u w:val="single"/>
          <w:lang w:val="zh-CN"/>
        </w:rPr>
        <w:t xml:space="preserve">             </w:t>
      </w:r>
      <w:r>
        <w:rPr>
          <w:rFonts w:ascii="宋体" w:eastAsia="宋体"/>
          <w:color w:val="auto"/>
          <w:sz w:val="22"/>
          <w:szCs w:val="22"/>
          <w:highlight w:val="none"/>
          <w:lang w:val="zh-CN"/>
        </w:rPr>
        <w:t xml:space="preserve">     </w:t>
      </w:r>
      <w:r>
        <w:rPr>
          <w:rFonts w:hint="eastAsia" w:ascii="宋体" w:eastAsia="宋体"/>
          <w:color w:val="auto"/>
          <w:sz w:val="22"/>
          <w:szCs w:val="22"/>
          <w:highlight w:val="none"/>
          <w:lang w:val="zh-CN"/>
        </w:rPr>
        <w:t>采购编号：</w:t>
      </w:r>
      <w:r>
        <w:rPr>
          <w:rFonts w:ascii="宋体" w:eastAsia="宋体"/>
          <w:color w:val="auto"/>
          <w:sz w:val="22"/>
          <w:szCs w:val="22"/>
          <w:highlight w:val="none"/>
          <w:u w:val="single"/>
          <w:lang w:val="zh-CN"/>
        </w:rPr>
        <w:t xml:space="preserve">         </w:t>
      </w:r>
      <w:r>
        <w:rPr>
          <w:rFonts w:ascii="宋体" w:eastAsia="宋体"/>
          <w:color w:val="auto"/>
          <w:sz w:val="22"/>
          <w:szCs w:val="22"/>
          <w:highlight w:val="none"/>
          <w:lang w:val="zh-CN"/>
        </w:rPr>
        <w:t xml:space="preserve">  </w:t>
      </w:r>
      <w:r>
        <w:rPr>
          <w:rFonts w:hint="eastAsia" w:ascii="宋体" w:eastAsia="宋体"/>
          <w:color w:val="auto"/>
          <w:sz w:val="22"/>
          <w:szCs w:val="22"/>
          <w:highlight w:val="none"/>
          <w:lang w:val="zh-CN"/>
        </w:rPr>
        <w:t xml:space="preserve">  报价单位：</w:t>
      </w:r>
      <w:r>
        <w:rPr>
          <w:rFonts w:hint="eastAsia" w:ascii="宋体" w:eastAsia="宋体"/>
          <w:color w:val="auto"/>
          <w:sz w:val="22"/>
          <w:szCs w:val="22"/>
          <w:highlight w:val="none"/>
          <w:u w:val="single"/>
          <w:lang w:val="zh-CN"/>
        </w:rPr>
        <w:t>人民币元</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3362"/>
        <w:gridCol w:w="3678"/>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46" w:type="dxa"/>
            <w:noWrap w:val="0"/>
            <w:vAlign w:val="center"/>
          </w:tcPr>
          <w:p>
            <w:pPr>
              <w:spacing w:line="440" w:lineRule="exact"/>
              <w:jc w:val="center"/>
              <w:rPr>
                <w:rFonts w:ascii="宋体" w:eastAsia="宋体"/>
                <w:bCs w:val="0"/>
                <w:color w:val="auto"/>
                <w:sz w:val="22"/>
                <w:szCs w:val="22"/>
                <w:highlight w:val="none"/>
              </w:rPr>
            </w:pPr>
            <w:r>
              <w:rPr>
                <w:rFonts w:hint="eastAsia" w:ascii="宋体" w:eastAsia="宋体"/>
                <w:color w:val="auto"/>
                <w:sz w:val="22"/>
                <w:szCs w:val="22"/>
                <w:highlight w:val="none"/>
              </w:rPr>
              <w:t>序号</w:t>
            </w:r>
          </w:p>
        </w:tc>
        <w:tc>
          <w:tcPr>
            <w:tcW w:w="3362" w:type="dxa"/>
            <w:noWrap w:val="0"/>
            <w:vAlign w:val="center"/>
          </w:tcPr>
          <w:p>
            <w:pPr>
              <w:spacing w:line="440" w:lineRule="exact"/>
              <w:jc w:val="center"/>
              <w:rPr>
                <w:rFonts w:ascii="宋体" w:eastAsia="宋体"/>
                <w:bCs w:val="0"/>
                <w:color w:val="auto"/>
                <w:sz w:val="22"/>
                <w:szCs w:val="22"/>
                <w:highlight w:val="none"/>
              </w:rPr>
            </w:pPr>
            <w:r>
              <w:rPr>
                <w:rFonts w:hint="eastAsia" w:ascii="宋体" w:eastAsia="宋体"/>
                <w:color w:val="auto"/>
                <w:sz w:val="22"/>
                <w:szCs w:val="22"/>
                <w:highlight w:val="none"/>
              </w:rPr>
              <w:t>疗休养线路</w:t>
            </w:r>
          </w:p>
        </w:tc>
        <w:tc>
          <w:tcPr>
            <w:tcW w:w="3678" w:type="dxa"/>
            <w:noWrap w:val="0"/>
            <w:vAlign w:val="center"/>
          </w:tcPr>
          <w:p>
            <w:pPr>
              <w:pStyle w:val="24"/>
              <w:spacing w:line="440" w:lineRule="exact"/>
              <w:jc w:val="center"/>
              <w:rPr>
                <w:rFonts w:hAnsi="宋体" w:eastAsia="宋体"/>
                <w:color w:val="auto"/>
                <w:sz w:val="22"/>
                <w:szCs w:val="22"/>
                <w:highlight w:val="none"/>
              </w:rPr>
            </w:pPr>
            <w:r>
              <w:rPr>
                <w:rFonts w:hint="eastAsia" w:hAnsi="宋体" w:eastAsia="宋体"/>
                <w:color w:val="auto"/>
                <w:sz w:val="22"/>
                <w:szCs w:val="22"/>
                <w:highlight w:val="none"/>
              </w:rPr>
              <w:t>固定价格（单位：元/人）</w:t>
            </w:r>
          </w:p>
        </w:tc>
        <w:tc>
          <w:tcPr>
            <w:tcW w:w="986" w:type="dxa"/>
            <w:noWrap w:val="0"/>
            <w:vAlign w:val="center"/>
          </w:tcPr>
          <w:p>
            <w:pPr>
              <w:pStyle w:val="24"/>
              <w:spacing w:line="440" w:lineRule="exact"/>
              <w:jc w:val="center"/>
              <w:rPr>
                <w:rFonts w:hAnsi="宋体" w:eastAsia="宋体"/>
                <w:color w:val="auto"/>
                <w:sz w:val="22"/>
                <w:szCs w:val="22"/>
                <w:highlight w:val="none"/>
              </w:rPr>
            </w:pPr>
            <w:r>
              <w:rPr>
                <w:rFonts w:hint="eastAsia" w:hAnsi="宋体" w:eastAsia="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46" w:type="dxa"/>
            <w:noWrap w:val="0"/>
            <w:vAlign w:val="center"/>
          </w:tcPr>
          <w:p>
            <w:pPr>
              <w:spacing w:line="440" w:lineRule="exact"/>
              <w:jc w:val="center"/>
              <w:rPr>
                <w:rFonts w:ascii="宋体" w:eastAsia="宋体"/>
                <w:color w:val="auto"/>
                <w:sz w:val="22"/>
                <w:szCs w:val="22"/>
                <w:highlight w:val="none"/>
              </w:rPr>
            </w:pPr>
            <w:r>
              <w:rPr>
                <w:rFonts w:hint="eastAsia" w:ascii="宋体" w:eastAsia="宋体"/>
                <w:color w:val="auto"/>
                <w:sz w:val="22"/>
                <w:szCs w:val="22"/>
                <w:highlight w:val="none"/>
              </w:rPr>
              <w:t>线路1</w:t>
            </w:r>
          </w:p>
        </w:tc>
        <w:tc>
          <w:tcPr>
            <w:tcW w:w="3362" w:type="dxa"/>
            <w:noWrap w:val="0"/>
            <w:vAlign w:val="center"/>
          </w:tcPr>
          <w:p>
            <w:pPr>
              <w:spacing w:line="440" w:lineRule="exact"/>
              <w:jc w:val="left"/>
              <w:rPr>
                <w:rFonts w:ascii="宋体" w:eastAsia="宋体"/>
                <w:bCs w:val="0"/>
                <w:color w:val="auto"/>
                <w:sz w:val="22"/>
                <w:szCs w:val="22"/>
                <w:highlight w:val="none"/>
              </w:rPr>
            </w:pPr>
            <w:r>
              <w:rPr>
                <w:rFonts w:hint="eastAsia" w:ascii="宋体" w:eastAsia="宋体"/>
                <w:bCs w:val="0"/>
                <w:color w:val="auto"/>
                <w:sz w:val="22"/>
                <w:szCs w:val="22"/>
                <w:highlight w:val="none"/>
              </w:rPr>
              <w:t>海南</w:t>
            </w:r>
            <w:r>
              <w:rPr>
                <w:rFonts w:ascii="宋体" w:eastAsia="宋体"/>
                <w:bCs w:val="0"/>
                <w:color w:val="auto"/>
                <w:sz w:val="22"/>
                <w:szCs w:val="22"/>
                <w:highlight w:val="none"/>
              </w:rPr>
              <w:t>5天</w:t>
            </w:r>
          </w:p>
        </w:tc>
        <w:tc>
          <w:tcPr>
            <w:tcW w:w="3678" w:type="dxa"/>
            <w:noWrap w:val="0"/>
            <w:vAlign w:val="center"/>
          </w:tcPr>
          <w:p>
            <w:pPr>
              <w:spacing w:line="440" w:lineRule="exact"/>
              <w:jc w:val="center"/>
              <w:rPr>
                <w:rFonts w:ascii="宋体" w:eastAsia="宋体"/>
                <w:bCs w:val="0"/>
                <w:color w:val="auto"/>
                <w:sz w:val="22"/>
                <w:szCs w:val="22"/>
                <w:highlight w:val="none"/>
              </w:rPr>
            </w:pPr>
            <w:r>
              <w:rPr>
                <w:rFonts w:ascii="宋体" w:eastAsia="宋体"/>
                <w:bCs w:val="0"/>
                <w:color w:val="auto"/>
                <w:sz w:val="22"/>
                <w:szCs w:val="22"/>
                <w:highlight w:val="none"/>
              </w:rPr>
              <w:t>7500</w:t>
            </w:r>
          </w:p>
        </w:tc>
        <w:tc>
          <w:tcPr>
            <w:tcW w:w="986" w:type="dxa"/>
            <w:noWrap w:val="0"/>
            <w:vAlign w:val="center"/>
          </w:tcPr>
          <w:p>
            <w:pPr>
              <w:pStyle w:val="24"/>
              <w:spacing w:line="440" w:lineRule="exact"/>
              <w:jc w:val="center"/>
              <w:rPr>
                <w:rFonts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46" w:type="dxa"/>
            <w:noWrap w:val="0"/>
            <w:vAlign w:val="center"/>
          </w:tcPr>
          <w:p>
            <w:pPr>
              <w:spacing w:line="440" w:lineRule="exact"/>
              <w:jc w:val="center"/>
              <w:rPr>
                <w:rFonts w:ascii="宋体" w:eastAsia="宋体"/>
                <w:color w:val="auto"/>
                <w:sz w:val="22"/>
                <w:szCs w:val="22"/>
                <w:highlight w:val="none"/>
              </w:rPr>
            </w:pPr>
            <w:r>
              <w:rPr>
                <w:rFonts w:hint="eastAsia" w:ascii="宋体" w:eastAsia="宋体"/>
                <w:color w:val="auto"/>
                <w:sz w:val="22"/>
                <w:szCs w:val="22"/>
                <w:highlight w:val="none"/>
              </w:rPr>
              <w:t>线路2</w:t>
            </w:r>
          </w:p>
        </w:tc>
        <w:tc>
          <w:tcPr>
            <w:tcW w:w="3362" w:type="dxa"/>
            <w:noWrap w:val="0"/>
            <w:vAlign w:val="center"/>
          </w:tcPr>
          <w:p>
            <w:pPr>
              <w:spacing w:line="440" w:lineRule="exact"/>
              <w:jc w:val="left"/>
              <w:rPr>
                <w:rFonts w:ascii="宋体" w:eastAsia="宋体"/>
                <w:bCs w:val="0"/>
                <w:color w:val="auto"/>
                <w:sz w:val="22"/>
                <w:szCs w:val="22"/>
                <w:highlight w:val="none"/>
              </w:rPr>
            </w:pPr>
            <w:r>
              <w:rPr>
                <w:rFonts w:ascii="宋体" w:eastAsia="宋体"/>
                <w:bCs w:val="0"/>
                <w:color w:val="auto"/>
                <w:sz w:val="22"/>
                <w:szCs w:val="22"/>
                <w:highlight w:val="none"/>
              </w:rPr>
              <w:t>兰州、塔尔寺、青海湖、莫高窟8天</w:t>
            </w:r>
          </w:p>
        </w:tc>
        <w:tc>
          <w:tcPr>
            <w:tcW w:w="3678" w:type="dxa"/>
            <w:noWrap w:val="0"/>
            <w:vAlign w:val="top"/>
          </w:tcPr>
          <w:p>
            <w:pPr>
              <w:spacing w:line="440" w:lineRule="exact"/>
              <w:jc w:val="center"/>
              <w:rPr>
                <w:rFonts w:ascii="宋体" w:eastAsia="宋体"/>
                <w:bCs w:val="0"/>
                <w:color w:val="auto"/>
                <w:sz w:val="22"/>
                <w:szCs w:val="22"/>
                <w:highlight w:val="none"/>
              </w:rPr>
            </w:pPr>
            <w:r>
              <w:rPr>
                <w:rFonts w:ascii="宋体" w:eastAsia="宋体"/>
                <w:bCs w:val="0"/>
                <w:color w:val="auto"/>
                <w:sz w:val="22"/>
                <w:szCs w:val="22"/>
                <w:highlight w:val="none"/>
              </w:rPr>
              <w:t>7500</w:t>
            </w:r>
          </w:p>
        </w:tc>
        <w:tc>
          <w:tcPr>
            <w:tcW w:w="986" w:type="dxa"/>
            <w:noWrap w:val="0"/>
            <w:vAlign w:val="center"/>
          </w:tcPr>
          <w:p>
            <w:pPr>
              <w:pStyle w:val="24"/>
              <w:spacing w:line="440" w:lineRule="exact"/>
              <w:jc w:val="center"/>
              <w:rPr>
                <w:rFonts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46" w:type="dxa"/>
            <w:noWrap w:val="0"/>
            <w:vAlign w:val="center"/>
          </w:tcPr>
          <w:p>
            <w:pPr>
              <w:spacing w:line="440" w:lineRule="exact"/>
              <w:jc w:val="center"/>
              <w:rPr>
                <w:rFonts w:ascii="宋体" w:eastAsia="宋体"/>
                <w:color w:val="auto"/>
                <w:sz w:val="22"/>
                <w:szCs w:val="22"/>
                <w:highlight w:val="none"/>
              </w:rPr>
            </w:pPr>
            <w:r>
              <w:rPr>
                <w:rFonts w:hint="eastAsia" w:ascii="宋体" w:eastAsia="宋体"/>
                <w:color w:val="auto"/>
                <w:sz w:val="22"/>
                <w:szCs w:val="22"/>
                <w:highlight w:val="none"/>
              </w:rPr>
              <w:t>线路3</w:t>
            </w:r>
          </w:p>
        </w:tc>
        <w:tc>
          <w:tcPr>
            <w:tcW w:w="3362" w:type="dxa"/>
            <w:noWrap w:val="0"/>
            <w:vAlign w:val="center"/>
          </w:tcPr>
          <w:p>
            <w:pPr>
              <w:spacing w:line="440" w:lineRule="exact"/>
              <w:jc w:val="left"/>
              <w:rPr>
                <w:rFonts w:ascii="宋体" w:eastAsia="宋体"/>
                <w:bCs w:val="0"/>
                <w:color w:val="auto"/>
                <w:sz w:val="22"/>
                <w:szCs w:val="22"/>
                <w:highlight w:val="none"/>
              </w:rPr>
            </w:pPr>
            <w:r>
              <w:rPr>
                <w:rFonts w:ascii="宋体" w:eastAsia="宋体"/>
                <w:bCs w:val="0"/>
                <w:color w:val="auto"/>
                <w:sz w:val="22"/>
                <w:szCs w:val="22"/>
                <w:highlight w:val="none"/>
              </w:rPr>
              <w:t>呼伦贝尔大草原、室韦、满洲里6天</w:t>
            </w:r>
          </w:p>
        </w:tc>
        <w:tc>
          <w:tcPr>
            <w:tcW w:w="3678" w:type="dxa"/>
            <w:noWrap w:val="0"/>
            <w:vAlign w:val="top"/>
          </w:tcPr>
          <w:p>
            <w:pPr>
              <w:spacing w:line="440" w:lineRule="exact"/>
              <w:jc w:val="center"/>
              <w:rPr>
                <w:rFonts w:ascii="宋体" w:eastAsia="宋体"/>
                <w:bCs w:val="0"/>
                <w:color w:val="auto"/>
                <w:sz w:val="22"/>
                <w:szCs w:val="22"/>
                <w:highlight w:val="none"/>
              </w:rPr>
            </w:pPr>
            <w:r>
              <w:rPr>
                <w:rFonts w:ascii="宋体" w:eastAsia="宋体"/>
                <w:bCs w:val="0"/>
                <w:color w:val="auto"/>
                <w:sz w:val="22"/>
                <w:szCs w:val="22"/>
                <w:highlight w:val="none"/>
              </w:rPr>
              <w:t>7500</w:t>
            </w:r>
          </w:p>
        </w:tc>
        <w:tc>
          <w:tcPr>
            <w:tcW w:w="986" w:type="dxa"/>
            <w:noWrap w:val="0"/>
            <w:vAlign w:val="center"/>
          </w:tcPr>
          <w:p>
            <w:pPr>
              <w:pStyle w:val="24"/>
              <w:spacing w:line="440" w:lineRule="exact"/>
              <w:jc w:val="center"/>
              <w:rPr>
                <w:rFonts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46" w:type="dxa"/>
            <w:noWrap w:val="0"/>
            <w:vAlign w:val="center"/>
          </w:tcPr>
          <w:p>
            <w:pPr>
              <w:spacing w:line="440" w:lineRule="exact"/>
              <w:jc w:val="center"/>
              <w:rPr>
                <w:rFonts w:ascii="宋体" w:eastAsia="宋体"/>
                <w:color w:val="auto"/>
                <w:sz w:val="22"/>
                <w:szCs w:val="22"/>
                <w:highlight w:val="none"/>
              </w:rPr>
            </w:pPr>
            <w:r>
              <w:rPr>
                <w:rFonts w:hint="eastAsia" w:ascii="宋体" w:eastAsia="宋体"/>
                <w:color w:val="auto"/>
                <w:sz w:val="22"/>
                <w:szCs w:val="22"/>
                <w:highlight w:val="none"/>
              </w:rPr>
              <w:t>线路4</w:t>
            </w:r>
          </w:p>
        </w:tc>
        <w:tc>
          <w:tcPr>
            <w:tcW w:w="3362" w:type="dxa"/>
            <w:noWrap w:val="0"/>
            <w:vAlign w:val="center"/>
          </w:tcPr>
          <w:p>
            <w:pPr>
              <w:spacing w:line="440" w:lineRule="exact"/>
              <w:jc w:val="left"/>
              <w:rPr>
                <w:rFonts w:ascii="宋体" w:eastAsia="宋体"/>
                <w:bCs w:val="0"/>
                <w:color w:val="auto"/>
                <w:sz w:val="22"/>
                <w:szCs w:val="22"/>
                <w:highlight w:val="none"/>
              </w:rPr>
            </w:pPr>
            <w:r>
              <w:rPr>
                <w:rFonts w:ascii="宋体" w:eastAsia="宋体"/>
                <w:bCs w:val="0"/>
                <w:color w:val="auto"/>
                <w:sz w:val="22"/>
                <w:szCs w:val="22"/>
                <w:highlight w:val="none"/>
              </w:rPr>
              <w:t>西安、郑州6天</w:t>
            </w:r>
          </w:p>
        </w:tc>
        <w:tc>
          <w:tcPr>
            <w:tcW w:w="3678" w:type="dxa"/>
            <w:noWrap w:val="0"/>
            <w:vAlign w:val="top"/>
          </w:tcPr>
          <w:p>
            <w:pPr>
              <w:spacing w:line="440" w:lineRule="exact"/>
              <w:jc w:val="center"/>
              <w:rPr>
                <w:rFonts w:ascii="宋体" w:eastAsia="宋体"/>
                <w:bCs w:val="0"/>
                <w:color w:val="auto"/>
                <w:sz w:val="22"/>
                <w:szCs w:val="22"/>
                <w:highlight w:val="none"/>
              </w:rPr>
            </w:pPr>
            <w:r>
              <w:rPr>
                <w:rFonts w:ascii="宋体" w:eastAsia="宋体"/>
                <w:bCs w:val="0"/>
                <w:color w:val="auto"/>
                <w:sz w:val="22"/>
                <w:szCs w:val="22"/>
                <w:highlight w:val="none"/>
              </w:rPr>
              <w:t>7500</w:t>
            </w:r>
          </w:p>
        </w:tc>
        <w:tc>
          <w:tcPr>
            <w:tcW w:w="986" w:type="dxa"/>
            <w:noWrap w:val="0"/>
            <w:vAlign w:val="center"/>
          </w:tcPr>
          <w:p>
            <w:pPr>
              <w:pStyle w:val="24"/>
              <w:spacing w:line="440" w:lineRule="exact"/>
              <w:jc w:val="center"/>
              <w:rPr>
                <w:rFonts w:hAnsi="宋体" w:eastAsia="宋体"/>
                <w:color w:val="auto"/>
                <w:sz w:val="22"/>
                <w:szCs w:val="22"/>
                <w:highlight w:val="none"/>
              </w:rPr>
            </w:pPr>
          </w:p>
        </w:tc>
      </w:tr>
    </w:tbl>
    <w:p>
      <w:pPr>
        <w:spacing w:line="360" w:lineRule="auto"/>
        <w:ind w:left="359" w:leftChars="171"/>
        <w:rPr>
          <w:rFonts w:ascii="宋体" w:eastAsia="宋体" w:cs="Arial"/>
          <w:b w:val="0"/>
          <w:color w:val="auto"/>
          <w:sz w:val="22"/>
          <w:szCs w:val="22"/>
          <w:highlight w:val="none"/>
        </w:rPr>
      </w:pPr>
      <w:r>
        <w:rPr>
          <w:rFonts w:hint="eastAsia" w:ascii="宋体" w:eastAsia="宋体" w:cs="Arial"/>
          <w:b w:val="0"/>
          <w:color w:val="auto"/>
          <w:sz w:val="22"/>
          <w:szCs w:val="22"/>
          <w:highlight w:val="none"/>
        </w:rPr>
        <w:t>备注：1、本项目最终支付以实际出团人数与中标单价结合按实结算，以上价格包括参团人员吃、住、行及景点门票费、导游费、保险费（旅游全程保险费）、服务人员（导游、司机等）吃、住、行费用、税费、验收、</w:t>
      </w:r>
      <w:r>
        <w:rPr>
          <w:rFonts w:hint="eastAsia" w:ascii="宋体" w:cs="Arial"/>
          <w:b w:val="0"/>
          <w:color w:val="auto"/>
          <w:sz w:val="22"/>
          <w:szCs w:val="22"/>
          <w:highlight w:val="none"/>
          <w:lang w:eastAsia="zh-CN"/>
        </w:rPr>
        <w:t>投标供应商</w:t>
      </w:r>
      <w:r>
        <w:rPr>
          <w:rFonts w:hint="eastAsia" w:ascii="宋体" w:eastAsia="宋体" w:cs="Arial"/>
          <w:b w:val="0"/>
          <w:color w:val="auto"/>
          <w:sz w:val="22"/>
          <w:szCs w:val="22"/>
          <w:highlight w:val="none"/>
        </w:rPr>
        <w:t>预计的其他费用和风险费用。</w:t>
      </w:r>
    </w:p>
    <w:p>
      <w:pPr>
        <w:spacing w:line="360" w:lineRule="auto"/>
        <w:ind w:left="359" w:leftChars="171"/>
        <w:rPr>
          <w:rFonts w:ascii="宋体" w:eastAsia="宋体" w:cs="Arial"/>
          <w:b/>
          <w:bCs/>
          <w:color w:val="auto"/>
          <w:sz w:val="22"/>
          <w:szCs w:val="22"/>
          <w:highlight w:val="none"/>
          <w:u w:val="single"/>
        </w:rPr>
      </w:pPr>
      <w:r>
        <w:rPr>
          <w:rFonts w:hint="eastAsia" w:ascii="宋体" w:eastAsia="宋体" w:cs="Arial"/>
          <w:b/>
          <w:bCs/>
          <w:color w:val="auto"/>
          <w:sz w:val="22"/>
          <w:szCs w:val="22"/>
          <w:highlight w:val="none"/>
          <w:u w:val="single"/>
        </w:rPr>
        <w:t>2、</w:t>
      </w:r>
      <w:r>
        <w:rPr>
          <w:rFonts w:ascii="宋体" w:eastAsia="宋体"/>
          <w:b/>
          <w:bCs/>
          <w:color w:val="auto"/>
          <w:sz w:val="22"/>
          <w:szCs w:val="22"/>
          <w:highlight w:val="none"/>
          <w:u w:val="single"/>
        </w:rPr>
        <w:t>▲本项目所有线路均为固定报价：7500元/人（线路1：海南5天；线路2：兰州、塔尔寺、青海湖、莫高窟8天；线路3：呼伦贝尔大草原、室韦、满洲里6天；线路4：西安、郑州6天；不按固定价格报价的按投标无效处理。）</w:t>
      </w:r>
    </w:p>
    <w:p>
      <w:pPr>
        <w:spacing w:line="360" w:lineRule="auto"/>
        <w:ind w:left="359" w:leftChars="171"/>
        <w:rPr>
          <w:rFonts w:hAnsi="宋体" w:eastAsia="宋体"/>
          <w:b/>
          <w:bCs/>
          <w:color w:val="auto"/>
          <w:sz w:val="22"/>
          <w:szCs w:val="22"/>
          <w:highlight w:val="none"/>
          <w:u w:val="single"/>
        </w:rPr>
      </w:pPr>
      <w:r>
        <w:rPr>
          <w:rFonts w:hint="eastAsia" w:ascii="宋体" w:eastAsia="宋体" w:cs="Arial"/>
          <w:b/>
          <w:bCs/>
          <w:color w:val="auto"/>
          <w:sz w:val="22"/>
          <w:szCs w:val="22"/>
          <w:highlight w:val="none"/>
          <w:u w:val="single"/>
        </w:rPr>
        <w:t>3、▲不提供此表格将被视为没有实质性响应招标文件，其投标将被否决。</w:t>
      </w:r>
    </w:p>
    <w:p>
      <w:pPr>
        <w:autoSpaceDE w:val="0"/>
        <w:autoSpaceDN w:val="0"/>
        <w:adjustRightInd w:val="0"/>
        <w:spacing w:line="500" w:lineRule="atLeast"/>
        <w:rPr>
          <w:rFonts w:cs="仿宋_GB2312" w:asciiTheme="majorEastAsia" w:hAnsiTheme="majorEastAsia" w:eastAsiaTheme="majorEastAsia"/>
          <w:color w:val="auto"/>
          <w:sz w:val="30"/>
          <w:szCs w:val="30"/>
          <w:highlight w:val="none"/>
        </w:rPr>
      </w:pPr>
    </w:p>
    <w:p>
      <w:pPr>
        <w:widowControl/>
        <w:spacing w:line="460" w:lineRule="exact"/>
        <w:ind w:firstLine="440"/>
        <w:jc w:val="left"/>
        <w:rPr>
          <w:rFonts w:cs="Courier New" w:asciiTheme="majorEastAsia" w:hAnsiTheme="majorEastAsia" w:eastAsiaTheme="majorEastAsia"/>
          <w:color w:val="auto"/>
          <w:sz w:val="22"/>
          <w:szCs w:val="22"/>
          <w:highlight w:val="none"/>
        </w:rPr>
      </w:pPr>
      <w:r>
        <w:rPr>
          <w:rFonts w:cs="Courier New" w:asciiTheme="majorEastAsia" w:hAnsiTheme="majorEastAsia" w:eastAsiaTheme="majorEastAsia"/>
          <w:color w:val="auto"/>
          <w:sz w:val="22"/>
          <w:szCs w:val="22"/>
          <w:highlight w:val="none"/>
        </w:rPr>
        <w:t>投标供应商（盖章） ：</w:t>
      </w:r>
    </w:p>
    <w:p>
      <w:pPr>
        <w:spacing w:line="460" w:lineRule="atLeast"/>
        <w:ind w:firstLine="440"/>
        <w:rPr>
          <w:rFonts w:asciiTheme="majorEastAsia" w:hAnsiTheme="majorEastAsia" w:eastAsiaTheme="majorEastAsia"/>
          <w:color w:val="auto"/>
          <w:sz w:val="36"/>
          <w:highlight w:val="none"/>
        </w:rPr>
      </w:pPr>
      <w:r>
        <w:rPr>
          <w:rFonts w:cs="Courier New" w:asciiTheme="majorEastAsia" w:hAnsiTheme="majorEastAsia" w:eastAsiaTheme="majorEastAsia"/>
          <w:color w:val="auto"/>
          <w:sz w:val="22"/>
          <w:szCs w:val="22"/>
          <w:highlight w:val="none"/>
        </w:rPr>
        <w:t>日期：</w:t>
      </w:r>
    </w:p>
    <w:p>
      <w:pPr>
        <w:pStyle w:val="2"/>
        <w:ind w:firstLine="210"/>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p>
    <w:p>
      <w:pPr>
        <w:pStyle w:val="40"/>
        <w:rPr>
          <w:rFonts w:asciiTheme="majorEastAsia" w:hAnsiTheme="majorEastAsia" w:eastAsiaTheme="majorEastAsia"/>
          <w:color w:val="auto"/>
          <w:highlight w:val="none"/>
        </w:rPr>
      </w:pPr>
      <w:bookmarkStart w:id="184" w:name="_Toc65830025"/>
      <w:bookmarkStart w:id="185" w:name="_Toc65590097"/>
      <w:bookmarkStart w:id="186" w:name="_Toc42678695"/>
      <w:bookmarkStart w:id="187" w:name="_Toc6383"/>
      <w:bookmarkStart w:id="188" w:name="_Toc42243287"/>
      <w:r>
        <w:rPr>
          <w:rFonts w:hint="eastAsia" w:asciiTheme="majorEastAsia" w:hAnsiTheme="majorEastAsia" w:eastAsiaTheme="majorEastAsia"/>
          <w:color w:val="auto"/>
          <w:highlight w:val="none"/>
        </w:rPr>
        <w:t>三、商务技术文件部分格式</w:t>
      </w:r>
      <w:bookmarkEnd w:id="184"/>
      <w:bookmarkEnd w:id="185"/>
      <w:bookmarkEnd w:id="186"/>
      <w:bookmarkEnd w:id="187"/>
      <w:bookmarkEnd w:id="188"/>
    </w:p>
    <w:p>
      <w:pPr>
        <w:widowControl/>
        <w:spacing w:line="460" w:lineRule="atLeast"/>
        <w:jc w:val="left"/>
        <w:rPr>
          <w:rFonts w:hint="eastAsia" w:asciiTheme="majorEastAsia" w:hAnsiTheme="majorEastAsia" w:eastAsiaTheme="majorEastAsia"/>
          <w:b/>
          <w:bCs/>
          <w:color w:val="auto"/>
          <w:sz w:val="22"/>
          <w:szCs w:val="22"/>
          <w:highlight w:val="none"/>
          <w:lang w:eastAsia="zh-CN"/>
        </w:rPr>
      </w:pPr>
      <w:bookmarkStart w:id="189" w:name="_Toc493530215"/>
      <w:r>
        <w:rPr>
          <w:rFonts w:hint="eastAsia" w:asciiTheme="majorEastAsia" w:hAnsiTheme="majorEastAsia" w:eastAsiaTheme="majorEastAsia"/>
          <w:b/>
          <w:color w:val="auto"/>
          <w:sz w:val="22"/>
          <w:szCs w:val="22"/>
          <w:highlight w:val="none"/>
        </w:rPr>
        <w:t>附件</w:t>
      </w:r>
      <w:bookmarkEnd w:id="189"/>
      <w:r>
        <w:rPr>
          <w:rFonts w:hint="eastAsia" w:asciiTheme="majorEastAsia" w:hAnsiTheme="majorEastAsia" w:eastAsiaTheme="majorEastAsia"/>
          <w:b/>
          <w:color w:val="auto"/>
          <w:sz w:val="22"/>
          <w:szCs w:val="22"/>
          <w:highlight w:val="none"/>
          <w:lang w:val="en-US" w:eastAsia="zh-CN"/>
        </w:rPr>
        <w:t>五</w:t>
      </w:r>
    </w:p>
    <w:p>
      <w:pPr>
        <w:pStyle w:val="40"/>
        <w:rPr>
          <w:rFonts w:asciiTheme="majorEastAsia" w:hAnsiTheme="majorEastAsia" w:eastAsiaTheme="majorEastAsia"/>
          <w:color w:val="auto"/>
          <w:highlight w:val="none"/>
        </w:rPr>
      </w:pPr>
      <w:bookmarkStart w:id="190" w:name="_Toc87518419"/>
      <w:bookmarkStart w:id="191" w:name="_Toc42678185"/>
      <w:bookmarkStart w:id="192" w:name="_Toc522469119"/>
      <w:bookmarkStart w:id="193" w:name="_Toc68188793"/>
      <w:bookmarkStart w:id="194" w:name="_Toc96970932"/>
      <w:bookmarkStart w:id="195" w:name="_Toc65830026"/>
      <w:bookmarkStart w:id="196" w:name="_Toc65590098"/>
      <w:bookmarkStart w:id="197" w:name="_Toc511045481"/>
      <w:bookmarkStart w:id="198" w:name="_Toc97033074"/>
      <w:bookmarkStart w:id="199" w:name="_Toc42678696"/>
      <w:bookmarkStart w:id="200" w:name="_Toc87518596"/>
      <w:bookmarkStart w:id="201" w:name="_Toc61444217"/>
      <w:bookmarkStart w:id="202" w:name="_Toc42678617"/>
      <w:bookmarkStart w:id="203" w:name="_Toc518512534"/>
      <w:bookmarkStart w:id="204" w:name="_Toc42678030"/>
      <w:bookmarkStart w:id="205" w:name="_Toc21520"/>
      <w:bookmarkStart w:id="206" w:name="_Toc9334949"/>
      <w:bookmarkStart w:id="207" w:name="_Toc29259"/>
      <w:bookmarkStart w:id="208" w:name="_Toc19204521"/>
      <w:bookmarkStart w:id="209" w:name="_Toc18949"/>
      <w:bookmarkStart w:id="210" w:name="_Toc42243288"/>
      <w:bookmarkStart w:id="211" w:name="_Toc68189107"/>
      <w:bookmarkStart w:id="212" w:name="_Toc68187557"/>
      <w:r>
        <w:rPr>
          <w:rFonts w:hint="eastAsia" w:asciiTheme="majorEastAsia" w:hAnsiTheme="majorEastAsia" w:eastAsiaTheme="majorEastAsia"/>
          <w:color w:val="auto"/>
          <w:highlight w:val="none"/>
        </w:rPr>
        <w:t>投 标 函</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autoSpaceDE w:val="0"/>
        <w:autoSpaceDN w:val="0"/>
        <w:adjustRightInd w:val="0"/>
        <w:snapToGrid w:val="0"/>
        <w:spacing w:line="480" w:lineRule="atLeast"/>
        <w:rPr>
          <w:rFonts w:asciiTheme="majorEastAsia" w:hAnsiTheme="majorEastAsia" w:eastAsiaTheme="majorEastAsia"/>
          <w:b/>
          <w:color w:val="auto"/>
          <w:sz w:val="22"/>
          <w:highlight w:val="none"/>
          <w:u w:val="single"/>
        </w:rPr>
      </w:pPr>
      <w:r>
        <w:rPr>
          <w:rFonts w:hint="eastAsia" w:cs="仿宋_GB2312" w:asciiTheme="majorEastAsia" w:hAnsiTheme="majorEastAsia" w:eastAsiaTheme="majorEastAsia"/>
          <w:b/>
          <w:color w:val="auto"/>
          <w:sz w:val="22"/>
          <w:highlight w:val="none"/>
          <w:u w:val="single"/>
          <w:lang w:val="zh-CN"/>
        </w:rPr>
        <w:t xml:space="preserve">  （采购人）   ：</w:t>
      </w:r>
    </w:p>
    <w:p>
      <w:pPr>
        <w:spacing w:line="420" w:lineRule="exact"/>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根据贵方为</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项目（项目编号：</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）的投标邀请，我方</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（供应商名称）作为供应商正式授权</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（授权代表全名，职务）代表我方处理有关本项目投标的一切事宜。</w:t>
      </w:r>
    </w:p>
    <w:p>
      <w:pPr>
        <w:autoSpaceDE w:val="0"/>
        <w:autoSpaceDN w:val="0"/>
        <w:adjustRightInd w:val="0"/>
        <w:spacing w:line="420" w:lineRule="atLeast"/>
        <w:ind w:firstLine="440" w:firstLineChars="200"/>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在此提交的投标文件中，包括如下内容，并已分别单独提交：</w:t>
      </w:r>
    </w:p>
    <w:p>
      <w:pPr>
        <w:numPr>
          <w:ilvl w:val="0"/>
          <w:numId w:val="9"/>
        </w:numPr>
        <w:spacing w:line="420" w:lineRule="exact"/>
        <w:rPr>
          <w:rFonts w:ascii="新宋体" w:hAnsi="新宋体" w:eastAsia="新宋体" w:cs="新宋体"/>
          <w:color w:val="auto"/>
          <w:szCs w:val="21"/>
          <w:highlight w:val="none"/>
        </w:rPr>
      </w:pPr>
      <w:r>
        <w:rPr>
          <w:rFonts w:hint="eastAsia" w:ascii="新宋体" w:hAnsi="新宋体" w:eastAsia="新宋体" w:cs="新宋体"/>
          <w:color w:val="auto"/>
          <w:sz w:val="22"/>
          <w:highlight w:val="none"/>
        </w:rPr>
        <w:t>按“供应商须知”要求编制的投标文件资格审查资料 ；</w:t>
      </w:r>
    </w:p>
    <w:p>
      <w:pPr>
        <w:numPr>
          <w:ilvl w:val="0"/>
          <w:numId w:val="9"/>
        </w:numPr>
        <w:spacing w:line="420" w:lineRule="exact"/>
        <w:rPr>
          <w:rFonts w:ascii="新宋体" w:hAnsi="新宋体" w:eastAsia="新宋体" w:cs="新宋体"/>
          <w:color w:val="auto"/>
          <w:szCs w:val="21"/>
          <w:highlight w:val="none"/>
        </w:rPr>
      </w:pPr>
      <w:r>
        <w:rPr>
          <w:rFonts w:hint="eastAsia" w:ascii="新宋体" w:hAnsi="新宋体" w:eastAsia="新宋体" w:cs="新宋体"/>
          <w:color w:val="auto"/>
          <w:sz w:val="22"/>
          <w:highlight w:val="none"/>
        </w:rPr>
        <w:t>按“供应商须知”要求编制的投标文件商务技术文件 ；</w:t>
      </w:r>
    </w:p>
    <w:p>
      <w:pPr>
        <w:numPr>
          <w:ilvl w:val="0"/>
          <w:numId w:val="9"/>
        </w:numPr>
        <w:spacing w:line="420" w:lineRule="exact"/>
        <w:rPr>
          <w:rFonts w:ascii="新宋体" w:hAnsi="新宋体" w:eastAsia="新宋体" w:cs="新宋体"/>
          <w:color w:val="auto"/>
          <w:szCs w:val="21"/>
          <w:highlight w:val="none"/>
        </w:rPr>
      </w:pPr>
      <w:r>
        <w:rPr>
          <w:rFonts w:hint="eastAsia" w:ascii="新宋体" w:hAnsi="新宋体" w:eastAsia="新宋体" w:cs="新宋体"/>
          <w:color w:val="auto"/>
          <w:sz w:val="22"/>
          <w:highlight w:val="none"/>
        </w:rPr>
        <w:t>按“供应商须知”要求编制的投标文件报价文件 。</w:t>
      </w:r>
    </w:p>
    <w:p>
      <w:pPr>
        <w:autoSpaceDE w:val="0"/>
        <w:autoSpaceDN w:val="0"/>
        <w:adjustRightInd w:val="0"/>
        <w:spacing w:line="420" w:lineRule="atLeast"/>
        <w:ind w:firstLine="440"/>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我方己完全明白采购文件的所有条款要求，并重申以下几点：</w:t>
      </w:r>
    </w:p>
    <w:p>
      <w:pPr>
        <w:numPr>
          <w:ilvl w:val="0"/>
          <w:numId w:val="10"/>
        </w:numPr>
        <w:spacing w:line="420" w:lineRule="exac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已详细阅读全部采购文件，包括采购文件补充文件（如果有，包括相关的补充、更正、澄清公告和文件）、参考资料及有关附件，确认无误。我方完全理解并接受采购文件的各项规定和要求。</w:t>
      </w:r>
    </w:p>
    <w:p>
      <w:pPr>
        <w:numPr>
          <w:ilvl w:val="0"/>
          <w:numId w:val="10"/>
        </w:numPr>
        <w:spacing w:line="420" w:lineRule="exac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同意提供按照贵方可能要求的与投标有关的一切数据或资料等。若贵方需要，我方愿意提供我方作出的一切承诺的证明材料。</w:t>
      </w:r>
    </w:p>
    <w:p>
      <w:pPr>
        <w:numPr>
          <w:ilvl w:val="0"/>
          <w:numId w:val="10"/>
        </w:numPr>
        <w:spacing w:line="420" w:lineRule="exac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如中标，保证按照采购文件要求及投标文件的承诺与采购人签订合同，保证履行合同条款。</w:t>
      </w:r>
    </w:p>
    <w:p>
      <w:pPr>
        <w:numPr>
          <w:ilvl w:val="0"/>
          <w:numId w:val="10"/>
        </w:numPr>
        <w:spacing w:line="420" w:lineRule="exac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同意在采购文件中供应商须知规定的开标日期起遵守本投标书中的承诺且在投标有效期满之前均具有约束力。</w:t>
      </w:r>
    </w:p>
    <w:p>
      <w:pPr>
        <w:numPr>
          <w:ilvl w:val="0"/>
          <w:numId w:val="10"/>
        </w:numPr>
        <w:spacing w:line="420" w:lineRule="exac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如果在开标后规定的投标有效期内撤回投标，我方接受贵方处罚。</w:t>
      </w:r>
    </w:p>
    <w:p>
      <w:pPr>
        <w:numPr>
          <w:ilvl w:val="0"/>
          <w:numId w:val="10"/>
        </w:numPr>
        <w:spacing w:line="420" w:lineRule="exac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完全理解贵方不一定要接受最低价的投标。</w:t>
      </w:r>
    </w:p>
    <w:p>
      <w:pPr>
        <w:numPr>
          <w:ilvl w:val="0"/>
          <w:numId w:val="10"/>
        </w:numPr>
        <w:spacing w:line="420" w:lineRule="exac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在参加本项目前三年内（被通报或者处罚的违法行为有：</w:t>
      </w:r>
      <w:r>
        <w:rPr>
          <w:rFonts w:hint="eastAsia" w:ascii="新宋体" w:hAnsi="新宋体" w:eastAsia="新宋体" w:cs="新宋体"/>
          <w:color w:val="auto"/>
          <w:sz w:val="22"/>
          <w:highlight w:val="none"/>
          <w:u w:val="single"/>
        </w:rPr>
        <w:t xml:space="preserve">                  </w:t>
      </w:r>
      <w:r>
        <w:rPr>
          <w:rFonts w:hint="eastAsia" w:ascii="新宋体" w:hAnsi="新宋体" w:eastAsia="新宋体" w:cs="新宋体"/>
          <w:color w:val="auto"/>
          <w:sz w:val="22"/>
          <w:highlight w:val="none"/>
        </w:rPr>
        <w:t>）或（没有因违法经营受到刑事处罚或者责令停产停业、吊销许可证或者执照、较大数额罚款等行政处罚或处罚）或（在</w:t>
      </w:r>
      <w:r>
        <w:rPr>
          <w:rFonts w:hint="eastAsia" w:ascii="新宋体" w:hAnsi="新宋体" w:eastAsia="新宋体" w:cs="新宋体"/>
          <w:color w:val="auto"/>
          <w:sz w:val="22"/>
          <w:highlight w:val="none"/>
          <w:u w:val="single"/>
        </w:rPr>
        <w:t xml:space="preserve">  </w:t>
      </w:r>
      <w:r>
        <w:rPr>
          <w:rFonts w:hint="eastAsia" w:ascii="新宋体" w:hAnsi="新宋体" w:eastAsia="新宋体" w:cs="新宋体"/>
          <w:color w:val="auto"/>
          <w:sz w:val="22"/>
          <w:highlight w:val="none"/>
        </w:rPr>
        <w:t>至</w:t>
      </w:r>
      <w:r>
        <w:rPr>
          <w:rFonts w:hint="eastAsia" w:ascii="新宋体" w:hAnsi="新宋体" w:eastAsia="新宋体" w:cs="新宋体"/>
          <w:color w:val="auto"/>
          <w:sz w:val="22"/>
          <w:highlight w:val="none"/>
          <w:u w:val="single"/>
        </w:rPr>
        <w:t xml:space="preserve">  </w:t>
      </w:r>
      <w:r>
        <w:rPr>
          <w:rFonts w:hint="eastAsia" w:ascii="新宋体" w:hAnsi="新宋体" w:eastAsia="新宋体" w:cs="新宋体"/>
          <w:color w:val="auto"/>
          <w:sz w:val="22"/>
          <w:highlight w:val="none"/>
        </w:rPr>
        <w:t>期间禁止参加政府采购活动但是期限届满，须附相关证明文件）</w:t>
      </w:r>
    </w:p>
    <w:p>
      <w:pPr>
        <w:numPr>
          <w:ilvl w:val="0"/>
          <w:numId w:val="10"/>
        </w:numPr>
        <w:spacing w:line="420" w:lineRule="exac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在投标截止前（未被“信用中国”网站(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新宋体" w:hAnsi="新宋体" w:eastAsia="新宋体" w:cs="新宋体"/>
          <w:color w:val="auto"/>
          <w:sz w:val="22"/>
          <w:highlight w:val="none"/>
        </w:rPr>
        <w:t>www.creditchina.gov.cn</w:t>
      </w:r>
      <w:r>
        <w:rPr>
          <w:rFonts w:hint="eastAsia" w:ascii="新宋体" w:hAnsi="新宋体" w:eastAsia="新宋体" w:cs="新宋体"/>
          <w:color w:val="auto"/>
          <w:sz w:val="22"/>
          <w:highlight w:val="none"/>
        </w:rPr>
        <w:fldChar w:fldCharType="end"/>
      </w:r>
      <w:r>
        <w:rPr>
          <w:rFonts w:hint="eastAsia" w:ascii="新宋体" w:hAnsi="新宋体" w:eastAsia="新宋体" w:cs="新宋体"/>
          <w:color w:val="auto"/>
          <w:sz w:val="22"/>
          <w:highlight w:val="none"/>
        </w:rPr>
        <w:t>)列入失信被执行人、重大税收违法案件当事人名单；未被“中国政府采购网”(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新宋体" w:hAnsi="新宋体" w:eastAsia="新宋体" w:cs="新宋体"/>
          <w:color w:val="auto"/>
          <w:sz w:val="22"/>
          <w:highlight w:val="none"/>
        </w:rPr>
        <w:t>www.ccgp.gov.cn</w:t>
      </w:r>
      <w:r>
        <w:rPr>
          <w:rFonts w:hint="eastAsia" w:ascii="新宋体" w:hAnsi="新宋体" w:eastAsia="新宋体" w:cs="新宋体"/>
          <w:color w:val="auto"/>
          <w:sz w:val="22"/>
          <w:highlight w:val="none"/>
        </w:rPr>
        <w:fldChar w:fldCharType="end"/>
      </w:r>
      <w:r>
        <w:rPr>
          <w:rFonts w:hint="eastAsia" w:ascii="新宋体" w:hAnsi="新宋体" w:eastAsia="新宋体" w:cs="新宋体"/>
          <w:color w:val="auto"/>
          <w:sz w:val="22"/>
          <w:highlight w:val="none"/>
        </w:rPr>
        <w:t>)列入政府采购严重违法失信行为记录名单。）或（被“信用中国”或“中国政府采购网”列入……名单。）</w:t>
      </w:r>
    </w:p>
    <w:p>
      <w:pPr>
        <w:numPr>
          <w:ilvl w:val="0"/>
          <w:numId w:val="10"/>
        </w:numPr>
        <w:spacing w:line="420" w:lineRule="exac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如有列情形之一的，我方愿意被取消中标资格（如中标），同时继续承担其他一切法律后果，并不再寻求任何旨在减轻或免除法律责任的解释：</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(1)提供虚假材料（承诺）谋取中标、成交的；</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(2)采取不正当手段诋毁、排挤其他供应商的；</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(3)与采购人、其它供应商或者采购代理机构恶意串通的；</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(4)向采购人、采购代理机构行贿或者提供其他不正当利益的；</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(5)在招标采购过程中与采购人进行协商谈判的；</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(6)拒绝有关部门监督检查或提供虚假情况的。</w:t>
      </w:r>
    </w:p>
    <w:p>
      <w:pPr>
        <w:numPr>
          <w:ilvl w:val="0"/>
          <w:numId w:val="10"/>
        </w:numPr>
        <w:spacing w:line="420" w:lineRule="exac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所有与本投标有关的函件请发往下列地址：</w:t>
      </w:r>
    </w:p>
    <w:p>
      <w:pPr>
        <w:spacing w:line="420" w:lineRule="exact"/>
        <w:ind w:firstLine="43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地址</w:t>
      </w:r>
      <w:r>
        <w:rPr>
          <w:rFonts w:hint="eastAsia" w:ascii="新宋体" w:hAnsi="新宋体" w:eastAsia="新宋体" w:cs="新宋体"/>
          <w:color w:val="auto"/>
          <w:sz w:val="22"/>
          <w:szCs w:val="22"/>
          <w:highlight w:val="none"/>
          <w:u w:val="single"/>
        </w:rPr>
        <w:t xml:space="preserve">                           </w:t>
      </w:r>
    </w:p>
    <w:p>
      <w:pPr>
        <w:spacing w:line="420" w:lineRule="exact"/>
        <w:ind w:firstLine="43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电话</w:t>
      </w:r>
      <w:r>
        <w:rPr>
          <w:rFonts w:hint="eastAsia" w:ascii="新宋体" w:hAnsi="新宋体" w:eastAsia="新宋体" w:cs="新宋体"/>
          <w:color w:val="auto"/>
          <w:sz w:val="22"/>
          <w:szCs w:val="22"/>
          <w:highlight w:val="none"/>
          <w:u w:val="single"/>
        </w:rPr>
        <w:t xml:space="preserve">                           </w:t>
      </w:r>
    </w:p>
    <w:p>
      <w:pPr>
        <w:spacing w:line="420" w:lineRule="exact"/>
        <w:ind w:firstLine="435"/>
        <w:rPr>
          <w:rFonts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 xml:space="preserve">   传真</w:t>
      </w:r>
      <w:r>
        <w:rPr>
          <w:rFonts w:hint="eastAsia" w:ascii="新宋体" w:hAnsi="新宋体" w:eastAsia="新宋体" w:cs="新宋体"/>
          <w:color w:val="auto"/>
          <w:sz w:val="22"/>
          <w:szCs w:val="22"/>
          <w:highlight w:val="none"/>
          <w:u w:val="single"/>
        </w:rPr>
        <w:t xml:space="preserve">                           </w:t>
      </w:r>
    </w:p>
    <w:p>
      <w:pPr>
        <w:spacing w:line="420" w:lineRule="exact"/>
        <w:ind w:firstLine="770" w:firstLineChars="350"/>
        <w:rPr>
          <w:rFonts w:ascii="新宋体" w:hAnsi="新宋体" w:eastAsia="新宋体"/>
          <w:color w:val="auto"/>
          <w:sz w:val="22"/>
          <w:szCs w:val="22"/>
          <w:highlight w:val="none"/>
        </w:rPr>
      </w:pPr>
      <w:r>
        <w:rPr>
          <w:rFonts w:hint="eastAsia" w:ascii="新宋体" w:hAnsi="新宋体" w:eastAsia="新宋体" w:cs="新宋体"/>
          <w:color w:val="auto"/>
          <w:sz w:val="22"/>
          <w:szCs w:val="22"/>
          <w:highlight w:val="none"/>
        </w:rPr>
        <w:t>电子邮件</w:t>
      </w:r>
      <w:r>
        <w:rPr>
          <w:rFonts w:hint="eastAsia" w:ascii="新宋体" w:hAnsi="新宋体" w:eastAsia="新宋体" w:cs="新宋体"/>
          <w:color w:val="auto"/>
          <w:sz w:val="22"/>
          <w:szCs w:val="22"/>
          <w:highlight w:val="none"/>
          <w:u w:val="single"/>
        </w:rPr>
        <w:t xml:space="preserve">                           </w:t>
      </w:r>
    </w:p>
    <w:p>
      <w:pPr>
        <w:autoSpaceDE w:val="0"/>
        <w:autoSpaceDN w:val="0"/>
        <w:adjustRightInd w:val="0"/>
        <w:spacing w:line="440" w:lineRule="atLeast"/>
        <w:rPr>
          <w:rFonts w:cs="新宋体" w:asciiTheme="majorEastAsia" w:hAnsiTheme="majorEastAsia" w:eastAsiaTheme="majorEastAsia"/>
          <w:color w:val="auto"/>
          <w:sz w:val="22"/>
          <w:szCs w:val="22"/>
          <w:highlight w:val="none"/>
        </w:rPr>
      </w:pPr>
    </w:p>
    <w:p>
      <w:pPr>
        <w:autoSpaceDE w:val="0"/>
        <w:autoSpaceDN w:val="0"/>
        <w:adjustRightInd w:val="0"/>
        <w:spacing w:line="440" w:lineRule="atLeast"/>
        <w:ind w:firstLine="1980" w:firstLineChars="900"/>
        <w:rPr>
          <w:rFonts w:cs="新宋体" w:asciiTheme="majorEastAsia" w:hAnsiTheme="majorEastAsia" w:eastAsiaTheme="majorEastAsia"/>
          <w:color w:val="auto"/>
          <w:sz w:val="22"/>
          <w:szCs w:val="22"/>
          <w:highlight w:val="none"/>
          <w:lang w:val="zh-CN"/>
        </w:rPr>
      </w:pPr>
    </w:p>
    <w:p>
      <w:pPr>
        <w:autoSpaceDE w:val="0"/>
        <w:autoSpaceDN w:val="0"/>
        <w:adjustRightInd w:val="0"/>
        <w:spacing w:line="440" w:lineRule="atLeast"/>
        <w:jc w:val="left"/>
        <w:rPr>
          <w:rFonts w:cs="新宋体" w:asciiTheme="majorEastAsia" w:hAnsiTheme="majorEastAsia" w:eastAsiaTheme="majorEastAsia"/>
          <w:color w:val="auto"/>
          <w:sz w:val="22"/>
          <w:szCs w:val="22"/>
          <w:highlight w:val="none"/>
          <w:lang w:val="zh-CN"/>
        </w:rPr>
      </w:pPr>
      <w:r>
        <w:rPr>
          <w:rFonts w:hint="eastAsia" w:cs="新宋体" w:asciiTheme="majorEastAsia" w:hAnsiTheme="majorEastAsia" w:eastAsiaTheme="majorEastAsia"/>
          <w:color w:val="auto"/>
          <w:sz w:val="22"/>
          <w:szCs w:val="22"/>
          <w:highlight w:val="none"/>
          <w:lang w:val="zh-CN"/>
        </w:rPr>
        <w:t>供应商全称（盖章）：</w:t>
      </w:r>
    </w:p>
    <w:p>
      <w:pPr>
        <w:autoSpaceDE w:val="0"/>
        <w:autoSpaceDN w:val="0"/>
        <w:adjustRightInd w:val="0"/>
        <w:spacing w:line="440" w:lineRule="atLeast"/>
        <w:jc w:val="left"/>
        <w:rPr>
          <w:rFonts w:cs="新宋体" w:asciiTheme="majorEastAsia" w:hAnsiTheme="majorEastAsia" w:eastAsiaTheme="majorEastAsia"/>
          <w:color w:val="auto"/>
          <w:sz w:val="22"/>
          <w:szCs w:val="22"/>
          <w:highlight w:val="none"/>
          <w:lang w:val="zh-CN"/>
        </w:rPr>
      </w:pPr>
      <w:r>
        <w:rPr>
          <w:rFonts w:hint="eastAsia" w:cs="新宋体" w:asciiTheme="majorEastAsia" w:hAnsiTheme="majorEastAsia" w:eastAsiaTheme="majorEastAsia"/>
          <w:color w:val="auto"/>
          <w:sz w:val="22"/>
          <w:szCs w:val="22"/>
          <w:highlight w:val="none"/>
          <w:lang w:val="zh-CN"/>
        </w:rPr>
        <w:t>日期：</w:t>
      </w:r>
    </w:p>
    <w:p>
      <w:pPr>
        <w:autoSpaceDE w:val="0"/>
        <w:autoSpaceDN w:val="0"/>
        <w:adjustRightInd w:val="0"/>
        <w:snapToGrid w:val="0"/>
        <w:spacing w:line="480" w:lineRule="atLeast"/>
        <w:ind w:firstLine="440" w:firstLineChars="200"/>
        <w:jc w:val="left"/>
        <w:rPr>
          <w:rFonts w:cs="仿宋_GB2312" w:asciiTheme="majorEastAsia" w:hAnsiTheme="majorEastAsia" w:eastAsiaTheme="majorEastAsia"/>
          <w:color w:val="auto"/>
          <w:sz w:val="22"/>
          <w:highlight w:val="none"/>
          <w:lang w:val="zh-CN"/>
        </w:rPr>
      </w:pPr>
    </w:p>
    <w:p>
      <w:pPr>
        <w:rPr>
          <w:rFonts w:asciiTheme="majorEastAsia" w:hAnsiTheme="majorEastAsia" w:eastAsiaTheme="majorEastAsia"/>
          <w:b/>
          <w:bCs/>
          <w:color w:val="auto"/>
          <w:sz w:val="22"/>
          <w:szCs w:val="22"/>
          <w:highlight w:val="none"/>
        </w:rPr>
      </w:pPr>
      <w:bookmarkStart w:id="213" w:name="_Toc493530219"/>
      <w:r>
        <w:rPr>
          <w:rFonts w:hint="eastAsia" w:asciiTheme="majorEastAsia" w:hAnsiTheme="majorEastAsia" w:eastAsiaTheme="majorEastAsia"/>
          <w:b/>
          <w:bCs/>
          <w:color w:val="auto"/>
          <w:sz w:val="22"/>
          <w:szCs w:val="22"/>
          <w:highlight w:val="none"/>
        </w:rPr>
        <w:br w:type="page"/>
      </w:r>
    </w:p>
    <w:p>
      <w:pPr>
        <w:widowControl/>
        <w:spacing w:line="460" w:lineRule="atLeast"/>
        <w:jc w:val="left"/>
        <w:rPr>
          <w:rFonts w:hint="eastAsia" w:asciiTheme="majorEastAsia" w:hAnsiTheme="majorEastAsia" w:eastAsiaTheme="majorEastAsia"/>
          <w:b/>
          <w:bCs/>
          <w:color w:val="auto"/>
          <w:sz w:val="22"/>
          <w:szCs w:val="22"/>
          <w:highlight w:val="none"/>
          <w:lang w:eastAsia="zh-CN"/>
        </w:rPr>
      </w:pPr>
      <w:r>
        <w:rPr>
          <w:rFonts w:hint="eastAsia" w:asciiTheme="majorEastAsia" w:hAnsiTheme="majorEastAsia" w:eastAsiaTheme="majorEastAsia"/>
          <w:b/>
          <w:bCs/>
          <w:color w:val="auto"/>
          <w:sz w:val="22"/>
          <w:szCs w:val="22"/>
          <w:highlight w:val="none"/>
        </w:rPr>
        <w:t>附件</w:t>
      </w:r>
      <w:bookmarkEnd w:id="213"/>
      <w:r>
        <w:rPr>
          <w:rFonts w:hint="eastAsia" w:asciiTheme="majorEastAsia" w:hAnsiTheme="majorEastAsia" w:eastAsiaTheme="majorEastAsia"/>
          <w:b/>
          <w:bCs/>
          <w:color w:val="auto"/>
          <w:sz w:val="22"/>
          <w:szCs w:val="22"/>
          <w:highlight w:val="none"/>
          <w:lang w:val="en-US" w:eastAsia="zh-CN"/>
        </w:rPr>
        <w:t>六</w:t>
      </w:r>
    </w:p>
    <w:p>
      <w:pPr>
        <w:tabs>
          <w:tab w:val="left" w:pos="1080"/>
        </w:tabs>
        <w:autoSpaceDE w:val="0"/>
        <w:autoSpaceDN w:val="0"/>
        <w:adjustRightInd w:val="0"/>
        <w:spacing w:line="440" w:lineRule="atLeast"/>
        <w:jc w:val="center"/>
        <w:rPr>
          <w:rFonts w:cs="新宋体" w:asciiTheme="majorEastAsia" w:hAnsiTheme="majorEastAsia" w:eastAsiaTheme="majorEastAsia"/>
          <w:b/>
          <w:color w:val="auto"/>
          <w:sz w:val="32"/>
          <w:szCs w:val="32"/>
          <w:highlight w:val="none"/>
          <w:lang w:val="zh-CN"/>
        </w:rPr>
      </w:pPr>
      <w:r>
        <w:rPr>
          <w:rFonts w:hint="eastAsia" w:cs="新宋体" w:asciiTheme="majorEastAsia" w:hAnsiTheme="majorEastAsia" w:eastAsiaTheme="majorEastAsia"/>
          <w:b/>
          <w:color w:val="auto"/>
          <w:sz w:val="32"/>
          <w:szCs w:val="32"/>
          <w:highlight w:val="none"/>
          <w:lang w:val="zh-CN"/>
        </w:rPr>
        <w:t>法定代表人诚信投标承诺书</w:t>
      </w:r>
    </w:p>
    <w:p>
      <w:pPr>
        <w:spacing w:line="360" w:lineRule="auto"/>
        <w:jc w:val="left"/>
        <w:rPr>
          <w:rFonts w:cs="新宋体" w:asciiTheme="majorEastAsia" w:hAnsiTheme="majorEastAsia" w:eastAsiaTheme="majorEastAsia"/>
          <w:b/>
          <w:color w:val="auto"/>
          <w:sz w:val="24"/>
          <w:highlight w:val="none"/>
        </w:rPr>
      </w:pPr>
    </w:p>
    <w:p>
      <w:pPr>
        <w:spacing w:line="460" w:lineRule="atLeast"/>
        <w:jc w:val="left"/>
        <w:rPr>
          <w:rFonts w:cs="新宋体" w:asciiTheme="majorEastAsia" w:hAnsiTheme="majorEastAsia" w:eastAsiaTheme="majorEastAsia"/>
          <w:b/>
          <w:color w:val="auto"/>
          <w:sz w:val="22"/>
          <w:szCs w:val="22"/>
          <w:highlight w:val="none"/>
        </w:rPr>
      </w:pPr>
      <w:r>
        <w:rPr>
          <w:rFonts w:hint="eastAsia" w:cs="新宋体" w:asciiTheme="majorEastAsia" w:hAnsiTheme="majorEastAsia" w:eastAsiaTheme="majorEastAsia"/>
          <w:b/>
          <w:color w:val="auto"/>
          <w:sz w:val="22"/>
          <w:szCs w:val="22"/>
          <w:highlight w:val="none"/>
        </w:rPr>
        <w:t>本人以企业法定代表人的身份郑重承诺：</w:t>
      </w:r>
    </w:p>
    <w:p>
      <w:pPr>
        <w:spacing w:line="460" w:lineRule="atLeast"/>
        <w:ind w:firstLine="440" w:firstLineChars="200"/>
        <w:jc w:val="left"/>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将遵循公开、公平、公正和诚信信用的原则参加</w:t>
      </w:r>
      <w:r>
        <w:rPr>
          <w:rFonts w:hint="eastAsia" w:cs="新宋体" w:asciiTheme="majorEastAsia" w:hAnsiTheme="majorEastAsia" w:eastAsiaTheme="majorEastAsia"/>
          <w:color w:val="auto"/>
          <w:sz w:val="22"/>
          <w:szCs w:val="22"/>
          <w:highlight w:val="none"/>
          <w:u w:val="single"/>
        </w:rPr>
        <w:t xml:space="preserve">              项目（项目编号：   ）</w:t>
      </w:r>
      <w:r>
        <w:rPr>
          <w:rFonts w:hint="eastAsia" w:cs="新宋体" w:asciiTheme="majorEastAsia" w:hAnsiTheme="majorEastAsia" w:eastAsiaTheme="majorEastAsia"/>
          <w:color w:val="auto"/>
          <w:sz w:val="22"/>
          <w:szCs w:val="22"/>
          <w:highlight w:val="none"/>
        </w:rPr>
        <w:t>的投标；</w:t>
      </w:r>
    </w:p>
    <w:p>
      <w:pPr>
        <w:spacing w:line="460" w:lineRule="atLeast"/>
        <w:ind w:firstLine="440" w:firstLineChars="200"/>
        <w:jc w:val="left"/>
        <w:rPr>
          <w:rFonts w:cs="新宋体" w:asciiTheme="majorEastAsia" w:hAnsiTheme="majorEastAsia" w:eastAsiaTheme="majorEastAsia"/>
          <w:color w:val="auto"/>
          <w:sz w:val="22"/>
          <w:szCs w:val="22"/>
          <w:highlight w:val="none"/>
          <w:u w:val="single"/>
        </w:rPr>
      </w:pPr>
      <w:r>
        <w:rPr>
          <w:rFonts w:hint="eastAsia" w:cs="新宋体" w:asciiTheme="majorEastAsia" w:hAnsiTheme="majorEastAsia" w:eastAsiaTheme="majorEastAsia"/>
          <w:color w:val="auto"/>
          <w:sz w:val="22"/>
          <w:szCs w:val="22"/>
          <w:highlight w:val="none"/>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二、投标文件所提供的一切材料都是真实、有效、合法的。</w:t>
      </w:r>
    </w:p>
    <w:p>
      <w:pPr>
        <w:spacing w:line="460" w:lineRule="atLeast"/>
        <w:ind w:firstLine="440" w:firstLineChars="200"/>
        <w:jc w:val="left"/>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三、不与其他投标供应商相互串通投标报价，不排挤其他投标供应商的公平竞争，不损害招标人或其他投标供应商的合法权益。</w:t>
      </w:r>
    </w:p>
    <w:p>
      <w:pPr>
        <w:spacing w:line="460" w:lineRule="atLeast"/>
        <w:ind w:firstLine="440" w:firstLineChars="200"/>
        <w:jc w:val="left"/>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四、不与采购人或采购代理机构串通投标，不损害国家利益，社会公共利益或其他人的合法权益。</w:t>
      </w:r>
    </w:p>
    <w:p>
      <w:pPr>
        <w:spacing w:line="460" w:lineRule="atLeast"/>
        <w:ind w:firstLine="440" w:firstLineChars="200"/>
        <w:jc w:val="left"/>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五、不向采购人或者评标委员会成员行贿以牟取中标。</w:t>
      </w:r>
    </w:p>
    <w:p>
      <w:pPr>
        <w:spacing w:line="460" w:lineRule="atLeast"/>
        <w:ind w:firstLine="440" w:firstLineChars="200"/>
        <w:jc w:val="left"/>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六、不以其他人名义投标或者以其他方式弄虚作假，骗取中标。</w:t>
      </w:r>
    </w:p>
    <w:p>
      <w:pPr>
        <w:spacing w:line="460" w:lineRule="atLeast"/>
        <w:ind w:firstLine="440" w:firstLineChars="200"/>
        <w:jc w:val="left"/>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七、不在开标后进行虚假恶意投诉。</w:t>
      </w:r>
    </w:p>
    <w:p>
      <w:pPr>
        <w:spacing w:line="460" w:lineRule="atLeast"/>
        <w:ind w:firstLine="440" w:firstLineChars="200"/>
        <w:jc w:val="left"/>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八、我单位没有被政府机关列入失信被执行人名单、重大税收违法案件当事人名单、政府采购严重违法失信行为记录名单及其他不符合《中华人民共和国政府采购法》第二十二条规定条件的情形：</w:t>
      </w:r>
    </w:p>
    <w:p>
      <w:pPr>
        <w:spacing w:line="460" w:lineRule="atLeast"/>
        <w:ind w:firstLine="440" w:firstLineChars="200"/>
        <w:jc w:val="left"/>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 xml:space="preserve">九、没有被各地、各级财政部门禁止参加政府采购活动，且在限制期限内：    </w:t>
      </w:r>
    </w:p>
    <w:p>
      <w:pPr>
        <w:spacing w:line="460" w:lineRule="atLeast"/>
        <w:ind w:firstLine="440" w:firstLineChars="200"/>
        <w:jc w:val="left"/>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十、参与本项目政府采购活动3年内没有重大违法记录情况。</w:t>
      </w:r>
    </w:p>
    <w:p>
      <w:pPr>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2970" w:firstLineChars="1350"/>
        <w:rPr>
          <w:rFonts w:cs="新宋体"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法定代表人（签字或盖章）：</w:t>
      </w:r>
    </w:p>
    <w:p>
      <w:pPr>
        <w:spacing w:line="460" w:lineRule="atLeast"/>
        <w:ind w:right="1120" w:firstLine="2970" w:firstLineChars="135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投标供应商（盖章）</w:t>
      </w:r>
    </w:p>
    <w:p>
      <w:pPr>
        <w:spacing w:line="460" w:lineRule="atLeast"/>
        <w:ind w:right="1120" w:firstLine="2970" w:firstLineChars="1350"/>
        <w:rPr>
          <w:rFonts w:cs="新宋体" w:asciiTheme="majorEastAsia" w:hAnsiTheme="majorEastAsia" w:eastAsiaTheme="majorEastAsia"/>
          <w:color w:val="auto"/>
          <w:highlight w:val="none"/>
        </w:rPr>
      </w:pPr>
      <w:r>
        <w:rPr>
          <w:rFonts w:hint="eastAsia" w:cs="新宋体" w:asciiTheme="majorEastAsia" w:hAnsiTheme="majorEastAsia" w:eastAsiaTheme="majorEastAsia"/>
          <w:color w:val="auto"/>
          <w:sz w:val="22"/>
          <w:szCs w:val="22"/>
          <w:highlight w:val="none"/>
        </w:rPr>
        <w:t>承诺书签署日期：         年  月  日</w:t>
      </w:r>
    </w:p>
    <w:p>
      <w:pPr>
        <w:spacing w:line="360" w:lineRule="exact"/>
        <w:jc w:val="left"/>
        <w:rPr>
          <w:rFonts w:cs="新宋体" w:asciiTheme="majorEastAsia" w:hAnsiTheme="majorEastAsia" w:eastAsiaTheme="majorEastAsia"/>
          <w:b/>
          <w:bCs/>
          <w:color w:val="auto"/>
          <w:sz w:val="22"/>
          <w:szCs w:val="22"/>
          <w:highlight w:val="none"/>
          <w:u w:val="single"/>
        </w:rPr>
      </w:pPr>
    </w:p>
    <w:p>
      <w:pPr>
        <w:spacing w:line="360" w:lineRule="exact"/>
        <w:jc w:val="left"/>
        <w:rPr>
          <w:rFonts w:cs="新宋体" w:asciiTheme="majorEastAsia" w:hAnsiTheme="majorEastAsia" w:eastAsiaTheme="majorEastAsia"/>
          <w:b/>
          <w:color w:val="auto"/>
          <w:sz w:val="30"/>
          <w:highlight w:val="none"/>
        </w:rPr>
      </w:pPr>
      <w:r>
        <w:rPr>
          <w:rFonts w:hint="eastAsia" w:cs="新宋体" w:asciiTheme="majorEastAsia" w:hAnsiTheme="majorEastAsia" w:eastAsiaTheme="majorEastAsia"/>
          <w:b/>
          <w:color w:val="auto"/>
          <w:sz w:val="22"/>
          <w:szCs w:val="22"/>
          <w:highlight w:val="none"/>
          <w:u w:val="single"/>
        </w:rPr>
        <w:t>备注：▲投标供应商必须提供本承诺书，不提供按无效投标处理。</w:t>
      </w:r>
    </w:p>
    <w:p>
      <w:pPr>
        <w:tabs>
          <w:tab w:val="left" w:pos="2520"/>
        </w:tabs>
        <w:spacing w:line="440" w:lineRule="exact"/>
        <w:outlineLvl w:val="0"/>
        <w:rPr>
          <w:rFonts w:cs="新宋体" w:asciiTheme="majorEastAsia" w:hAnsiTheme="majorEastAsia" w:eastAsiaTheme="majorEastAsia"/>
          <w:color w:val="auto"/>
          <w:highlight w:val="none"/>
        </w:rPr>
      </w:pPr>
    </w:p>
    <w:p>
      <w:pPr>
        <w:tabs>
          <w:tab w:val="left" w:pos="2520"/>
        </w:tabs>
        <w:spacing w:line="440" w:lineRule="exact"/>
        <w:outlineLvl w:val="0"/>
        <w:rPr>
          <w:rFonts w:cs="新宋体" w:asciiTheme="majorEastAsia" w:hAnsiTheme="majorEastAsia" w:eastAsiaTheme="majorEastAsia"/>
          <w:color w:val="auto"/>
          <w:highlight w:val="none"/>
        </w:rPr>
      </w:pPr>
    </w:p>
    <w:p>
      <w:pPr>
        <w:spacing w:line="360" w:lineRule="exact"/>
        <w:jc w:val="left"/>
        <w:rPr>
          <w:rFonts w:hint="eastAsia" w:asciiTheme="majorEastAsia" w:hAnsiTheme="majorEastAsia" w:eastAsiaTheme="majorEastAsia"/>
          <w:b/>
          <w:bCs/>
          <w:color w:val="auto"/>
          <w:sz w:val="22"/>
          <w:szCs w:val="22"/>
          <w:highlight w:val="none"/>
          <w:lang w:val="en-US" w:eastAsia="zh-CN"/>
        </w:rPr>
      </w:pPr>
      <w:r>
        <w:rPr>
          <w:rFonts w:asciiTheme="majorEastAsia" w:hAnsiTheme="majorEastAsia" w:eastAsiaTheme="majorEastAsia"/>
          <w:color w:val="auto"/>
          <w:sz w:val="22"/>
          <w:szCs w:val="22"/>
          <w:highlight w:val="none"/>
        </w:rPr>
        <w:br w:type="page"/>
      </w:r>
      <w:r>
        <w:rPr>
          <w:rFonts w:hint="eastAsia" w:asciiTheme="majorEastAsia" w:hAnsiTheme="majorEastAsia" w:eastAsiaTheme="majorEastAsia"/>
          <w:b/>
          <w:color w:val="auto"/>
          <w:sz w:val="22"/>
          <w:szCs w:val="22"/>
          <w:highlight w:val="none"/>
        </w:rPr>
        <w:t>附件</w:t>
      </w:r>
      <w:r>
        <w:rPr>
          <w:rFonts w:hint="eastAsia" w:asciiTheme="majorEastAsia" w:hAnsiTheme="majorEastAsia" w:eastAsiaTheme="majorEastAsia"/>
          <w:b/>
          <w:color w:val="auto"/>
          <w:sz w:val="22"/>
          <w:szCs w:val="22"/>
          <w:highlight w:val="none"/>
          <w:lang w:val="en-US" w:eastAsia="zh-CN"/>
        </w:rPr>
        <w:t>七</w:t>
      </w:r>
    </w:p>
    <w:p>
      <w:pPr>
        <w:tabs>
          <w:tab w:val="left" w:pos="1080"/>
        </w:tabs>
        <w:autoSpaceDE w:val="0"/>
        <w:autoSpaceDN w:val="0"/>
        <w:adjustRightInd w:val="0"/>
        <w:spacing w:line="440" w:lineRule="atLeast"/>
        <w:jc w:val="center"/>
        <w:rPr>
          <w:rFonts w:cs="仿宋_GB2312" w:asciiTheme="majorEastAsia" w:hAnsiTheme="majorEastAsia" w:eastAsiaTheme="majorEastAsia"/>
          <w:b/>
          <w:color w:val="auto"/>
          <w:sz w:val="32"/>
          <w:szCs w:val="32"/>
          <w:highlight w:val="none"/>
          <w:lang w:val="zh-CN"/>
        </w:rPr>
      </w:pPr>
      <w:r>
        <w:rPr>
          <w:rFonts w:hint="eastAsia" w:cs="仿宋_GB2312" w:asciiTheme="majorEastAsia" w:hAnsiTheme="majorEastAsia" w:eastAsiaTheme="majorEastAsia"/>
          <w:b/>
          <w:color w:val="auto"/>
          <w:sz w:val="32"/>
          <w:szCs w:val="32"/>
          <w:highlight w:val="none"/>
          <w:lang w:val="zh-CN"/>
        </w:rPr>
        <w:t>类似业绩（时间以签订的时间为准）</w:t>
      </w:r>
    </w:p>
    <w:p>
      <w:pPr>
        <w:spacing w:line="460" w:lineRule="exact"/>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项目名称：                                              项目编号：</w:t>
      </w:r>
    </w:p>
    <w:tbl>
      <w:tblPr>
        <w:tblStyle w:val="43"/>
        <w:tblW w:w="938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285"/>
        <w:gridCol w:w="1299"/>
        <w:gridCol w:w="1355"/>
        <w:gridCol w:w="1296"/>
        <w:gridCol w:w="1064"/>
        <w:gridCol w:w="127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Theme="majorEastAsia" w:hAnsiTheme="majorEastAsia" w:eastAsiaTheme="majorEastAsia"/>
                <w:caps/>
                <w:color w:val="auto"/>
                <w:spacing w:val="20"/>
                <w:sz w:val="22"/>
                <w:highlight w:val="none"/>
              </w:rPr>
            </w:pPr>
            <w:r>
              <w:rPr>
                <w:rFonts w:hint="eastAsia" w:asciiTheme="majorEastAsia" w:hAnsiTheme="majorEastAsia" w:eastAsiaTheme="majorEastAsia"/>
                <w:caps/>
                <w:color w:val="auto"/>
                <w:spacing w:val="20"/>
                <w:sz w:val="22"/>
                <w:szCs w:val="22"/>
                <w:highlight w:val="none"/>
              </w:rPr>
              <w:t>序号</w:t>
            </w:r>
          </w:p>
        </w:tc>
        <w:tc>
          <w:tcPr>
            <w:tcW w:w="128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r>
              <w:rPr>
                <w:rFonts w:hint="eastAsia" w:asciiTheme="majorEastAsia" w:hAnsiTheme="majorEastAsia" w:eastAsiaTheme="majorEastAsia"/>
                <w:color w:val="auto"/>
                <w:spacing w:val="20"/>
                <w:sz w:val="22"/>
                <w:szCs w:val="22"/>
                <w:highlight w:val="none"/>
              </w:rPr>
              <w:t>采购单位</w:t>
            </w:r>
          </w:p>
        </w:tc>
        <w:tc>
          <w:tcPr>
            <w:tcW w:w="1299" w:type="dxa"/>
            <w:vAlign w:val="center"/>
          </w:tcPr>
          <w:p>
            <w:pPr>
              <w:tabs>
                <w:tab w:val="left" w:pos="4140"/>
              </w:tabs>
              <w:adjustRightInd w:val="0"/>
              <w:snapToGrid w:val="0"/>
              <w:spacing w:line="320" w:lineRule="atLeast"/>
              <w:jc w:val="center"/>
              <w:rPr>
                <w:rFonts w:asciiTheme="majorEastAsia" w:hAnsiTheme="majorEastAsia" w:eastAsiaTheme="majorEastAsia"/>
                <w:caps/>
                <w:color w:val="auto"/>
                <w:spacing w:val="20"/>
                <w:sz w:val="22"/>
                <w:highlight w:val="none"/>
              </w:rPr>
            </w:pPr>
            <w:r>
              <w:rPr>
                <w:rFonts w:hint="eastAsia" w:asciiTheme="majorEastAsia" w:hAnsiTheme="majorEastAsia" w:eastAsiaTheme="majorEastAsia"/>
                <w:caps/>
                <w:color w:val="auto"/>
                <w:spacing w:val="20"/>
                <w:sz w:val="22"/>
                <w:szCs w:val="22"/>
                <w:highlight w:val="none"/>
              </w:rPr>
              <w:t>项目名称</w:t>
            </w:r>
          </w:p>
        </w:tc>
        <w:tc>
          <w:tcPr>
            <w:tcW w:w="1355" w:type="dxa"/>
            <w:vAlign w:val="center"/>
          </w:tcPr>
          <w:p>
            <w:pPr>
              <w:tabs>
                <w:tab w:val="left" w:pos="4140"/>
              </w:tabs>
              <w:adjustRightInd w:val="0"/>
              <w:snapToGrid w:val="0"/>
              <w:spacing w:line="320" w:lineRule="atLeast"/>
              <w:jc w:val="center"/>
              <w:rPr>
                <w:rFonts w:asciiTheme="majorEastAsia" w:hAnsiTheme="majorEastAsia" w:eastAsiaTheme="majorEastAsia"/>
                <w:caps/>
                <w:color w:val="auto"/>
                <w:spacing w:val="20"/>
                <w:sz w:val="22"/>
                <w:highlight w:val="none"/>
              </w:rPr>
            </w:pPr>
            <w:r>
              <w:rPr>
                <w:rFonts w:hint="eastAsia" w:asciiTheme="majorEastAsia" w:hAnsiTheme="majorEastAsia" w:eastAsiaTheme="majorEastAsia"/>
                <w:caps/>
                <w:color w:val="auto"/>
                <w:spacing w:val="20"/>
                <w:sz w:val="22"/>
                <w:szCs w:val="22"/>
                <w:highlight w:val="none"/>
              </w:rPr>
              <w:t>合同金额</w:t>
            </w:r>
          </w:p>
        </w:tc>
        <w:tc>
          <w:tcPr>
            <w:tcW w:w="129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r>
              <w:rPr>
                <w:rFonts w:hint="eastAsia" w:asciiTheme="majorEastAsia" w:hAnsiTheme="majorEastAsia" w:eastAsiaTheme="majorEastAsia"/>
                <w:color w:val="auto"/>
                <w:spacing w:val="20"/>
                <w:sz w:val="22"/>
                <w:szCs w:val="22"/>
                <w:highlight w:val="none"/>
              </w:rPr>
              <w:t>签约日期</w:t>
            </w: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r>
              <w:rPr>
                <w:rFonts w:hint="eastAsia" w:asciiTheme="majorEastAsia" w:hAnsiTheme="majorEastAsia" w:eastAsiaTheme="majorEastAsia"/>
                <w:color w:val="auto"/>
                <w:spacing w:val="20"/>
                <w:sz w:val="22"/>
                <w:szCs w:val="22"/>
                <w:highlight w:val="none"/>
              </w:rPr>
              <w:t>联系人</w:t>
            </w:r>
          </w:p>
        </w:tc>
        <w:tc>
          <w:tcPr>
            <w:tcW w:w="1271"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r>
              <w:rPr>
                <w:rFonts w:hint="eastAsia" w:asciiTheme="majorEastAsia" w:hAnsiTheme="majorEastAsia" w:eastAsiaTheme="majorEastAsia"/>
                <w:color w:val="auto"/>
                <w:spacing w:val="20"/>
                <w:sz w:val="22"/>
                <w:szCs w:val="22"/>
                <w:highlight w:val="none"/>
              </w:rPr>
              <w:t>联系电话</w:t>
            </w: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r>
              <w:rPr>
                <w:rFonts w:hint="eastAsia" w:asciiTheme="majorEastAsia" w:hAnsiTheme="majorEastAsia" w:eastAsiaTheme="majorEastAsia"/>
                <w:color w:val="auto"/>
                <w:spacing w:val="2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4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8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9"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355"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96"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271"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c>
          <w:tcPr>
            <w:tcW w:w="1064" w:type="dxa"/>
            <w:vAlign w:val="center"/>
          </w:tcPr>
          <w:p>
            <w:pPr>
              <w:tabs>
                <w:tab w:val="left" w:pos="4140"/>
              </w:tabs>
              <w:adjustRightInd w:val="0"/>
              <w:snapToGrid w:val="0"/>
              <w:spacing w:line="320" w:lineRule="atLeast"/>
              <w:jc w:val="center"/>
              <w:rPr>
                <w:rFonts w:asciiTheme="majorEastAsia" w:hAnsiTheme="majorEastAsia" w:eastAsiaTheme="majorEastAsia"/>
                <w:color w:val="auto"/>
                <w:spacing w:val="20"/>
                <w:sz w:val="22"/>
                <w:highlight w:val="none"/>
              </w:rPr>
            </w:pPr>
          </w:p>
        </w:tc>
      </w:tr>
    </w:tbl>
    <w:p>
      <w:pPr>
        <w:spacing w:line="460" w:lineRule="exact"/>
        <w:ind w:left="755" w:hanging="754" w:hangingChars="343"/>
        <w:rPr>
          <w:rFonts w:asciiTheme="majorEastAsia" w:hAnsiTheme="majorEastAsia" w:eastAsiaTheme="majorEastAsia"/>
          <w:bCs/>
          <w:color w:val="auto"/>
          <w:sz w:val="22"/>
          <w:szCs w:val="22"/>
          <w:highlight w:val="none"/>
        </w:rPr>
      </w:pPr>
      <w:r>
        <w:rPr>
          <w:rFonts w:hint="eastAsia" w:asciiTheme="majorEastAsia" w:hAnsiTheme="majorEastAsia" w:eastAsiaTheme="majorEastAsia"/>
          <w:color w:val="auto"/>
          <w:sz w:val="22"/>
          <w:szCs w:val="22"/>
          <w:highlight w:val="none"/>
        </w:rPr>
        <w:t>注：投标供应商可按此表格式复制，需后附合同扫描件加盖公章。</w:t>
      </w:r>
    </w:p>
    <w:p>
      <w:pPr>
        <w:spacing w:line="460" w:lineRule="exact"/>
        <w:ind w:left="755" w:hanging="754" w:hangingChars="343"/>
        <w:rPr>
          <w:rFonts w:asciiTheme="majorEastAsia" w:hAnsiTheme="majorEastAsia" w:eastAsiaTheme="majorEastAsia"/>
          <w:bCs/>
          <w:color w:val="auto"/>
          <w:sz w:val="22"/>
          <w:szCs w:val="22"/>
          <w:highlight w:val="none"/>
        </w:rPr>
      </w:pPr>
    </w:p>
    <w:p>
      <w:pPr>
        <w:spacing w:line="440" w:lineRule="atLeast"/>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供应商全称（盖章）：</w:t>
      </w:r>
    </w:p>
    <w:p>
      <w:pPr>
        <w:autoSpaceDE w:val="0"/>
        <w:autoSpaceDN w:val="0"/>
        <w:adjustRightInd w:val="0"/>
        <w:spacing w:line="460" w:lineRule="atLeast"/>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日期：</w:t>
      </w:r>
    </w:p>
    <w:p>
      <w:pPr>
        <w:autoSpaceDE w:val="0"/>
        <w:autoSpaceDN w:val="0"/>
        <w:adjustRightInd w:val="0"/>
        <w:spacing w:line="460" w:lineRule="atLeast"/>
        <w:rPr>
          <w:rFonts w:asciiTheme="majorEastAsia" w:hAnsiTheme="majorEastAsia" w:eastAsiaTheme="majorEastAsia"/>
          <w:color w:val="auto"/>
          <w:sz w:val="22"/>
          <w:highlight w:val="none"/>
        </w:rPr>
      </w:pPr>
    </w:p>
    <w:p>
      <w:pPr>
        <w:autoSpaceDE w:val="0"/>
        <w:autoSpaceDN w:val="0"/>
        <w:adjustRightInd w:val="0"/>
        <w:spacing w:line="460" w:lineRule="atLeast"/>
        <w:rPr>
          <w:rFonts w:asciiTheme="majorEastAsia" w:hAnsiTheme="majorEastAsia" w:eastAsiaTheme="majorEastAsia"/>
          <w:color w:val="auto"/>
          <w:sz w:val="22"/>
          <w:highlight w:val="none"/>
        </w:rPr>
      </w:pPr>
    </w:p>
    <w:p>
      <w:pPr>
        <w:pStyle w:val="40"/>
        <w:rPr>
          <w:rFonts w:asciiTheme="majorEastAsia" w:hAnsiTheme="majorEastAsia" w:eastAsiaTheme="majorEastAsia"/>
          <w:color w:val="auto"/>
          <w:highlight w:val="none"/>
        </w:rPr>
      </w:pPr>
      <w:bookmarkStart w:id="214" w:name="_Toc493530220"/>
    </w:p>
    <w:p>
      <w:pPr>
        <w:rPr>
          <w:rFonts w:asciiTheme="majorEastAsia" w:hAnsiTheme="majorEastAsia" w:eastAsiaTheme="majorEastAsia"/>
          <w:color w:val="auto"/>
          <w:highlight w:val="none"/>
        </w:rPr>
      </w:pPr>
    </w:p>
    <w:bookmarkEnd w:id="214"/>
    <w:p>
      <w:pPr>
        <w:rPr>
          <w:rFonts w:asciiTheme="majorEastAsia" w:hAnsiTheme="majorEastAsia" w:eastAsiaTheme="majorEastAsia"/>
          <w:b/>
          <w:color w:val="auto"/>
          <w:sz w:val="22"/>
          <w:szCs w:val="22"/>
          <w:highlight w:val="none"/>
        </w:rPr>
      </w:pPr>
      <w:r>
        <w:rPr>
          <w:rFonts w:hint="eastAsia" w:asciiTheme="majorEastAsia" w:hAnsiTheme="majorEastAsia" w:eastAsiaTheme="majorEastAsia"/>
          <w:b/>
          <w:color w:val="auto"/>
          <w:sz w:val="22"/>
          <w:szCs w:val="22"/>
          <w:highlight w:val="none"/>
        </w:rPr>
        <w:br w:type="page"/>
      </w:r>
    </w:p>
    <w:p>
      <w:pPr>
        <w:widowControl/>
        <w:jc w:val="left"/>
        <w:rPr>
          <w:rFonts w:hint="eastAsia" w:asciiTheme="majorEastAsia" w:hAnsiTheme="majorEastAsia" w:eastAsiaTheme="majorEastAsia"/>
          <w:b/>
          <w:bCs/>
          <w:color w:val="auto"/>
          <w:sz w:val="22"/>
          <w:szCs w:val="22"/>
          <w:highlight w:val="none"/>
          <w:lang w:eastAsia="zh-CN"/>
        </w:rPr>
      </w:pPr>
      <w:r>
        <w:rPr>
          <w:rFonts w:hint="eastAsia" w:asciiTheme="majorEastAsia" w:hAnsiTheme="majorEastAsia" w:eastAsiaTheme="majorEastAsia"/>
          <w:b/>
          <w:color w:val="auto"/>
          <w:sz w:val="22"/>
          <w:szCs w:val="22"/>
          <w:highlight w:val="none"/>
        </w:rPr>
        <w:t>附件</w:t>
      </w:r>
      <w:r>
        <w:rPr>
          <w:rFonts w:hint="eastAsia" w:asciiTheme="majorEastAsia" w:hAnsiTheme="majorEastAsia" w:eastAsiaTheme="majorEastAsia"/>
          <w:b/>
          <w:color w:val="auto"/>
          <w:sz w:val="22"/>
          <w:szCs w:val="22"/>
          <w:highlight w:val="none"/>
          <w:lang w:val="en-US" w:eastAsia="zh-CN"/>
        </w:rPr>
        <w:t>八</w:t>
      </w:r>
    </w:p>
    <w:p>
      <w:pPr>
        <w:pStyle w:val="4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商务、技术偏离表</w:t>
      </w:r>
    </w:p>
    <w:p>
      <w:pPr>
        <w:spacing w:line="560" w:lineRule="exact"/>
        <w:ind w:firstLine="431" w:firstLineChars="196"/>
        <w:rPr>
          <w:rFonts w:asciiTheme="majorEastAsia" w:hAnsiTheme="majorEastAsia" w:eastAsiaTheme="majorEastAsia"/>
          <w:bCs/>
          <w:color w:val="auto"/>
          <w:sz w:val="22"/>
          <w:szCs w:val="22"/>
          <w:highlight w:val="none"/>
        </w:rPr>
      </w:pPr>
      <w:r>
        <w:rPr>
          <w:rFonts w:hint="eastAsia" w:asciiTheme="majorEastAsia" w:hAnsiTheme="majorEastAsia" w:eastAsiaTheme="majorEastAsia"/>
          <w:color w:val="auto"/>
          <w:sz w:val="22"/>
          <w:szCs w:val="22"/>
          <w:highlight w:val="none"/>
        </w:rPr>
        <w:t>项目名称：                                       项目编号：</w:t>
      </w:r>
    </w:p>
    <w:tbl>
      <w:tblPr>
        <w:tblStyle w:val="43"/>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34"/>
        <w:gridCol w:w="2743"/>
        <w:gridCol w:w="3023"/>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368" w:type="dxa"/>
            <w:vAlign w:val="center"/>
          </w:tcPr>
          <w:p>
            <w:pPr>
              <w:jc w:val="center"/>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内   容</w:t>
            </w:r>
          </w:p>
        </w:tc>
        <w:tc>
          <w:tcPr>
            <w:tcW w:w="1434" w:type="dxa"/>
            <w:vAlign w:val="center"/>
          </w:tcPr>
          <w:p>
            <w:pPr>
              <w:jc w:val="center"/>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招标文件</w:t>
            </w:r>
          </w:p>
          <w:p>
            <w:pPr>
              <w:jc w:val="center"/>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条目</w:t>
            </w:r>
          </w:p>
        </w:tc>
        <w:tc>
          <w:tcPr>
            <w:tcW w:w="2743" w:type="dxa"/>
            <w:vAlign w:val="center"/>
          </w:tcPr>
          <w:p>
            <w:pPr>
              <w:jc w:val="center"/>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招标文件</w:t>
            </w:r>
          </w:p>
          <w:p>
            <w:pPr>
              <w:jc w:val="center"/>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规格要求</w:t>
            </w:r>
          </w:p>
        </w:tc>
        <w:tc>
          <w:tcPr>
            <w:tcW w:w="3023" w:type="dxa"/>
            <w:vAlign w:val="center"/>
          </w:tcPr>
          <w:p>
            <w:pPr>
              <w:jc w:val="center"/>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投标文件</w:t>
            </w:r>
          </w:p>
          <w:p>
            <w:pPr>
              <w:jc w:val="center"/>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对应规格</w:t>
            </w:r>
          </w:p>
        </w:tc>
        <w:tc>
          <w:tcPr>
            <w:tcW w:w="1260" w:type="dxa"/>
            <w:vAlign w:val="center"/>
          </w:tcPr>
          <w:p>
            <w:pPr>
              <w:jc w:val="center"/>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restart"/>
            <w:vAlign w:val="center"/>
          </w:tcPr>
          <w:p>
            <w:pPr>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技术偏离</w:t>
            </w:r>
          </w:p>
        </w:tc>
        <w:tc>
          <w:tcPr>
            <w:tcW w:w="1434" w:type="dxa"/>
            <w:vAlign w:val="center"/>
          </w:tcPr>
          <w:p>
            <w:pPr>
              <w:jc w:val="center"/>
              <w:rPr>
                <w:rFonts w:asciiTheme="majorEastAsia" w:hAnsiTheme="majorEastAsia" w:eastAsiaTheme="majorEastAsia"/>
                <w:color w:val="auto"/>
                <w:sz w:val="22"/>
                <w:szCs w:val="22"/>
                <w:highlight w:val="none"/>
              </w:rPr>
            </w:pPr>
          </w:p>
        </w:tc>
        <w:tc>
          <w:tcPr>
            <w:tcW w:w="2743" w:type="dxa"/>
            <w:vAlign w:val="center"/>
          </w:tcPr>
          <w:p>
            <w:pPr>
              <w:jc w:val="center"/>
              <w:rPr>
                <w:rFonts w:asciiTheme="majorEastAsia" w:hAnsiTheme="majorEastAsia" w:eastAsiaTheme="majorEastAsia"/>
                <w:color w:val="auto"/>
                <w:sz w:val="22"/>
                <w:szCs w:val="22"/>
                <w:highlight w:val="none"/>
              </w:rPr>
            </w:pPr>
          </w:p>
        </w:tc>
        <w:tc>
          <w:tcPr>
            <w:tcW w:w="3023" w:type="dxa"/>
            <w:vAlign w:val="center"/>
          </w:tcPr>
          <w:p>
            <w:pPr>
              <w:jc w:val="center"/>
              <w:rPr>
                <w:rFonts w:asciiTheme="majorEastAsia" w:hAnsiTheme="majorEastAsia" w:eastAsiaTheme="majorEastAsia"/>
                <w:color w:val="auto"/>
                <w:sz w:val="22"/>
                <w:szCs w:val="22"/>
                <w:highlight w:val="none"/>
              </w:rPr>
            </w:pPr>
          </w:p>
        </w:tc>
        <w:tc>
          <w:tcPr>
            <w:tcW w:w="1260" w:type="dxa"/>
            <w:vAlign w:val="center"/>
          </w:tcPr>
          <w:p>
            <w:pPr>
              <w:jc w:val="center"/>
              <w:rPr>
                <w:rFonts w:asciiTheme="majorEastAsia" w:hAnsiTheme="majorEastAsia" w:eastAsiaTheme="maj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asciiTheme="majorEastAsia" w:hAnsiTheme="majorEastAsia" w:eastAsiaTheme="majorEastAsia"/>
                <w:color w:val="auto"/>
                <w:sz w:val="22"/>
                <w:szCs w:val="22"/>
                <w:highlight w:val="none"/>
              </w:rPr>
            </w:pPr>
          </w:p>
        </w:tc>
        <w:tc>
          <w:tcPr>
            <w:tcW w:w="1434" w:type="dxa"/>
            <w:vAlign w:val="center"/>
          </w:tcPr>
          <w:p>
            <w:pPr>
              <w:jc w:val="center"/>
              <w:rPr>
                <w:rFonts w:asciiTheme="majorEastAsia" w:hAnsiTheme="majorEastAsia" w:eastAsiaTheme="majorEastAsia"/>
                <w:color w:val="auto"/>
                <w:sz w:val="22"/>
                <w:szCs w:val="22"/>
                <w:highlight w:val="none"/>
              </w:rPr>
            </w:pPr>
          </w:p>
        </w:tc>
        <w:tc>
          <w:tcPr>
            <w:tcW w:w="2743" w:type="dxa"/>
            <w:vAlign w:val="center"/>
          </w:tcPr>
          <w:p>
            <w:pPr>
              <w:jc w:val="center"/>
              <w:rPr>
                <w:rFonts w:asciiTheme="majorEastAsia" w:hAnsiTheme="majorEastAsia" w:eastAsiaTheme="majorEastAsia"/>
                <w:color w:val="auto"/>
                <w:sz w:val="22"/>
                <w:szCs w:val="22"/>
                <w:highlight w:val="none"/>
              </w:rPr>
            </w:pPr>
          </w:p>
        </w:tc>
        <w:tc>
          <w:tcPr>
            <w:tcW w:w="3023" w:type="dxa"/>
            <w:vAlign w:val="center"/>
          </w:tcPr>
          <w:p>
            <w:pPr>
              <w:jc w:val="center"/>
              <w:rPr>
                <w:rFonts w:asciiTheme="majorEastAsia" w:hAnsiTheme="majorEastAsia" w:eastAsiaTheme="majorEastAsia"/>
                <w:color w:val="auto"/>
                <w:sz w:val="22"/>
                <w:szCs w:val="22"/>
                <w:highlight w:val="none"/>
              </w:rPr>
            </w:pPr>
          </w:p>
        </w:tc>
        <w:tc>
          <w:tcPr>
            <w:tcW w:w="1260" w:type="dxa"/>
            <w:vAlign w:val="center"/>
          </w:tcPr>
          <w:p>
            <w:pPr>
              <w:jc w:val="center"/>
              <w:rPr>
                <w:rFonts w:asciiTheme="majorEastAsia" w:hAnsiTheme="majorEastAsia" w:eastAsiaTheme="maj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asciiTheme="majorEastAsia" w:hAnsiTheme="majorEastAsia" w:eastAsiaTheme="majorEastAsia"/>
                <w:color w:val="auto"/>
                <w:sz w:val="22"/>
                <w:szCs w:val="22"/>
                <w:highlight w:val="none"/>
              </w:rPr>
            </w:pPr>
          </w:p>
        </w:tc>
        <w:tc>
          <w:tcPr>
            <w:tcW w:w="1434" w:type="dxa"/>
            <w:vAlign w:val="center"/>
          </w:tcPr>
          <w:p>
            <w:pPr>
              <w:jc w:val="center"/>
              <w:rPr>
                <w:rFonts w:asciiTheme="majorEastAsia" w:hAnsiTheme="majorEastAsia" w:eastAsiaTheme="majorEastAsia"/>
                <w:color w:val="auto"/>
                <w:sz w:val="22"/>
                <w:szCs w:val="22"/>
                <w:highlight w:val="none"/>
              </w:rPr>
            </w:pPr>
          </w:p>
        </w:tc>
        <w:tc>
          <w:tcPr>
            <w:tcW w:w="2743" w:type="dxa"/>
            <w:vAlign w:val="center"/>
          </w:tcPr>
          <w:p>
            <w:pPr>
              <w:jc w:val="center"/>
              <w:rPr>
                <w:rFonts w:asciiTheme="majorEastAsia" w:hAnsiTheme="majorEastAsia" w:eastAsiaTheme="majorEastAsia"/>
                <w:color w:val="auto"/>
                <w:sz w:val="22"/>
                <w:szCs w:val="22"/>
                <w:highlight w:val="none"/>
              </w:rPr>
            </w:pPr>
          </w:p>
        </w:tc>
        <w:tc>
          <w:tcPr>
            <w:tcW w:w="3023" w:type="dxa"/>
            <w:vAlign w:val="center"/>
          </w:tcPr>
          <w:p>
            <w:pPr>
              <w:jc w:val="center"/>
              <w:rPr>
                <w:rFonts w:asciiTheme="majorEastAsia" w:hAnsiTheme="majorEastAsia" w:eastAsiaTheme="majorEastAsia"/>
                <w:color w:val="auto"/>
                <w:sz w:val="22"/>
                <w:szCs w:val="22"/>
                <w:highlight w:val="none"/>
              </w:rPr>
            </w:pPr>
          </w:p>
        </w:tc>
        <w:tc>
          <w:tcPr>
            <w:tcW w:w="1260" w:type="dxa"/>
            <w:vAlign w:val="center"/>
          </w:tcPr>
          <w:p>
            <w:pPr>
              <w:jc w:val="center"/>
              <w:rPr>
                <w:rFonts w:asciiTheme="majorEastAsia" w:hAnsiTheme="majorEastAsia" w:eastAsiaTheme="maj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asciiTheme="majorEastAsia" w:hAnsiTheme="majorEastAsia" w:eastAsiaTheme="majorEastAsia"/>
                <w:color w:val="auto"/>
                <w:sz w:val="22"/>
                <w:szCs w:val="22"/>
                <w:highlight w:val="none"/>
              </w:rPr>
            </w:pPr>
          </w:p>
        </w:tc>
        <w:tc>
          <w:tcPr>
            <w:tcW w:w="1434" w:type="dxa"/>
            <w:vAlign w:val="center"/>
          </w:tcPr>
          <w:p>
            <w:pPr>
              <w:jc w:val="center"/>
              <w:rPr>
                <w:rFonts w:asciiTheme="majorEastAsia" w:hAnsiTheme="majorEastAsia" w:eastAsiaTheme="majorEastAsia"/>
                <w:color w:val="auto"/>
                <w:sz w:val="22"/>
                <w:szCs w:val="22"/>
                <w:highlight w:val="none"/>
              </w:rPr>
            </w:pPr>
          </w:p>
        </w:tc>
        <w:tc>
          <w:tcPr>
            <w:tcW w:w="2743" w:type="dxa"/>
            <w:vAlign w:val="center"/>
          </w:tcPr>
          <w:p>
            <w:pPr>
              <w:jc w:val="center"/>
              <w:rPr>
                <w:rFonts w:asciiTheme="majorEastAsia" w:hAnsiTheme="majorEastAsia" w:eastAsiaTheme="majorEastAsia"/>
                <w:color w:val="auto"/>
                <w:sz w:val="22"/>
                <w:szCs w:val="22"/>
                <w:highlight w:val="none"/>
              </w:rPr>
            </w:pPr>
          </w:p>
        </w:tc>
        <w:tc>
          <w:tcPr>
            <w:tcW w:w="3023" w:type="dxa"/>
            <w:vAlign w:val="center"/>
          </w:tcPr>
          <w:p>
            <w:pPr>
              <w:jc w:val="center"/>
              <w:rPr>
                <w:rFonts w:asciiTheme="majorEastAsia" w:hAnsiTheme="majorEastAsia" w:eastAsiaTheme="majorEastAsia"/>
                <w:color w:val="auto"/>
                <w:sz w:val="22"/>
                <w:szCs w:val="22"/>
                <w:highlight w:val="none"/>
              </w:rPr>
            </w:pPr>
          </w:p>
        </w:tc>
        <w:tc>
          <w:tcPr>
            <w:tcW w:w="1260" w:type="dxa"/>
            <w:vAlign w:val="center"/>
          </w:tcPr>
          <w:p>
            <w:pPr>
              <w:jc w:val="center"/>
              <w:rPr>
                <w:rFonts w:asciiTheme="majorEastAsia" w:hAnsiTheme="majorEastAsia" w:eastAsiaTheme="maj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asciiTheme="majorEastAsia" w:hAnsiTheme="majorEastAsia" w:eastAsiaTheme="majorEastAsia"/>
                <w:color w:val="auto"/>
                <w:sz w:val="22"/>
                <w:szCs w:val="22"/>
                <w:highlight w:val="none"/>
              </w:rPr>
            </w:pPr>
          </w:p>
        </w:tc>
        <w:tc>
          <w:tcPr>
            <w:tcW w:w="1434" w:type="dxa"/>
            <w:vAlign w:val="center"/>
          </w:tcPr>
          <w:p>
            <w:pPr>
              <w:jc w:val="center"/>
              <w:rPr>
                <w:rFonts w:asciiTheme="majorEastAsia" w:hAnsiTheme="majorEastAsia" w:eastAsiaTheme="majorEastAsia"/>
                <w:color w:val="auto"/>
                <w:sz w:val="22"/>
                <w:szCs w:val="22"/>
                <w:highlight w:val="none"/>
              </w:rPr>
            </w:pPr>
          </w:p>
        </w:tc>
        <w:tc>
          <w:tcPr>
            <w:tcW w:w="2743" w:type="dxa"/>
            <w:vAlign w:val="center"/>
          </w:tcPr>
          <w:p>
            <w:pPr>
              <w:jc w:val="center"/>
              <w:rPr>
                <w:rFonts w:asciiTheme="majorEastAsia" w:hAnsiTheme="majorEastAsia" w:eastAsiaTheme="majorEastAsia"/>
                <w:color w:val="auto"/>
                <w:sz w:val="22"/>
                <w:szCs w:val="22"/>
                <w:highlight w:val="none"/>
              </w:rPr>
            </w:pPr>
          </w:p>
        </w:tc>
        <w:tc>
          <w:tcPr>
            <w:tcW w:w="3023" w:type="dxa"/>
            <w:vAlign w:val="center"/>
          </w:tcPr>
          <w:p>
            <w:pPr>
              <w:jc w:val="center"/>
              <w:rPr>
                <w:rFonts w:asciiTheme="majorEastAsia" w:hAnsiTheme="majorEastAsia" w:eastAsiaTheme="majorEastAsia"/>
                <w:color w:val="auto"/>
                <w:sz w:val="22"/>
                <w:szCs w:val="22"/>
                <w:highlight w:val="none"/>
              </w:rPr>
            </w:pPr>
          </w:p>
        </w:tc>
        <w:tc>
          <w:tcPr>
            <w:tcW w:w="1260" w:type="dxa"/>
            <w:vAlign w:val="center"/>
          </w:tcPr>
          <w:p>
            <w:pPr>
              <w:jc w:val="center"/>
              <w:rPr>
                <w:rFonts w:asciiTheme="majorEastAsia" w:hAnsiTheme="majorEastAsia" w:eastAsiaTheme="maj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restart"/>
            <w:vAlign w:val="center"/>
          </w:tcPr>
          <w:p>
            <w:pPr>
              <w:rPr>
                <w:rFonts w:asciiTheme="majorEastAsia" w:hAnsiTheme="majorEastAsia" w:eastAsiaTheme="majorEastAsia"/>
                <w:color w:val="auto"/>
                <w:sz w:val="22"/>
                <w:szCs w:val="22"/>
                <w:highlight w:val="none"/>
              </w:rPr>
            </w:pPr>
            <w:r>
              <w:rPr>
                <w:rFonts w:hint="eastAsia" w:asciiTheme="majorEastAsia" w:hAnsiTheme="majorEastAsia" w:eastAsiaTheme="majorEastAsia"/>
                <w:color w:val="auto"/>
                <w:sz w:val="22"/>
                <w:szCs w:val="22"/>
                <w:highlight w:val="none"/>
              </w:rPr>
              <w:t>商务偏离</w:t>
            </w:r>
          </w:p>
        </w:tc>
        <w:tc>
          <w:tcPr>
            <w:tcW w:w="1434" w:type="dxa"/>
            <w:vAlign w:val="center"/>
          </w:tcPr>
          <w:p>
            <w:pPr>
              <w:jc w:val="center"/>
              <w:rPr>
                <w:rFonts w:asciiTheme="majorEastAsia" w:hAnsiTheme="majorEastAsia" w:eastAsiaTheme="majorEastAsia"/>
                <w:color w:val="auto"/>
                <w:sz w:val="22"/>
                <w:szCs w:val="22"/>
                <w:highlight w:val="none"/>
              </w:rPr>
            </w:pPr>
          </w:p>
        </w:tc>
        <w:tc>
          <w:tcPr>
            <w:tcW w:w="2743" w:type="dxa"/>
            <w:vAlign w:val="center"/>
          </w:tcPr>
          <w:p>
            <w:pPr>
              <w:jc w:val="center"/>
              <w:rPr>
                <w:rFonts w:asciiTheme="majorEastAsia" w:hAnsiTheme="majorEastAsia" w:eastAsiaTheme="majorEastAsia"/>
                <w:color w:val="auto"/>
                <w:sz w:val="22"/>
                <w:szCs w:val="22"/>
                <w:highlight w:val="none"/>
              </w:rPr>
            </w:pPr>
          </w:p>
        </w:tc>
        <w:tc>
          <w:tcPr>
            <w:tcW w:w="3023" w:type="dxa"/>
            <w:vAlign w:val="center"/>
          </w:tcPr>
          <w:p>
            <w:pPr>
              <w:jc w:val="center"/>
              <w:rPr>
                <w:rFonts w:asciiTheme="majorEastAsia" w:hAnsiTheme="majorEastAsia" w:eastAsiaTheme="majorEastAsia"/>
                <w:color w:val="auto"/>
                <w:sz w:val="22"/>
                <w:szCs w:val="22"/>
                <w:highlight w:val="none"/>
              </w:rPr>
            </w:pPr>
          </w:p>
        </w:tc>
        <w:tc>
          <w:tcPr>
            <w:tcW w:w="1260" w:type="dxa"/>
            <w:vAlign w:val="center"/>
          </w:tcPr>
          <w:p>
            <w:pPr>
              <w:jc w:val="center"/>
              <w:rPr>
                <w:rFonts w:asciiTheme="majorEastAsia" w:hAnsiTheme="majorEastAsia" w:eastAsiaTheme="maj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asciiTheme="majorEastAsia" w:hAnsiTheme="majorEastAsia" w:eastAsiaTheme="majorEastAsia"/>
                <w:color w:val="auto"/>
                <w:sz w:val="22"/>
                <w:szCs w:val="22"/>
                <w:highlight w:val="none"/>
              </w:rPr>
            </w:pPr>
          </w:p>
        </w:tc>
        <w:tc>
          <w:tcPr>
            <w:tcW w:w="1434" w:type="dxa"/>
            <w:vAlign w:val="center"/>
          </w:tcPr>
          <w:p>
            <w:pPr>
              <w:jc w:val="center"/>
              <w:rPr>
                <w:rFonts w:asciiTheme="majorEastAsia" w:hAnsiTheme="majorEastAsia" w:eastAsiaTheme="majorEastAsia"/>
                <w:color w:val="auto"/>
                <w:sz w:val="22"/>
                <w:szCs w:val="22"/>
                <w:highlight w:val="none"/>
              </w:rPr>
            </w:pPr>
          </w:p>
        </w:tc>
        <w:tc>
          <w:tcPr>
            <w:tcW w:w="2743" w:type="dxa"/>
            <w:vAlign w:val="center"/>
          </w:tcPr>
          <w:p>
            <w:pPr>
              <w:jc w:val="center"/>
              <w:rPr>
                <w:rFonts w:asciiTheme="majorEastAsia" w:hAnsiTheme="majorEastAsia" w:eastAsiaTheme="majorEastAsia"/>
                <w:color w:val="auto"/>
                <w:sz w:val="22"/>
                <w:szCs w:val="22"/>
                <w:highlight w:val="none"/>
              </w:rPr>
            </w:pPr>
          </w:p>
        </w:tc>
        <w:tc>
          <w:tcPr>
            <w:tcW w:w="3023" w:type="dxa"/>
            <w:vAlign w:val="center"/>
          </w:tcPr>
          <w:p>
            <w:pPr>
              <w:jc w:val="center"/>
              <w:rPr>
                <w:rFonts w:asciiTheme="majorEastAsia" w:hAnsiTheme="majorEastAsia" w:eastAsiaTheme="majorEastAsia"/>
                <w:color w:val="auto"/>
                <w:sz w:val="22"/>
                <w:szCs w:val="22"/>
                <w:highlight w:val="none"/>
              </w:rPr>
            </w:pPr>
          </w:p>
        </w:tc>
        <w:tc>
          <w:tcPr>
            <w:tcW w:w="1260" w:type="dxa"/>
            <w:vAlign w:val="center"/>
          </w:tcPr>
          <w:p>
            <w:pPr>
              <w:jc w:val="center"/>
              <w:rPr>
                <w:rFonts w:asciiTheme="majorEastAsia" w:hAnsiTheme="majorEastAsia" w:eastAsiaTheme="maj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asciiTheme="majorEastAsia" w:hAnsiTheme="majorEastAsia" w:eastAsiaTheme="majorEastAsia"/>
                <w:color w:val="auto"/>
                <w:sz w:val="22"/>
                <w:szCs w:val="22"/>
                <w:highlight w:val="none"/>
              </w:rPr>
            </w:pPr>
          </w:p>
        </w:tc>
        <w:tc>
          <w:tcPr>
            <w:tcW w:w="1434" w:type="dxa"/>
            <w:vAlign w:val="center"/>
          </w:tcPr>
          <w:p>
            <w:pPr>
              <w:jc w:val="center"/>
              <w:rPr>
                <w:rFonts w:asciiTheme="majorEastAsia" w:hAnsiTheme="majorEastAsia" w:eastAsiaTheme="majorEastAsia"/>
                <w:color w:val="auto"/>
                <w:sz w:val="22"/>
                <w:szCs w:val="22"/>
                <w:highlight w:val="none"/>
              </w:rPr>
            </w:pPr>
          </w:p>
        </w:tc>
        <w:tc>
          <w:tcPr>
            <w:tcW w:w="2743" w:type="dxa"/>
            <w:vAlign w:val="center"/>
          </w:tcPr>
          <w:p>
            <w:pPr>
              <w:jc w:val="center"/>
              <w:rPr>
                <w:rFonts w:asciiTheme="majorEastAsia" w:hAnsiTheme="majorEastAsia" w:eastAsiaTheme="majorEastAsia"/>
                <w:color w:val="auto"/>
                <w:sz w:val="22"/>
                <w:szCs w:val="22"/>
                <w:highlight w:val="none"/>
              </w:rPr>
            </w:pPr>
          </w:p>
        </w:tc>
        <w:tc>
          <w:tcPr>
            <w:tcW w:w="3023" w:type="dxa"/>
            <w:vAlign w:val="center"/>
          </w:tcPr>
          <w:p>
            <w:pPr>
              <w:jc w:val="center"/>
              <w:rPr>
                <w:rFonts w:asciiTheme="majorEastAsia" w:hAnsiTheme="majorEastAsia" w:eastAsiaTheme="majorEastAsia"/>
                <w:color w:val="auto"/>
                <w:sz w:val="22"/>
                <w:szCs w:val="22"/>
                <w:highlight w:val="none"/>
              </w:rPr>
            </w:pPr>
          </w:p>
        </w:tc>
        <w:tc>
          <w:tcPr>
            <w:tcW w:w="1260" w:type="dxa"/>
            <w:vAlign w:val="center"/>
          </w:tcPr>
          <w:p>
            <w:pPr>
              <w:jc w:val="center"/>
              <w:rPr>
                <w:rFonts w:asciiTheme="majorEastAsia" w:hAnsiTheme="majorEastAsia" w:eastAsiaTheme="maj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asciiTheme="majorEastAsia" w:hAnsiTheme="majorEastAsia" w:eastAsiaTheme="majorEastAsia"/>
                <w:color w:val="auto"/>
                <w:sz w:val="22"/>
                <w:szCs w:val="22"/>
                <w:highlight w:val="none"/>
              </w:rPr>
            </w:pPr>
          </w:p>
        </w:tc>
        <w:tc>
          <w:tcPr>
            <w:tcW w:w="1434" w:type="dxa"/>
            <w:vAlign w:val="center"/>
          </w:tcPr>
          <w:p>
            <w:pPr>
              <w:jc w:val="center"/>
              <w:rPr>
                <w:rFonts w:asciiTheme="majorEastAsia" w:hAnsiTheme="majorEastAsia" w:eastAsiaTheme="majorEastAsia"/>
                <w:color w:val="auto"/>
                <w:sz w:val="22"/>
                <w:szCs w:val="22"/>
                <w:highlight w:val="none"/>
              </w:rPr>
            </w:pPr>
          </w:p>
        </w:tc>
        <w:tc>
          <w:tcPr>
            <w:tcW w:w="2743" w:type="dxa"/>
            <w:vAlign w:val="center"/>
          </w:tcPr>
          <w:p>
            <w:pPr>
              <w:jc w:val="center"/>
              <w:rPr>
                <w:rFonts w:asciiTheme="majorEastAsia" w:hAnsiTheme="majorEastAsia" w:eastAsiaTheme="majorEastAsia"/>
                <w:color w:val="auto"/>
                <w:sz w:val="22"/>
                <w:szCs w:val="22"/>
                <w:highlight w:val="none"/>
              </w:rPr>
            </w:pPr>
          </w:p>
        </w:tc>
        <w:tc>
          <w:tcPr>
            <w:tcW w:w="3023" w:type="dxa"/>
            <w:vAlign w:val="center"/>
          </w:tcPr>
          <w:p>
            <w:pPr>
              <w:jc w:val="center"/>
              <w:rPr>
                <w:rFonts w:asciiTheme="majorEastAsia" w:hAnsiTheme="majorEastAsia" w:eastAsiaTheme="majorEastAsia"/>
                <w:color w:val="auto"/>
                <w:sz w:val="22"/>
                <w:szCs w:val="22"/>
                <w:highlight w:val="none"/>
              </w:rPr>
            </w:pPr>
          </w:p>
        </w:tc>
        <w:tc>
          <w:tcPr>
            <w:tcW w:w="1260" w:type="dxa"/>
            <w:vAlign w:val="center"/>
          </w:tcPr>
          <w:p>
            <w:pPr>
              <w:jc w:val="center"/>
              <w:rPr>
                <w:rFonts w:asciiTheme="majorEastAsia" w:hAnsiTheme="majorEastAsia" w:eastAsiaTheme="maj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vAlign w:val="center"/>
          </w:tcPr>
          <w:p>
            <w:pPr>
              <w:jc w:val="center"/>
              <w:rPr>
                <w:rFonts w:asciiTheme="majorEastAsia" w:hAnsiTheme="majorEastAsia" w:eastAsiaTheme="majorEastAsia"/>
                <w:color w:val="auto"/>
                <w:sz w:val="22"/>
                <w:szCs w:val="22"/>
                <w:highlight w:val="none"/>
              </w:rPr>
            </w:pPr>
          </w:p>
        </w:tc>
        <w:tc>
          <w:tcPr>
            <w:tcW w:w="1434" w:type="dxa"/>
            <w:vAlign w:val="center"/>
          </w:tcPr>
          <w:p>
            <w:pPr>
              <w:jc w:val="center"/>
              <w:rPr>
                <w:rFonts w:asciiTheme="majorEastAsia" w:hAnsiTheme="majorEastAsia" w:eastAsiaTheme="majorEastAsia"/>
                <w:color w:val="auto"/>
                <w:sz w:val="22"/>
                <w:szCs w:val="22"/>
                <w:highlight w:val="none"/>
              </w:rPr>
            </w:pPr>
          </w:p>
        </w:tc>
        <w:tc>
          <w:tcPr>
            <w:tcW w:w="2743" w:type="dxa"/>
            <w:vAlign w:val="center"/>
          </w:tcPr>
          <w:p>
            <w:pPr>
              <w:jc w:val="center"/>
              <w:rPr>
                <w:rFonts w:asciiTheme="majorEastAsia" w:hAnsiTheme="majorEastAsia" w:eastAsiaTheme="majorEastAsia"/>
                <w:color w:val="auto"/>
                <w:sz w:val="22"/>
                <w:szCs w:val="22"/>
                <w:highlight w:val="none"/>
              </w:rPr>
            </w:pPr>
          </w:p>
        </w:tc>
        <w:tc>
          <w:tcPr>
            <w:tcW w:w="3023" w:type="dxa"/>
            <w:vAlign w:val="center"/>
          </w:tcPr>
          <w:p>
            <w:pPr>
              <w:jc w:val="center"/>
              <w:rPr>
                <w:rFonts w:asciiTheme="majorEastAsia" w:hAnsiTheme="majorEastAsia" w:eastAsiaTheme="majorEastAsia"/>
                <w:color w:val="auto"/>
                <w:sz w:val="22"/>
                <w:szCs w:val="22"/>
                <w:highlight w:val="none"/>
              </w:rPr>
            </w:pPr>
          </w:p>
        </w:tc>
        <w:tc>
          <w:tcPr>
            <w:tcW w:w="1260" w:type="dxa"/>
            <w:vAlign w:val="center"/>
          </w:tcPr>
          <w:p>
            <w:pPr>
              <w:jc w:val="center"/>
              <w:rPr>
                <w:rFonts w:asciiTheme="majorEastAsia" w:hAnsiTheme="majorEastAsia" w:eastAsiaTheme="majorEastAsia"/>
                <w:color w:val="auto"/>
                <w:sz w:val="22"/>
                <w:szCs w:val="22"/>
                <w:highlight w:val="none"/>
              </w:rPr>
            </w:pPr>
          </w:p>
        </w:tc>
      </w:tr>
    </w:tbl>
    <w:p>
      <w:pPr>
        <w:pStyle w:val="24"/>
        <w:spacing w:line="340" w:lineRule="exact"/>
        <w:rPr>
          <w:rFonts w:hAnsi="宋体" w:cs="宋体"/>
          <w:color w:val="auto"/>
          <w:sz w:val="22"/>
          <w:szCs w:val="22"/>
          <w:highlight w:val="none"/>
        </w:rPr>
      </w:pPr>
      <w:r>
        <w:rPr>
          <w:rFonts w:hint="eastAsia" w:cs="仿宋" w:asciiTheme="majorEastAsia" w:hAnsiTheme="majorEastAsia" w:eastAsiaTheme="majorEastAsia"/>
          <w:b/>
          <w:color w:val="auto"/>
          <w:sz w:val="22"/>
          <w:szCs w:val="22"/>
          <w:highlight w:val="none"/>
        </w:rPr>
        <w:t>注：</w:t>
      </w:r>
      <w:r>
        <w:rPr>
          <w:rFonts w:hint="eastAsia" w:hAnsi="宋体" w:cs="宋体"/>
          <w:b/>
          <w:color w:val="auto"/>
          <w:sz w:val="22"/>
          <w:szCs w:val="22"/>
          <w:highlight w:val="none"/>
        </w:rPr>
        <w:t>1、偏离表中进行如实填写详细对比说明并注明无偏离、正偏离和负偏离。</w:t>
      </w:r>
    </w:p>
    <w:p>
      <w:pPr>
        <w:pStyle w:val="24"/>
        <w:spacing w:line="340" w:lineRule="exact"/>
        <w:ind w:firstLine="440" w:firstLineChars="200"/>
        <w:rPr>
          <w:rFonts w:hAnsi="宋体" w:cs="宋体"/>
          <w:color w:val="auto"/>
          <w:sz w:val="22"/>
          <w:szCs w:val="22"/>
          <w:highlight w:val="none"/>
        </w:rPr>
      </w:pPr>
      <w:r>
        <w:rPr>
          <w:rFonts w:hint="eastAsia" w:hAnsi="宋体" w:cs="宋体"/>
          <w:color w:val="auto"/>
          <w:sz w:val="22"/>
          <w:szCs w:val="22"/>
          <w:highlight w:val="none"/>
        </w:rPr>
        <w:t>2、不填写此表视作完全响应采购文件要求。</w:t>
      </w:r>
    </w:p>
    <w:p>
      <w:pPr>
        <w:pStyle w:val="24"/>
        <w:spacing w:line="340" w:lineRule="exact"/>
        <w:ind w:firstLine="442" w:firstLineChars="200"/>
        <w:rPr>
          <w:rFonts w:hAnsi="宋体" w:cs="宋体"/>
          <w:b/>
          <w:bCs/>
          <w:color w:val="auto"/>
          <w:sz w:val="22"/>
          <w:szCs w:val="22"/>
          <w:highlight w:val="none"/>
          <w:u w:val="single"/>
        </w:rPr>
      </w:pPr>
      <w:r>
        <w:rPr>
          <w:rFonts w:hint="eastAsia" w:hAnsi="宋体" w:cs="宋体"/>
          <w:b/>
          <w:bCs/>
          <w:color w:val="auto"/>
          <w:sz w:val="22"/>
          <w:szCs w:val="22"/>
          <w:highlight w:val="none"/>
        </w:rPr>
        <w:t>3、▲</w:t>
      </w:r>
      <w:r>
        <w:rPr>
          <w:rFonts w:hint="eastAsia" w:hAnsi="宋体" w:cs="宋体"/>
          <w:b/>
          <w:bCs/>
          <w:color w:val="auto"/>
          <w:sz w:val="22"/>
          <w:szCs w:val="22"/>
          <w:highlight w:val="none"/>
          <w:u w:val="single"/>
          <w:lang w:val="zh-CN"/>
        </w:rPr>
        <w:t>不提供此表的视为没有实质性响应采购文件，其投标将被拒绝。</w:t>
      </w:r>
    </w:p>
    <w:p>
      <w:pPr>
        <w:pStyle w:val="24"/>
        <w:spacing w:line="340" w:lineRule="exact"/>
        <w:rPr>
          <w:rFonts w:asciiTheme="majorEastAsia" w:hAnsiTheme="majorEastAsia" w:eastAsiaTheme="majorEastAsia"/>
          <w:b/>
          <w:color w:val="auto"/>
          <w:sz w:val="22"/>
          <w:highlight w:val="none"/>
        </w:rPr>
      </w:pPr>
    </w:p>
    <w:p>
      <w:pPr>
        <w:pStyle w:val="24"/>
        <w:spacing w:line="340" w:lineRule="exact"/>
        <w:ind w:left="657" w:leftChars="313" w:firstLine="4196" w:firstLineChars="1900"/>
        <w:rPr>
          <w:rFonts w:asciiTheme="majorEastAsia" w:hAnsiTheme="majorEastAsia" w:eastAsiaTheme="majorEastAsia"/>
          <w:b/>
          <w:color w:val="auto"/>
          <w:sz w:val="22"/>
          <w:highlight w:val="none"/>
        </w:rPr>
      </w:pPr>
    </w:p>
    <w:p>
      <w:pPr>
        <w:pStyle w:val="24"/>
        <w:spacing w:line="360" w:lineRule="auto"/>
        <w:rPr>
          <w:rFonts w:asciiTheme="majorEastAsia" w:hAnsiTheme="majorEastAsia" w:eastAsiaTheme="majorEastAsia"/>
          <w:color w:val="auto"/>
          <w:sz w:val="22"/>
          <w:szCs w:val="22"/>
          <w:highlight w:val="none"/>
        </w:rPr>
      </w:pPr>
      <w:r>
        <w:rPr>
          <w:rFonts w:asciiTheme="majorEastAsia" w:hAnsiTheme="majorEastAsia" w:eastAsiaTheme="majorEastAsia"/>
          <w:color w:val="auto"/>
          <w:sz w:val="22"/>
          <w:szCs w:val="22"/>
          <w:highlight w:val="none"/>
        </w:rPr>
        <w:t>投标供应商全称（盖章）：</w:t>
      </w:r>
    </w:p>
    <w:p>
      <w:pPr>
        <w:pStyle w:val="24"/>
        <w:spacing w:line="360" w:lineRule="auto"/>
        <w:rPr>
          <w:rFonts w:asciiTheme="majorEastAsia" w:hAnsiTheme="majorEastAsia" w:eastAsiaTheme="majorEastAsia"/>
          <w:color w:val="auto"/>
          <w:sz w:val="22"/>
          <w:szCs w:val="22"/>
          <w:highlight w:val="none"/>
        </w:rPr>
        <w:sectPr>
          <w:pgSz w:w="11906" w:h="16838"/>
          <w:pgMar w:top="1134" w:right="1134" w:bottom="1134" w:left="1134" w:header="851" w:footer="850" w:gutter="0"/>
          <w:cols w:space="720" w:num="1"/>
          <w:titlePg/>
          <w:docGrid w:type="lines" w:linePitch="312" w:charSpace="0"/>
        </w:sectPr>
      </w:pPr>
      <w:r>
        <w:rPr>
          <w:rFonts w:asciiTheme="majorEastAsia" w:hAnsiTheme="majorEastAsia" w:eastAsiaTheme="majorEastAsia"/>
          <w:color w:val="auto"/>
          <w:sz w:val="22"/>
          <w:szCs w:val="22"/>
          <w:highlight w:val="none"/>
        </w:rPr>
        <w:t>日 期：       年      月      日</w:t>
      </w:r>
    </w:p>
    <w:p>
      <w:pPr>
        <w:pStyle w:val="40"/>
        <w:jc w:val="left"/>
        <w:rPr>
          <w:rFonts w:hint="eastAsia" w:asciiTheme="majorEastAsia" w:hAnsiTheme="majorEastAsia" w:eastAsiaTheme="majorEastAsia"/>
          <w:b/>
          <w:bCs/>
          <w:color w:val="auto"/>
          <w:kern w:val="0"/>
          <w:sz w:val="22"/>
          <w:szCs w:val="22"/>
          <w:highlight w:val="none"/>
          <w:lang w:eastAsia="zh-CN"/>
        </w:rPr>
      </w:pPr>
      <w:bookmarkStart w:id="215" w:name="_Toc5132"/>
      <w:r>
        <w:rPr>
          <w:rFonts w:asciiTheme="majorEastAsia" w:hAnsiTheme="majorEastAsia" w:eastAsiaTheme="majorEastAsia"/>
          <w:b/>
          <w:bCs/>
          <w:color w:val="auto"/>
          <w:kern w:val="0"/>
          <w:sz w:val="22"/>
          <w:szCs w:val="22"/>
          <w:highlight w:val="none"/>
        </w:rPr>
        <w:t>附件</w:t>
      </w:r>
      <w:r>
        <w:rPr>
          <w:rFonts w:hint="eastAsia" w:asciiTheme="majorEastAsia" w:hAnsiTheme="majorEastAsia" w:eastAsiaTheme="majorEastAsia"/>
          <w:b/>
          <w:bCs/>
          <w:color w:val="auto"/>
          <w:kern w:val="0"/>
          <w:sz w:val="22"/>
          <w:szCs w:val="22"/>
          <w:highlight w:val="none"/>
          <w:lang w:val="en-US" w:eastAsia="zh-CN"/>
        </w:rPr>
        <w:t>九</w:t>
      </w:r>
    </w:p>
    <w:p>
      <w:pPr>
        <w:spacing w:after="240" w:line="360" w:lineRule="exact"/>
        <w:jc w:val="center"/>
        <w:rPr>
          <w:rFonts w:ascii="宋体" w:eastAsia="宋体"/>
          <w:color w:val="auto"/>
          <w:sz w:val="28"/>
          <w:szCs w:val="28"/>
          <w:highlight w:val="none"/>
        </w:rPr>
      </w:pPr>
      <w:r>
        <w:rPr>
          <w:rFonts w:hint="eastAsia" w:ascii="宋体" w:eastAsia="宋体"/>
          <w:color w:val="auto"/>
          <w:sz w:val="28"/>
          <w:szCs w:val="28"/>
          <w:highlight w:val="none"/>
        </w:rPr>
        <w:t>（1）项目负责人情况表</w:t>
      </w:r>
    </w:p>
    <w:p>
      <w:pPr>
        <w:spacing w:line="360" w:lineRule="exact"/>
        <w:rPr>
          <w:rFonts w:ascii="宋体" w:eastAsia="宋体"/>
          <w:color w:val="auto"/>
          <w:sz w:val="22"/>
          <w:highlight w:val="none"/>
        </w:rPr>
      </w:pPr>
      <w:r>
        <w:rPr>
          <w:rFonts w:hint="eastAsia" w:ascii="宋体" w:eastAsia="宋体"/>
          <w:color w:val="auto"/>
          <w:sz w:val="22"/>
          <w:highlight w:val="none"/>
        </w:rPr>
        <w:t>项目名称：                                         项目编号：</w:t>
      </w:r>
    </w:p>
    <w:tbl>
      <w:tblPr>
        <w:tblStyle w:val="43"/>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45"/>
        <w:gridCol w:w="1822"/>
        <w:gridCol w:w="1587"/>
        <w:gridCol w:w="1726"/>
        <w:gridCol w:w="1449"/>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9648" w:type="dxa"/>
            <w:gridSpan w:val="7"/>
            <w:tcBorders>
              <w:top w:val="single" w:color="auto" w:sz="12" w:space="0"/>
              <w:left w:val="single" w:color="auto" w:sz="12" w:space="0"/>
              <w:bottom w:val="single" w:color="auto" w:sz="4" w:space="0"/>
              <w:right w:val="single" w:color="auto" w:sz="12"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姓   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highlight w:val="none"/>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年  龄</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highlight w:val="none"/>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学  历</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毕业学校</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专  业</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highlight w:val="none"/>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职  务</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eastAsia="宋体"/>
                <w:color w:val="auto"/>
                <w:highlight w:val="none"/>
              </w:rPr>
            </w:pPr>
            <w:r>
              <w:rPr>
                <w:rFonts w:hint="eastAsia" w:ascii="宋体" w:eastAsia="宋体"/>
                <w:color w:val="auto"/>
                <w:highlight w:val="none"/>
              </w:rPr>
              <w:t>职  称</w:t>
            </w:r>
          </w:p>
          <w:p>
            <w:pPr>
              <w:spacing w:line="260" w:lineRule="exact"/>
              <w:jc w:val="center"/>
              <w:rPr>
                <w:rFonts w:ascii="宋体" w:eastAsia="宋体"/>
                <w:color w:val="auto"/>
                <w:highlight w:val="none"/>
              </w:rPr>
            </w:pPr>
            <w:r>
              <w:rPr>
                <w:rFonts w:hint="eastAsia" w:ascii="宋体" w:eastAsia="宋体"/>
                <w:color w:val="auto"/>
                <w:highlight w:val="none"/>
              </w:rPr>
              <w:t>（或资格）</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拟任何职</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highlight w:val="none"/>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eastAsia="宋体"/>
                <w:color w:val="auto"/>
                <w:highlight w:val="none"/>
              </w:rPr>
            </w:pPr>
            <w:r>
              <w:rPr>
                <w:rFonts w:hint="eastAsia" w:ascii="宋体" w:eastAsia="宋体"/>
                <w:color w:val="auto"/>
                <w:highlight w:val="none"/>
              </w:rPr>
              <w:t>参加工作</w:t>
            </w:r>
          </w:p>
          <w:p>
            <w:pPr>
              <w:spacing w:line="280" w:lineRule="exact"/>
              <w:jc w:val="center"/>
              <w:rPr>
                <w:rFonts w:ascii="宋体" w:eastAsia="宋体"/>
                <w:color w:val="auto"/>
                <w:highlight w:val="none"/>
              </w:rPr>
            </w:pPr>
            <w:r>
              <w:rPr>
                <w:rFonts w:hint="eastAsia" w:ascii="宋体" w:eastAsia="宋体"/>
                <w:color w:val="auto"/>
                <w:highlight w:val="none"/>
              </w:rPr>
              <w:t>时间</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时  间</w:t>
            </w: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3、负责类似项目业绩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序号</w:t>
            </w: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项  目  名  称</w:t>
            </w: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highlight w:val="none"/>
              </w:rPr>
            </w:pPr>
            <w:r>
              <w:rPr>
                <w:rFonts w:hint="eastAsia" w:ascii="宋体" w:eastAsia="宋体"/>
                <w:color w:val="auto"/>
                <w:highlight w:val="none"/>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eastAsia="宋体"/>
                <w:color w:val="auto"/>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12" w:space="0"/>
              <w:right w:val="single" w:color="auto" w:sz="4" w:space="0"/>
            </w:tcBorders>
            <w:vAlign w:val="center"/>
          </w:tcPr>
          <w:p>
            <w:pPr>
              <w:spacing w:line="360" w:lineRule="exact"/>
              <w:rPr>
                <w:rFonts w:ascii="宋体" w:eastAsia="宋体"/>
                <w:color w:val="auto"/>
                <w:highlight w:val="none"/>
              </w:rPr>
            </w:pPr>
          </w:p>
        </w:tc>
        <w:tc>
          <w:tcPr>
            <w:tcW w:w="5580" w:type="dxa"/>
            <w:gridSpan w:val="4"/>
            <w:tcBorders>
              <w:top w:val="single" w:color="auto" w:sz="4" w:space="0"/>
              <w:left w:val="single" w:color="auto" w:sz="4" w:space="0"/>
              <w:bottom w:val="single" w:color="auto" w:sz="12" w:space="0"/>
              <w:right w:val="single" w:color="auto" w:sz="4" w:space="0"/>
            </w:tcBorders>
            <w:vAlign w:val="center"/>
          </w:tcPr>
          <w:p>
            <w:pPr>
              <w:spacing w:line="360" w:lineRule="exact"/>
              <w:rPr>
                <w:rFonts w:ascii="宋体" w:eastAsia="宋体"/>
                <w:color w:val="auto"/>
                <w:highlight w:val="none"/>
              </w:rPr>
            </w:pPr>
          </w:p>
        </w:tc>
        <w:tc>
          <w:tcPr>
            <w:tcW w:w="3037" w:type="dxa"/>
            <w:gridSpan w:val="2"/>
            <w:tcBorders>
              <w:top w:val="single" w:color="auto" w:sz="4" w:space="0"/>
              <w:left w:val="single" w:color="auto" w:sz="4" w:space="0"/>
              <w:bottom w:val="single" w:color="auto" w:sz="12" w:space="0"/>
              <w:right w:val="single" w:color="auto" w:sz="12" w:space="0"/>
            </w:tcBorders>
            <w:vAlign w:val="center"/>
          </w:tcPr>
          <w:p>
            <w:pPr>
              <w:spacing w:line="360" w:lineRule="exact"/>
              <w:rPr>
                <w:rFonts w:ascii="宋体" w:eastAsia="宋体"/>
                <w:color w:val="auto"/>
                <w:highlight w:val="none"/>
              </w:rPr>
            </w:pPr>
          </w:p>
        </w:tc>
      </w:tr>
    </w:tbl>
    <w:p>
      <w:pPr>
        <w:pStyle w:val="24"/>
        <w:spacing w:line="400" w:lineRule="atLeast"/>
        <w:ind w:left="4618" w:leftChars="156" w:hanging="4290" w:hangingChars="1950"/>
        <w:rPr>
          <w:rFonts w:hAnsi="宋体" w:eastAsia="宋体"/>
          <w:b w:val="0"/>
          <w:color w:val="auto"/>
          <w:sz w:val="22"/>
          <w:highlight w:val="none"/>
        </w:rPr>
      </w:pPr>
      <w:r>
        <w:rPr>
          <w:rFonts w:hint="eastAsia" w:hAnsi="宋体" w:eastAsia="宋体"/>
          <w:b w:val="0"/>
          <w:color w:val="auto"/>
          <w:sz w:val="22"/>
          <w:highlight w:val="none"/>
        </w:rPr>
        <w:t xml:space="preserve">注：本表可在不改变格式的情况下根据具体需要自行增减。 </w:t>
      </w:r>
    </w:p>
    <w:p>
      <w:pPr>
        <w:pStyle w:val="24"/>
        <w:spacing w:line="400" w:lineRule="atLeast"/>
        <w:ind w:left="4618" w:leftChars="156" w:hanging="4290" w:hangingChars="1950"/>
        <w:rPr>
          <w:rFonts w:hAnsi="宋体" w:eastAsia="宋体"/>
          <w:color w:val="auto"/>
          <w:sz w:val="22"/>
          <w:highlight w:val="none"/>
        </w:rPr>
      </w:pPr>
    </w:p>
    <w:p>
      <w:pPr>
        <w:pStyle w:val="24"/>
        <w:spacing w:line="360" w:lineRule="auto"/>
        <w:rPr>
          <w:rFonts w:hAnsi="宋体" w:eastAsia="宋体"/>
          <w:b w:val="0"/>
          <w:color w:val="auto"/>
          <w:sz w:val="22"/>
          <w:szCs w:val="22"/>
          <w:highlight w:val="none"/>
        </w:rPr>
      </w:pPr>
      <w:bookmarkStart w:id="216" w:name="_Toc301515381"/>
      <w:r>
        <w:rPr>
          <w:rFonts w:hint="eastAsia" w:hAnsi="宋体" w:eastAsia="宋体"/>
          <w:b w:val="0"/>
          <w:color w:val="auto"/>
          <w:sz w:val="22"/>
          <w:szCs w:val="22"/>
          <w:highlight w:val="none"/>
        </w:rPr>
        <w:t>投标供应商全称（盖章）：</w:t>
      </w:r>
    </w:p>
    <w:p>
      <w:pPr>
        <w:pStyle w:val="24"/>
        <w:spacing w:line="360" w:lineRule="auto"/>
        <w:rPr>
          <w:rFonts w:hAnsi="宋体" w:eastAsia="宋体"/>
          <w:b w:val="0"/>
          <w:color w:val="auto"/>
          <w:sz w:val="22"/>
          <w:szCs w:val="22"/>
          <w:highlight w:val="none"/>
        </w:rPr>
      </w:pPr>
      <w:r>
        <w:rPr>
          <w:rFonts w:hint="eastAsia" w:hAnsi="宋体" w:eastAsia="宋体"/>
          <w:b w:val="0"/>
          <w:color w:val="auto"/>
          <w:sz w:val="22"/>
          <w:szCs w:val="22"/>
          <w:highlight w:val="none"/>
        </w:rPr>
        <w:t>日 期：       年      月      日</w:t>
      </w:r>
    </w:p>
    <w:p>
      <w:pPr>
        <w:pStyle w:val="40"/>
        <w:jc w:val="left"/>
        <w:rPr>
          <w:rFonts w:ascii="宋体" w:hAnsi="宋体" w:cs="宋体"/>
          <w:b w:val="0"/>
          <w:color w:val="auto"/>
          <w:sz w:val="22"/>
          <w:szCs w:val="22"/>
          <w:highlight w:val="none"/>
        </w:rPr>
      </w:pPr>
    </w:p>
    <w:p>
      <w:pPr>
        <w:widowControl/>
        <w:jc w:val="center"/>
        <w:rPr>
          <w:rFonts w:ascii="宋体" w:eastAsia="宋体"/>
          <w:color w:val="auto"/>
          <w:sz w:val="28"/>
          <w:szCs w:val="28"/>
          <w:highlight w:val="none"/>
        </w:rPr>
      </w:pPr>
      <w:r>
        <w:rPr>
          <w:rFonts w:hint="eastAsia" w:ascii="宋体" w:eastAsia="宋体"/>
          <w:b w:val="0"/>
          <w:color w:val="auto"/>
          <w:sz w:val="28"/>
          <w:szCs w:val="28"/>
          <w:highlight w:val="none"/>
        </w:rPr>
        <w:br w:type="page"/>
      </w:r>
      <w:r>
        <w:rPr>
          <w:rFonts w:hint="eastAsia" w:ascii="宋体" w:eastAsia="宋体"/>
          <w:color w:val="auto"/>
          <w:sz w:val="28"/>
          <w:szCs w:val="28"/>
          <w:highlight w:val="none"/>
        </w:rPr>
        <w:t>（2）项目组人员一览表</w:t>
      </w:r>
      <w:bookmarkEnd w:id="216"/>
    </w:p>
    <w:p>
      <w:pPr>
        <w:rPr>
          <w:rFonts w:ascii="宋体" w:eastAsia="宋体"/>
          <w:color w:val="auto"/>
          <w:highlight w:val="none"/>
        </w:rPr>
      </w:pPr>
    </w:p>
    <w:p>
      <w:pPr>
        <w:spacing w:line="360" w:lineRule="exact"/>
        <w:rPr>
          <w:rFonts w:ascii="宋体" w:eastAsia="宋体"/>
          <w:color w:val="auto"/>
          <w:highlight w:val="none"/>
        </w:rPr>
      </w:pPr>
      <w:r>
        <w:rPr>
          <w:rFonts w:hint="eastAsia" w:ascii="宋体" w:eastAsia="宋体"/>
          <w:color w:val="auto"/>
          <w:sz w:val="22"/>
          <w:highlight w:val="none"/>
        </w:rPr>
        <w:t>项目名称：                                        项目编号：</w:t>
      </w:r>
    </w:p>
    <w:tbl>
      <w:tblPr>
        <w:tblStyle w:val="43"/>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014"/>
        <w:gridCol w:w="1013"/>
        <w:gridCol w:w="1340"/>
        <w:gridCol w:w="1316"/>
        <w:gridCol w:w="1391"/>
        <w:gridCol w:w="1435"/>
        <w:gridCol w:w="14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910" w:type="dxa"/>
            <w:tcBorders>
              <w:top w:val="single" w:color="auto" w:sz="12" w:space="0"/>
              <w:left w:val="single" w:color="auto" w:sz="12" w:space="0"/>
              <w:bottom w:val="single" w:color="auto" w:sz="4" w:space="0"/>
              <w:right w:val="single" w:color="auto" w:sz="4" w:space="0"/>
            </w:tcBorders>
            <w:vAlign w:val="center"/>
          </w:tcPr>
          <w:p>
            <w:pPr>
              <w:spacing w:line="300" w:lineRule="exact"/>
              <w:jc w:val="center"/>
              <w:rPr>
                <w:rFonts w:ascii="宋体" w:eastAsia="宋体"/>
                <w:color w:val="auto"/>
                <w:sz w:val="22"/>
                <w:szCs w:val="22"/>
                <w:highlight w:val="none"/>
              </w:rPr>
            </w:pPr>
            <w:r>
              <w:rPr>
                <w:rFonts w:hint="eastAsia" w:ascii="宋体" w:eastAsia="宋体"/>
                <w:color w:val="auto"/>
                <w:sz w:val="22"/>
                <w:szCs w:val="22"/>
                <w:highlight w:val="none"/>
              </w:rPr>
              <w:t>姓名</w:t>
            </w:r>
          </w:p>
        </w:tc>
        <w:tc>
          <w:tcPr>
            <w:tcW w:w="1014" w:type="dxa"/>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宋体" w:eastAsia="宋体"/>
                <w:color w:val="auto"/>
                <w:sz w:val="22"/>
                <w:szCs w:val="22"/>
                <w:highlight w:val="none"/>
              </w:rPr>
            </w:pPr>
            <w:r>
              <w:rPr>
                <w:rFonts w:hint="eastAsia" w:ascii="宋体" w:eastAsia="宋体"/>
                <w:color w:val="auto"/>
                <w:sz w:val="22"/>
                <w:szCs w:val="22"/>
                <w:highlight w:val="none"/>
              </w:rPr>
              <w:t>性别</w:t>
            </w:r>
          </w:p>
        </w:tc>
        <w:tc>
          <w:tcPr>
            <w:tcW w:w="1013" w:type="dxa"/>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宋体" w:eastAsia="宋体"/>
                <w:color w:val="auto"/>
                <w:sz w:val="22"/>
                <w:szCs w:val="22"/>
                <w:highlight w:val="none"/>
              </w:rPr>
            </w:pPr>
            <w:r>
              <w:rPr>
                <w:rFonts w:hint="eastAsia" w:ascii="宋体" w:eastAsia="宋体"/>
                <w:color w:val="auto"/>
                <w:sz w:val="22"/>
                <w:szCs w:val="22"/>
                <w:highlight w:val="none"/>
              </w:rPr>
              <w:t>年龄</w:t>
            </w:r>
          </w:p>
        </w:tc>
        <w:tc>
          <w:tcPr>
            <w:tcW w:w="1340" w:type="dxa"/>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宋体" w:eastAsia="宋体"/>
                <w:color w:val="auto"/>
                <w:sz w:val="22"/>
                <w:szCs w:val="22"/>
                <w:highlight w:val="none"/>
              </w:rPr>
            </w:pPr>
            <w:r>
              <w:rPr>
                <w:rFonts w:hint="eastAsia" w:ascii="宋体" w:eastAsia="宋体"/>
                <w:color w:val="auto"/>
                <w:sz w:val="22"/>
                <w:szCs w:val="22"/>
                <w:highlight w:val="none"/>
              </w:rPr>
              <w:t>学历/职称</w:t>
            </w:r>
          </w:p>
        </w:tc>
        <w:tc>
          <w:tcPr>
            <w:tcW w:w="1316" w:type="dxa"/>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宋体" w:eastAsia="宋体"/>
                <w:color w:val="auto"/>
                <w:sz w:val="22"/>
                <w:szCs w:val="22"/>
                <w:highlight w:val="none"/>
              </w:rPr>
            </w:pPr>
            <w:r>
              <w:rPr>
                <w:rFonts w:hint="eastAsia" w:ascii="宋体" w:eastAsia="宋体"/>
                <w:color w:val="auto"/>
                <w:sz w:val="22"/>
                <w:szCs w:val="22"/>
                <w:highlight w:val="none"/>
              </w:rPr>
              <w:t>专业</w:t>
            </w:r>
          </w:p>
        </w:tc>
        <w:tc>
          <w:tcPr>
            <w:tcW w:w="1391" w:type="dxa"/>
            <w:tcBorders>
              <w:top w:val="single" w:color="auto" w:sz="12" w:space="0"/>
              <w:left w:val="single" w:color="auto" w:sz="4" w:space="0"/>
              <w:bottom w:val="single" w:color="auto" w:sz="4" w:space="0"/>
              <w:right w:val="single" w:color="auto" w:sz="4" w:space="0"/>
            </w:tcBorders>
            <w:vAlign w:val="center"/>
          </w:tcPr>
          <w:p>
            <w:pPr>
              <w:spacing w:line="300" w:lineRule="exact"/>
              <w:rPr>
                <w:rFonts w:ascii="宋体" w:eastAsia="宋体"/>
                <w:color w:val="auto"/>
                <w:sz w:val="22"/>
                <w:szCs w:val="22"/>
                <w:highlight w:val="none"/>
              </w:rPr>
            </w:pPr>
            <w:r>
              <w:rPr>
                <w:rFonts w:hint="eastAsia" w:ascii="宋体" w:eastAsia="宋体"/>
                <w:color w:val="auto"/>
                <w:sz w:val="22"/>
                <w:szCs w:val="22"/>
                <w:highlight w:val="none"/>
              </w:rPr>
              <w:t>专业工作年限</w:t>
            </w:r>
          </w:p>
        </w:tc>
        <w:tc>
          <w:tcPr>
            <w:tcW w:w="1435" w:type="dxa"/>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宋体" w:eastAsia="宋体"/>
                <w:color w:val="auto"/>
                <w:sz w:val="22"/>
                <w:szCs w:val="22"/>
                <w:highlight w:val="none"/>
              </w:rPr>
            </w:pPr>
            <w:r>
              <w:rPr>
                <w:rFonts w:hint="eastAsia" w:ascii="宋体" w:eastAsia="宋体"/>
                <w:color w:val="auto"/>
                <w:sz w:val="22"/>
                <w:szCs w:val="22"/>
                <w:highlight w:val="none"/>
              </w:rPr>
              <w:t>拟任何职</w:t>
            </w:r>
          </w:p>
        </w:tc>
        <w:tc>
          <w:tcPr>
            <w:tcW w:w="1435" w:type="dxa"/>
            <w:tcBorders>
              <w:top w:val="single" w:color="auto" w:sz="12" w:space="0"/>
              <w:left w:val="single" w:color="auto" w:sz="4" w:space="0"/>
              <w:bottom w:val="single" w:color="auto" w:sz="4" w:space="0"/>
              <w:right w:val="single" w:color="auto" w:sz="12" w:space="0"/>
            </w:tcBorders>
            <w:vAlign w:val="center"/>
          </w:tcPr>
          <w:p>
            <w:pPr>
              <w:spacing w:line="300" w:lineRule="exact"/>
              <w:jc w:val="center"/>
              <w:rPr>
                <w:rFonts w:ascii="宋体" w:eastAsia="宋体"/>
                <w:color w:val="auto"/>
                <w:sz w:val="22"/>
                <w:szCs w:val="22"/>
                <w:highlight w:val="none"/>
              </w:rPr>
            </w:pPr>
            <w:r>
              <w:rPr>
                <w:rFonts w:hint="eastAsia" w:ascii="宋体" w:eastAsia="宋体"/>
                <w:color w:val="auto"/>
                <w:sz w:val="22"/>
                <w:szCs w:val="22"/>
                <w:highlight w:val="none"/>
              </w:rPr>
              <w:t>是否常驻（填：是或否）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eastAsia="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4"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013"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40"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1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391"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eastAsia="宋体"/>
                <w:color w:val="auto"/>
                <w:sz w:val="22"/>
                <w:szCs w:val="22"/>
                <w:highlight w:val="none"/>
              </w:rPr>
            </w:pPr>
          </w:p>
        </w:tc>
        <w:tc>
          <w:tcPr>
            <w:tcW w:w="1435" w:type="dxa"/>
            <w:tcBorders>
              <w:top w:val="single" w:color="auto" w:sz="4" w:space="0"/>
              <w:left w:val="single" w:color="auto" w:sz="4" w:space="0"/>
              <w:bottom w:val="single" w:color="auto" w:sz="12" w:space="0"/>
              <w:right w:val="single" w:color="auto" w:sz="12" w:space="0"/>
            </w:tcBorders>
            <w:vAlign w:val="center"/>
          </w:tcPr>
          <w:p>
            <w:pPr>
              <w:spacing w:line="360" w:lineRule="exact"/>
              <w:jc w:val="center"/>
              <w:rPr>
                <w:rFonts w:ascii="宋体" w:eastAsia="宋体"/>
                <w:color w:val="auto"/>
                <w:sz w:val="22"/>
                <w:szCs w:val="22"/>
                <w:highlight w:val="none"/>
              </w:rPr>
            </w:pPr>
          </w:p>
        </w:tc>
      </w:tr>
    </w:tbl>
    <w:p>
      <w:pPr>
        <w:pStyle w:val="24"/>
        <w:tabs>
          <w:tab w:val="left" w:pos="0"/>
          <w:tab w:val="left" w:pos="540"/>
        </w:tabs>
        <w:spacing w:line="300" w:lineRule="auto"/>
        <w:ind w:left="438" w:leftChars="156" w:hanging="110" w:hangingChars="50"/>
        <w:rPr>
          <w:rFonts w:hAnsi="宋体" w:eastAsia="宋体"/>
          <w:b w:val="0"/>
          <w:color w:val="auto"/>
          <w:sz w:val="22"/>
          <w:szCs w:val="22"/>
          <w:highlight w:val="none"/>
        </w:rPr>
      </w:pPr>
      <w:r>
        <w:rPr>
          <w:rFonts w:hint="eastAsia" w:hAnsi="宋体" w:eastAsia="宋体"/>
          <w:b w:val="0"/>
          <w:color w:val="auto"/>
          <w:sz w:val="22"/>
          <w:highlight w:val="none"/>
        </w:rPr>
        <w:t>注：</w:t>
      </w:r>
      <w:r>
        <w:rPr>
          <w:rFonts w:hint="eastAsia" w:hAnsi="宋体" w:eastAsia="宋体"/>
          <w:b w:val="0"/>
          <w:color w:val="auto"/>
          <w:sz w:val="22"/>
          <w:szCs w:val="22"/>
          <w:highlight w:val="none"/>
        </w:rPr>
        <w:t>此表仅提供了表格形式，可按此表格复制。</w:t>
      </w:r>
    </w:p>
    <w:p>
      <w:pPr>
        <w:pStyle w:val="24"/>
        <w:tabs>
          <w:tab w:val="left" w:pos="0"/>
          <w:tab w:val="left" w:pos="540"/>
        </w:tabs>
        <w:spacing w:line="300" w:lineRule="auto"/>
        <w:ind w:left="438" w:leftChars="156" w:hanging="110" w:hangingChars="50"/>
        <w:rPr>
          <w:rFonts w:hAnsi="宋体" w:eastAsia="宋体"/>
          <w:color w:val="auto"/>
          <w:sz w:val="22"/>
          <w:szCs w:val="22"/>
          <w:highlight w:val="none"/>
        </w:rPr>
      </w:pPr>
    </w:p>
    <w:p>
      <w:pPr>
        <w:pStyle w:val="24"/>
        <w:spacing w:line="360" w:lineRule="auto"/>
        <w:rPr>
          <w:rFonts w:hAnsi="宋体" w:eastAsia="宋体"/>
          <w:b w:val="0"/>
          <w:color w:val="auto"/>
          <w:sz w:val="22"/>
          <w:szCs w:val="22"/>
          <w:highlight w:val="none"/>
        </w:rPr>
      </w:pPr>
      <w:r>
        <w:rPr>
          <w:rFonts w:hint="eastAsia" w:hAnsi="宋体" w:eastAsia="宋体"/>
          <w:b w:val="0"/>
          <w:color w:val="auto"/>
          <w:sz w:val="22"/>
          <w:szCs w:val="22"/>
          <w:highlight w:val="none"/>
        </w:rPr>
        <w:t>投标供应商全称（盖章）：</w:t>
      </w:r>
    </w:p>
    <w:p>
      <w:pPr>
        <w:pStyle w:val="24"/>
        <w:spacing w:line="360" w:lineRule="auto"/>
        <w:rPr>
          <w:rFonts w:ascii="宋体" w:hAnsi="宋体" w:cs="宋体"/>
          <w:b w:val="0"/>
          <w:color w:val="auto"/>
          <w:highlight w:val="none"/>
        </w:rPr>
        <w:sectPr>
          <w:pgSz w:w="11906" w:h="16838"/>
          <w:pgMar w:top="1355" w:right="1355" w:bottom="1440" w:left="1287" w:header="720" w:footer="720" w:gutter="0"/>
          <w:cols w:space="720" w:num="1"/>
          <w:docGrid w:linePitch="272" w:charSpace="-3831"/>
        </w:sectPr>
      </w:pPr>
      <w:r>
        <w:rPr>
          <w:rFonts w:hint="eastAsia" w:hAnsi="宋体" w:eastAsia="宋体"/>
          <w:b w:val="0"/>
          <w:color w:val="auto"/>
          <w:sz w:val="22"/>
          <w:szCs w:val="22"/>
          <w:highlight w:val="none"/>
        </w:rPr>
        <w:t>日 期：       年      月      日</w:t>
      </w:r>
    </w:p>
    <w:p>
      <w:pPr>
        <w:pStyle w:val="40"/>
        <w:rPr>
          <w:rFonts w:cs="新宋体" w:asciiTheme="majorEastAsia" w:hAnsiTheme="majorEastAsia" w:eastAsiaTheme="majorEastAsia"/>
          <w:color w:val="auto"/>
          <w:sz w:val="30"/>
          <w:szCs w:val="30"/>
          <w:highlight w:val="none"/>
        </w:rPr>
      </w:pPr>
      <w:r>
        <w:rPr>
          <w:rFonts w:hint="eastAsia" w:cs="新宋体" w:asciiTheme="majorEastAsia" w:hAnsiTheme="majorEastAsia" w:eastAsiaTheme="majorEastAsia"/>
          <w:color w:val="auto"/>
          <w:sz w:val="30"/>
          <w:szCs w:val="30"/>
          <w:highlight w:val="none"/>
        </w:rPr>
        <w:t>第七部分 评标定标办法</w:t>
      </w:r>
      <w:bookmarkEnd w:id="84"/>
      <w:bookmarkEnd w:id="85"/>
      <w:bookmarkEnd w:id="86"/>
      <w:bookmarkEnd w:id="215"/>
    </w:p>
    <w:p>
      <w:pPr>
        <w:tabs>
          <w:tab w:val="left" w:pos="8820"/>
        </w:tabs>
        <w:adjustRightInd w:val="0"/>
        <w:snapToGrid w:val="0"/>
        <w:spacing w:before="100" w:after="50"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根据《中华人民共和国政府采购法》等有关政府采购法规，结合本次所要采购服务的实际，按照公平、公正、科学、择优的原则选择中标供应商，特制定本评标办法。</w:t>
      </w:r>
    </w:p>
    <w:p>
      <w:pPr>
        <w:adjustRightInd w:val="0"/>
        <w:snapToGrid w:val="0"/>
        <w:spacing w:before="156" w:beforeLines="50" w:after="50" w:line="460" w:lineRule="atLeast"/>
        <w:jc w:val="center"/>
        <w:rPr>
          <w:rFonts w:cs="新宋体" w:asciiTheme="majorEastAsia" w:hAnsiTheme="majorEastAsia" w:eastAsiaTheme="majorEastAsia"/>
          <w:b/>
          <w:bCs/>
          <w:color w:val="auto"/>
          <w:sz w:val="22"/>
          <w:szCs w:val="22"/>
          <w:highlight w:val="none"/>
        </w:rPr>
      </w:pPr>
      <w:r>
        <w:rPr>
          <w:rFonts w:hint="eastAsia" w:cs="新宋体" w:asciiTheme="majorEastAsia" w:hAnsiTheme="majorEastAsia" w:eastAsiaTheme="majorEastAsia"/>
          <w:b/>
          <w:bCs/>
          <w:color w:val="auto"/>
          <w:sz w:val="22"/>
          <w:szCs w:val="22"/>
          <w:highlight w:val="none"/>
        </w:rPr>
        <w:t>一、总则</w:t>
      </w:r>
    </w:p>
    <w:p>
      <w:pPr>
        <w:pStyle w:val="26"/>
        <w:adjustRightInd w:val="0"/>
        <w:snapToGrid w:val="0"/>
        <w:spacing w:before="100" w:after="50" w:line="460" w:lineRule="atLeast"/>
        <w:rPr>
          <w:rFonts w:cs="新宋体" w:asciiTheme="majorEastAsia" w:hAnsiTheme="majorEastAsia" w:eastAsiaTheme="majorEastAsia"/>
          <w:b w:val="0"/>
          <w:color w:val="auto"/>
          <w:sz w:val="22"/>
          <w:szCs w:val="22"/>
          <w:highlight w:val="none"/>
        </w:rPr>
      </w:pPr>
      <w:r>
        <w:rPr>
          <w:rFonts w:hint="eastAsia" w:cs="新宋体" w:asciiTheme="majorEastAsia" w:hAnsiTheme="majorEastAsia" w:eastAsiaTheme="majorEastAsia"/>
          <w:b w:val="0"/>
          <w:color w:val="auto"/>
          <w:sz w:val="22"/>
          <w:szCs w:val="22"/>
          <w:highlight w:val="none"/>
        </w:rPr>
        <w:t>评标工作遵循公平、公正、民主、科学的原则和诚实、信誉、效率的服务原则。本着科学、严谨的态度，认真进行评标。择优选定服务供应商，确保服务质量，最大限度的保护当事人权益，严格按照招标文件的商务、技术要求，对投标文件进行综合评定，提出优选方案，编写评标报告。评标委员会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before="156" w:beforeLines="50" w:after="50" w:line="460" w:lineRule="atLeast"/>
        <w:jc w:val="center"/>
        <w:rPr>
          <w:rFonts w:cs="新宋体" w:asciiTheme="majorEastAsia" w:hAnsiTheme="majorEastAsia" w:eastAsiaTheme="majorEastAsia"/>
          <w:b/>
          <w:bCs/>
          <w:color w:val="auto"/>
          <w:sz w:val="22"/>
          <w:szCs w:val="22"/>
          <w:highlight w:val="none"/>
        </w:rPr>
      </w:pPr>
      <w:r>
        <w:rPr>
          <w:rFonts w:hint="eastAsia" w:cs="新宋体" w:asciiTheme="majorEastAsia" w:hAnsiTheme="majorEastAsia" w:eastAsiaTheme="majorEastAsia"/>
          <w:b/>
          <w:bCs/>
          <w:color w:val="auto"/>
          <w:sz w:val="22"/>
          <w:szCs w:val="22"/>
          <w:highlight w:val="none"/>
        </w:rPr>
        <w:t>二、评标组织</w:t>
      </w:r>
    </w:p>
    <w:p>
      <w:pPr>
        <w:pStyle w:val="26"/>
        <w:adjustRightInd w:val="0"/>
        <w:snapToGrid w:val="0"/>
        <w:spacing w:before="100" w:after="50" w:line="460" w:lineRule="atLeast"/>
        <w:rPr>
          <w:rFonts w:cs="新宋体" w:asciiTheme="majorEastAsia" w:hAnsiTheme="majorEastAsia" w:eastAsiaTheme="majorEastAsia"/>
          <w:b w:val="0"/>
          <w:color w:val="auto"/>
          <w:sz w:val="22"/>
          <w:szCs w:val="22"/>
          <w:highlight w:val="none"/>
        </w:rPr>
      </w:pPr>
      <w:r>
        <w:rPr>
          <w:rFonts w:hint="eastAsia" w:cs="新宋体" w:asciiTheme="majorEastAsia" w:hAnsiTheme="majorEastAsia" w:eastAsiaTheme="majorEastAsia"/>
          <w:b w:val="0"/>
          <w:color w:val="auto"/>
          <w:sz w:val="22"/>
          <w:szCs w:val="22"/>
          <w:highlight w:val="none"/>
        </w:rPr>
        <w:t>评标工作由采购人依法组建的评标委员会负责，评标委员会由采购人代表以及评标专家库中随机抽取的有关技术、经济专家共同组成。评标全过程由采购管理部门监督整个开标、评标和定标过程。</w:t>
      </w:r>
    </w:p>
    <w:p>
      <w:pPr>
        <w:pStyle w:val="82"/>
        <w:widowControl w:val="0"/>
        <w:pBdr>
          <w:left w:val="none" w:color="auto" w:sz="0" w:space="0"/>
          <w:bottom w:val="none" w:color="auto" w:sz="0" w:space="0"/>
          <w:right w:val="none" w:color="auto" w:sz="0" w:space="0"/>
        </w:pBdr>
        <w:adjustRightInd w:val="0"/>
        <w:snapToGrid w:val="0"/>
        <w:spacing w:before="156" w:beforeLines="50" w:beforeAutospacing="0" w:after="50" w:afterAutospacing="0" w:line="460" w:lineRule="atLeast"/>
        <w:textAlignment w:val="auto"/>
        <w:rPr>
          <w:rFonts w:cs="新宋体" w:asciiTheme="majorEastAsia" w:hAnsiTheme="majorEastAsia" w:eastAsiaTheme="majorEastAsia"/>
          <w:color w:val="auto"/>
          <w:kern w:val="2"/>
          <w:sz w:val="22"/>
          <w:szCs w:val="22"/>
          <w:highlight w:val="none"/>
        </w:rPr>
      </w:pPr>
      <w:r>
        <w:rPr>
          <w:rFonts w:hint="eastAsia" w:cs="新宋体" w:asciiTheme="majorEastAsia" w:hAnsiTheme="majorEastAsia" w:eastAsiaTheme="majorEastAsia"/>
          <w:color w:val="auto"/>
          <w:kern w:val="2"/>
          <w:sz w:val="22"/>
          <w:szCs w:val="22"/>
          <w:highlight w:val="none"/>
        </w:rPr>
        <w:t>三、评标程序</w:t>
      </w:r>
    </w:p>
    <w:p>
      <w:pPr>
        <w:adjustRightInd w:val="0"/>
        <w:snapToGrid w:val="0"/>
        <w:spacing w:before="100" w:after="50"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开标后，采购人或采购代理机构对各投标供应商的资格进行审查；然后评标委员会对合格投标供应商的进行符合性审查，按照招标文件中规定的评标方法和标准，对符合性审查合格的投标文件进行商务和技术评估，综合比较与评价。</w:t>
      </w:r>
    </w:p>
    <w:p>
      <w:pPr>
        <w:pStyle w:val="8"/>
        <w:adjustRightInd w:val="0"/>
        <w:snapToGrid w:val="0"/>
        <w:spacing w:before="156" w:beforeLines="50" w:after="50" w:line="460" w:lineRule="atLeast"/>
        <w:ind w:firstLine="440"/>
        <w:rPr>
          <w:rFonts w:cs="新宋体" w:asciiTheme="majorEastAsia" w:hAnsiTheme="majorEastAsia" w:eastAsiaTheme="majorEastAsia"/>
          <w:b w:val="0"/>
          <w:color w:val="auto"/>
          <w:sz w:val="22"/>
          <w:szCs w:val="22"/>
          <w:highlight w:val="none"/>
        </w:rPr>
      </w:pPr>
      <w:r>
        <w:rPr>
          <w:rFonts w:hint="eastAsia" w:cs="新宋体" w:asciiTheme="majorEastAsia" w:hAnsiTheme="majorEastAsia" w:eastAsiaTheme="majorEastAsia"/>
          <w:b w:val="0"/>
          <w:color w:val="auto"/>
          <w:sz w:val="22"/>
          <w:szCs w:val="22"/>
          <w:highlight w:val="none"/>
        </w:rPr>
        <w:t>2、由评标委员会依据法律、法规及招标文件有关规定在有效标中按投标供应商的最终得分（即技术分与商务分之和）高低进行排序，得分前二名的投标供应商推荐为第一中标候选人与第二中标候选人（得分相同投标报价低的排序第一；得分且投标报价相同的，由评标委员会成员抽签决定排序）。</w:t>
      </w:r>
    </w:p>
    <w:p>
      <w:pPr>
        <w:pStyle w:val="8"/>
        <w:adjustRightInd w:val="0"/>
        <w:snapToGrid w:val="0"/>
        <w:spacing w:before="156" w:beforeLines="50" w:after="50" w:line="460" w:lineRule="atLeast"/>
        <w:ind w:firstLine="440"/>
        <w:rPr>
          <w:rFonts w:cs="新宋体" w:asciiTheme="majorEastAsia" w:hAnsiTheme="majorEastAsia" w:eastAsiaTheme="majorEastAsia"/>
          <w:b w:val="0"/>
          <w:color w:val="auto"/>
          <w:sz w:val="22"/>
          <w:szCs w:val="22"/>
          <w:highlight w:val="none"/>
        </w:rPr>
      </w:pPr>
      <w:r>
        <w:rPr>
          <w:rFonts w:hint="eastAsia" w:cs="新宋体" w:asciiTheme="majorEastAsia" w:hAnsiTheme="majorEastAsia" w:eastAsiaTheme="majorEastAsia"/>
          <w:b w:val="0"/>
          <w:color w:val="auto"/>
          <w:sz w:val="22"/>
          <w:szCs w:val="22"/>
          <w:highlight w:val="none"/>
        </w:rPr>
        <w:t xml:space="preserve">3、中标人放弃中标，或者因不可抗力提出不能履行合同，或者招标文件规定应当提交履约保证金、签订合同而在规定的期限内未能提交、签订合同的，采购人可以取消其中标资格。并按供应商评标排序从高到低排序依次确定新的中标人或重新组织采购。 </w:t>
      </w:r>
    </w:p>
    <w:p>
      <w:pPr>
        <w:pStyle w:val="8"/>
        <w:adjustRightInd w:val="0"/>
        <w:snapToGrid w:val="0"/>
        <w:spacing w:before="156" w:beforeLines="50" w:after="50" w:line="460" w:lineRule="atLeast"/>
        <w:ind w:firstLine="440"/>
        <w:rPr>
          <w:rFonts w:cs="新宋体" w:asciiTheme="majorEastAsia" w:hAnsiTheme="majorEastAsia" w:eastAsiaTheme="majorEastAsia"/>
          <w:b w:val="0"/>
          <w:color w:val="auto"/>
          <w:sz w:val="22"/>
          <w:szCs w:val="22"/>
          <w:highlight w:val="none"/>
        </w:rPr>
      </w:pPr>
      <w:r>
        <w:rPr>
          <w:rFonts w:hint="eastAsia" w:cs="新宋体" w:asciiTheme="majorEastAsia" w:hAnsiTheme="majorEastAsia" w:eastAsiaTheme="majorEastAsia"/>
          <w:b w:val="0"/>
          <w:color w:val="auto"/>
          <w:sz w:val="22"/>
          <w:szCs w:val="22"/>
          <w:highlight w:val="none"/>
        </w:rPr>
        <w:t>4、其它参见本招标文件第三部分：“供应商须知” 中的相关内容。</w:t>
      </w:r>
    </w:p>
    <w:bookmarkEnd w:id="87"/>
    <w:p>
      <w:pPr>
        <w:spacing w:line="400" w:lineRule="exact"/>
        <w:rPr>
          <w:rFonts w:cs="新宋体" w:asciiTheme="majorEastAsia" w:hAnsiTheme="majorEastAsia" w:eastAsiaTheme="majorEastAsia"/>
          <w:color w:val="auto"/>
          <w:szCs w:val="21"/>
          <w:highlight w:val="none"/>
        </w:rPr>
      </w:pPr>
    </w:p>
    <w:p>
      <w:pPr>
        <w:adjustRightInd w:val="0"/>
        <w:spacing w:before="100" w:after="50" w:line="460" w:lineRule="atLeast"/>
        <w:jc w:val="center"/>
        <w:rPr>
          <w:rFonts w:cs="新宋体" w:asciiTheme="majorEastAsia" w:hAnsiTheme="majorEastAsia" w:eastAsiaTheme="majorEastAsia"/>
          <w:b/>
          <w:bCs/>
          <w:color w:val="auto"/>
          <w:sz w:val="22"/>
          <w:szCs w:val="22"/>
          <w:highlight w:val="none"/>
        </w:rPr>
      </w:pPr>
      <w:r>
        <w:rPr>
          <w:rFonts w:hint="eastAsia" w:cs="新宋体" w:asciiTheme="majorEastAsia" w:hAnsiTheme="majorEastAsia" w:eastAsiaTheme="majorEastAsia"/>
          <w:b/>
          <w:bCs/>
          <w:color w:val="auto"/>
          <w:sz w:val="22"/>
          <w:szCs w:val="22"/>
          <w:highlight w:val="none"/>
        </w:rPr>
        <w:t>四、评分细则</w:t>
      </w:r>
    </w:p>
    <w:p>
      <w:pPr>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一、商务报价评分</w:t>
      </w:r>
      <w:r>
        <w:rPr>
          <w:rFonts w:hint="eastAsia" w:cs="新宋体" w:asciiTheme="majorEastAsia" w:hAnsiTheme="majorEastAsia" w:eastAsiaTheme="majorEastAsia"/>
          <w:color w:val="auto"/>
          <w:sz w:val="22"/>
          <w:szCs w:val="22"/>
          <w:highlight w:val="none"/>
          <w:lang w:val="en-US" w:eastAsia="zh-CN"/>
        </w:rPr>
        <w:t>0</w:t>
      </w:r>
      <w:r>
        <w:rPr>
          <w:rFonts w:hint="eastAsia" w:cs="新宋体" w:asciiTheme="majorEastAsia" w:hAnsiTheme="majorEastAsia" w:eastAsiaTheme="majorEastAsia"/>
          <w:color w:val="auto"/>
          <w:sz w:val="22"/>
          <w:szCs w:val="22"/>
          <w:highlight w:val="none"/>
        </w:rPr>
        <w:t>分</w:t>
      </w:r>
    </w:p>
    <w:p>
      <w:pPr>
        <w:autoSpaceDE w:val="0"/>
        <w:autoSpaceDN w:val="0"/>
        <w:adjustRightInd w:val="0"/>
        <w:spacing w:line="460" w:lineRule="atLeast"/>
        <w:ind w:firstLine="440" w:firstLineChars="200"/>
        <w:rPr>
          <w:rFonts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1、本项目采用固定价格采购，其价格不列为评审因素。</w:t>
      </w:r>
    </w:p>
    <w:p>
      <w:pPr>
        <w:spacing w:line="460" w:lineRule="atLeast"/>
        <w:ind w:firstLine="440" w:firstLineChars="200"/>
        <w:rPr>
          <w:rFonts w:cs="新宋体" w:asciiTheme="majorEastAsia" w:hAnsiTheme="majorEastAsia" w:eastAsiaTheme="majorEastAsia"/>
          <w:color w:val="auto"/>
          <w:sz w:val="22"/>
          <w:highlight w:val="none"/>
        </w:rPr>
      </w:pPr>
      <w:r>
        <w:rPr>
          <w:rFonts w:hint="eastAsia" w:cs="新宋体" w:asciiTheme="majorEastAsia" w:hAnsiTheme="majorEastAsia" w:eastAsiaTheme="majorEastAsia"/>
          <w:color w:val="auto"/>
          <w:sz w:val="22"/>
          <w:highlight w:val="none"/>
        </w:rPr>
        <w:t>二、技术、服务、资信业绩综合评分</w:t>
      </w:r>
      <w:r>
        <w:rPr>
          <w:rFonts w:hint="eastAsia" w:cs="新宋体" w:asciiTheme="majorEastAsia" w:hAnsiTheme="majorEastAsia" w:eastAsiaTheme="majorEastAsia"/>
          <w:color w:val="auto"/>
          <w:sz w:val="22"/>
          <w:highlight w:val="none"/>
          <w:lang w:val="en-US" w:eastAsia="zh-CN"/>
        </w:rPr>
        <w:t>100</w:t>
      </w:r>
      <w:r>
        <w:rPr>
          <w:rFonts w:hint="eastAsia" w:cs="新宋体" w:asciiTheme="majorEastAsia" w:hAnsiTheme="majorEastAsia" w:eastAsiaTheme="majorEastAsia"/>
          <w:color w:val="auto"/>
          <w:sz w:val="22"/>
          <w:highlight w:val="none"/>
        </w:rPr>
        <w:t>分</w:t>
      </w:r>
    </w:p>
    <w:p>
      <w:pPr>
        <w:autoSpaceDE w:val="0"/>
        <w:autoSpaceDN w:val="0"/>
        <w:adjustRightInd w:val="0"/>
        <w:spacing w:line="460" w:lineRule="atLeast"/>
        <w:ind w:firstLine="440" w:firstLineChars="200"/>
        <w:rPr>
          <w:rFonts w:hint="eastAsia" w:cs="新宋体" w:asciiTheme="majorEastAsia" w:hAnsiTheme="majorEastAsia" w:eastAsiaTheme="majorEastAsia"/>
          <w:color w:val="auto"/>
          <w:sz w:val="22"/>
          <w:szCs w:val="22"/>
          <w:highlight w:val="none"/>
        </w:rPr>
      </w:pPr>
      <w:r>
        <w:rPr>
          <w:rFonts w:hint="eastAsia" w:cs="新宋体" w:asciiTheme="majorEastAsia" w:hAnsiTheme="majorEastAsia" w:eastAsiaTheme="majorEastAsia"/>
          <w:color w:val="auto"/>
          <w:sz w:val="22"/>
          <w:szCs w:val="22"/>
          <w:highlight w:val="none"/>
        </w:rPr>
        <w:t>各评委成员按下列评分项目进行评定，每人一张评分计算表，由评标委员会成员各自评定打分并记实名。如任何一张表的一项评分内容分值超过规定的范围，则该张表无效。评标委员会成员对各供应商的各项评分内容评分合计值的算术平均值为该供应商商务技术文件的最终得分（四舍五入，保留小数点后二位）。</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014"/>
        <w:gridCol w:w="1164"/>
        <w:gridCol w:w="5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54" w:type="dxa"/>
            <w:tcBorders>
              <w:left w:val="single" w:color="auto" w:sz="4" w:space="0"/>
              <w:right w:val="single" w:color="auto" w:sz="4" w:space="0"/>
            </w:tcBorders>
            <w:noWrap w:val="0"/>
            <w:vAlign w:val="center"/>
          </w:tcPr>
          <w:p>
            <w:pPr>
              <w:ind w:left="-50"/>
              <w:jc w:val="center"/>
              <w:rPr>
                <w:rFonts w:ascii="宋体" w:eastAsia="宋体"/>
                <w:snapToGrid w:val="0"/>
                <w:color w:val="auto"/>
                <w:sz w:val="22"/>
                <w:szCs w:val="22"/>
                <w:highlight w:val="none"/>
              </w:rPr>
            </w:pPr>
            <w:r>
              <w:rPr>
                <w:rFonts w:hint="eastAsia" w:ascii="宋体" w:eastAsia="宋体"/>
                <w:snapToGrid w:val="0"/>
                <w:color w:val="auto"/>
                <w:sz w:val="22"/>
                <w:szCs w:val="22"/>
                <w:highlight w:val="none"/>
              </w:rPr>
              <w:t>序号</w:t>
            </w:r>
          </w:p>
        </w:tc>
        <w:tc>
          <w:tcPr>
            <w:tcW w:w="2014" w:type="dxa"/>
            <w:noWrap w:val="0"/>
            <w:vAlign w:val="center"/>
          </w:tcPr>
          <w:p>
            <w:pPr>
              <w:ind w:left="-50"/>
              <w:jc w:val="center"/>
              <w:rPr>
                <w:rFonts w:ascii="宋体" w:eastAsia="宋体" w:cs="Arial"/>
                <w:bCs w:val="0"/>
                <w:color w:val="auto"/>
                <w:kern w:val="28"/>
                <w:sz w:val="22"/>
                <w:szCs w:val="22"/>
                <w:highlight w:val="none"/>
              </w:rPr>
            </w:pPr>
            <w:r>
              <w:rPr>
                <w:rFonts w:hint="eastAsia" w:ascii="宋体" w:eastAsia="宋体" w:cs="Arial"/>
                <w:bCs w:val="0"/>
                <w:color w:val="auto"/>
                <w:kern w:val="28"/>
                <w:sz w:val="22"/>
                <w:szCs w:val="22"/>
                <w:highlight w:val="none"/>
              </w:rPr>
              <w:t>评分内容</w:t>
            </w:r>
          </w:p>
        </w:tc>
        <w:tc>
          <w:tcPr>
            <w:tcW w:w="1164" w:type="dxa"/>
            <w:noWrap w:val="0"/>
            <w:vAlign w:val="center"/>
          </w:tcPr>
          <w:p>
            <w:pPr>
              <w:jc w:val="center"/>
              <w:rPr>
                <w:rFonts w:ascii="宋体" w:eastAsia="宋体" w:cs="Arial"/>
                <w:bCs w:val="0"/>
                <w:color w:val="auto"/>
                <w:kern w:val="28"/>
                <w:sz w:val="22"/>
                <w:szCs w:val="22"/>
                <w:highlight w:val="none"/>
              </w:rPr>
            </w:pPr>
            <w:r>
              <w:rPr>
                <w:rFonts w:hint="eastAsia" w:ascii="宋体" w:eastAsia="宋体" w:cs="Arial"/>
                <w:bCs w:val="0"/>
                <w:color w:val="auto"/>
                <w:kern w:val="28"/>
                <w:sz w:val="22"/>
                <w:szCs w:val="22"/>
                <w:highlight w:val="none"/>
              </w:rPr>
              <w:t>分值</w:t>
            </w:r>
          </w:p>
        </w:tc>
        <w:tc>
          <w:tcPr>
            <w:tcW w:w="5548" w:type="dxa"/>
            <w:noWrap w:val="0"/>
            <w:vAlign w:val="center"/>
          </w:tcPr>
          <w:p>
            <w:pPr>
              <w:ind w:left="-50"/>
              <w:jc w:val="center"/>
              <w:rPr>
                <w:rFonts w:ascii="宋体" w:eastAsia="宋体" w:cs="Arial"/>
                <w:bCs w:val="0"/>
                <w:color w:val="auto"/>
                <w:kern w:val="28"/>
                <w:sz w:val="22"/>
                <w:szCs w:val="22"/>
                <w:highlight w:val="none"/>
              </w:rPr>
            </w:pPr>
            <w:r>
              <w:rPr>
                <w:rFonts w:hint="eastAsia" w:ascii="宋体" w:eastAsia="宋体" w:cs="Arial"/>
                <w:bCs w:val="0"/>
                <w:color w:val="auto"/>
                <w:kern w:val="28"/>
                <w:sz w:val="22"/>
                <w:szCs w:val="22"/>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4" w:type="dxa"/>
            <w:noWrap w:val="0"/>
            <w:vAlign w:val="center"/>
          </w:tcPr>
          <w:p>
            <w:pPr>
              <w:spacing w:line="360" w:lineRule="auto"/>
              <w:ind w:right="3" w:firstLine="110" w:firstLineChars="50"/>
              <w:jc w:val="center"/>
              <w:rPr>
                <w:rFonts w:ascii="宋体" w:eastAsia="宋体"/>
                <w:b w:val="0"/>
                <w:color w:val="auto"/>
                <w:sz w:val="22"/>
                <w:szCs w:val="22"/>
                <w:highlight w:val="none"/>
              </w:rPr>
            </w:pPr>
            <w:r>
              <w:rPr>
                <w:rFonts w:hint="eastAsia" w:ascii="宋体" w:eastAsia="宋体"/>
                <w:b w:val="0"/>
                <w:color w:val="auto"/>
                <w:sz w:val="22"/>
                <w:szCs w:val="22"/>
                <w:highlight w:val="none"/>
              </w:rPr>
              <w:t>1</w:t>
            </w:r>
          </w:p>
        </w:tc>
        <w:tc>
          <w:tcPr>
            <w:tcW w:w="2014" w:type="dxa"/>
            <w:noWrap w:val="0"/>
            <w:vAlign w:val="center"/>
          </w:tcPr>
          <w:p>
            <w:pPr>
              <w:spacing w:line="380" w:lineRule="exact"/>
              <w:jc w:val="center"/>
              <w:rPr>
                <w:rFonts w:ascii="宋体" w:eastAsia="宋体" w:cs="Arial"/>
                <w:b w:val="0"/>
                <w:bCs w:val="0"/>
                <w:color w:val="auto"/>
                <w:kern w:val="28"/>
                <w:sz w:val="22"/>
                <w:szCs w:val="22"/>
                <w:highlight w:val="none"/>
              </w:rPr>
            </w:pPr>
            <w:r>
              <w:rPr>
                <w:rFonts w:hint="eastAsia" w:ascii="宋体" w:eastAsia="宋体" w:cs="Arial"/>
                <w:b w:val="0"/>
                <w:bCs w:val="0"/>
                <w:color w:val="auto"/>
                <w:kern w:val="28"/>
                <w:sz w:val="22"/>
                <w:szCs w:val="22"/>
                <w:highlight w:val="none"/>
              </w:rPr>
              <w:t>供应商综合实力</w:t>
            </w:r>
          </w:p>
        </w:tc>
        <w:tc>
          <w:tcPr>
            <w:tcW w:w="1164" w:type="dxa"/>
            <w:noWrap w:val="0"/>
            <w:vAlign w:val="center"/>
          </w:tcPr>
          <w:p>
            <w:pPr>
              <w:autoSpaceDN w:val="0"/>
              <w:spacing w:line="360" w:lineRule="exact"/>
              <w:jc w:val="center"/>
              <w:textAlignment w:val="center"/>
              <w:rPr>
                <w:rFonts w:ascii="宋体" w:eastAsia="宋体"/>
                <w:b w:val="0"/>
                <w:color w:val="auto"/>
                <w:sz w:val="22"/>
                <w:szCs w:val="22"/>
                <w:highlight w:val="none"/>
              </w:rPr>
            </w:pPr>
            <w:r>
              <w:rPr>
                <w:rFonts w:hint="eastAsia" w:ascii="宋体" w:eastAsia="宋体"/>
                <w:b w:val="0"/>
                <w:color w:val="auto"/>
                <w:kern w:val="28"/>
                <w:sz w:val="22"/>
                <w:szCs w:val="22"/>
                <w:highlight w:val="none"/>
              </w:rPr>
              <w:t>0-</w:t>
            </w:r>
            <w:r>
              <w:rPr>
                <w:rFonts w:hint="eastAsia" w:ascii="宋体" w:eastAsia="宋体"/>
                <w:b w:val="0"/>
                <w:color w:val="auto"/>
                <w:kern w:val="28"/>
                <w:sz w:val="22"/>
                <w:szCs w:val="22"/>
                <w:highlight w:val="none"/>
                <w:lang w:val="en-US" w:eastAsia="zh-CN"/>
              </w:rPr>
              <w:t>2</w:t>
            </w:r>
            <w:r>
              <w:rPr>
                <w:rFonts w:hint="eastAsia" w:ascii="宋体" w:eastAsia="宋体"/>
                <w:b w:val="0"/>
                <w:color w:val="auto"/>
                <w:kern w:val="28"/>
                <w:sz w:val="22"/>
                <w:szCs w:val="22"/>
                <w:highlight w:val="none"/>
              </w:rPr>
              <w:t>分</w:t>
            </w:r>
          </w:p>
        </w:tc>
        <w:tc>
          <w:tcPr>
            <w:tcW w:w="5548" w:type="dxa"/>
            <w:noWrap w:val="0"/>
            <w:vAlign w:val="center"/>
          </w:tcPr>
          <w:p>
            <w:pPr>
              <w:pStyle w:val="2"/>
              <w:ind w:firstLine="0"/>
              <w:rPr>
                <w:rFonts w:ascii="宋体" w:eastAsia="宋体" w:cs="Arial"/>
                <w:b w:val="0"/>
                <w:bCs w:val="0"/>
                <w:color w:val="auto"/>
                <w:sz w:val="22"/>
                <w:szCs w:val="22"/>
                <w:highlight w:val="none"/>
                <w:lang w:val="zh-CN"/>
              </w:rPr>
            </w:pPr>
            <w:r>
              <w:rPr>
                <w:rFonts w:hint="eastAsia" w:ascii="宋体" w:hAnsi="宋体" w:eastAsia="宋体" w:cs="Arial"/>
                <w:bCs/>
                <w:color w:val="auto"/>
                <w:kern w:val="0"/>
                <w:sz w:val="22"/>
                <w:szCs w:val="22"/>
                <w:highlight w:val="none"/>
                <w:lang w:val="zh-CN"/>
              </w:rPr>
              <w:t>根据</w:t>
            </w:r>
            <w:r>
              <w:rPr>
                <w:rFonts w:hint="eastAsia" w:ascii="宋体" w:hAnsi="宋体" w:cs="Arial"/>
                <w:bCs/>
                <w:color w:val="auto"/>
                <w:kern w:val="0"/>
                <w:sz w:val="22"/>
                <w:szCs w:val="22"/>
                <w:highlight w:val="none"/>
                <w:lang w:val="zh-CN"/>
              </w:rPr>
              <w:t>投标供应商</w:t>
            </w:r>
            <w:r>
              <w:rPr>
                <w:rFonts w:hint="eastAsia" w:ascii="宋体" w:hAnsi="宋体" w:eastAsia="宋体" w:cs="Arial"/>
                <w:bCs/>
                <w:color w:val="auto"/>
                <w:kern w:val="0"/>
                <w:sz w:val="22"/>
                <w:szCs w:val="22"/>
                <w:highlight w:val="none"/>
                <w:lang w:val="zh-CN"/>
              </w:rPr>
              <w:t>的资质、信誉、相关荣誉等情况综合考虑，由专家综合打分。0-</w:t>
            </w:r>
            <w:r>
              <w:rPr>
                <w:rFonts w:ascii="宋体" w:hAnsi="宋体" w:eastAsia="宋体" w:cs="Arial"/>
                <w:bCs/>
                <w:color w:val="auto"/>
                <w:kern w:val="0"/>
                <w:sz w:val="22"/>
                <w:szCs w:val="22"/>
                <w:highlight w:val="none"/>
                <w:lang w:val="zh-CN"/>
              </w:rPr>
              <w:t>2</w:t>
            </w:r>
            <w:r>
              <w:rPr>
                <w:rFonts w:hint="eastAsia" w:ascii="宋体" w:hAnsi="宋体" w:eastAsia="宋体" w:cs="Arial"/>
                <w:bCs/>
                <w:color w:val="auto"/>
                <w:kern w:val="0"/>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54" w:type="dxa"/>
            <w:noWrap w:val="0"/>
            <w:vAlign w:val="center"/>
          </w:tcPr>
          <w:p>
            <w:pPr>
              <w:spacing w:line="360" w:lineRule="auto"/>
              <w:ind w:right="3" w:firstLine="110" w:firstLineChars="50"/>
              <w:jc w:val="center"/>
              <w:rPr>
                <w:rFonts w:ascii="宋体" w:eastAsia="宋体"/>
                <w:b w:val="0"/>
                <w:color w:val="auto"/>
                <w:sz w:val="22"/>
                <w:szCs w:val="22"/>
                <w:highlight w:val="none"/>
              </w:rPr>
            </w:pPr>
            <w:r>
              <w:rPr>
                <w:rFonts w:hint="eastAsia" w:ascii="宋体" w:eastAsia="宋体"/>
                <w:b w:val="0"/>
                <w:color w:val="auto"/>
                <w:sz w:val="22"/>
                <w:szCs w:val="22"/>
                <w:highlight w:val="none"/>
              </w:rPr>
              <w:t>2</w:t>
            </w:r>
          </w:p>
        </w:tc>
        <w:tc>
          <w:tcPr>
            <w:tcW w:w="2014" w:type="dxa"/>
            <w:noWrap w:val="0"/>
            <w:vAlign w:val="center"/>
          </w:tcPr>
          <w:p>
            <w:pPr>
              <w:widowControl/>
              <w:adjustRightInd w:val="0"/>
              <w:snapToGrid w:val="0"/>
              <w:spacing w:line="380" w:lineRule="exact"/>
              <w:jc w:val="center"/>
              <w:rPr>
                <w:rFonts w:ascii="宋体" w:eastAsia="宋体" w:cs="Arial"/>
                <w:b w:val="0"/>
                <w:bCs w:val="0"/>
                <w:color w:val="auto"/>
                <w:kern w:val="28"/>
                <w:sz w:val="22"/>
                <w:szCs w:val="22"/>
                <w:highlight w:val="none"/>
              </w:rPr>
            </w:pPr>
            <w:r>
              <w:rPr>
                <w:rFonts w:hint="eastAsia" w:ascii="宋体" w:eastAsia="宋体" w:cs="Arial"/>
                <w:b w:val="0"/>
                <w:bCs w:val="0"/>
                <w:color w:val="auto"/>
                <w:kern w:val="28"/>
                <w:sz w:val="22"/>
                <w:szCs w:val="22"/>
                <w:highlight w:val="none"/>
              </w:rPr>
              <w:t>同类项目业绩</w:t>
            </w:r>
          </w:p>
        </w:tc>
        <w:tc>
          <w:tcPr>
            <w:tcW w:w="1164" w:type="dxa"/>
            <w:noWrap w:val="0"/>
            <w:vAlign w:val="center"/>
          </w:tcPr>
          <w:p>
            <w:pPr>
              <w:widowControl/>
              <w:adjustRightInd w:val="0"/>
              <w:snapToGrid w:val="0"/>
              <w:spacing w:line="380" w:lineRule="exact"/>
              <w:jc w:val="center"/>
              <w:rPr>
                <w:rFonts w:ascii="宋体" w:eastAsia="宋体" w:cs="Arial"/>
                <w:b w:val="0"/>
                <w:bCs w:val="0"/>
                <w:color w:val="auto"/>
                <w:kern w:val="28"/>
                <w:sz w:val="22"/>
                <w:szCs w:val="22"/>
                <w:highlight w:val="none"/>
              </w:rPr>
            </w:pPr>
            <w:r>
              <w:rPr>
                <w:rFonts w:ascii="宋体" w:eastAsia="宋体"/>
                <w:b w:val="0"/>
                <w:color w:val="auto"/>
                <w:sz w:val="22"/>
                <w:szCs w:val="22"/>
                <w:highlight w:val="none"/>
              </w:rPr>
              <w:t>0</w:t>
            </w:r>
            <w:r>
              <w:rPr>
                <w:rFonts w:hint="eastAsia" w:ascii="宋体" w:eastAsia="宋体"/>
                <w:b w:val="0"/>
                <w:color w:val="auto"/>
                <w:sz w:val="22"/>
                <w:szCs w:val="22"/>
                <w:highlight w:val="none"/>
              </w:rPr>
              <w:t>-</w:t>
            </w:r>
            <w:r>
              <w:rPr>
                <w:rFonts w:hint="eastAsia" w:ascii="宋体" w:eastAsia="宋体"/>
                <w:b w:val="0"/>
                <w:color w:val="auto"/>
                <w:sz w:val="22"/>
                <w:szCs w:val="22"/>
                <w:highlight w:val="none"/>
                <w:lang w:val="en-US" w:eastAsia="zh-CN"/>
              </w:rPr>
              <w:t>1</w:t>
            </w:r>
            <w:r>
              <w:rPr>
                <w:rFonts w:hint="eastAsia" w:ascii="宋体" w:eastAsia="宋体"/>
                <w:b w:val="0"/>
                <w:color w:val="auto"/>
                <w:sz w:val="22"/>
                <w:szCs w:val="22"/>
                <w:highlight w:val="none"/>
              </w:rPr>
              <w:t>分</w:t>
            </w:r>
          </w:p>
        </w:tc>
        <w:tc>
          <w:tcPr>
            <w:tcW w:w="5548" w:type="dxa"/>
            <w:noWrap w:val="0"/>
            <w:vAlign w:val="center"/>
          </w:tcPr>
          <w:p>
            <w:pPr>
              <w:widowControl/>
              <w:adjustRightInd w:val="0"/>
              <w:snapToGrid w:val="0"/>
              <w:spacing w:line="380" w:lineRule="exact"/>
              <w:rPr>
                <w:rFonts w:ascii="宋体" w:eastAsia="宋体" w:cs="Arial"/>
                <w:b w:val="0"/>
                <w:color w:val="auto"/>
                <w:sz w:val="22"/>
                <w:szCs w:val="22"/>
                <w:highlight w:val="none"/>
                <w:lang w:val="zh-CN"/>
              </w:rPr>
            </w:pPr>
            <w:r>
              <w:rPr>
                <w:rFonts w:hint="eastAsia" w:ascii="宋体" w:eastAsia="宋体" w:cs="Arial"/>
                <w:b w:val="0"/>
                <w:color w:val="auto"/>
                <w:sz w:val="22"/>
                <w:szCs w:val="22"/>
                <w:highlight w:val="none"/>
                <w:lang w:val="zh-CN"/>
              </w:rPr>
              <w:t>供应商</w:t>
            </w:r>
            <w:r>
              <w:rPr>
                <w:rFonts w:ascii="宋体" w:eastAsia="宋体" w:cs="Arial"/>
                <w:b w:val="0"/>
                <w:color w:val="auto"/>
                <w:sz w:val="22"/>
                <w:szCs w:val="22"/>
                <w:highlight w:val="none"/>
                <w:lang w:val="zh-CN"/>
              </w:rPr>
              <w:t>自201</w:t>
            </w:r>
            <w:r>
              <w:rPr>
                <w:rFonts w:hint="eastAsia" w:ascii="宋体" w:eastAsia="宋体" w:cs="Arial"/>
                <w:b w:val="0"/>
                <w:color w:val="auto"/>
                <w:sz w:val="22"/>
                <w:szCs w:val="22"/>
                <w:highlight w:val="none"/>
                <w:lang w:val="en-US" w:eastAsia="zh-CN"/>
              </w:rPr>
              <w:t>9</w:t>
            </w:r>
            <w:r>
              <w:rPr>
                <w:rFonts w:ascii="宋体" w:eastAsia="宋体" w:cs="Arial"/>
                <w:b w:val="0"/>
                <w:color w:val="auto"/>
                <w:sz w:val="22"/>
                <w:szCs w:val="22"/>
                <w:highlight w:val="none"/>
                <w:lang w:val="zh-CN"/>
              </w:rPr>
              <w:t>年</w:t>
            </w:r>
            <w:r>
              <w:rPr>
                <w:rFonts w:ascii="宋体" w:eastAsia="宋体" w:cs="Arial"/>
                <w:b w:val="0"/>
                <w:color w:val="auto"/>
                <w:sz w:val="22"/>
                <w:szCs w:val="22"/>
                <w:highlight w:val="none"/>
              </w:rPr>
              <w:t>1</w:t>
            </w:r>
            <w:r>
              <w:rPr>
                <w:rFonts w:ascii="宋体" w:eastAsia="宋体" w:cs="Arial"/>
                <w:b w:val="0"/>
                <w:color w:val="auto"/>
                <w:sz w:val="22"/>
                <w:szCs w:val="22"/>
                <w:highlight w:val="none"/>
                <w:lang w:val="zh-CN"/>
              </w:rPr>
              <w:t>月1日（含）以来签订的同类（疗休养类）项目业绩，每提供一个业绩得</w:t>
            </w:r>
            <w:r>
              <w:rPr>
                <w:rFonts w:hint="eastAsia" w:ascii="宋体" w:eastAsia="宋体" w:cs="Arial"/>
                <w:b w:val="0"/>
                <w:color w:val="auto"/>
                <w:sz w:val="22"/>
                <w:szCs w:val="22"/>
                <w:highlight w:val="none"/>
                <w:lang w:val="en-US" w:eastAsia="zh-CN"/>
              </w:rPr>
              <w:t>0.2</w:t>
            </w:r>
            <w:r>
              <w:rPr>
                <w:rFonts w:ascii="宋体" w:eastAsia="宋体" w:cs="Arial"/>
                <w:b w:val="0"/>
                <w:color w:val="auto"/>
                <w:sz w:val="22"/>
                <w:szCs w:val="22"/>
                <w:highlight w:val="none"/>
                <w:lang w:val="zh-CN"/>
              </w:rPr>
              <w:t>分，本项最高得分</w:t>
            </w:r>
            <w:r>
              <w:rPr>
                <w:rFonts w:hint="eastAsia" w:ascii="宋体" w:eastAsia="宋体" w:cs="Arial"/>
                <w:b w:val="0"/>
                <w:color w:val="auto"/>
                <w:sz w:val="22"/>
                <w:szCs w:val="22"/>
                <w:highlight w:val="none"/>
                <w:lang w:val="en-US" w:eastAsia="zh-CN"/>
              </w:rPr>
              <w:t>1</w:t>
            </w:r>
            <w:r>
              <w:rPr>
                <w:rFonts w:ascii="宋体" w:eastAsia="宋体" w:cs="Arial"/>
                <w:b w:val="0"/>
                <w:color w:val="auto"/>
                <w:sz w:val="22"/>
                <w:szCs w:val="22"/>
                <w:highlight w:val="none"/>
                <w:lang w:val="zh-CN"/>
              </w:rPr>
              <w:t>分。</w:t>
            </w:r>
          </w:p>
          <w:p>
            <w:pPr>
              <w:widowControl/>
              <w:adjustRightInd w:val="0"/>
              <w:snapToGrid w:val="0"/>
              <w:spacing w:line="380" w:lineRule="exact"/>
              <w:rPr>
                <w:rFonts w:ascii="宋体" w:eastAsia="宋体" w:cs="Arial"/>
                <w:b w:val="0"/>
                <w:color w:val="auto"/>
                <w:sz w:val="22"/>
                <w:szCs w:val="22"/>
                <w:highlight w:val="none"/>
              </w:rPr>
            </w:pPr>
            <w:r>
              <w:rPr>
                <w:rFonts w:ascii="宋体" w:eastAsia="宋体" w:cs="Arial"/>
                <w:b w:val="0"/>
                <w:color w:val="auto"/>
                <w:sz w:val="22"/>
                <w:szCs w:val="22"/>
                <w:highlight w:val="none"/>
              </w:rPr>
              <w:t>合同有效性认定：</w:t>
            </w:r>
            <w:r>
              <w:rPr>
                <w:rFonts w:hint="eastAsia" w:ascii="宋体" w:eastAsia="宋体" w:cs="Arial"/>
                <w:b w:val="0"/>
                <w:color w:val="auto"/>
                <w:sz w:val="22"/>
                <w:szCs w:val="22"/>
                <w:highlight w:val="none"/>
              </w:rPr>
              <w:t>以中标通知书扫描件或合同扫描件为准，不提供不得分</w:t>
            </w:r>
            <w:r>
              <w:rPr>
                <w:rFonts w:ascii="宋体" w:eastAsia="宋体" w:cs="Arial"/>
                <w:b w:val="0"/>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54" w:type="dxa"/>
            <w:noWrap w:val="0"/>
            <w:vAlign w:val="center"/>
          </w:tcPr>
          <w:p>
            <w:pPr>
              <w:spacing w:line="360" w:lineRule="auto"/>
              <w:ind w:right="3"/>
              <w:jc w:val="center"/>
              <w:rPr>
                <w:rFonts w:ascii="宋体" w:eastAsia="宋体"/>
                <w:b w:val="0"/>
                <w:color w:val="auto"/>
                <w:sz w:val="22"/>
                <w:szCs w:val="22"/>
                <w:highlight w:val="none"/>
              </w:rPr>
            </w:pPr>
            <w:r>
              <w:rPr>
                <w:rFonts w:hint="eastAsia" w:ascii="宋体" w:eastAsia="宋体"/>
                <w:b w:val="0"/>
                <w:color w:val="auto"/>
                <w:sz w:val="22"/>
                <w:szCs w:val="22"/>
                <w:highlight w:val="none"/>
              </w:rPr>
              <w:t>3</w:t>
            </w:r>
          </w:p>
        </w:tc>
        <w:tc>
          <w:tcPr>
            <w:tcW w:w="2014" w:type="dxa"/>
            <w:noWrap w:val="0"/>
            <w:vAlign w:val="center"/>
          </w:tcPr>
          <w:p>
            <w:pPr>
              <w:widowControl/>
              <w:adjustRightInd w:val="0"/>
              <w:snapToGrid w:val="0"/>
              <w:spacing w:line="380" w:lineRule="exact"/>
              <w:jc w:val="center"/>
              <w:rPr>
                <w:rFonts w:ascii="宋体" w:eastAsia="宋体" w:cs="Arial"/>
                <w:b w:val="0"/>
                <w:color w:val="auto"/>
                <w:kern w:val="28"/>
                <w:sz w:val="22"/>
                <w:szCs w:val="22"/>
                <w:highlight w:val="none"/>
              </w:rPr>
            </w:pPr>
            <w:r>
              <w:rPr>
                <w:rFonts w:hint="eastAsia" w:ascii="宋体" w:eastAsia="宋体" w:cs="Arial"/>
                <w:b w:val="0"/>
                <w:color w:val="auto"/>
                <w:kern w:val="28"/>
                <w:sz w:val="22"/>
                <w:szCs w:val="22"/>
                <w:highlight w:val="none"/>
                <w:lang w:val="zh-CN"/>
              </w:rPr>
              <w:t>线路1疗休养策划方案</w:t>
            </w:r>
          </w:p>
        </w:tc>
        <w:tc>
          <w:tcPr>
            <w:tcW w:w="1164" w:type="dxa"/>
            <w:noWrap w:val="0"/>
            <w:vAlign w:val="center"/>
          </w:tcPr>
          <w:p>
            <w:pPr>
              <w:widowControl/>
              <w:adjustRightInd w:val="0"/>
              <w:snapToGrid w:val="0"/>
              <w:spacing w:line="380" w:lineRule="exact"/>
              <w:jc w:val="center"/>
              <w:rPr>
                <w:rFonts w:ascii="宋体" w:eastAsia="宋体" w:cs="Arial"/>
                <w:b w:val="0"/>
                <w:color w:val="auto"/>
                <w:kern w:val="28"/>
                <w:sz w:val="22"/>
                <w:szCs w:val="22"/>
                <w:highlight w:val="none"/>
              </w:rPr>
            </w:pPr>
            <w:r>
              <w:rPr>
                <w:rFonts w:hint="eastAsia" w:ascii="宋体" w:eastAsia="宋体" w:cs="Arial"/>
                <w:b w:val="0"/>
                <w:bCs w:val="0"/>
                <w:color w:val="auto"/>
                <w:kern w:val="28"/>
                <w:sz w:val="22"/>
                <w:szCs w:val="22"/>
                <w:highlight w:val="none"/>
              </w:rPr>
              <w:t>0-12</w:t>
            </w:r>
            <w:bookmarkStart w:id="217" w:name="_GoBack"/>
            <w:bookmarkEnd w:id="217"/>
            <w:r>
              <w:rPr>
                <w:rFonts w:hint="eastAsia" w:ascii="宋体" w:eastAsia="宋体" w:cs="Arial"/>
                <w:b w:val="0"/>
                <w:bCs w:val="0"/>
                <w:color w:val="auto"/>
                <w:kern w:val="28"/>
                <w:sz w:val="22"/>
                <w:szCs w:val="22"/>
                <w:highlight w:val="none"/>
              </w:rPr>
              <w:t>分</w:t>
            </w:r>
          </w:p>
        </w:tc>
        <w:tc>
          <w:tcPr>
            <w:tcW w:w="5548" w:type="dxa"/>
            <w:noWrap w:val="0"/>
            <w:vAlign w:val="center"/>
          </w:tcPr>
          <w:p>
            <w:pPr>
              <w:numPr>
                <w:ilvl w:val="0"/>
                <w:numId w:val="11"/>
              </w:numPr>
              <w:spacing w:line="380" w:lineRule="exact"/>
              <w:jc w:val="left"/>
              <w:rPr>
                <w:rFonts w:hint="eastAsia" w:ascii="宋体" w:eastAsia="宋体"/>
                <w:b w:val="0"/>
                <w:color w:val="auto"/>
                <w:spacing w:val="-6"/>
                <w:sz w:val="22"/>
                <w:szCs w:val="22"/>
                <w:highlight w:val="none"/>
                <w:lang w:val="zh-CN"/>
              </w:rPr>
            </w:pPr>
            <w:r>
              <w:rPr>
                <w:rFonts w:hint="eastAsia" w:ascii="宋体" w:eastAsia="宋体"/>
                <w:b w:val="0"/>
                <w:color w:val="auto"/>
                <w:spacing w:val="-6"/>
                <w:sz w:val="22"/>
                <w:szCs w:val="22"/>
                <w:highlight w:val="none"/>
                <w:lang w:val="zh-CN"/>
              </w:rPr>
              <w:t>线路安排</w:t>
            </w:r>
            <w:r>
              <w:rPr>
                <w:rFonts w:hint="eastAsia" w:ascii="宋体" w:eastAsia="宋体"/>
                <w:b w:val="0"/>
                <w:color w:val="auto"/>
                <w:spacing w:val="-6"/>
                <w:sz w:val="22"/>
                <w:szCs w:val="22"/>
                <w:highlight w:val="none"/>
              </w:rPr>
              <w:t>（包括景点安排）</w:t>
            </w:r>
            <w:r>
              <w:rPr>
                <w:rFonts w:hint="eastAsia" w:ascii="宋体" w:eastAsia="宋体"/>
                <w:b w:val="0"/>
                <w:color w:val="auto"/>
                <w:spacing w:val="-6"/>
                <w:sz w:val="22"/>
                <w:szCs w:val="22"/>
                <w:highlight w:val="none"/>
                <w:lang w:val="zh-CN"/>
              </w:rPr>
              <w:t>：线路必须提供简易行程表，包括总体出行线路安排（</w:t>
            </w:r>
            <w:r>
              <w:rPr>
                <w:rFonts w:hint="eastAsia" w:ascii="宋体" w:eastAsia="宋体"/>
                <w:b w:val="0"/>
                <w:color w:val="auto"/>
                <w:sz w:val="22"/>
                <w:szCs w:val="22"/>
                <w:highlight w:val="none"/>
              </w:rPr>
              <w:t>标明各景点档次）、游玩时间，景点与宾馆之间的车程时间</w:t>
            </w:r>
            <w:r>
              <w:rPr>
                <w:rFonts w:hint="eastAsia" w:ascii="宋体" w:eastAsia="宋体"/>
                <w:b w:val="0"/>
                <w:color w:val="auto"/>
                <w:spacing w:val="-6"/>
                <w:sz w:val="22"/>
                <w:szCs w:val="22"/>
                <w:highlight w:val="none"/>
                <w:lang w:val="zh-CN"/>
              </w:rPr>
              <w:t>）：</w:t>
            </w:r>
          </w:p>
          <w:p>
            <w:pPr>
              <w:numPr>
                <w:ilvl w:val="0"/>
                <w:numId w:val="0"/>
              </w:numPr>
              <w:spacing w:line="380" w:lineRule="exact"/>
              <w:jc w:val="left"/>
              <w:rPr>
                <w:rFonts w:hint="eastAsia" w:ascii="宋体" w:eastAsia="宋体"/>
                <w:b w:val="0"/>
                <w:color w:val="auto"/>
                <w:kern w:val="28"/>
                <w:sz w:val="22"/>
                <w:szCs w:val="22"/>
                <w:highlight w:val="none"/>
                <w:lang w:eastAsia="zh-CN"/>
              </w:rPr>
            </w:pPr>
            <w:r>
              <w:rPr>
                <w:rFonts w:hint="eastAsia" w:ascii="宋体" w:eastAsia="宋体"/>
                <w:b w:val="0"/>
                <w:snapToGrid w:val="0"/>
                <w:color w:val="auto"/>
                <w:sz w:val="22"/>
                <w:szCs w:val="22"/>
                <w:highlight w:val="none"/>
                <w:lang w:val="en-US" w:eastAsia="zh-CN"/>
              </w:rPr>
              <w:t>1.1线路安排的合理性，</w:t>
            </w:r>
            <w:r>
              <w:rPr>
                <w:rFonts w:hint="eastAsia" w:ascii="宋体" w:eastAsia="宋体"/>
                <w:b w:val="0"/>
                <w:snapToGrid w:val="0"/>
                <w:color w:val="auto"/>
                <w:sz w:val="22"/>
                <w:szCs w:val="22"/>
                <w:highlight w:val="none"/>
              </w:rPr>
              <w:t>0-</w:t>
            </w:r>
            <w:r>
              <w:rPr>
                <w:rFonts w:hint="eastAsia" w:ascii="宋体" w:eastAsia="宋体"/>
                <w:b w:val="0"/>
                <w:snapToGrid w:val="0"/>
                <w:color w:val="auto"/>
                <w:sz w:val="22"/>
                <w:szCs w:val="22"/>
                <w:highlight w:val="none"/>
                <w:lang w:val="en-US" w:eastAsia="zh-CN"/>
              </w:rPr>
              <w:t>3</w:t>
            </w:r>
            <w:r>
              <w:rPr>
                <w:rFonts w:hint="eastAsia" w:ascii="宋体" w:eastAsia="宋体"/>
                <w:b w:val="0"/>
                <w:color w:val="auto"/>
                <w:kern w:val="28"/>
                <w:sz w:val="22"/>
                <w:szCs w:val="22"/>
                <w:highlight w:val="none"/>
              </w:rPr>
              <w:t>分</w:t>
            </w:r>
            <w:r>
              <w:rPr>
                <w:rFonts w:hint="eastAsia" w:ascii="宋体" w:eastAsia="宋体"/>
                <w:b w:val="0"/>
                <w:color w:val="auto"/>
                <w:kern w:val="28"/>
                <w:sz w:val="22"/>
                <w:szCs w:val="22"/>
                <w:highlight w:val="none"/>
                <w:lang w:eastAsia="zh-CN"/>
              </w:rPr>
              <w:t>；</w:t>
            </w:r>
          </w:p>
          <w:p>
            <w:pPr>
              <w:numPr>
                <w:ilvl w:val="0"/>
                <w:numId w:val="0"/>
              </w:numPr>
              <w:spacing w:line="380" w:lineRule="exact"/>
              <w:jc w:val="left"/>
              <w:rPr>
                <w:rFonts w:hint="default" w:ascii="宋体" w:hAnsi="宋体" w:eastAsia="宋体" w:cs="宋体"/>
                <w:b w:val="0"/>
                <w:snapToGrid w:val="0"/>
                <w:color w:val="auto"/>
                <w:sz w:val="22"/>
                <w:szCs w:val="22"/>
                <w:highlight w:val="none"/>
                <w:lang w:val="en-US" w:eastAsia="zh-CN"/>
              </w:rPr>
            </w:pPr>
            <w:r>
              <w:rPr>
                <w:rFonts w:hint="eastAsia" w:ascii="宋体" w:hAnsi="宋体" w:eastAsia="宋体" w:cs="宋体"/>
                <w:b w:val="0"/>
                <w:snapToGrid w:val="0"/>
                <w:color w:val="auto"/>
                <w:sz w:val="22"/>
                <w:szCs w:val="22"/>
                <w:highlight w:val="none"/>
                <w:lang w:val="en-US" w:eastAsia="zh-CN"/>
              </w:rPr>
              <w:t>1.2</w:t>
            </w:r>
            <w:r>
              <w:rPr>
                <w:rFonts w:hint="eastAsia" w:ascii="宋体" w:eastAsia="宋体"/>
                <w:b w:val="0"/>
                <w:snapToGrid w:val="0"/>
                <w:color w:val="auto"/>
                <w:sz w:val="22"/>
                <w:szCs w:val="22"/>
                <w:highlight w:val="none"/>
                <w:lang w:val="en-US" w:eastAsia="zh-CN"/>
              </w:rPr>
              <w:t>线路安排的完整性，0-3分。</w:t>
            </w:r>
          </w:p>
          <w:p>
            <w:pPr>
              <w:spacing w:line="380" w:lineRule="exact"/>
              <w:jc w:val="left"/>
              <w:rPr>
                <w:rFonts w:ascii="宋体" w:eastAsia="宋体"/>
                <w:b w:val="0"/>
                <w:color w:val="auto"/>
                <w:spacing w:val="-6"/>
                <w:sz w:val="22"/>
                <w:szCs w:val="22"/>
                <w:highlight w:val="none"/>
              </w:rPr>
            </w:pPr>
            <w:r>
              <w:rPr>
                <w:rFonts w:hint="eastAsia" w:ascii="宋体" w:eastAsia="宋体"/>
                <w:b w:val="0"/>
                <w:color w:val="auto"/>
                <w:spacing w:val="-6"/>
                <w:sz w:val="22"/>
                <w:szCs w:val="22"/>
                <w:highlight w:val="none"/>
              </w:rPr>
              <w:t>2.</w:t>
            </w:r>
            <w:r>
              <w:rPr>
                <w:rFonts w:hint="eastAsia" w:ascii="宋体" w:eastAsia="宋体"/>
                <w:b w:val="0"/>
                <w:color w:val="auto"/>
                <w:sz w:val="22"/>
                <w:szCs w:val="22"/>
                <w:highlight w:val="none"/>
              </w:rPr>
              <w:t>供应商在线路</w:t>
            </w:r>
            <w:r>
              <w:rPr>
                <w:rFonts w:ascii="宋体" w:eastAsia="宋体"/>
                <w:b w:val="0"/>
                <w:color w:val="auto"/>
                <w:sz w:val="22"/>
                <w:szCs w:val="22"/>
                <w:highlight w:val="none"/>
              </w:rPr>
              <w:t>1内</w:t>
            </w:r>
            <w:r>
              <w:rPr>
                <w:rFonts w:hint="eastAsia" w:ascii="宋体" w:eastAsia="宋体"/>
                <w:b w:val="0"/>
                <w:color w:val="auto"/>
                <w:sz w:val="22"/>
                <w:szCs w:val="22"/>
                <w:highlight w:val="none"/>
              </w:rPr>
              <w:t>合作民宿、民宿环境及</w:t>
            </w:r>
            <w:r>
              <w:rPr>
                <w:rFonts w:hint="eastAsia" w:ascii="宋体" w:eastAsia="宋体"/>
                <w:b w:val="0"/>
                <w:color w:val="auto"/>
                <w:spacing w:val="-6"/>
                <w:sz w:val="22"/>
                <w:szCs w:val="22"/>
                <w:highlight w:val="none"/>
                <w:lang w:val="zh-CN"/>
              </w:rPr>
              <w:t>安排</w:t>
            </w:r>
            <w:r>
              <w:rPr>
                <w:rFonts w:hint="eastAsia" w:ascii="宋体" w:eastAsia="宋体"/>
                <w:b w:val="0"/>
                <w:color w:val="auto"/>
                <w:sz w:val="22"/>
                <w:szCs w:val="22"/>
                <w:highlight w:val="none"/>
              </w:rPr>
              <w:t>情况：0-</w:t>
            </w:r>
            <w:r>
              <w:rPr>
                <w:rFonts w:ascii="宋体" w:eastAsia="宋体"/>
                <w:b w:val="0"/>
                <w:color w:val="auto"/>
                <w:sz w:val="22"/>
                <w:szCs w:val="22"/>
                <w:highlight w:val="none"/>
              </w:rPr>
              <w:t>2</w:t>
            </w:r>
            <w:r>
              <w:rPr>
                <w:rFonts w:hint="eastAsia" w:ascii="宋体" w:eastAsia="宋体"/>
                <w:b w:val="0"/>
                <w:color w:val="auto"/>
                <w:sz w:val="22"/>
                <w:szCs w:val="22"/>
                <w:highlight w:val="none"/>
              </w:rPr>
              <w:t>分。</w:t>
            </w:r>
          </w:p>
          <w:p>
            <w:pPr>
              <w:widowControl/>
              <w:adjustRightInd w:val="0"/>
              <w:snapToGrid w:val="0"/>
              <w:spacing w:line="380" w:lineRule="exact"/>
              <w:rPr>
                <w:rFonts w:ascii="宋体" w:eastAsia="宋体"/>
                <w:b w:val="0"/>
                <w:color w:val="auto"/>
                <w:spacing w:val="-6"/>
                <w:sz w:val="22"/>
                <w:szCs w:val="22"/>
                <w:highlight w:val="none"/>
                <w:lang w:val="zh-CN"/>
              </w:rPr>
            </w:pPr>
            <w:r>
              <w:rPr>
                <w:rFonts w:hint="eastAsia" w:ascii="宋体" w:eastAsia="宋体"/>
                <w:b w:val="0"/>
                <w:color w:val="auto"/>
                <w:spacing w:val="-6"/>
                <w:sz w:val="22"/>
                <w:szCs w:val="22"/>
                <w:highlight w:val="none"/>
              </w:rPr>
              <w:t>3.就餐及</w:t>
            </w:r>
            <w:r>
              <w:rPr>
                <w:rFonts w:hint="eastAsia" w:ascii="宋体" w:eastAsia="宋体"/>
                <w:b w:val="0"/>
                <w:color w:val="auto"/>
                <w:spacing w:val="-6"/>
                <w:sz w:val="22"/>
                <w:szCs w:val="22"/>
                <w:highlight w:val="none"/>
                <w:lang w:val="zh-CN"/>
              </w:rPr>
              <w:t>用餐标准安排：</w:t>
            </w:r>
            <w:r>
              <w:rPr>
                <w:rFonts w:hint="eastAsia" w:ascii="宋体" w:eastAsia="宋体"/>
                <w:b w:val="0"/>
                <w:snapToGrid w:val="0"/>
                <w:color w:val="auto"/>
                <w:sz w:val="22"/>
                <w:szCs w:val="22"/>
                <w:highlight w:val="none"/>
              </w:rPr>
              <w:t>0-</w:t>
            </w:r>
            <w:r>
              <w:rPr>
                <w:rFonts w:ascii="宋体" w:eastAsia="宋体"/>
                <w:b w:val="0"/>
                <w:snapToGrid w:val="0"/>
                <w:color w:val="auto"/>
                <w:sz w:val="22"/>
                <w:szCs w:val="22"/>
                <w:highlight w:val="none"/>
              </w:rPr>
              <w:t>2</w:t>
            </w:r>
            <w:r>
              <w:rPr>
                <w:rFonts w:hint="eastAsia" w:ascii="宋体" w:eastAsia="宋体"/>
                <w:b w:val="0"/>
                <w:color w:val="auto"/>
                <w:kern w:val="28"/>
                <w:sz w:val="22"/>
                <w:szCs w:val="22"/>
                <w:highlight w:val="none"/>
              </w:rPr>
              <w:t>分。</w:t>
            </w:r>
          </w:p>
          <w:p>
            <w:pPr>
              <w:widowControl/>
              <w:adjustRightInd w:val="0"/>
              <w:snapToGrid w:val="0"/>
              <w:spacing w:line="380" w:lineRule="exact"/>
              <w:rPr>
                <w:rFonts w:ascii="宋体" w:eastAsia="宋体"/>
                <w:b w:val="0"/>
                <w:color w:val="auto"/>
                <w:sz w:val="22"/>
                <w:szCs w:val="22"/>
                <w:highlight w:val="none"/>
              </w:rPr>
            </w:pPr>
            <w:r>
              <w:rPr>
                <w:rFonts w:hint="eastAsia" w:ascii="宋体" w:eastAsia="宋体"/>
                <w:b w:val="0"/>
                <w:color w:val="auto"/>
                <w:spacing w:val="-6"/>
                <w:sz w:val="22"/>
                <w:szCs w:val="22"/>
                <w:highlight w:val="none"/>
              </w:rPr>
              <w:t>4.</w:t>
            </w:r>
            <w:r>
              <w:rPr>
                <w:rFonts w:hint="eastAsia" w:ascii="宋体" w:eastAsia="宋体"/>
                <w:b w:val="0"/>
                <w:color w:val="auto"/>
                <w:spacing w:val="-6"/>
                <w:sz w:val="22"/>
                <w:szCs w:val="22"/>
                <w:highlight w:val="none"/>
                <w:lang w:val="zh-CN"/>
              </w:rPr>
              <w:t>旅游车或其他交通工具安排方案。（可提供相关图片、驾照、行驶证作为辅助评审资料）</w:t>
            </w:r>
            <w:r>
              <w:rPr>
                <w:rFonts w:hint="eastAsia" w:ascii="宋体" w:eastAsia="宋体"/>
                <w:b w:val="0"/>
                <w:snapToGrid w:val="0"/>
                <w:color w:val="auto"/>
                <w:sz w:val="22"/>
                <w:szCs w:val="22"/>
                <w:highlight w:val="none"/>
              </w:rPr>
              <w:t>：0-</w:t>
            </w:r>
            <w:r>
              <w:rPr>
                <w:rFonts w:ascii="宋体" w:eastAsia="宋体"/>
                <w:b w:val="0"/>
                <w:snapToGrid w:val="0"/>
                <w:color w:val="auto"/>
                <w:sz w:val="22"/>
                <w:szCs w:val="22"/>
                <w:highlight w:val="none"/>
              </w:rPr>
              <w:t>2</w:t>
            </w:r>
            <w:r>
              <w:rPr>
                <w:rFonts w:hint="eastAsia" w:ascii="宋体" w:eastAsia="宋体"/>
                <w:b w:val="0"/>
                <w:color w:val="auto"/>
                <w:kern w:val="28"/>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54" w:type="dxa"/>
            <w:noWrap w:val="0"/>
            <w:vAlign w:val="center"/>
          </w:tcPr>
          <w:p>
            <w:pPr>
              <w:spacing w:line="360" w:lineRule="auto"/>
              <w:ind w:right="3" w:firstLine="110" w:firstLineChars="50"/>
              <w:jc w:val="center"/>
              <w:rPr>
                <w:rFonts w:ascii="宋体" w:eastAsia="宋体"/>
                <w:b w:val="0"/>
                <w:color w:val="auto"/>
                <w:sz w:val="22"/>
                <w:szCs w:val="22"/>
                <w:highlight w:val="none"/>
              </w:rPr>
            </w:pPr>
            <w:r>
              <w:rPr>
                <w:rFonts w:hint="eastAsia" w:ascii="宋体" w:eastAsia="宋体"/>
                <w:b w:val="0"/>
                <w:color w:val="auto"/>
                <w:sz w:val="22"/>
                <w:szCs w:val="22"/>
                <w:highlight w:val="none"/>
              </w:rPr>
              <w:t>4</w:t>
            </w:r>
          </w:p>
        </w:tc>
        <w:tc>
          <w:tcPr>
            <w:tcW w:w="2014" w:type="dxa"/>
            <w:noWrap w:val="0"/>
            <w:vAlign w:val="center"/>
          </w:tcPr>
          <w:p>
            <w:pPr>
              <w:widowControl/>
              <w:adjustRightInd w:val="0"/>
              <w:snapToGrid w:val="0"/>
              <w:spacing w:line="380" w:lineRule="exact"/>
              <w:jc w:val="center"/>
              <w:rPr>
                <w:rFonts w:ascii="宋体" w:eastAsia="宋体" w:cs="Arial"/>
                <w:b w:val="0"/>
                <w:color w:val="auto"/>
                <w:kern w:val="28"/>
                <w:sz w:val="22"/>
                <w:szCs w:val="22"/>
                <w:highlight w:val="none"/>
              </w:rPr>
            </w:pPr>
            <w:r>
              <w:rPr>
                <w:rFonts w:hint="eastAsia" w:ascii="宋体" w:eastAsia="宋体" w:cs="Arial"/>
                <w:b w:val="0"/>
                <w:color w:val="auto"/>
                <w:kern w:val="28"/>
                <w:sz w:val="22"/>
                <w:szCs w:val="22"/>
                <w:highlight w:val="none"/>
                <w:lang w:val="zh-CN"/>
              </w:rPr>
              <w:t>线路2疗休养策划方案</w:t>
            </w:r>
          </w:p>
        </w:tc>
        <w:tc>
          <w:tcPr>
            <w:tcW w:w="1164" w:type="dxa"/>
            <w:noWrap w:val="0"/>
            <w:vAlign w:val="center"/>
          </w:tcPr>
          <w:p>
            <w:pPr>
              <w:spacing w:line="380" w:lineRule="exact"/>
              <w:jc w:val="center"/>
              <w:rPr>
                <w:rFonts w:ascii="宋体" w:eastAsia="宋体"/>
                <w:b w:val="0"/>
                <w:color w:val="auto"/>
                <w:sz w:val="22"/>
                <w:szCs w:val="22"/>
                <w:highlight w:val="none"/>
              </w:rPr>
            </w:pPr>
            <w:r>
              <w:rPr>
                <w:rFonts w:hint="eastAsia" w:ascii="宋体" w:eastAsia="宋体" w:cs="Arial"/>
                <w:b w:val="0"/>
                <w:bCs w:val="0"/>
                <w:color w:val="auto"/>
                <w:kern w:val="28"/>
                <w:sz w:val="22"/>
                <w:szCs w:val="22"/>
                <w:highlight w:val="none"/>
                <w:lang w:val="zh-CN"/>
              </w:rPr>
              <w:t>0-12分</w:t>
            </w:r>
          </w:p>
        </w:tc>
        <w:tc>
          <w:tcPr>
            <w:tcW w:w="5548" w:type="dxa"/>
            <w:noWrap w:val="0"/>
            <w:vAlign w:val="center"/>
          </w:tcPr>
          <w:p>
            <w:pPr>
              <w:numPr>
                <w:ilvl w:val="0"/>
                <w:numId w:val="12"/>
              </w:numPr>
              <w:spacing w:line="380" w:lineRule="exact"/>
              <w:jc w:val="left"/>
              <w:rPr>
                <w:rFonts w:hint="eastAsia" w:ascii="宋体" w:eastAsia="宋体"/>
                <w:b w:val="0"/>
                <w:snapToGrid w:val="0"/>
                <w:color w:val="auto"/>
                <w:sz w:val="22"/>
                <w:szCs w:val="22"/>
                <w:highlight w:val="none"/>
              </w:rPr>
            </w:pPr>
            <w:r>
              <w:rPr>
                <w:rFonts w:hint="eastAsia" w:ascii="宋体" w:eastAsia="宋体"/>
                <w:b w:val="0"/>
                <w:color w:val="auto"/>
                <w:spacing w:val="-6"/>
                <w:sz w:val="22"/>
                <w:szCs w:val="22"/>
                <w:highlight w:val="none"/>
                <w:lang w:val="zh-CN"/>
              </w:rPr>
              <w:t>线路安排</w:t>
            </w:r>
            <w:r>
              <w:rPr>
                <w:rFonts w:hint="eastAsia" w:ascii="宋体" w:eastAsia="宋体"/>
                <w:b w:val="0"/>
                <w:color w:val="auto"/>
                <w:spacing w:val="-6"/>
                <w:sz w:val="22"/>
                <w:szCs w:val="22"/>
                <w:highlight w:val="none"/>
              </w:rPr>
              <w:t>（包括景点安排）</w:t>
            </w:r>
            <w:r>
              <w:rPr>
                <w:rFonts w:hint="eastAsia" w:ascii="宋体" w:eastAsia="宋体"/>
                <w:b w:val="0"/>
                <w:color w:val="auto"/>
                <w:spacing w:val="-6"/>
                <w:sz w:val="22"/>
                <w:szCs w:val="22"/>
                <w:highlight w:val="none"/>
                <w:lang w:val="zh-CN"/>
              </w:rPr>
              <w:t>：每条线路必须提供简易行程表，包括总体出行线路安排（</w:t>
            </w:r>
            <w:r>
              <w:rPr>
                <w:rFonts w:hint="eastAsia" w:ascii="宋体" w:eastAsia="宋体"/>
                <w:b w:val="0"/>
                <w:color w:val="auto"/>
                <w:sz w:val="22"/>
                <w:szCs w:val="22"/>
                <w:highlight w:val="none"/>
              </w:rPr>
              <w:t>标明各景点档次）、游玩时间，景点与宾馆之间的车程时间</w:t>
            </w:r>
            <w:r>
              <w:rPr>
                <w:rFonts w:hint="eastAsia" w:ascii="宋体" w:eastAsia="宋体"/>
                <w:b w:val="0"/>
                <w:color w:val="auto"/>
                <w:spacing w:val="-6"/>
                <w:sz w:val="22"/>
                <w:szCs w:val="22"/>
                <w:highlight w:val="none"/>
                <w:lang w:val="zh-CN"/>
              </w:rPr>
              <w:t>）</w:t>
            </w:r>
            <w:r>
              <w:rPr>
                <w:rFonts w:hint="eastAsia" w:ascii="宋体" w:eastAsia="宋体"/>
                <w:b w:val="0"/>
                <w:snapToGrid w:val="0"/>
                <w:color w:val="auto"/>
                <w:sz w:val="22"/>
                <w:szCs w:val="22"/>
                <w:highlight w:val="none"/>
              </w:rPr>
              <w:t>：</w:t>
            </w:r>
          </w:p>
          <w:p>
            <w:pPr>
              <w:numPr>
                <w:ilvl w:val="0"/>
                <w:numId w:val="0"/>
              </w:numPr>
              <w:spacing w:line="380" w:lineRule="exact"/>
              <w:jc w:val="left"/>
              <w:rPr>
                <w:rFonts w:hint="eastAsia" w:ascii="宋体" w:eastAsia="宋体"/>
                <w:b w:val="0"/>
                <w:color w:val="auto"/>
                <w:kern w:val="28"/>
                <w:sz w:val="22"/>
                <w:szCs w:val="22"/>
                <w:highlight w:val="none"/>
                <w:lang w:eastAsia="zh-CN"/>
              </w:rPr>
            </w:pPr>
            <w:r>
              <w:rPr>
                <w:rFonts w:hint="eastAsia" w:ascii="宋体" w:eastAsia="宋体"/>
                <w:b w:val="0"/>
                <w:snapToGrid w:val="0"/>
                <w:color w:val="auto"/>
                <w:sz w:val="22"/>
                <w:szCs w:val="22"/>
                <w:highlight w:val="none"/>
                <w:lang w:val="en-US" w:eastAsia="zh-CN"/>
              </w:rPr>
              <w:t>1.1线路安排的合理性，</w:t>
            </w:r>
            <w:r>
              <w:rPr>
                <w:rFonts w:hint="eastAsia" w:ascii="宋体" w:eastAsia="宋体"/>
                <w:b w:val="0"/>
                <w:snapToGrid w:val="0"/>
                <w:color w:val="auto"/>
                <w:sz w:val="22"/>
                <w:szCs w:val="22"/>
                <w:highlight w:val="none"/>
              </w:rPr>
              <w:t>0-</w:t>
            </w:r>
            <w:r>
              <w:rPr>
                <w:rFonts w:hint="eastAsia" w:ascii="宋体" w:eastAsia="宋体"/>
                <w:b w:val="0"/>
                <w:snapToGrid w:val="0"/>
                <w:color w:val="auto"/>
                <w:sz w:val="22"/>
                <w:szCs w:val="22"/>
                <w:highlight w:val="none"/>
                <w:lang w:val="en-US" w:eastAsia="zh-CN"/>
              </w:rPr>
              <w:t>3</w:t>
            </w:r>
            <w:r>
              <w:rPr>
                <w:rFonts w:hint="eastAsia" w:ascii="宋体" w:eastAsia="宋体"/>
                <w:b w:val="0"/>
                <w:color w:val="auto"/>
                <w:kern w:val="28"/>
                <w:sz w:val="22"/>
                <w:szCs w:val="22"/>
                <w:highlight w:val="none"/>
              </w:rPr>
              <w:t>分</w:t>
            </w:r>
            <w:r>
              <w:rPr>
                <w:rFonts w:hint="eastAsia" w:ascii="宋体" w:eastAsia="宋体"/>
                <w:b w:val="0"/>
                <w:color w:val="auto"/>
                <w:kern w:val="28"/>
                <w:sz w:val="22"/>
                <w:szCs w:val="22"/>
                <w:highlight w:val="none"/>
                <w:lang w:eastAsia="zh-CN"/>
              </w:rPr>
              <w:t>；</w:t>
            </w:r>
          </w:p>
          <w:p>
            <w:pPr>
              <w:numPr>
                <w:ilvl w:val="0"/>
                <w:numId w:val="0"/>
              </w:numPr>
              <w:spacing w:line="380" w:lineRule="exact"/>
              <w:jc w:val="left"/>
              <w:rPr>
                <w:rFonts w:hint="default" w:ascii="宋体" w:hAnsi="宋体" w:eastAsia="宋体" w:cs="宋体"/>
                <w:b w:val="0"/>
                <w:snapToGrid w:val="0"/>
                <w:color w:val="auto"/>
                <w:sz w:val="22"/>
                <w:szCs w:val="22"/>
                <w:highlight w:val="none"/>
                <w:lang w:val="en-US" w:eastAsia="zh-CN"/>
              </w:rPr>
            </w:pPr>
            <w:r>
              <w:rPr>
                <w:rFonts w:hint="eastAsia" w:ascii="宋体" w:hAnsi="宋体" w:eastAsia="宋体" w:cs="宋体"/>
                <w:b w:val="0"/>
                <w:snapToGrid w:val="0"/>
                <w:color w:val="auto"/>
                <w:sz w:val="22"/>
                <w:szCs w:val="22"/>
                <w:highlight w:val="none"/>
                <w:lang w:val="en-US" w:eastAsia="zh-CN"/>
              </w:rPr>
              <w:t>1.2</w:t>
            </w:r>
            <w:r>
              <w:rPr>
                <w:rFonts w:hint="eastAsia" w:ascii="宋体" w:eastAsia="宋体"/>
                <w:b w:val="0"/>
                <w:snapToGrid w:val="0"/>
                <w:color w:val="auto"/>
                <w:sz w:val="22"/>
                <w:szCs w:val="22"/>
                <w:highlight w:val="none"/>
                <w:lang w:val="en-US" w:eastAsia="zh-CN"/>
              </w:rPr>
              <w:t>线路安排的完整性，0-3分。</w:t>
            </w:r>
          </w:p>
          <w:p>
            <w:pPr>
              <w:spacing w:line="380" w:lineRule="exact"/>
              <w:jc w:val="left"/>
              <w:rPr>
                <w:rFonts w:ascii="宋体" w:eastAsia="宋体"/>
                <w:b w:val="0"/>
                <w:color w:val="auto"/>
                <w:spacing w:val="-6"/>
                <w:sz w:val="22"/>
                <w:szCs w:val="22"/>
                <w:highlight w:val="none"/>
              </w:rPr>
            </w:pPr>
            <w:r>
              <w:rPr>
                <w:rFonts w:hint="eastAsia" w:ascii="宋体" w:eastAsia="宋体"/>
                <w:b w:val="0"/>
                <w:color w:val="auto"/>
                <w:spacing w:val="-6"/>
                <w:sz w:val="22"/>
                <w:szCs w:val="22"/>
                <w:highlight w:val="none"/>
              </w:rPr>
              <w:t>2.</w:t>
            </w:r>
            <w:r>
              <w:rPr>
                <w:rFonts w:hint="eastAsia" w:ascii="宋体" w:eastAsia="宋体"/>
                <w:b w:val="0"/>
                <w:color w:val="auto"/>
                <w:sz w:val="22"/>
                <w:szCs w:val="22"/>
                <w:highlight w:val="none"/>
              </w:rPr>
              <w:t>供应商在线路</w:t>
            </w:r>
            <w:r>
              <w:rPr>
                <w:rFonts w:ascii="宋体" w:eastAsia="宋体"/>
                <w:b w:val="0"/>
                <w:color w:val="auto"/>
                <w:sz w:val="22"/>
                <w:szCs w:val="22"/>
                <w:highlight w:val="none"/>
              </w:rPr>
              <w:t>2内</w:t>
            </w:r>
            <w:r>
              <w:rPr>
                <w:rFonts w:hint="eastAsia" w:ascii="宋体" w:eastAsia="宋体"/>
                <w:b w:val="0"/>
                <w:color w:val="auto"/>
                <w:sz w:val="22"/>
                <w:szCs w:val="22"/>
                <w:highlight w:val="none"/>
              </w:rPr>
              <w:t>合作民宿、民宿环境及</w:t>
            </w:r>
            <w:r>
              <w:rPr>
                <w:rFonts w:hint="eastAsia" w:ascii="宋体" w:eastAsia="宋体"/>
                <w:b w:val="0"/>
                <w:color w:val="auto"/>
                <w:spacing w:val="-6"/>
                <w:sz w:val="22"/>
                <w:szCs w:val="22"/>
                <w:highlight w:val="none"/>
                <w:lang w:val="zh-CN"/>
              </w:rPr>
              <w:t>安排</w:t>
            </w:r>
            <w:r>
              <w:rPr>
                <w:rFonts w:hint="eastAsia" w:ascii="宋体" w:eastAsia="宋体"/>
                <w:b w:val="0"/>
                <w:color w:val="auto"/>
                <w:sz w:val="22"/>
                <w:szCs w:val="22"/>
                <w:highlight w:val="none"/>
              </w:rPr>
              <w:t>情况：0-</w:t>
            </w:r>
            <w:r>
              <w:rPr>
                <w:rFonts w:ascii="宋体" w:eastAsia="宋体"/>
                <w:b w:val="0"/>
                <w:color w:val="auto"/>
                <w:sz w:val="22"/>
                <w:szCs w:val="22"/>
                <w:highlight w:val="none"/>
              </w:rPr>
              <w:t>2</w:t>
            </w:r>
            <w:r>
              <w:rPr>
                <w:rFonts w:hint="eastAsia" w:ascii="宋体" w:eastAsia="宋体"/>
                <w:b w:val="0"/>
                <w:color w:val="auto"/>
                <w:sz w:val="22"/>
                <w:szCs w:val="22"/>
                <w:highlight w:val="none"/>
              </w:rPr>
              <w:t>分。</w:t>
            </w:r>
          </w:p>
          <w:p>
            <w:pPr>
              <w:widowControl/>
              <w:adjustRightInd w:val="0"/>
              <w:snapToGrid w:val="0"/>
              <w:spacing w:line="380" w:lineRule="exact"/>
              <w:rPr>
                <w:rFonts w:ascii="宋体" w:eastAsia="宋体"/>
                <w:b w:val="0"/>
                <w:color w:val="auto"/>
                <w:spacing w:val="-6"/>
                <w:sz w:val="22"/>
                <w:szCs w:val="22"/>
                <w:highlight w:val="none"/>
                <w:lang w:val="zh-CN"/>
              </w:rPr>
            </w:pPr>
            <w:r>
              <w:rPr>
                <w:rFonts w:hint="eastAsia" w:ascii="宋体" w:eastAsia="宋体"/>
                <w:b w:val="0"/>
                <w:color w:val="auto"/>
                <w:spacing w:val="-6"/>
                <w:sz w:val="22"/>
                <w:szCs w:val="22"/>
                <w:highlight w:val="none"/>
              </w:rPr>
              <w:t>3.就餐及</w:t>
            </w:r>
            <w:r>
              <w:rPr>
                <w:rFonts w:hint="eastAsia" w:ascii="宋体" w:eastAsia="宋体"/>
                <w:b w:val="0"/>
                <w:color w:val="auto"/>
                <w:spacing w:val="-6"/>
                <w:sz w:val="22"/>
                <w:szCs w:val="22"/>
                <w:highlight w:val="none"/>
                <w:lang w:val="zh-CN"/>
              </w:rPr>
              <w:t>用餐标准安排：</w:t>
            </w:r>
            <w:r>
              <w:rPr>
                <w:rFonts w:hint="eastAsia" w:ascii="宋体" w:eastAsia="宋体"/>
                <w:b w:val="0"/>
                <w:snapToGrid w:val="0"/>
                <w:color w:val="auto"/>
                <w:sz w:val="22"/>
                <w:szCs w:val="22"/>
                <w:highlight w:val="none"/>
              </w:rPr>
              <w:t>0-</w:t>
            </w:r>
            <w:r>
              <w:rPr>
                <w:rFonts w:ascii="宋体" w:eastAsia="宋体"/>
                <w:b w:val="0"/>
                <w:snapToGrid w:val="0"/>
                <w:color w:val="auto"/>
                <w:sz w:val="22"/>
                <w:szCs w:val="22"/>
                <w:highlight w:val="none"/>
              </w:rPr>
              <w:t>2</w:t>
            </w:r>
            <w:r>
              <w:rPr>
                <w:rFonts w:hint="eastAsia" w:ascii="宋体" w:eastAsia="宋体"/>
                <w:b w:val="0"/>
                <w:color w:val="auto"/>
                <w:kern w:val="28"/>
                <w:sz w:val="22"/>
                <w:szCs w:val="22"/>
                <w:highlight w:val="none"/>
              </w:rPr>
              <w:t>分。</w:t>
            </w:r>
          </w:p>
          <w:p>
            <w:pPr>
              <w:spacing w:line="380" w:lineRule="exact"/>
              <w:jc w:val="left"/>
              <w:rPr>
                <w:rFonts w:ascii="宋体" w:eastAsia="宋体" w:cs="Arial"/>
                <w:b w:val="0"/>
                <w:color w:val="auto"/>
                <w:sz w:val="22"/>
                <w:szCs w:val="22"/>
                <w:highlight w:val="none"/>
              </w:rPr>
            </w:pPr>
            <w:r>
              <w:rPr>
                <w:rFonts w:hint="eastAsia" w:ascii="宋体" w:eastAsia="宋体"/>
                <w:b w:val="0"/>
                <w:color w:val="auto"/>
                <w:spacing w:val="-6"/>
                <w:sz w:val="22"/>
                <w:szCs w:val="22"/>
                <w:highlight w:val="none"/>
              </w:rPr>
              <w:t>4.</w:t>
            </w:r>
            <w:r>
              <w:rPr>
                <w:rFonts w:hint="eastAsia" w:ascii="宋体" w:eastAsia="宋体"/>
                <w:b w:val="0"/>
                <w:color w:val="auto"/>
                <w:spacing w:val="-6"/>
                <w:sz w:val="22"/>
                <w:szCs w:val="22"/>
                <w:highlight w:val="none"/>
                <w:lang w:val="zh-CN"/>
              </w:rPr>
              <w:t>旅游车或其他交通工具安排方案。（可提供相关图片、驾照、行驶证作为辅助评审资料）</w:t>
            </w:r>
            <w:r>
              <w:rPr>
                <w:rFonts w:hint="eastAsia" w:ascii="宋体" w:eastAsia="宋体"/>
                <w:b w:val="0"/>
                <w:snapToGrid w:val="0"/>
                <w:color w:val="auto"/>
                <w:sz w:val="22"/>
                <w:szCs w:val="22"/>
                <w:highlight w:val="none"/>
              </w:rPr>
              <w:t>：0-</w:t>
            </w:r>
            <w:r>
              <w:rPr>
                <w:rFonts w:ascii="宋体" w:eastAsia="宋体"/>
                <w:b w:val="0"/>
                <w:snapToGrid w:val="0"/>
                <w:color w:val="auto"/>
                <w:sz w:val="22"/>
                <w:szCs w:val="22"/>
                <w:highlight w:val="none"/>
              </w:rPr>
              <w:t>2</w:t>
            </w:r>
            <w:r>
              <w:rPr>
                <w:rFonts w:hint="eastAsia" w:ascii="宋体" w:eastAsia="宋体"/>
                <w:b w:val="0"/>
                <w:color w:val="auto"/>
                <w:kern w:val="28"/>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54" w:type="dxa"/>
            <w:noWrap w:val="0"/>
            <w:vAlign w:val="center"/>
          </w:tcPr>
          <w:p>
            <w:pPr>
              <w:spacing w:line="360" w:lineRule="auto"/>
              <w:ind w:right="3" w:firstLine="110" w:firstLineChars="50"/>
              <w:jc w:val="center"/>
              <w:rPr>
                <w:rFonts w:ascii="宋体" w:eastAsia="宋体"/>
                <w:b w:val="0"/>
                <w:color w:val="auto"/>
                <w:sz w:val="22"/>
                <w:szCs w:val="22"/>
                <w:highlight w:val="none"/>
              </w:rPr>
            </w:pPr>
            <w:r>
              <w:rPr>
                <w:rFonts w:hint="eastAsia" w:ascii="宋体" w:eastAsia="宋体"/>
                <w:b w:val="0"/>
                <w:color w:val="auto"/>
                <w:sz w:val="22"/>
                <w:szCs w:val="22"/>
                <w:highlight w:val="none"/>
              </w:rPr>
              <w:t>5</w:t>
            </w:r>
          </w:p>
        </w:tc>
        <w:tc>
          <w:tcPr>
            <w:tcW w:w="2014" w:type="dxa"/>
            <w:noWrap w:val="0"/>
            <w:vAlign w:val="center"/>
          </w:tcPr>
          <w:p>
            <w:pPr>
              <w:widowControl/>
              <w:adjustRightInd w:val="0"/>
              <w:snapToGrid w:val="0"/>
              <w:spacing w:line="380" w:lineRule="exact"/>
              <w:jc w:val="center"/>
              <w:rPr>
                <w:rFonts w:ascii="宋体" w:eastAsia="宋体" w:cs="Arial"/>
                <w:b w:val="0"/>
                <w:color w:val="auto"/>
                <w:kern w:val="28"/>
                <w:sz w:val="22"/>
                <w:szCs w:val="22"/>
                <w:highlight w:val="none"/>
              </w:rPr>
            </w:pPr>
            <w:r>
              <w:rPr>
                <w:rFonts w:hint="eastAsia" w:ascii="宋体" w:eastAsia="宋体" w:cs="Arial"/>
                <w:b w:val="0"/>
                <w:color w:val="auto"/>
                <w:kern w:val="28"/>
                <w:sz w:val="22"/>
                <w:szCs w:val="22"/>
                <w:highlight w:val="none"/>
                <w:lang w:val="zh-CN"/>
              </w:rPr>
              <w:t>线路3疗休养策划方案</w:t>
            </w:r>
          </w:p>
        </w:tc>
        <w:tc>
          <w:tcPr>
            <w:tcW w:w="1164" w:type="dxa"/>
            <w:noWrap w:val="0"/>
            <w:vAlign w:val="center"/>
          </w:tcPr>
          <w:p>
            <w:pPr>
              <w:spacing w:line="380" w:lineRule="exact"/>
              <w:jc w:val="center"/>
              <w:rPr>
                <w:rFonts w:ascii="宋体" w:eastAsia="宋体"/>
                <w:b w:val="0"/>
                <w:color w:val="auto"/>
                <w:spacing w:val="-6"/>
                <w:sz w:val="22"/>
                <w:szCs w:val="22"/>
                <w:highlight w:val="none"/>
              </w:rPr>
            </w:pPr>
            <w:r>
              <w:rPr>
                <w:rFonts w:hint="eastAsia" w:ascii="宋体" w:eastAsia="宋体" w:cs="Arial"/>
                <w:b w:val="0"/>
                <w:bCs w:val="0"/>
                <w:color w:val="auto"/>
                <w:kern w:val="28"/>
                <w:sz w:val="22"/>
                <w:szCs w:val="22"/>
                <w:highlight w:val="none"/>
                <w:lang w:val="zh-CN"/>
              </w:rPr>
              <w:t>0-12分</w:t>
            </w:r>
          </w:p>
        </w:tc>
        <w:tc>
          <w:tcPr>
            <w:tcW w:w="5548" w:type="dxa"/>
            <w:noWrap w:val="0"/>
            <w:vAlign w:val="center"/>
          </w:tcPr>
          <w:p>
            <w:pPr>
              <w:numPr>
                <w:ilvl w:val="0"/>
                <w:numId w:val="13"/>
              </w:numPr>
              <w:spacing w:line="380" w:lineRule="exact"/>
              <w:jc w:val="left"/>
              <w:rPr>
                <w:rFonts w:hint="eastAsia" w:ascii="宋体" w:eastAsia="宋体"/>
                <w:b w:val="0"/>
                <w:snapToGrid w:val="0"/>
                <w:color w:val="auto"/>
                <w:sz w:val="22"/>
                <w:szCs w:val="22"/>
                <w:highlight w:val="none"/>
              </w:rPr>
            </w:pPr>
            <w:r>
              <w:rPr>
                <w:rFonts w:hint="eastAsia" w:ascii="宋体" w:eastAsia="宋体"/>
                <w:b w:val="0"/>
                <w:color w:val="auto"/>
                <w:spacing w:val="-6"/>
                <w:sz w:val="22"/>
                <w:szCs w:val="22"/>
                <w:highlight w:val="none"/>
                <w:lang w:val="zh-CN"/>
              </w:rPr>
              <w:t>线路安排</w:t>
            </w:r>
            <w:r>
              <w:rPr>
                <w:rFonts w:hint="eastAsia" w:ascii="宋体" w:eastAsia="宋体"/>
                <w:b w:val="0"/>
                <w:color w:val="auto"/>
                <w:spacing w:val="-6"/>
                <w:sz w:val="22"/>
                <w:szCs w:val="22"/>
                <w:highlight w:val="none"/>
              </w:rPr>
              <w:t>（包括景点安排）</w:t>
            </w:r>
            <w:r>
              <w:rPr>
                <w:rFonts w:hint="eastAsia" w:ascii="宋体" w:eastAsia="宋体"/>
                <w:b w:val="0"/>
                <w:color w:val="auto"/>
                <w:spacing w:val="-6"/>
                <w:sz w:val="22"/>
                <w:szCs w:val="22"/>
                <w:highlight w:val="none"/>
                <w:lang w:val="zh-CN"/>
              </w:rPr>
              <w:t>：每条线路必须提供简易行程表，包括总体出行线路安排（</w:t>
            </w:r>
            <w:r>
              <w:rPr>
                <w:rFonts w:hint="eastAsia" w:ascii="宋体" w:eastAsia="宋体"/>
                <w:b w:val="0"/>
                <w:color w:val="auto"/>
                <w:sz w:val="22"/>
                <w:szCs w:val="22"/>
                <w:highlight w:val="none"/>
              </w:rPr>
              <w:t>标明各景点档次）、游玩时间，景点与宾馆之间的车程时间</w:t>
            </w:r>
            <w:r>
              <w:rPr>
                <w:rFonts w:hint="eastAsia" w:ascii="宋体" w:eastAsia="宋体"/>
                <w:b w:val="0"/>
                <w:color w:val="auto"/>
                <w:spacing w:val="-6"/>
                <w:sz w:val="22"/>
                <w:szCs w:val="22"/>
                <w:highlight w:val="none"/>
                <w:lang w:val="zh-CN"/>
              </w:rPr>
              <w:t>）</w:t>
            </w:r>
            <w:r>
              <w:rPr>
                <w:rFonts w:hint="eastAsia" w:ascii="宋体" w:eastAsia="宋体"/>
                <w:b w:val="0"/>
                <w:snapToGrid w:val="0"/>
                <w:color w:val="auto"/>
                <w:sz w:val="22"/>
                <w:szCs w:val="22"/>
                <w:highlight w:val="none"/>
              </w:rPr>
              <w:t>：</w:t>
            </w:r>
          </w:p>
          <w:p>
            <w:pPr>
              <w:numPr>
                <w:ilvl w:val="0"/>
                <w:numId w:val="0"/>
              </w:numPr>
              <w:spacing w:line="380" w:lineRule="exact"/>
              <w:jc w:val="left"/>
              <w:rPr>
                <w:rFonts w:hint="eastAsia" w:ascii="宋体" w:eastAsia="宋体"/>
                <w:b w:val="0"/>
                <w:color w:val="auto"/>
                <w:kern w:val="28"/>
                <w:sz w:val="22"/>
                <w:szCs w:val="22"/>
                <w:highlight w:val="none"/>
                <w:lang w:eastAsia="zh-CN"/>
              </w:rPr>
            </w:pPr>
            <w:r>
              <w:rPr>
                <w:rFonts w:hint="eastAsia" w:ascii="宋体" w:eastAsia="宋体"/>
                <w:b w:val="0"/>
                <w:snapToGrid w:val="0"/>
                <w:color w:val="auto"/>
                <w:sz w:val="22"/>
                <w:szCs w:val="22"/>
                <w:highlight w:val="none"/>
                <w:lang w:val="en-US" w:eastAsia="zh-CN"/>
              </w:rPr>
              <w:t>1.1线路安排的合理性，</w:t>
            </w:r>
            <w:r>
              <w:rPr>
                <w:rFonts w:hint="eastAsia" w:ascii="宋体" w:eastAsia="宋体"/>
                <w:b w:val="0"/>
                <w:snapToGrid w:val="0"/>
                <w:color w:val="auto"/>
                <w:sz w:val="22"/>
                <w:szCs w:val="22"/>
                <w:highlight w:val="none"/>
              </w:rPr>
              <w:t>0-</w:t>
            </w:r>
            <w:r>
              <w:rPr>
                <w:rFonts w:hint="eastAsia" w:ascii="宋体" w:eastAsia="宋体"/>
                <w:b w:val="0"/>
                <w:snapToGrid w:val="0"/>
                <w:color w:val="auto"/>
                <w:sz w:val="22"/>
                <w:szCs w:val="22"/>
                <w:highlight w:val="none"/>
                <w:lang w:val="en-US" w:eastAsia="zh-CN"/>
              </w:rPr>
              <w:t>3</w:t>
            </w:r>
            <w:r>
              <w:rPr>
                <w:rFonts w:hint="eastAsia" w:ascii="宋体" w:eastAsia="宋体"/>
                <w:b w:val="0"/>
                <w:color w:val="auto"/>
                <w:kern w:val="28"/>
                <w:sz w:val="22"/>
                <w:szCs w:val="22"/>
                <w:highlight w:val="none"/>
              </w:rPr>
              <w:t>分</w:t>
            </w:r>
            <w:r>
              <w:rPr>
                <w:rFonts w:hint="eastAsia" w:ascii="宋体" w:eastAsia="宋体"/>
                <w:b w:val="0"/>
                <w:color w:val="auto"/>
                <w:kern w:val="28"/>
                <w:sz w:val="22"/>
                <w:szCs w:val="22"/>
                <w:highlight w:val="none"/>
                <w:lang w:eastAsia="zh-CN"/>
              </w:rPr>
              <w:t>；</w:t>
            </w:r>
          </w:p>
          <w:p>
            <w:pPr>
              <w:numPr>
                <w:ilvl w:val="0"/>
                <w:numId w:val="0"/>
              </w:numPr>
              <w:spacing w:line="380" w:lineRule="exact"/>
              <w:jc w:val="left"/>
              <w:rPr>
                <w:rFonts w:ascii="宋体" w:eastAsia="宋体"/>
                <w:b w:val="0"/>
                <w:color w:val="auto"/>
                <w:spacing w:val="-6"/>
                <w:sz w:val="22"/>
                <w:szCs w:val="22"/>
                <w:highlight w:val="none"/>
                <w:lang w:val="zh-CN"/>
              </w:rPr>
            </w:pPr>
            <w:r>
              <w:rPr>
                <w:rFonts w:hint="eastAsia" w:ascii="宋体" w:hAnsi="宋体" w:eastAsia="宋体" w:cs="宋体"/>
                <w:b w:val="0"/>
                <w:snapToGrid w:val="0"/>
                <w:color w:val="auto"/>
                <w:sz w:val="22"/>
                <w:szCs w:val="22"/>
                <w:highlight w:val="none"/>
                <w:lang w:val="en-US" w:eastAsia="zh-CN"/>
              </w:rPr>
              <w:t>1.2</w:t>
            </w:r>
            <w:r>
              <w:rPr>
                <w:rFonts w:hint="eastAsia" w:ascii="宋体" w:eastAsia="宋体"/>
                <w:b w:val="0"/>
                <w:snapToGrid w:val="0"/>
                <w:color w:val="auto"/>
                <w:sz w:val="22"/>
                <w:szCs w:val="22"/>
                <w:highlight w:val="none"/>
                <w:lang w:val="en-US" w:eastAsia="zh-CN"/>
              </w:rPr>
              <w:t>线路安排的完整性，0-3分。</w:t>
            </w:r>
          </w:p>
          <w:p>
            <w:pPr>
              <w:spacing w:line="380" w:lineRule="exact"/>
              <w:jc w:val="left"/>
              <w:rPr>
                <w:rFonts w:ascii="宋体" w:eastAsia="宋体"/>
                <w:b w:val="0"/>
                <w:color w:val="auto"/>
                <w:spacing w:val="-6"/>
                <w:sz w:val="22"/>
                <w:szCs w:val="22"/>
                <w:highlight w:val="none"/>
              </w:rPr>
            </w:pPr>
            <w:r>
              <w:rPr>
                <w:rFonts w:hint="eastAsia" w:ascii="宋体" w:eastAsia="宋体"/>
                <w:b w:val="0"/>
                <w:color w:val="auto"/>
                <w:spacing w:val="-6"/>
                <w:sz w:val="22"/>
                <w:szCs w:val="22"/>
                <w:highlight w:val="none"/>
              </w:rPr>
              <w:t>2.</w:t>
            </w:r>
            <w:r>
              <w:rPr>
                <w:rFonts w:hint="eastAsia" w:ascii="宋体" w:eastAsia="宋体"/>
                <w:b w:val="0"/>
                <w:color w:val="auto"/>
                <w:sz w:val="22"/>
                <w:szCs w:val="22"/>
                <w:highlight w:val="none"/>
              </w:rPr>
              <w:t>供应商在线路</w:t>
            </w:r>
            <w:r>
              <w:rPr>
                <w:rFonts w:ascii="宋体" w:eastAsia="宋体"/>
                <w:b w:val="0"/>
                <w:color w:val="auto"/>
                <w:sz w:val="22"/>
                <w:szCs w:val="22"/>
                <w:highlight w:val="none"/>
              </w:rPr>
              <w:t>3内</w:t>
            </w:r>
            <w:r>
              <w:rPr>
                <w:rFonts w:hint="eastAsia" w:ascii="宋体" w:eastAsia="宋体"/>
                <w:b w:val="0"/>
                <w:color w:val="auto"/>
                <w:sz w:val="22"/>
                <w:szCs w:val="22"/>
                <w:highlight w:val="none"/>
              </w:rPr>
              <w:t>合作民宿、民宿环境及</w:t>
            </w:r>
            <w:r>
              <w:rPr>
                <w:rFonts w:hint="eastAsia" w:ascii="宋体" w:eastAsia="宋体"/>
                <w:b w:val="0"/>
                <w:color w:val="auto"/>
                <w:spacing w:val="-6"/>
                <w:sz w:val="22"/>
                <w:szCs w:val="22"/>
                <w:highlight w:val="none"/>
                <w:lang w:val="zh-CN"/>
              </w:rPr>
              <w:t>安排</w:t>
            </w:r>
            <w:r>
              <w:rPr>
                <w:rFonts w:hint="eastAsia" w:ascii="宋体" w:eastAsia="宋体"/>
                <w:b w:val="0"/>
                <w:color w:val="auto"/>
                <w:sz w:val="22"/>
                <w:szCs w:val="22"/>
                <w:highlight w:val="none"/>
              </w:rPr>
              <w:t>情况：0-</w:t>
            </w:r>
            <w:r>
              <w:rPr>
                <w:rFonts w:ascii="宋体" w:eastAsia="宋体"/>
                <w:b w:val="0"/>
                <w:color w:val="auto"/>
                <w:sz w:val="22"/>
                <w:szCs w:val="22"/>
                <w:highlight w:val="none"/>
              </w:rPr>
              <w:t>2</w:t>
            </w:r>
            <w:r>
              <w:rPr>
                <w:rFonts w:hint="eastAsia" w:ascii="宋体" w:eastAsia="宋体"/>
                <w:b w:val="0"/>
                <w:color w:val="auto"/>
                <w:sz w:val="22"/>
                <w:szCs w:val="22"/>
                <w:highlight w:val="none"/>
              </w:rPr>
              <w:t>分。</w:t>
            </w:r>
          </w:p>
          <w:p>
            <w:pPr>
              <w:widowControl/>
              <w:adjustRightInd w:val="0"/>
              <w:snapToGrid w:val="0"/>
              <w:spacing w:line="380" w:lineRule="exact"/>
              <w:rPr>
                <w:rFonts w:ascii="宋体" w:eastAsia="宋体"/>
                <w:b w:val="0"/>
                <w:color w:val="auto"/>
                <w:spacing w:val="-6"/>
                <w:sz w:val="22"/>
                <w:szCs w:val="22"/>
                <w:highlight w:val="none"/>
                <w:lang w:val="zh-CN"/>
              </w:rPr>
            </w:pPr>
            <w:r>
              <w:rPr>
                <w:rFonts w:hint="eastAsia" w:ascii="宋体" w:eastAsia="宋体"/>
                <w:b w:val="0"/>
                <w:color w:val="auto"/>
                <w:spacing w:val="-6"/>
                <w:sz w:val="22"/>
                <w:szCs w:val="22"/>
                <w:highlight w:val="none"/>
              </w:rPr>
              <w:t>3.就餐及</w:t>
            </w:r>
            <w:r>
              <w:rPr>
                <w:rFonts w:hint="eastAsia" w:ascii="宋体" w:eastAsia="宋体"/>
                <w:b w:val="0"/>
                <w:color w:val="auto"/>
                <w:spacing w:val="-6"/>
                <w:sz w:val="22"/>
                <w:szCs w:val="22"/>
                <w:highlight w:val="none"/>
                <w:lang w:val="zh-CN"/>
              </w:rPr>
              <w:t>用餐标准安排：</w:t>
            </w:r>
            <w:r>
              <w:rPr>
                <w:rFonts w:hint="eastAsia" w:ascii="宋体" w:eastAsia="宋体"/>
                <w:b w:val="0"/>
                <w:snapToGrid w:val="0"/>
                <w:color w:val="auto"/>
                <w:sz w:val="22"/>
                <w:szCs w:val="22"/>
                <w:highlight w:val="none"/>
              </w:rPr>
              <w:t>0-</w:t>
            </w:r>
            <w:r>
              <w:rPr>
                <w:rFonts w:ascii="宋体" w:eastAsia="宋体"/>
                <w:b w:val="0"/>
                <w:snapToGrid w:val="0"/>
                <w:color w:val="auto"/>
                <w:sz w:val="22"/>
                <w:szCs w:val="22"/>
                <w:highlight w:val="none"/>
              </w:rPr>
              <w:t>2</w:t>
            </w:r>
            <w:r>
              <w:rPr>
                <w:rFonts w:hint="eastAsia" w:ascii="宋体" w:eastAsia="宋体"/>
                <w:b w:val="0"/>
                <w:color w:val="auto"/>
                <w:kern w:val="28"/>
                <w:sz w:val="22"/>
                <w:szCs w:val="22"/>
                <w:highlight w:val="none"/>
              </w:rPr>
              <w:t>分。</w:t>
            </w:r>
          </w:p>
          <w:p>
            <w:pPr>
              <w:spacing w:line="380" w:lineRule="exact"/>
              <w:jc w:val="left"/>
              <w:rPr>
                <w:rFonts w:ascii="宋体" w:eastAsia="宋体"/>
                <w:b w:val="0"/>
                <w:color w:val="auto"/>
                <w:spacing w:val="-6"/>
                <w:sz w:val="22"/>
                <w:szCs w:val="22"/>
                <w:highlight w:val="none"/>
              </w:rPr>
            </w:pPr>
            <w:r>
              <w:rPr>
                <w:rFonts w:hint="eastAsia" w:ascii="宋体" w:eastAsia="宋体"/>
                <w:b w:val="0"/>
                <w:color w:val="auto"/>
                <w:spacing w:val="-6"/>
                <w:sz w:val="22"/>
                <w:szCs w:val="22"/>
                <w:highlight w:val="none"/>
              </w:rPr>
              <w:t>4.</w:t>
            </w:r>
            <w:r>
              <w:rPr>
                <w:rFonts w:hint="eastAsia" w:ascii="宋体" w:eastAsia="宋体"/>
                <w:b w:val="0"/>
                <w:color w:val="auto"/>
                <w:spacing w:val="-6"/>
                <w:sz w:val="22"/>
                <w:szCs w:val="22"/>
                <w:highlight w:val="none"/>
                <w:lang w:val="zh-CN"/>
              </w:rPr>
              <w:t>旅游车或其他交通工具安排方案。（可提供相关图片、驾照、行驶证作为辅助评审资料）</w:t>
            </w:r>
            <w:r>
              <w:rPr>
                <w:rFonts w:hint="eastAsia" w:ascii="宋体" w:eastAsia="宋体"/>
                <w:b w:val="0"/>
                <w:snapToGrid w:val="0"/>
                <w:color w:val="auto"/>
                <w:sz w:val="22"/>
                <w:szCs w:val="22"/>
                <w:highlight w:val="none"/>
              </w:rPr>
              <w:t>：0-</w:t>
            </w:r>
            <w:r>
              <w:rPr>
                <w:rFonts w:ascii="宋体" w:eastAsia="宋体"/>
                <w:b w:val="0"/>
                <w:snapToGrid w:val="0"/>
                <w:color w:val="auto"/>
                <w:sz w:val="22"/>
                <w:szCs w:val="22"/>
                <w:highlight w:val="none"/>
              </w:rPr>
              <w:t>2</w:t>
            </w:r>
            <w:r>
              <w:rPr>
                <w:rFonts w:hint="eastAsia" w:ascii="宋体" w:eastAsia="宋体"/>
                <w:b w:val="0"/>
                <w:color w:val="auto"/>
                <w:kern w:val="28"/>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754" w:type="dxa"/>
            <w:noWrap w:val="0"/>
            <w:vAlign w:val="center"/>
          </w:tcPr>
          <w:p>
            <w:pPr>
              <w:spacing w:line="360" w:lineRule="auto"/>
              <w:ind w:right="3" w:firstLine="110" w:firstLineChars="50"/>
              <w:jc w:val="center"/>
              <w:rPr>
                <w:rFonts w:ascii="宋体" w:eastAsia="宋体"/>
                <w:b w:val="0"/>
                <w:color w:val="auto"/>
                <w:sz w:val="22"/>
                <w:szCs w:val="22"/>
                <w:highlight w:val="none"/>
              </w:rPr>
            </w:pPr>
            <w:r>
              <w:rPr>
                <w:rFonts w:hint="eastAsia" w:ascii="宋体" w:eastAsia="宋体"/>
                <w:b w:val="0"/>
                <w:color w:val="auto"/>
                <w:sz w:val="22"/>
                <w:szCs w:val="22"/>
                <w:highlight w:val="none"/>
              </w:rPr>
              <w:t>6</w:t>
            </w:r>
          </w:p>
        </w:tc>
        <w:tc>
          <w:tcPr>
            <w:tcW w:w="2014" w:type="dxa"/>
            <w:noWrap w:val="0"/>
            <w:vAlign w:val="center"/>
          </w:tcPr>
          <w:p>
            <w:pPr>
              <w:widowControl/>
              <w:adjustRightInd w:val="0"/>
              <w:snapToGrid w:val="0"/>
              <w:spacing w:line="380" w:lineRule="exact"/>
              <w:jc w:val="center"/>
              <w:rPr>
                <w:rFonts w:ascii="宋体" w:eastAsia="宋体" w:cs="Arial"/>
                <w:b w:val="0"/>
                <w:color w:val="auto"/>
                <w:kern w:val="28"/>
                <w:sz w:val="22"/>
                <w:szCs w:val="22"/>
                <w:highlight w:val="none"/>
              </w:rPr>
            </w:pPr>
            <w:r>
              <w:rPr>
                <w:rFonts w:hint="eastAsia" w:ascii="宋体" w:eastAsia="宋体" w:cs="Arial"/>
                <w:b w:val="0"/>
                <w:color w:val="auto"/>
                <w:kern w:val="28"/>
                <w:sz w:val="22"/>
                <w:szCs w:val="22"/>
                <w:highlight w:val="none"/>
                <w:lang w:val="zh-CN"/>
              </w:rPr>
              <w:t>线路4疗休养策划方案</w:t>
            </w:r>
          </w:p>
        </w:tc>
        <w:tc>
          <w:tcPr>
            <w:tcW w:w="1164" w:type="dxa"/>
            <w:noWrap w:val="0"/>
            <w:vAlign w:val="center"/>
          </w:tcPr>
          <w:p>
            <w:pPr>
              <w:spacing w:line="380" w:lineRule="exact"/>
              <w:jc w:val="center"/>
              <w:rPr>
                <w:rFonts w:ascii="宋体" w:eastAsia="宋体"/>
                <w:b w:val="0"/>
                <w:color w:val="auto"/>
                <w:sz w:val="22"/>
                <w:szCs w:val="22"/>
                <w:highlight w:val="none"/>
              </w:rPr>
            </w:pPr>
            <w:r>
              <w:rPr>
                <w:rFonts w:hint="eastAsia" w:ascii="宋体" w:eastAsia="宋体"/>
                <w:b w:val="0"/>
                <w:color w:val="auto"/>
                <w:spacing w:val="-6"/>
                <w:sz w:val="22"/>
                <w:szCs w:val="22"/>
                <w:highlight w:val="none"/>
              </w:rPr>
              <w:t>0-1</w:t>
            </w:r>
            <w:r>
              <w:rPr>
                <w:rFonts w:ascii="宋体" w:eastAsia="宋体"/>
                <w:b w:val="0"/>
                <w:color w:val="auto"/>
                <w:spacing w:val="-6"/>
                <w:sz w:val="22"/>
                <w:szCs w:val="22"/>
                <w:highlight w:val="none"/>
              </w:rPr>
              <w:t>2</w:t>
            </w:r>
            <w:r>
              <w:rPr>
                <w:rFonts w:hint="eastAsia" w:ascii="宋体" w:eastAsia="宋体"/>
                <w:b w:val="0"/>
                <w:color w:val="auto"/>
                <w:sz w:val="22"/>
                <w:szCs w:val="22"/>
                <w:highlight w:val="none"/>
              </w:rPr>
              <w:t>分</w:t>
            </w:r>
          </w:p>
        </w:tc>
        <w:tc>
          <w:tcPr>
            <w:tcW w:w="5548" w:type="dxa"/>
            <w:noWrap w:val="0"/>
            <w:vAlign w:val="center"/>
          </w:tcPr>
          <w:p>
            <w:pPr>
              <w:numPr>
                <w:ilvl w:val="0"/>
                <w:numId w:val="14"/>
              </w:numPr>
              <w:spacing w:line="380" w:lineRule="exact"/>
              <w:jc w:val="left"/>
              <w:rPr>
                <w:rFonts w:hint="eastAsia" w:ascii="宋体" w:eastAsia="宋体"/>
                <w:b w:val="0"/>
                <w:snapToGrid w:val="0"/>
                <w:color w:val="auto"/>
                <w:sz w:val="22"/>
                <w:szCs w:val="22"/>
                <w:highlight w:val="none"/>
              </w:rPr>
            </w:pPr>
            <w:r>
              <w:rPr>
                <w:rFonts w:hint="eastAsia" w:ascii="宋体" w:eastAsia="宋体"/>
                <w:b w:val="0"/>
                <w:color w:val="auto"/>
                <w:spacing w:val="-6"/>
                <w:sz w:val="22"/>
                <w:szCs w:val="22"/>
                <w:highlight w:val="none"/>
                <w:lang w:val="zh-CN"/>
              </w:rPr>
              <w:t>线路安排</w:t>
            </w:r>
            <w:r>
              <w:rPr>
                <w:rFonts w:hint="eastAsia" w:ascii="宋体" w:eastAsia="宋体"/>
                <w:b w:val="0"/>
                <w:color w:val="auto"/>
                <w:spacing w:val="-6"/>
                <w:sz w:val="22"/>
                <w:szCs w:val="22"/>
                <w:highlight w:val="none"/>
              </w:rPr>
              <w:t>（包括景点安排）</w:t>
            </w:r>
            <w:r>
              <w:rPr>
                <w:rFonts w:hint="eastAsia" w:ascii="宋体" w:eastAsia="宋体"/>
                <w:b w:val="0"/>
                <w:color w:val="auto"/>
                <w:spacing w:val="-6"/>
                <w:sz w:val="22"/>
                <w:szCs w:val="22"/>
                <w:highlight w:val="none"/>
                <w:lang w:val="zh-CN"/>
              </w:rPr>
              <w:t>：每条线路必须提供简易行程表，包括总体出行线路安排（</w:t>
            </w:r>
            <w:r>
              <w:rPr>
                <w:rFonts w:hint="eastAsia" w:ascii="宋体" w:eastAsia="宋体"/>
                <w:b w:val="0"/>
                <w:color w:val="auto"/>
                <w:sz w:val="22"/>
                <w:szCs w:val="22"/>
                <w:highlight w:val="none"/>
              </w:rPr>
              <w:t>标明各景点档次）、游玩时间，景点与宾馆之间的车程时间</w:t>
            </w:r>
            <w:r>
              <w:rPr>
                <w:rFonts w:hint="eastAsia" w:ascii="宋体" w:eastAsia="宋体"/>
                <w:b w:val="0"/>
                <w:color w:val="auto"/>
                <w:spacing w:val="-6"/>
                <w:sz w:val="22"/>
                <w:szCs w:val="22"/>
                <w:highlight w:val="none"/>
                <w:lang w:val="zh-CN"/>
              </w:rPr>
              <w:t>）</w:t>
            </w:r>
            <w:r>
              <w:rPr>
                <w:rFonts w:hint="eastAsia" w:ascii="宋体" w:eastAsia="宋体"/>
                <w:b w:val="0"/>
                <w:snapToGrid w:val="0"/>
                <w:color w:val="auto"/>
                <w:sz w:val="22"/>
                <w:szCs w:val="22"/>
                <w:highlight w:val="none"/>
              </w:rPr>
              <w:t>：</w:t>
            </w:r>
          </w:p>
          <w:p>
            <w:pPr>
              <w:numPr>
                <w:ilvl w:val="0"/>
                <w:numId w:val="0"/>
              </w:numPr>
              <w:spacing w:line="380" w:lineRule="exact"/>
              <w:jc w:val="left"/>
              <w:rPr>
                <w:rFonts w:hint="eastAsia" w:ascii="宋体" w:eastAsia="宋体"/>
                <w:b w:val="0"/>
                <w:color w:val="auto"/>
                <w:kern w:val="28"/>
                <w:sz w:val="22"/>
                <w:szCs w:val="22"/>
                <w:highlight w:val="none"/>
                <w:lang w:eastAsia="zh-CN"/>
              </w:rPr>
            </w:pPr>
            <w:r>
              <w:rPr>
                <w:rFonts w:hint="eastAsia" w:ascii="宋体" w:eastAsia="宋体"/>
                <w:b w:val="0"/>
                <w:snapToGrid w:val="0"/>
                <w:color w:val="auto"/>
                <w:sz w:val="22"/>
                <w:szCs w:val="22"/>
                <w:highlight w:val="none"/>
                <w:lang w:val="en-US" w:eastAsia="zh-CN"/>
              </w:rPr>
              <w:t>1.1线路安排的合理性，</w:t>
            </w:r>
            <w:r>
              <w:rPr>
                <w:rFonts w:hint="eastAsia" w:ascii="宋体" w:eastAsia="宋体"/>
                <w:b w:val="0"/>
                <w:snapToGrid w:val="0"/>
                <w:color w:val="auto"/>
                <w:sz w:val="22"/>
                <w:szCs w:val="22"/>
                <w:highlight w:val="none"/>
              </w:rPr>
              <w:t>0-</w:t>
            </w:r>
            <w:r>
              <w:rPr>
                <w:rFonts w:hint="eastAsia" w:ascii="宋体" w:eastAsia="宋体"/>
                <w:b w:val="0"/>
                <w:snapToGrid w:val="0"/>
                <w:color w:val="auto"/>
                <w:sz w:val="22"/>
                <w:szCs w:val="22"/>
                <w:highlight w:val="none"/>
                <w:lang w:val="en-US" w:eastAsia="zh-CN"/>
              </w:rPr>
              <w:t>3</w:t>
            </w:r>
            <w:r>
              <w:rPr>
                <w:rFonts w:hint="eastAsia" w:ascii="宋体" w:eastAsia="宋体"/>
                <w:b w:val="0"/>
                <w:color w:val="auto"/>
                <w:kern w:val="28"/>
                <w:sz w:val="22"/>
                <w:szCs w:val="22"/>
                <w:highlight w:val="none"/>
              </w:rPr>
              <w:t>分</w:t>
            </w:r>
            <w:r>
              <w:rPr>
                <w:rFonts w:hint="eastAsia" w:ascii="宋体" w:eastAsia="宋体"/>
                <w:b w:val="0"/>
                <w:color w:val="auto"/>
                <w:kern w:val="28"/>
                <w:sz w:val="22"/>
                <w:szCs w:val="22"/>
                <w:highlight w:val="none"/>
                <w:lang w:eastAsia="zh-CN"/>
              </w:rPr>
              <w:t>；</w:t>
            </w:r>
          </w:p>
          <w:p>
            <w:pPr>
              <w:numPr>
                <w:ilvl w:val="0"/>
                <w:numId w:val="0"/>
              </w:numPr>
              <w:spacing w:line="380" w:lineRule="exact"/>
              <w:jc w:val="left"/>
              <w:rPr>
                <w:rFonts w:ascii="宋体" w:eastAsia="宋体"/>
                <w:b w:val="0"/>
                <w:color w:val="auto"/>
                <w:spacing w:val="-6"/>
                <w:sz w:val="22"/>
                <w:szCs w:val="22"/>
                <w:highlight w:val="none"/>
                <w:lang w:val="zh-CN"/>
              </w:rPr>
            </w:pPr>
            <w:r>
              <w:rPr>
                <w:rFonts w:hint="eastAsia" w:ascii="宋体" w:hAnsi="宋体" w:eastAsia="宋体" w:cs="宋体"/>
                <w:b w:val="0"/>
                <w:snapToGrid w:val="0"/>
                <w:color w:val="auto"/>
                <w:sz w:val="22"/>
                <w:szCs w:val="22"/>
                <w:highlight w:val="none"/>
                <w:lang w:val="en-US" w:eastAsia="zh-CN"/>
              </w:rPr>
              <w:t>1.2</w:t>
            </w:r>
            <w:r>
              <w:rPr>
                <w:rFonts w:hint="eastAsia" w:ascii="宋体" w:eastAsia="宋体"/>
                <w:b w:val="0"/>
                <w:snapToGrid w:val="0"/>
                <w:color w:val="auto"/>
                <w:sz w:val="22"/>
                <w:szCs w:val="22"/>
                <w:highlight w:val="none"/>
                <w:lang w:val="en-US" w:eastAsia="zh-CN"/>
              </w:rPr>
              <w:t>线路安排的完整性，0-3分。</w:t>
            </w:r>
          </w:p>
          <w:p>
            <w:pPr>
              <w:spacing w:line="380" w:lineRule="exact"/>
              <w:jc w:val="left"/>
              <w:rPr>
                <w:rFonts w:ascii="宋体" w:eastAsia="宋体"/>
                <w:b w:val="0"/>
                <w:color w:val="auto"/>
                <w:spacing w:val="-6"/>
                <w:sz w:val="22"/>
                <w:szCs w:val="22"/>
                <w:highlight w:val="none"/>
              </w:rPr>
            </w:pPr>
            <w:r>
              <w:rPr>
                <w:rFonts w:hint="eastAsia" w:ascii="宋体" w:eastAsia="宋体"/>
                <w:b w:val="0"/>
                <w:color w:val="auto"/>
                <w:spacing w:val="-6"/>
                <w:sz w:val="22"/>
                <w:szCs w:val="22"/>
                <w:highlight w:val="none"/>
              </w:rPr>
              <w:t>2.</w:t>
            </w:r>
            <w:r>
              <w:rPr>
                <w:rFonts w:hint="eastAsia" w:ascii="宋体" w:eastAsia="宋体"/>
                <w:b w:val="0"/>
                <w:color w:val="auto"/>
                <w:sz w:val="22"/>
                <w:szCs w:val="22"/>
                <w:highlight w:val="none"/>
              </w:rPr>
              <w:t>供应商在线路</w:t>
            </w:r>
            <w:r>
              <w:rPr>
                <w:rFonts w:ascii="宋体" w:eastAsia="宋体"/>
                <w:b w:val="0"/>
                <w:color w:val="auto"/>
                <w:sz w:val="22"/>
                <w:szCs w:val="22"/>
                <w:highlight w:val="none"/>
              </w:rPr>
              <w:t>4内</w:t>
            </w:r>
            <w:r>
              <w:rPr>
                <w:rFonts w:hint="eastAsia" w:ascii="宋体" w:eastAsia="宋体"/>
                <w:b w:val="0"/>
                <w:color w:val="auto"/>
                <w:sz w:val="22"/>
                <w:szCs w:val="22"/>
                <w:highlight w:val="none"/>
              </w:rPr>
              <w:t>合作民宿、民宿环境及</w:t>
            </w:r>
            <w:r>
              <w:rPr>
                <w:rFonts w:hint="eastAsia" w:ascii="宋体" w:eastAsia="宋体"/>
                <w:b w:val="0"/>
                <w:color w:val="auto"/>
                <w:spacing w:val="-6"/>
                <w:sz w:val="22"/>
                <w:szCs w:val="22"/>
                <w:highlight w:val="none"/>
                <w:lang w:val="zh-CN"/>
              </w:rPr>
              <w:t>安排</w:t>
            </w:r>
            <w:r>
              <w:rPr>
                <w:rFonts w:hint="eastAsia" w:ascii="宋体" w:eastAsia="宋体"/>
                <w:b w:val="0"/>
                <w:color w:val="auto"/>
                <w:sz w:val="22"/>
                <w:szCs w:val="22"/>
                <w:highlight w:val="none"/>
              </w:rPr>
              <w:t>情况：0-</w:t>
            </w:r>
            <w:r>
              <w:rPr>
                <w:rFonts w:ascii="宋体" w:eastAsia="宋体"/>
                <w:b w:val="0"/>
                <w:color w:val="auto"/>
                <w:sz w:val="22"/>
                <w:szCs w:val="22"/>
                <w:highlight w:val="none"/>
              </w:rPr>
              <w:t>2</w:t>
            </w:r>
            <w:r>
              <w:rPr>
                <w:rFonts w:hint="eastAsia" w:ascii="宋体" w:eastAsia="宋体"/>
                <w:b w:val="0"/>
                <w:color w:val="auto"/>
                <w:sz w:val="22"/>
                <w:szCs w:val="22"/>
                <w:highlight w:val="none"/>
              </w:rPr>
              <w:t>分。</w:t>
            </w:r>
          </w:p>
          <w:p>
            <w:pPr>
              <w:widowControl/>
              <w:adjustRightInd w:val="0"/>
              <w:snapToGrid w:val="0"/>
              <w:spacing w:line="380" w:lineRule="exact"/>
              <w:rPr>
                <w:rFonts w:ascii="宋体" w:eastAsia="宋体"/>
                <w:b w:val="0"/>
                <w:color w:val="auto"/>
                <w:spacing w:val="-6"/>
                <w:sz w:val="22"/>
                <w:szCs w:val="22"/>
                <w:highlight w:val="none"/>
                <w:lang w:val="zh-CN"/>
              </w:rPr>
            </w:pPr>
            <w:r>
              <w:rPr>
                <w:rFonts w:hint="eastAsia" w:ascii="宋体" w:eastAsia="宋体"/>
                <w:b w:val="0"/>
                <w:color w:val="auto"/>
                <w:spacing w:val="-6"/>
                <w:sz w:val="22"/>
                <w:szCs w:val="22"/>
                <w:highlight w:val="none"/>
              </w:rPr>
              <w:t>3.就餐及</w:t>
            </w:r>
            <w:r>
              <w:rPr>
                <w:rFonts w:hint="eastAsia" w:ascii="宋体" w:eastAsia="宋体"/>
                <w:b w:val="0"/>
                <w:color w:val="auto"/>
                <w:spacing w:val="-6"/>
                <w:sz w:val="22"/>
                <w:szCs w:val="22"/>
                <w:highlight w:val="none"/>
                <w:lang w:val="zh-CN"/>
              </w:rPr>
              <w:t>用餐标准安排：</w:t>
            </w:r>
            <w:r>
              <w:rPr>
                <w:rFonts w:hint="eastAsia" w:ascii="宋体" w:eastAsia="宋体"/>
                <w:b w:val="0"/>
                <w:snapToGrid w:val="0"/>
                <w:color w:val="auto"/>
                <w:sz w:val="22"/>
                <w:szCs w:val="22"/>
                <w:highlight w:val="none"/>
              </w:rPr>
              <w:t>0-</w:t>
            </w:r>
            <w:r>
              <w:rPr>
                <w:rFonts w:ascii="宋体" w:eastAsia="宋体"/>
                <w:b w:val="0"/>
                <w:snapToGrid w:val="0"/>
                <w:color w:val="auto"/>
                <w:sz w:val="22"/>
                <w:szCs w:val="22"/>
                <w:highlight w:val="none"/>
              </w:rPr>
              <w:t>2</w:t>
            </w:r>
            <w:r>
              <w:rPr>
                <w:rFonts w:hint="eastAsia" w:ascii="宋体" w:eastAsia="宋体"/>
                <w:b w:val="0"/>
                <w:color w:val="auto"/>
                <w:kern w:val="28"/>
                <w:sz w:val="22"/>
                <w:szCs w:val="22"/>
                <w:highlight w:val="none"/>
              </w:rPr>
              <w:t>分。</w:t>
            </w:r>
          </w:p>
          <w:p>
            <w:pPr>
              <w:spacing w:line="380" w:lineRule="exact"/>
              <w:jc w:val="left"/>
              <w:rPr>
                <w:rFonts w:ascii="宋体" w:eastAsia="宋体" w:cs="Arial"/>
                <w:b w:val="0"/>
                <w:color w:val="auto"/>
                <w:sz w:val="22"/>
                <w:szCs w:val="22"/>
                <w:highlight w:val="none"/>
              </w:rPr>
            </w:pPr>
            <w:r>
              <w:rPr>
                <w:rFonts w:hint="eastAsia" w:ascii="宋体" w:eastAsia="宋体"/>
                <w:b w:val="0"/>
                <w:color w:val="auto"/>
                <w:spacing w:val="-6"/>
                <w:sz w:val="22"/>
                <w:szCs w:val="22"/>
                <w:highlight w:val="none"/>
              </w:rPr>
              <w:t>4.</w:t>
            </w:r>
            <w:r>
              <w:rPr>
                <w:rFonts w:hint="eastAsia" w:ascii="宋体" w:eastAsia="宋体"/>
                <w:b w:val="0"/>
                <w:color w:val="auto"/>
                <w:spacing w:val="-6"/>
                <w:sz w:val="22"/>
                <w:szCs w:val="22"/>
                <w:highlight w:val="none"/>
                <w:lang w:val="zh-CN"/>
              </w:rPr>
              <w:t>旅游车或其他交通工具安排方案。（可提供相关图片、驾照、行驶证作为辅助评审资料）</w:t>
            </w:r>
            <w:r>
              <w:rPr>
                <w:rFonts w:hint="eastAsia" w:ascii="宋体" w:eastAsia="宋体"/>
                <w:b w:val="0"/>
                <w:snapToGrid w:val="0"/>
                <w:color w:val="auto"/>
                <w:sz w:val="22"/>
                <w:szCs w:val="22"/>
                <w:highlight w:val="none"/>
              </w:rPr>
              <w:t>：0-</w:t>
            </w:r>
            <w:r>
              <w:rPr>
                <w:rFonts w:ascii="宋体" w:eastAsia="宋体"/>
                <w:b w:val="0"/>
                <w:snapToGrid w:val="0"/>
                <w:color w:val="auto"/>
                <w:sz w:val="22"/>
                <w:szCs w:val="22"/>
                <w:highlight w:val="none"/>
              </w:rPr>
              <w:t>2</w:t>
            </w:r>
            <w:r>
              <w:rPr>
                <w:rFonts w:hint="eastAsia" w:ascii="宋体" w:eastAsia="宋体"/>
                <w:b w:val="0"/>
                <w:color w:val="auto"/>
                <w:kern w:val="28"/>
                <w:sz w:val="22"/>
                <w:szCs w:val="22"/>
                <w:highlight w:val="none"/>
              </w:rPr>
              <w:t>分。</w:t>
            </w:r>
            <w:r>
              <w:rPr>
                <w:rFonts w:hint="eastAsia" w:ascii="宋体" w:eastAsia="宋体"/>
                <w:b w:val="0"/>
                <w:color w:val="auto"/>
                <w:spacing w:val="-6"/>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754" w:type="dxa"/>
            <w:noWrap w:val="0"/>
            <w:vAlign w:val="center"/>
          </w:tcPr>
          <w:p>
            <w:pPr>
              <w:spacing w:line="360" w:lineRule="auto"/>
              <w:ind w:right="3"/>
              <w:jc w:val="center"/>
              <w:rPr>
                <w:rFonts w:ascii="宋体" w:eastAsia="宋体"/>
                <w:b w:val="0"/>
                <w:color w:val="auto"/>
                <w:sz w:val="22"/>
                <w:szCs w:val="22"/>
                <w:highlight w:val="none"/>
              </w:rPr>
            </w:pPr>
            <w:r>
              <w:rPr>
                <w:rFonts w:hint="eastAsia" w:ascii="宋体" w:eastAsia="宋体"/>
                <w:b w:val="0"/>
                <w:color w:val="auto"/>
                <w:sz w:val="22"/>
                <w:szCs w:val="22"/>
                <w:highlight w:val="none"/>
              </w:rPr>
              <w:t>7</w:t>
            </w:r>
          </w:p>
        </w:tc>
        <w:tc>
          <w:tcPr>
            <w:tcW w:w="2014" w:type="dxa"/>
            <w:noWrap w:val="0"/>
            <w:vAlign w:val="center"/>
          </w:tcPr>
          <w:p>
            <w:pPr>
              <w:widowControl/>
              <w:adjustRightInd w:val="0"/>
              <w:snapToGrid w:val="0"/>
              <w:spacing w:line="380" w:lineRule="exact"/>
              <w:jc w:val="center"/>
              <w:rPr>
                <w:rFonts w:ascii="宋体" w:eastAsia="宋体" w:cs="Arial"/>
                <w:b w:val="0"/>
                <w:color w:val="auto"/>
                <w:kern w:val="28"/>
                <w:sz w:val="22"/>
                <w:szCs w:val="22"/>
                <w:highlight w:val="none"/>
                <w:lang w:val="zh-CN"/>
              </w:rPr>
            </w:pPr>
            <w:r>
              <w:rPr>
                <w:rFonts w:hint="eastAsia" w:ascii="宋体" w:eastAsia="宋体" w:cs="Arial"/>
                <w:b w:val="0"/>
                <w:color w:val="auto"/>
                <w:kern w:val="28"/>
                <w:sz w:val="22"/>
                <w:szCs w:val="22"/>
                <w:highlight w:val="none"/>
                <w:lang w:val="zh-CN"/>
              </w:rPr>
              <w:t>现场讲解及答辩</w:t>
            </w:r>
          </w:p>
        </w:tc>
        <w:tc>
          <w:tcPr>
            <w:tcW w:w="1164" w:type="dxa"/>
            <w:noWrap w:val="0"/>
            <w:vAlign w:val="center"/>
          </w:tcPr>
          <w:p>
            <w:pPr>
              <w:spacing w:line="380" w:lineRule="exact"/>
              <w:jc w:val="center"/>
              <w:rPr>
                <w:rFonts w:ascii="宋体" w:eastAsia="宋体"/>
                <w:b w:val="0"/>
                <w:color w:val="auto"/>
                <w:spacing w:val="-6"/>
                <w:sz w:val="22"/>
                <w:szCs w:val="22"/>
                <w:highlight w:val="none"/>
              </w:rPr>
            </w:pPr>
            <w:r>
              <w:rPr>
                <w:rFonts w:hint="eastAsia" w:ascii="宋体" w:eastAsia="宋体"/>
                <w:b w:val="0"/>
                <w:color w:val="auto"/>
                <w:spacing w:val="-6"/>
                <w:sz w:val="22"/>
                <w:szCs w:val="22"/>
                <w:highlight w:val="none"/>
              </w:rPr>
              <w:t>0-</w:t>
            </w:r>
            <w:r>
              <w:rPr>
                <w:rFonts w:ascii="宋体" w:eastAsia="宋体"/>
                <w:b w:val="0"/>
                <w:color w:val="auto"/>
                <w:spacing w:val="-6"/>
                <w:sz w:val="22"/>
                <w:szCs w:val="22"/>
                <w:highlight w:val="none"/>
              </w:rPr>
              <w:t>1</w:t>
            </w:r>
            <w:r>
              <w:rPr>
                <w:rFonts w:hint="eastAsia" w:ascii="宋体" w:eastAsia="宋体"/>
                <w:b w:val="0"/>
                <w:color w:val="auto"/>
                <w:spacing w:val="-6"/>
                <w:sz w:val="22"/>
                <w:szCs w:val="22"/>
                <w:highlight w:val="none"/>
                <w:lang w:val="en-US" w:eastAsia="zh-CN"/>
              </w:rPr>
              <w:t>6</w:t>
            </w:r>
            <w:r>
              <w:rPr>
                <w:rFonts w:hint="eastAsia" w:ascii="宋体" w:eastAsia="宋体"/>
                <w:b w:val="0"/>
                <w:color w:val="auto"/>
                <w:spacing w:val="-6"/>
                <w:sz w:val="22"/>
                <w:szCs w:val="22"/>
                <w:highlight w:val="none"/>
              </w:rPr>
              <w:t>分</w:t>
            </w:r>
          </w:p>
        </w:tc>
        <w:tc>
          <w:tcPr>
            <w:tcW w:w="5548" w:type="dxa"/>
            <w:noWrap w:val="0"/>
            <w:vAlign w:val="center"/>
          </w:tcPr>
          <w:p>
            <w:pPr>
              <w:spacing w:line="380" w:lineRule="exact"/>
              <w:jc w:val="left"/>
              <w:rPr>
                <w:rFonts w:ascii="宋体" w:eastAsia="宋体"/>
                <w:b w:val="0"/>
                <w:color w:val="auto"/>
                <w:spacing w:val="-6"/>
                <w:sz w:val="22"/>
                <w:szCs w:val="22"/>
                <w:highlight w:val="none"/>
                <w:lang w:val="zh-CN"/>
              </w:rPr>
            </w:pPr>
            <w:r>
              <w:rPr>
                <w:rFonts w:hint="eastAsia" w:ascii="宋体" w:eastAsia="宋体"/>
                <w:b w:val="0"/>
                <w:color w:val="auto"/>
                <w:spacing w:val="-6"/>
                <w:sz w:val="22"/>
                <w:szCs w:val="22"/>
                <w:highlight w:val="none"/>
                <w:lang w:val="zh-CN"/>
              </w:rPr>
              <w:t>现场讲解及</w:t>
            </w:r>
            <w:r>
              <w:rPr>
                <w:rFonts w:hint="eastAsia" w:ascii="宋体" w:eastAsia="宋体"/>
                <w:b w:val="0"/>
                <w:bCs/>
                <w:color w:val="auto"/>
                <w:spacing w:val="-6"/>
                <w:sz w:val="22"/>
                <w:szCs w:val="22"/>
                <w:highlight w:val="none"/>
                <w:lang w:val="zh-CN"/>
              </w:rPr>
              <w:t>答辩：（无现场讲解及答辩不得分）现</w:t>
            </w:r>
            <w:r>
              <w:rPr>
                <w:rFonts w:hint="eastAsia" w:ascii="宋体" w:eastAsia="宋体"/>
                <w:b w:val="0"/>
                <w:color w:val="auto"/>
                <w:spacing w:val="-6"/>
                <w:sz w:val="22"/>
                <w:szCs w:val="22"/>
                <w:highlight w:val="none"/>
                <w:lang w:val="zh-CN"/>
              </w:rPr>
              <w:t>场讲解及答辩时间不超过</w:t>
            </w:r>
            <w:r>
              <w:rPr>
                <w:rFonts w:ascii="宋体" w:eastAsia="宋体"/>
                <w:b w:val="0"/>
                <w:color w:val="auto"/>
                <w:spacing w:val="-6"/>
                <w:sz w:val="22"/>
                <w:szCs w:val="22"/>
                <w:highlight w:val="none"/>
                <w:lang w:val="zh-CN"/>
              </w:rPr>
              <w:t>15分钟</w:t>
            </w:r>
          </w:p>
          <w:p>
            <w:pPr>
              <w:widowControl/>
              <w:adjustRightInd w:val="0"/>
              <w:snapToGrid w:val="0"/>
              <w:spacing w:line="380" w:lineRule="exact"/>
              <w:rPr>
                <w:rFonts w:ascii="宋体" w:eastAsia="宋体"/>
                <w:b w:val="0"/>
                <w:color w:val="auto"/>
                <w:spacing w:val="-6"/>
                <w:sz w:val="22"/>
                <w:szCs w:val="22"/>
                <w:highlight w:val="none"/>
              </w:rPr>
            </w:pPr>
            <w:r>
              <w:rPr>
                <w:rFonts w:ascii="宋体" w:eastAsia="宋体"/>
                <w:b w:val="0"/>
                <w:color w:val="auto"/>
                <w:spacing w:val="-6"/>
                <w:sz w:val="22"/>
                <w:szCs w:val="22"/>
                <w:highlight w:val="none"/>
              </w:rPr>
              <w:t>1.</w:t>
            </w:r>
            <w:r>
              <w:rPr>
                <w:rFonts w:hint="eastAsia" w:ascii="宋体" w:eastAsia="宋体"/>
                <w:b w:val="0"/>
                <w:color w:val="auto"/>
                <w:spacing w:val="-6"/>
                <w:sz w:val="22"/>
                <w:szCs w:val="22"/>
                <w:highlight w:val="none"/>
                <w:lang w:val="zh-CN"/>
              </w:rPr>
              <w:t>根据供应商现场对本项目的理解，</w:t>
            </w:r>
            <w:r>
              <w:rPr>
                <w:rFonts w:ascii="宋体" w:eastAsia="宋体"/>
                <w:b w:val="0"/>
                <w:color w:val="auto"/>
                <w:spacing w:val="-6"/>
                <w:sz w:val="22"/>
                <w:szCs w:val="22"/>
                <w:highlight w:val="none"/>
              </w:rPr>
              <w:t>0-</w:t>
            </w:r>
            <w:r>
              <w:rPr>
                <w:rFonts w:hint="eastAsia" w:ascii="宋体" w:eastAsia="宋体"/>
                <w:b w:val="0"/>
                <w:color w:val="auto"/>
                <w:spacing w:val="-6"/>
                <w:sz w:val="22"/>
                <w:szCs w:val="22"/>
                <w:highlight w:val="none"/>
                <w:lang w:val="en-US" w:eastAsia="zh-CN"/>
              </w:rPr>
              <w:t>4</w:t>
            </w:r>
            <w:r>
              <w:rPr>
                <w:rFonts w:hint="eastAsia" w:ascii="宋体" w:eastAsia="宋体"/>
                <w:b w:val="0"/>
                <w:color w:val="auto"/>
                <w:spacing w:val="-6"/>
                <w:sz w:val="22"/>
                <w:szCs w:val="22"/>
                <w:highlight w:val="none"/>
              </w:rPr>
              <w:t>分</w:t>
            </w:r>
          </w:p>
          <w:p>
            <w:pPr>
              <w:widowControl/>
              <w:adjustRightInd w:val="0"/>
              <w:snapToGrid w:val="0"/>
              <w:spacing w:line="380" w:lineRule="exact"/>
              <w:rPr>
                <w:rFonts w:ascii="宋体" w:eastAsia="宋体"/>
                <w:b w:val="0"/>
                <w:color w:val="auto"/>
                <w:spacing w:val="-6"/>
                <w:sz w:val="22"/>
                <w:szCs w:val="22"/>
                <w:highlight w:val="none"/>
                <w:lang w:val="zh-CN"/>
              </w:rPr>
            </w:pPr>
            <w:r>
              <w:rPr>
                <w:rFonts w:ascii="宋体" w:eastAsia="宋体"/>
                <w:b w:val="0"/>
                <w:color w:val="auto"/>
                <w:spacing w:val="-6"/>
                <w:sz w:val="22"/>
                <w:szCs w:val="22"/>
                <w:highlight w:val="none"/>
              </w:rPr>
              <w:t>2.</w:t>
            </w:r>
            <w:r>
              <w:rPr>
                <w:rFonts w:hint="eastAsia" w:ascii="宋体" w:eastAsia="宋体"/>
                <w:b w:val="0"/>
                <w:color w:val="auto"/>
                <w:spacing w:val="-6"/>
                <w:sz w:val="22"/>
                <w:szCs w:val="22"/>
                <w:highlight w:val="none"/>
                <w:lang w:val="zh-CN"/>
              </w:rPr>
              <w:t>项目整体方案，</w:t>
            </w:r>
            <w:r>
              <w:rPr>
                <w:rFonts w:ascii="宋体" w:eastAsia="宋体"/>
                <w:b w:val="0"/>
                <w:color w:val="auto"/>
                <w:spacing w:val="-6"/>
                <w:sz w:val="22"/>
                <w:szCs w:val="22"/>
                <w:highlight w:val="none"/>
                <w:lang w:val="zh-CN"/>
              </w:rPr>
              <w:t>0-4分；</w:t>
            </w:r>
          </w:p>
          <w:p>
            <w:pPr>
              <w:widowControl/>
              <w:adjustRightInd w:val="0"/>
              <w:snapToGrid w:val="0"/>
              <w:spacing w:line="380" w:lineRule="exact"/>
              <w:rPr>
                <w:rFonts w:ascii="宋体" w:eastAsia="宋体"/>
                <w:b w:val="0"/>
                <w:color w:val="auto"/>
                <w:spacing w:val="-6"/>
                <w:sz w:val="22"/>
                <w:szCs w:val="22"/>
                <w:highlight w:val="none"/>
              </w:rPr>
            </w:pPr>
            <w:r>
              <w:rPr>
                <w:rFonts w:ascii="宋体" w:eastAsia="宋体"/>
                <w:b w:val="0"/>
                <w:color w:val="auto"/>
                <w:spacing w:val="-6"/>
                <w:sz w:val="22"/>
                <w:szCs w:val="22"/>
                <w:highlight w:val="none"/>
                <w:lang w:val="zh-CN"/>
              </w:rPr>
              <w:t>3.项目</w:t>
            </w:r>
            <w:r>
              <w:rPr>
                <w:rFonts w:hint="eastAsia" w:ascii="宋体" w:eastAsia="宋体"/>
                <w:b w:val="0"/>
                <w:color w:val="auto"/>
                <w:spacing w:val="-6"/>
                <w:sz w:val="22"/>
                <w:szCs w:val="22"/>
                <w:highlight w:val="none"/>
                <w:lang w:val="zh-CN"/>
              </w:rPr>
              <w:t>细节讲解情况，</w:t>
            </w:r>
            <w:r>
              <w:rPr>
                <w:rFonts w:ascii="宋体" w:eastAsia="宋体"/>
                <w:b w:val="0"/>
                <w:color w:val="auto"/>
                <w:spacing w:val="-6"/>
                <w:sz w:val="22"/>
                <w:szCs w:val="22"/>
                <w:highlight w:val="none"/>
              </w:rPr>
              <w:t>0-</w:t>
            </w:r>
            <w:r>
              <w:rPr>
                <w:rFonts w:hint="eastAsia" w:ascii="宋体" w:eastAsia="宋体"/>
                <w:b w:val="0"/>
                <w:color w:val="auto"/>
                <w:spacing w:val="-6"/>
                <w:sz w:val="22"/>
                <w:szCs w:val="22"/>
                <w:highlight w:val="none"/>
                <w:lang w:val="en-US" w:eastAsia="zh-CN"/>
              </w:rPr>
              <w:t>4</w:t>
            </w:r>
            <w:r>
              <w:rPr>
                <w:rFonts w:hint="eastAsia" w:ascii="宋体" w:eastAsia="宋体"/>
                <w:b w:val="0"/>
                <w:color w:val="auto"/>
                <w:spacing w:val="-6"/>
                <w:sz w:val="22"/>
                <w:szCs w:val="22"/>
                <w:highlight w:val="none"/>
              </w:rPr>
              <w:t>分</w:t>
            </w:r>
          </w:p>
          <w:p>
            <w:pPr>
              <w:widowControl/>
              <w:adjustRightInd w:val="0"/>
              <w:snapToGrid w:val="0"/>
              <w:spacing w:line="380" w:lineRule="exact"/>
              <w:rPr>
                <w:rFonts w:ascii="宋体" w:eastAsia="宋体"/>
                <w:b w:val="0"/>
                <w:color w:val="auto"/>
                <w:spacing w:val="-6"/>
                <w:sz w:val="22"/>
                <w:szCs w:val="22"/>
                <w:highlight w:val="none"/>
              </w:rPr>
            </w:pPr>
            <w:r>
              <w:rPr>
                <w:rFonts w:ascii="宋体" w:eastAsia="宋体"/>
                <w:b w:val="0"/>
                <w:color w:val="auto"/>
                <w:spacing w:val="-6"/>
                <w:sz w:val="22"/>
                <w:szCs w:val="22"/>
                <w:highlight w:val="none"/>
              </w:rPr>
              <w:t>4.</w:t>
            </w:r>
            <w:r>
              <w:rPr>
                <w:rFonts w:hint="eastAsia" w:ascii="宋体" w:eastAsia="宋体"/>
                <w:b w:val="0"/>
                <w:color w:val="auto"/>
                <w:spacing w:val="-6"/>
                <w:sz w:val="22"/>
                <w:szCs w:val="22"/>
                <w:highlight w:val="none"/>
                <w:lang w:val="zh-CN"/>
              </w:rPr>
              <w:t>回答评标专家的提问情况（完整性、</w:t>
            </w:r>
            <w:r>
              <w:rPr>
                <w:rFonts w:hint="eastAsia" w:ascii="宋体" w:eastAsia="宋体"/>
                <w:b w:val="0"/>
                <w:color w:val="auto"/>
                <w:spacing w:val="-6"/>
                <w:sz w:val="22"/>
                <w:szCs w:val="22"/>
                <w:highlight w:val="none"/>
                <w:lang w:val="en-US" w:eastAsia="zh-CN"/>
              </w:rPr>
              <w:t>专业</w:t>
            </w:r>
            <w:r>
              <w:rPr>
                <w:rFonts w:hint="eastAsia" w:ascii="宋体" w:eastAsia="宋体"/>
                <w:b w:val="0"/>
                <w:color w:val="auto"/>
                <w:spacing w:val="-6"/>
                <w:sz w:val="22"/>
                <w:szCs w:val="22"/>
                <w:highlight w:val="none"/>
                <w:lang w:val="zh-CN"/>
              </w:rPr>
              <w:t>度等），</w:t>
            </w:r>
            <w:r>
              <w:rPr>
                <w:rFonts w:ascii="宋体" w:eastAsia="宋体"/>
                <w:b w:val="0"/>
                <w:color w:val="auto"/>
                <w:spacing w:val="-6"/>
                <w:sz w:val="22"/>
                <w:szCs w:val="22"/>
                <w:highlight w:val="none"/>
              </w:rPr>
              <w:t>0-</w:t>
            </w:r>
            <w:r>
              <w:rPr>
                <w:rFonts w:hint="eastAsia" w:ascii="宋体" w:eastAsia="宋体"/>
                <w:b w:val="0"/>
                <w:color w:val="auto"/>
                <w:spacing w:val="-6"/>
                <w:sz w:val="22"/>
                <w:szCs w:val="22"/>
                <w:highlight w:val="none"/>
                <w:lang w:val="en-US" w:eastAsia="zh-CN"/>
              </w:rPr>
              <w:t>4</w:t>
            </w:r>
            <w:r>
              <w:rPr>
                <w:rFonts w:hint="eastAsia" w:ascii="宋体" w:eastAsia="宋体"/>
                <w:b w:val="0"/>
                <w:color w:val="auto"/>
                <w:spacing w:val="-6"/>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4" w:type="dxa"/>
            <w:vMerge w:val="restart"/>
            <w:noWrap w:val="0"/>
            <w:vAlign w:val="center"/>
          </w:tcPr>
          <w:p>
            <w:pPr>
              <w:spacing w:line="360" w:lineRule="auto"/>
              <w:ind w:right="3" w:firstLine="110" w:firstLineChars="50"/>
              <w:jc w:val="center"/>
              <w:rPr>
                <w:rFonts w:ascii="宋体" w:eastAsia="宋体"/>
                <w:b w:val="0"/>
                <w:color w:val="auto"/>
                <w:sz w:val="22"/>
                <w:szCs w:val="22"/>
                <w:highlight w:val="none"/>
              </w:rPr>
            </w:pPr>
            <w:r>
              <w:rPr>
                <w:rFonts w:hint="eastAsia" w:ascii="宋体" w:eastAsia="宋体"/>
                <w:b w:val="0"/>
                <w:color w:val="auto"/>
                <w:sz w:val="22"/>
                <w:szCs w:val="22"/>
                <w:highlight w:val="none"/>
              </w:rPr>
              <w:t>8</w:t>
            </w:r>
          </w:p>
        </w:tc>
        <w:tc>
          <w:tcPr>
            <w:tcW w:w="2014" w:type="dxa"/>
            <w:vMerge w:val="restart"/>
            <w:noWrap w:val="0"/>
            <w:vAlign w:val="center"/>
          </w:tcPr>
          <w:p>
            <w:pPr>
              <w:spacing w:line="380" w:lineRule="exact"/>
              <w:jc w:val="center"/>
              <w:rPr>
                <w:rFonts w:ascii="宋体" w:eastAsia="宋体" w:cs="Arial"/>
                <w:b w:val="0"/>
                <w:color w:val="auto"/>
                <w:kern w:val="28"/>
                <w:sz w:val="22"/>
                <w:szCs w:val="22"/>
                <w:highlight w:val="none"/>
              </w:rPr>
            </w:pPr>
            <w:r>
              <w:rPr>
                <w:rFonts w:hint="eastAsia" w:ascii="宋体" w:eastAsia="宋体"/>
                <w:b w:val="0"/>
                <w:color w:val="auto"/>
                <w:sz w:val="22"/>
                <w:szCs w:val="22"/>
                <w:highlight w:val="none"/>
                <w:lang w:val="zh-CN"/>
              </w:rPr>
              <w:t>项目投入人员情况</w:t>
            </w:r>
          </w:p>
        </w:tc>
        <w:tc>
          <w:tcPr>
            <w:tcW w:w="1164" w:type="dxa"/>
            <w:noWrap w:val="0"/>
            <w:vAlign w:val="center"/>
          </w:tcPr>
          <w:p>
            <w:pPr>
              <w:spacing w:line="380" w:lineRule="exact"/>
              <w:jc w:val="center"/>
              <w:rPr>
                <w:rFonts w:ascii="宋体" w:eastAsia="宋体"/>
                <w:b w:val="0"/>
                <w:color w:val="auto"/>
                <w:sz w:val="22"/>
                <w:szCs w:val="22"/>
                <w:highlight w:val="none"/>
              </w:rPr>
            </w:pPr>
            <w:r>
              <w:rPr>
                <w:rFonts w:hint="eastAsia" w:ascii="宋体" w:eastAsia="宋体"/>
                <w:b w:val="0"/>
                <w:color w:val="auto"/>
                <w:spacing w:val="-6"/>
                <w:sz w:val="22"/>
                <w:szCs w:val="22"/>
                <w:highlight w:val="none"/>
              </w:rPr>
              <w:t>0-</w:t>
            </w:r>
            <w:r>
              <w:rPr>
                <w:rFonts w:hint="eastAsia" w:ascii="宋体" w:eastAsia="宋体"/>
                <w:b w:val="0"/>
                <w:color w:val="auto"/>
                <w:spacing w:val="-6"/>
                <w:sz w:val="22"/>
                <w:szCs w:val="22"/>
                <w:highlight w:val="none"/>
                <w:lang w:val="en-US" w:eastAsia="zh-CN"/>
              </w:rPr>
              <w:t>9</w:t>
            </w:r>
            <w:r>
              <w:rPr>
                <w:rFonts w:hint="eastAsia" w:ascii="宋体" w:eastAsia="宋体"/>
                <w:b w:val="0"/>
                <w:color w:val="auto"/>
                <w:sz w:val="22"/>
                <w:szCs w:val="22"/>
                <w:highlight w:val="none"/>
              </w:rPr>
              <w:t>分</w:t>
            </w:r>
          </w:p>
        </w:tc>
        <w:tc>
          <w:tcPr>
            <w:tcW w:w="5548" w:type="dxa"/>
            <w:noWrap w:val="0"/>
            <w:vAlign w:val="center"/>
          </w:tcPr>
          <w:p>
            <w:pPr>
              <w:widowControl/>
              <w:adjustRightInd w:val="0"/>
              <w:snapToGrid w:val="0"/>
              <w:spacing w:line="380" w:lineRule="exact"/>
              <w:rPr>
                <w:rFonts w:ascii="宋体" w:eastAsia="宋体"/>
                <w:b w:val="0"/>
                <w:color w:val="auto"/>
                <w:spacing w:val="-6"/>
                <w:sz w:val="22"/>
                <w:szCs w:val="22"/>
                <w:highlight w:val="none"/>
                <w:lang w:val="zh-CN"/>
              </w:rPr>
            </w:pPr>
            <w:r>
              <w:rPr>
                <w:rFonts w:hint="eastAsia" w:ascii="宋体" w:eastAsia="宋体"/>
                <w:b w:val="0"/>
                <w:color w:val="auto"/>
                <w:spacing w:val="-6"/>
                <w:sz w:val="22"/>
                <w:szCs w:val="22"/>
                <w:highlight w:val="none"/>
              </w:rPr>
              <w:t>1.</w:t>
            </w:r>
            <w:r>
              <w:rPr>
                <w:rFonts w:hint="eastAsia" w:ascii="宋体" w:eastAsia="宋体"/>
                <w:b w:val="0"/>
                <w:color w:val="auto"/>
                <w:spacing w:val="-6"/>
                <w:sz w:val="22"/>
                <w:szCs w:val="22"/>
                <w:highlight w:val="none"/>
                <w:lang w:val="zh-CN"/>
              </w:rPr>
              <w:t>项目负责人的专业程度，</w:t>
            </w:r>
            <w:r>
              <w:rPr>
                <w:rFonts w:hint="eastAsia" w:ascii="宋体" w:eastAsia="宋体"/>
                <w:b w:val="0"/>
                <w:color w:val="auto"/>
                <w:spacing w:val="-6"/>
                <w:sz w:val="22"/>
                <w:szCs w:val="22"/>
                <w:highlight w:val="none"/>
              </w:rPr>
              <w:t>0-3分</w:t>
            </w:r>
          </w:p>
          <w:p>
            <w:pPr>
              <w:widowControl/>
              <w:adjustRightInd w:val="0"/>
              <w:snapToGrid w:val="0"/>
              <w:spacing w:line="380" w:lineRule="exact"/>
              <w:rPr>
                <w:rFonts w:ascii="宋体" w:eastAsia="宋体"/>
                <w:b w:val="0"/>
                <w:color w:val="auto"/>
                <w:spacing w:val="-6"/>
                <w:sz w:val="22"/>
                <w:szCs w:val="22"/>
                <w:highlight w:val="none"/>
                <w:lang w:val="zh-CN"/>
              </w:rPr>
            </w:pPr>
            <w:r>
              <w:rPr>
                <w:rFonts w:hint="eastAsia" w:ascii="宋体" w:eastAsia="宋体"/>
                <w:b w:val="0"/>
                <w:color w:val="auto"/>
                <w:spacing w:val="-6"/>
                <w:sz w:val="22"/>
                <w:szCs w:val="22"/>
                <w:highlight w:val="none"/>
              </w:rPr>
              <w:t>2.</w:t>
            </w:r>
            <w:r>
              <w:rPr>
                <w:rFonts w:hint="eastAsia" w:ascii="宋体" w:eastAsia="宋体"/>
                <w:b w:val="0"/>
                <w:color w:val="auto"/>
                <w:spacing w:val="-6"/>
                <w:sz w:val="22"/>
                <w:szCs w:val="22"/>
                <w:highlight w:val="none"/>
                <w:lang w:val="zh-CN"/>
              </w:rPr>
              <w:t>项目负责人的技术能力，</w:t>
            </w:r>
            <w:r>
              <w:rPr>
                <w:rFonts w:hint="eastAsia" w:ascii="宋体" w:eastAsia="宋体"/>
                <w:b w:val="0"/>
                <w:color w:val="auto"/>
                <w:spacing w:val="-6"/>
                <w:sz w:val="22"/>
                <w:szCs w:val="22"/>
                <w:highlight w:val="none"/>
              </w:rPr>
              <w:t>0-3分</w:t>
            </w:r>
          </w:p>
          <w:p>
            <w:pPr>
              <w:widowControl/>
              <w:adjustRightInd w:val="0"/>
              <w:snapToGrid w:val="0"/>
              <w:spacing w:line="380" w:lineRule="exact"/>
              <w:rPr>
                <w:rFonts w:ascii="宋体" w:eastAsia="宋体"/>
                <w:color w:val="auto"/>
                <w:sz w:val="22"/>
                <w:szCs w:val="22"/>
                <w:highlight w:val="none"/>
              </w:rPr>
            </w:pPr>
            <w:r>
              <w:rPr>
                <w:rFonts w:hint="eastAsia" w:ascii="宋体" w:eastAsia="宋体"/>
                <w:b w:val="0"/>
                <w:color w:val="auto"/>
                <w:spacing w:val="-6"/>
                <w:sz w:val="22"/>
                <w:szCs w:val="22"/>
                <w:highlight w:val="none"/>
              </w:rPr>
              <w:t>3.</w:t>
            </w:r>
            <w:r>
              <w:rPr>
                <w:rFonts w:hint="eastAsia" w:ascii="宋体" w:eastAsia="宋体"/>
                <w:b w:val="0"/>
                <w:color w:val="auto"/>
                <w:spacing w:val="-6"/>
                <w:sz w:val="22"/>
                <w:szCs w:val="22"/>
                <w:highlight w:val="none"/>
                <w:lang w:val="zh-CN"/>
              </w:rPr>
              <w:t>项目负责人的经验，</w:t>
            </w:r>
            <w:r>
              <w:rPr>
                <w:rFonts w:hint="eastAsia" w:ascii="宋体" w:eastAsia="宋体"/>
                <w:b w:val="0"/>
                <w:color w:val="auto"/>
                <w:spacing w:val="-6"/>
                <w:sz w:val="22"/>
                <w:szCs w:val="22"/>
                <w:highlight w:val="none"/>
              </w:rPr>
              <w:t>0-</w:t>
            </w:r>
            <w:r>
              <w:rPr>
                <w:rFonts w:hint="eastAsia" w:ascii="宋体" w:eastAsia="宋体"/>
                <w:b w:val="0"/>
                <w:color w:val="auto"/>
                <w:spacing w:val="-6"/>
                <w:sz w:val="22"/>
                <w:szCs w:val="22"/>
                <w:highlight w:val="none"/>
                <w:lang w:val="en-US" w:eastAsia="zh-CN"/>
              </w:rPr>
              <w:t>3</w:t>
            </w:r>
            <w:r>
              <w:rPr>
                <w:rFonts w:hint="eastAsia" w:ascii="宋体" w:eastAsia="宋体"/>
                <w:b w:val="0"/>
                <w:color w:val="auto"/>
                <w:spacing w:val="-6"/>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54" w:type="dxa"/>
            <w:vMerge w:val="continue"/>
            <w:noWrap w:val="0"/>
            <w:vAlign w:val="center"/>
          </w:tcPr>
          <w:p>
            <w:pPr>
              <w:spacing w:line="360" w:lineRule="auto"/>
              <w:ind w:right="3" w:firstLine="110" w:firstLineChars="50"/>
              <w:jc w:val="center"/>
              <w:rPr>
                <w:rFonts w:ascii="宋体" w:eastAsia="宋体"/>
                <w:b w:val="0"/>
                <w:color w:val="auto"/>
                <w:sz w:val="22"/>
                <w:szCs w:val="22"/>
                <w:highlight w:val="none"/>
              </w:rPr>
            </w:pPr>
          </w:p>
        </w:tc>
        <w:tc>
          <w:tcPr>
            <w:tcW w:w="2014" w:type="dxa"/>
            <w:vMerge w:val="continue"/>
            <w:noWrap w:val="0"/>
            <w:vAlign w:val="center"/>
          </w:tcPr>
          <w:p>
            <w:pPr>
              <w:spacing w:line="380" w:lineRule="exact"/>
              <w:jc w:val="center"/>
              <w:rPr>
                <w:rFonts w:ascii="宋体" w:eastAsia="宋体"/>
                <w:b w:val="0"/>
                <w:color w:val="auto"/>
                <w:sz w:val="22"/>
                <w:szCs w:val="22"/>
                <w:highlight w:val="none"/>
                <w:lang w:val="zh-CN"/>
              </w:rPr>
            </w:pPr>
          </w:p>
        </w:tc>
        <w:tc>
          <w:tcPr>
            <w:tcW w:w="1164" w:type="dxa"/>
            <w:noWrap w:val="0"/>
            <w:vAlign w:val="center"/>
          </w:tcPr>
          <w:p>
            <w:pPr>
              <w:spacing w:line="380" w:lineRule="exact"/>
              <w:jc w:val="center"/>
              <w:rPr>
                <w:rFonts w:ascii="宋体" w:eastAsia="宋体"/>
                <w:b w:val="0"/>
                <w:color w:val="auto"/>
                <w:spacing w:val="-6"/>
                <w:sz w:val="22"/>
                <w:szCs w:val="22"/>
                <w:highlight w:val="none"/>
              </w:rPr>
            </w:pPr>
            <w:r>
              <w:rPr>
                <w:rFonts w:hint="eastAsia" w:ascii="宋体" w:eastAsia="宋体"/>
                <w:b w:val="0"/>
                <w:color w:val="auto"/>
                <w:spacing w:val="-6"/>
                <w:sz w:val="22"/>
                <w:szCs w:val="22"/>
                <w:highlight w:val="none"/>
              </w:rPr>
              <w:t>0-</w:t>
            </w:r>
            <w:r>
              <w:rPr>
                <w:rFonts w:hint="eastAsia" w:ascii="宋体" w:eastAsia="宋体"/>
                <w:b w:val="0"/>
                <w:color w:val="auto"/>
                <w:spacing w:val="-6"/>
                <w:sz w:val="22"/>
                <w:szCs w:val="22"/>
                <w:highlight w:val="none"/>
                <w:lang w:val="en-US" w:eastAsia="zh-CN"/>
              </w:rPr>
              <w:t>9</w:t>
            </w:r>
            <w:r>
              <w:rPr>
                <w:rFonts w:hint="eastAsia" w:ascii="宋体" w:eastAsia="宋体"/>
                <w:b w:val="0"/>
                <w:color w:val="auto"/>
                <w:sz w:val="22"/>
                <w:szCs w:val="22"/>
                <w:highlight w:val="none"/>
              </w:rPr>
              <w:t>分</w:t>
            </w:r>
          </w:p>
        </w:tc>
        <w:tc>
          <w:tcPr>
            <w:tcW w:w="5548" w:type="dxa"/>
            <w:noWrap w:val="0"/>
            <w:vAlign w:val="center"/>
          </w:tcPr>
          <w:p>
            <w:pPr>
              <w:pStyle w:val="2"/>
              <w:ind w:firstLine="0"/>
              <w:rPr>
                <w:rFonts w:ascii="宋体" w:hAnsi="宋体" w:eastAsia="宋体" w:cs="宋体"/>
                <w:bCs/>
                <w:color w:val="auto"/>
                <w:spacing w:val="-6"/>
                <w:kern w:val="0"/>
                <w:sz w:val="22"/>
                <w:szCs w:val="22"/>
                <w:highlight w:val="none"/>
              </w:rPr>
            </w:pPr>
            <w:r>
              <w:rPr>
                <w:rFonts w:hint="eastAsia" w:ascii="宋体" w:hAnsi="宋体" w:eastAsia="宋体" w:cs="宋体"/>
                <w:bCs/>
                <w:color w:val="auto"/>
                <w:spacing w:val="-6"/>
                <w:kern w:val="0"/>
                <w:sz w:val="22"/>
                <w:szCs w:val="22"/>
                <w:highlight w:val="none"/>
              </w:rPr>
              <w:t>1.具有导游证人员</w:t>
            </w:r>
            <w:r>
              <w:rPr>
                <w:rFonts w:hint="eastAsia" w:ascii="宋体" w:hAnsi="宋体" w:eastAsia="宋体" w:cs="宋体"/>
                <w:bCs/>
                <w:color w:val="auto"/>
                <w:spacing w:val="-6"/>
                <w:kern w:val="0"/>
                <w:sz w:val="22"/>
                <w:szCs w:val="22"/>
                <w:highlight w:val="none"/>
                <w:lang w:val="en-US" w:eastAsia="zh-CN"/>
              </w:rPr>
              <w:t>,高级的每人得2分，中级的每人得1分，初级的</w:t>
            </w:r>
            <w:r>
              <w:rPr>
                <w:rFonts w:hint="eastAsia" w:ascii="宋体" w:hAnsi="宋体" w:eastAsia="宋体" w:cs="宋体"/>
                <w:bCs/>
                <w:color w:val="auto"/>
                <w:spacing w:val="-6"/>
                <w:kern w:val="0"/>
                <w:sz w:val="22"/>
                <w:szCs w:val="22"/>
                <w:highlight w:val="none"/>
              </w:rPr>
              <w:t>得</w:t>
            </w:r>
            <w:r>
              <w:rPr>
                <w:rFonts w:ascii="宋体" w:hAnsi="宋体" w:eastAsia="宋体" w:cs="宋体"/>
                <w:bCs/>
                <w:color w:val="auto"/>
                <w:spacing w:val="-6"/>
                <w:kern w:val="0"/>
                <w:sz w:val="22"/>
                <w:szCs w:val="22"/>
                <w:highlight w:val="none"/>
              </w:rPr>
              <w:t>0.5分，本项最高得</w:t>
            </w:r>
            <w:r>
              <w:rPr>
                <w:rFonts w:hint="eastAsia" w:ascii="宋体" w:hAnsi="宋体" w:eastAsia="宋体" w:cs="宋体"/>
                <w:bCs/>
                <w:color w:val="auto"/>
                <w:spacing w:val="-6"/>
                <w:kern w:val="0"/>
                <w:sz w:val="22"/>
                <w:szCs w:val="22"/>
                <w:highlight w:val="none"/>
                <w:lang w:val="en-US" w:eastAsia="zh-CN"/>
              </w:rPr>
              <w:t>7</w:t>
            </w:r>
            <w:r>
              <w:rPr>
                <w:rFonts w:ascii="宋体" w:hAnsi="宋体" w:eastAsia="宋体" w:cs="宋体"/>
                <w:bCs/>
                <w:color w:val="auto"/>
                <w:spacing w:val="-6"/>
                <w:kern w:val="0"/>
                <w:sz w:val="22"/>
                <w:szCs w:val="22"/>
                <w:highlight w:val="none"/>
              </w:rPr>
              <w:t>分</w:t>
            </w:r>
            <w:r>
              <w:rPr>
                <w:rFonts w:ascii="宋体" w:hAnsi="宋体" w:eastAsia="宋体" w:cs="宋体"/>
                <w:bCs/>
                <w:color w:val="auto"/>
                <w:spacing w:val="-6"/>
                <w:kern w:val="0"/>
                <w:sz w:val="22"/>
                <w:szCs w:val="22"/>
                <w:highlight w:val="none"/>
              </w:rPr>
              <w:t>。以本单位缴纳社保人员名单为准，须提供近</w:t>
            </w:r>
            <w:r>
              <w:rPr>
                <w:rFonts w:hint="eastAsia" w:ascii="宋体" w:hAnsi="宋体" w:eastAsia="宋体" w:cs="宋体"/>
                <w:bCs/>
                <w:color w:val="auto"/>
                <w:spacing w:val="-6"/>
                <w:kern w:val="0"/>
                <w:sz w:val="22"/>
                <w:szCs w:val="22"/>
                <w:highlight w:val="none"/>
                <w:lang w:val="en-US" w:eastAsia="zh-CN"/>
              </w:rPr>
              <w:t>六个月</w:t>
            </w:r>
            <w:r>
              <w:rPr>
                <w:rFonts w:ascii="宋体" w:hAnsi="宋体" w:eastAsia="宋体" w:cs="宋体"/>
                <w:bCs/>
                <w:color w:val="auto"/>
                <w:spacing w:val="-6"/>
                <w:kern w:val="0"/>
                <w:sz w:val="22"/>
                <w:szCs w:val="22"/>
                <w:highlight w:val="none"/>
              </w:rPr>
              <w:t>社保部门出具的本单位缴纳的社保证明</w:t>
            </w:r>
            <w:r>
              <w:rPr>
                <w:rFonts w:hint="eastAsia" w:ascii="宋体" w:hAnsi="宋体" w:eastAsia="宋体" w:cs="宋体"/>
                <w:bCs/>
                <w:color w:val="auto"/>
                <w:spacing w:val="-6"/>
                <w:kern w:val="0"/>
                <w:sz w:val="22"/>
                <w:szCs w:val="22"/>
                <w:highlight w:val="none"/>
              </w:rPr>
              <w:t>扫描件（个人</w:t>
            </w:r>
            <w:r>
              <w:rPr>
                <w:rFonts w:ascii="宋体" w:hAnsi="宋体" w:eastAsia="宋体" w:cs="宋体"/>
                <w:bCs/>
                <w:color w:val="auto"/>
                <w:spacing w:val="-6"/>
                <w:kern w:val="0"/>
                <w:sz w:val="22"/>
                <w:szCs w:val="22"/>
                <w:highlight w:val="none"/>
              </w:rPr>
              <w:t>社保证明</w:t>
            </w:r>
            <w:r>
              <w:rPr>
                <w:rFonts w:hint="eastAsia" w:ascii="宋体" w:hAnsi="宋体" w:eastAsia="宋体" w:cs="宋体"/>
                <w:bCs/>
                <w:color w:val="auto"/>
                <w:spacing w:val="-6"/>
                <w:kern w:val="0"/>
                <w:sz w:val="22"/>
                <w:szCs w:val="22"/>
                <w:highlight w:val="none"/>
              </w:rPr>
              <w:t>）</w:t>
            </w:r>
            <w:r>
              <w:rPr>
                <w:rFonts w:ascii="宋体" w:hAnsi="宋体" w:eastAsia="宋体" w:cs="宋体"/>
                <w:bCs/>
                <w:color w:val="auto"/>
                <w:spacing w:val="-6"/>
                <w:kern w:val="0"/>
                <w:sz w:val="22"/>
                <w:szCs w:val="22"/>
                <w:highlight w:val="none"/>
              </w:rPr>
              <w:t>。</w:t>
            </w:r>
          </w:p>
          <w:p>
            <w:pPr>
              <w:pStyle w:val="2"/>
              <w:ind w:firstLine="0"/>
              <w:rPr>
                <w:rFonts w:ascii="宋体" w:hAnsi="宋体" w:eastAsia="宋体" w:cs="宋体"/>
                <w:bCs/>
                <w:color w:val="auto"/>
                <w:spacing w:val="-6"/>
                <w:kern w:val="0"/>
                <w:sz w:val="22"/>
                <w:szCs w:val="22"/>
                <w:highlight w:val="none"/>
              </w:rPr>
            </w:pPr>
            <w:r>
              <w:rPr>
                <w:rFonts w:hint="eastAsia" w:ascii="宋体" w:hAnsi="宋体" w:eastAsia="宋体" w:cs="宋体"/>
                <w:bCs/>
                <w:color w:val="auto"/>
                <w:spacing w:val="-6"/>
                <w:kern w:val="0"/>
                <w:sz w:val="22"/>
                <w:szCs w:val="22"/>
                <w:highlight w:val="none"/>
              </w:rPr>
              <w:t>2</w:t>
            </w:r>
            <w:r>
              <w:rPr>
                <w:rFonts w:ascii="宋体" w:hAnsi="宋体" w:eastAsia="宋体" w:cs="宋体"/>
                <w:bCs/>
                <w:color w:val="auto"/>
                <w:spacing w:val="-6"/>
                <w:kern w:val="0"/>
                <w:sz w:val="22"/>
                <w:szCs w:val="22"/>
                <w:highlight w:val="none"/>
              </w:rPr>
              <w:t>.</w:t>
            </w:r>
            <w:r>
              <w:rPr>
                <w:rFonts w:hint="eastAsia" w:ascii="宋体" w:hAnsi="宋体" w:eastAsia="宋体" w:cs="宋体"/>
                <w:bCs/>
                <w:color w:val="auto"/>
                <w:spacing w:val="-6"/>
                <w:kern w:val="0"/>
                <w:sz w:val="22"/>
                <w:szCs w:val="22"/>
                <w:highlight w:val="none"/>
              </w:rPr>
              <w:t>项目组人员综合素质、类似工作经验，0-</w:t>
            </w:r>
            <w:r>
              <w:rPr>
                <w:rFonts w:ascii="宋体" w:hAnsi="宋体" w:eastAsia="宋体" w:cs="宋体"/>
                <w:bCs/>
                <w:color w:val="auto"/>
                <w:spacing w:val="-6"/>
                <w:kern w:val="0"/>
                <w:sz w:val="22"/>
                <w:szCs w:val="22"/>
                <w:highlight w:val="none"/>
              </w:rPr>
              <w:t>2</w:t>
            </w:r>
            <w:r>
              <w:rPr>
                <w:rFonts w:hint="eastAsia" w:ascii="宋体" w:hAnsi="宋体" w:eastAsia="宋体" w:cs="宋体"/>
                <w:bCs/>
                <w:color w:val="auto"/>
                <w:spacing w:val="-6"/>
                <w:kern w:val="0"/>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4" w:type="dxa"/>
            <w:noWrap w:val="0"/>
            <w:vAlign w:val="center"/>
          </w:tcPr>
          <w:p>
            <w:pPr>
              <w:spacing w:line="360" w:lineRule="auto"/>
              <w:ind w:right="3" w:firstLine="110" w:firstLineChars="50"/>
              <w:jc w:val="center"/>
              <w:rPr>
                <w:rFonts w:ascii="宋体" w:eastAsia="宋体"/>
                <w:b w:val="0"/>
                <w:color w:val="auto"/>
                <w:sz w:val="22"/>
                <w:szCs w:val="22"/>
                <w:highlight w:val="none"/>
              </w:rPr>
            </w:pPr>
            <w:r>
              <w:rPr>
                <w:rFonts w:hint="eastAsia" w:ascii="宋体" w:eastAsia="宋体"/>
                <w:b w:val="0"/>
                <w:color w:val="auto"/>
                <w:sz w:val="22"/>
                <w:szCs w:val="22"/>
                <w:highlight w:val="none"/>
              </w:rPr>
              <w:t>9</w:t>
            </w:r>
          </w:p>
        </w:tc>
        <w:tc>
          <w:tcPr>
            <w:tcW w:w="2014" w:type="dxa"/>
            <w:noWrap w:val="0"/>
            <w:vAlign w:val="center"/>
          </w:tcPr>
          <w:p>
            <w:pPr>
              <w:spacing w:line="380" w:lineRule="exact"/>
              <w:jc w:val="center"/>
              <w:rPr>
                <w:rFonts w:ascii="宋体" w:eastAsia="宋体"/>
                <w:b w:val="0"/>
                <w:snapToGrid w:val="0"/>
                <w:color w:val="auto"/>
                <w:sz w:val="22"/>
                <w:szCs w:val="22"/>
                <w:highlight w:val="none"/>
              </w:rPr>
            </w:pPr>
            <w:r>
              <w:rPr>
                <w:rFonts w:hint="eastAsia" w:ascii="宋体" w:eastAsia="宋体"/>
                <w:b w:val="0"/>
                <w:color w:val="auto"/>
                <w:spacing w:val="-6"/>
                <w:sz w:val="22"/>
                <w:szCs w:val="22"/>
                <w:highlight w:val="none"/>
                <w:lang w:val="zh-CN"/>
              </w:rPr>
              <w:t>安全性保证</w:t>
            </w:r>
          </w:p>
        </w:tc>
        <w:tc>
          <w:tcPr>
            <w:tcW w:w="1164" w:type="dxa"/>
            <w:noWrap w:val="0"/>
            <w:vAlign w:val="center"/>
          </w:tcPr>
          <w:p>
            <w:pPr>
              <w:spacing w:line="380" w:lineRule="exact"/>
              <w:jc w:val="center"/>
              <w:rPr>
                <w:rFonts w:ascii="宋体" w:eastAsia="宋体"/>
                <w:b w:val="0"/>
                <w:snapToGrid w:val="0"/>
                <w:color w:val="auto"/>
                <w:sz w:val="22"/>
                <w:szCs w:val="22"/>
                <w:highlight w:val="none"/>
              </w:rPr>
            </w:pPr>
            <w:r>
              <w:rPr>
                <w:rFonts w:ascii="宋体" w:eastAsia="宋体"/>
                <w:b w:val="0"/>
                <w:color w:val="auto"/>
                <w:spacing w:val="-6"/>
                <w:sz w:val="22"/>
                <w:szCs w:val="22"/>
                <w:highlight w:val="none"/>
              </w:rPr>
              <w:t>0-</w:t>
            </w:r>
            <w:r>
              <w:rPr>
                <w:rFonts w:hint="eastAsia" w:ascii="宋体" w:eastAsia="宋体"/>
                <w:b w:val="0"/>
                <w:color w:val="auto"/>
                <w:spacing w:val="-6"/>
                <w:sz w:val="22"/>
                <w:szCs w:val="22"/>
                <w:highlight w:val="none"/>
                <w:lang w:val="en-US" w:eastAsia="zh-CN"/>
              </w:rPr>
              <w:t>3</w:t>
            </w:r>
            <w:r>
              <w:rPr>
                <w:rFonts w:hint="eastAsia" w:ascii="宋体" w:eastAsia="宋体"/>
                <w:b w:val="0"/>
                <w:color w:val="auto"/>
                <w:spacing w:val="-6"/>
                <w:sz w:val="22"/>
                <w:szCs w:val="22"/>
                <w:highlight w:val="none"/>
              </w:rPr>
              <w:t>分</w:t>
            </w:r>
          </w:p>
        </w:tc>
        <w:tc>
          <w:tcPr>
            <w:tcW w:w="5548" w:type="dxa"/>
            <w:noWrap w:val="0"/>
            <w:vAlign w:val="center"/>
          </w:tcPr>
          <w:p>
            <w:pPr>
              <w:spacing w:line="360" w:lineRule="exact"/>
              <w:rPr>
                <w:rFonts w:ascii="宋体" w:eastAsia="宋体" w:cs="Arial"/>
                <w:b w:val="0"/>
                <w:color w:val="auto"/>
                <w:sz w:val="22"/>
                <w:szCs w:val="22"/>
                <w:highlight w:val="none"/>
              </w:rPr>
            </w:pPr>
            <w:r>
              <w:rPr>
                <w:rFonts w:hint="eastAsia" w:ascii="宋体" w:eastAsia="宋体"/>
                <w:b w:val="0"/>
                <w:color w:val="auto"/>
                <w:spacing w:val="-6"/>
                <w:sz w:val="22"/>
                <w:szCs w:val="22"/>
                <w:highlight w:val="none"/>
                <w:lang w:val="zh-CN"/>
              </w:rPr>
              <w:t>根据出发前、疗养中、回程情况相应的安全措施方案</w:t>
            </w:r>
            <w:r>
              <w:rPr>
                <w:rFonts w:hint="eastAsia" w:ascii="宋体" w:eastAsia="宋体"/>
                <w:b w:val="0"/>
                <w:snapToGrid w:val="0"/>
                <w:color w:val="auto"/>
                <w:sz w:val="22"/>
                <w:szCs w:val="22"/>
                <w:highlight w:val="none"/>
              </w:rPr>
              <w:t>，</w:t>
            </w:r>
            <w:r>
              <w:rPr>
                <w:rFonts w:hint="eastAsia" w:ascii="宋体" w:eastAsia="宋体"/>
                <w:b w:val="0"/>
                <w:snapToGrid w:val="0"/>
                <w:color w:val="auto"/>
                <w:sz w:val="22"/>
                <w:szCs w:val="22"/>
                <w:highlight w:val="none"/>
              </w:rPr>
              <w:t>0-</w:t>
            </w:r>
            <w:r>
              <w:rPr>
                <w:rFonts w:hint="eastAsia" w:ascii="宋体" w:eastAsia="宋体"/>
                <w:b w:val="0"/>
                <w:snapToGrid w:val="0"/>
                <w:color w:val="auto"/>
                <w:sz w:val="22"/>
                <w:szCs w:val="22"/>
                <w:highlight w:val="none"/>
                <w:lang w:val="en-US" w:eastAsia="zh-CN"/>
              </w:rPr>
              <w:t>3</w:t>
            </w:r>
            <w:r>
              <w:rPr>
                <w:rFonts w:hint="eastAsia" w:ascii="宋体" w:eastAsia="宋体"/>
                <w:b w:val="0"/>
                <w:color w:val="auto"/>
                <w:kern w:val="28"/>
                <w:sz w:val="22"/>
                <w:szCs w:val="22"/>
                <w:highlight w:val="none"/>
              </w:rPr>
              <w:t>分</w:t>
            </w:r>
            <w:r>
              <w:rPr>
                <w:rFonts w:hint="eastAsia" w:ascii="宋体" w:eastAsia="宋体"/>
                <w:b w:val="0"/>
                <w:color w:val="auto"/>
                <w:kern w:val="28"/>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4" w:type="dxa"/>
            <w:noWrap w:val="0"/>
            <w:vAlign w:val="center"/>
          </w:tcPr>
          <w:p>
            <w:pPr>
              <w:spacing w:line="360" w:lineRule="auto"/>
              <w:ind w:right="3" w:firstLine="110" w:firstLineChars="50"/>
              <w:jc w:val="center"/>
              <w:rPr>
                <w:rFonts w:ascii="宋体" w:eastAsia="宋体"/>
                <w:b w:val="0"/>
                <w:color w:val="auto"/>
                <w:sz w:val="22"/>
                <w:szCs w:val="22"/>
                <w:highlight w:val="none"/>
              </w:rPr>
            </w:pPr>
            <w:r>
              <w:rPr>
                <w:rFonts w:hint="eastAsia" w:ascii="宋体" w:eastAsia="宋体"/>
                <w:b w:val="0"/>
                <w:color w:val="auto"/>
                <w:sz w:val="22"/>
                <w:szCs w:val="22"/>
                <w:highlight w:val="none"/>
              </w:rPr>
              <w:t>10</w:t>
            </w:r>
          </w:p>
        </w:tc>
        <w:tc>
          <w:tcPr>
            <w:tcW w:w="2014" w:type="dxa"/>
            <w:noWrap w:val="0"/>
            <w:vAlign w:val="center"/>
          </w:tcPr>
          <w:p>
            <w:pPr>
              <w:spacing w:line="380" w:lineRule="exact"/>
              <w:jc w:val="center"/>
              <w:rPr>
                <w:rFonts w:ascii="宋体" w:eastAsia="宋体"/>
                <w:b w:val="0"/>
                <w:snapToGrid w:val="0"/>
                <w:color w:val="auto"/>
                <w:sz w:val="22"/>
                <w:szCs w:val="22"/>
                <w:highlight w:val="none"/>
              </w:rPr>
            </w:pPr>
            <w:r>
              <w:rPr>
                <w:rFonts w:hint="eastAsia" w:ascii="宋体" w:eastAsia="宋体"/>
                <w:b w:val="0"/>
                <w:color w:val="auto"/>
                <w:spacing w:val="-6"/>
                <w:sz w:val="22"/>
                <w:szCs w:val="22"/>
                <w:highlight w:val="none"/>
              </w:rPr>
              <w:t>投诉处理</w:t>
            </w:r>
          </w:p>
        </w:tc>
        <w:tc>
          <w:tcPr>
            <w:tcW w:w="1164" w:type="dxa"/>
            <w:noWrap w:val="0"/>
            <w:vAlign w:val="center"/>
          </w:tcPr>
          <w:p>
            <w:pPr>
              <w:spacing w:line="380" w:lineRule="exact"/>
              <w:jc w:val="center"/>
              <w:rPr>
                <w:rFonts w:ascii="宋体" w:eastAsia="宋体"/>
                <w:b w:val="0"/>
                <w:snapToGrid w:val="0"/>
                <w:color w:val="auto"/>
                <w:sz w:val="22"/>
                <w:szCs w:val="22"/>
                <w:highlight w:val="none"/>
              </w:rPr>
            </w:pPr>
            <w:r>
              <w:rPr>
                <w:rFonts w:ascii="宋体" w:eastAsia="宋体"/>
                <w:b w:val="0"/>
                <w:color w:val="auto"/>
                <w:spacing w:val="-6"/>
                <w:sz w:val="22"/>
                <w:szCs w:val="22"/>
                <w:highlight w:val="none"/>
              </w:rPr>
              <w:t>0-2</w:t>
            </w:r>
            <w:r>
              <w:rPr>
                <w:rFonts w:hint="eastAsia" w:ascii="宋体" w:eastAsia="宋体"/>
                <w:b w:val="0"/>
                <w:color w:val="auto"/>
                <w:spacing w:val="-6"/>
                <w:sz w:val="22"/>
                <w:szCs w:val="22"/>
                <w:highlight w:val="none"/>
              </w:rPr>
              <w:t>分</w:t>
            </w:r>
          </w:p>
        </w:tc>
        <w:tc>
          <w:tcPr>
            <w:tcW w:w="5548" w:type="dxa"/>
            <w:noWrap w:val="0"/>
            <w:vAlign w:val="center"/>
          </w:tcPr>
          <w:p>
            <w:pPr>
              <w:spacing w:line="380" w:lineRule="exact"/>
              <w:jc w:val="left"/>
              <w:rPr>
                <w:rFonts w:ascii="宋体" w:eastAsia="宋体" w:cs="Arial"/>
                <w:b w:val="0"/>
                <w:color w:val="auto"/>
                <w:sz w:val="22"/>
                <w:szCs w:val="22"/>
                <w:highlight w:val="none"/>
              </w:rPr>
            </w:pPr>
            <w:r>
              <w:rPr>
                <w:rFonts w:hint="eastAsia" w:ascii="宋体" w:eastAsia="宋体"/>
                <w:b w:val="0"/>
                <w:color w:val="auto"/>
                <w:spacing w:val="-6"/>
                <w:sz w:val="22"/>
                <w:szCs w:val="22"/>
                <w:highlight w:val="none"/>
              </w:rPr>
              <w:t>日常投诉处理详细方案及可行性情况</w:t>
            </w:r>
            <w:r>
              <w:rPr>
                <w:rFonts w:hint="eastAsia" w:ascii="宋体" w:eastAsia="宋体"/>
                <w:b w:val="0"/>
                <w:snapToGrid w:val="0"/>
                <w:color w:val="auto"/>
                <w:sz w:val="22"/>
                <w:szCs w:val="22"/>
                <w:highlight w:val="none"/>
              </w:rPr>
              <w:t>，0-</w:t>
            </w:r>
            <w:r>
              <w:rPr>
                <w:rFonts w:ascii="宋体" w:eastAsia="宋体"/>
                <w:b w:val="0"/>
                <w:snapToGrid w:val="0"/>
                <w:color w:val="auto"/>
                <w:sz w:val="22"/>
                <w:szCs w:val="22"/>
                <w:highlight w:val="none"/>
              </w:rPr>
              <w:t>2</w:t>
            </w:r>
            <w:r>
              <w:rPr>
                <w:rFonts w:hint="eastAsia" w:ascii="宋体" w:eastAsia="宋体"/>
                <w:b w:val="0"/>
                <w:color w:val="auto"/>
                <w:kern w:val="28"/>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4" w:type="dxa"/>
            <w:noWrap w:val="0"/>
            <w:vAlign w:val="center"/>
          </w:tcPr>
          <w:p>
            <w:pPr>
              <w:spacing w:line="360" w:lineRule="auto"/>
              <w:ind w:right="3" w:firstLine="110" w:firstLineChars="50"/>
              <w:jc w:val="center"/>
              <w:rPr>
                <w:rFonts w:ascii="宋体" w:eastAsia="宋体"/>
                <w:b w:val="0"/>
                <w:color w:val="auto"/>
                <w:sz w:val="22"/>
                <w:szCs w:val="22"/>
                <w:highlight w:val="none"/>
              </w:rPr>
            </w:pPr>
            <w:r>
              <w:rPr>
                <w:rFonts w:hint="eastAsia" w:ascii="宋体" w:eastAsia="宋体"/>
                <w:b w:val="0"/>
                <w:color w:val="auto"/>
                <w:sz w:val="22"/>
                <w:szCs w:val="22"/>
                <w:highlight w:val="none"/>
              </w:rPr>
              <w:t>11</w:t>
            </w:r>
          </w:p>
        </w:tc>
        <w:tc>
          <w:tcPr>
            <w:tcW w:w="2014" w:type="dxa"/>
            <w:noWrap w:val="0"/>
            <w:vAlign w:val="center"/>
          </w:tcPr>
          <w:p>
            <w:pPr>
              <w:spacing w:line="380" w:lineRule="exact"/>
              <w:jc w:val="center"/>
              <w:rPr>
                <w:rFonts w:ascii="宋体" w:eastAsia="宋体"/>
                <w:b w:val="0"/>
                <w:snapToGrid w:val="0"/>
                <w:color w:val="auto"/>
                <w:sz w:val="22"/>
                <w:szCs w:val="22"/>
                <w:highlight w:val="none"/>
              </w:rPr>
            </w:pPr>
            <w:r>
              <w:rPr>
                <w:rFonts w:hint="eastAsia" w:ascii="宋体" w:eastAsia="宋体"/>
                <w:b w:val="0"/>
                <w:color w:val="auto"/>
                <w:spacing w:val="-6"/>
                <w:sz w:val="22"/>
                <w:szCs w:val="22"/>
                <w:highlight w:val="none"/>
              </w:rPr>
              <w:t>突发事件处理</w:t>
            </w:r>
          </w:p>
        </w:tc>
        <w:tc>
          <w:tcPr>
            <w:tcW w:w="1164" w:type="dxa"/>
            <w:noWrap w:val="0"/>
            <w:vAlign w:val="center"/>
          </w:tcPr>
          <w:p>
            <w:pPr>
              <w:spacing w:line="380" w:lineRule="exact"/>
              <w:jc w:val="center"/>
              <w:rPr>
                <w:rFonts w:ascii="宋体" w:eastAsia="宋体"/>
                <w:b w:val="0"/>
                <w:snapToGrid w:val="0"/>
                <w:color w:val="auto"/>
                <w:sz w:val="22"/>
                <w:szCs w:val="22"/>
                <w:highlight w:val="none"/>
              </w:rPr>
            </w:pPr>
            <w:r>
              <w:rPr>
                <w:rFonts w:hint="eastAsia" w:ascii="宋体" w:eastAsia="宋体"/>
                <w:b w:val="0"/>
                <w:color w:val="auto"/>
                <w:spacing w:val="-6"/>
                <w:sz w:val="22"/>
                <w:szCs w:val="22"/>
                <w:highlight w:val="none"/>
              </w:rPr>
              <w:t>0-</w:t>
            </w:r>
            <w:r>
              <w:rPr>
                <w:rFonts w:ascii="宋体" w:eastAsia="宋体"/>
                <w:b w:val="0"/>
                <w:color w:val="auto"/>
                <w:spacing w:val="-6"/>
                <w:sz w:val="22"/>
                <w:szCs w:val="22"/>
                <w:highlight w:val="none"/>
              </w:rPr>
              <w:t>2</w:t>
            </w:r>
            <w:r>
              <w:rPr>
                <w:rFonts w:hint="eastAsia" w:ascii="宋体" w:eastAsia="宋体"/>
                <w:b w:val="0"/>
                <w:color w:val="auto"/>
                <w:sz w:val="22"/>
                <w:szCs w:val="22"/>
                <w:highlight w:val="none"/>
              </w:rPr>
              <w:t>分</w:t>
            </w:r>
          </w:p>
        </w:tc>
        <w:tc>
          <w:tcPr>
            <w:tcW w:w="5548" w:type="dxa"/>
            <w:noWrap w:val="0"/>
            <w:vAlign w:val="center"/>
          </w:tcPr>
          <w:p>
            <w:pPr>
              <w:spacing w:line="380" w:lineRule="exact"/>
              <w:jc w:val="left"/>
              <w:rPr>
                <w:rFonts w:ascii="宋体" w:eastAsia="宋体" w:cs="Arial"/>
                <w:b w:val="0"/>
                <w:color w:val="auto"/>
                <w:sz w:val="22"/>
                <w:szCs w:val="22"/>
                <w:highlight w:val="none"/>
              </w:rPr>
            </w:pPr>
            <w:r>
              <w:rPr>
                <w:rFonts w:hint="eastAsia" w:ascii="宋体" w:eastAsia="宋体"/>
                <w:b w:val="0"/>
                <w:color w:val="auto"/>
                <w:spacing w:val="-6"/>
                <w:sz w:val="22"/>
                <w:szCs w:val="22"/>
                <w:highlight w:val="none"/>
              </w:rPr>
              <w:t>突发状况应对方案</w:t>
            </w:r>
            <w:r>
              <w:rPr>
                <w:rFonts w:hint="eastAsia" w:ascii="宋体" w:eastAsia="宋体"/>
                <w:b w:val="0"/>
                <w:snapToGrid w:val="0"/>
                <w:color w:val="auto"/>
                <w:sz w:val="22"/>
                <w:szCs w:val="22"/>
                <w:highlight w:val="none"/>
              </w:rPr>
              <w:t>，0-</w:t>
            </w:r>
            <w:r>
              <w:rPr>
                <w:rFonts w:ascii="宋体" w:eastAsia="宋体"/>
                <w:b w:val="0"/>
                <w:snapToGrid w:val="0"/>
                <w:color w:val="auto"/>
                <w:sz w:val="22"/>
                <w:szCs w:val="22"/>
                <w:highlight w:val="none"/>
              </w:rPr>
              <w:t>2</w:t>
            </w:r>
            <w:r>
              <w:rPr>
                <w:rFonts w:hint="eastAsia" w:ascii="宋体" w:eastAsia="宋体"/>
                <w:b w:val="0"/>
                <w:color w:val="auto"/>
                <w:kern w:val="28"/>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4" w:type="dxa"/>
            <w:noWrap w:val="0"/>
            <w:vAlign w:val="center"/>
          </w:tcPr>
          <w:p>
            <w:pPr>
              <w:spacing w:line="380" w:lineRule="exact"/>
              <w:jc w:val="center"/>
              <w:rPr>
                <w:rFonts w:ascii="宋体" w:eastAsia="宋体"/>
                <w:b w:val="0"/>
                <w:color w:val="auto"/>
                <w:spacing w:val="-6"/>
                <w:sz w:val="22"/>
                <w:szCs w:val="22"/>
                <w:highlight w:val="none"/>
              </w:rPr>
            </w:pPr>
            <w:r>
              <w:rPr>
                <w:rFonts w:hint="eastAsia" w:ascii="宋体" w:eastAsia="宋体"/>
                <w:b w:val="0"/>
                <w:color w:val="auto"/>
                <w:spacing w:val="-6"/>
                <w:sz w:val="22"/>
                <w:szCs w:val="22"/>
                <w:highlight w:val="none"/>
              </w:rPr>
              <w:t>12</w:t>
            </w:r>
          </w:p>
        </w:tc>
        <w:tc>
          <w:tcPr>
            <w:tcW w:w="2014" w:type="dxa"/>
            <w:noWrap w:val="0"/>
            <w:vAlign w:val="center"/>
          </w:tcPr>
          <w:p>
            <w:pPr>
              <w:spacing w:line="380" w:lineRule="exact"/>
              <w:jc w:val="center"/>
              <w:rPr>
                <w:rFonts w:ascii="宋体" w:eastAsia="宋体"/>
                <w:b w:val="0"/>
                <w:color w:val="auto"/>
                <w:spacing w:val="-6"/>
                <w:sz w:val="22"/>
                <w:szCs w:val="22"/>
                <w:highlight w:val="none"/>
              </w:rPr>
            </w:pPr>
            <w:r>
              <w:rPr>
                <w:rFonts w:hint="eastAsia" w:ascii="宋体" w:eastAsia="宋体"/>
                <w:b w:val="0"/>
                <w:color w:val="auto"/>
                <w:spacing w:val="-6"/>
                <w:sz w:val="22"/>
                <w:szCs w:val="22"/>
                <w:highlight w:val="none"/>
              </w:rPr>
              <w:t>服务便利性</w:t>
            </w:r>
          </w:p>
        </w:tc>
        <w:tc>
          <w:tcPr>
            <w:tcW w:w="1164" w:type="dxa"/>
            <w:noWrap w:val="0"/>
            <w:vAlign w:val="center"/>
          </w:tcPr>
          <w:p>
            <w:pPr>
              <w:spacing w:line="380" w:lineRule="exact"/>
              <w:jc w:val="center"/>
              <w:rPr>
                <w:rFonts w:ascii="宋体" w:eastAsia="宋体"/>
                <w:b w:val="0"/>
                <w:color w:val="auto"/>
                <w:spacing w:val="-6"/>
                <w:sz w:val="22"/>
                <w:szCs w:val="22"/>
                <w:highlight w:val="none"/>
              </w:rPr>
            </w:pPr>
            <w:r>
              <w:rPr>
                <w:rFonts w:hint="eastAsia" w:ascii="宋体" w:eastAsia="宋体"/>
                <w:b w:val="0"/>
                <w:color w:val="auto"/>
                <w:spacing w:val="-6"/>
                <w:sz w:val="22"/>
                <w:szCs w:val="22"/>
                <w:highlight w:val="none"/>
              </w:rPr>
              <w:t>0-</w:t>
            </w:r>
            <w:r>
              <w:rPr>
                <w:rFonts w:ascii="宋体" w:eastAsia="宋体"/>
                <w:b w:val="0"/>
                <w:color w:val="auto"/>
                <w:spacing w:val="-6"/>
                <w:sz w:val="22"/>
                <w:szCs w:val="22"/>
                <w:highlight w:val="none"/>
              </w:rPr>
              <w:t>8</w:t>
            </w:r>
            <w:r>
              <w:rPr>
                <w:rFonts w:hint="eastAsia" w:ascii="宋体" w:eastAsia="宋体"/>
                <w:b w:val="0"/>
                <w:color w:val="auto"/>
                <w:spacing w:val="-6"/>
                <w:sz w:val="22"/>
                <w:szCs w:val="22"/>
                <w:highlight w:val="none"/>
              </w:rPr>
              <w:t>分</w:t>
            </w:r>
          </w:p>
        </w:tc>
        <w:tc>
          <w:tcPr>
            <w:tcW w:w="5548" w:type="dxa"/>
            <w:noWrap w:val="0"/>
            <w:vAlign w:val="center"/>
          </w:tcPr>
          <w:p>
            <w:pPr>
              <w:spacing w:line="380" w:lineRule="exact"/>
              <w:jc w:val="left"/>
              <w:rPr>
                <w:rFonts w:ascii="宋体" w:eastAsia="宋体"/>
                <w:b w:val="0"/>
                <w:color w:val="auto"/>
                <w:spacing w:val="-6"/>
                <w:sz w:val="22"/>
                <w:szCs w:val="22"/>
                <w:highlight w:val="none"/>
              </w:rPr>
            </w:pPr>
            <w:r>
              <w:rPr>
                <w:rFonts w:hint="eastAsia" w:ascii="宋体" w:eastAsia="宋体"/>
                <w:b w:val="0"/>
                <w:color w:val="auto"/>
                <w:spacing w:val="-6"/>
                <w:sz w:val="22"/>
                <w:szCs w:val="22"/>
                <w:highlight w:val="none"/>
              </w:rPr>
              <w:t xml:space="preserve">根据供应商售后便利性服务： </w:t>
            </w:r>
          </w:p>
          <w:p>
            <w:pPr>
              <w:pStyle w:val="2"/>
              <w:ind w:firstLine="0"/>
              <w:rPr>
                <w:rFonts w:ascii="宋体" w:hAnsi="宋体" w:eastAsia="宋体"/>
                <w:bCs/>
                <w:color w:val="auto"/>
                <w:sz w:val="22"/>
                <w:szCs w:val="22"/>
                <w:highlight w:val="none"/>
              </w:rPr>
            </w:pPr>
            <w:r>
              <w:rPr>
                <w:rFonts w:hint="eastAsia" w:ascii="宋体" w:hAnsi="宋体" w:eastAsia="宋体" w:cs="宋体"/>
                <w:bCs/>
                <w:color w:val="auto"/>
                <w:spacing w:val="-6"/>
                <w:kern w:val="0"/>
                <w:sz w:val="22"/>
                <w:szCs w:val="22"/>
                <w:highlight w:val="none"/>
              </w:rPr>
              <w:t>距采购人最近的分社或服务网点介绍</w:t>
            </w:r>
            <w:r>
              <w:rPr>
                <w:rFonts w:hint="eastAsia" w:ascii="宋体" w:hAnsi="宋体" w:eastAsia="宋体" w:cs="宋体"/>
                <w:bCs/>
                <w:color w:val="auto"/>
                <w:spacing w:val="-6"/>
                <w:kern w:val="0"/>
                <w:sz w:val="22"/>
                <w:szCs w:val="22"/>
                <w:highlight w:val="none"/>
              </w:rPr>
              <w:t>（0-</w:t>
            </w:r>
            <w:r>
              <w:rPr>
                <w:rFonts w:hint="eastAsia" w:ascii="宋体" w:hAnsi="宋体" w:eastAsia="宋体" w:cs="宋体"/>
                <w:bCs/>
                <w:color w:val="auto"/>
                <w:spacing w:val="-6"/>
                <w:kern w:val="0"/>
                <w:sz w:val="22"/>
                <w:szCs w:val="22"/>
                <w:highlight w:val="none"/>
                <w:lang w:val="en-US" w:eastAsia="zh-CN"/>
              </w:rPr>
              <w:t>5</w:t>
            </w:r>
            <w:r>
              <w:rPr>
                <w:rFonts w:hint="eastAsia" w:ascii="宋体" w:hAnsi="宋体" w:eastAsia="宋体" w:cs="宋体"/>
                <w:bCs/>
                <w:color w:val="auto"/>
                <w:spacing w:val="-6"/>
                <w:kern w:val="0"/>
                <w:sz w:val="22"/>
                <w:szCs w:val="22"/>
                <w:highlight w:val="none"/>
              </w:rPr>
              <w:t>分）</w:t>
            </w:r>
            <w:r>
              <w:rPr>
                <w:rFonts w:hint="eastAsia" w:ascii="宋体" w:hAnsi="宋体" w:eastAsia="宋体" w:cs="宋体"/>
                <w:bCs/>
                <w:color w:val="auto"/>
                <w:spacing w:val="-6"/>
                <w:kern w:val="0"/>
                <w:sz w:val="22"/>
                <w:szCs w:val="22"/>
                <w:highlight w:val="none"/>
              </w:rPr>
              <w:t>；服务人员情况、人员数量等情况</w:t>
            </w:r>
            <w:r>
              <w:rPr>
                <w:rFonts w:hint="eastAsia" w:ascii="宋体" w:hAnsi="宋体" w:eastAsia="宋体" w:cs="宋体"/>
                <w:bCs/>
                <w:color w:val="auto"/>
                <w:spacing w:val="-6"/>
                <w:kern w:val="0"/>
                <w:sz w:val="22"/>
                <w:szCs w:val="22"/>
                <w:highlight w:val="none"/>
              </w:rPr>
              <w:t>（0-</w:t>
            </w:r>
            <w:r>
              <w:rPr>
                <w:rFonts w:hint="eastAsia" w:ascii="宋体" w:hAnsi="宋体" w:eastAsia="宋体" w:cs="宋体"/>
                <w:bCs/>
                <w:color w:val="auto"/>
                <w:spacing w:val="-6"/>
                <w:kern w:val="0"/>
                <w:sz w:val="22"/>
                <w:szCs w:val="22"/>
                <w:highlight w:val="none"/>
                <w:lang w:val="en-US" w:eastAsia="zh-CN"/>
              </w:rPr>
              <w:t>3</w:t>
            </w:r>
            <w:r>
              <w:rPr>
                <w:rFonts w:hint="eastAsia" w:ascii="宋体" w:hAnsi="宋体" w:eastAsia="宋体" w:cs="宋体"/>
                <w:bCs/>
                <w:color w:val="auto"/>
                <w:spacing w:val="-6"/>
                <w:kern w:val="0"/>
                <w:sz w:val="22"/>
                <w:szCs w:val="22"/>
                <w:highlight w:val="none"/>
              </w:rPr>
              <w:t>分）</w:t>
            </w:r>
          </w:p>
        </w:tc>
      </w:tr>
    </w:tbl>
    <w:p>
      <w:pPr>
        <w:spacing w:line="460" w:lineRule="exact"/>
        <w:ind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w:t>
      </w:r>
    </w:p>
    <w:p>
      <w:pPr>
        <w:pStyle w:val="84"/>
        <w:numPr>
          <w:ilvl w:val="0"/>
          <w:numId w:val="15"/>
        </w:numPr>
        <w:ind w:firstLineChars="0"/>
        <w:rPr>
          <w:rFonts w:cs="新宋体" w:asciiTheme="majorEastAsia" w:hAnsiTheme="majorEastAsia" w:eastAsiaTheme="majorEastAsia"/>
          <w:b/>
          <w:color w:val="auto"/>
          <w:sz w:val="22"/>
          <w:highlight w:val="none"/>
        </w:rPr>
      </w:pPr>
      <w:r>
        <w:rPr>
          <w:rFonts w:hint="eastAsia" w:cs="新宋体" w:asciiTheme="majorEastAsia" w:hAnsiTheme="majorEastAsia" w:eastAsiaTheme="majorEastAsia"/>
          <w:b/>
          <w:color w:val="auto"/>
          <w:sz w:val="22"/>
          <w:highlight w:val="none"/>
        </w:rPr>
        <w:t>每个供应商最终得分=技术资信部分分值（所有评标委员会成员打分的算术平均值）＋商务报价部分分值。</w:t>
      </w:r>
    </w:p>
    <w:p>
      <w:pPr>
        <w:widowControl/>
        <w:autoSpaceDE w:val="0"/>
        <w:autoSpaceDN w:val="0"/>
        <w:adjustRightInd w:val="0"/>
        <w:spacing w:line="460" w:lineRule="atLeast"/>
        <w:ind w:firstLine="420" w:firstLineChars="200"/>
        <w:textAlignment w:val="bottom"/>
        <w:rPr>
          <w:rFonts w:cs="新宋体" w:asciiTheme="majorEastAsia" w:hAnsiTheme="majorEastAsia" w:eastAsiaTheme="majorEastAsia"/>
          <w:color w:val="auto"/>
          <w:sz w:val="22"/>
          <w:highlight w:val="none"/>
        </w:rPr>
      </w:pPr>
      <w:r>
        <w:rPr>
          <w:rFonts w:hint="eastAsia" w:cs="新宋体" w:asciiTheme="majorEastAsia" w:hAnsiTheme="majorEastAsia" w:eastAsiaTheme="majorEastAsia"/>
          <w:color w:val="auto"/>
          <w:szCs w:val="21"/>
          <w:highlight w:val="none"/>
        </w:rPr>
        <w:t>三</w:t>
      </w:r>
      <w:r>
        <w:rPr>
          <w:rFonts w:hint="eastAsia" w:cs="新宋体" w:asciiTheme="majorEastAsia" w:hAnsiTheme="majorEastAsia" w:eastAsiaTheme="majorEastAsia"/>
          <w:color w:val="auto"/>
          <w:sz w:val="22"/>
          <w:highlight w:val="none"/>
        </w:rPr>
        <w:t>、注意事项</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highlight w:val="none"/>
        </w:rPr>
      </w:pPr>
      <w:r>
        <w:rPr>
          <w:rFonts w:hint="eastAsia" w:cs="新宋体" w:asciiTheme="majorEastAsia" w:hAnsiTheme="majorEastAsia" w:eastAsiaTheme="majorEastAsia"/>
          <w:color w:val="auto"/>
          <w:sz w:val="22"/>
          <w:highlight w:val="none"/>
        </w:rPr>
        <w:t>为确保评标工作的顺利进行，防止因泄密或其它意外而造成不良后果及影响，凡参加评标工作的人员都必须认真执行下面规定：</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highlight w:val="none"/>
        </w:rPr>
      </w:pPr>
      <w:r>
        <w:rPr>
          <w:rFonts w:hint="eastAsia" w:cs="新宋体" w:asciiTheme="majorEastAsia" w:hAnsiTheme="majorEastAsia" w:eastAsiaTheme="majorEastAsia"/>
          <w:color w:val="auto"/>
          <w:sz w:val="22"/>
          <w:highlight w:val="none"/>
        </w:rPr>
        <w:t>1． 在评标工作期间，所有分发的投标文件、资料等仅限于在评标场所中使用，不得带往其它地方。</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highlight w:val="none"/>
        </w:rPr>
      </w:pPr>
      <w:r>
        <w:rPr>
          <w:rFonts w:hint="eastAsia" w:cs="新宋体" w:asciiTheme="majorEastAsia" w:hAnsiTheme="majorEastAsia" w:eastAsiaTheme="majorEastAsia"/>
          <w:color w:val="auto"/>
          <w:sz w:val="22"/>
          <w:highlight w:val="none"/>
        </w:rPr>
        <w:t>2． 评标人员及工作人员不得在公共场合谈论有关评标内容。</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highlight w:val="none"/>
        </w:rPr>
      </w:pPr>
      <w:r>
        <w:rPr>
          <w:rFonts w:hint="eastAsia" w:cs="新宋体" w:asciiTheme="majorEastAsia" w:hAnsiTheme="majorEastAsia" w:eastAsiaTheme="majorEastAsia"/>
          <w:color w:val="auto"/>
          <w:sz w:val="22"/>
          <w:highlight w:val="none"/>
        </w:rPr>
        <w:t>3． 评标人员及工作人员不得以书信、电讯、口述等方式将有关评标内容（如资料、投标文件、报价、评标方式、评标委员会的决定、评标人员名单等）披露给未参加评标的任何无关人员，包括上级领导、同级和下级人员，任何与评标无关的人员（包括亲朋好友和同事）不得进入评标场所。</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 w:val="22"/>
          <w:highlight w:val="none"/>
        </w:rPr>
      </w:pPr>
      <w:r>
        <w:rPr>
          <w:rFonts w:hint="eastAsia" w:cs="新宋体" w:asciiTheme="majorEastAsia" w:hAnsiTheme="majorEastAsia" w:eastAsiaTheme="majorEastAsia"/>
          <w:color w:val="auto"/>
          <w:sz w:val="22"/>
          <w:highlight w:val="none"/>
        </w:rPr>
        <w:t>4． 任何需要向投标供应商进行询标的问题必须经评标委员会成员签字并由主询标人提出。在询标期间，对于涉及本规定保密范畴的所有内容，主询标人不得向投标供应商透露。</w:t>
      </w:r>
    </w:p>
    <w:p>
      <w:pPr>
        <w:widowControl/>
        <w:autoSpaceDE w:val="0"/>
        <w:autoSpaceDN w:val="0"/>
        <w:adjustRightInd w:val="0"/>
        <w:spacing w:line="460" w:lineRule="atLeast"/>
        <w:ind w:firstLine="440" w:firstLineChars="200"/>
        <w:textAlignment w:val="bottom"/>
        <w:rPr>
          <w:rFonts w:cs="新宋体" w:asciiTheme="majorEastAsia" w:hAnsiTheme="majorEastAsia" w:eastAsiaTheme="majorEastAsia"/>
          <w:color w:val="auto"/>
          <w:szCs w:val="21"/>
          <w:highlight w:val="none"/>
        </w:rPr>
      </w:pPr>
      <w:r>
        <w:rPr>
          <w:rFonts w:hint="eastAsia" w:cs="新宋体" w:asciiTheme="majorEastAsia" w:hAnsiTheme="majorEastAsia" w:eastAsiaTheme="majorEastAsia"/>
          <w:color w:val="auto"/>
          <w:sz w:val="22"/>
          <w:highlight w:val="none"/>
        </w:rPr>
        <w:t>5． 任何评标人员和工作人员不得对外公布评标的一切内容。</w:t>
      </w:r>
    </w:p>
    <w:sectPr>
      <w:headerReference r:id="rId13" w:type="first"/>
      <w:headerReference r:id="rId12" w:type="default"/>
      <w:footerReference r:id="rId14" w:type="default"/>
      <w:pgSz w:w="11906" w:h="16838"/>
      <w:pgMar w:top="1134" w:right="1134" w:bottom="1134" w:left="1134" w:header="851" w:footer="85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Helvetica">
    <w:altName w:val="Arial"/>
    <w:panose1 w:val="020B0604020202020204"/>
    <w:charset w:val="00"/>
    <w:family w:val="swiss"/>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pPr>
    <w:r>
      <w:rPr>
        <w:rFonts w:hint="eastAsia"/>
      </w:rPr>
      <w:t>温州市中概工程管理咨询有限公司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896582"/>
      <w:showingPlcHdr/>
    </w:sdtPr>
    <w:sdtContent>
      <w:p>
        <w:pPr>
          <w:pStyle w:val="28"/>
          <w:jc w:val="center"/>
        </w:pPr>
      </w:p>
    </w:sdtContent>
  </w:sdt>
  <w:p>
    <w:pPr>
      <w:pStyle w:val="28"/>
      <w:ind w:right="720"/>
      <w:rPr>
        <w:rFonts w:asci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separate"/>
    </w:r>
    <w:r>
      <w:rPr>
        <w:rStyle w:val="47"/>
      </w:rPr>
      <w:t>29</w:t>
    </w:r>
    <w:r>
      <w:fldChar w:fldCharType="end"/>
    </w:r>
  </w:p>
  <w:p>
    <w:pPr>
      <w:pStyle w:val="28"/>
      <w:tabs>
        <w:tab w:val="left" w:pos="5820"/>
        <w:tab w:val="clear" w:pos="4153"/>
        <w:tab w:val="clear" w:pos="8306"/>
      </w:tabs>
      <w:ind w:right="990"/>
      <w:jc w:val="right"/>
    </w:pPr>
    <w:r>
      <w:rPr>
        <w:rFonts w:hint="eastAsia"/>
      </w:rPr>
      <w:t>温州市中概工程管理咨询有限公司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0400974"/>
    </w:sdtPr>
    <w:sdtContent>
      <w:p>
        <w:pPr>
          <w:pStyle w:val="28"/>
          <w:jc w:val="center"/>
        </w:pPr>
        <w:r>
          <w:fldChar w:fldCharType="begin"/>
        </w:r>
        <w:r>
          <w:instrText xml:space="preserve"> PAGE   \* MERGEFORMAT </w:instrText>
        </w:r>
        <w:r>
          <w:fldChar w:fldCharType="separate"/>
        </w:r>
        <w:r>
          <w:rPr>
            <w:lang w:val="zh-CN"/>
          </w:rPr>
          <w:t>51</w:t>
        </w:r>
        <w:r>
          <w:rPr>
            <w:lang w:val="zh-CN"/>
          </w:rPr>
          <w:fldChar w:fldCharType="end"/>
        </w:r>
      </w:p>
    </w:sdtContent>
  </w:sdt>
  <w:p>
    <w:pPr>
      <w:pStyle w:val="28"/>
      <w:ind w:right="720"/>
      <w:jc w:val="right"/>
      <w:rPr>
        <w:rFonts w:ascii="宋体"/>
      </w:rPr>
    </w:pPr>
    <w:r>
      <w:rPr>
        <w:rFonts w:ascii="宋体"/>
      </w:rPr>
      <w:t>温州市中概工程管理咨询有限公司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page" w:x="5719" w:y="18"/>
      <w:rPr>
        <w:rStyle w:val="47"/>
        <w:rFonts w:ascii="宋体"/>
      </w:rPr>
    </w:pPr>
    <w:r>
      <w:rPr>
        <w:rFonts w:ascii="宋体"/>
      </w:rPr>
      <w:fldChar w:fldCharType="begin"/>
    </w:r>
    <w:r>
      <w:rPr>
        <w:rStyle w:val="47"/>
        <w:rFonts w:ascii="宋体"/>
      </w:rPr>
      <w:instrText xml:space="preserve">PAGE  </w:instrText>
    </w:r>
    <w:r>
      <w:rPr>
        <w:rFonts w:ascii="宋体"/>
      </w:rPr>
      <w:fldChar w:fldCharType="separate"/>
    </w:r>
    <w:r>
      <w:rPr>
        <w:rStyle w:val="47"/>
        <w:rFonts w:ascii="宋体"/>
      </w:rPr>
      <w:t>48</w:t>
    </w:r>
    <w:r>
      <w:rPr>
        <w:rFonts w:ascii="宋体"/>
      </w:rPr>
      <w:fldChar w:fldCharType="end"/>
    </w:r>
  </w:p>
  <w:p>
    <w:pPr>
      <w:pStyle w:val="28"/>
      <w:ind w:right="720"/>
      <w:rPr>
        <w:rFonts w:ascii="宋体"/>
      </w:rPr>
    </w:pPr>
    <w:r>
      <w:rPr>
        <w:rFonts w:ascii="宋体"/>
      </w:rPr>
      <w:t>温州市中概工程管理咨询有限公司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page" w:x="5719" w:y="18"/>
      <w:rPr>
        <w:rStyle w:val="47"/>
        <w:rFonts w:ascii="宋体"/>
      </w:rPr>
    </w:pPr>
    <w:r>
      <w:rPr>
        <w:rFonts w:ascii="宋体"/>
      </w:rPr>
      <w:fldChar w:fldCharType="begin"/>
    </w:r>
    <w:r>
      <w:rPr>
        <w:rStyle w:val="47"/>
        <w:rFonts w:ascii="宋体"/>
      </w:rPr>
      <w:instrText xml:space="preserve">PAGE  </w:instrText>
    </w:r>
    <w:r>
      <w:rPr>
        <w:rFonts w:ascii="宋体"/>
      </w:rPr>
      <w:fldChar w:fldCharType="separate"/>
    </w:r>
    <w:r>
      <w:rPr>
        <w:rStyle w:val="47"/>
        <w:rFonts w:ascii="宋体"/>
      </w:rPr>
      <w:t>53</w:t>
    </w:r>
    <w:r>
      <w:rPr>
        <w:rFonts w:ascii="宋体"/>
      </w:rPr>
      <w:fldChar w:fldCharType="end"/>
    </w:r>
  </w:p>
  <w:p>
    <w:pPr>
      <w:pStyle w:val="28"/>
      <w:ind w:right="720"/>
      <w:jc w:val="right"/>
      <w:rPr>
        <w:rFonts w:ascii="宋体"/>
      </w:rPr>
    </w:pPr>
    <w:r>
      <w:rPr>
        <w:rFonts w:ascii="宋体"/>
      </w:rPr>
      <w:t>温州市中概工程管理咨询有限公司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w:rPr>
        <w:rFonts w:hint="eastAsia"/>
      </w:rPr>
      <w:t>政府招标文件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w:rPr>
        <w:rFonts w:hint="eastAsia"/>
      </w:rPr>
      <w:t>政府招标文件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宋体"/>
        <w:b/>
      </w:rPr>
    </w:pPr>
    <w:r>
      <w:rPr>
        <w:rFonts w:hint="eastAsia" w:ascii="宋体"/>
      </w:rPr>
      <w:t>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宋体"/>
        <w:b/>
      </w:rPr>
    </w:pPr>
    <w:r>
      <w:rPr>
        <w:rFonts w:hint="eastAsia" w:ascii="宋体"/>
        <w:b/>
      </w:rPr>
      <w:t>政府采购招标文件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宋体"/>
        <w:b/>
      </w:rPr>
    </w:pPr>
    <w:r>
      <w:rPr>
        <w:rFonts w:hint="eastAsia" w:ascii="宋体"/>
        <w:b/>
      </w:rPr>
      <w:t>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32A7DE"/>
    <w:multiLevelType w:val="singleLevel"/>
    <w:tmpl w:val="9132A7DE"/>
    <w:lvl w:ilvl="0" w:tentative="0">
      <w:start w:val="1"/>
      <w:numFmt w:val="decimal"/>
      <w:suff w:val="nothing"/>
      <w:lvlText w:val="%1．"/>
      <w:lvlJc w:val="left"/>
      <w:pPr>
        <w:ind w:left="0" w:firstLine="400"/>
      </w:pPr>
      <w:rPr>
        <w:rFonts w:hint="default"/>
      </w:rPr>
    </w:lvl>
  </w:abstractNum>
  <w:abstractNum w:abstractNumId="1">
    <w:nsid w:val="9780D570"/>
    <w:multiLevelType w:val="singleLevel"/>
    <w:tmpl w:val="9780D570"/>
    <w:lvl w:ilvl="0" w:tentative="0">
      <w:start w:val="1"/>
      <w:numFmt w:val="decimal"/>
      <w:suff w:val="nothing"/>
      <w:lvlText w:val="%1．"/>
      <w:lvlJc w:val="left"/>
      <w:pPr>
        <w:ind w:left="0" w:firstLine="400"/>
      </w:pPr>
      <w:rPr>
        <w:rFonts w:hint="default"/>
      </w:rPr>
    </w:lvl>
  </w:abstractNum>
  <w:abstractNum w:abstractNumId="2">
    <w:nsid w:val="B4EE4AD8"/>
    <w:multiLevelType w:val="singleLevel"/>
    <w:tmpl w:val="B4EE4AD8"/>
    <w:lvl w:ilvl="0" w:tentative="0">
      <w:start w:val="1"/>
      <w:numFmt w:val="decimal"/>
      <w:lvlText w:val="%1."/>
      <w:lvlJc w:val="left"/>
      <w:pPr>
        <w:tabs>
          <w:tab w:val="left" w:pos="312"/>
        </w:tabs>
      </w:pPr>
    </w:lvl>
  </w:abstractNum>
  <w:abstractNum w:abstractNumId="3">
    <w:nsid w:val="B6B2C746"/>
    <w:multiLevelType w:val="singleLevel"/>
    <w:tmpl w:val="B6B2C746"/>
    <w:lvl w:ilvl="0" w:tentative="0">
      <w:start w:val="1"/>
      <w:numFmt w:val="decimal"/>
      <w:suff w:val="nothing"/>
      <w:lvlText w:val="%1、"/>
      <w:lvlJc w:val="left"/>
    </w:lvl>
  </w:abstractNum>
  <w:abstractNum w:abstractNumId="4">
    <w:nsid w:val="BC947940"/>
    <w:multiLevelType w:val="singleLevel"/>
    <w:tmpl w:val="BC947940"/>
    <w:lvl w:ilvl="0" w:tentative="0">
      <w:start w:val="1"/>
      <w:numFmt w:val="decimal"/>
      <w:lvlText w:val="%1."/>
      <w:lvlJc w:val="left"/>
      <w:pPr>
        <w:tabs>
          <w:tab w:val="left" w:pos="312"/>
        </w:tabs>
      </w:pPr>
    </w:lvl>
  </w:abstractNum>
  <w:abstractNum w:abstractNumId="5">
    <w:nsid w:val="C5ABFF46"/>
    <w:multiLevelType w:val="singleLevel"/>
    <w:tmpl w:val="C5ABFF46"/>
    <w:lvl w:ilvl="0" w:tentative="0">
      <w:start w:val="1"/>
      <w:numFmt w:val="decimal"/>
      <w:lvlText w:val="%1."/>
      <w:lvlJc w:val="left"/>
      <w:pPr>
        <w:tabs>
          <w:tab w:val="left" w:pos="312"/>
        </w:tabs>
      </w:pPr>
    </w:lvl>
  </w:abstractNum>
  <w:abstractNum w:abstractNumId="6">
    <w:nsid w:val="D5349CF5"/>
    <w:multiLevelType w:val="multilevel"/>
    <w:tmpl w:val="D5349CF5"/>
    <w:lvl w:ilvl="0" w:tentative="0">
      <w:start w:val="1"/>
      <w:numFmt w:val="decimal"/>
      <w:lvlText w:val="%1."/>
      <w:lvlJc w:val="left"/>
      <w:pPr>
        <w:tabs>
          <w:tab w:val="left" w:pos="425"/>
        </w:tabs>
        <w:ind w:left="425" w:hanging="425"/>
      </w:pPr>
      <w:rPr>
        <w:rFonts w:hint="default"/>
        <w:sz w:val="21"/>
        <w:szCs w:val="21"/>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7">
    <w:nsid w:val="F9745F6E"/>
    <w:multiLevelType w:val="singleLevel"/>
    <w:tmpl w:val="F9745F6E"/>
    <w:lvl w:ilvl="0" w:tentative="0">
      <w:start w:val="1"/>
      <w:numFmt w:val="chineseCounting"/>
      <w:suff w:val="nothing"/>
      <w:lvlText w:val="%1、"/>
      <w:lvlJc w:val="left"/>
      <w:pPr>
        <w:ind w:left="6" w:firstLine="420"/>
      </w:pPr>
      <w:rPr>
        <w:rFonts w:hint="eastAsia"/>
      </w:rPr>
    </w:lvl>
  </w:abstractNum>
  <w:abstractNum w:abstractNumId="8">
    <w:nsid w:val="0D1875C4"/>
    <w:multiLevelType w:val="multilevel"/>
    <w:tmpl w:val="0D1875C4"/>
    <w:lvl w:ilvl="0" w:tentative="0">
      <w:start w:val="1"/>
      <w:numFmt w:val="decimalEnclosedCircleChinese"/>
      <w:lvlText w:val="%1　"/>
      <w:lvlJc w:val="left"/>
      <w:pPr>
        <w:ind w:left="420" w:hanging="420"/>
      </w:pPr>
    </w:lvl>
    <w:lvl w:ilvl="1" w:tentative="0">
      <w:start w:val="1"/>
      <w:numFmt w:val="decimal"/>
      <w:lvlText w:val="%2."/>
      <w:lvlJc w:val="left"/>
      <w:pPr>
        <w:tabs>
          <w:tab w:val="left" w:pos="1440"/>
        </w:tabs>
        <w:ind w:left="1440" w:hanging="360"/>
      </w:pPr>
    </w:lvl>
    <w:lvl w:ilvl="2" w:tentative="0">
      <w:start w:val="1"/>
      <w:numFmt w:val="decimalEnclosedCircleChinese"/>
      <w:lvlText w:val="%3　"/>
      <w:lvlJc w:val="left"/>
      <w:pPr>
        <w:ind w:left="126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27B919D6"/>
    <w:multiLevelType w:val="multilevel"/>
    <w:tmpl w:val="27B919D6"/>
    <w:lvl w:ilvl="0" w:tentative="0">
      <w:start w:val="1"/>
      <w:numFmt w:val="decimal"/>
      <w:lvlText w:val="（%1）"/>
      <w:lvlJc w:val="left"/>
      <w:pPr>
        <w:ind w:left="860" w:hanging="42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0">
    <w:nsid w:val="4AA559D9"/>
    <w:multiLevelType w:val="singleLevel"/>
    <w:tmpl w:val="4AA559D9"/>
    <w:lvl w:ilvl="0" w:tentative="0">
      <w:start w:val="1"/>
      <w:numFmt w:val="bullet"/>
      <w:lvlText w:val=""/>
      <w:lvlJc w:val="left"/>
      <w:pPr>
        <w:tabs>
          <w:tab w:val="left" w:pos="425"/>
        </w:tabs>
        <w:ind w:left="425" w:hanging="425"/>
      </w:pPr>
      <w:rPr>
        <w:rFonts w:hint="default" w:ascii="Wingdings" w:hAnsi="Wingdings"/>
      </w:rPr>
    </w:lvl>
  </w:abstractNum>
  <w:abstractNum w:abstractNumId="11">
    <w:nsid w:val="6C07C839"/>
    <w:multiLevelType w:val="singleLevel"/>
    <w:tmpl w:val="6C07C839"/>
    <w:lvl w:ilvl="0" w:tentative="0">
      <w:start w:val="1"/>
      <w:numFmt w:val="decimal"/>
      <w:suff w:val="nothing"/>
      <w:lvlText w:val="（%1）"/>
      <w:lvlJc w:val="left"/>
    </w:lvl>
  </w:abstractNum>
  <w:abstractNum w:abstractNumId="12">
    <w:nsid w:val="6DDFAA71"/>
    <w:multiLevelType w:val="singleLevel"/>
    <w:tmpl w:val="6DDFAA71"/>
    <w:lvl w:ilvl="0" w:tentative="0">
      <w:start w:val="1"/>
      <w:numFmt w:val="decimal"/>
      <w:lvlText w:val="%1."/>
      <w:lvlJc w:val="left"/>
      <w:pPr>
        <w:tabs>
          <w:tab w:val="left" w:pos="312"/>
        </w:tabs>
      </w:pPr>
    </w:lvl>
  </w:abstractNum>
  <w:abstractNum w:abstractNumId="13">
    <w:nsid w:val="782BA871"/>
    <w:multiLevelType w:val="singleLevel"/>
    <w:tmpl w:val="782BA871"/>
    <w:lvl w:ilvl="0" w:tentative="0">
      <w:start w:val="1"/>
      <w:numFmt w:val="decimal"/>
      <w:lvlText w:val="(%1)"/>
      <w:lvlJc w:val="left"/>
      <w:pPr>
        <w:ind w:left="425" w:hanging="425"/>
      </w:pPr>
      <w:rPr>
        <w:rFonts w:hint="default"/>
      </w:rPr>
    </w:lvl>
  </w:abstractNum>
  <w:abstractNum w:abstractNumId="14">
    <w:nsid w:val="7B9B3A13"/>
    <w:multiLevelType w:val="singleLevel"/>
    <w:tmpl w:val="7B9B3A13"/>
    <w:lvl w:ilvl="0" w:tentative="0">
      <w:start w:val="1"/>
      <w:numFmt w:val="decimalEnclosedCircleChinese"/>
      <w:suff w:val="nothing"/>
      <w:lvlText w:val="%1　"/>
      <w:lvlJc w:val="left"/>
      <w:pPr>
        <w:ind w:left="0" w:firstLine="400"/>
      </w:pPr>
      <w:rPr>
        <w:rFonts w:hint="eastAsia"/>
      </w:rPr>
    </w:lvl>
  </w:abstractNum>
  <w:num w:numId="1">
    <w:abstractNumId w:val="6"/>
  </w:num>
  <w:num w:numId="2">
    <w:abstractNumId w:val="14"/>
  </w:num>
  <w:num w:numId="3">
    <w:abstractNumId w:val="10"/>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1"/>
  </w:num>
  <w:num w:numId="10">
    <w:abstractNumId w:val="0"/>
  </w:num>
  <w:num w:numId="11">
    <w:abstractNumId w:val="2"/>
  </w:num>
  <w:num w:numId="12">
    <w:abstractNumId w:val="5"/>
  </w:num>
  <w:num w:numId="13">
    <w:abstractNumId w:val="1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MzRhNGU0YTJiZGQzZDEyM2Q3ZGQ2YTc1YTRjNGEifQ=="/>
  </w:docVars>
  <w:rsids>
    <w:rsidRoot w:val="00AF6227"/>
    <w:rsid w:val="0000005C"/>
    <w:rsid w:val="00002061"/>
    <w:rsid w:val="000020A8"/>
    <w:rsid w:val="000025D0"/>
    <w:rsid w:val="0000311A"/>
    <w:rsid w:val="0000333D"/>
    <w:rsid w:val="0000391E"/>
    <w:rsid w:val="00005613"/>
    <w:rsid w:val="00005A48"/>
    <w:rsid w:val="00006A42"/>
    <w:rsid w:val="00007907"/>
    <w:rsid w:val="00007A30"/>
    <w:rsid w:val="0001039F"/>
    <w:rsid w:val="00011410"/>
    <w:rsid w:val="0001323D"/>
    <w:rsid w:val="00013DE8"/>
    <w:rsid w:val="0001559D"/>
    <w:rsid w:val="000163FB"/>
    <w:rsid w:val="00017269"/>
    <w:rsid w:val="00017C20"/>
    <w:rsid w:val="00021D1D"/>
    <w:rsid w:val="00024C7A"/>
    <w:rsid w:val="00024FDE"/>
    <w:rsid w:val="00025079"/>
    <w:rsid w:val="00026E94"/>
    <w:rsid w:val="00027072"/>
    <w:rsid w:val="00027A5C"/>
    <w:rsid w:val="00030140"/>
    <w:rsid w:val="00030435"/>
    <w:rsid w:val="00030615"/>
    <w:rsid w:val="00030C19"/>
    <w:rsid w:val="00030C61"/>
    <w:rsid w:val="0003197C"/>
    <w:rsid w:val="000335A6"/>
    <w:rsid w:val="000352D7"/>
    <w:rsid w:val="000356EA"/>
    <w:rsid w:val="00037F27"/>
    <w:rsid w:val="000410B8"/>
    <w:rsid w:val="00041F1F"/>
    <w:rsid w:val="00042A65"/>
    <w:rsid w:val="00042F61"/>
    <w:rsid w:val="000430D7"/>
    <w:rsid w:val="0004325C"/>
    <w:rsid w:val="00043D81"/>
    <w:rsid w:val="00044563"/>
    <w:rsid w:val="00044A09"/>
    <w:rsid w:val="0004559B"/>
    <w:rsid w:val="00046E9A"/>
    <w:rsid w:val="00050219"/>
    <w:rsid w:val="00051F29"/>
    <w:rsid w:val="0005220E"/>
    <w:rsid w:val="00053684"/>
    <w:rsid w:val="00053BE2"/>
    <w:rsid w:val="00053D63"/>
    <w:rsid w:val="00054613"/>
    <w:rsid w:val="00054A1A"/>
    <w:rsid w:val="00054CDE"/>
    <w:rsid w:val="0005556E"/>
    <w:rsid w:val="000605C8"/>
    <w:rsid w:val="00060FB3"/>
    <w:rsid w:val="00061B13"/>
    <w:rsid w:val="00062A47"/>
    <w:rsid w:val="0006310B"/>
    <w:rsid w:val="000634EC"/>
    <w:rsid w:val="0006355C"/>
    <w:rsid w:val="00064919"/>
    <w:rsid w:val="00064B20"/>
    <w:rsid w:val="00064C44"/>
    <w:rsid w:val="00064C6E"/>
    <w:rsid w:val="00065845"/>
    <w:rsid w:val="000676E6"/>
    <w:rsid w:val="0006788E"/>
    <w:rsid w:val="0007127B"/>
    <w:rsid w:val="00072943"/>
    <w:rsid w:val="00073DCC"/>
    <w:rsid w:val="00074EF5"/>
    <w:rsid w:val="00075082"/>
    <w:rsid w:val="000776B7"/>
    <w:rsid w:val="00077E2F"/>
    <w:rsid w:val="00080672"/>
    <w:rsid w:val="00080BE8"/>
    <w:rsid w:val="00081438"/>
    <w:rsid w:val="0008180F"/>
    <w:rsid w:val="00082ACA"/>
    <w:rsid w:val="0008321E"/>
    <w:rsid w:val="000836EA"/>
    <w:rsid w:val="000842D2"/>
    <w:rsid w:val="000843FA"/>
    <w:rsid w:val="00084586"/>
    <w:rsid w:val="00084844"/>
    <w:rsid w:val="00085C2F"/>
    <w:rsid w:val="00085E61"/>
    <w:rsid w:val="00086538"/>
    <w:rsid w:val="00086C22"/>
    <w:rsid w:val="00086C2A"/>
    <w:rsid w:val="00086C38"/>
    <w:rsid w:val="00087389"/>
    <w:rsid w:val="00087781"/>
    <w:rsid w:val="00091BE1"/>
    <w:rsid w:val="00092AB7"/>
    <w:rsid w:val="00093339"/>
    <w:rsid w:val="000938BC"/>
    <w:rsid w:val="00093AE4"/>
    <w:rsid w:val="00093C07"/>
    <w:rsid w:val="000941F0"/>
    <w:rsid w:val="0009444B"/>
    <w:rsid w:val="000944AD"/>
    <w:rsid w:val="000945AF"/>
    <w:rsid w:val="00094AAF"/>
    <w:rsid w:val="000953C4"/>
    <w:rsid w:val="00095548"/>
    <w:rsid w:val="00095570"/>
    <w:rsid w:val="000956DF"/>
    <w:rsid w:val="0009590D"/>
    <w:rsid w:val="00095E6A"/>
    <w:rsid w:val="0009608E"/>
    <w:rsid w:val="00096711"/>
    <w:rsid w:val="00097189"/>
    <w:rsid w:val="000A0293"/>
    <w:rsid w:val="000A1491"/>
    <w:rsid w:val="000A1E95"/>
    <w:rsid w:val="000A23C6"/>
    <w:rsid w:val="000A24D9"/>
    <w:rsid w:val="000A26E7"/>
    <w:rsid w:val="000A318D"/>
    <w:rsid w:val="000A3745"/>
    <w:rsid w:val="000A4FB6"/>
    <w:rsid w:val="000A533B"/>
    <w:rsid w:val="000A596D"/>
    <w:rsid w:val="000A5A41"/>
    <w:rsid w:val="000A5EBC"/>
    <w:rsid w:val="000A7AB5"/>
    <w:rsid w:val="000B02A3"/>
    <w:rsid w:val="000B0393"/>
    <w:rsid w:val="000B0648"/>
    <w:rsid w:val="000B096D"/>
    <w:rsid w:val="000B1353"/>
    <w:rsid w:val="000B3313"/>
    <w:rsid w:val="000B44B5"/>
    <w:rsid w:val="000B5045"/>
    <w:rsid w:val="000B52ED"/>
    <w:rsid w:val="000B6938"/>
    <w:rsid w:val="000B7114"/>
    <w:rsid w:val="000B7352"/>
    <w:rsid w:val="000B7A57"/>
    <w:rsid w:val="000C0973"/>
    <w:rsid w:val="000C0E8E"/>
    <w:rsid w:val="000C139D"/>
    <w:rsid w:val="000C1A09"/>
    <w:rsid w:val="000C2BB1"/>
    <w:rsid w:val="000C2ED9"/>
    <w:rsid w:val="000C3605"/>
    <w:rsid w:val="000C3931"/>
    <w:rsid w:val="000C3F83"/>
    <w:rsid w:val="000C5181"/>
    <w:rsid w:val="000C568A"/>
    <w:rsid w:val="000C59AC"/>
    <w:rsid w:val="000C5C41"/>
    <w:rsid w:val="000C783C"/>
    <w:rsid w:val="000C7DFA"/>
    <w:rsid w:val="000D0CE1"/>
    <w:rsid w:val="000D1234"/>
    <w:rsid w:val="000D12CD"/>
    <w:rsid w:val="000D139B"/>
    <w:rsid w:val="000D1D8D"/>
    <w:rsid w:val="000D1E63"/>
    <w:rsid w:val="000D26C8"/>
    <w:rsid w:val="000D3854"/>
    <w:rsid w:val="000D3866"/>
    <w:rsid w:val="000D4569"/>
    <w:rsid w:val="000D4B9A"/>
    <w:rsid w:val="000D5398"/>
    <w:rsid w:val="000D5EB4"/>
    <w:rsid w:val="000D6053"/>
    <w:rsid w:val="000D64E5"/>
    <w:rsid w:val="000E024B"/>
    <w:rsid w:val="000E09BF"/>
    <w:rsid w:val="000E118B"/>
    <w:rsid w:val="000E1253"/>
    <w:rsid w:val="000E1A2A"/>
    <w:rsid w:val="000E21CE"/>
    <w:rsid w:val="000E24CD"/>
    <w:rsid w:val="000E3977"/>
    <w:rsid w:val="000E3B25"/>
    <w:rsid w:val="000E4034"/>
    <w:rsid w:val="000E4481"/>
    <w:rsid w:val="000E4776"/>
    <w:rsid w:val="000E4C02"/>
    <w:rsid w:val="000E4EF2"/>
    <w:rsid w:val="000E50E0"/>
    <w:rsid w:val="000E63BA"/>
    <w:rsid w:val="000E6A7B"/>
    <w:rsid w:val="000E6E6A"/>
    <w:rsid w:val="000F088D"/>
    <w:rsid w:val="000F115A"/>
    <w:rsid w:val="000F188F"/>
    <w:rsid w:val="000F2120"/>
    <w:rsid w:val="000F2200"/>
    <w:rsid w:val="000F35E2"/>
    <w:rsid w:val="000F39AA"/>
    <w:rsid w:val="000F3C69"/>
    <w:rsid w:val="000F4740"/>
    <w:rsid w:val="000F61EC"/>
    <w:rsid w:val="0010035B"/>
    <w:rsid w:val="0010063E"/>
    <w:rsid w:val="001007F1"/>
    <w:rsid w:val="001014AF"/>
    <w:rsid w:val="0010229C"/>
    <w:rsid w:val="0010279A"/>
    <w:rsid w:val="00104584"/>
    <w:rsid w:val="00107410"/>
    <w:rsid w:val="001103F5"/>
    <w:rsid w:val="001108DE"/>
    <w:rsid w:val="00110F7D"/>
    <w:rsid w:val="00111825"/>
    <w:rsid w:val="001124B3"/>
    <w:rsid w:val="00112BF0"/>
    <w:rsid w:val="00112E48"/>
    <w:rsid w:val="0011301B"/>
    <w:rsid w:val="0011326C"/>
    <w:rsid w:val="00113862"/>
    <w:rsid w:val="00113DEA"/>
    <w:rsid w:val="0011494F"/>
    <w:rsid w:val="00114D55"/>
    <w:rsid w:val="00115FCC"/>
    <w:rsid w:val="00116893"/>
    <w:rsid w:val="001178CF"/>
    <w:rsid w:val="00123CC4"/>
    <w:rsid w:val="00123D6A"/>
    <w:rsid w:val="00125555"/>
    <w:rsid w:val="00125B54"/>
    <w:rsid w:val="00126530"/>
    <w:rsid w:val="00127130"/>
    <w:rsid w:val="00127AB3"/>
    <w:rsid w:val="00130065"/>
    <w:rsid w:val="00132387"/>
    <w:rsid w:val="00133381"/>
    <w:rsid w:val="0013430F"/>
    <w:rsid w:val="00135824"/>
    <w:rsid w:val="001361BD"/>
    <w:rsid w:val="00140B8B"/>
    <w:rsid w:val="0014129F"/>
    <w:rsid w:val="00141F27"/>
    <w:rsid w:val="001434EF"/>
    <w:rsid w:val="00143C54"/>
    <w:rsid w:val="00144918"/>
    <w:rsid w:val="001455C9"/>
    <w:rsid w:val="00145A19"/>
    <w:rsid w:val="00146232"/>
    <w:rsid w:val="001463A9"/>
    <w:rsid w:val="00146555"/>
    <w:rsid w:val="00146D9B"/>
    <w:rsid w:val="00146EE0"/>
    <w:rsid w:val="001502BC"/>
    <w:rsid w:val="00151F6C"/>
    <w:rsid w:val="001542FA"/>
    <w:rsid w:val="0015469B"/>
    <w:rsid w:val="001546D2"/>
    <w:rsid w:val="001550AC"/>
    <w:rsid w:val="0015553F"/>
    <w:rsid w:val="00155860"/>
    <w:rsid w:val="00155BCA"/>
    <w:rsid w:val="00155E47"/>
    <w:rsid w:val="00155F48"/>
    <w:rsid w:val="00156EEE"/>
    <w:rsid w:val="001575D4"/>
    <w:rsid w:val="001579B6"/>
    <w:rsid w:val="00161E2A"/>
    <w:rsid w:val="0016216C"/>
    <w:rsid w:val="00163794"/>
    <w:rsid w:val="00163B70"/>
    <w:rsid w:val="00163D03"/>
    <w:rsid w:val="001655BA"/>
    <w:rsid w:val="00165673"/>
    <w:rsid w:val="001660B2"/>
    <w:rsid w:val="00166F8C"/>
    <w:rsid w:val="001673E0"/>
    <w:rsid w:val="00167C28"/>
    <w:rsid w:val="001705F9"/>
    <w:rsid w:val="00171516"/>
    <w:rsid w:val="001721E5"/>
    <w:rsid w:val="001727E7"/>
    <w:rsid w:val="00173674"/>
    <w:rsid w:val="00173B7B"/>
    <w:rsid w:val="001748DC"/>
    <w:rsid w:val="001758C8"/>
    <w:rsid w:val="00175D42"/>
    <w:rsid w:val="00175D54"/>
    <w:rsid w:val="00175DAB"/>
    <w:rsid w:val="00176208"/>
    <w:rsid w:val="00176D09"/>
    <w:rsid w:val="00176E72"/>
    <w:rsid w:val="00177960"/>
    <w:rsid w:val="00177B64"/>
    <w:rsid w:val="00180A3A"/>
    <w:rsid w:val="00183061"/>
    <w:rsid w:val="001832A3"/>
    <w:rsid w:val="00184681"/>
    <w:rsid w:val="001848B8"/>
    <w:rsid w:val="001851AB"/>
    <w:rsid w:val="0018525E"/>
    <w:rsid w:val="00185510"/>
    <w:rsid w:val="00185DDD"/>
    <w:rsid w:val="00185E0D"/>
    <w:rsid w:val="0018678B"/>
    <w:rsid w:val="00190D79"/>
    <w:rsid w:val="001910E8"/>
    <w:rsid w:val="0019112F"/>
    <w:rsid w:val="00191735"/>
    <w:rsid w:val="00191910"/>
    <w:rsid w:val="0019298D"/>
    <w:rsid w:val="00192EA7"/>
    <w:rsid w:val="001931EF"/>
    <w:rsid w:val="0019325A"/>
    <w:rsid w:val="0019385C"/>
    <w:rsid w:val="00193BBC"/>
    <w:rsid w:val="00194588"/>
    <w:rsid w:val="0019461A"/>
    <w:rsid w:val="00194D56"/>
    <w:rsid w:val="00194DEA"/>
    <w:rsid w:val="00196A61"/>
    <w:rsid w:val="001970B6"/>
    <w:rsid w:val="00197329"/>
    <w:rsid w:val="001974F3"/>
    <w:rsid w:val="001976DD"/>
    <w:rsid w:val="001A0831"/>
    <w:rsid w:val="001A101C"/>
    <w:rsid w:val="001A25E3"/>
    <w:rsid w:val="001A3847"/>
    <w:rsid w:val="001A3AD5"/>
    <w:rsid w:val="001A3B9E"/>
    <w:rsid w:val="001A3DEA"/>
    <w:rsid w:val="001A458D"/>
    <w:rsid w:val="001A4DC0"/>
    <w:rsid w:val="001A66A6"/>
    <w:rsid w:val="001A6700"/>
    <w:rsid w:val="001A6E87"/>
    <w:rsid w:val="001A77A5"/>
    <w:rsid w:val="001B0428"/>
    <w:rsid w:val="001B0C6B"/>
    <w:rsid w:val="001B13D3"/>
    <w:rsid w:val="001B1E03"/>
    <w:rsid w:val="001B2DC1"/>
    <w:rsid w:val="001B3A4C"/>
    <w:rsid w:val="001B3DF5"/>
    <w:rsid w:val="001B3F00"/>
    <w:rsid w:val="001B41FD"/>
    <w:rsid w:val="001B4216"/>
    <w:rsid w:val="001B4971"/>
    <w:rsid w:val="001B4AC5"/>
    <w:rsid w:val="001B515D"/>
    <w:rsid w:val="001B66E0"/>
    <w:rsid w:val="001B7574"/>
    <w:rsid w:val="001B75D2"/>
    <w:rsid w:val="001B7FBF"/>
    <w:rsid w:val="001C04C5"/>
    <w:rsid w:val="001C0E2E"/>
    <w:rsid w:val="001C0E81"/>
    <w:rsid w:val="001C13F5"/>
    <w:rsid w:val="001C1D62"/>
    <w:rsid w:val="001C29CC"/>
    <w:rsid w:val="001C2B4B"/>
    <w:rsid w:val="001C2CC4"/>
    <w:rsid w:val="001C3F18"/>
    <w:rsid w:val="001C4B16"/>
    <w:rsid w:val="001C58B5"/>
    <w:rsid w:val="001C6427"/>
    <w:rsid w:val="001C6925"/>
    <w:rsid w:val="001C7031"/>
    <w:rsid w:val="001C7C9F"/>
    <w:rsid w:val="001D0546"/>
    <w:rsid w:val="001D1380"/>
    <w:rsid w:val="001D2104"/>
    <w:rsid w:val="001D2233"/>
    <w:rsid w:val="001D3075"/>
    <w:rsid w:val="001D3321"/>
    <w:rsid w:val="001D3ADD"/>
    <w:rsid w:val="001D3D60"/>
    <w:rsid w:val="001D4502"/>
    <w:rsid w:val="001D50BA"/>
    <w:rsid w:val="001D53C4"/>
    <w:rsid w:val="001D563E"/>
    <w:rsid w:val="001D7588"/>
    <w:rsid w:val="001D75F5"/>
    <w:rsid w:val="001D7EF1"/>
    <w:rsid w:val="001E0B75"/>
    <w:rsid w:val="001E0EEA"/>
    <w:rsid w:val="001E131D"/>
    <w:rsid w:val="001E1A7A"/>
    <w:rsid w:val="001E1ECF"/>
    <w:rsid w:val="001E2150"/>
    <w:rsid w:val="001E26AE"/>
    <w:rsid w:val="001E2C3D"/>
    <w:rsid w:val="001E35B8"/>
    <w:rsid w:val="001E6581"/>
    <w:rsid w:val="001F064C"/>
    <w:rsid w:val="001F1178"/>
    <w:rsid w:val="001F1448"/>
    <w:rsid w:val="001F1850"/>
    <w:rsid w:val="001F27BC"/>
    <w:rsid w:val="001F2D5C"/>
    <w:rsid w:val="001F3285"/>
    <w:rsid w:val="001F3595"/>
    <w:rsid w:val="001F37CF"/>
    <w:rsid w:val="001F38AA"/>
    <w:rsid w:val="001F3CFB"/>
    <w:rsid w:val="001F40CC"/>
    <w:rsid w:val="001F4636"/>
    <w:rsid w:val="001F5246"/>
    <w:rsid w:val="001F5456"/>
    <w:rsid w:val="001F6574"/>
    <w:rsid w:val="001F6BE3"/>
    <w:rsid w:val="001F6C53"/>
    <w:rsid w:val="001F795D"/>
    <w:rsid w:val="00200A92"/>
    <w:rsid w:val="00202344"/>
    <w:rsid w:val="002039DA"/>
    <w:rsid w:val="00203D45"/>
    <w:rsid w:val="002044FE"/>
    <w:rsid w:val="002048BB"/>
    <w:rsid w:val="00204F27"/>
    <w:rsid w:val="00205404"/>
    <w:rsid w:val="0020556E"/>
    <w:rsid w:val="002118CB"/>
    <w:rsid w:val="00211B42"/>
    <w:rsid w:val="00213484"/>
    <w:rsid w:val="0021379B"/>
    <w:rsid w:val="00214C24"/>
    <w:rsid w:val="00215318"/>
    <w:rsid w:val="00215A0E"/>
    <w:rsid w:val="0021694E"/>
    <w:rsid w:val="00216EDF"/>
    <w:rsid w:val="0022107C"/>
    <w:rsid w:val="00222052"/>
    <w:rsid w:val="0022246D"/>
    <w:rsid w:val="0022377D"/>
    <w:rsid w:val="00224C16"/>
    <w:rsid w:val="00224E41"/>
    <w:rsid w:val="0022580B"/>
    <w:rsid w:val="00226D48"/>
    <w:rsid w:val="00226D76"/>
    <w:rsid w:val="0022799E"/>
    <w:rsid w:val="00227F94"/>
    <w:rsid w:val="002343C2"/>
    <w:rsid w:val="00234FB0"/>
    <w:rsid w:val="0023544B"/>
    <w:rsid w:val="002357FE"/>
    <w:rsid w:val="00235F5D"/>
    <w:rsid w:val="00236429"/>
    <w:rsid w:val="00236A21"/>
    <w:rsid w:val="00236DD9"/>
    <w:rsid w:val="00237FDB"/>
    <w:rsid w:val="00240521"/>
    <w:rsid w:val="00241202"/>
    <w:rsid w:val="002418CB"/>
    <w:rsid w:val="002419B0"/>
    <w:rsid w:val="00241C9A"/>
    <w:rsid w:val="00241EBD"/>
    <w:rsid w:val="00242B92"/>
    <w:rsid w:val="00244B1A"/>
    <w:rsid w:val="00245A31"/>
    <w:rsid w:val="002462DE"/>
    <w:rsid w:val="0025070E"/>
    <w:rsid w:val="0025102F"/>
    <w:rsid w:val="002510AD"/>
    <w:rsid w:val="00252F1B"/>
    <w:rsid w:val="00254AFB"/>
    <w:rsid w:val="00254DCA"/>
    <w:rsid w:val="0025508A"/>
    <w:rsid w:val="002552B5"/>
    <w:rsid w:val="00255F2D"/>
    <w:rsid w:val="002567F1"/>
    <w:rsid w:val="0025792B"/>
    <w:rsid w:val="00261544"/>
    <w:rsid w:val="0026190B"/>
    <w:rsid w:val="0026209E"/>
    <w:rsid w:val="00262587"/>
    <w:rsid w:val="00262BFB"/>
    <w:rsid w:val="00263FCC"/>
    <w:rsid w:val="00264182"/>
    <w:rsid w:val="002649EE"/>
    <w:rsid w:val="002652A5"/>
    <w:rsid w:val="002654EC"/>
    <w:rsid w:val="002658CC"/>
    <w:rsid w:val="00265F89"/>
    <w:rsid w:val="00266F39"/>
    <w:rsid w:val="00267060"/>
    <w:rsid w:val="00270316"/>
    <w:rsid w:val="002715F0"/>
    <w:rsid w:val="00272A41"/>
    <w:rsid w:val="00272FFF"/>
    <w:rsid w:val="00273952"/>
    <w:rsid w:val="00274171"/>
    <w:rsid w:val="0027463A"/>
    <w:rsid w:val="002747E3"/>
    <w:rsid w:val="002749FC"/>
    <w:rsid w:val="00274C2E"/>
    <w:rsid w:val="002752AA"/>
    <w:rsid w:val="002757B8"/>
    <w:rsid w:val="00277D43"/>
    <w:rsid w:val="002803EA"/>
    <w:rsid w:val="00280C3F"/>
    <w:rsid w:val="00280F86"/>
    <w:rsid w:val="00281241"/>
    <w:rsid w:val="0028162F"/>
    <w:rsid w:val="002817C5"/>
    <w:rsid w:val="002821F9"/>
    <w:rsid w:val="00282DFA"/>
    <w:rsid w:val="00282F30"/>
    <w:rsid w:val="002833A3"/>
    <w:rsid w:val="00283984"/>
    <w:rsid w:val="002839D9"/>
    <w:rsid w:val="002854D7"/>
    <w:rsid w:val="002868E1"/>
    <w:rsid w:val="00286AA5"/>
    <w:rsid w:val="00286D89"/>
    <w:rsid w:val="00287140"/>
    <w:rsid w:val="0029108F"/>
    <w:rsid w:val="002913B3"/>
    <w:rsid w:val="0029163F"/>
    <w:rsid w:val="00292E14"/>
    <w:rsid w:val="00293572"/>
    <w:rsid w:val="00293E4F"/>
    <w:rsid w:val="00295FC9"/>
    <w:rsid w:val="00296A1F"/>
    <w:rsid w:val="00296F17"/>
    <w:rsid w:val="00297482"/>
    <w:rsid w:val="002A0150"/>
    <w:rsid w:val="002A08F7"/>
    <w:rsid w:val="002A0F48"/>
    <w:rsid w:val="002A1279"/>
    <w:rsid w:val="002A1FE0"/>
    <w:rsid w:val="002A2269"/>
    <w:rsid w:val="002A288B"/>
    <w:rsid w:val="002A2C24"/>
    <w:rsid w:val="002A3871"/>
    <w:rsid w:val="002A3E40"/>
    <w:rsid w:val="002B00E3"/>
    <w:rsid w:val="002B0164"/>
    <w:rsid w:val="002B0D95"/>
    <w:rsid w:val="002B0ECA"/>
    <w:rsid w:val="002B1E6E"/>
    <w:rsid w:val="002B27F7"/>
    <w:rsid w:val="002B2F4B"/>
    <w:rsid w:val="002B3A38"/>
    <w:rsid w:val="002B5E20"/>
    <w:rsid w:val="002B66AB"/>
    <w:rsid w:val="002B6B1C"/>
    <w:rsid w:val="002B6BF9"/>
    <w:rsid w:val="002C0551"/>
    <w:rsid w:val="002C10E0"/>
    <w:rsid w:val="002C2865"/>
    <w:rsid w:val="002C3114"/>
    <w:rsid w:val="002C3C04"/>
    <w:rsid w:val="002C4499"/>
    <w:rsid w:val="002C6660"/>
    <w:rsid w:val="002C6AEB"/>
    <w:rsid w:val="002C6CA3"/>
    <w:rsid w:val="002C7435"/>
    <w:rsid w:val="002D1361"/>
    <w:rsid w:val="002D1B96"/>
    <w:rsid w:val="002D2822"/>
    <w:rsid w:val="002D3325"/>
    <w:rsid w:val="002D3756"/>
    <w:rsid w:val="002D4143"/>
    <w:rsid w:val="002D422C"/>
    <w:rsid w:val="002D6BA2"/>
    <w:rsid w:val="002E1783"/>
    <w:rsid w:val="002E25CE"/>
    <w:rsid w:val="002E35CA"/>
    <w:rsid w:val="002E41C8"/>
    <w:rsid w:val="002E5C2C"/>
    <w:rsid w:val="002E5C70"/>
    <w:rsid w:val="002E6B46"/>
    <w:rsid w:val="002E7A62"/>
    <w:rsid w:val="002E7C35"/>
    <w:rsid w:val="002F02FF"/>
    <w:rsid w:val="002F1C1D"/>
    <w:rsid w:val="002F1F75"/>
    <w:rsid w:val="002F1FF4"/>
    <w:rsid w:val="002F2172"/>
    <w:rsid w:val="002F2DE3"/>
    <w:rsid w:val="002F3831"/>
    <w:rsid w:val="002F3A07"/>
    <w:rsid w:val="002F4334"/>
    <w:rsid w:val="002F45F4"/>
    <w:rsid w:val="002F5525"/>
    <w:rsid w:val="002F658E"/>
    <w:rsid w:val="002F7003"/>
    <w:rsid w:val="002F7173"/>
    <w:rsid w:val="00302B0A"/>
    <w:rsid w:val="00303B36"/>
    <w:rsid w:val="00303C5B"/>
    <w:rsid w:val="00304A9F"/>
    <w:rsid w:val="00304C12"/>
    <w:rsid w:val="00305BD3"/>
    <w:rsid w:val="00306B04"/>
    <w:rsid w:val="0030757E"/>
    <w:rsid w:val="003075D2"/>
    <w:rsid w:val="0031039B"/>
    <w:rsid w:val="00310FF5"/>
    <w:rsid w:val="0031105D"/>
    <w:rsid w:val="00311692"/>
    <w:rsid w:val="00311B27"/>
    <w:rsid w:val="00311FAA"/>
    <w:rsid w:val="003121BE"/>
    <w:rsid w:val="003130D6"/>
    <w:rsid w:val="00313ED0"/>
    <w:rsid w:val="003141E7"/>
    <w:rsid w:val="003156AC"/>
    <w:rsid w:val="003163F6"/>
    <w:rsid w:val="003167A9"/>
    <w:rsid w:val="003168A3"/>
    <w:rsid w:val="003169C0"/>
    <w:rsid w:val="00317845"/>
    <w:rsid w:val="00317A4E"/>
    <w:rsid w:val="003200B5"/>
    <w:rsid w:val="00321148"/>
    <w:rsid w:val="00322AC4"/>
    <w:rsid w:val="00323034"/>
    <w:rsid w:val="003233C6"/>
    <w:rsid w:val="00323ABA"/>
    <w:rsid w:val="00325FD8"/>
    <w:rsid w:val="003268B5"/>
    <w:rsid w:val="003268FA"/>
    <w:rsid w:val="00326E13"/>
    <w:rsid w:val="00334E12"/>
    <w:rsid w:val="00334FA2"/>
    <w:rsid w:val="0033578E"/>
    <w:rsid w:val="00335F8B"/>
    <w:rsid w:val="0033688B"/>
    <w:rsid w:val="003368AF"/>
    <w:rsid w:val="00340F8B"/>
    <w:rsid w:val="00343641"/>
    <w:rsid w:val="003436F0"/>
    <w:rsid w:val="003439E0"/>
    <w:rsid w:val="00344703"/>
    <w:rsid w:val="003458DD"/>
    <w:rsid w:val="00346353"/>
    <w:rsid w:val="003467E9"/>
    <w:rsid w:val="00346859"/>
    <w:rsid w:val="003474A7"/>
    <w:rsid w:val="00350476"/>
    <w:rsid w:val="0035198D"/>
    <w:rsid w:val="00351CC3"/>
    <w:rsid w:val="00351F6A"/>
    <w:rsid w:val="00352953"/>
    <w:rsid w:val="0035342E"/>
    <w:rsid w:val="00354A41"/>
    <w:rsid w:val="0035533C"/>
    <w:rsid w:val="00355384"/>
    <w:rsid w:val="003558A4"/>
    <w:rsid w:val="00356F95"/>
    <w:rsid w:val="003575E6"/>
    <w:rsid w:val="003604A2"/>
    <w:rsid w:val="00360B48"/>
    <w:rsid w:val="00360D82"/>
    <w:rsid w:val="00361431"/>
    <w:rsid w:val="003623B6"/>
    <w:rsid w:val="003638C6"/>
    <w:rsid w:val="00363DE7"/>
    <w:rsid w:val="00364189"/>
    <w:rsid w:val="00364798"/>
    <w:rsid w:val="00364BED"/>
    <w:rsid w:val="00364C9D"/>
    <w:rsid w:val="00365E49"/>
    <w:rsid w:val="0036606D"/>
    <w:rsid w:val="003663CE"/>
    <w:rsid w:val="00366A4D"/>
    <w:rsid w:val="00366DBC"/>
    <w:rsid w:val="00367D64"/>
    <w:rsid w:val="0037085D"/>
    <w:rsid w:val="003710F6"/>
    <w:rsid w:val="003712C1"/>
    <w:rsid w:val="003720AC"/>
    <w:rsid w:val="0037282B"/>
    <w:rsid w:val="0037514E"/>
    <w:rsid w:val="00375D27"/>
    <w:rsid w:val="00375DCC"/>
    <w:rsid w:val="00376C1A"/>
    <w:rsid w:val="00377DD3"/>
    <w:rsid w:val="00380332"/>
    <w:rsid w:val="003809C8"/>
    <w:rsid w:val="00382AC2"/>
    <w:rsid w:val="003841DF"/>
    <w:rsid w:val="00384245"/>
    <w:rsid w:val="0038439F"/>
    <w:rsid w:val="0038453E"/>
    <w:rsid w:val="003851F7"/>
    <w:rsid w:val="003859D0"/>
    <w:rsid w:val="003862ED"/>
    <w:rsid w:val="00386C5E"/>
    <w:rsid w:val="003875EB"/>
    <w:rsid w:val="00387CAB"/>
    <w:rsid w:val="0039054A"/>
    <w:rsid w:val="00390E91"/>
    <w:rsid w:val="00390FB3"/>
    <w:rsid w:val="00390FD5"/>
    <w:rsid w:val="00392D36"/>
    <w:rsid w:val="00392FD4"/>
    <w:rsid w:val="00393019"/>
    <w:rsid w:val="00394173"/>
    <w:rsid w:val="0039451A"/>
    <w:rsid w:val="00394CFD"/>
    <w:rsid w:val="003954D8"/>
    <w:rsid w:val="00395916"/>
    <w:rsid w:val="00396E09"/>
    <w:rsid w:val="003970CC"/>
    <w:rsid w:val="00397B29"/>
    <w:rsid w:val="00397EB8"/>
    <w:rsid w:val="003A0B8B"/>
    <w:rsid w:val="003A1709"/>
    <w:rsid w:val="003A22C0"/>
    <w:rsid w:val="003A4855"/>
    <w:rsid w:val="003A54FF"/>
    <w:rsid w:val="003A5529"/>
    <w:rsid w:val="003A5D1D"/>
    <w:rsid w:val="003A5FBE"/>
    <w:rsid w:val="003A6911"/>
    <w:rsid w:val="003A7276"/>
    <w:rsid w:val="003B012F"/>
    <w:rsid w:val="003B0131"/>
    <w:rsid w:val="003B035A"/>
    <w:rsid w:val="003B064A"/>
    <w:rsid w:val="003B0D42"/>
    <w:rsid w:val="003B2124"/>
    <w:rsid w:val="003B5167"/>
    <w:rsid w:val="003B5953"/>
    <w:rsid w:val="003B5A30"/>
    <w:rsid w:val="003B5D5A"/>
    <w:rsid w:val="003B5F7E"/>
    <w:rsid w:val="003C00AD"/>
    <w:rsid w:val="003C0445"/>
    <w:rsid w:val="003C088F"/>
    <w:rsid w:val="003C0D38"/>
    <w:rsid w:val="003C114A"/>
    <w:rsid w:val="003C1736"/>
    <w:rsid w:val="003C198E"/>
    <w:rsid w:val="003C1D34"/>
    <w:rsid w:val="003C2743"/>
    <w:rsid w:val="003C3387"/>
    <w:rsid w:val="003C363F"/>
    <w:rsid w:val="003C5550"/>
    <w:rsid w:val="003C6925"/>
    <w:rsid w:val="003C7F75"/>
    <w:rsid w:val="003D114D"/>
    <w:rsid w:val="003D1BA8"/>
    <w:rsid w:val="003D2060"/>
    <w:rsid w:val="003D2A01"/>
    <w:rsid w:val="003D3420"/>
    <w:rsid w:val="003D35D8"/>
    <w:rsid w:val="003D400D"/>
    <w:rsid w:val="003D4995"/>
    <w:rsid w:val="003D4AA5"/>
    <w:rsid w:val="003D5A9F"/>
    <w:rsid w:val="003D5F9E"/>
    <w:rsid w:val="003D630C"/>
    <w:rsid w:val="003D6E96"/>
    <w:rsid w:val="003D6F6E"/>
    <w:rsid w:val="003D70D7"/>
    <w:rsid w:val="003D7DCB"/>
    <w:rsid w:val="003E07DA"/>
    <w:rsid w:val="003E1EC3"/>
    <w:rsid w:val="003E2505"/>
    <w:rsid w:val="003E3046"/>
    <w:rsid w:val="003E4957"/>
    <w:rsid w:val="003E4C4B"/>
    <w:rsid w:val="003E5300"/>
    <w:rsid w:val="003E58CA"/>
    <w:rsid w:val="003E6165"/>
    <w:rsid w:val="003E7070"/>
    <w:rsid w:val="003E7798"/>
    <w:rsid w:val="003E7A0A"/>
    <w:rsid w:val="003E7B27"/>
    <w:rsid w:val="003F084E"/>
    <w:rsid w:val="003F08CE"/>
    <w:rsid w:val="003F17E1"/>
    <w:rsid w:val="003F1C4E"/>
    <w:rsid w:val="003F25F9"/>
    <w:rsid w:val="003F3EFC"/>
    <w:rsid w:val="003F4043"/>
    <w:rsid w:val="003F724B"/>
    <w:rsid w:val="004007EE"/>
    <w:rsid w:val="0040239C"/>
    <w:rsid w:val="00402C80"/>
    <w:rsid w:val="00402D26"/>
    <w:rsid w:val="00402DBC"/>
    <w:rsid w:val="00403FC1"/>
    <w:rsid w:val="00404429"/>
    <w:rsid w:val="00404591"/>
    <w:rsid w:val="00404AB1"/>
    <w:rsid w:val="004052C7"/>
    <w:rsid w:val="00405CA0"/>
    <w:rsid w:val="004061DE"/>
    <w:rsid w:val="00407A3C"/>
    <w:rsid w:val="00407CB8"/>
    <w:rsid w:val="00407EF3"/>
    <w:rsid w:val="004101A6"/>
    <w:rsid w:val="004103A5"/>
    <w:rsid w:val="004109E6"/>
    <w:rsid w:val="00411175"/>
    <w:rsid w:val="00413181"/>
    <w:rsid w:val="004139E1"/>
    <w:rsid w:val="00413F04"/>
    <w:rsid w:val="004154AD"/>
    <w:rsid w:val="0041632D"/>
    <w:rsid w:val="00416E66"/>
    <w:rsid w:val="00421264"/>
    <w:rsid w:val="00421E01"/>
    <w:rsid w:val="004222DB"/>
    <w:rsid w:val="00422C7B"/>
    <w:rsid w:val="004234C0"/>
    <w:rsid w:val="00424125"/>
    <w:rsid w:val="00424E11"/>
    <w:rsid w:val="00424E85"/>
    <w:rsid w:val="0042736A"/>
    <w:rsid w:val="00427AA3"/>
    <w:rsid w:val="0043028B"/>
    <w:rsid w:val="00430841"/>
    <w:rsid w:val="004314CE"/>
    <w:rsid w:val="004318B4"/>
    <w:rsid w:val="00431C5E"/>
    <w:rsid w:val="00432ADD"/>
    <w:rsid w:val="004330F7"/>
    <w:rsid w:val="004341D5"/>
    <w:rsid w:val="0043437F"/>
    <w:rsid w:val="004348F1"/>
    <w:rsid w:val="0043629F"/>
    <w:rsid w:val="004367CC"/>
    <w:rsid w:val="00436F17"/>
    <w:rsid w:val="00437D2D"/>
    <w:rsid w:val="0044125C"/>
    <w:rsid w:val="004422A7"/>
    <w:rsid w:val="00442D1D"/>
    <w:rsid w:val="00443261"/>
    <w:rsid w:val="004449E6"/>
    <w:rsid w:val="004454D6"/>
    <w:rsid w:val="00450AEB"/>
    <w:rsid w:val="00452B9A"/>
    <w:rsid w:val="00454701"/>
    <w:rsid w:val="0045477E"/>
    <w:rsid w:val="0045479B"/>
    <w:rsid w:val="00454CE9"/>
    <w:rsid w:val="00454E63"/>
    <w:rsid w:val="00455FBB"/>
    <w:rsid w:val="00456139"/>
    <w:rsid w:val="00456594"/>
    <w:rsid w:val="00456840"/>
    <w:rsid w:val="004571E4"/>
    <w:rsid w:val="00462FA8"/>
    <w:rsid w:val="00463024"/>
    <w:rsid w:val="004633BC"/>
    <w:rsid w:val="004637D5"/>
    <w:rsid w:val="004639D4"/>
    <w:rsid w:val="00463A7A"/>
    <w:rsid w:val="004642F9"/>
    <w:rsid w:val="00464D73"/>
    <w:rsid w:val="00465919"/>
    <w:rsid w:val="00465B99"/>
    <w:rsid w:val="00466BDD"/>
    <w:rsid w:val="00467203"/>
    <w:rsid w:val="004674D6"/>
    <w:rsid w:val="00467EA5"/>
    <w:rsid w:val="00467EC9"/>
    <w:rsid w:val="00467FC0"/>
    <w:rsid w:val="00470525"/>
    <w:rsid w:val="00471849"/>
    <w:rsid w:val="0047193E"/>
    <w:rsid w:val="004721A8"/>
    <w:rsid w:val="004725D1"/>
    <w:rsid w:val="00472FBD"/>
    <w:rsid w:val="004732A8"/>
    <w:rsid w:val="00473DAB"/>
    <w:rsid w:val="004746E4"/>
    <w:rsid w:val="00475035"/>
    <w:rsid w:val="00476152"/>
    <w:rsid w:val="00477296"/>
    <w:rsid w:val="004779BF"/>
    <w:rsid w:val="004802E9"/>
    <w:rsid w:val="0048033F"/>
    <w:rsid w:val="0048062E"/>
    <w:rsid w:val="0048139F"/>
    <w:rsid w:val="0048207C"/>
    <w:rsid w:val="004902D0"/>
    <w:rsid w:val="00490F10"/>
    <w:rsid w:val="004913B0"/>
    <w:rsid w:val="00491484"/>
    <w:rsid w:val="00492644"/>
    <w:rsid w:val="0049418F"/>
    <w:rsid w:val="0049467D"/>
    <w:rsid w:val="004969C5"/>
    <w:rsid w:val="004A14A8"/>
    <w:rsid w:val="004A1E94"/>
    <w:rsid w:val="004A21DB"/>
    <w:rsid w:val="004A6B85"/>
    <w:rsid w:val="004A7708"/>
    <w:rsid w:val="004A7A2B"/>
    <w:rsid w:val="004B18D5"/>
    <w:rsid w:val="004B1D36"/>
    <w:rsid w:val="004B40DA"/>
    <w:rsid w:val="004B4654"/>
    <w:rsid w:val="004B5676"/>
    <w:rsid w:val="004B5A55"/>
    <w:rsid w:val="004B63EF"/>
    <w:rsid w:val="004B686D"/>
    <w:rsid w:val="004B6EA1"/>
    <w:rsid w:val="004B73D5"/>
    <w:rsid w:val="004C1EA0"/>
    <w:rsid w:val="004C2F2D"/>
    <w:rsid w:val="004C3F1A"/>
    <w:rsid w:val="004C48B6"/>
    <w:rsid w:val="004C49C1"/>
    <w:rsid w:val="004C4DC0"/>
    <w:rsid w:val="004C55AD"/>
    <w:rsid w:val="004C5905"/>
    <w:rsid w:val="004C60C0"/>
    <w:rsid w:val="004C78AD"/>
    <w:rsid w:val="004D0999"/>
    <w:rsid w:val="004D0AFC"/>
    <w:rsid w:val="004D162E"/>
    <w:rsid w:val="004D1FE2"/>
    <w:rsid w:val="004D2067"/>
    <w:rsid w:val="004D2ED1"/>
    <w:rsid w:val="004D39DA"/>
    <w:rsid w:val="004D3C71"/>
    <w:rsid w:val="004D3CD2"/>
    <w:rsid w:val="004D4458"/>
    <w:rsid w:val="004D489A"/>
    <w:rsid w:val="004D4F35"/>
    <w:rsid w:val="004D601B"/>
    <w:rsid w:val="004D60A9"/>
    <w:rsid w:val="004D651B"/>
    <w:rsid w:val="004D69A0"/>
    <w:rsid w:val="004E0F73"/>
    <w:rsid w:val="004E13A8"/>
    <w:rsid w:val="004E2DC7"/>
    <w:rsid w:val="004E3AF3"/>
    <w:rsid w:val="004E3FA7"/>
    <w:rsid w:val="004E44D8"/>
    <w:rsid w:val="004E524B"/>
    <w:rsid w:val="004E6919"/>
    <w:rsid w:val="004E6EB1"/>
    <w:rsid w:val="004E6FA9"/>
    <w:rsid w:val="004F0318"/>
    <w:rsid w:val="004F044B"/>
    <w:rsid w:val="004F0D46"/>
    <w:rsid w:val="004F19E3"/>
    <w:rsid w:val="004F2445"/>
    <w:rsid w:val="004F2A83"/>
    <w:rsid w:val="004F44D5"/>
    <w:rsid w:val="004F480A"/>
    <w:rsid w:val="004F4A10"/>
    <w:rsid w:val="004F5236"/>
    <w:rsid w:val="004F5617"/>
    <w:rsid w:val="004F5ACD"/>
    <w:rsid w:val="004F666B"/>
    <w:rsid w:val="005003B5"/>
    <w:rsid w:val="00503096"/>
    <w:rsid w:val="00504588"/>
    <w:rsid w:val="00504FB2"/>
    <w:rsid w:val="005053F4"/>
    <w:rsid w:val="00505E13"/>
    <w:rsid w:val="00506436"/>
    <w:rsid w:val="00506E07"/>
    <w:rsid w:val="00506E80"/>
    <w:rsid w:val="005072EE"/>
    <w:rsid w:val="00507AF2"/>
    <w:rsid w:val="0051027B"/>
    <w:rsid w:val="00510EA8"/>
    <w:rsid w:val="00511360"/>
    <w:rsid w:val="0051180C"/>
    <w:rsid w:val="00511EE1"/>
    <w:rsid w:val="00512721"/>
    <w:rsid w:val="00513303"/>
    <w:rsid w:val="00514D42"/>
    <w:rsid w:val="00514E83"/>
    <w:rsid w:val="00516410"/>
    <w:rsid w:val="00516A40"/>
    <w:rsid w:val="00517267"/>
    <w:rsid w:val="005172F3"/>
    <w:rsid w:val="0051763A"/>
    <w:rsid w:val="005203DA"/>
    <w:rsid w:val="0052049C"/>
    <w:rsid w:val="0052112B"/>
    <w:rsid w:val="00521283"/>
    <w:rsid w:val="005217F0"/>
    <w:rsid w:val="005219BD"/>
    <w:rsid w:val="005231C2"/>
    <w:rsid w:val="0052346C"/>
    <w:rsid w:val="0052383A"/>
    <w:rsid w:val="005238FD"/>
    <w:rsid w:val="00523AB0"/>
    <w:rsid w:val="00523F0C"/>
    <w:rsid w:val="00525079"/>
    <w:rsid w:val="00526243"/>
    <w:rsid w:val="00526B3D"/>
    <w:rsid w:val="0052731C"/>
    <w:rsid w:val="00527770"/>
    <w:rsid w:val="00530FCA"/>
    <w:rsid w:val="00531F98"/>
    <w:rsid w:val="005328B2"/>
    <w:rsid w:val="005329C9"/>
    <w:rsid w:val="00533ECD"/>
    <w:rsid w:val="00533F42"/>
    <w:rsid w:val="005347F8"/>
    <w:rsid w:val="00534FAA"/>
    <w:rsid w:val="00535017"/>
    <w:rsid w:val="00535285"/>
    <w:rsid w:val="00535628"/>
    <w:rsid w:val="005358A0"/>
    <w:rsid w:val="00535DEE"/>
    <w:rsid w:val="00540690"/>
    <w:rsid w:val="00540DB0"/>
    <w:rsid w:val="00541BEB"/>
    <w:rsid w:val="005426DF"/>
    <w:rsid w:val="005430F4"/>
    <w:rsid w:val="005439BE"/>
    <w:rsid w:val="00543B1F"/>
    <w:rsid w:val="00543DEA"/>
    <w:rsid w:val="005443B9"/>
    <w:rsid w:val="005457A5"/>
    <w:rsid w:val="00546C38"/>
    <w:rsid w:val="00546D55"/>
    <w:rsid w:val="00546FAB"/>
    <w:rsid w:val="005504B6"/>
    <w:rsid w:val="005506FE"/>
    <w:rsid w:val="00550A00"/>
    <w:rsid w:val="005510B0"/>
    <w:rsid w:val="00551E0D"/>
    <w:rsid w:val="00554418"/>
    <w:rsid w:val="005547E9"/>
    <w:rsid w:val="005554B9"/>
    <w:rsid w:val="00555822"/>
    <w:rsid w:val="00556479"/>
    <w:rsid w:val="00556B66"/>
    <w:rsid w:val="00556E29"/>
    <w:rsid w:val="00557051"/>
    <w:rsid w:val="005577F1"/>
    <w:rsid w:val="00560D19"/>
    <w:rsid w:val="00561119"/>
    <w:rsid w:val="00561CD5"/>
    <w:rsid w:val="005622BB"/>
    <w:rsid w:val="0056304C"/>
    <w:rsid w:val="0057003B"/>
    <w:rsid w:val="0057059B"/>
    <w:rsid w:val="00571844"/>
    <w:rsid w:val="00571BF4"/>
    <w:rsid w:val="0057267E"/>
    <w:rsid w:val="00573536"/>
    <w:rsid w:val="00573CC5"/>
    <w:rsid w:val="00574B59"/>
    <w:rsid w:val="005752F4"/>
    <w:rsid w:val="00575808"/>
    <w:rsid w:val="00576444"/>
    <w:rsid w:val="00576BB8"/>
    <w:rsid w:val="00577587"/>
    <w:rsid w:val="005775C8"/>
    <w:rsid w:val="0058174A"/>
    <w:rsid w:val="00581DD5"/>
    <w:rsid w:val="0058356C"/>
    <w:rsid w:val="00583E5F"/>
    <w:rsid w:val="005862BF"/>
    <w:rsid w:val="00586672"/>
    <w:rsid w:val="005868AB"/>
    <w:rsid w:val="00586AE2"/>
    <w:rsid w:val="00587712"/>
    <w:rsid w:val="00587797"/>
    <w:rsid w:val="00587C4A"/>
    <w:rsid w:val="00590A35"/>
    <w:rsid w:val="005920D4"/>
    <w:rsid w:val="005930AA"/>
    <w:rsid w:val="00593577"/>
    <w:rsid w:val="00593E98"/>
    <w:rsid w:val="00594458"/>
    <w:rsid w:val="00594F7D"/>
    <w:rsid w:val="00595524"/>
    <w:rsid w:val="00595FA4"/>
    <w:rsid w:val="00597BC5"/>
    <w:rsid w:val="005A0A06"/>
    <w:rsid w:val="005A1A49"/>
    <w:rsid w:val="005A2236"/>
    <w:rsid w:val="005A34B7"/>
    <w:rsid w:val="005A3E3D"/>
    <w:rsid w:val="005A3E93"/>
    <w:rsid w:val="005A5899"/>
    <w:rsid w:val="005A67E6"/>
    <w:rsid w:val="005A6D9F"/>
    <w:rsid w:val="005A75ED"/>
    <w:rsid w:val="005B050D"/>
    <w:rsid w:val="005B05AA"/>
    <w:rsid w:val="005B1182"/>
    <w:rsid w:val="005B19DF"/>
    <w:rsid w:val="005B1E4A"/>
    <w:rsid w:val="005B2421"/>
    <w:rsid w:val="005B2A71"/>
    <w:rsid w:val="005B4B55"/>
    <w:rsid w:val="005B565E"/>
    <w:rsid w:val="005B7482"/>
    <w:rsid w:val="005B7C6F"/>
    <w:rsid w:val="005C0056"/>
    <w:rsid w:val="005C0777"/>
    <w:rsid w:val="005C0D41"/>
    <w:rsid w:val="005C1B1A"/>
    <w:rsid w:val="005C2775"/>
    <w:rsid w:val="005C3211"/>
    <w:rsid w:val="005C3977"/>
    <w:rsid w:val="005C3AB1"/>
    <w:rsid w:val="005C521C"/>
    <w:rsid w:val="005C5462"/>
    <w:rsid w:val="005C5A78"/>
    <w:rsid w:val="005C6106"/>
    <w:rsid w:val="005C73CC"/>
    <w:rsid w:val="005D0522"/>
    <w:rsid w:val="005D1524"/>
    <w:rsid w:val="005D31F1"/>
    <w:rsid w:val="005D36A0"/>
    <w:rsid w:val="005D37B6"/>
    <w:rsid w:val="005D3889"/>
    <w:rsid w:val="005D469F"/>
    <w:rsid w:val="005D475C"/>
    <w:rsid w:val="005D47F7"/>
    <w:rsid w:val="005D483E"/>
    <w:rsid w:val="005D4B41"/>
    <w:rsid w:val="005D70B2"/>
    <w:rsid w:val="005D7334"/>
    <w:rsid w:val="005D77E0"/>
    <w:rsid w:val="005D7CCF"/>
    <w:rsid w:val="005E0836"/>
    <w:rsid w:val="005E0B9F"/>
    <w:rsid w:val="005E0EF5"/>
    <w:rsid w:val="005E0F5D"/>
    <w:rsid w:val="005E1A33"/>
    <w:rsid w:val="005E2BD3"/>
    <w:rsid w:val="005E31A3"/>
    <w:rsid w:val="005E3D0B"/>
    <w:rsid w:val="005E3D62"/>
    <w:rsid w:val="005E59CD"/>
    <w:rsid w:val="005E5B1C"/>
    <w:rsid w:val="005E6DD7"/>
    <w:rsid w:val="005E7F55"/>
    <w:rsid w:val="005F091B"/>
    <w:rsid w:val="005F1444"/>
    <w:rsid w:val="005F2161"/>
    <w:rsid w:val="005F229D"/>
    <w:rsid w:val="005F2724"/>
    <w:rsid w:val="005F293F"/>
    <w:rsid w:val="005F2E07"/>
    <w:rsid w:val="005F325B"/>
    <w:rsid w:val="005F35C2"/>
    <w:rsid w:val="005F3EE7"/>
    <w:rsid w:val="005F4EE2"/>
    <w:rsid w:val="005F54C9"/>
    <w:rsid w:val="005F56A2"/>
    <w:rsid w:val="005F65CB"/>
    <w:rsid w:val="005F6FB6"/>
    <w:rsid w:val="005F7408"/>
    <w:rsid w:val="005F774A"/>
    <w:rsid w:val="00600D7A"/>
    <w:rsid w:val="006013E3"/>
    <w:rsid w:val="006026AF"/>
    <w:rsid w:val="00602815"/>
    <w:rsid w:val="00602CE6"/>
    <w:rsid w:val="00603292"/>
    <w:rsid w:val="006039A7"/>
    <w:rsid w:val="0060440E"/>
    <w:rsid w:val="00604BB0"/>
    <w:rsid w:val="006050C3"/>
    <w:rsid w:val="00605D26"/>
    <w:rsid w:val="006064E3"/>
    <w:rsid w:val="00607AB9"/>
    <w:rsid w:val="00607E5B"/>
    <w:rsid w:val="00611267"/>
    <w:rsid w:val="00611F8B"/>
    <w:rsid w:val="0061295E"/>
    <w:rsid w:val="00612C74"/>
    <w:rsid w:val="00612CE7"/>
    <w:rsid w:val="00612F99"/>
    <w:rsid w:val="0061320B"/>
    <w:rsid w:val="006135D5"/>
    <w:rsid w:val="00613729"/>
    <w:rsid w:val="006156E6"/>
    <w:rsid w:val="006162ED"/>
    <w:rsid w:val="006165BB"/>
    <w:rsid w:val="00616E90"/>
    <w:rsid w:val="00617C71"/>
    <w:rsid w:val="0062088B"/>
    <w:rsid w:val="006209E1"/>
    <w:rsid w:val="00620CF0"/>
    <w:rsid w:val="0062273F"/>
    <w:rsid w:val="0062286E"/>
    <w:rsid w:val="00622E40"/>
    <w:rsid w:val="00622FEE"/>
    <w:rsid w:val="00623172"/>
    <w:rsid w:val="006234AE"/>
    <w:rsid w:val="0062367B"/>
    <w:rsid w:val="0062367D"/>
    <w:rsid w:val="00624889"/>
    <w:rsid w:val="00626864"/>
    <w:rsid w:val="00630278"/>
    <w:rsid w:val="00630786"/>
    <w:rsid w:val="00631B80"/>
    <w:rsid w:val="006322F9"/>
    <w:rsid w:val="006327EB"/>
    <w:rsid w:val="0063323E"/>
    <w:rsid w:val="006338CB"/>
    <w:rsid w:val="00633C03"/>
    <w:rsid w:val="006346AD"/>
    <w:rsid w:val="00634B93"/>
    <w:rsid w:val="00634C5A"/>
    <w:rsid w:val="00636DF7"/>
    <w:rsid w:val="006400E7"/>
    <w:rsid w:val="00640883"/>
    <w:rsid w:val="00640A10"/>
    <w:rsid w:val="00640DF1"/>
    <w:rsid w:val="00641242"/>
    <w:rsid w:val="00641DB3"/>
    <w:rsid w:val="00643B1D"/>
    <w:rsid w:val="00645629"/>
    <w:rsid w:val="006458E1"/>
    <w:rsid w:val="00645EBF"/>
    <w:rsid w:val="0064611C"/>
    <w:rsid w:val="006461A0"/>
    <w:rsid w:val="00646667"/>
    <w:rsid w:val="006475D8"/>
    <w:rsid w:val="00647DC3"/>
    <w:rsid w:val="0065074F"/>
    <w:rsid w:val="0065112C"/>
    <w:rsid w:val="00651E01"/>
    <w:rsid w:val="0065248B"/>
    <w:rsid w:val="00652CE6"/>
    <w:rsid w:val="00655EED"/>
    <w:rsid w:val="006567CE"/>
    <w:rsid w:val="00660785"/>
    <w:rsid w:val="00660859"/>
    <w:rsid w:val="00660863"/>
    <w:rsid w:val="00661102"/>
    <w:rsid w:val="006611C4"/>
    <w:rsid w:val="00661304"/>
    <w:rsid w:val="00662108"/>
    <w:rsid w:val="00662983"/>
    <w:rsid w:val="00662E05"/>
    <w:rsid w:val="006648F7"/>
    <w:rsid w:val="006651C8"/>
    <w:rsid w:val="00665835"/>
    <w:rsid w:val="00665B86"/>
    <w:rsid w:val="00666143"/>
    <w:rsid w:val="00666149"/>
    <w:rsid w:val="006661B8"/>
    <w:rsid w:val="006669CB"/>
    <w:rsid w:val="00666B10"/>
    <w:rsid w:val="00666CC0"/>
    <w:rsid w:val="0066738A"/>
    <w:rsid w:val="006675A7"/>
    <w:rsid w:val="0066797C"/>
    <w:rsid w:val="006706D8"/>
    <w:rsid w:val="006711FF"/>
    <w:rsid w:val="00671AA6"/>
    <w:rsid w:val="00672506"/>
    <w:rsid w:val="00672858"/>
    <w:rsid w:val="006731F0"/>
    <w:rsid w:val="00674409"/>
    <w:rsid w:val="00677617"/>
    <w:rsid w:val="00680BAF"/>
    <w:rsid w:val="00681466"/>
    <w:rsid w:val="006818D2"/>
    <w:rsid w:val="00682332"/>
    <w:rsid w:val="00682A44"/>
    <w:rsid w:val="0068320A"/>
    <w:rsid w:val="00684615"/>
    <w:rsid w:val="00684EA0"/>
    <w:rsid w:val="006853A5"/>
    <w:rsid w:val="00685992"/>
    <w:rsid w:val="00685AFF"/>
    <w:rsid w:val="00686237"/>
    <w:rsid w:val="00686994"/>
    <w:rsid w:val="0069237A"/>
    <w:rsid w:val="0069256A"/>
    <w:rsid w:val="006925BB"/>
    <w:rsid w:val="00692D45"/>
    <w:rsid w:val="00693623"/>
    <w:rsid w:val="00693C64"/>
    <w:rsid w:val="00693FA7"/>
    <w:rsid w:val="00694488"/>
    <w:rsid w:val="006960E0"/>
    <w:rsid w:val="0069659B"/>
    <w:rsid w:val="00696B03"/>
    <w:rsid w:val="006973AE"/>
    <w:rsid w:val="00697515"/>
    <w:rsid w:val="00697B29"/>
    <w:rsid w:val="00697F9F"/>
    <w:rsid w:val="006A094E"/>
    <w:rsid w:val="006A0D2E"/>
    <w:rsid w:val="006A1E72"/>
    <w:rsid w:val="006A2060"/>
    <w:rsid w:val="006A233F"/>
    <w:rsid w:val="006A2DF1"/>
    <w:rsid w:val="006A3151"/>
    <w:rsid w:val="006A3C61"/>
    <w:rsid w:val="006A3F9D"/>
    <w:rsid w:val="006A4DBB"/>
    <w:rsid w:val="006A56E8"/>
    <w:rsid w:val="006A688A"/>
    <w:rsid w:val="006A69CA"/>
    <w:rsid w:val="006A6FA0"/>
    <w:rsid w:val="006A71C2"/>
    <w:rsid w:val="006A72C5"/>
    <w:rsid w:val="006B1054"/>
    <w:rsid w:val="006B1368"/>
    <w:rsid w:val="006B3C23"/>
    <w:rsid w:val="006B3E6C"/>
    <w:rsid w:val="006B3E74"/>
    <w:rsid w:val="006B5A32"/>
    <w:rsid w:val="006B6371"/>
    <w:rsid w:val="006B6ADD"/>
    <w:rsid w:val="006B78EB"/>
    <w:rsid w:val="006C0553"/>
    <w:rsid w:val="006C0A48"/>
    <w:rsid w:val="006C141F"/>
    <w:rsid w:val="006C163C"/>
    <w:rsid w:val="006C1796"/>
    <w:rsid w:val="006C1CE3"/>
    <w:rsid w:val="006C3DFB"/>
    <w:rsid w:val="006C4655"/>
    <w:rsid w:val="006C5007"/>
    <w:rsid w:val="006C5253"/>
    <w:rsid w:val="006C673C"/>
    <w:rsid w:val="006C703E"/>
    <w:rsid w:val="006C793B"/>
    <w:rsid w:val="006D0C35"/>
    <w:rsid w:val="006D1CEF"/>
    <w:rsid w:val="006D252E"/>
    <w:rsid w:val="006D3B5D"/>
    <w:rsid w:val="006D4EA8"/>
    <w:rsid w:val="006D50B9"/>
    <w:rsid w:val="006D5334"/>
    <w:rsid w:val="006D69A8"/>
    <w:rsid w:val="006D6A05"/>
    <w:rsid w:val="006D7A89"/>
    <w:rsid w:val="006D7BB3"/>
    <w:rsid w:val="006E0F48"/>
    <w:rsid w:val="006E110F"/>
    <w:rsid w:val="006E1689"/>
    <w:rsid w:val="006E30B4"/>
    <w:rsid w:val="006E3F96"/>
    <w:rsid w:val="006E66CC"/>
    <w:rsid w:val="006E789E"/>
    <w:rsid w:val="006F0536"/>
    <w:rsid w:val="006F165C"/>
    <w:rsid w:val="006F216A"/>
    <w:rsid w:val="006F2FE2"/>
    <w:rsid w:val="006F32F5"/>
    <w:rsid w:val="006F3EB5"/>
    <w:rsid w:val="006F498F"/>
    <w:rsid w:val="006F49CA"/>
    <w:rsid w:val="006F4A6A"/>
    <w:rsid w:val="006F5185"/>
    <w:rsid w:val="006F5A65"/>
    <w:rsid w:val="006F6464"/>
    <w:rsid w:val="006F66B1"/>
    <w:rsid w:val="006F7816"/>
    <w:rsid w:val="00701088"/>
    <w:rsid w:val="0070188F"/>
    <w:rsid w:val="00701B4D"/>
    <w:rsid w:val="007029C1"/>
    <w:rsid w:val="00702CC6"/>
    <w:rsid w:val="00703D3E"/>
    <w:rsid w:val="00705B4D"/>
    <w:rsid w:val="00705B9C"/>
    <w:rsid w:val="00706276"/>
    <w:rsid w:val="007104CA"/>
    <w:rsid w:val="007106F9"/>
    <w:rsid w:val="0071185F"/>
    <w:rsid w:val="00711B5B"/>
    <w:rsid w:val="00711C7B"/>
    <w:rsid w:val="0071332E"/>
    <w:rsid w:val="00714F03"/>
    <w:rsid w:val="0071501F"/>
    <w:rsid w:val="0071532E"/>
    <w:rsid w:val="007154E4"/>
    <w:rsid w:val="0071688F"/>
    <w:rsid w:val="007177BA"/>
    <w:rsid w:val="00717901"/>
    <w:rsid w:val="00717A1F"/>
    <w:rsid w:val="0072030E"/>
    <w:rsid w:val="007209A0"/>
    <w:rsid w:val="00720B87"/>
    <w:rsid w:val="00721422"/>
    <w:rsid w:val="00721BB0"/>
    <w:rsid w:val="00721EB4"/>
    <w:rsid w:val="00722110"/>
    <w:rsid w:val="00722DCF"/>
    <w:rsid w:val="007240EE"/>
    <w:rsid w:val="007241E2"/>
    <w:rsid w:val="00725EBD"/>
    <w:rsid w:val="007262F0"/>
    <w:rsid w:val="007264D5"/>
    <w:rsid w:val="0072671C"/>
    <w:rsid w:val="007267CA"/>
    <w:rsid w:val="00726F62"/>
    <w:rsid w:val="007278C4"/>
    <w:rsid w:val="00730B41"/>
    <w:rsid w:val="007314DB"/>
    <w:rsid w:val="00732BDD"/>
    <w:rsid w:val="007340FE"/>
    <w:rsid w:val="007348F8"/>
    <w:rsid w:val="00735238"/>
    <w:rsid w:val="0073578A"/>
    <w:rsid w:val="007363AF"/>
    <w:rsid w:val="007365B7"/>
    <w:rsid w:val="00737A25"/>
    <w:rsid w:val="007401A4"/>
    <w:rsid w:val="00741685"/>
    <w:rsid w:val="007419ED"/>
    <w:rsid w:val="00742A2F"/>
    <w:rsid w:val="00744978"/>
    <w:rsid w:val="00745021"/>
    <w:rsid w:val="007456E0"/>
    <w:rsid w:val="00746B41"/>
    <w:rsid w:val="007478C0"/>
    <w:rsid w:val="00747F08"/>
    <w:rsid w:val="00750080"/>
    <w:rsid w:val="00750DB0"/>
    <w:rsid w:val="00751970"/>
    <w:rsid w:val="00752FE3"/>
    <w:rsid w:val="00753212"/>
    <w:rsid w:val="00753B55"/>
    <w:rsid w:val="00753FAC"/>
    <w:rsid w:val="007553A2"/>
    <w:rsid w:val="0075549C"/>
    <w:rsid w:val="00755B5F"/>
    <w:rsid w:val="00755C54"/>
    <w:rsid w:val="00755CCF"/>
    <w:rsid w:val="00757B46"/>
    <w:rsid w:val="00757EED"/>
    <w:rsid w:val="00760322"/>
    <w:rsid w:val="00760D19"/>
    <w:rsid w:val="00761B12"/>
    <w:rsid w:val="00763BCF"/>
    <w:rsid w:val="00764168"/>
    <w:rsid w:val="00764D34"/>
    <w:rsid w:val="00765652"/>
    <w:rsid w:val="00765A19"/>
    <w:rsid w:val="00765D05"/>
    <w:rsid w:val="007661F3"/>
    <w:rsid w:val="007700DA"/>
    <w:rsid w:val="00770330"/>
    <w:rsid w:val="00770CB2"/>
    <w:rsid w:val="0077196D"/>
    <w:rsid w:val="0077252E"/>
    <w:rsid w:val="00774030"/>
    <w:rsid w:val="007749A2"/>
    <w:rsid w:val="00774C4F"/>
    <w:rsid w:val="00775050"/>
    <w:rsid w:val="00775167"/>
    <w:rsid w:val="00775CCD"/>
    <w:rsid w:val="00780161"/>
    <w:rsid w:val="00780939"/>
    <w:rsid w:val="007816A5"/>
    <w:rsid w:val="00781C33"/>
    <w:rsid w:val="00781E62"/>
    <w:rsid w:val="00782E75"/>
    <w:rsid w:val="00784E62"/>
    <w:rsid w:val="00784F0C"/>
    <w:rsid w:val="00786833"/>
    <w:rsid w:val="007872E3"/>
    <w:rsid w:val="00790B41"/>
    <w:rsid w:val="00790E39"/>
    <w:rsid w:val="00790F4E"/>
    <w:rsid w:val="00791483"/>
    <w:rsid w:val="00791954"/>
    <w:rsid w:val="007922DA"/>
    <w:rsid w:val="0079411F"/>
    <w:rsid w:val="00794181"/>
    <w:rsid w:val="007948C0"/>
    <w:rsid w:val="007948D9"/>
    <w:rsid w:val="00795E13"/>
    <w:rsid w:val="0079699C"/>
    <w:rsid w:val="007A22A2"/>
    <w:rsid w:val="007A2750"/>
    <w:rsid w:val="007A278E"/>
    <w:rsid w:val="007A2C42"/>
    <w:rsid w:val="007A3D24"/>
    <w:rsid w:val="007A4E10"/>
    <w:rsid w:val="007A58DC"/>
    <w:rsid w:val="007A5B63"/>
    <w:rsid w:val="007A638E"/>
    <w:rsid w:val="007B1681"/>
    <w:rsid w:val="007B19FC"/>
    <w:rsid w:val="007B3091"/>
    <w:rsid w:val="007B3116"/>
    <w:rsid w:val="007B32BF"/>
    <w:rsid w:val="007B499E"/>
    <w:rsid w:val="007B5A59"/>
    <w:rsid w:val="007B5D96"/>
    <w:rsid w:val="007B5F02"/>
    <w:rsid w:val="007B6C90"/>
    <w:rsid w:val="007B6CC4"/>
    <w:rsid w:val="007B76A1"/>
    <w:rsid w:val="007B791C"/>
    <w:rsid w:val="007C00B7"/>
    <w:rsid w:val="007C0A8E"/>
    <w:rsid w:val="007C0C17"/>
    <w:rsid w:val="007C0D41"/>
    <w:rsid w:val="007C0FE0"/>
    <w:rsid w:val="007C1B1F"/>
    <w:rsid w:val="007C2BF3"/>
    <w:rsid w:val="007C32B1"/>
    <w:rsid w:val="007C3631"/>
    <w:rsid w:val="007C38F2"/>
    <w:rsid w:val="007C418C"/>
    <w:rsid w:val="007C42BD"/>
    <w:rsid w:val="007C573F"/>
    <w:rsid w:val="007C586B"/>
    <w:rsid w:val="007C5D12"/>
    <w:rsid w:val="007C655E"/>
    <w:rsid w:val="007C6AC9"/>
    <w:rsid w:val="007C7043"/>
    <w:rsid w:val="007C79A1"/>
    <w:rsid w:val="007C7A15"/>
    <w:rsid w:val="007D0D81"/>
    <w:rsid w:val="007D15CB"/>
    <w:rsid w:val="007D17E7"/>
    <w:rsid w:val="007D30E0"/>
    <w:rsid w:val="007D3B6B"/>
    <w:rsid w:val="007D43E3"/>
    <w:rsid w:val="007D4F98"/>
    <w:rsid w:val="007D5B19"/>
    <w:rsid w:val="007D5D84"/>
    <w:rsid w:val="007D6CD7"/>
    <w:rsid w:val="007D6F0F"/>
    <w:rsid w:val="007D790F"/>
    <w:rsid w:val="007D7C8B"/>
    <w:rsid w:val="007E0630"/>
    <w:rsid w:val="007E0BCC"/>
    <w:rsid w:val="007E19FB"/>
    <w:rsid w:val="007E1FB8"/>
    <w:rsid w:val="007E2ED5"/>
    <w:rsid w:val="007E3658"/>
    <w:rsid w:val="007E45D3"/>
    <w:rsid w:val="007E4B62"/>
    <w:rsid w:val="007E4BE8"/>
    <w:rsid w:val="007E5431"/>
    <w:rsid w:val="007E5B06"/>
    <w:rsid w:val="007E6263"/>
    <w:rsid w:val="007E657B"/>
    <w:rsid w:val="007E6C91"/>
    <w:rsid w:val="007F1D58"/>
    <w:rsid w:val="007F2D71"/>
    <w:rsid w:val="007F3B11"/>
    <w:rsid w:val="007F4274"/>
    <w:rsid w:val="007F4A5D"/>
    <w:rsid w:val="007F5651"/>
    <w:rsid w:val="007F7D14"/>
    <w:rsid w:val="00800183"/>
    <w:rsid w:val="00800BCF"/>
    <w:rsid w:val="0080160F"/>
    <w:rsid w:val="00801D88"/>
    <w:rsid w:val="00801F04"/>
    <w:rsid w:val="00802A79"/>
    <w:rsid w:val="00803F1D"/>
    <w:rsid w:val="0080409B"/>
    <w:rsid w:val="00804658"/>
    <w:rsid w:val="00804AD8"/>
    <w:rsid w:val="008050C1"/>
    <w:rsid w:val="00805EC4"/>
    <w:rsid w:val="00806402"/>
    <w:rsid w:val="00806841"/>
    <w:rsid w:val="00806B0D"/>
    <w:rsid w:val="00810321"/>
    <w:rsid w:val="00810821"/>
    <w:rsid w:val="008108EF"/>
    <w:rsid w:val="0081157E"/>
    <w:rsid w:val="008120C6"/>
    <w:rsid w:val="00813E27"/>
    <w:rsid w:val="0081426D"/>
    <w:rsid w:val="00814385"/>
    <w:rsid w:val="0081560A"/>
    <w:rsid w:val="00815927"/>
    <w:rsid w:val="00815AA4"/>
    <w:rsid w:val="00815E3A"/>
    <w:rsid w:val="0081647D"/>
    <w:rsid w:val="0081693A"/>
    <w:rsid w:val="00816BE7"/>
    <w:rsid w:val="00816F54"/>
    <w:rsid w:val="00817574"/>
    <w:rsid w:val="00821AE1"/>
    <w:rsid w:val="00821B7B"/>
    <w:rsid w:val="0082236A"/>
    <w:rsid w:val="008228AA"/>
    <w:rsid w:val="00822A64"/>
    <w:rsid w:val="00822CCA"/>
    <w:rsid w:val="008235A7"/>
    <w:rsid w:val="008236E5"/>
    <w:rsid w:val="008239F0"/>
    <w:rsid w:val="008252C2"/>
    <w:rsid w:val="00825510"/>
    <w:rsid w:val="0082578E"/>
    <w:rsid w:val="00826749"/>
    <w:rsid w:val="008275F3"/>
    <w:rsid w:val="00827B3E"/>
    <w:rsid w:val="00830B95"/>
    <w:rsid w:val="0083127C"/>
    <w:rsid w:val="008316A5"/>
    <w:rsid w:val="008317D1"/>
    <w:rsid w:val="00831DD5"/>
    <w:rsid w:val="0083262E"/>
    <w:rsid w:val="00833762"/>
    <w:rsid w:val="008337C3"/>
    <w:rsid w:val="0083454A"/>
    <w:rsid w:val="008346F6"/>
    <w:rsid w:val="00834A29"/>
    <w:rsid w:val="00834EB5"/>
    <w:rsid w:val="008350D3"/>
    <w:rsid w:val="00835327"/>
    <w:rsid w:val="00835723"/>
    <w:rsid w:val="00841213"/>
    <w:rsid w:val="00841F8B"/>
    <w:rsid w:val="00842CB6"/>
    <w:rsid w:val="0084336E"/>
    <w:rsid w:val="00844F26"/>
    <w:rsid w:val="00845656"/>
    <w:rsid w:val="008457B4"/>
    <w:rsid w:val="0084630D"/>
    <w:rsid w:val="0085007C"/>
    <w:rsid w:val="00850218"/>
    <w:rsid w:val="00850544"/>
    <w:rsid w:val="00850F79"/>
    <w:rsid w:val="008527A7"/>
    <w:rsid w:val="008530D9"/>
    <w:rsid w:val="008530DA"/>
    <w:rsid w:val="008533C7"/>
    <w:rsid w:val="0085366F"/>
    <w:rsid w:val="00853CE1"/>
    <w:rsid w:val="0085474F"/>
    <w:rsid w:val="008548C6"/>
    <w:rsid w:val="008565C0"/>
    <w:rsid w:val="00856798"/>
    <w:rsid w:val="00860FBA"/>
    <w:rsid w:val="00861D93"/>
    <w:rsid w:val="00863547"/>
    <w:rsid w:val="0086354E"/>
    <w:rsid w:val="00863596"/>
    <w:rsid w:val="008648A5"/>
    <w:rsid w:val="0086604D"/>
    <w:rsid w:val="00866487"/>
    <w:rsid w:val="008664F7"/>
    <w:rsid w:val="0086675B"/>
    <w:rsid w:val="00866FB2"/>
    <w:rsid w:val="008710D3"/>
    <w:rsid w:val="00871209"/>
    <w:rsid w:val="00872327"/>
    <w:rsid w:val="00874EC7"/>
    <w:rsid w:val="00876489"/>
    <w:rsid w:val="00876E3B"/>
    <w:rsid w:val="0087740C"/>
    <w:rsid w:val="00877EC2"/>
    <w:rsid w:val="00880669"/>
    <w:rsid w:val="00880C07"/>
    <w:rsid w:val="008818DD"/>
    <w:rsid w:val="00881C25"/>
    <w:rsid w:val="008820F9"/>
    <w:rsid w:val="008821F9"/>
    <w:rsid w:val="0088241E"/>
    <w:rsid w:val="008838D5"/>
    <w:rsid w:val="00883C52"/>
    <w:rsid w:val="00884583"/>
    <w:rsid w:val="00885A1C"/>
    <w:rsid w:val="0088685B"/>
    <w:rsid w:val="00886F39"/>
    <w:rsid w:val="00890ED3"/>
    <w:rsid w:val="0089204E"/>
    <w:rsid w:val="0089230F"/>
    <w:rsid w:val="0089248E"/>
    <w:rsid w:val="008925C6"/>
    <w:rsid w:val="00893398"/>
    <w:rsid w:val="00893B43"/>
    <w:rsid w:val="00893D30"/>
    <w:rsid w:val="00895B6A"/>
    <w:rsid w:val="0089610F"/>
    <w:rsid w:val="0089651B"/>
    <w:rsid w:val="00896A1B"/>
    <w:rsid w:val="00896FE9"/>
    <w:rsid w:val="008973DE"/>
    <w:rsid w:val="00897521"/>
    <w:rsid w:val="00897CAF"/>
    <w:rsid w:val="008A02E5"/>
    <w:rsid w:val="008A099F"/>
    <w:rsid w:val="008A119A"/>
    <w:rsid w:val="008A1E19"/>
    <w:rsid w:val="008A3DC3"/>
    <w:rsid w:val="008A4E24"/>
    <w:rsid w:val="008A4FEB"/>
    <w:rsid w:val="008A5EAE"/>
    <w:rsid w:val="008A684F"/>
    <w:rsid w:val="008A7675"/>
    <w:rsid w:val="008A7D2B"/>
    <w:rsid w:val="008B1A7F"/>
    <w:rsid w:val="008B21A9"/>
    <w:rsid w:val="008B256C"/>
    <w:rsid w:val="008B31CC"/>
    <w:rsid w:val="008B3E35"/>
    <w:rsid w:val="008B4159"/>
    <w:rsid w:val="008B4857"/>
    <w:rsid w:val="008B4AE6"/>
    <w:rsid w:val="008B4C8D"/>
    <w:rsid w:val="008B53BA"/>
    <w:rsid w:val="008B5485"/>
    <w:rsid w:val="008B663A"/>
    <w:rsid w:val="008B70AD"/>
    <w:rsid w:val="008C03DE"/>
    <w:rsid w:val="008C04D9"/>
    <w:rsid w:val="008C12C5"/>
    <w:rsid w:val="008C157C"/>
    <w:rsid w:val="008C16FD"/>
    <w:rsid w:val="008C19A5"/>
    <w:rsid w:val="008C1C4F"/>
    <w:rsid w:val="008C2580"/>
    <w:rsid w:val="008C3025"/>
    <w:rsid w:val="008C332B"/>
    <w:rsid w:val="008C3672"/>
    <w:rsid w:val="008C3A73"/>
    <w:rsid w:val="008C3AF8"/>
    <w:rsid w:val="008C5926"/>
    <w:rsid w:val="008C6394"/>
    <w:rsid w:val="008C66CD"/>
    <w:rsid w:val="008C70DA"/>
    <w:rsid w:val="008C797D"/>
    <w:rsid w:val="008D09DF"/>
    <w:rsid w:val="008D1FE9"/>
    <w:rsid w:val="008D2B77"/>
    <w:rsid w:val="008D33BE"/>
    <w:rsid w:val="008D42BD"/>
    <w:rsid w:val="008D441A"/>
    <w:rsid w:val="008D52B7"/>
    <w:rsid w:val="008D55ED"/>
    <w:rsid w:val="008D76B0"/>
    <w:rsid w:val="008E1555"/>
    <w:rsid w:val="008E1A32"/>
    <w:rsid w:val="008E1E5B"/>
    <w:rsid w:val="008E2057"/>
    <w:rsid w:val="008E20E9"/>
    <w:rsid w:val="008E2E44"/>
    <w:rsid w:val="008E3783"/>
    <w:rsid w:val="008E37E7"/>
    <w:rsid w:val="008E46F9"/>
    <w:rsid w:val="008E5FE3"/>
    <w:rsid w:val="008E70F6"/>
    <w:rsid w:val="008E7904"/>
    <w:rsid w:val="008E79C1"/>
    <w:rsid w:val="008F0A3D"/>
    <w:rsid w:val="008F103F"/>
    <w:rsid w:val="008F1CFA"/>
    <w:rsid w:val="008F254B"/>
    <w:rsid w:val="008F30B8"/>
    <w:rsid w:val="008F3AAF"/>
    <w:rsid w:val="008F464C"/>
    <w:rsid w:val="008F5CE6"/>
    <w:rsid w:val="008F71A8"/>
    <w:rsid w:val="008F73EB"/>
    <w:rsid w:val="008F7B14"/>
    <w:rsid w:val="00901691"/>
    <w:rsid w:val="00901B8F"/>
    <w:rsid w:val="00901E73"/>
    <w:rsid w:val="00902E1E"/>
    <w:rsid w:val="00903400"/>
    <w:rsid w:val="009042EF"/>
    <w:rsid w:val="0090440D"/>
    <w:rsid w:val="0090496B"/>
    <w:rsid w:val="00904AD4"/>
    <w:rsid w:val="0090564E"/>
    <w:rsid w:val="00905C08"/>
    <w:rsid w:val="009061E8"/>
    <w:rsid w:val="00906448"/>
    <w:rsid w:val="00906EB3"/>
    <w:rsid w:val="00907243"/>
    <w:rsid w:val="009129AF"/>
    <w:rsid w:val="00912ACF"/>
    <w:rsid w:val="00912D61"/>
    <w:rsid w:val="00914486"/>
    <w:rsid w:val="009152E6"/>
    <w:rsid w:val="009152F8"/>
    <w:rsid w:val="00915D2A"/>
    <w:rsid w:val="009160D9"/>
    <w:rsid w:val="009164DA"/>
    <w:rsid w:val="00920141"/>
    <w:rsid w:val="009208FB"/>
    <w:rsid w:val="00920EBD"/>
    <w:rsid w:val="0092197F"/>
    <w:rsid w:val="00922206"/>
    <w:rsid w:val="0092253A"/>
    <w:rsid w:val="00922A08"/>
    <w:rsid w:val="00923A92"/>
    <w:rsid w:val="00923CF2"/>
    <w:rsid w:val="00924400"/>
    <w:rsid w:val="009251AF"/>
    <w:rsid w:val="00933606"/>
    <w:rsid w:val="009338B1"/>
    <w:rsid w:val="00934809"/>
    <w:rsid w:val="0093524E"/>
    <w:rsid w:val="00936664"/>
    <w:rsid w:val="00937A41"/>
    <w:rsid w:val="00940404"/>
    <w:rsid w:val="00942152"/>
    <w:rsid w:val="00942307"/>
    <w:rsid w:val="00942953"/>
    <w:rsid w:val="00943202"/>
    <w:rsid w:val="00943DCB"/>
    <w:rsid w:val="0094577A"/>
    <w:rsid w:val="00946087"/>
    <w:rsid w:val="00946122"/>
    <w:rsid w:val="00946D44"/>
    <w:rsid w:val="00947034"/>
    <w:rsid w:val="00947F3A"/>
    <w:rsid w:val="00951CB2"/>
    <w:rsid w:val="00952AB7"/>
    <w:rsid w:val="00952EF7"/>
    <w:rsid w:val="00952F2B"/>
    <w:rsid w:val="00953B2E"/>
    <w:rsid w:val="00953C54"/>
    <w:rsid w:val="00953E5A"/>
    <w:rsid w:val="00954FAE"/>
    <w:rsid w:val="009558D4"/>
    <w:rsid w:val="00955D64"/>
    <w:rsid w:val="00955FE6"/>
    <w:rsid w:val="009576F3"/>
    <w:rsid w:val="009608EF"/>
    <w:rsid w:val="00960C90"/>
    <w:rsid w:val="00960ECD"/>
    <w:rsid w:val="009612CB"/>
    <w:rsid w:val="0096281D"/>
    <w:rsid w:val="00963F09"/>
    <w:rsid w:val="00964272"/>
    <w:rsid w:val="0096517D"/>
    <w:rsid w:val="0096590B"/>
    <w:rsid w:val="00966B1B"/>
    <w:rsid w:val="009674E8"/>
    <w:rsid w:val="009676B8"/>
    <w:rsid w:val="00970414"/>
    <w:rsid w:val="00970D1F"/>
    <w:rsid w:val="00971386"/>
    <w:rsid w:val="00971513"/>
    <w:rsid w:val="0097170E"/>
    <w:rsid w:val="009735FC"/>
    <w:rsid w:val="0097421B"/>
    <w:rsid w:val="00974333"/>
    <w:rsid w:val="00975597"/>
    <w:rsid w:val="00981846"/>
    <w:rsid w:val="00981AD9"/>
    <w:rsid w:val="00982518"/>
    <w:rsid w:val="009830ED"/>
    <w:rsid w:val="009836BB"/>
    <w:rsid w:val="0098578A"/>
    <w:rsid w:val="00985834"/>
    <w:rsid w:val="00985E27"/>
    <w:rsid w:val="0098680E"/>
    <w:rsid w:val="009903CD"/>
    <w:rsid w:val="009905C9"/>
    <w:rsid w:val="009909CE"/>
    <w:rsid w:val="00991A1B"/>
    <w:rsid w:val="00992193"/>
    <w:rsid w:val="00992431"/>
    <w:rsid w:val="00993D19"/>
    <w:rsid w:val="009948E2"/>
    <w:rsid w:val="0099494C"/>
    <w:rsid w:val="009949ED"/>
    <w:rsid w:val="00994AD9"/>
    <w:rsid w:val="00994D84"/>
    <w:rsid w:val="00995876"/>
    <w:rsid w:val="009959EB"/>
    <w:rsid w:val="009961EC"/>
    <w:rsid w:val="009964D6"/>
    <w:rsid w:val="009A163F"/>
    <w:rsid w:val="009A2324"/>
    <w:rsid w:val="009A245D"/>
    <w:rsid w:val="009A32B8"/>
    <w:rsid w:val="009A4176"/>
    <w:rsid w:val="009A4265"/>
    <w:rsid w:val="009A4295"/>
    <w:rsid w:val="009A42A3"/>
    <w:rsid w:val="009A66DC"/>
    <w:rsid w:val="009A6E23"/>
    <w:rsid w:val="009B1FD4"/>
    <w:rsid w:val="009B2177"/>
    <w:rsid w:val="009B38F7"/>
    <w:rsid w:val="009B4422"/>
    <w:rsid w:val="009B4694"/>
    <w:rsid w:val="009B4790"/>
    <w:rsid w:val="009B4838"/>
    <w:rsid w:val="009B4D03"/>
    <w:rsid w:val="009B550D"/>
    <w:rsid w:val="009B611B"/>
    <w:rsid w:val="009B633B"/>
    <w:rsid w:val="009B66B7"/>
    <w:rsid w:val="009B7587"/>
    <w:rsid w:val="009C0280"/>
    <w:rsid w:val="009C09FC"/>
    <w:rsid w:val="009C0D90"/>
    <w:rsid w:val="009C0FDF"/>
    <w:rsid w:val="009C2466"/>
    <w:rsid w:val="009C33CC"/>
    <w:rsid w:val="009C4D33"/>
    <w:rsid w:val="009C6B9F"/>
    <w:rsid w:val="009C6BAE"/>
    <w:rsid w:val="009C74DE"/>
    <w:rsid w:val="009C7790"/>
    <w:rsid w:val="009C7A40"/>
    <w:rsid w:val="009C7F13"/>
    <w:rsid w:val="009D0392"/>
    <w:rsid w:val="009D1886"/>
    <w:rsid w:val="009D1BA8"/>
    <w:rsid w:val="009D2489"/>
    <w:rsid w:val="009D29D7"/>
    <w:rsid w:val="009D3049"/>
    <w:rsid w:val="009D590B"/>
    <w:rsid w:val="009D5C0C"/>
    <w:rsid w:val="009D6A38"/>
    <w:rsid w:val="009D73EF"/>
    <w:rsid w:val="009E016A"/>
    <w:rsid w:val="009E266E"/>
    <w:rsid w:val="009E289D"/>
    <w:rsid w:val="009E3F9E"/>
    <w:rsid w:val="009E40F8"/>
    <w:rsid w:val="009E559C"/>
    <w:rsid w:val="009E69A9"/>
    <w:rsid w:val="009F19AF"/>
    <w:rsid w:val="009F2BA4"/>
    <w:rsid w:val="009F32F8"/>
    <w:rsid w:val="009F344D"/>
    <w:rsid w:val="009F5116"/>
    <w:rsid w:val="009F6C2B"/>
    <w:rsid w:val="009F6F03"/>
    <w:rsid w:val="00A002A5"/>
    <w:rsid w:val="00A00631"/>
    <w:rsid w:val="00A0148D"/>
    <w:rsid w:val="00A03578"/>
    <w:rsid w:val="00A03832"/>
    <w:rsid w:val="00A048B1"/>
    <w:rsid w:val="00A057FB"/>
    <w:rsid w:val="00A05DEF"/>
    <w:rsid w:val="00A0728C"/>
    <w:rsid w:val="00A07DE8"/>
    <w:rsid w:val="00A10611"/>
    <w:rsid w:val="00A111B8"/>
    <w:rsid w:val="00A1123D"/>
    <w:rsid w:val="00A12B1E"/>
    <w:rsid w:val="00A13120"/>
    <w:rsid w:val="00A138C5"/>
    <w:rsid w:val="00A13DF3"/>
    <w:rsid w:val="00A14581"/>
    <w:rsid w:val="00A15144"/>
    <w:rsid w:val="00A15828"/>
    <w:rsid w:val="00A1741B"/>
    <w:rsid w:val="00A17668"/>
    <w:rsid w:val="00A208C5"/>
    <w:rsid w:val="00A247C6"/>
    <w:rsid w:val="00A24D9C"/>
    <w:rsid w:val="00A257CF"/>
    <w:rsid w:val="00A25C99"/>
    <w:rsid w:val="00A26293"/>
    <w:rsid w:val="00A26AEB"/>
    <w:rsid w:val="00A27BDC"/>
    <w:rsid w:val="00A307C7"/>
    <w:rsid w:val="00A31003"/>
    <w:rsid w:val="00A3146F"/>
    <w:rsid w:val="00A3291C"/>
    <w:rsid w:val="00A32C9D"/>
    <w:rsid w:val="00A34C42"/>
    <w:rsid w:val="00A37418"/>
    <w:rsid w:val="00A4005F"/>
    <w:rsid w:val="00A4017E"/>
    <w:rsid w:val="00A42526"/>
    <w:rsid w:val="00A435D3"/>
    <w:rsid w:val="00A44DC2"/>
    <w:rsid w:val="00A45C92"/>
    <w:rsid w:val="00A463AE"/>
    <w:rsid w:val="00A46AE8"/>
    <w:rsid w:val="00A471C1"/>
    <w:rsid w:val="00A47587"/>
    <w:rsid w:val="00A4766E"/>
    <w:rsid w:val="00A47A2A"/>
    <w:rsid w:val="00A47DA5"/>
    <w:rsid w:val="00A47DB2"/>
    <w:rsid w:val="00A528F0"/>
    <w:rsid w:val="00A52CA9"/>
    <w:rsid w:val="00A52D17"/>
    <w:rsid w:val="00A546E0"/>
    <w:rsid w:val="00A5559F"/>
    <w:rsid w:val="00A566F9"/>
    <w:rsid w:val="00A56AC8"/>
    <w:rsid w:val="00A56D1E"/>
    <w:rsid w:val="00A56E84"/>
    <w:rsid w:val="00A57101"/>
    <w:rsid w:val="00A57152"/>
    <w:rsid w:val="00A5789C"/>
    <w:rsid w:val="00A57AFC"/>
    <w:rsid w:val="00A60C73"/>
    <w:rsid w:val="00A61355"/>
    <w:rsid w:val="00A615F9"/>
    <w:rsid w:val="00A62E98"/>
    <w:rsid w:val="00A637F0"/>
    <w:rsid w:val="00A64FCF"/>
    <w:rsid w:val="00A65D59"/>
    <w:rsid w:val="00A65E4B"/>
    <w:rsid w:val="00A667FF"/>
    <w:rsid w:val="00A66B6F"/>
    <w:rsid w:val="00A66D69"/>
    <w:rsid w:val="00A704F4"/>
    <w:rsid w:val="00A70904"/>
    <w:rsid w:val="00A71601"/>
    <w:rsid w:val="00A71EFC"/>
    <w:rsid w:val="00A72EF1"/>
    <w:rsid w:val="00A732EC"/>
    <w:rsid w:val="00A7392A"/>
    <w:rsid w:val="00A73FAA"/>
    <w:rsid w:val="00A74927"/>
    <w:rsid w:val="00A74963"/>
    <w:rsid w:val="00A7498D"/>
    <w:rsid w:val="00A7507D"/>
    <w:rsid w:val="00A757CD"/>
    <w:rsid w:val="00A76081"/>
    <w:rsid w:val="00A77189"/>
    <w:rsid w:val="00A777C1"/>
    <w:rsid w:val="00A77A04"/>
    <w:rsid w:val="00A822EC"/>
    <w:rsid w:val="00A82D74"/>
    <w:rsid w:val="00A82FFC"/>
    <w:rsid w:val="00A83F6D"/>
    <w:rsid w:val="00A83FDC"/>
    <w:rsid w:val="00A84339"/>
    <w:rsid w:val="00A84C69"/>
    <w:rsid w:val="00A85A26"/>
    <w:rsid w:val="00A86143"/>
    <w:rsid w:val="00A86154"/>
    <w:rsid w:val="00A8696A"/>
    <w:rsid w:val="00A86F4B"/>
    <w:rsid w:val="00A8790C"/>
    <w:rsid w:val="00A91558"/>
    <w:rsid w:val="00A91764"/>
    <w:rsid w:val="00A92EB3"/>
    <w:rsid w:val="00A9338C"/>
    <w:rsid w:val="00A93C5F"/>
    <w:rsid w:val="00A93FE0"/>
    <w:rsid w:val="00A95744"/>
    <w:rsid w:val="00A95E1B"/>
    <w:rsid w:val="00A96127"/>
    <w:rsid w:val="00A96BB9"/>
    <w:rsid w:val="00AA1CD6"/>
    <w:rsid w:val="00AA1E0B"/>
    <w:rsid w:val="00AA2492"/>
    <w:rsid w:val="00AA3659"/>
    <w:rsid w:val="00AA37BA"/>
    <w:rsid w:val="00AA494E"/>
    <w:rsid w:val="00AA517D"/>
    <w:rsid w:val="00AA544C"/>
    <w:rsid w:val="00AA749D"/>
    <w:rsid w:val="00AA7988"/>
    <w:rsid w:val="00AA79FF"/>
    <w:rsid w:val="00AB0147"/>
    <w:rsid w:val="00AB21C4"/>
    <w:rsid w:val="00AB522E"/>
    <w:rsid w:val="00AB54EF"/>
    <w:rsid w:val="00AB54F7"/>
    <w:rsid w:val="00AB6291"/>
    <w:rsid w:val="00AB6520"/>
    <w:rsid w:val="00AB7663"/>
    <w:rsid w:val="00AB7E21"/>
    <w:rsid w:val="00AC0621"/>
    <w:rsid w:val="00AC0DC5"/>
    <w:rsid w:val="00AC22E3"/>
    <w:rsid w:val="00AC287B"/>
    <w:rsid w:val="00AC2EA8"/>
    <w:rsid w:val="00AC340C"/>
    <w:rsid w:val="00AC3B6D"/>
    <w:rsid w:val="00AC41B8"/>
    <w:rsid w:val="00AC470D"/>
    <w:rsid w:val="00AC4D06"/>
    <w:rsid w:val="00AC4D2F"/>
    <w:rsid w:val="00AC55B5"/>
    <w:rsid w:val="00AC5639"/>
    <w:rsid w:val="00AC67EE"/>
    <w:rsid w:val="00AC6966"/>
    <w:rsid w:val="00AC7887"/>
    <w:rsid w:val="00AD05D2"/>
    <w:rsid w:val="00AD0976"/>
    <w:rsid w:val="00AD0EF1"/>
    <w:rsid w:val="00AD10BA"/>
    <w:rsid w:val="00AD126E"/>
    <w:rsid w:val="00AD175A"/>
    <w:rsid w:val="00AD1F00"/>
    <w:rsid w:val="00AD2CF2"/>
    <w:rsid w:val="00AD2EF1"/>
    <w:rsid w:val="00AD5B85"/>
    <w:rsid w:val="00AD5D2E"/>
    <w:rsid w:val="00AD5ECB"/>
    <w:rsid w:val="00AD6027"/>
    <w:rsid w:val="00AD66DC"/>
    <w:rsid w:val="00AD693E"/>
    <w:rsid w:val="00AD7FEF"/>
    <w:rsid w:val="00AE0378"/>
    <w:rsid w:val="00AE0784"/>
    <w:rsid w:val="00AE10C3"/>
    <w:rsid w:val="00AE1810"/>
    <w:rsid w:val="00AE1DE8"/>
    <w:rsid w:val="00AE2193"/>
    <w:rsid w:val="00AE21C1"/>
    <w:rsid w:val="00AE39F6"/>
    <w:rsid w:val="00AE3C67"/>
    <w:rsid w:val="00AE4205"/>
    <w:rsid w:val="00AE4F93"/>
    <w:rsid w:val="00AE7561"/>
    <w:rsid w:val="00AE768F"/>
    <w:rsid w:val="00AE79B4"/>
    <w:rsid w:val="00AE7CE4"/>
    <w:rsid w:val="00AF047D"/>
    <w:rsid w:val="00AF0836"/>
    <w:rsid w:val="00AF0C81"/>
    <w:rsid w:val="00AF188B"/>
    <w:rsid w:val="00AF1E04"/>
    <w:rsid w:val="00AF1E22"/>
    <w:rsid w:val="00AF24DE"/>
    <w:rsid w:val="00AF2C49"/>
    <w:rsid w:val="00AF31EF"/>
    <w:rsid w:val="00AF3465"/>
    <w:rsid w:val="00AF3B18"/>
    <w:rsid w:val="00AF4516"/>
    <w:rsid w:val="00AF474C"/>
    <w:rsid w:val="00AF4B84"/>
    <w:rsid w:val="00AF4E85"/>
    <w:rsid w:val="00AF6227"/>
    <w:rsid w:val="00AF688A"/>
    <w:rsid w:val="00AF6A0E"/>
    <w:rsid w:val="00B00ED4"/>
    <w:rsid w:val="00B012AA"/>
    <w:rsid w:val="00B01524"/>
    <w:rsid w:val="00B01B3D"/>
    <w:rsid w:val="00B02398"/>
    <w:rsid w:val="00B0246C"/>
    <w:rsid w:val="00B02AFC"/>
    <w:rsid w:val="00B0402C"/>
    <w:rsid w:val="00B04F80"/>
    <w:rsid w:val="00B0596C"/>
    <w:rsid w:val="00B0653E"/>
    <w:rsid w:val="00B06F29"/>
    <w:rsid w:val="00B07391"/>
    <w:rsid w:val="00B07A9D"/>
    <w:rsid w:val="00B10CE1"/>
    <w:rsid w:val="00B114BB"/>
    <w:rsid w:val="00B135AA"/>
    <w:rsid w:val="00B13B22"/>
    <w:rsid w:val="00B14C61"/>
    <w:rsid w:val="00B14E9A"/>
    <w:rsid w:val="00B16707"/>
    <w:rsid w:val="00B17357"/>
    <w:rsid w:val="00B17B3E"/>
    <w:rsid w:val="00B17B4B"/>
    <w:rsid w:val="00B17BA1"/>
    <w:rsid w:val="00B20AC0"/>
    <w:rsid w:val="00B21C60"/>
    <w:rsid w:val="00B21DC0"/>
    <w:rsid w:val="00B22C97"/>
    <w:rsid w:val="00B23AE5"/>
    <w:rsid w:val="00B242D9"/>
    <w:rsid w:val="00B24F6F"/>
    <w:rsid w:val="00B252F5"/>
    <w:rsid w:val="00B25717"/>
    <w:rsid w:val="00B25BE0"/>
    <w:rsid w:val="00B25DC8"/>
    <w:rsid w:val="00B2603B"/>
    <w:rsid w:val="00B2641C"/>
    <w:rsid w:val="00B268A6"/>
    <w:rsid w:val="00B277ED"/>
    <w:rsid w:val="00B278E2"/>
    <w:rsid w:val="00B30D63"/>
    <w:rsid w:val="00B30FEA"/>
    <w:rsid w:val="00B31110"/>
    <w:rsid w:val="00B33919"/>
    <w:rsid w:val="00B33B31"/>
    <w:rsid w:val="00B3429D"/>
    <w:rsid w:val="00B35394"/>
    <w:rsid w:val="00B35563"/>
    <w:rsid w:val="00B35B92"/>
    <w:rsid w:val="00B36320"/>
    <w:rsid w:val="00B36934"/>
    <w:rsid w:val="00B36D69"/>
    <w:rsid w:val="00B400BD"/>
    <w:rsid w:val="00B40399"/>
    <w:rsid w:val="00B404D1"/>
    <w:rsid w:val="00B4079A"/>
    <w:rsid w:val="00B40833"/>
    <w:rsid w:val="00B40902"/>
    <w:rsid w:val="00B41EFC"/>
    <w:rsid w:val="00B42840"/>
    <w:rsid w:val="00B42979"/>
    <w:rsid w:val="00B431E9"/>
    <w:rsid w:val="00B439F8"/>
    <w:rsid w:val="00B44DE8"/>
    <w:rsid w:val="00B454A9"/>
    <w:rsid w:val="00B459C2"/>
    <w:rsid w:val="00B47CBA"/>
    <w:rsid w:val="00B51310"/>
    <w:rsid w:val="00B513BE"/>
    <w:rsid w:val="00B515AA"/>
    <w:rsid w:val="00B5199A"/>
    <w:rsid w:val="00B51EE1"/>
    <w:rsid w:val="00B52D05"/>
    <w:rsid w:val="00B540C1"/>
    <w:rsid w:val="00B540D4"/>
    <w:rsid w:val="00B54380"/>
    <w:rsid w:val="00B543FE"/>
    <w:rsid w:val="00B545DE"/>
    <w:rsid w:val="00B5660D"/>
    <w:rsid w:val="00B5684E"/>
    <w:rsid w:val="00B57981"/>
    <w:rsid w:val="00B60A34"/>
    <w:rsid w:val="00B61175"/>
    <w:rsid w:val="00B614FB"/>
    <w:rsid w:val="00B618C2"/>
    <w:rsid w:val="00B6194E"/>
    <w:rsid w:val="00B61950"/>
    <w:rsid w:val="00B6295A"/>
    <w:rsid w:val="00B634E3"/>
    <w:rsid w:val="00B6419B"/>
    <w:rsid w:val="00B644AE"/>
    <w:rsid w:val="00B646C0"/>
    <w:rsid w:val="00B65941"/>
    <w:rsid w:val="00B65CFD"/>
    <w:rsid w:val="00B660F5"/>
    <w:rsid w:val="00B66986"/>
    <w:rsid w:val="00B67E1D"/>
    <w:rsid w:val="00B708DC"/>
    <w:rsid w:val="00B71963"/>
    <w:rsid w:val="00B71F7F"/>
    <w:rsid w:val="00B72360"/>
    <w:rsid w:val="00B74426"/>
    <w:rsid w:val="00B750A2"/>
    <w:rsid w:val="00B7587A"/>
    <w:rsid w:val="00B76019"/>
    <w:rsid w:val="00B76445"/>
    <w:rsid w:val="00B765BA"/>
    <w:rsid w:val="00B76797"/>
    <w:rsid w:val="00B76D1B"/>
    <w:rsid w:val="00B80335"/>
    <w:rsid w:val="00B80B44"/>
    <w:rsid w:val="00B83E08"/>
    <w:rsid w:val="00B85885"/>
    <w:rsid w:val="00B85BB8"/>
    <w:rsid w:val="00B8646B"/>
    <w:rsid w:val="00B872D2"/>
    <w:rsid w:val="00B901A4"/>
    <w:rsid w:val="00B9092A"/>
    <w:rsid w:val="00B90FDF"/>
    <w:rsid w:val="00B91C8A"/>
    <w:rsid w:val="00B91DFB"/>
    <w:rsid w:val="00B920D1"/>
    <w:rsid w:val="00B925BE"/>
    <w:rsid w:val="00B93061"/>
    <w:rsid w:val="00B933CF"/>
    <w:rsid w:val="00B93A48"/>
    <w:rsid w:val="00B945F5"/>
    <w:rsid w:val="00B9529A"/>
    <w:rsid w:val="00B9681A"/>
    <w:rsid w:val="00B971E9"/>
    <w:rsid w:val="00B97F29"/>
    <w:rsid w:val="00BA0662"/>
    <w:rsid w:val="00BA0723"/>
    <w:rsid w:val="00BA0ED2"/>
    <w:rsid w:val="00BA11CB"/>
    <w:rsid w:val="00BA1AC3"/>
    <w:rsid w:val="00BA1C54"/>
    <w:rsid w:val="00BA2D33"/>
    <w:rsid w:val="00BA3E65"/>
    <w:rsid w:val="00BA3F82"/>
    <w:rsid w:val="00BA4468"/>
    <w:rsid w:val="00BA5B14"/>
    <w:rsid w:val="00BA6BE4"/>
    <w:rsid w:val="00BA7461"/>
    <w:rsid w:val="00BB01B5"/>
    <w:rsid w:val="00BB08B2"/>
    <w:rsid w:val="00BB29AA"/>
    <w:rsid w:val="00BB35DF"/>
    <w:rsid w:val="00BB3EC0"/>
    <w:rsid w:val="00BB4A0D"/>
    <w:rsid w:val="00BB4A5B"/>
    <w:rsid w:val="00BB5336"/>
    <w:rsid w:val="00BB5538"/>
    <w:rsid w:val="00BB554E"/>
    <w:rsid w:val="00BB5B81"/>
    <w:rsid w:val="00BB5E21"/>
    <w:rsid w:val="00BB611E"/>
    <w:rsid w:val="00BB62D4"/>
    <w:rsid w:val="00BB6BD5"/>
    <w:rsid w:val="00BB6D39"/>
    <w:rsid w:val="00BB7152"/>
    <w:rsid w:val="00BB71A8"/>
    <w:rsid w:val="00BB7792"/>
    <w:rsid w:val="00BB7A3C"/>
    <w:rsid w:val="00BB7C2D"/>
    <w:rsid w:val="00BC092A"/>
    <w:rsid w:val="00BC0BCA"/>
    <w:rsid w:val="00BC1C49"/>
    <w:rsid w:val="00BC22D7"/>
    <w:rsid w:val="00BC2AD6"/>
    <w:rsid w:val="00BC3756"/>
    <w:rsid w:val="00BC4D9A"/>
    <w:rsid w:val="00BC5602"/>
    <w:rsid w:val="00BC563D"/>
    <w:rsid w:val="00BC56FA"/>
    <w:rsid w:val="00BC719C"/>
    <w:rsid w:val="00BC7D17"/>
    <w:rsid w:val="00BD3603"/>
    <w:rsid w:val="00BD400A"/>
    <w:rsid w:val="00BD425A"/>
    <w:rsid w:val="00BD45B0"/>
    <w:rsid w:val="00BD4B3A"/>
    <w:rsid w:val="00BD4DBD"/>
    <w:rsid w:val="00BD7313"/>
    <w:rsid w:val="00BD7328"/>
    <w:rsid w:val="00BD7498"/>
    <w:rsid w:val="00BD7EE7"/>
    <w:rsid w:val="00BE039B"/>
    <w:rsid w:val="00BE0BA8"/>
    <w:rsid w:val="00BE189B"/>
    <w:rsid w:val="00BE4793"/>
    <w:rsid w:val="00BE59EF"/>
    <w:rsid w:val="00BE6BD1"/>
    <w:rsid w:val="00BE7BA2"/>
    <w:rsid w:val="00BF0966"/>
    <w:rsid w:val="00BF19CA"/>
    <w:rsid w:val="00BF1B16"/>
    <w:rsid w:val="00BF2FF1"/>
    <w:rsid w:val="00BF3302"/>
    <w:rsid w:val="00BF3697"/>
    <w:rsid w:val="00BF3DAB"/>
    <w:rsid w:val="00BF4ED4"/>
    <w:rsid w:val="00BF4FD6"/>
    <w:rsid w:val="00BF569C"/>
    <w:rsid w:val="00BF62FC"/>
    <w:rsid w:val="00BF6563"/>
    <w:rsid w:val="00BF6A65"/>
    <w:rsid w:val="00BF6ACE"/>
    <w:rsid w:val="00BF7356"/>
    <w:rsid w:val="00BF79ED"/>
    <w:rsid w:val="00BF7F1C"/>
    <w:rsid w:val="00C00D0F"/>
    <w:rsid w:val="00C0177B"/>
    <w:rsid w:val="00C01827"/>
    <w:rsid w:val="00C0250D"/>
    <w:rsid w:val="00C03F7B"/>
    <w:rsid w:val="00C04F0C"/>
    <w:rsid w:val="00C04FB6"/>
    <w:rsid w:val="00C0518A"/>
    <w:rsid w:val="00C05C58"/>
    <w:rsid w:val="00C0754D"/>
    <w:rsid w:val="00C07667"/>
    <w:rsid w:val="00C10295"/>
    <w:rsid w:val="00C10C4D"/>
    <w:rsid w:val="00C11961"/>
    <w:rsid w:val="00C13A51"/>
    <w:rsid w:val="00C1476B"/>
    <w:rsid w:val="00C16160"/>
    <w:rsid w:val="00C169C7"/>
    <w:rsid w:val="00C1746A"/>
    <w:rsid w:val="00C20039"/>
    <w:rsid w:val="00C20CD5"/>
    <w:rsid w:val="00C2110E"/>
    <w:rsid w:val="00C2119A"/>
    <w:rsid w:val="00C2190E"/>
    <w:rsid w:val="00C226E6"/>
    <w:rsid w:val="00C22E85"/>
    <w:rsid w:val="00C236D1"/>
    <w:rsid w:val="00C24CAC"/>
    <w:rsid w:val="00C2517F"/>
    <w:rsid w:val="00C25815"/>
    <w:rsid w:val="00C26A45"/>
    <w:rsid w:val="00C26B29"/>
    <w:rsid w:val="00C273EB"/>
    <w:rsid w:val="00C31018"/>
    <w:rsid w:val="00C313BF"/>
    <w:rsid w:val="00C31432"/>
    <w:rsid w:val="00C31EAE"/>
    <w:rsid w:val="00C322CE"/>
    <w:rsid w:val="00C323A5"/>
    <w:rsid w:val="00C32750"/>
    <w:rsid w:val="00C32BBA"/>
    <w:rsid w:val="00C3342D"/>
    <w:rsid w:val="00C33450"/>
    <w:rsid w:val="00C3426B"/>
    <w:rsid w:val="00C35CFB"/>
    <w:rsid w:val="00C36B6B"/>
    <w:rsid w:val="00C37071"/>
    <w:rsid w:val="00C37D32"/>
    <w:rsid w:val="00C37F3E"/>
    <w:rsid w:val="00C40C4C"/>
    <w:rsid w:val="00C41586"/>
    <w:rsid w:val="00C42902"/>
    <w:rsid w:val="00C429CF"/>
    <w:rsid w:val="00C42C94"/>
    <w:rsid w:val="00C4353C"/>
    <w:rsid w:val="00C43C45"/>
    <w:rsid w:val="00C43FE2"/>
    <w:rsid w:val="00C44118"/>
    <w:rsid w:val="00C444CE"/>
    <w:rsid w:val="00C505E4"/>
    <w:rsid w:val="00C51DBB"/>
    <w:rsid w:val="00C52061"/>
    <w:rsid w:val="00C522E9"/>
    <w:rsid w:val="00C524A3"/>
    <w:rsid w:val="00C52681"/>
    <w:rsid w:val="00C53095"/>
    <w:rsid w:val="00C5317F"/>
    <w:rsid w:val="00C53680"/>
    <w:rsid w:val="00C55D51"/>
    <w:rsid w:val="00C57C43"/>
    <w:rsid w:val="00C611D9"/>
    <w:rsid w:val="00C617D4"/>
    <w:rsid w:val="00C61F61"/>
    <w:rsid w:val="00C620A7"/>
    <w:rsid w:val="00C62342"/>
    <w:rsid w:val="00C634A0"/>
    <w:rsid w:val="00C645F9"/>
    <w:rsid w:val="00C6482B"/>
    <w:rsid w:val="00C64967"/>
    <w:rsid w:val="00C65456"/>
    <w:rsid w:val="00C65AA3"/>
    <w:rsid w:val="00C679ED"/>
    <w:rsid w:val="00C71151"/>
    <w:rsid w:val="00C715E1"/>
    <w:rsid w:val="00C72544"/>
    <w:rsid w:val="00C734E9"/>
    <w:rsid w:val="00C7590D"/>
    <w:rsid w:val="00C76765"/>
    <w:rsid w:val="00C76FBB"/>
    <w:rsid w:val="00C777A9"/>
    <w:rsid w:val="00C80455"/>
    <w:rsid w:val="00C8114F"/>
    <w:rsid w:val="00C84E62"/>
    <w:rsid w:val="00C86DAC"/>
    <w:rsid w:val="00C87C55"/>
    <w:rsid w:val="00C92596"/>
    <w:rsid w:val="00C92FD1"/>
    <w:rsid w:val="00C93576"/>
    <w:rsid w:val="00C937E1"/>
    <w:rsid w:val="00C93BB7"/>
    <w:rsid w:val="00C94281"/>
    <w:rsid w:val="00C954E6"/>
    <w:rsid w:val="00C955A6"/>
    <w:rsid w:val="00C96353"/>
    <w:rsid w:val="00C97369"/>
    <w:rsid w:val="00C97628"/>
    <w:rsid w:val="00C97CCB"/>
    <w:rsid w:val="00C97F5E"/>
    <w:rsid w:val="00CA020D"/>
    <w:rsid w:val="00CA0D6F"/>
    <w:rsid w:val="00CA0D7D"/>
    <w:rsid w:val="00CA1147"/>
    <w:rsid w:val="00CA2ACA"/>
    <w:rsid w:val="00CA3407"/>
    <w:rsid w:val="00CA41E9"/>
    <w:rsid w:val="00CA4A3C"/>
    <w:rsid w:val="00CA4FEC"/>
    <w:rsid w:val="00CA50E5"/>
    <w:rsid w:val="00CA6044"/>
    <w:rsid w:val="00CA645C"/>
    <w:rsid w:val="00CA650E"/>
    <w:rsid w:val="00CA6F45"/>
    <w:rsid w:val="00CA7473"/>
    <w:rsid w:val="00CB0D7D"/>
    <w:rsid w:val="00CB0F13"/>
    <w:rsid w:val="00CB151B"/>
    <w:rsid w:val="00CB30B8"/>
    <w:rsid w:val="00CB36C1"/>
    <w:rsid w:val="00CB4258"/>
    <w:rsid w:val="00CB42EF"/>
    <w:rsid w:val="00CB45BC"/>
    <w:rsid w:val="00CB4609"/>
    <w:rsid w:val="00CB4B74"/>
    <w:rsid w:val="00CB636A"/>
    <w:rsid w:val="00CC0D33"/>
    <w:rsid w:val="00CC16ED"/>
    <w:rsid w:val="00CC29FD"/>
    <w:rsid w:val="00CC311F"/>
    <w:rsid w:val="00CC3DCF"/>
    <w:rsid w:val="00CC3E30"/>
    <w:rsid w:val="00CC50E3"/>
    <w:rsid w:val="00CC5511"/>
    <w:rsid w:val="00CC6048"/>
    <w:rsid w:val="00CC6147"/>
    <w:rsid w:val="00CC66AF"/>
    <w:rsid w:val="00CC69B2"/>
    <w:rsid w:val="00CC6A11"/>
    <w:rsid w:val="00CC7450"/>
    <w:rsid w:val="00CC7AC1"/>
    <w:rsid w:val="00CD139A"/>
    <w:rsid w:val="00CD209F"/>
    <w:rsid w:val="00CD31CD"/>
    <w:rsid w:val="00CD35CA"/>
    <w:rsid w:val="00CD368F"/>
    <w:rsid w:val="00CD3CB8"/>
    <w:rsid w:val="00CD4F11"/>
    <w:rsid w:val="00CD592C"/>
    <w:rsid w:val="00CD5AD0"/>
    <w:rsid w:val="00CD6665"/>
    <w:rsid w:val="00CD70F8"/>
    <w:rsid w:val="00CE02D2"/>
    <w:rsid w:val="00CE32D5"/>
    <w:rsid w:val="00CE4537"/>
    <w:rsid w:val="00CE588D"/>
    <w:rsid w:val="00CE6528"/>
    <w:rsid w:val="00CE75EF"/>
    <w:rsid w:val="00CF1638"/>
    <w:rsid w:val="00CF17FD"/>
    <w:rsid w:val="00CF1B4B"/>
    <w:rsid w:val="00CF1C7F"/>
    <w:rsid w:val="00CF288F"/>
    <w:rsid w:val="00CF2921"/>
    <w:rsid w:val="00CF4100"/>
    <w:rsid w:val="00CF50E5"/>
    <w:rsid w:val="00CF5EFF"/>
    <w:rsid w:val="00CF62D6"/>
    <w:rsid w:val="00CF721B"/>
    <w:rsid w:val="00CF75F9"/>
    <w:rsid w:val="00D0122B"/>
    <w:rsid w:val="00D01FEC"/>
    <w:rsid w:val="00D027D9"/>
    <w:rsid w:val="00D04130"/>
    <w:rsid w:val="00D054E8"/>
    <w:rsid w:val="00D06E18"/>
    <w:rsid w:val="00D0715E"/>
    <w:rsid w:val="00D0731C"/>
    <w:rsid w:val="00D074E2"/>
    <w:rsid w:val="00D07950"/>
    <w:rsid w:val="00D11C1F"/>
    <w:rsid w:val="00D12D81"/>
    <w:rsid w:val="00D12D97"/>
    <w:rsid w:val="00D136A0"/>
    <w:rsid w:val="00D13A8F"/>
    <w:rsid w:val="00D15073"/>
    <w:rsid w:val="00D15407"/>
    <w:rsid w:val="00D166CB"/>
    <w:rsid w:val="00D178CE"/>
    <w:rsid w:val="00D20490"/>
    <w:rsid w:val="00D205D3"/>
    <w:rsid w:val="00D213D1"/>
    <w:rsid w:val="00D214EF"/>
    <w:rsid w:val="00D22F72"/>
    <w:rsid w:val="00D2371B"/>
    <w:rsid w:val="00D23A8C"/>
    <w:rsid w:val="00D24F9D"/>
    <w:rsid w:val="00D254F0"/>
    <w:rsid w:val="00D25899"/>
    <w:rsid w:val="00D276A0"/>
    <w:rsid w:val="00D27B6B"/>
    <w:rsid w:val="00D31C8A"/>
    <w:rsid w:val="00D325B3"/>
    <w:rsid w:val="00D33370"/>
    <w:rsid w:val="00D33A16"/>
    <w:rsid w:val="00D33AAF"/>
    <w:rsid w:val="00D356F9"/>
    <w:rsid w:val="00D35B97"/>
    <w:rsid w:val="00D362C3"/>
    <w:rsid w:val="00D36426"/>
    <w:rsid w:val="00D36C4E"/>
    <w:rsid w:val="00D36D9A"/>
    <w:rsid w:val="00D402B0"/>
    <w:rsid w:val="00D402EB"/>
    <w:rsid w:val="00D4076E"/>
    <w:rsid w:val="00D41484"/>
    <w:rsid w:val="00D42135"/>
    <w:rsid w:val="00D445BA"/>
    <w:rsid w:val="00D45206"/>
    <w:rsid w:val="00D46A00"/>
    <w:rsid w:val="00D46F74"/>
    <w:rsid w:val="00D47132"/>
    <w:rsid w:val="00D47BC0"/>
    <w:rsid w:val="00D50391"/>
    <w:rsid w:val="00D50839"/>
    <w:rsid w:val="00D5124C"/>
    <w:rsid w:val="00D512D2"/>
    <w:rsid w:val="00D517D4"/>
    <w:rsid w:val="00D51C36"/>
    <w:rsid w:val="00D529B1"/>
    <w:rsid w:val="00D55330"/>
    <w:rsid w:val="00D55558"/>
    <w:rsid w:val="00D566E1"/>
    <w:rsid w:val="00D56989"/>
    <w:rsid w:val="00D5740A"/>
    <w:rsid w:val="00D57410"/>
    <w:rsid w:val="00D6095E"/>
    <w:rsid w:val="00D621E0"/>
    <w:rsid w:val="00D622DA"/>
    <w:rsid w:val="00D626CA"/>
    <w:rsid w:val="00D6316B"/>
    <w:rsid w:val="00D632B5"/>
    <w:rsid w:val="00D63E6D"/>
    <w:rsid w:val="00D64301"/>
    <w:rsid w:val="00D64E04"/>
    <w:rsid w:val="00D652F2"/>
    <w:rsid w:val="00D66AF8"/>
    <w:rsid w:val="00D66CD0"/>
    <w:rsid w:val="00D70D04"/>
    <w:rsid w:val="00D70FD0"/>
    <w:rsid w:val="00D7100F"/>
    <w:rsid w:val="00D72429"/>
    <w:rsid w:val="00D73260"/>
    <w:rsid w:val="00D73F2A"/>
    <w:rsid w:val="00D75048"/>
    <w:rsid w:val="00D7543F"/>
    <w:rsid w:val="00D75CC6"/>
    <w:rsid w:val="00D7644F"/>
    <w:rsid w:val="00D76C5B"/>
    <w:rsid w:val="00D7730C"/>
    <w:rsid w:val="00D8068A"/>
    <w:rsid w:val="00D818FC"/>
    <w:rsid w:val="00D81B34"/>
    <w:rsid w:val="00D81E5D"/>
    <w:rsid w:val="00D8268A"/>
    <w:rsid w:val="00D82BAE"/>
    <w:rsid w:val="00D83916"/>
    <w:rsid w:val="00D844CC"/>
    <w:rsid w:val="00D8479E"/>
    <w:rsid w:val="00D848D0"/>
    <w:rsid w:val="00D84EF5"/>
    <w:rsid w:val="00D84F0E"/>
    <w:rsid w:val="00D85A22"/>
    <w:rsid w:val="00D872E5"/>
    <w:rsid w:val="00D90081"/>
    <w:rsid w:val="00D901B4"/>
    <w:rsid w:val="00D91AA3"/>
    <w:rsid w:val="00D91DE7"/>
    <w:rsid w:val="00D91EE4"/>
    <w:rsid w:val="00D92005"/>
    <w:rsid w:val="00D92312"/>
    <w:rsid w:val="00D92C18"/>
    <w:rsid w:val="00D93AB9"/>
    <w:rsid w:val="00D970D3"/>
    <w:rsid w:val="00D974D9"/>
    <w:rsid w:val="00D9784A"/>
    <w:rsid w:val="00D97F26"/>
    <w:rsid w:val="00DA1553"/>
    <w:rsid w:val="00DA2AE9"/>
    <w:rsid w:val="00DA3AFC"/>
    <w:rsid w:val="00DA3ED6"/>
    <w:rsid w:val="00DA4326"/>
    <w:rsid w:val="00DA562E"/>
    <w:rsid w:val="00DA6F73"/>
    <w:rsid w:val="00DB1531"/>
    <w:rsid w:val="00DB2067"/>
    <w:rsid w:val="00DB4212"/>
    <w:rsid w:val="00DB4C26"/>
    <w:rsid w:val="00DB4D1E"/>
    <w:rsid w:val="00DB516B"/>
    <w:rsid w:val="00DB5ED6"/>
    <w:rsid w:val="00DB6910"/>
    <w:rsid w:val="00DC0546"/>
    <w:rsid w:val="00DC24DE"/>
    <w:rsid w:val="00DC56C0"/>
    <w:rsid w:val="00DC5A39"/>
    <w:rsid w:val="00DC6707"/>
    <w:rsid w:val="00DC6F4B"/>
    <w:rsid w:val="00DC75FE"/>
    <w:rsid w:val="00DD0BF1"/>
    <w:rsid w:val="00DD364F"/>
    <w:rsid w:val="00DD3B77"/>
    <w:rsid w:val="00DD4069"/>
    <w:rsid w:val="00DD418A"/>
    <w:rsid w:val="00DD43CA"/>
    <w:rsid w:val="00DD494B"/>
    <w:rsid w:val="00DD514D"/>
    <w:rsid w:val="00DD59AB"/>
    <w:rsid w:val="00DD5AB8"/>
    <w:rsid w:val="00DD73B3"/>
    <w:rsid w:val="00DD789E"/>
    <w:rsid w:val="00DE01D1"/>
    <w:rsid w:val="00DE0839"/>
    <w:rsid w:val="00DE14E5"/>
    <w:rsid w:val="00DE1BC4"/>
    <w:rsid w:val="00DE5C64"/>
    <w:rsid w:val="00DE6304"/>
    <w:rsid w:val="00DE6410"/>
    <w:rsid w:val="00DE77C9"/>
    <w:rsid w:val="00DF17AE"/>
    <w:rsid w:val="00DF1C40"/>
    <w:rsid w:val="00DF359C"/>
    <w:rsid w:val="00DF3A46"/>
    <w:rsid w:val="00DF4163"/>
    <w:rsid w:val="00DF56FC"/>
    <w:rsid w:val="00DF589D"/>
    <w:rsid w:val="00DF66B5"/>
    <w:rsid w:val="00DF6D21"/>
    <w:rsid w:val="00DF6E0F"/>
    <w:rsid w:val="00DF724E"/>
    <w:rsid w:val="00DF75AF"/>
    <w:rsid w:val="00E00704"/>
    <w:rsid w:val="00E00743"/>
    <w:rsid w:val="00E010F8"/>
    <w:rsid w:val="00E013F0"/>
    <w:rsid w:val="00E01EAB"/>
    <w:rsid w:val="00E020D0"/>
    <w:rsid w:val="00E025C3"/>
    <w:rsid w:val="00E02DF8"/>
    <w:rsid w:val="00E034E0"/>
    <w:rsid w:val="00E04CA7"/>
    <w:rsid w:val="00E05823"/>
    <w:rsid w:val="00E05C48"/>
    <w:rsid w:val="00E05C89"/>
    <w:rsid w:val="00E066F3"/>
    <w:rsid w:val="00E075A5"/>
    <w:rsid w:val="00E075EF"/>
    <w:rsid w:val="00E07D2A"/>
    <w:rsid w:val="00E10F9D"/>
    <w:rsid w:val="00E11270"/>
    <w:rsid w:val="00E115B4"/>
    <w:rsid w:val="00E11A15"/>
    <w:rsid w:val="00E12D5D"/>
    <w:rsid w:val="00E14BC1"/>
    <w:rsid w:val="00E150D0"/>
    <w:rsid w:val="00E15F47"/>
    <w:rsid w:val="00E16563"/>
    <w:rsid w:val="00E167ED"/>
    <w:rsid w:val="00E171C2"/>
    <w:rsid w:val="00E20542"/>
    <w:rsid w:val="00E21914"/>
    <w:rsid w:val="00E234BE"/>
    <w:rsid w:val="00E24C40"/>
    <w:rsid w:val="00E2615F"/>
    <w:rsid w:val="00E26AE7"/>
    <w:rsid w:val="00E278F8"/>
    <w:rsid w:val="00E303F1"/>
    <w:rsid w:val="00E305AA"/>
    <w:rsid w:val="00E30C0D"/>
    <w:rsid w:val="00E311FE"/>
    <w:rsid w:val="00E31D2D"/>
    <w:rsid w:val="00E31DEB"/>
    <w:rsid w:val="00E323DF"/>
    <w:rsid w:val="00E32A0A"/>
    <w:rsid w:val="00E345F3"/>
    <w:rsid w:val="00E3480F"/>
    <w:rsid w:val="00E34A0B"/>
    <w:rsid w:val="00E35066"/>
    <w:rsid w:val="00E353D2"/>
    <w:rsid w:val="00E35A74"/>
    <w:rsid w:val="00E35E78"/>
    <w:rsid w:val="00E363BF"/>
    <w:rsid w:val="00E365C0"/>
    <w:rsid w:val="00E365FA"/>
    <w:rsid w:val="00E36F35"/>
    <w:rsid w:val="00E42736"/>
    <w:rsid w:val="00E43517"/>
    <w:rsid w:val="00E43C40"/>
    <w:rsid w:val="00E44630"/>
    <w:rsid w:val="00E44D75"/>
    <w:rsid w:val="00E44E70"/>
    <w:rsid w:val="00E45955"/>
    <w:rsid w:val="00E46572"/>
    <w:rsid w:val="00E46635"/>
    <w:rsid w:val="00E4685E"/>
    <w:rsid w:val="00E47046"/>
    <w:rsid w:val="00E47580"/>
    <w:rsid w:val="00E47E99"/>
    <w:rsid w:val="00E508D0"/>
    <w:rsid w:val="00E50A06"/>
    <w:rsid w:val="00E511BD"/>
    <w:rsid w:val="00E5207C"/>
    <w:rsid w:val="00E523B3"/>
    <w:rsid w:val="00E54065"/>
    <w:rsid w:val="00E545CD"/>
    <w:rsid w:val="00E554AF"/>
    <w:rsid w:val="00E57340"/>
    <w:rsid w:val="00E6017F"/>
    <w:rsid w:val="00E60A7B"/>
    <w:rsid w:val="00E60D48"/>
    <w:rsid w:val="00E611CC"/>
    <w:rsid w:val="00E6227E"/>
    <w:rsid w:val="00E626B6"/>
    <w:rsid w:val="00E63E2D"/>
    <w:rsid w:val="00E6456B"/>
    <w:rsid w:val="00E64D54"/>
    <w:rsid w:val="00E64F29"/>
    <w:rsid w:val="00E663BA"/>
    <w:rsid w:val="00E66932"/>
    <w:rsid w:val="00E67881"/>
    <w:rsid w:val="00E70033"/>
    <w:rsid w:val="00E70135"/>
    <w:rsid w:val="00E70461"/>
    <w:rsid w:val="00E7069A"/>
    <w:rsid w:val="00E70A57"/>
    <w:rsid w:val="00E71351"/>
    <w:rsid w:val="00E714BE"/>
    <w:rsid w:val="00E71728"/>
    <w:rsid w:val="00E740A7"/>
    <w:rsid w:val="00E748F1"/>
    <w:rsid w:val="00E74A55"/>
    <w:rsid w:val="00E75202"/>
    <w:rsid w:val="00E75DF2"/>
    <w:rsid w:val="00E7616F"/>
    <w:rsid w:val="00E7702F"/>
    <w:rsid w:val="00E775D4"/>
    <w:rsid w:val="00E7769F"/>
    <w:rsid w:val="00E77756"/>
    <w:rsid w:val="00E77ACA"/>
    <w:rsid w:val="00E77B8F"/>
    <w:rsid w:val="00E8141A"/>
    <w:rsid w:val="00E81EC5"/>
    <w:rsid w:val="00E825ED"/>
    <w:rsid w:val="00E82F28"/>
    <w:rsid w:val="00E835AC"/>
    <w:rsid w:val="00E84027"/>
    <w:rsid w:val="00E850B8"/>
    <w:rsid w:val="00E850FE"/>
    <w:rsid w:val="00E85D1F"/>
    <w:rsid w:val="00E86059"/>
    <w:rsid w:val="00E86F0B"/>
    <w:rsid w:val="00E87877"/>
    <w:rsid w:val="00E879C9"/>
    <w:rsid w:val="00E87F29"/>
    <w:rsid w:val="00E90016"/>
    <w:rsid w:val="00E905A4"/>
    <w:rsid w:val="00E914ED"/>
    <w:rsid w:val="00E928C6"/>
    <w:rsid w:val="00E9341F"/>
    <w:rsid w:val="00E93D37"/>
    <w:rsid w:val="00E93DB4"/>
    <w:rsid w:val="00E93DD4"/>
    <w:rsid w:val="00E94CA8"/>
    <w:rsid w:val="00E94F0B"/>
    <w:rsid w:val="00E956D4"/>
    <w:rsid w:val="00E95CB2"/>
    <w:rsid w:val="00E968D7"/>
    <w:rsid w:val="00E96C9B"/>
    <w:rsid w:val="00EA08B1"/>
    <w:rsid w:val="00EA0AE5"/>
    <w:rsid w:val="00EA147D"/>
    <w:rsid w:val="00EA18AF"/>
    <w:rsid w:val="00EA192A"/>
    <w:rsid w:val="00EA289A"/>
    <w:rsid w:val="00EA30AA"/>
    <w:rsid w:val="00EA30F5"/>
    <w:rsid w:val="00EA44A9"/>
    <w:rsid w:val="00EA5016"/>
    <w:rsid w:val="00EA5310"/>
    <w:rsid w:val="00EA5E0C"/>
    <w:rsid w:val="00EA5F60"/>
    <w:rsid w:val="00EA69A1"/>
    <w:rsid w:val="00EA6E93"/>
    <w:rsid w:val="00EA71FA"/>
    <w:rsid w:val="00EA7A2A"/>
    <w:rsid w:val="00EB1807"/>
    <w:rsid w:val="00EB1995"/>
    <w:rsid w:val="00EB21BE"/>
    <w:rsid w:val="00EB27CC"/>
    <w:rsid w:val="00EB2EFD"/>
    <w:rsid w:val="00EB49DB"/>
    <w:rsid w:val="00EB6299"/>
    <w:rsid w:val="00EB632A"/>
    <w:rsid w:val="00EB6B8D"/>
    <w:rsid w:val="00EB6CF1"/>
    <w:rsid w:val="00EB6EFB"/>
    <w:rsid w:val="00EB78EA"/>
    <w:rsid w:val="00EB7BF1"/>
    <w:rsid w:val="00EC01D8"/>
    <w:rsid w:val="00EC06F0"/>
    <w:rsid w:val="00EC0912"/>
    <w:rsid w:val="00EC0DB5"/>
    <w:rsid w:val="00EC17BB"/>
    <w:rsid w:val="00EC1977"/>
    <w:rsid w:val="00EC2088"/>
    <w:rsid w:val="00EC2111"/>
    <w:rsid w:val="00EC274D"/>
    <w:rsid w:val="00EC38FD"/>
    <w:rsid w:val="00EC3D3E"/>
    <w:rsid w:val="00EC517B"/>
    <w:rsid w:val="00EC576A"/>
    <w:rsid w:val="00EC5816"/>
    <w:rsid w:val="00EC5838"/>
    <w:rsid w:val="00EC5BD1"/>
    <w:rsid w:val="00EC5BFC"/>
    <w:rsid w:val="00EC615B"/>
    <w:rsid w:val="00EC6798"/>
    <w:rsid w:val="00EC6A81"/>
    <w:rsid w:val="00EC6B30"/>
    <w:rsid w:val="00EC6E05"/>
    <w:rsid w:val="00EC7929"/>
    <w:rsid w:val="00ED1A6D"/>
    <w:rsid w:val="00ED1F06"/>
    <w:rsid w:val="00ED321E"/>
    <w:rsid w:val="00ED440A"/>
    <w:rsid w:val="00ED460F"/>
    <w:rsid w:val="00ED4E3A"/>
    <w:rsid w:val="00ED56D0"/>
    <w:rsid w:val="00ED5E8C"/>
    <w:rsid w:val="00ED675F"/>
    <w:rsid w:val="00ED6831"/>
    <w:rsid w:val="00ED7330"/>
    <w:rsid w:val="00ED741D"/>
    <w:rsid w:val="00EE0AB4"/>
    <w:rsid w:val="00EE16D2"/>
    <w:rsid w:val="00EE2FB1"/>
    <w:rsid w:val="00EE3A42"/>
    <w:rsid w:val="00EE3BBD"/>
    <w:rsid w:val="00EE4499"/>
    <w:rsid w:val="00EE4D99"/>
    <w:rsid w:val="00EE5110"/>
    <w:rsid w:val="00EE62DF"/>
    <w:rsid w:val="00EE65BC"/>
    <w:rsid w:val="00EE686E"/>
    <w:rsid w:val="00EE70D3"/>
    <w:rsid w:val="00EE754D"/>
    <w:rsid w:val="00EF00B8"/>
    <w:rsid w:val="00EF0E19"/>
    <w:rsid w:val="00EF16A3"/>
    <w:rsid w:val="00EF254D"/>
    <w:rsid w:val="00EF44F7"/>
    <w:rsid w:val="00EF471A"/>
    <w:rsid w:val="00EF60A0"/>
    <w:rsid w:val="00EF663A"/>
    <w:rsid w:val="00EF6829"/>
    <w:rsid w:val="00EF692E"/>
    <w:rsid w:val="00EF6F41"/>
    <w:rsid w:val="00F005AC"/>
    <w:rsid w:val="00F008F6"/>
    <w:rsid w:val="00F00A4D"/>
    <w:rsid w:val="00F02DE5"/>
    <w:rsid w:val="00F02EE3"/>
    <w:rsid w:val="00F0418B"/>
    <w:rsid w:val="00F04CA3"/>
    <w:rsid w:val="00F052FF"/>
    <w:rsid w:val="00F0673C"/>
    <w:rsid w:val="00F06A67"/>
    <w:rsid w:val="00F06C34"/>
    <w:rsid w:val="00F0740E"/>
    <w:rsid w:val="00F106A3"/>
    <w:rsid w:val="00F10826"/>
    <w:rsid w:val="00F10D50"/>
    <w:rsid w:val="00F10DDE"/>
    <w:rsid w:val="00F10E4D"/>
    <w:rsid w:val="00F11688"/>
    <w:rsid w:val="00F11B72"/>
    <w:rsid w:val="00F138A3"/>
    <w:rsid w:val="00F14554"/>
    <w:rsid w:val="00F14629"/>
    <w:rsid w:val="00F1615C"/>
    <w:rsid w:val="00F162CA"/>
    <w:rsid w:val="00F16779"/>
    <w:rsid w:val="00F16BE9"/>
    <w:rsid w:val="00F2049E"/>
    <w:rsid w:val="00F20DB1"/>
    <w:rsid w:val="00F21545"/>
    <w:rsid w:val="00F2190D"/>
    <w:rsid w:val="00F22060"/>
    <w:rsid w:val="00F22200"/>
    <w:rsid w:val="00F23A7E"/>
    <w:rsid w:val="00F2491D"/>
    <w:rsid w:val="00F25301"/>
    <w:rsid w:val="00F25480"/>
    <w:rsid w:val="00F26691"/>
    <w:rsid w:val="00F27430"/>
    <w:rsid w:val="00F30A19"/>
    <w:rsid w:val="00F30BB1"/>
    <w:rsid w:val="00F323A9"/>
    <w:rsid w:val="00F32453"/>
    <w:rsid w:val="00F34D23"/>
    <w:rsid w:val="00F34FD0"/>
    <w:rsid w:val="00F359B9"/>
    <w:rsid w:val="00F35CCB"/>
    <w:rsid w:val="00F35CD9"/>
    <w:rsid w:val="00F405B9"/>
    <w:rsid w:val="00F40605"/>
    <w:rsid w:val="00F40765"/>
    <w:rsid w:val="00F41169"/>
    <w:rsid w:val="00F419E3"/>
    <w:rsid w:val="00F41AD9"/>
    <w:rsid w:val="00F41B9E"/>
    <w:rsid w:val="00F426D5"/>
    <w:rsid w:val="00F430C7"/>
    <w:rsid w:val="00F440E1"/>
    <w:rsid w:val="00F44B4E"/>
    <w:rsid w:val="00F457B3"/>
    <w:rsid w:val="00F45B8B"/>
    <w:rsid w:val="00F45C66"/>
    <w:rsid w:val="00F4620C"/>
    <w:rsid w:val="00F51C4C"/>
    <w:rsid w:val="00F53E6C"/>
    <w:rsid w:val="00F5446A"/>
    <w:rsid w:val="00F54B69"/>
    <w:rsid w:val="00F54C45"/>
    <w:rsid w:val="00F55248"/>
    <w:rsid w:val="00F552C7"/>
    <w:rsid w:val="00F55396"/>
    <w:rsid w:val="00F55587"/>
    <w:rsid w:val="00F55B70"/>
    <w:rsid w:val="00F578DE"/>
    <w:rsid w:val="00F605F5"/>
    <w:rsid w:val="00F60D73"/>
    <w:rsid w:val="00F61ECE"/>
    <w:rsid w:val="00F62C41"/>
    <w:rsid w:val="00F64389"/>
    <w:rsid w:val="00F64891"/>
    <w:rsid w:val="00F64B64"/>
    <w:rsid w:val="00F64FDE"/>
    <w:rsid w:val="00F65221"/>
    <w:rsid w:val="00F654EA"/>
    <w:rsid w:val="00F654FA"/>
    <w:rsid w:val="00F65BB8"/>
    <w:rsid w:val="00F65E49"/>
    <w:rsid w:val="00F65FFA"/>
    <w:rsid w:val="00F66B02"/>
    <w:rsid w:val="00F66C21"/>
    <w:rsid w:val="00F67102"/>
    <w:rsid w:val="00F67EDB"/>
    <w:rsid w:val="00F70758"/>
    <w:rsid w:val="00F7152E"/>
    <w:rsid w:val="00F74B24"/>
    <w:rsid w:val="00F752B3"/>
    <w:rsid w:val="00F75E9C"/>
    <w:rsid w:val="00F7607D"/>
    <w:rsid w:val="00F76393"/>
    <w:rsid w:val="00F76DA4"/>
    <w:rsid w:val="00F76F8A"/>
    <w:rsid w:val="00F8019B"/>
    <w:rsid w:val="00F80488"/>
    <w:rsid w:val="00F80843"/>
    <w:rsid w:val="00F80AD3"/>
    <w:rsid w:val="00F8144C"/>
    <w:rsid w:val="00F81F51"/>
    <w:rsid w:val="00F8267D"/>
    <w:rsid w:val="00F84851"/>
    <w:rsid w:val="00F84D46"/>
    <w:rsid w:val="00F85A80"/>
    <w:rsid w:val="00F86697"/>
    <w:rsid w:val="00F86801"/>
    <w:rsid w:val="00F869F0"/>
    <w:rsid w:val="00F86AED"/>
    <w:rsid w:val="00F90224"/>
    <w:rsid w:val="00F9113D"/>
    <w:rsid w:val="00F912CC"/>
    <w:rsid w:val="00F91FA5"/>
    <w:rsid w:val="00F92AD7"/>
    <w:rsid w:val="00F92CF0"/>
    <w:rsid w:val="00F94D61"/>
    <w:rsid w:val="00F95556"/>
    <w:rsid w:val="00F95C26"/>
    <w:rsid w:val="00F96D2A"/>
    <w:rsid w:val="00F96F23"/>
    <w:rsid w:val="00F97198"/>
    <w:rsid w:val="00F977B9"/>
    <w:rsid w:val="00F97DEF"/>
    <w:rsid w:val="00FA0350"/>
    <w:rsid w:val="00FA3F4F"/>
    <w:rsid w:val="00FA40B1"/>
    <w:rsid w:val="00FA46F8"/>
    <w:rsid w:val="00FA693F"/>
    <w:rsid w:val="00FA69EB"/>
    <w:rsid w:val="00FA7600"/>
    <w:rsid w:val="00FA7745"/>
    <w:rsid w:val="00FA7DEA"/>
    <w:rsid w:val="00FB0862"/>
    <w:rsid w:val="00FB0896"/>
    <w:rsid w:val="00FB09F0"/>
    <w:rsid w:val="00FB0AC1"/>
    <w:rsid w:val="00FB17ED"/>
    <w:rsid w:val="00FB19BB"/>
    <w:rsid w:val="00FB41C7"/>
    <w:rsid w:val="00FB50BC"/>
    <w:rsid w:val="00FB5274"/>
    <w:rsid w:val="00FB587C"/>
    <w:rsid w:val="00FB58A9"/>
    <w:rsid w:val="00FB681C"/>
    <w:rsid w:val="00FB71D2"/>
    <w:rsid w:val="00FB72BB"/>
    <w:rsid w:val="00FB7C04"/>
    <w:rsid w:val="00FC11FC"/>
    <w:rsid w:val="00FC1E2D"/>
    <w:rsid w:val="00FC2B66"/>
    <w:rsid w:val="00FC352A"/>
    <w:rsid w:val="00FC359D"/>
    <w:rsid w:val="00FC40D8"/>
    <w:rsid w:val="00FC41BD"/>
    <w:rsid w:val="00FC487C"/>
    <w:rsid w:val="00FC4D2D"/>
    <w:rsid w:val="00FC4E69"/>
    <w:rsid w:val="00FC5412"/>
    <w:rsid w:val="00FC5C2A"/>
    <w:rsid w:val="00FC5F08"/>
    <w:rsid w:val="00FC5F5D"/>
    <w:rsid w:val="00FC61F9"/>
    <w:rsid w:val="00FC622E"/>
    <w:rsid w:val="00FC66E0"/>
    <w:rsid w:val="00FD0437"/>
    <w:rsid w:val="00FD051E"/>
    <w:rsid w:val="00FD0688"/>
    <w:rsid w:val="00FD0BD6"/>
    <w:rsid w:val="00FD12CD"/>
    <w:rsid w:val="00FD1309"/>
    <w:rsid w:val="00FD14DE"/>
    <w:rsid w:val="00FD28F1"/>
    <w:rsid w:val="00FD44C2"/>
    <w:rsid w:val="00FD452A"/>
    <w:rsid w:val="00FD4FFA"/>
    <w:rsid w:val="00FD705E"/>
    <w:rsid w:val="00FD76AA"/>
    <w:rsid w:val="00FE0A16"/>
    <w:rsid w:val="00FE0C04"/>
    <w:rsid w:val="00FE1437"/>
    <w:rsid w:val="00FE1529"/>
    <w:rsid w:val="00FE1A12"/>
    <w:rsid w:val="00FE2D54"/>
    <w:rsid w:val="00FE2F3C"/>
    <w:rsid w:val="00FE43BE"/>
    <w:rsid w:val="00FE4710"/>
    <w:rsid w:val="00FE4736"/>
    <w:rsid w:val="00FE4898"/>
    <w:rsid w:val="00FE5304"/>
    <w:rsid w:val="00FE740A"/>
    <w:rsid w:val="00FE7866"/>
    <w:rsid w:val="00FE7C19"/>
    <w:rsid w:val="00FF06D9"/>
    <w:rsid w:val="00FF0849"/>
    <w:rsid w:val="00FF0A08"/>
    <w:rsid w:val="00FF1647"/>
    <w:rsid w:val="00FF22B8"/>
    <w:rsid w:val="00FF2F76"/>
    <w:rsid w:val="00FF3F2D"/>
    <w:rsid w:val="00FF4025"/>
    <w:rsid w:val="00FF4A63"/>
    <w:rsid w:val="00FF4F57"/>
    <w:rsid w:val="00FF54B8"/>
    <w:rsid w:val="00FF7497"/>
    <w:rsid w:val="00FF7835"/>
    <w:rsid w:val="00FF784D"/>
    <w:rsid w:val="0104458B"/>
    <w:rsid w:val="0133758F"/>
    <w:rsid w:val="01640518"/>
    <w:rsid w:val="016D57FA"/>
    <w:rsid w:val="017A6055"/>
    <w:rsid w:val="01956F93"/>
    <w:rsid w:val="019B53E2"/>
    <w:rsid w:val="01C41113"/>
    <w:rsid w:val="01DF1D31"/>
    <w:rsid w:val="01F92D80"/>
    <w:rsid w:val="01F954D4"/>
    <w:rsid w:val="01FD4042"/>
    <w:rsid w:val="020458F6"/>
    <w:rsid w:val="026D0521"/>
    <w:rsid w:val="027D02FE"/>
    <w:rsid w:val="028326FA"/>
    <w:rsid w:val="02B83F1D"/>
    <w:rsid w:val="03026A0B"/>
    <w:rsid w:val="03186D24"/>
    <w:rsid w:val="032B3844"/>
    <w:rsid w:val="03395FEA"/>
    <w:rsid w:val="0388410D"/>
    <w:rsid w:val="03A43FBF"/>
    <w:rsid w:val="04006A2B"/>
    <w:rsid w:val="0409276C"/>
    <w:rsid w:val="045836F1"/>
    <w:rsid w:val="04F902ED"/>
    <w:rsid w:val="054B3988"/>
    <w:rsid w:val="057D4BD1"/>
    <w:rsid w:val="05886E77"/>
    <w:rsid w:val="058A3C4A"/>
    <w:rsid w:val="05C555C6"/>
    <w:rsid w:val="05CE6C7E"/>
    <w:rsid w:val="060F2843"/>
    <w:rsid w:val="0620408A"/>
    <w:rsid w:val="063D0ACC"/>
    <w:rsid w:val="064A21AC"/>
    <w:rsid w:val="06667525"/>
    <w:rsid w:val="067D1B0C"/>
    <w:rsid w:val="06B405F7"/>
    <w:rsid w:val="06B85605"/>
    <w:rsid w:val="06BA4742"/>
    <w:rsid w:val="06C5167C"/>
    <w:rsid w:val="073432EC"/>
    <w:rsid w:val="075637EA"/>
    <w:rsid w:val="075C60BF"/>
    <w:rsid w:val="076520D3"/>
    <w:rsid w:val="076D15CF"/>
    <w:rsid w:val="076E75D8"/>
    <w:rsid w:val="07C04B38"/>
    <w:rsid w:val="07D72EA9"/>
    <w:rsid w:val="07E472F9"/>
    <w:rsid w:val="07FA5809"/>
    <w:rsid w:val="080839BA"/>
    <w:rsid w:val="080D3087"/>
    <w:rsid w:val="08187E7F"/>
    <w:rsid w:val="08721009"/>
    <w:rsid w:val="089B4E12"/>
    <w:rsid w:val="089F7BB5"/>
    <w:rsid w:val="08D03634"/>
    <w:rsid w:val="08E77122"/>
    <w:rsid w:val="09220E03"/>
    <w:rsid w:val="09235FAE"/>
    <w:rsid w:val="09440A55"/>
    <w:rsid w:val="094E5E8B"/>
    <w:rsid w:val="09570B83"/>
    <w:rsid w:val="097D6385"/>
    <w:rsid w:val="0980144C"/>
    <w:rsid w:val="098B2F1A"/>
    <w:rsid w:val="099B2686"/>
    <w:rsid w:val="09C736B1"/>
    <w:rsid w:val="09D12691"/>
    <w:rsid w:val="09DA7976"/>
    <w:rsid w:val="09DE7D03"/>
    <w:rsid w:val="09E667D0"/>
    <w:rsid w:val="0A2A52A4"/>
    <w:rsid w:val="0A425AE5"/>
    <w:rsid w:val="0A7F444C"/>
    <w:rsid w:val="0A8B48B0"/>
    <w:rsid w:val="0AAF72EA"/>
    <w:rsid w:val="0AF41A11"/>
    <w:rsid w:val="0B0405DA"/>
    <w:rsid w:val="0B3138BD"/>
    <w:rsid w:val="0B4827D7"/>
    <w:rsid w:val="0B4C466E"/>
    <w:rsid w:val="0B54287F"/>
    <w:rsid w:val="0B5C10FD"/>
    <w:rsid w:val="0B8F4F60"/>
    <w:rsid w:val="0BC15C42"/>
    <w:rsid w:val="0BCE4DC7"/>
    <w:rsid w:val="0BF476EA"/>
    <w:rsid w:val="0C0C5967"/>
    <w:rsid w:val="0C2E67E4"/>
    <w:rsid w:val="0C623C90"/>
    <w:rsid w:val="0C6939A6"/>
    <w:rsid w:val="0CAE6E4A"/>
    <w:rsid w:val="0CB40839"/>
    <w:rsid w:val="0CDF41BF"/>
    <w:rsid w:val="0CFA74C1"/>
    <w:rsid w:val="0D0316DE"/>
    <w:rsid w:val="0D0B0DAD"/>
    <w:rsid w:val="0D1A404E"/>
    <w:rsid w:val="0D1A7B4B"/>
    <w:rsid w:val="0D254B47"/>
    <w:rsid w:val="0D3910D6"/>
    <w:rsid w:val="0DAE15DF"/>
    <w:rsid w:val="0DE011D7"/>
    <w:rsid w:val="0DED6C3C"/>
    <w:rsid w:val="0DF77E44"/>
    <w:rsid w:val="0E461E6E"/>
    <w:rsid w:val="0E951E2D"/>
    <w:rsid w:val="0EB04C1D"/>
    <w:rsid w:val="0ED32755"/>
    <w:rsid w:val="0ED60439"/>
    <w:rsid w:val="0F0F7EFA"/>
    <w:rsid w:val="0F2036E7"/>
    <w:rsid w:val="0F4939F6"/>
    <w:rsid w:val="0F565086"/>
    <w:rsid w:val="0F572DAE"/>
    <w:rsid w:val="0F5825A4"/>
    <w:rsid w:val="0F840E19"/>
    <w:rsid w:val="0F890D17"/>
    <w:rsid w:val="0F9C6460"/>
    <w:rsid w:val="0FA27879"/>
    <w:rsid w:val="0FCC044D"/>
    <w:rsid w:val="0FED709C"/>
    <w:rsid w:val="0FFC53D4"/>
    <w:rsid w:val="100162AE"/>
    <w:rsid w:val="10216377"/>
    <w:rsid w:val="1030066E"/>
    <w:rsid w:val="104A131B"/>
    <w:rsid w:val="10DA157D"/>
    <w:rsid w:val="114809B7"/>
    <w:rsid w:val="117B74D9"/>
    <w:rsid w:val="119D6F55"/>
    <w:rsid w:val="11AB4C56"/>
    <w:rsid w:val="11AD0C25"/>
    <w:rsid w:val="11CD49CA"/>
    <w:rsid w:val="11F373CA"/>
    <w:rsid w:val="12110C5C"/>
    <w:rsid w:val="12372F05"/>
    <w:rsid w:val="12772755"/>
    <w:rsid w:val="12BD132F"/>
    <w:rsid w:val="12CE0564"/>
    <w:rsid w:val="12E615C9"/>
    <w:rsid w:val="12F059D1"/>
    <w:rsid w:val="130A0F96"/>
    <w:rsid w:val="133348AD"/>
    <w:rsid w:val="13525B1D"/>
    <w:rsid w:val="13696028"/>
    <w:rsid w:val="138D6C9B"/>
    <w:rsid w:val="139934F3"/>
    <w:rsid w:val="140D2A59"/>
    <w:rsid w:val="141E3874"/>
    <w:rsid w:val="143E00CE"/>
    <w:rsid w:val="146A6E8E"/>
    <w:rsid w:val="147B791F"/>
    <w:rsid w:val="14AD3953"/>
    <w:rsid w:val="14BE1DE8"/>
    <w:rsid w:val="14D26371"/>
    <w:rsid w:val="14E279DF"/>
    <w:rsid w:val="150342CB"/>
    <w:rsid w:val="150F7544"/>
    <w:rsid w:val="15141771"/>
    <w:rsid w:val="151E6F20"/>
    <w:rsid w:val="15263142"/>
    <w:rsid w:val="153214E5"/>
    <w:rsid w:val="15341106"/>
    <w:rsid w:val="15477660"/>
    <w:rsid w:val="154D7DE4"/>
    <w:rsid w:val="15662480"/>
    <w:rsid w:val="15953F29"/>
    <w:rsid w:val="15F15AC1"/>
    <w:rsid w:val="1606497D"/>
    <w:rsid w:val="165F21A3"/>
    <w:rsid w:val="16647696"/>
    <w:rsid w:val="16A4068F"/>
    <w:rsid w:val="170D0C8A"/>
    <w:rsid w:val="1726591C"/>
    <w:rsid w:val="17310718"/>
    <w:rsid w:val="178C5750"/>
    <w:rsid w:val="17EA65A4"/>
    <w:rsid w:val="17FD5C86"/>
    <w:rsid w:val="180247C3"/>
    <w:rsid w:val="18343FFF"/>
    <w:rsid w:val="183744C0"/>
    <w:rsid w:val="184B0F97"/>
    <w:rsid w:val="1876171F"/>
    <w:rsid w:val="18975489"/>
    <w:rsid w:val="18B53599"/>
    <w:rsid w:val="190F4E12"/>
    <w:rsid w:val="19230F50"/>
    <w:rsid w:val="19304014"/>
    <w:rsid w:val="19375EE1"/>
    <w:rsid w:val="1941466A"/>
    <w:rsid w:val="199D0935"/>
    <w:rsid w:val="1A21086F"/>
    <w:rsid w:val="1A2B1DC2"/>
    <w:rsid w:val="1A827FFE"/>
    <w:rsid w:val="1A8C7994"/>
    <w:rsid w:val="1A8F413B"/>
    <w:rsid w:val="1A9A3794"/>
    <w:rsid w:val="1AB6217A"/>
    <w:rsid w:val="1ACA0F29"/>
    <w:rsid w:val="1AEF58C2"/>
    <w:rsid w:val="1B0F3D40"/>
    <w:rsid w:val="1B1C6848"/>
    <w:rsid w:val="1B2D23AB"/>
    <w:rsid w:val="1B434E49"/>
    <w:rsid w:val="1B466A2A"/>
    <w:rsid w:val="1B7F368B"/>
    <w:rsid w:val="1B8265A5"/>
    <w:rsid w:val="1B8913EB"/>
    <w:rsid w:val="1BCE681B"/>
    <w:rsid w:val="1BD347AA"/>
    <w:rsid w:val="1BDA0C95"/>
    <w:rsid w:val="1BE258E0"/>
    <w:rsid w:val="1BF43FD9"/>
    <w:rsid w:val="1C12322B"/>
    <w:rsid w:val="1C124AEB"/>
    <w:rsid w:val="1C1450E3"/>
    <w:rsid w:val="1C297D63"/>
    <w:rsid w:val="1C2C4884"/>
    <w:rsid w:val="1C2E4DFD"/>
    <w:rsid w:val="1C480375"/>
    <w:rsid w:val="1C62492D"/>
    <w:rsid w:val="1C6C6C7A"/>
    <w:rsid w:val="1C8C6544"/>
    <w:rsid w:val="1CDB1FF0"/>
    <w:rsid w:val="1D047631"/>
    <w:rsid w:val="1D187D1E"/>
    <w:rsid w:val="1D1E5006"/>
    <w:rsid w:val="1DAC4008"/>
    <w:rsid w:val="1DC3043A"/>
    <w:rsid w:val="1DE52654"/>
    <w:rsid w:val="1E157496"/>
    <w:rsid w:val="1E3A5066"/>
    <w:rsid w:val="1E3F7864"/>
    <w:rsid w:val="1E6E4862"/>
    <w:rsid w:val="1EB32B16"/>
    <w:rsid w:val="1ECD1BD7"/>
    <w:rsid w:val="1EDE362D"/>
    <w:rsid w:val="1EDE3910"/>
    <w:rsid w:val="1F390DB9"/>
    <w:rsid w:val="1F3A7674"/>
    <w:rsid w:val="1FEA3F52"/>
    <w:rsid w:val="200417AB"/>
    <w:rsid w:val="202C46B2"/>
    <w:rsid w:val="20AB4C76"/>
    <w:rsid w:val="21285A05"/>
    <w:rsid w:val="216F7B6E"/>
    <w:rsid w:val="21864FA7"/>
    <w:rsid w:val="219016C0"/>
    <w:rsid w:val="21932BE4"/>
    <w:rsid w:val="21CF24C2"/>
    <w:rsid w:val="21D17CB7"/>
    <w:rsid w:val="21D94230"/>
    <w:rsid w:val="21E704CA"/>
    <w:rsid w:val="222C10C5"/>
    <w:rsid w:val="224105FB"/>
    <w:rsid w:val="22836B71"/>
    <w:rsid w:val="2294503F"/>
    <w:rsid w:val="22A76527"/>
    <w:rsid w:val="22DC2DB3"/>
    <w:rsid w:val="22FE2E0C"/>
    <w:rsid w:val="232D1C8D"/>
    <w:rsid w:val="23671921"/>
    <w:rsid w:val="23841BD9"/>
    <w:rsid w:val="239F04F3"/>
    <w:rsid w:val="23A010F0"/>
    <w:rsid w:val="23CE47E7"/>
    <w:rsid w:val="23F61D9C"/>
    <w:rsid w:val="23F738D7"/>
    <w:rsid w:val="2446410F"/>
    <w:rsid w:val="24963554"/>
    <w:rsid w:val="249656F3"/>
    <w:rsid w:val="252C1A2E"/>
    <w:rsid w:val="253C026C"/>
    <w:rsid w:val="25886BE3"/>
    <w:rsid w:val="25B07A26"/>
    <w:rsid w:val="25C16051"/>
    <w:rsid w:val="25ED2172"/>
    <w:rsid w:val="25FF65CF"/>
    <w:rsid w:val="26034647"/>
    <w:rsid w:val="261E5379"/>
    <w:rsid w:val="26A96E8E"/>
    <w:rsid w:val="26D7660D"/>
    <w:rsid w:val="27012EBF"/>
    <w:rsid w:val="270E6D97"/>
    <w:rsid w:val="27105E71"/>
    <w:rsid w:val="271C092F"/>
    <w:rsid w:val="274B54E9"/>
    <w:rsid w:val="2768006F"/>
    <w:rsid w:val="277D1DB1"/>
    <w:rsid w:val="27AA4769"/>
    <w:rsid w:val="27ED64B9"/>
    <w:rsid w:val="27F31232"/>
    <w:rsid w:val="284D4DD9"/>
    <w:rsid w:val="285E50E5"/>
    <w:rsid w:val="287A5D4B"/>
    <w:rsid w:val="2891170D"/>
    <w:rsid w:val="28AA6DA0"/>
    <w:rsid w:val="28CB5BE0"/>
    <w:rsid w:val="28EA0C9D"/>
    <w:rsid w:val="28F03F58"/>
    <w:rsid w:val="28FF2BF1"/>
    <w:rsid w:val="29135029"/>
    <w:rsid w:val="291746DE"/>
    <w:rsid w:val="291E64FD"/>
    <w:rsid w:val="29677EAC"/>
    <w:rsid w:val="296E1BA6"/>
    <w:rsid w:val="2972448D"/>
    <w:rsid w:val="29777B12"/>
    <w:rsid w:val="29A42A73"/>
    <w:rsid w:val="29B41ABF"/>
    <w:rsid w:val="29CA2C4E"/>
    <w:rsid w:val="29D3130E"/>
    <w:rsid w:val="2A1B7E77"/>
    <w:rsid w:val="2A4027BC"/>
    <w:rsid w:val="2AB0092A"/>
    <w:rsid w:val="2AD06D94"/>
    <w:rsid w:val="2AE02C51"/>
    <w:rsid w:val="2AE64466"/>
    <w:rsid w:val="2B0E16D2"/>
    <w:rsid w:val="2B38542D"/>
    <w:rsid w:val="2B43781E"/>
    <w:rsid w:val="2B6C52CA"/>
    <w:rsid w:val="2B75215F"/>
    <w:rsid w:val="2B782CC2"/>
    <w:rsid w:val="2BA4331E"/>
    <w:rsid w:val="2BA72EB6"/>
    <w:rsid w:val="2BBD5701"/>
    <w:rsid w:val="2BC773D1"/>
    <w:rsid w:val="2BE0316E"/>
    <w:rsid w:val="2BFD2DC5"/>
    <w:rsid w:val="2C19523E"/>
    <w:rsid w:val="2C77792C"/>
    <w:rsid w:val="2C7F3BA9"/>
    <w:rsid w:val="2CA85A95"/>
    <w:rsid w:val="2CB91342"/>
    <w:rsid w:val="2CFA5C0F"/>
    <w:rsid w:val="2D154990"/>
    <w:rsid w:val="2D3F3BA4"/>
    <w:rsid w:val="2D886C00"/>
    <w:rsid w:val="2D8A3D5B"/>
    <w:rsid w:val="2DAF5059"/>
    <w:rsid w:val="2DBF2B4A"/>
    <w:rsid w:val="2E397741"/>
    <w:rsid w:val="2E3D2F06"/>
    <w:rsid w:val="2E53220A"/>
    <w:rsid w:val="2E695DB6"/>
    <w:rsid w:val="2E72456E"/>
    <w:rsid w:val="2EB43687"/>
    <w:rsid w:val="2ECC1D1F"/>
    <w:rsid w:val="2ED95C04"/>
    <w:rsid w:val="2F2627FA"/>
    <w:rsid w:val="2F9C0964"/>
    <w:rsid w:val="2F9E043D"/>
    <w:rsid w:val="2FB85027"/>
    <w:rsid w:val="2FEB0BD7"/>
    <w:rsid w:val="2FF03353"/>
    <w:rsid w:val="30263F63"/>
    <w:rsid w:val="30313B07"/>
    <w:rsid w:val="30341792"/>
    <w:rsid w:val="30645C10"/>
    <w:rsid w:val="30702C3E"/>
    <w:rsid w:val="308D1AEC"/>
    <w:rsid w:val="308E1D3F"/>
    <w:rsid w:val="30DA7865"/>
    <w:rsid w:val="30E166B5"/>
    <w:rsid w:val="30ED7376"/>
    <w:rsid w:val="311724AB"/>
    <w:rsid w:val="311F214E"/>
    <w:rsid w:val="31216F79"/>
    <w:rsid w:val="3152478A"/>
    <w:rsid w:val="319513A0"/>
    <w:rsid w:val="31AB45BC"/>
    <w:rsid w:val="31CC3BDF"/>
    <w:rsid w:val="31E56E8B"/>
    <w:rsid w:val="31FE2D9B"/>
    <w:rsid w:val="3200110E"/>
    <w:rsid w:val="32284277"/>
    <w:rsid w:val="3233692D"/>
    <w:rsid w:val="32516607"/>
    <w:rsid w:val="329267C1"/>
    <w:rsid w:val="32934090"/>
    <w:rsid w:val="329C2479"/>
    <w:rsid w:val="32B62DBE"/>
    <w:rsid w:val="32EB7DAF"/>
    <w:rsid w:val="32F16EDE"/>
    <w:rsid w:val="3368435D"/>
    <w:rsid w:val="33807805"/>
    <w:rsid w:val="339414D9"/>
    <w:rsid w:val="339E3C85"/>
    <w:rsid w:val="33B813EE"/>
    <w:rsid w:val="33D50207"/>
    <w:rsid w:val="33D765B5"/>
    <w:rsid w:val="33EC7DBB"/>
    <w:rsid w:val="34007F6D"/>
    <w:rsid w:val="34062ABA"/>
    <w:rsid w:val="341E39AA"/>
    <w:rsid w:val="34241386"/>
    <w:rsid w:val="342B30BF"/>
    <w:rsid w:val="343B04AE"/>
    <w:rsid w:val="345C4C50"/>
    <w:rsid w:val="34655258"/>
    <w:rsid w:val="3470421E"/>
    <w:rsid w:val="349A66C0"/>
    <w:rsid w:val="34AC65B3"/>
    <w:rsid w:val="34C8321F"/>
    <w:rsid w:val="34CE11CA"/>
    <w:rsid w:val="34E55D94"/>
    <w:rsid w:val="353448B6"/>
    <w:rsid w:val="353F287E"/>
    <w:rsid w:val="35B50B94"/>
    <w:rsid w:val="35B960E0"/>
    <w:rsid w:val="35EC7188"/>
    <w:rsid w:val="35F42522"/>
    <w:rsid w:val="360347F2"/>
    <w:rsid w:val="3633380E"/>
    <w:rsid w:val="36546526"/>
    <w:rsid w:val="365550E2"/>
    <w:rsid w:val="365E7EE1"/>
    <w:rsid w:val="365F6999"/>
    <w:rsid w:val="366413ED"/>
    <w:rsid w:val="36980C13"/>
    <w:rsid w:val="36E14E00"/>
    <w:rsid w:val="36F5703C"/>
    <w:rsid w:val="36FC4E07"/>
    <w:rsid w:val="37170FFE"/>
    <w:rsid w:val="373C412D"/>
    <w:rsid w:val="37920A5A"/>
    <w:rsid w:val="37923071"/>
    <w:rsid w:val="37C02717"/>
    <w:rsid w:val="37E011F8"/>
    <w:rsid w:val="37EF6DC8"/>
    <w:rsid w:val="38094CF1"/>
    <w:rsid w:val="382830B0"/>
    <w:rsid w:val="3845395B"/>
    <w:rsid w:val="3865335C"/>
    <w:rsid w:val="38691B28"/>
    <w:rsid w:val="389C1A37"/>
    <w:rsid w:val="390D4393"/>
    <w:rsid w:val="390F050A"/>
    <w:rsid w:val="391E58A5"/>
    <w:rsid w:val="392512E2"/>
    <w:rsid w:val="39441387"/>
    <w:rsid w:val="39936F54"/>
    <w:rsid w:val="3A090F25"/>
    <w:rsid w:val="3A20601D"/>
    <w:rsid w:val="3A4373AE"/>
    <w:rsid w:val="3A523F1C"/>
    <w:rsid w:val="3A7C328C"/>
    <w:rsid w:val="3A954F9A"/>
    <w:rsid w:val="3AD0536F"/>
    <w:rsid w:val="3AD43EBF"/>
    <w:rsid w:val="3AE325E1"/>
    <w:rsid w:val="3AEA2D04"/>
    <w:rsid w:val="3B0B173D"/>
    <w:rsid w:val="3B0C4E1B"/>
    <w:rsid w:val="3B4445BF"/>
    <w:rsid w:val="3B4E75A1"/>
    <w:rsid w:val="3B8D09A8"/>
    <w:rsid w:val="3B943D76"/>
    <w:rsid w:val="3BAC0F6E"/>
    <w:rsid w:val="3BB755D2"/>
    <w:rsid w:val="3BC16DB3"/>
    <w:rsid w:val="3BC7787A"/>
    <w:rsid w:val="3BE50B73"/>
    <w:rsid w:val="3C0B2B4A"/>
    <w:rsid w:val="3CA62DA2"/>
    <w:rsid w:val="3CB672C1"/>
    <w:rsid w:val="3CB913A5"/>
    <w:rsid w:val="3CBA041E"/>
    <w:rsid w:val="3CC4148B"/>
    <w:rsid w:val="3CD03E9B"/>
    <w:rsid w:val="3CEC6C0D"/>
    <w:rsid w:val="3CF74F4B"/>
    <w:rsid w:val="3CF80C64"/>
    <w:rsid w:val="3D0A244D"/>
    <w:rsid w:val="3D4715A7"/>
    <w:rsid w:val="3D4D5D93"/>
    <w:rsid w:val="3D5E2E2E"/>
    <w:rsid w:val="3D6913B0"/>
    <w:rsid w:val="3D727210"/>
    <w:rsid w:val="3D8C4073"/>
    <w:rsid w:val="3D8E705B"/>
    <w:rsid w:val="3DB72499"/>
    <w:rsid w:val="3DC90816"/>
    <w:rsid w:val="3DE3072F"/>
    <w:rsid w:val="3DED2C8D"/>
    <w:rsid w:val="3DF24F78"/>
    <w:rsid w:val="3DFD109C"/>
    <w:rsid w:val="3E12768D"/>
    <w:rsid w:val="3E55686A"/>
    <w:rsid w:val="3E5C3666"/>
    <w:rsid w:val="3E826293"/>
    <w:rsid w:val="3E9B5E9B"/>
    <w:rsid w:val="3EB94B24"/>
    <w:rsid w:val="3ED40779"/>
    <w:rsid w:val="3EF400E7"/>
    <w:rsid w:val="3EFA2362"/>
    <w:rsid w:val="3F0B211E"/>
    <w:rsid w:val="3F21410E"/>
    <w:rsid w:val="3F8247ED"/>
    <w:rsid w:val="3F8E13A9"/>
    <w:rsid w:val="3FA02BC6"/>
    <w:rsid w:val="3FA1306F"/>
    <w:rsid w:val="3FA656C4"/>
    <w:rsid w:val="3FC77876"/>
    <w:rsid w:val="3FFF76D2"/>
    <w:rsid w:val="40220EF1"/>
    <w:rsid w:val="409273D5"/>
    <w:rsid w:val="40A50367"/>
    <w:rsid w:val="40B12ADB"/>
    <w:rsid w:val="40C258A9"/>
    <w:rsid w:val="40D53E95"/>
    <w:rsid w:val="40ED2269"/>
    <w:rsid w:val="40F462E2"/>
    <w:rsid w:val="40F91A2C"/>
    <w:rsid w:val="4111695C"/>
    <w:rsid w:val="412F3401"/>
    <w:rsid w:val="41A5318D"/>
    <w:rsid w:val="41AB16C2"/>
    <w:rsid w:val="41BF3DDD"/>
    <w:rsid w:val="41D0160D"/>
    <w:rsid w:val="41F379CF"/>
    <w:rsid w:val="4223547E"/>
    <w:rsid w:val="42551D91"/>
    <w:rsid w:val="426F60F8"/>
    <w:rsid w:val="427C4B65"/>
    <w:rsid w:val="42DB107E"/>
    <w:rsid w:val="42DE523E"/>
    <w:rsid w:val="42F223AD"/>
    <w:rsid w:val="43184F08"/>
    <w:rsid w:val="435A40A4"/>
    <w:rsid w:val="435D300A"/>
    <w:rsid w:val="43706CDA"/>
    <w:rsid w:val="438976E2"/>
    <w:rsid w:val="439A4563"/>
    <w:rsid w:val="43AD6999"/>
    <w:rsid w:val="43B23EDE"/>
    <w:rsid w:val="43BE3CB6"/>
    <w:rsid w:val="43F43652"/>
    <w:rsid w:val="44147B34"/>
    <w:rsid w:val="442B137D"/>
    <w:rsid w:val="444B5EFF"/>
    <w:rsid w:val="449B3345"/>
    <w:rsid w:val="44C24D59"/>
    <w:rsid w:val="44E126D9"/>
    <w:rsid w:val="44F3065E"/>
    <w:rsid w:val="45094B99"/>
    <w:rsid w:val="45097E04"/>
    <w:rsid w:val="45315DA4"/>
    <w:rsid w:val="453F4F0D"/>
    <w:rsid w:val="454D6A28"/>
    <w:rsid w:val="456376A9"/>
    <w:rsid w:val="45961954"/>
    <w:rsid w:val="45A66A4B"/>
    <w:rsid w:val="45AE4F0C"/>
    <w:rsid w:val="45F9568D"/>
    <w:rsid w:val="46123BE6"/>
    <w:rsid w:val="46455223"/>
    <w:rsid w:val="46756481"/>
    <w:rsid w:val="469255FF"/>
    <w:rsid w:val="46E548C9"/>
    <w:rsid w:val="471D6E2E"/>
    <w:rsid w:val="47227E01"/>
    <w:rsid w:val="473505D7"/>
    <w:rsid w:val="47393594"/>
    <w:rsid w:val="473A029C"/>
    <w:rsid w:val="47BB49AE"/>
    <w:rsid w:val="47C52DB3"/>
    <w:rsid w:val="47D43FC2"/>
    <w:rsid w:val="47F21BE5"/>
    <w:rsid w:val="47FB124E"/>
    <w:rsid w:val="480677D8"/>
    <w:rsid w:val="48102173"/>
    <w:rsid w:val="481870DA"/>
    <w:rsid w:val="485618D3"/>
    <w:rsid w:val="48621A3D"/>
    <w:rsid w:val="486779BC"/>
    <w:rsid w:val="487C58DA"/>
    <w:rsid w:val="48803767"/>
    <w:rsid w:val="488A31DA"/>
    <w:rsid w:val="48A10BBA"/>
    <w:rsid w:val="48AF1CF1"/>
    <w:rsid w:val="48AF3822"/>
    <w:rsid w:val="48B84099"/>
    <w:rsid w:val="48B87C04"/>
    <w:rsid w:val="48D72771"/>
    <w:rsid w:val="48E75D4F"/>
    <w:rsid w:val="48E76D9A"/>
    <w:rsid w:val="48EC3ED9"/>
    <w:rsid w:val="491958D5"/>
    <w:rsid w:val="49326680"/>
    <w:rsid w:val="493A3472"/>
    <w:rsid w:val="495D66C7"/>
    <w:rsid w:val="49862ABB"/>
    <w:rsid w:val="498F5A6D"/>
    <w:rsid w:val="49DA40B8"/>
    <w:rsid w:val="49F652BE"/>
    <w:rsid w:val="4A214220"/>
    <w:rsid w:val="4A31496B"/>
    <w:rsid w:val="4A424BAD"/>
    <w:rsid w:val="4A5D3C7D"/>
    <w:rsid w:val="4A952B26"/>
    <w:rsid w:val="4AAA1398"/>
    <w:rsid w:val="4AFC12FE"/>
    <w:rsid w:val="4B057E38"/>
    <w:rsid w:val="4B284B27"/>
    <w:rsid w:val="4B35462A"/>
    <w:rsid w:val="4B4025BF"/>
    <w:rsid w:val="4B433C2A"/>
    <w:rsid w:val="4B4A03C6"/>
    <w:rsid w:val="4B926799"/>
    <w:rsid w:val="4B93411F"/>
    <w:rsid w:val="4B9C1BF1"/>
    <w:rsid w:val="4BB07945"/>
    <w:rsid w:val="4C05738B"/>
    <w:rsid w:val="4C076AAD"/>
    <w:rsid w:val="4C1F37E3"/>
    <w:rsid w:val="4C511B02"/>
    <w:rsid w:val="4C5F3EA9"/>
    <w:rsid w:val="4C8D5F79"/>
    <w:rsid w:val="4CA126E0"/>
    <w:rsid w:val="4CAE078C"/>
    <w:rsid w:val="4CD63FE8"/>
    <w:rsid w:val="4CE35F38"/>
    <w:rsid w:val="4CE52275"/>
    <w:rsid w:val="4D0E3CC7"/>
    <w:rsid w:val="4D4025AD"/>
    <w:rsid w:val="4D647C72"/>
    <w:rsid w:val="4D83633C"/>
    <w:rsid w:val="4DAD3A24"/>
    <w:rsid w:val="4DAE320A"/>
    <w:rsid w:val="4DCC14D7"/>
    <w:rsid w:val="4E1966D8"/>
    <w:rsid w:val="4E415D30"/>
    <w:rsid w:val="4E4D7F30"/>
    <w:rsid w:val="4E537272"/>
    <w:rsid w:val="4E5C13E7"/>
    <w:rsid w:val="4E807407"/>
    <w:rsid w:val="4E976CD4"/>
    <w:rsid w:val="4F342BFF"/>
    <w:rsid w:val="4F7F321A"/>
    <w:rsid w:val="4FBF0074"/>
    <w:rsid w:val="4FD00F08"/>
    <w:rsid w:val="50320DEC"/>
    <w:rsid w:val="503329A9"/>
    <w:rsid w:val="50604A09"/>
    <w:rsid w:val="50612488"/>
    <w:rsid w:val="5065585D"/>
    <w:rsid w:val="506C625F"/>
    <w:rsid w:val="5077175A"/>
    <w:rsid w:val="507E1183"/>
    <w:rsid w:val="50AA4F92"/>
    <w:rsid w:val="50F53763"/>
    <w:rsid w:val="51165F8B"/>
    <w:rsid w:val="512E1C9C"/>
    <w:rsid w:val="51323452"/>
    <w:rsid w:val="513E2CF8"/>
    <w:rsid w:val="514C4A3C"/>
    <w:rsid w:val="51585B51"/>
    <w:rsid w:val="51622426"/>
    <w:rsid w:val="516A0329"/>
    <w:rsid w:val="516A0C92"/>
    <w:rsid w:val="519D7CD0"/>
    <w:rsid w:val="51E73BF5"/>
    <w:rsid w:val="51FE4265"/>
    <w:rsid w:val="520D7203"/>
    <w:rsid w:val="522312C4"/>
    <w:rsid w:val="52461A35"/>
    <w:rsid w:val="52563B54"/>
    <w:rsid w:val="528B7FD0"/>
    <w:rsid w:val="52B8621F"/>
    <w:rsid w:val="52BB3C0E"/>
    <w:rsid w:val="52E37FAE"/>
    <w:rsid w:val="52E736B3"/>
    <w:rsid w:val="53241C21"/>
    <w:rsid w:val="532B6FE0"/>
    <w:rsid w:val="534E48C4"/>
    <w:rsid w:val="5352666A"/>
    <w:rsid w:val="535F632A"/>
    <w:rsid w:val="537529C3"/>
    <w:rsid w:val="537627F1"/>
    <w:rsid w:val="539D1AC3"/>
    <w:rsid w:val="53AE30FB"/>
    <w:rsid w:val="53B678B6"/>
    <w:rsid w:val="53DC3678"/>
    <w:rsid w:val="53E113BC"/>
    <w:rsid w:val="54163ED2"/>
    <w:rsid w:val="543D456B"/>
    <w:rsid w:val="54684B80"/>
    <w:rsid w:val="54702962"/>
    <w:rsid w:val="54784D46"/>
    <w:rsid w:val="54801B99"/>
    <w:rsid w:val="549238A7"/>
    <w:rsid w:val="54A82158"/>
    <w:rsid w:val="54BF1B49"/>
    <w:rsid w:val="550C3B72"/>
    <w:rsid w:val="551C543A"/>
    <w:rsid w:val="55417049"/>
    <w:rsid w:val="556348BE"/>
    <w:rsid w:val="55791CB7"/>
    <w:rsid w:val="55A0038E"/>
    <w:rsid w:val="55B654BC"/>
    <w:rsid w:val="55F5614A"/>
    <w:rsid w:val="55FF51A1"/>
    <w:rsid w:val="56257F68"/>
    <w:rsid w:val="56B978B9"/>
    <w:rsid w:val="56BF46DA"/>
    <w:rsid w:val="56E7290C"/>
    <w:rsid w:val="570E6F78"/>
    <w:rsid w:val="571037CE"/>
    <w:rsid w:val="57323E10"/>
    <w:rsid w:val="5753751A"/>
    <w:rsid w:val="575C3988"/>
    <w:rsid w:val="575C50AB"/>
    <w:rsid w:val="576E3B6D"/>
    <w:rsid w:val="5784103C"/>
    <w:rsid w:val="57855CC0"/>
    <w:rsid w:val="57E3171A"/>
    <w:rsid w:val="57E445EB"/>
    <w:rsid w:val="57F458FB"/>
    <w:rsid w:val="580D6A27"/>
    <w:rsid w:val="58160C42"/>
    <w:rsid w:val="5877457A"/>
    <w:rsid w:val="588640B5"/>
    <w:rsid w:val="58955049"/>
    <w:rsid w:val="58C846E4"/>
    <w:rsid w:val="58CE0955"/>
    <w:rsid w:val="58D66C1E"/>
    <w:rsid w:val="58EC1008"/>
    <w:rsid w:val="59410FB8"/>
    <w:rsid w:val="59582FD5"/>
    <w:rsid w:val="595876CA"/>
    <w:rsid w:val="597F00FA"/>
    <w:rsid w:val="59941F3D"/>
    <w:rsid w:val="59C236A3"/>
    <w:rsid w:val="59E52C79"/>
    <w:rsid w:val="5A0A1AD1"/>
    <w:rsid w:val="5A1D1000"/>
    <w:rsid w:val="5A3A2ED4"/>
    <w:rsid w:val="5A4A2677"/>
    <w:rsid w:val="5A7E01E4"/>
    <w:rsid w:val="5ABD109B"/>
    <w:rsid w:val="5AF173B1"/>
    <w:rsid w:val="5AFE6AD9"/>
    <w:rsid w:val="5B0E68CE"/>
    <w:rsid w:val="5B335BF8"/>
    <w:rsid w:val="5B8E7FDE"/>
    <w:rsid w:val="5BEA572B"/>
    <w:rsid w:val="5C33727A"/>
    <w:rsid w:val="5C3E758A"/>
    <w:rsid w:val="5C4936E2"/>
    <w:rsid w:val="5C857A7E"/>
    <w:rsid w:val="5CA97FED"/>
    <w:rsid w:val="5CB93BD4"/>
    <w:rsid w:val="5CEB7286"/>
    <w:rsid w:val="5D1F42BD"/>
    <w:rsid w:val="5D315141"/>
    <w:rsid w:val="5D547D2E"/>
    <w:rsid w:val="5D923F2C"/>
    <w:rsid w:val="5DC84336"/>
    <w:rsid w:val="5DD54F2A"/>
    <w:rsid w:val="5DD7245D"/>
    <w:rsid w:val="5E14191A"/>
    <w:rsid w:val="5E2D3E9D"/>
    <w:rsid w:val="5E471E25"/>
    <w:rsid w:val="5E635121"/>
    <w:rsid w:val="5EC2139F"/>
    <w:rsid w:val="5EC90ECF"/>
    <w:rsid w:val="5EEB60C5"/>
    <w:rsid w:val="5EF23FAE"/>
    <w:rsid w:val="5F1E1789"/>
    <w:rsid w:val="5F203499"/>
    <w:rsid w:val="5F69359F"/>
    <w:rsid w:val="5F8C21A0"/>
    <w:rsid w:val="5F8F1CC4"/>
    <w:rsid w:val="5FA46905"/>
    <w:rsid w:val="5FBE3344"/>
    <w:rsid w:val="5FCC560E"/>
    <w:rsid w:val="60202B79"/>
    <w:rsid w:val="60256AF3"/>
    <w:rsid w:val="60483C8B"/>
    <w:rsid w:val="605379AE"/>
    <w:rsid w:val="60791C44"/>
    <w:rsid w:val="608C62A2"/>
    <w:rsid w:val="609F3F51"/>
    <w:rsid w:val="60E3598B"/>
    <w:rsid w:val="60E514BE"/>
    <w:rsid w:val="60F4333C"/>
    <w:rsid w:val="60F63F7B"/>
    <w:rsid w:val="60FB12D6"/>
    <w:rsid w:val="612D17BE"/>
    <w:rsid w:val="61425571"/>
    <w:rsid w:val="619B1E3A"/>
    <w:rsid w:val="61F30701"/>
    <w:rsid w:val="621E5A12"/>
    <w:rsid w:val="62A12E77"/>
    <w:rsid w:val="62A55DAB"/>
    <w:rsid w:val="62A911E5"/>
    <w:rsid w:val="62DC255D"/>
    <w:rsid w:val="62E458D7"/>
    <w:rsid w:val="630713BC"/>
    <w:rsid w:val="63201103"/>
    <w:rsid w:val="63255DA8"/>
    <w:rsid w:val="635118DB"/>
    <w:rsid w:val="63842425"/>
    <w:rsid w:val="63D02A49"/>
    <w:rsid w:val="63DA7C6F"/>
    <w:rsid w:val="63F920C0"/>
    <w:rsid w:val="640577EE"/>
    <w:rsid w:val="643028DD"/>
    <w:rsid w:val="645B2C5D"/>
    <w:rsid w:val="645C7FB4"/>
    <w:rsid w:val="649225A4"/>
    <w:rsid w:val="64941A25"/>
    <w:rsid w:val="64B31F24"/>
    <w:rsid w:val="64BE458F"/>
    <w:rsid w:val="64DD3BD7"/>
    <w:rsid w:val="64EE1A20"/>
    <w:rsid w:val="64F94233"/>
    <w:rsid w:val="65016B7F"/>
    <w:rsid w:val="651C30F1"/>
    <w:rsid w:val="65523170"/>
    <w:rsid w:val="657E4B86"/>
    <w:rsid w:val="659A6BA8"/>
    <w:rsid w:val="65C315DD"/>
    <w:rsid w:val="65C778A0"/>
    <w:rsid w:val="65D5738F"/>
    <w:rsid w:val="65EF17FA"/>
    <w:rsid w:val="65FC7799"/>
    <w:rsid w:val="66086618"/>
    <w:rsid w:val="660A20B4"/>
    <w:rsid w:val="660A43EF"/>
    <w:rsid w:val="66362933"/>
    <w:rsid w:val="66680A54"/>
    <w:rsid w:val="6695111E"/>
    <w:rsid w:val="66BF4DB0"/>
    <w:rsid w:val="66EA3294"/>
    <w:rsid w:val="66F057E5"/>
    <w:rsid w:val="67060CBC"/>
    <w:rsid w:val="674A0B72"/>
    <w:rsid w:val="67586998"/>
    <w:rsid w:val="676E12F3"/>
    <w:rsid w:val="679B2F67"/>
    <w:rsid w:val="67C00F56"/>
    <w:rsid w:val="67F17E02"/>
    <w:rsid w:val="68195C76"/>
    <w:rsid w:val="685C7C97"/>
    <w:rsid w:val="686D72B9"/>
    <w:rsid w:val="6879367D"/>
    <w:rsid w:val="68794EC1"/>
    <w:rsid w:val="68CC7889"/>
    <w:rsid w:val="68F81D58"/>
    <w:rsid w:val="69073A8D"/>
    <w:rsid w:val="69154FC4"/>
    <w:rsid w:val="693D525A"/>
    <w:rsid w:val="694B23CE"/>
    <w:rsid w:val="69545C1F"/>
    <w:rsid w:val="6967264B"/>
    <w:rsid w:val="698A09A5"/>
    <w:rsid w:val="69B47BD4"/>
    <w:rsid w:val="69BB1F5B"/>
    <w:rsid w:val="69E25F8C"/>
    <w:rsid w:val="6A0E4E80"/>
    <w:rsid w:val="6A140B24"/>
    <w:rsid w:val="6A3A3FF1"/>
    <w:rsid w:val="6A766A86"/>
    <w:rsid w:val="6A7872EA"/>
    <w:rsid w:val="6A9C6FE9"/>
    <w:rsid w:val="6AAB03F6"/>
    <w:rsid w:val="6AB73049"/>
    <w:rsid w:val="6ABF703F"/>
    <w:rsid w:val="6AD90201"/>
    <w:rsid w:val="6AE12B6B"/>
    <w:rsid w:val="6AF2613C"/>
    <w:rsid w:val="6B17420F"/>
    <w:rsid w:val="6B48686A"/>
    <w:rsid w:val="6BCF6F7E"/>
    <w:rsid w:val="6BFF1AC2"/>
    <w:rsid w:val="6C154B37"/>
    <w:rsid w:val="6C20148A"/>
    <w:rsid w:val="6C250EBE"/>
    <w:rsid w:val="6C2E3D59"/>
    <w:rsid w:val="6C337C4D"/>
    <w:rsid w:val="6C49456A"/>
    <w:rsid w:val="6C4F2F8E"/>
    <w:rsid w:val="6C87517B"/>
    <w:rsid w:val="6C9C1724"/>
    <w:rsid w:val="6CBC5B45"/>
    <w:rsid w:val="6CBF3BA0"/>
    <w:rsid w:val="6CBF4421"/>
    <w:rsid w:val="6CD938B8"/>
    <w:rsid w:val="6CEC305A"/>
    <w:rsid w:val="6CF14736"/>
    <w:rsid w:val="6D20348C"/>
    <w:rsid w:val="6D246EEC"/>
    <w:rsid w:val="6D2620AE"/>
    <w:rsid w:val="6D3A6B13"/>
    <w:rsid w:val="6D846E13"/>
    <w:rsid w:val="6D9A1ED1"/>
    <w:rsid w:val="6DBF419D"/>
    <w:rsid w:val="6E05286F"/>
    <w:rsid w:val="6E18375C"/>
    <w:rsid w:val="6E187AB3"/>
    <w:rsid w:val="6E53312C"/>
    <w:rsid w:val="6E57131F"/>
    <w:rsid w:val="6E676007"/>
    <w:rsid w:val="6E695932"/>
    <w:rsid w:val="6E994887"/>
    <w:rsid w:val="6EA506C4"/>
    <w:rsid w:val="6ED578C8"/>
    <w:rsid w:val="6F3C27DD"/>
    <w:rsid w:val="6F753DC4"/>
    <w:rsid w:val="6F836956"/>
    <w:rsid w:val="6FCE14E4"/>
    <w:rsid w:val="6FD364B6"/>
    <w:rsid w:val="700E32C7"/>
    <w:rsid w:val="70405B5C"/>
    <w:rsid w:val="70407FC9"/>
    <w:rsid w:val="70532E88"/>
    <w:rsid w:val="712D4800"/>
    <w:rsid w:val="714670E7"/>
    <w:rsid w:val="715259A5"/>
    <w:rsid w:val="716F0649"/>
    <w:rsid w:val="71A10A4C"/>
    <w:rsid w:val="71A67EED"/>
    <w:rsid w:val="71B07F9A"/>
    <w:rsid w:val="71F94E9C"/>
    <w:rsid w:val="721B2713"/>
    <w:rsid w:val="72230E8C"/>
    <w:rsid w:val="72997E60"/>
    <w:rsid w:val="72B21613"/>
    <w:rsid w:val="72ED0140"/>
    <w:rsid w:val="730D6C0C"/>
    <w:rsid w:val="731D6723"/>
    <w:rsid w:val="733D3045"/>
    <w:rsid w:val="7372069C"/>
    <w:rsid w:val="73867C84"/>
    <w:rsid w:val="73C30F94"/>
    <w:rsid w:val="73E2194B"/>
    <w:rsid w:val="742171A7"/>
    <w:rsid w:val="74444DB1"/>
    <w:rsid w:val="747C43B9"/>
    <w:rsid w:val="74A85E8F"/>
    <w:rsid w:val="74CC78E6"/>
    <w:rsid w:val="74D973E1"/>
    <w:rsid w:val="752E3777"/>
    <w:rsid w:val="759C588F"/>
    <w:rsid w:val="75B643F3"/>
    <w:rsid w:val="75C331E2"/>
    <w:rsid w:val="75DB55A5"/>
    <w:rsid w:val="75E31DE4"/>
    <w:rsid w:val="75F748A2"/>
    <w:rsid w:val="761B45EA"/>
    <w:rsid w:val="7639110C"/>
    <w:rsid w:val="76484F6D"/>
    <w:rsid w:val="767A6C75"/>
    <w:rsid w:val="76CC0432"/>
    <w:rsid w:val="76FF646A"/>
    <w:rsid w:val="77132C23"/>
    <w:rsid w:val="771C30BE"/>
    <w:rsid w:val="771D2658"/>
    <w:rsid w:val="774C3F3A"/>
    <w:rsid w:val="77703586"/>
    <w:rsid w:val="779251BE"/>
    <w:rsid w:val="77B0001D"/>
    <w:rsid w:val="77C90C27"/>
    <w:rsid w:val="77C93705"/>
    <w:rsid w:val="77E06906"/>
    <w:rsid w:val="78166745"/>
    <w:rsid w:val="78943932"/>
    <w:rsid w:val="78994327"/>
    <w:rsid w:val="789D3206"/>
    <w:rsid w:val="78C45314"/>
    <w:rsid w:val="78D41F79"/>
    <w:rsid w:val="7922503D"/>
    <w:rsid w:val="79256CAC"/>
    <w:rsid w:val="79257675"/>
    <w:rsid w:val="792F0363"/>
    <w:rsid w:val="79515F63"/>
    <w:rsid w:val="79743091"/>
    <w:rsid w:val="7982235E"/>
    <w:rsid w:val="79AA0299"/>
    <w:rsid w:val="79AB780C"/>
    <w:rsid w:val="79E753EB"/>
    <w:rsid w:val="7A1856FB"/>
    <w:rsid w:val="7A6D7D87"/>
    <w:rsid w:val="7A721A4A"/>
    <w:rsid w:val="7A7C03CF"/>
    <w:rsid w:val="7A910027"/>
    <w:rsid w:val="7A9C35F5"/>
    <w:rsid w:val="7ACA5B43"/>
    <w:rsid w:val="7ADB2D85"/>
    <w:rsid w:val="7AE9051C"/>
    <w:rsid w:val="7B0A533F"/>
    <w:rsid w:val="7B203E54"/>
    <w:rsid w:val="7B3B6FC0"/>
    <w:rsid w:val="7B9361A0"/>
    <w:rsid w:val="7BA67BFD"/>
    <w:rsid w:val="7BB5352B"/>
    <w:rsid w:val="7BB77852"/>
    <w:rsid w:val="7BC41AE3"/>
    <w:rsid w:val="7BCA7E8D"/>
    <w:rsid w:val="7BE23358"/>
    <w:rsid w:val="7C4953F6"/>
    <w:rsid w:val="7C646D0F"/>
    <w:rsid w:val="7C776EA4"/>
    <w:rsid w:val="7C941BC3"/>
    <w:rsid w:val="7D92777B"/>
    <w:rsid w:val="7DAC4A5D"/>
    <w:rsid w:val="7E092BAE"/>
    <w:rsid w:val="7E385DD8"/>
    <w:rsid w:val="7E523AE3"/>
    <w:rsid w:val="7E6A6551"/>
    <w:rsid w:val="7E9006F1"/>
    <w:rsid w:val="7E9A0244"/>
    <w:rsid w:val="7EAC0F2D"/>
    <w:rsid w:val="7EAF15B4"/>
    <w:rsid w:val="7EEF65DD"/>
    <w:rsid w:val="7F193382"/>
    <w:rsid w:val="7FAD6673"/>
    <w:rsid w:val="7FC50B32"/>
    <w:rsid w:val="7FD753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0" w:name="toa heading"/>
    <w:lsdException w:qFormat="1"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qFormat="1" w:unhideWhenUsed="0" w:uiPriority="0" w:semiHidden="0" w:name="HTML Keyboard"/>
    <w:lsdException w:qFormat="1" w:unhideWhenUsed="0" w:uiPriority="0" w:semiHidden="0" w:name="HTML Preformatted"/>
    <w:lsdException w:qFormat="1" w:uiPriority="99"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7"/>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8"/>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60"/>
    <w:autoRedefine/>
    <w:qFormat/>
    <w:uiPriority w:val="0"/>
    <w:pPr>
      <w:keepNext/>
      <w:keepLines/>
      <w:tabs>
        <w:tab w:val="left" w:pos="720"/>
      </w:tabs>
      <w:spacing w:before="260" w:afterLines="50" w:line="416" w:lineRule="auto"/>
      <w:ind w:left="720" w:hanging="720"/>
      <w:outlineLvl w:val="2"/>
    </w:pPr>
    <w:rPr>
      <w:rFonts w:ascii="Arial" w:hAnsi="Arial" w:eastAsia="黑体" w:cs="宋体"/>
      <w:color w:val="000000"/>
      <w:spacing w:val="20"/>
      <w:kern w:val="0"/>
      <w:sz w:val="30"/>
      <w:szCs w:val="32"/>
    </w:rPr>
  </w:style>
  <w:style w:type="paragraph" w:styleId="7">
    <w:name w:val="heading 4"/>
    <w:basedOn w:val="1"/>
    <w:next w:val="8"/>
    <w:link w:val="61"/>
    <w:autoRedefine/>
    <w:qFormat/>
    <w:uiPriority w:val="0"/>
    <w:pPr>
      <w:keepNext/>
      <w:keepLines/>
      <w:tabs>
        <w:tab w:val="left" w:pos="1079"/>
      </w:tabs>
      <w:spacing w:before="280" w:afterLines="50" w:line="377" w:lineRule="auto"/>
      <w:ind w:left="1077" w:hanging="1077"/>
      <w:outlineLvl w:val="3"/>
    </w:pPr>
    <w:rPr>
      <w:rFonts w:ascii="Arial" w:hAnsi="Arial" w:eastAsia="黑体" w:cs="宋体"/>
      <w:color w:val="000000"/>
      <w:spacing w:val="10"/>
      <w:kern w:val="0"/>
      <w:sz w:val="28"/>
      <w:szCs w:val="28"/>
    </w:rPr>
  </w:style>
  <w:style w:type="paragraph" w:styleId="9">
    <w:name w:val="heading 5"/>
    <w:basedOn w:val="1"/>
    <w:next w:val="8"/>
    <w:link w:val="62"/>
    <w:autoRedefine/>
    <w:qFormat/>
    <w:uiPriority w:val="0"/>
    <w:pPr>
      <w:keepNext/>
      <w:keepLines/>
      <w:tabs>
        <w:tab w:val="left" w:pos="1260"/>
      </w:tabs>
      <w:spacing w:before="280" w:afterLines="50" w:line="377" w:lineRule="auto"/>
      <w:ind w:left="1259" w:hanging="1259"/>
      <w:outlineLvl w:val="4"/>
    </w:pPr>
    <w:rPr>
      <w:rFonts w:ascii="Arial" w:hAnsi="Arial" w:eastAsia="黑体" w:cs="宋体"/>
      <w:color w:val="000000"/>
      <w:spacing w:val="10"/>
      <w:kern w:val="0"/>
      <w:sz w:val="28"/>
      <w:szCs w:val="28"/>
    </w:rPr>
  </w:style>
  <w:style w:type="paragraph" w:styleId="10">
    <w:name w:val="heading 6"/>
    <w:basedOn w:val="1"/>
    <w:next w:val="8"/>
    <w:link w:val="63"/>
    <w:qFormat/>
    <w:uiPriority w:val="0"/>
    <w:pPr>
      <w:keepNext/>
      <w:keepLines/>
      <w:tabs>
        <w:tab w:val="left" w:pos="1428"/>
      </w:tabs>
      <w:spacing w:before="240" w:afterLines="50" w:line="319" w:lineRule="auto"/>
      <w:ind w:left="550" w:hanging="550" w:hangingChars="550"/>
      <w:outlineLvl w:val="5"/>
    </w:pPr>
    <w:rPr>
      <w:rFonts w:ascii="Arial" w:hAnsi="Arial" w:eastAsia="黑体" w:cs="宋体"/>
      <w:color w:val="000000"/>
      <w:spacing w:val="10"/>
      <w:kern w:val="0"/>
      <w:sz w:val="24"/>
      <w:szCs w:val="21"/>
    </w:rPr>
  </w:style>
  <w:style w:type="paragraph" w:styleId="11">
    <w:name w:val="heading 7"/>
    <w:basedOn w:val="1"/>
    <w:next w:val="8"/>
    <w:link w:val="64"/>
    <w:autoRedefine/>
    <w:qFormat/>
    <w:uiPriority w:val="0"/>
    <w:pPr>
      <w:keepNext/>
      <w:keepLines/>
      <w:tabs>
        <w:tab w:val="left" w:pos="1638"/>
      </w:tabs>
      <w:spacing w:before="240" w:afterLines="50" w:line="319" w:lineRule="auto"/>
      <w:ind w:left="1633" w:hanging="1633"/>
      <w:outlineLvl w:val="6"/>
    </w:pPr>
    <w:rPr>
      <w:rFonts w:ascii="Arial" w:hAnsi="Arial" w:eastAsia="黑体" w:cs="宋体"/>
      <w:color w:val="000000"/>
      <w:kern w:val="0"/>
      <w:sz w:val="24"/>
      <w:szCs w:val="21"/>
    </w:rPr>
  </w:style>
  <w:style w:type="paragraph" w:styleId="12">
    <w:name w:val="heading 8"/>
    <w:basedOn w:val="1"/>
    <w:next w:val="8"/>
    <w:link w:val="65"/>
    <w:autoRedefine/>
    <w:qFormat/>
    <w:uiPriority w:val="0"/>
    <w:pPr>
      <w:keepNext/>
      <w:keepLines/>
      <w:tabs>
        <w:tab w:val="left" w:pos="1800"/>
      </w:tabs>
      <w:spacing w:before="240" w:afterLines="50" w:line="319" w:lineRule="auto"/>
      <w:ind w:left="1797" w:hanging="1797"/>
      <w:outlineLvl w:val="7"/>
    </w:pPr>
    <w:rPr>
      <w:rFonts w:ascii="Arial" w:hAnsi="Arial" w:eastAsia="黑体" w:cs="宋体"/>
      <w:b/>
      <w:bCs/>
      <w:color w:val="000000"/>
      <w:kern w:val="0"/>
      <w:sz w:val="24"/>
      <w:szCs w:val="21"/>
    </w:rPr>
  </w:style>
  <w:style w:type="paragraph" w:styleId="13">
    <w:name w:val="heading 9"/>
    <w:basedOn w:val="1"/>
    <w:next w:val="8"/>
    <w:link w:val="66"/>
    <w:autoRedefine/>
    <w:qFormat/>
    <w:uiPriority w:val="0"/>
    <w:pPr>
      <w:keepNext/>
      <w:keepLines/>
      <w:tabs>
        <w:tab w:val="left" w:pos="1980"/>
      </w:tabs>
      <w:spacing w:before="240" w:afterLines="50" w:line="319" w:lineRule="auto"/>
      <w:ind w:left="1979" w:hanging="1979"/>
      <w:outlineLvl w:val="8"/>
    </w:pPr>
    <w:rPr>
      <w:rFonts w:ascii="Arial" w:hAnsi="Arial" w:eastAsia="黑体" w:cs="宋体"/>
      <w:b/>
      <w:bCs/>
      <w:color w:val="000000"/>
      <w:kern w:val="0"/>
      <w:szCs w:val="21"/>
    </w:rPr>
  </w:style>
  <w:style w:type="character" w:default="1" w:styleId="45">
    <w:name w:val="Default Paragraph Font"/>
    <w:autoRedefine/>
    <w:semiHidden/>
    <w:unhideWhenUsed/>
    <w:qFormat/>
    <w:uiPriority w:val="1"/>
  </w:style>
  <w:style w:type="table" w:default="1" w:styleId="4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qFormat/>
    <w:uiPriority w:val="0"/>
  </w:style>
  <w:style w:type="paragraph" w:styleId="8">
    <w:name w:val="Normal Indent"/>
    <w:basedOn w:val="1"/>
    <w:next w:val="1"/>
    <w:link w:val="59"/>
    <w:autoRedefine/>
    <w:qFormat/>
    <w:uiPriority w:val="0"/>
    <w:pPr>
      <w:ind w:firstLine="420" w:firstLineChars="200"/>
    </w:pPr>
    <w:rPr>
      <w:rFonts w:ascii="仿宋_GB2312" w:hAnsi="宋体" w:eastAsia="仿宋_GB2312" w:cs="宋体"/>
      <w:b/>
      <w:bCs/>
      <w:color w:val="000000"/>
      <w:kern w:val="0"/>
      <w:szCs w:val="21"/>
    </w:rPr>
  </w:style>
  <w:style w:type="paragraph" w:styleId="14">
    <w:name w:val="caption"/>
    <w:basedOn w:val="1"/>
    <w:next w:val="1"/>
    <w:autoRedefine/>
    <w:qFormat/>
    <w:uiPriority w:val="0"/>
    <w:rPr>
      <w:rFonts w:ascii="Arial" w:hAnsi="Arial" w:eastAsia="黑体" w:cs="Arial"/>
      <w:color w:val="000000"/>
      <w:kern w:val="1"/>
      <w:sz w:val="20"/>
      <w:szCs w:val="20"/>
    </w:rPr>
  </w:style>
  <w:style w:type="paragraph" w:styleId="15">
    <w:name w:val="List Bullet"/>
    <w:basedOn w:val="1"/>
    <w:autoRedefine/>
    <w:qFormat/>
    <w:uiPriority w:val="0"/>
    <w:pPr>
      <w:spacing w:line="360" w:lineRule="auto"/>
    </w:pPr>
    <w:rPr>
      <w:rFonts w:ascii="宋体" w:hAnsi="宋体"/>
      <w:sz w:val="20"/>
      <w:szCs w:val="20"/>
    </w:rPr>
  </w:style>
  <w:style w:type="paragraph" w:styleId="16">
    <w:name w:val="Document Map"/>
    <w:basedOn w:val="1"/>
    <w:link w:val="96"/>
    <w:autoRedefine/>
    <w:semiHidden/>
    <w:qFormat/>
    <w:uiPriority w:val="0"/>
    <w:pPr>
      <w:shd w:val="clear" w:color="auto" w:fill="000080"/>
    </w:pPr>
  </w:style>
  <w:style w:type="paragraph" w:styleId="17">
    <w:name w:val="annotation text"/>
    <w:basedOn w:val="1"/>
    <w:link w:val="67"/>
    <w:autoRedefine/>
    <w:unhideWhenUsed/>
    <w:qFormat/>
    <w:uiPriority w:val="0"/>
    <w:pPr>
      <w:jc w:val="left"/>
    </w:pPr>
  </w:style>
  <w:style w:type="paragraph" w:styleId="18">
    <w:name w:val="Body Text 3"/>
    <w:basedOn w:val="1"/>
    <w:link w:val="176"/>
    <w:autoRedefine/>
    <w:unhideWhenUsed/>
    <w:qFormat/>
    <w:uiPriority w:val="0"/>
    <w:pPr>
      <w:spacing w:after="120"/>
    </w:pPr>
    <w:rPr>
      <w:sz w:val="16"/>
      <w:szCs w:val="16"/>
    </w:rPr>
  </w:style>
  <w:style w:type="paragraph" w:styleId="19">
    <w:name w:val="Body Text Indent"/>
    <w:basedOn w:val="1"/>
    <w:next w:val="1"/>
    <w:autoRedefine/>
    <w:qFormat/>
    <w:uiPriority w:val="0"/>
    <w:pPr>
      <w:ind w:left="480" w:hanging="480" w:hangingChars="200"/>
    </w:pPr>
    <w:rPr>
      <w:sz w:val="24"/>
    </w:rPr>
  </w:style>
  <w:style w:type="paragraph" w:styleId="20">
    <w:name w:val="List Number 3"/>
    <w:basedOn w:val="1"/>
    <w:autoRedefine/>
    <w:qFormat/>
    <w:uiPriority w:val="0"/>
    <w:pPr>
      <w:widowControl/>
      <w:tabs>
        <w:tab w:val="left" w:pos="2260"/>
      </w:tabs>
      <w:spacing w:afterLines="50"/>
      <w:ind w:left="2260" w:hanging="340"/>
      <w:jc w:val="left"/>
    </w:pPr>
    <w:rPr>
      <w:kern w:val="0"/>
      <w:sz w:val="24"/>
      <w:szCs w:val="20"/>
    </w:rPr>
  </w:style>
  <w:style w:type="paragraph" w:styleId="21">
    <w:name w:val="List Continue"/>
    <w:basedOn w:val="1"/>
    <w:autoRedefine/>
    <w:qFormat/>
    <w:uiPriority w:val="0"/>
    <w:pPr>
      <w:spacing w:after="120"/>
      <w:ind w:left="420"/>
    </w:pPr>
    <w:rPr>
      <w:rFonts w:eastAsia="楷体_GB2312"/>
      <w:sz w:val="32"/>
      <w:szCs w:val="20"/>
    </w:rPr>
  </w:style>
  <w:style w:type="paragraph" w:styleId="22">
    <w:name w:val="Block Text"/>
    <w:basedOn w:val="1"/>
    <w:autoRedefine/>
    <w:qFormat/>
    <w:uiPriority w:val="0"/>
    <w:pPr>
      <w:spacing w:after="120"/>
      <w:ind w:left="1440" w:leftChars="700" w:right="1440" w:rightChars="700"/>
    </w:pPr>
    <w:rPr>
      <w:szCs w:val="22"/>
    </w:rPr>
  </w:style>
  <w:style w:type="paragraph" w:styleId="23">
    <w:name w:val="toc 3"/>
    <w:basedOn w:val="1"/>
    <w:next w:val="1"/>
    <w:semiHidden/>
    <w:qFormat/>
    <w:uiPriority w:val="0"/>
    <w:pPr>
      <w:tabs>
        <w:tab w:val="right" w:leader="dot" w:pos="8777"/>
      </w:tabs>
      <w:spacing w:line="500" w:lineRule="atLeast"/>
      <w:ind w:left="540" w:leftChars="257"/>
    </w:pPr>
  </w:style>
  <w:style w:type="paragraph" w:styleId="24">
    <w:name w:val="Plain Text"/>
    <w:basedOn w:val="1"/>
    <w:link w:val="68"/>
    <w:autoRedefine/>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25">
    <w:name w:val="Date"/>
    <w:basedOn w:val="1"/>
    <w:next w:val="1"/>
    <w:link w:val="97"/>
    <w:autoRedefine/>
    <w:qFormat/>
    <w:uiPriority w:val="0"/>
    <w:pPr>
      <w:ind w:left="100" w:leftChars="2500"/>
    </w:pPr>
    <w:rPr>
      <w:rFonts w:ascii="仿宋_GB2312" w:hAnsi="宋体" w:eastAsia="仿宋_GB2312" w:cs="宋体"/>
      <w:b/>
      <w:bCs/>
      <w:color w:val="000000"/>
      <w:kern w:val="0"/>
      <w:sz w:val="24"/>
      <w:szCs w:val="21"/>
    </w:rPr>
  </w:style>
  <w:style w:type="paragraph" w:styleId="26">
    <w:name w:val="Body Text Indent 2"/>
    <w:basedOn w:val="1"/>
    <w:link w:val="69"/>
    <w:autoRedefine/>
    <w:qFormat/>
    <w:uiPriority w:val="0"/>
    <w:pPr>
      <w:widowControl/>
      <w:spacing w:line="480" w:lineRule="atLeast"/>
      <w:ind w:firstLine="480"/>
    </w:pPr>
    <w:rPr>
      <w:rFonts w:ascii="宋体" w:hAnsi="宋体" w:eastAsia="仿宋_GB2312"/>
      <w:b/>
      <w:bCs/>
      <w:color w:val="000000"/>
      <w:kern w:val="0"/>
      <w:sz w:val="24"/>
      <w:szCs w:val="20"/>
    </w:rPr>
  </w:style>
  <w:style w:type="paragraph" w:styleId="27">
    <w:name w:val="Balloon Text"/>
    <w:basedOn w:val="1"/>
    <w:autoRedefine/>
    <w:semiHidden/>
    <w:qFormat/>
    <w:uiPriority w:val="0"/>
    <w:rPr>
      <w:sz w:val="18"/>
      <w:szCs w:val="18"/>
    </w:rPr>
  </w:style>
  <w:style w:type="paragraph" w:styleId="28">
    <w:name w:val="footer"/>
    <w:basedOn w:val="1"/>
    <w:link w:val="70"/>
    <w:autoRedefine/>
    <w:qFormat/>
    <w:uiPriority w:val="0"/>
    <w:pPr>
      <w:tabs>
        <w:tab w:val="center" w:pos="4153"/>
        <w:tab w:val="right" w:pos="8306"/>
      </w:tabs>
      <w:snapToGrid w:val="0"/>
      <w:jc w:val="left"/>
    </w:pPr>
    <w:rPr>
      <w:sz w:val="18"/>
      <w:szCs w:val="18"/>
    </w:rPr>
  </w:style>
  <w:style w:type="paragraph" w:styleId="29">
    <w:name w:val="header"/>
    <w:basedOn w:val="1"/>
    <w:link w:val="71"/>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39"/>
    <w:pPr>
      <w:tabs>
        <w:tab w:val="right" w:leader="dot" w:pos="8777"/>
      </w:tabs>
      <w:spacing w:line="500" w:lineRule="exact"/>
      <w:jc w:val="left"/>
    </w:pPr>
  </w:style>
  <w:style w:type="paragraph" w:styleId="31">
    <w:name w:val="Subtitle"/>
    <w:basedOn w:val="1"/>
    <w:next w:val="1"/>
    <w:link w:val="72"/>
    <w:autoRedefine/>
    <w:qFormat/>
    <w:uiPriority w:val="0"/>
    <w:pPr>
      <w:spacing w:before="240" w:after="60" w:line="312" w:lineRule="auto"/>
      <w:jc w:val="center"/>
      <w:outlineLvl w:val="1"/>
    </w:pPr>
    <w:rPr>
      <w:rFonts w:ascii="Cambria" w:hAnsi="Cambria"/>
      <w:b/>
      <w:bCs/>
      <w:kern w:val="28"/>
      <w:sz w:val="32"/>
      <w:szCs w:val="32"/>
    </w:rPr>
  </w:style>
  <w:style w:type="paragraph" w:styleId="32">
    <w:name w:val="List"/>
    <w:basedOn w:val="1"/>
    <w:autoRedefine/>
    <w:qFormat/>
    <w:uiPriority w:val="0"/>
    <w:pPr>
      <w:ind w:left="420" w:hanging="420"/>
    </w:pPr>
    <w:rPr>
      <w:rFonts w:eastAsia="楷体_GB2312"/>
      <w:sz w:val="32"/>
      <w:szCs w:val="20"/>
    </w:rPr>
  </w:style>
  <w:style w:type="paragraph" w:styleId="33">
    <w:name w:val="footnote text"/>
    <w:basedOn w:val="1"/>
    <w:link w:val="98"/>
    <w:autoRedefine/>
    <w:qFormat/>
    <w:uiPriority w:val="0"/>
    <w:pPr>
      <w:snapToGrid w:val="0"/>
      <w:jc w:val="left"/>
    </w:pPr>
    <w:rPr>
      <w:sz w:val="18"/>
    </w:rPr>
  </w:style>
  <w:style w:type="paragraph" w:styleId="34">
    <w:name w:val="toc 6"/>
    <w:basedOn w:val="1"/>
    <w:next w:val="1"/>
    <w:autoRedefine/>
    <w:qFormat/>
    <w:uiPriority w:val="0"/>
    <w:pPr>
      <w:ind w:left="2100" w:leftChars="1000"/>
    </w:pPr>
    <w:rPr>
      <w:rFonts w:ascii="仿宋_GB2312" w:hAnsi="宋体" w:eastAsia="仿宋_GB2312" w:cs="宋体"/>
      <w:b/>
      <w:bCs/>
      <w:color w:val="000000"/>
      <w:kern w:val="0"/>
      <w:szCs w:val="21"/>
    </w:rPr>
  </w:style>
  <w:style w:type="paragraph" w:styleId="35">
    <w:name w:val="Body Text Indent 3"/>
    <w:basedOn w:val="1"/>
    <w:link w:val="99"/>
    <w:autoRedefine/>
    <w:qFormat/>
    <w:uiPriority w:val="0"/>
    <w:pPr>
      <w:spacing w:after="120"/>
      <w:ind w:left="420" w:leftChars="200"/>
    </w:pPr>
    <w:rPr>
      <w:rFonts w:ascii="仿宋_GB2312" w:hAnsi="宋体" w:eastAsia="仿宋_GB2312" w:cs="宋体"/>
      <w:b/>
      <w:bCs/>
      <w:color w:val="000000"/>
      <w:kern w:val="0"/>
      <w:sz w:val="16"/>
      <w:szCs w:val="16"/>
    </w:rPr>
  </w:style>
  <w:style w:type="paragraph" w:styleId="36">
    <w:name w:val="toc 2"/>
    <w:basedOn w:val="1"/>
    <w:next w:val="1"/>
    <w:autoRedefine/>
    <w:qFormat/>
    <w:uiPriority w:val="39"/>
    <w:pPr>
      <w:tabs>
        <w:tab w:val="right" w:leader="dot" w:pos="8777"/>
      </w:tabs>
      <w:spacing w:line="500" w:lineRule="atLeast"/>
      <w:ind w:left="420" w:leftChars="200" w:firstLine="120" w:firstLineChars="50"/>
    </w:pPr>
  </w:style>
  <w:style w:type="paragraph" w:styleId="37">
    <w:name w:val="Body Text 2"/>
    <w:basedOn w:val="1"/>
    <w:link w:val="100"/>
    <w:autoRedefine/>
    <w:qFormat/>
    <w:uiPriority w:val="0"/>
    <w:pPr>
      <w:spacing w:after="120" w:line="480" w:lineRule="auto"/>
    </w:pPr>
  </w:style>
  <w:style w:type="paragraph" w:styleId="38">
    <w:name w:val="HTML Preformatted"/>
    <w:basedOn w:val="1"/>
    <w:link w:val="1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9">
    <w:name w:val="Normal (Web)"/>
    <w:basedOn w:val="1"/>
    <w:link w:val="73"/>
    <w:autoRedefine/>
    <w:unhideWhenUsed/>
    <w:qFormat/>
    <w:uiPriority w:val="99"/>
    <w:pPr>
      <w:widowControl/>
      <w:spacing w:before="100" w:beforeAutospacing="1" w:after="100" w:afterAutospacing="1"/>
      <w:jc w:val="left"/>
    </w:pPr>
    <w:rPr>
      <w:rFonts w:ascii="宋体" w:hAnsi="宋体" w:cs="宋体"/>
      <w:kern w:val="0"/>
      <w:sz w:val="24"/>
    </w:rPr>
  </w:style>
  <w:style w:type="paragraph" w:styleId="40">
    <w:name w:val="Title"/>
    <w:basedOn w:val="1"/>
    <w:link w:val="74"/>
    <w:autoRedefine/>
    <w:qFormat/>
    <w:uiPriority w:val="0"/>
    <w:pPr>
      <w:spacing w:before="240" w:after="60"/>
      <w:jc w:val="center"/>
      <w:outlineLvl w:val="0"/>
    </w:pPr>
    <w:rPr>
      <w:rFonts w:ascii="Cambria" w:hAnsi="Cambria"/>
      <w:b/>
      <w:bCs/>
      <w:sz w:val="32"/>
      <w:szCs w:val="32"/>
    </w:rPr>
  </w:style>
  <w:style w:type="paragraph" w:styleId="41">
    <w:name w:val="annotation subject"/>
    <w:basedOn w:val="17"/>
    <w:next w:val="17"/>
    <w:link w:val="75"/>
    <w:autoRedefine/>
    <w:semiHidden/>
    <w:unhideWhenUsed/>
    <w:qFormat/>
    <w:uiPriority w:val="0"/>
    <w:rPr>
      <w:b/>
      <w:bCs/>
    </w:rPr>
  </w:style>
  <w:style w:type="paragraph" w:styleId="42">
    <w:name w:val="Body Text First Indent 2"/>
    <w:basedOn w:val="19"/>
    <w:next w:val="1"/>
    <w:autoRedefine/>
    <w:qFormat/>
    <w:uiPriority w:val="0"/>
    <w:pPr>
      <w:spacing w:after="120"/>
      <w:ind w:firstLine="420" w:firstLineChars="200"/>
    </w:pPr>
  </w:style>
  <w:style w:type="table" w:styleId="44">
    <w:name w:val="Table Grid"/>
    <w:basedOn w:val="4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autoRedefine/>
    <w:qFormat/>
    <w:uiPriority w:val="22"/>
    <w:rPr>
      <w:b/>
      <w:bCs/>
    </w:rPr>
  </w:style>
  <w:style w:type="character" w:styleId="47">
    <w:name w:val="page number"/>
    <w:basedOn w:val="45"/>
    <w:autoRedefine/>
    <w:qFormat/>
    <w:uiPriority w:val="0"/>
  </w:style>
  <w:style w:type="character" w:styleId="48">
    <w:name w:val="FollowedHyperlink"/>
    <w:autoRedefine/>
    <w:qFormat/>
    <w:uiPriority w:val="0"/>
    <w:rPr>
      <w:color w:val="800080"/>
      <w:u w:val="single"/>
    </w:rPr>
  </w:style>
  <w:style w:type="character" w:styleId="49">
    <w:name w:val="Emphasis"/>
    <w:basedOn w:val="45"/>
    <w:autoRedefine/>
    <w:qFormat/>
    <w:uiPriority w:val="0"/>
    <w:rPr>
      <w:i/>
      <w:iCs/>
    </w:rPr>
  </w:style>
  <w:style w:type="character" w:styleId="50">
    <w:name w:val="Hyperlink"/>
    <w:basedOn w:val="45"/>
    <w:autoRedefine/>
    <w:qFormat/>
    <w:uiPriority w:val="99"/>
    <w:rPr>
      <w:color w:val="0000FF"/>
      <w:u w:val="single"/>
    </w:rPr>
  </w:style>
  <w:style w:type="character" w:styleId="51">
    <w:name w:val="annotation reference"/>
    <w:basedOn w:val="45"/>
    <w:autoRedefine/>
    <w:semiHidden/>
    <w:unhideWhenUsed/>
    <w:qFormat/>
    <w:uiPriority w:val="0"/>
    <w:rPr>
      <w:sz w:val="21"/>
      <w:szCs w:val="21"/>
    </w:rPr>
  </w:style>
  <w:style w:type="character" w:styleId="52">
    <w:name w:val="HTML Keyboard"/>
    <w:autoRedefine/>
    <w:qFormat/>
    <w:uiPriority w:val="0"/>
    <w:rPr>
      <w:rFonts w:ascii="monospace" w:hAnsi="monospace" w:eastAsia="monospace" w:cs="monospace"/>
      <w:sz w:val="21"/>
      <w:szCs w:val="21"/>
    </w:rPr>
  </w:style>
  <w:style w:type="character" w:styleId="53">
    <w:name w:val="HTML Sample"/>
    <w:basedOn w:val="45"/>
    <w:autoRedefine/>
    <w:semiHidden/>
    <w:unhideWhenUsed/>
    <w:qFormat/>
    <w:uiPriority w:val="99"/>
    <w:rPr>
      <w:rFonts w:ascii="宋体" w:hAnsi="宋体" w:eastAsia="宋体" w:cs="宋体"/>
    </w:rPr>
  </w:style>
  <w:style w:type="paragraph" w:customStyle="1" w:styleId="54">
    <w:name w:val="TOC 标题1"/>
    <w:basedOn w:val="4"/>
    <w:next w:val="1"/>
    <w:autoRedefine/>
    <w:qFormat/>
    <w:uiPriority w:val="39"/>
    <w:pPr>
      <w:tabs>
        <w:tab w:val="left" w:pos="1800"/>
      </w:tabs>
      <w:spacing w:before="480" w:line="276" w:lineRule="auto"/>
      <w:outlineLvl w:val="9"/>
    </w:pPr>
    <w:rPr>
      <w:rFonts w:ascii="仿宋" w:hAnsi="仿宋" w:eastAsia="仿宋"/>
      <w:color w:val="000000"/>
      <w:kern w:val="0"/>
      <w:sz w:val="32"/>
      <w:szCs w:val="32"/>
    </w:rPr>
  </w:style>
  <w:style w:type="paragraph" w:customStyle="1" w:styleId="55">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customStyle="1" w:styleId="56">
    <w:name w:val="文档正文"/>
    <w:basedOn w:val="1"/>
    <w:autoRedefine/>
    <w:qFormat/>
    <w:uiPriority w:val="0"/>
    <w:pPr>
      <w:adjustRightInd w:val="0"/>
      <w:spacing w:line="300" w:lineRule="auto"/>
      <w:ind w:firstLine="567"/>
      <w:textAlignment w:val="baseline"/>
    </w:pPr>
    <w:rPr>
      <w:kern w:val="0"/>
      <w:sz w:val="24"/>
      <w:szCs w:val="20"/>
    </w:rPr>
  </w:style>
  <w:style w:type="character" w:customStyle="1" w:styleId="57">
    <w:name w:val="标题 1 Char"/>
    <w:link w:val="4"/>
    <w:autoRedefine/>
    <w:qFormat/>
    <w:uiPriority w:val="0"/>
    <w:rPr>
      <w:b/>
      <w:bCs/>
      <w:kern w:val="44"/>
      <w:sz w:val="44"/>
      <w:szCs w:val="44"/>
    </w:rPr>
  </w:style>
  <w:style w:type="character" w:customStyle="1" w:styleId="58">
    <w:name w:val="标题 2 Char"/>
    <w:basedOn w:val="45"/>
    <w:link w:val="5"/>
    <w:autoRedefine/>
    <w:qFormat/>
    <w:uiPriority w:val="0"/>
    <w:rPr>
      <w:rFonts w:ascii="Arial" w:hAnsi="Arial" w:eastAsia="黑体"/>
      <w:b/>
      <w:bCs/>
      <w:kern w:val="2"/>
      <w:sz w:val="32"/>
      <w:szCs w:val="32"/>
    </w:rPr>
  </w:style>
  <w:style w:type="character" w:customStyle="1" w:styleId="59">
    <w:name w:val="正文缩进 Char"/>
    <w:link w:val="8"/>
    <w:autoRedefine/>
    <w:qFormat/>
    <w:uiPriority w:val="0"/>
    <w:rPr>
      <w:rFonts w:ascii="仿宋_GB2312" w:hAnsi="宋体" w:eastAsia="仿宋_GB2312" w:cs="宋体"/>
      <w:b/>
      <w:bCs/>
      <w:color w:val="000000"/>
      <w:sz w:val="21"/>
      <w:szCs w:val="21"/>
      <w:lang w:val="en-US" w:eastAsia="zh-CN" w:bidi="ar-SA"/>
    </w:rPr>
  </w:style>
  <w:style w:type="character" w:customStyle="1" w:styleId="60">
    <w:name w:val="标题 3 Char"/>
    <w:basedOn w:val="45"/>
    <w:link w:val="6"/>
    <w:autoRedefine/>
    <w:qFormat/>
    <w:uiPriority w:val="0"/>
    <w:rPr>
      <w:rFonts w:ascii="Arial" w:hAnsi="Arial" w:eastAsia="黑体" w:cs="宋体"/>
      <w:color w:val="000000"/>
      <w:spacing w:val="20"/>
      <w:sz w:val="30"/>
      <w:szCs w:val="32"/>
    </w:rPr>
  </w:style>
  <w:style w:type="character" w:customStyle="1" w:styleId="61">
    <w:name w:val="标题 4 Char"/>
    <w:basedOn w:val="45"/>
    <w:link w:val="7"/>
    <w:autoRedefine/>
    <w:qFormat/>
    <w:uiPriority w:val="0"/>
    <w:rPr>
      <w:rFonts w:ascii="Arial" w:hAnsi="Arial" w:eastAsia="黑体" w:cs="宋体"/>
      <w:color w:val="000000"/>
      <w:spacing w:val="10"/>
      <w:sz w:val="28"/>
      <w:szCs w:val="28"/>
    </w:rPr>
  </w:style>
  <w:style w:type="character" w:customStyle="1" w:styleId="62">
    <w:name w:val="标题 5 Char"/>
    <w:basedOn w:val="45"/>
    <w:link w:val="9"/>
    <w:autoRedefine/>
    <w:qFormat/>
    <w:uiPriority w:val="0"/>
    <w:rPr>
      <w:rFonts w:ascii="Arial" w:hAnsi="Arial" w:eastAsia="黑体" w:cs="宋体"/>
      <w:color w:val="000000"/>
      <w:spacing w:val="10"/>
      <w:sz w:val="28"/>
      <w:szCs w:val="28"/>
    </w:rPr>
  </w:style>
  <w:style w:type="character" w:customStyle="1" w:styleId="63">
    <w:name w:val="标题 6 Char"/>
    <w:basedOn w:val="45"/>
    <w:link w:val="10"/>
    <w:autoRedefine/>
    <w:qFormat/>
    <w:uiPriority w:val="0"/>
    <w:rPr>
      <w:rFonts w:ascii="Arial" w:hAnsi="Arial" w:eastAsia="黑体" w:cs="宋体"/>
      <w:color w:val="000000"/>
      <w:spacing w:val="10"/>
      <w:sz w:val="24"/>
      <w:szCs w:val="21"/>
    </w:rPr>
  </w:style>
  <w:style w:type="character" w:customStyle="1" w:styleId="64">
    <w:name w:val="标题 7 Char"/>
    <w:basedOn w:val="45"/>
    <w:link w:val="11"/>
    <w:autoRedefine/>
    <w:qFormat/>
    <w:uiPriority w:val="0"/>
    <w:rPr>
      <w:rFonts w:ascii="Arial" w:hAnsi="Arial" w:eastAsia="黑体" w:cs="宋体"/>
      <w:color w:val="000000"/>
      <w:sz w:val="24"/>
      <w:szCs w:val="21"/>
    </w:rPr>
  </w:style>
  <w:style w:type="character" w:customStyle="1" w:styleId="65">
    <w:name w:val="标题 8 Char"/>
    <w:basedOn w:val="45"/>
    <w:link w:val="12"/>
    <w:autoRedefine/>
    <w:qFormat/>
    <w:uiPriority w:val="0"/>
    <w:rPr>
      <w:rFonts w:ascii="Arial" w:hAnsi="Arial" w:eastAsia="黑体" w:cs="宋体"/>
      <w:b/>
      <w:bCs/>
      <w:color w:val="000000"/>
      <w:sz w:val="24"/>
      <w:szCs w:val="21"/>
    </w:rPr>
  </w:style>
  <w:style w:type="character" w:customStyle="1" w:styleId="66">
    <w:name w:val="标题 9 Char"/>
    <w:basedOn w:val="45"/>
    <w:link w:val="13"/>
    <w:autoRedefine/>
    <w:qFormat/>
    <w:uiPriority w:val="0"/>
    <w:rPr>
      <w:rFonts w:ascii="Arial" w:hAnsi="Arial" w:eastAsia="黑体" w:cs="宋体"/>
      <w:b/>
      <w:bCs/>
      <w:color w:val="000000"/>
      <w:sz w:val="21"/>
      <w:szCs w:val="21"/>
    </w:rPr>
  </w:style>
  <w:style w:type="character" w:customStyle="1" w:styleId="67">
    <w:name w:val="批注文字 Char"/>
    <w:basedOn w:val="45"/>
    <w:link w:val="17"/>
    <w:autoRedefine/>
    <w:qFormat/>
    <w:uiPriority w:val="0"/>
    <w:rPr>
      <w:kern w:val="2"/>
      <w:sz w:val="21"/>
      <w:szCs w:val="24"/>
    </w:rPr>
  </w:style>
  <w:style w:type="character" w:customStyle="1" w:styleId="68">
    <w:name w:val="纯文本 Char"/>
    <w:link w:val="24"/>
    <w:autoRedefine/>
    <w:qFormat/>
    <w:uiPriority w:val="0"/>
    <w:rPr>
      <w:rFonts w:ascii="宋体" w:hAnsi="Courier New" w:eastAsia="宋体"/>
      <w:sz w:val="21"/>
      <w:szCs w:val="21"/>
      <w:lang w:val="en-US" w:eastAsia="zh-CN" w:bidi="ar-SA"/>
    </w:rPr>
  </w:style>
  <w:style w:type="character" w:customStyle="1" w:styleId="69">
    <w:name w:val="正文文本缩进 2 Char"/>
    <w:link w:val="26"/>
    <w:autoRedefine/>
    <w:qFormat/>
    <w:uiPriority w:val="0"/>
    <w:rPr>
      <w:rFonts w:ascii="宋体" w:hAnsi="宋体" w:eastAsia="仿宋_GB2312"/>
      <w:b/>
      <w:bCs/>
      <w:color w:val="000000"/>
      <w:sz w:val="24"/>
      <w:lang w:bidi="ar-SA"/>
    </w:rPr>
  </w:style>
  <w:style w:type="character" w:customStyle="1" w:styleId="70">
    <w:name w:val="页脚 Char"/>
    <w:link w:val="28"/>
    <w:autoRedefine/>
    <w:qFormat/>
    <w:uiPriority w:val="0"/>
    <w:rPr>
      <w:kern w:val="2"/>
      <w:sz w:val="18"/>
      <w:szCs w:val="18"/>
    </w:rPr>
  </w:style>
  <w:style w:type="character" w:customStyle="1" w:styleId="71">
    <w:name w:val="页眉 Char"/>
    <w:link w:val="29"/>
    <w:autoRedefine/>
    <w:qFormat/>
    <w:uiPriority w:val="0"/>
    <w:rPr>
      <w:kern w:val="2"/>
      <w:sz w:val="18"/>
      <w:szCs w:val="18"/>
    </w:rPr>
  </w:style>
  <w:style w:type="character" w:customStyle="1" w:styleId="72">
    <w:name w:val="副标题 Char"/>
    <w:basedOn w:val="45"/>
    <w:link w:val="31"/>
    <w:autoRedefine/>
    <w:qFormat/>
    <w:uiPriority w:val="0"/>
    <w:rPr>
      <w:rFonts w:ascii="Cambria" w:hAnsi="Cambria" w:cs="Times New Roman"/>
      <w:b/>
      <w:bCs/>
      <w:kern w:val="28"/>
      <w:sz w:val="32"/>
      <w:szCs w:val="32"/>
    </w:rPr>
  </w:style>
  <w:style w:type="character" w:customStyle="1" w:styleId="73">
    <w:name w:val="普通(网站) Char"/>
    <w:link w:val="39"/>
    <w:autoRedefine/>
    <w:qFormat/>
    <w:uiPriority w:val="0"/>
    <w:rPr>
      <w:rFonts w:ascii="宋体" w:hAnsi="宋体" w:cs="宋体"/>
      <w:sz w:val="24"/>
      <w:szCs w:val="24"/>
    </w:rPr>
  </w:style>
  <w:style w:type="character" w:customStyle="1" w:styleId="74">
    <w:name w:val="标题 Char"/>
    <w:basedOn w:val="45"/>
    <w:link w:val="40"/>
    <w:autoRedefine/>
    <w:qFormat/>
    <w:uiPriority w:val="0"/>
    <w:rPr>
      <w:rFonts w:ascii="Cambria" w:hAnsi="Cambria" w:cs="Times New Roman"/>
      <w:b/>
      <w:bCs/>
      <w:kern w:val="2"/>
      <w:sz w:val="32"/>
      <w:szCs w:val="32"/>
    </w:rPr>
  </w:style>
  <w:style w:type="character" w:customStyle="1" w:styleId="75">
    <w:name w:val="批注主题 Char"/>
    <w:basedOn w:val="67"/>
    <w:link w:val="41"/>
    <w:autoRedefine/>
    <w:semiHidden/>
    <w:qFormat/>
    <w:uiPriority w:val="0"/>
    <w:rPr>
      <w:b/>
      <w:bCs/>
      <w:kern w:val="2"/>
      <w:sz w:val="21"/>
      <w:szCs w:val="24"/>
    </w:rPr>
  </w:style>
  <w:style w:type="character" w:customStyle="1" w:styleId="76">
    <w:name w:val="Char Char5"/>
    <w:autoRedefine/>
    <w:qFormat/>
    <w:uiPriority w:val="0"/>
    <w:rPr>
      <w:rFonts w:ascii="Arial" w:hAnsi="Arial" w:eastAsia="宋体" w:cs="Arial"/>
      <w:b/>
      <w:bCs/>
      <w:color w:val="000000"/>
      <w:sz w:val="32"/>
      <w:szCs w:val="32"/>
      <w:lang w:val="en-US" w:eastAsia="zh-CN" w:bidi="ar-SA"/>
    </w:rPr>
  </w:style>
  <w:style w:type="paragraph" w:customStyle="1" w:styleId="77">
    <w:name w:val="p16"/>
    <w:basedOn w:val="1"/>
    <w:autoRedefine/>
    <w:qFormat/>
    <w:uiPriority w:val="0"/>
    <w:pPr>
      <w:widowControl/>
    </w:pPr>
    <w:rPr>
      <w:rFonts w:ascii="Calibri" w:hAnsi="Calibri" w:cs="宋体"/>
      <w:kern w:val="0"/>
      <w:szCs w:val="21"/>
    </w:rPr>
  </w:style>
  <w:style w:type="paragraph" w:styleId="78">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Char Char Char Char Char Char Char"/>
    <w:basedOn w:val="1"/>
    <w:autoRedefine/>
    <w:qFormat/>
    <w:uiPriority w:val="0"/>
    <w:rPr>
      <w:rFonts w:ascii="仿宋_GB2312" w:eastAsia="仿宋_GB2312"/>
      <w:b/>
      <w:sz w:val="32"/>
      <w:szCs w:val="32"/>
    </w:rPr>
  </w:style>
  <w:style w:type="paragraph" w:customStyle="1" w:styleId="80">
    <w:name w:val="p15"/>
    <w:basedOn w:val="1"/>
    <w:autoRedefine/>
    <w:qFormat/>
    <w:uiPriority w:val="0"/>
    <w:pPr>
      <w:widowControl/>
      <w:ind w:firstLine="420"/>
    </w:pPr>
    <w:rPr>
      <w:rFonts w:ascii="Calibri" w:hAnsi="Calibri" w:cs="宋体"/>
      <w:kern w:val="0"/>
      <w:szCs w:val="21"/>
    </w:rPr>
  </w:style>
  <w:style w:type="paragraph" w:customStyle="1" w:styleId="81">
    <w:name w:val="Char Char"/>
    <w:basedOn w:val="1"/>
    <w:autoRedefine/>
    <w:qFormat/>
    <w:uiPriority w:val="0"/>
    <w:pPr>
      <w:spacing w:line="360" w:lineRule="auto"/>
    </w:pPr>
    <w:rPr>
      <w:rFonts w:ascii="Tahoma" w:hAnsi="Tahoma"/>
      <w:sz w:val="24"/>
      <w:szCs w:val="20"/>
    </w:rPr>
  </w:style>
  <w:style w:type="paragraph" w:customStyle="1" w:styleId="82">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83">
    <w:name w:val="[Normal]"/>
    <w:autoRedefine/>
    <w:qFormat/>
    <w:uiPriority w:val="0"/>
    <w:rPr>
      <w:rFonts w:ascii="宋体" w:hAnsi="宋体" w:eastAsia="宋体" w:cs="Times New Roman"/>
      <w:sz w:val="24"/>
      <w:szCs w:val="22"/>
      <w:lang w:val="zh-CN" w:eastAsia="zh-CN" w:bidi="ar-SA"/>
    </w:rPr>
  </w:style>
  <w:style w:type="paragraph" w:styleId="84">
    <w:name w:val="List Paragraph"/>
    <w:basedOn w:val="1"/>
    <w:autoRedefine/>
    <w:qFormat/>
    <w:uiPriority w:val="34"/>
    <w:pPr>
      <w:ind w:firstLine="420" w:firstLineChars="200"/>
    </w:pPr>
  </w:style>
  <w:style w:type="paragraph" w:customStyle="1" w:styleId="85">
    <w:name w:val="纯文本2"/>
    <w:basedOn w:val="1"/>
    <w:autoRedefine/>
    <w:qFormat/>
    <w:uiPriority w:val="0"/>
    <w:pPr>
      <w:adjustRightInd w:val="0"/>
      <w:snapToGrid w:val="0"/>
      <w:spacing w:line="288" w:lineRule="auto"/>
      <w:ind w:firstLine="200" w:firstLineChars="200"/>
    </w:pPr>
    <w:rPr>
      <w:rFonts w:ascii="宋体" w:hAnsi="Courier New"/>
    </w:rPr>
  </w:style>
  <w:style w:type="paragraph" w:customStyle="1" w:styleId="86">
    <w:name w:val="正文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
    <w:name w:val="Table Paragraph"/>
    <w:basedOn w:val="1"/>
    <w:autoRedefine/>
    <w:qFormat/>
    <w:uiPriority w:val="1"/>
    <w:pPr>
      <w:widowControl/>
      <w:autoSpaceDE w:val="0"/>
      <w:autoSpaceDN w:val="0"/>
      <w:spacing w:line="360" w:lineRule="auto"/>
      <w:jc w:val="left"/>
    </w:pPr>
    <w:rPr>
      <w:rFonts w:ascii="宋体" w:hAnsi="宋体" w:cs="宋体"/>
      <w:kern w:val="0"/>
      <w:sz w:val="22"/>
      <w:szCs w:val="22"/>
      <w:lang w:val="zh-CN" w:bidi="zh-CN"/>
    </w:rPr>
  </w:style>
  <w:style w:type="character" w:customStyle="1" w:styleId="88">
    <w:name w:val="纯文本 Char2"/>
    <w:autoRedefine/>
    <w:qFormat/>
    <w:uiPriority w:val="0"/>
    <w:rPr>
      <w:rFonts w:ascii="宋体" w:hAnsi="Courier New" w:eastAsia="仿宋_GB2312" w:cs="宋体"/>
      <w:b/>
      <w:bCs/>
      <w:color w:val="000000"/>
      <w:sz w:val="21"/>
      <w:lang w:val="en-US" w:eastAsia="zh-CN" w:bidi="ar-SA"/>
    </w:rPr>
  </w:style>
  <w:style w:type="character" w:customStyle="1" w:styleId="89">
    <w:name w:val="NormalCharacter"/>
    <w:autoRedefine/>
    <w:qFormat/>
    <w:uiPriority w:val="0"/>
  </w:style>
  <w:style w:type="paragraph" w:customStyle="1" w:styleId="90">
    <w:name w:val="列出段落3"/>
    <w:basedOn w:val="1"/>
    <w:autoRedefine/>
    <w:qFormat/>
    <w:uiPriority w:val="0"/>
    <w:pPr>
      <w:spacing w:line="360" w:lineRule="auto"/>
      <w:ind w:firstLine="420" w:firstLineChars="200"/>
    </w:pPr>
    <w:rPr>
      <w:rFonts w:ascii="Calibri" w:hAnsi="Calibri"/>
      <w:sz w:val="24"/>
      <w:szCs w:val="22"/>
    </w:rPr>
  </w:style>
  <w:style w:type="character" w:customStyle="1" w:styleId="91">
    <w:name w:val="纯文本 Char1"/>
    <w:autoRedefine/>
    <w:qFormat/>
    <w:uiPriority w:val="0"/>
    <w:rPr>
      <w:rFonts w:ascii="宋体" w:hAnsi="Courier New" w:eastAsia="仿宋_GB2312" w:cs="宋体"/>
      <w:b/>
      <w:bCs/>
      <w:color w:val="000000"/>
    </w:rPr>
  </w:style>
  <w:style w:type="character" w:customStyle="1" w:styleId="92">
    <w:name w:val="skancount"/>
    <w:basedOn w:val="45"/>
    <w:autoRedefine/>
    <w:qFormat/>
    <w:uiPriority w:val="0"/>
  </w:style>
  <w:style w:type="character" w:customStyle="1" w:styleId="93">
    <w:name w:val="bookmark-item"/>
    <w:basedOn w:val="45"/>
    <w:autoRedefine/>
    <w:qFormat/>
    <w:uiPriority w:val="0"/>
  </w:style>
  <w:style w:type="paragraph" w:customStyle="1" w:styleId="94">
    <w:name w:val="正文文本首行缩进1"/>
    <w:basedOn w:val="3"/>
    <w:autoRedefine/>
    <w:qFormat/>
    <w:uiPriority w:val="0"/>
    <w:pPr>
      <w:spacing w:line="360" w:lineRule="auto"/>
      <w:ind w:firstLine="200" w:firstLineChars="200"/>
    </w:pPr>
    <w:rPr>
      <w:rFonts w:ascii="宋体" w:hAnsi="宋体"/>
      <w:bCs/>
      <w:sz w:val="24"/>
      <w:szCs w:val="21"/>
    </w:rPr>
  </w:style>
  <w:style w:type="paragraph" w:customStyle="1" w:styleId="95">
    <w:name w:val="列表段落1"/>
    <w:basedOn w:val="1"/>
    <w:autoRedefine/>
    <w:qFormat/>
    <w:uiPriority w:val="0"/>
    <w:pPr>
      <w:ind w:firstLine="420" w:firstLineChars="200"/>
    </w:pPr>
    <w:rPr>
      <w:rFonts w:asciiTheme="minorHAnsi" w:hAnsiTheme="minorHAnsi" w:eastAsiaTheme="minorEastAsia" w:cstheme="minorBidi"/>
      <w:sz w:val="24"/>
    </w:rPr>
  </w:style>
  <w:style w:type="character" w:customStyle="1" w:styleId="96">
    <w:name w:val="文档结构图 Char"/>
    <w:basedOn w:val="45"/>
    <w:link w:val="16"/>
    <w:autoRedefine/>
    <w:semiHidden/>
    <w:qFormat/>
    <w:uiPriority w:val="0"/>
    <w:rPr>
      <w:kern w:val="2"/>
      <w:sz w:val="21"/>
      <w:szCs w:val="24"/>
      <w:shd w:val="clear" w:color="auto" w:fill="000080"/>
    </w:rPr>
  </w:style>
  <w:style w:type="character" w:customStyle="1" w:styleId="97">
    <w:name w:val="日期 Char"/>
    <w:basedOn w:val="45"/>
    <w:link w:val="25"/>
    <w:autoRedefine/>
    <w:qFormat/>
    <w:uiPriority w:val="0"/>
    <w:rPr>
      <w:rFonts w:ascii="仿宋_GB2312" w:hAnsi="宋体" w:eastAsia="仿宋_GB2312" w:cs="宋体"/>
      <w:b/>
      <w:bCs/>
      <w:color w:val="000000"/>
      <w:sz w:val="24"/>
      <w:szCs w:val="21"/>
    </w:rPr>
  </w:style>
  <w:style w:type="character" w:customStyle="1" w:styleId="98">
    <w:name w:val="脚注文本 Char"/>
    <w:basedOn w:val="45"/>
    <w:link w:val="33"/>
    <w:autoRedefine/>
    <w:qFormat/>
    <w:uiPriority w:val="0"/>
    <w:rPr>
      <w:kern w:val="2"/>
      <w:sz w:val="18"/>
      <w:szCs w:val="24"/>
    </w:rPr>
  </w:style>
  <w:style w:type="character" w:customStyle="1" w:styleId="99">
    <w:name w:val="正文文本缩进 3 Char"/>
    <w:basedOn w:val="45"/>
    <w:link w:val="35"/>
    <w:autoRedefine/>
    <w:qFormat/>
    <w:uiPriority w:val="0"/>
    <w:rPr>
      <w:rFonts w:ascii="仿宋_GB2312" w:hAnsi="宋体" w:eastAsia="仿宋_GB2312" w:cs="宋体"/>
      <w:b/>
      <w:bCs/>
      <w:color w:val="000000"/>
      <w:sz w:val="16"/>
      <w:szCs w:val="16"/>
    </w:rPr>
  </w:style>
  <w:style w:type="character" w:customStyle="1" w:styleId="100">
    <w:name w:val="正文文本 2 Char"/>
    <w:basedOn w:val="45"/>
    <w:link w:val="37"/>
    <w:autoRedefine/>
    <w:qFormat/>
    <w:uiPriority w:val="0"/>
    <w:rPr>
      <w:kern w:val="2"/>
      <w:sz w:val="21"/>
      <w:szCs w:val="24"/>
    </w:rPr>
  </w:style>
  <w:style w:type="character" w:customStyle="1" w:styleId="101">
    <w:name w:val="HTML 预设格式 Char"/>
    <w:basedOn w:val="45"/>
    <w:link w:val="38"/>
    <w:autoRedefine/>
    <w:qFormat/>
    <w:uiPriority w:val="0"/>
    <w:rPr>
      <w:rFonts w:ascii="黑体" w:hAnsi="Courier New" w:eastAsia="黑体"/>
    </w:rPr>
  </w:style>
  <w:style w:type="character" w:customStyle="1" w:styleId="102">
    <w:name w:val="style11"/>
    <w:autoRedefine/>
    <w:qFormat/>
    <w:uiPriority w:val="0"/>
    <w:rPr>
      <w:sz w:val="18"/>
      <w:szCs w:val="18"/>
    </w:rPr>
  </w:style>
  <w:style w:type="character" w:customStyle="1" w:styleId="103">
    <w:name w:val="Char Char2"/>
    <w:autoRedefine/>
    <w:qFormat/>
    <w:uiPriority w:val="0"/>
    <w:rPr>
      <w:rFonts w:eastAsia="宋体"/>
      <w:kern w:val="2"/>
      <w:sz w:val="18"/>
      <w:szCs w:val="18"/>
      <w:lang w:val="en-US" w:eastAsia="zh-CN" w:bidi="ar-SA"/>
    </w:rPr>
  </w:style>
  <w:style w:type="character" w:customStyle="1" w:styleId="104">
    <w:name w:val="ca-6"/>
    <w:basedOn w:val="45"/>
    <w:autoRedefine/>
    <w:qFormat/>
    <w:uiPriority w:val="0"/>
  </w:style>
  <w:style w:type="character" w:customStyle="1" w:styleId="105">
    <w:name w:val="unnamed11"/>
    <w:autoRedefine/>
    <w:qFormat/>
    <w:uiPriority w:val="0"/>
    <w:rPr>
      <w:color w:val="000000"/>
      <w:sz w:val="20"/>
      <w:szCs w:val="20"/>
    </w:rPr>
  </w:style>
  <w:style w:type="character" w:customStyle="1" w:styleId="106">
    <w:name w:val="Texte Char Char"/>
    <w:autoRedefine/>
    <w:qFormat/>
    <w:uiPriority w:val="0"/>
    <w:rPr>
      <w:rFonts w:ascii="宋体" w:hAnsi="Courier New" w:eastAsia="仿宋_GB2312" w:cs="宋体"/>
      <w:b/>
      <w:bCs/>
      <w:color w:val="000000"/>
      <w:sz w:val="21"/>
      <w:lang w:val="en-US" w:eastAsia="zh-CN" w:bidi="ar-SA"/>
    </w:rPr>
  </w:style>
  <w:style w:type="character" w:customStyle="1" w:styleId="107">
    <w:name w:val="f10"/>
    <w:basedOn w:val="45"/>
    <w:autoRedefine/>
    <w:qFormat/>
    <w:uiPriority w:val="0"/>
  </w:style>
  <w:style w:type="character" w:customStyle="1" w:styleId="108">
    <w:name w:val="ca-2"/>
    <w:basedOn w:val="45"/>
    <w:autoRedefine/>
    <w:qFormat/>
    <w:uiPriority w:val="0"/>
  </w:style>
  <w:style w:type="character" w:customStyle="1" w:styleId="109">
    <w:name w:val="缩进2字符 Char"/>
    <w:link w:val="110"/>
    <w:qFormat/>
    <w:locked/>
    <w:uiPriority w:val="0"/>
    <w:rPr>
      <w:rFonts w:ascii="仿宋_GB2312" w:hAnsi="仿宋_GB2312" w:eastAsia="仿宋_GB2312" w:cs="Arial"/>
      <w:snapToGrid w:val="0"/>
      <w:color w:val="000000"/>
      <w:sz w:val="28"/>
      <w:szCs w:val="28"/>
    </w:rPr>
  </w:style>
  <w:style w:type="paragraph" w:customStyle="1" w:styleId="110">
    <w:name w:val="缩进2字符"/>
    <w:basedOn w:val="1"/>
    <w:link w:val="109"/>
    <w:autoRedefine/>
    <w:qFormat/>
    <w:uiPriority w:val="0"/>
    <w:pPr>
      <w:widowControl/>
      <w:ind w:firstLine="200" w:firstLineChars="200"/>
      <w:jc w:val="left"/>
    </w:pPr>
    <w:rPr>
      <w:rFonts w:ascii="仿宋_GB2312" w:hAnsi="仿宋_GB2312" w:eastAsia="仿宋_GB2312" w:cs="Arial"/>
      <w:snapToGrid w:val="0"/>
      <w:color w:val="000000"/>
      <w:kern w:val="0"/>
      <w:sz w:val="28"/>
      <w:szCs w:val="28"/>
    </w:rPr>
  </w:style>
  <w:style w:type="character" w:customStyle="1" w:styleId="111">
    <w:name w:val="ca-11"/>
    <w:autoRedefine/>
    <w:qFormat/>
    <w:uiPriority w:val="0"/>
    <w:rPr>
      <w:rFonts w:hint="eastAsia" w:ascii="宋体" w:hAnsi="宋体" w:eastAsia="宋体"/>
      <w:sz w:val="18"/>
      <w:szCs w:val="18"/>
    </w:rPr>
  </w:style>
  <w:style w:type="character" w:customStyle="1" w:styleId="112">
    <w:name w:val="标题 Char1"/>
    <w:autoRedefine/>
    <w:qFormat/>
    <w:locked/>
    <w:uiPriority w:val="0"/>
    <w:rPr>
      <w:rFonts w:ascii="Arial" w:hAnsi="Arial" w:cs="Arial"/>
      <w:b/>
      <w:bCs/>
      <w:color w:val="000000"/>
      <w:sz w:val="32"/>
      <w:szCs w:val="32"/>
    </w:rPr>
  </w:style>
  <w:style w:type="character" w:customStyle="1" w:styleId="113">
    <w:name w:val="ca-3"/>
    <w:basedOn w:val="45"/>
    <w:autoRedefine/>
    <w:qFormat/>
    <w:uiPriority w:val="0"/>
  </w:style>
  <w:style w:type="character" w:customStyle="1" w:styleId="114">
    <w:name w:val="para"/>
    <w:basedOn w:val="45"/>
    <w:autoRedefine/>
    <w:qFormat/>
    <w:uiPriority w:val="0"/>
  </w:style>
  <w:style w:type="character" w:customStyle="1" w:styleId="115">
    <w:name w:val="表格文本 Char"/>
    <w:link w:val="116"/>
    <w:autoRedefine/>
    <w:qFormat/>
    <w:locked/>
    <w:uiPriority w:val="0"/>
    <w:rPr>
      <w:rFonts w:ascii="宋体" w:hAnsi="宋体" w:cs="Arial"/>
      <w:snapToGrid w:val="0"/>
      <w:szCs w:val="21"/>
    </w:rPr>
  </w:style>
  <w:style w:type="paragraph" w:customStyle="1" w:styleId="116">
    <w:name w:val="表格文本"/>
    <w:basedOn w:val="1"/>
    <w:link w:val="115"/>
    <w:autoRedefine/>
    <w:qFormat/>
    <w:uiPriority w:val="0"/>
    <w:pPr>
      <w:snapToGrid w:val="0"/>
      <w:jc w:val="left"/>
    </w:pPr>
    <w:rPr>
      <w:rFonts w:ascii="宋体" w:hAnsi="宋体" w:cs="Arial"/>
      <w:snapToGrid w:val="0"/>
      <w:kern w:val="0"/>
      <w:sz w:val="20"/>
      <w:szCs w:val="21"/>
    </w:rPr>
  </w:style>
  <w:style w:type="character" w:customStyle="1" w:styleId="117">
    <w:name w:val="ca-8"/>
    <w:basedOn w:val="45"/>
    <w:autoRedefine/>
    <w:qFormat/>
    <w:uiPriority w:val="0"/>
  </w:style>
  <w:style w:type="character" w:customStyle="1" w:styleId="118">
    <w:name w:val="smalltxt1"/>
    <w:autoRedefine/>
    <w:qFormat/>
    <w:uiPriority w:val="0"/>
    <w:rPr>
      <w:rFonts w:hint="default" w:ascii="ˎ̥" w:hAnsi="ˎ̥" w:eastAsia="仿宋_GB2312"/>
      <w:b/>
      <w:sz w:val="24"/>
      <w:szCs w:val="24"/>
    </w:rPr>
  </w:style>
  <w:style w:type="character" w:customStyle="1" w:styleId="119">
    <w:name w:val="Char Char1"/>
    <w:autoRedefine/>
    <w:qFormat/>
    <w:uiPriority w:val="0"/>
    <w:rPr>
      <w:rFonts w:ascii="宋体" w:hAnsi="Courier New" w:eastAsia="仿宋_GB2312" w:cs="宋体"/>
      <w:b/>
      <w:bCs/>
      <w:color w:val="000000"/>
      <w:sz w:val="21"/>
      <w:lang w:val="en-US" w:eastAsia="zh-CN" w:bidi="ar-SA"/>
    </w:rPr>
  </w:style>
  <w:style w:type="character" w:customStyle="1" w:styleId="120">
    <w:name w:val="apple-converted-space"/>
    <w:basedOn w:val="45"/>
    <w:autoRedefine/>
    <w:qFormat/>
    <w:uiPriority w:val="0"/>
  </w:style>
  <w:style w:type="character" w:customStyle="1" w:styleId="121">
    <w:name w:val="bigtitle1"/>
    <w:autoRedefine/>
    <w:qFormat/>
    <w:uiPriority w:val="0"/>
    <w:rPr>
      <w:sz w:val="28"/>
      <w:szCs w:val="28"/>
    </w:rPr>
  </w:style>
  <w:style w:type="character" w:customStyle="1" w:styleId="122">
    <w:name w:val="Char Char4"/>
    <w:autoRedefine/>
    <w:qFormat/>
    <w:uiPriority w:val="0"/>
    <w:rPr>
      <w:rFonts w:eastAsia="宋体"/>
      <w:sz w:val="18"/>
      <w:szCs w:val="18"/>
      <w:lang w:val="en-US" w:eastAsia="zh-CN" w:bidi="ar-SA"/>
    </w:rPr>
  </w:style>
  <w:style w:type="character" w:customStyle="1" w:styleId="123">
    <w:name w:val="样式3 Char"/>
    <w:link w:val="124"/>
    <w:autoRedefine/>
    <w:qFormat/>
    <w:uiPriority w:val="0"/>
    <w:rPr>
      <w:rFonts w:eastAsia="黑体"/>
      <w:kern w:val="2"/>
      <w:sz w:val="28"/>
      <w:szCs w:val="21"/>
    </w:rPr>
  </w:style>
  <w:style w:type="paragraph" w:customStyle="1" w:styleId="124">
    <w:name w:val="样式3"/>
    <w:basedOn w:val="1"/>
    <w:link w:val="123"/>
    <w:autoRedefine/>
    <w:qFormat/>
    <w:uiPriority w:val="0"/>
    <w:pPr>
      <w:snapToGrid w:val="0"/>
      <w:outlineLvl w:val="2"/>
    </w:pPr>
    <w:rPr>
      <w:rFonts w:eastAsia="黑体"/>
      <w:sz w:val="28"/>
      <w:szCs w:val="21"/>
    </w:rPr>
  </w:style>
  <w:style w:type="character" w:customStyle="1" w:styleId="125">
    <w:name w:val="unnamed51"/>
    <w:autoRedefine/>
    <w:qFormat/>
    <w:uiPriority w:val="0"/>
    <w:rPr>
      <w:sz w:val="22"/>
      <w:szCs w:val="22"/>
    </w:rPr>
  </w:style>
  <w:style w:type="paragraph" w:customStyle="1" w:styleId="126">
    <w:name w:val="默认段落字体 Para Char"/>
    <w:basedOn w:val="1"/>
    <w:autoRedefine/>
    <w:qFormat/>
    <w:uiPriority w:val="0"/>
    <w:pPr>
      <w:adjustRightInd w:val="0"/>
      <w:spacing w:line="360" w:lineRule="auto"/>
    </w:pPr>
    <w:rPr>
      <w:kern w:val="0"/>
      <w:sz w:val="24"/>
      <w:szCs w:val="20"/>
    </w:rPr>
  </w:style>
  <w:style w:type="paragraph" w:customStyle="1" w:styleId="127">
    <w:name w:val="Char Char Char Char Char Char Char Char Char Char Char Char"/>
    <w:basedOn w:val="1"/>
    <w:autoRedefine/>
    <w:qFormat/>
    <w:uiPriority w:val="0"/>
    <w:pPr>
      <w:spacing w:line="300" w:lineRule="auto"/>
    </w:pPr>
    <w:rPr>
      <w:rFonts w:ascii="宋体" w:hAnsi="宋体"/>
      <w:b/>
      <w:bCs/>
      <w:color w:val="000000"/>
      <w:spacing w:val="8"/>
      <w:kern w:val="0"/>
      <w:sz w:val="24"/>
    </w:rPr>
  </w:style>
  <w:style w:type="paragraph" w:customStyle="1" w:styleId="128">
    <w:name w:val="Char Char Char Char"/>
    <w:basedOn w:val="16"/>
    <w:autoRedefine/>
    <w:qFormat/>
    <w:uiPriority w:val="0"/>
    <w:rPr>
      <w:rFonts w:ascii="Tahoma" w:hAnsi="Tahoma"/>
      <w:sz w:val="24"/>
    </w:rPr>
  </w:style>
  <w:style w:type="paragraph" w:customStyle="1" w:styleId="129">
    <w:name w:val="Char"/>
    <w:basedOn w:val="1"/>
    <w:autoRedefine/>
    <w:qFormat/>
    <w:uiPriority w:val="0"/>
    <w:rPr>
      <w:rFonts w:ascii="仿宋_GB2312" w:eastAsia="仿宋_GB2312"/>
      <w:b/>
      <w:sz w:val="32"/>
      <w:szCs w:val="32"/>
    </w:rPr>
  </w:style>
  <w:style w:type="paragraph" w:customStyle="1" w:styleId="130">
    <w:name w:val="Char2"/>
    <w:basedOn w:val="1"/>
    <w:autoRedefine/>
    <w:qFormat/>
    <w:uiPriority w:val="0"/>
    <w:rPr>
      <w:rFonts w:ascii="仿宋_GB2312" w:hAnsi="宋体" w:eastAsia="仿宋_GB2312" w:cs="宋体"/>
      <w:bCs/>
      <w:color w:val="000000"/>
      <w:kern w:val="0"/>
      <w:sz w:val="32"/>
      <w:szCs w:val="32"/>
    </w:rPr>
  </w:style>
  <w:style w:type="paragraph" w:customStyle="1" w:styleId="131">
    <w:name w:val="默认段落字体 Para Char Char Char Char"/>
    <w:basedOn w:val="1"/>
    <w:autoRedefine/>
    <w:qFormat/>
    <w:uiPriority w:val="0"/>
  </w:style>
  <w:style w:type="paragraph" w:customStyle="1" w:styleId="132">
    <w:name w:val="样式1"/>
    <w:basedOn w:val="5"/>
    <w:autoRedefine/>
    <w:qFormat/>
    <w:uiPriority w:val="0"/>
    <w:pPr>
      <w:tabs>
        <w:tab w:val="left" w:pos="432"/>
        <w:tab w:val="left" w:pos="576"/>
        <w:tab w:val="left" w:pos="2340"/>
        <w:tab w:val="left" w:pos="2700"/>
        <w:tab w:val="left" w:pos="2880"/>
        <w:tab w:val="left" w:pos="3060"/>
        <w:tab w:val="left" w:pos="3240"/>
        <w:tab w:val="left" w:pos="3420"/>
        <w:tab w:val="left" w:pos="3780"/>
      </w:tabs>
      <w:spacing w:before="120" w:after="0" w:line="360" w:lineRule="auto"/>
    </w:pPr>
    <w:rPr>
      <w:rFonts w:eastAsia="Arial"/>
      <w:color w:val="000000"/>
    </w:rPr>
  </w:style>
  <w:style w:type="paragraph" w:customStyle="1" w:styleId="133">
    <w:name w:val="pa-2"/>
    <w:basedOn w:val="1"/>
    <w:autoRedefine/>
    <w:qFormat/>
    <w:uiPriority w:val="0"/>
    <w:pPr>
      <w:widowControl/>
      <w:spacing w:line="240" w:lineRule="atLeast"/>
      <w:ind w:firstLine="440"/>
    </w:pPr>
    <w:rPr>
      <w:rFonts w:ascii="宋体" w:hAnsi="宋体" w:cs="宋体"/>
      <w:kern w:val="0"/>
      <w:sz w:val="24"/>
    </w:rPr>
  </w:style>
  <w:style w:type="paragraph" w:customStyle="1" w:styleId="134">
    <w:name w:val="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5">
    <w:name w:val="Char1 Char Char Char"/>
    <w:basedOn w:val="1"/>
    <w:autoRedefine/>
    <w:qFormat/>
    <w:uiPriority w:val="0"/>
    <w:rPr>
      <w:rFonts w:ascii="仿宋_GB2312" w:eastAsia="仿宋_GB2312"/>
      <w:b/>
      <w:sz w:val="32"/>
      <w:szCs w:val="32"/>
    </w:rPr>
  </w:style>
  <w:style w:type="paragraph" w:customStyle="1" w:styleId="136">
    <w:name w:val="Body Text(ch)"/>
    <w:basedOn w:val="1"/>
    <w:next w:val="3"/>
    <w:autoRedefine/>
    <w:qFormat/>
    <w:uiPriority w:val="0"/>
    <w:pPr>
      <w:spacing w:line="500" w:lineRule="exact"/>
      <w:jc w:val="center"/>
    </w:pPr>
  </w:style>
  <w:style w:type="paragraph" w:customStyle="1" w:styleId="137">
    <w:name w:val="VIT-Text"/>
    <w:basedOn w:val="1"/>
    <w:autoRedefine/>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138">
    <w:name w:val="Char Char1 Char Char Char Char Char Char Char Char Char Char"/>
    <w:basedOn w:val="1"/>
    <w:autoRedefine/>
    <w:qFormat/>
    <w:uiPriority w:val="0"/>
    <w:rPr>
      <w:rFonts w:ascii="Tahoma" w:hAnsi="Tahoma" w:eastAsia="仿宋_GB2312" w:cs="宋体"/>
      <w:b/>
      <w:bCs/>
      <w:color w:val="000000"/>
      <w:kern w:val="0"/>
      <w:sz w:val="24"/>
      <w:szCs w:val="20"/>
    </w:rPr>
  </w:style>
  <w:style w:type="paragraph" w:customStyle="1" w:styleId="139">
    <w:name w:val="小点说明"/>
    <w:basedOn w:val="1"/>
    <w:autoRedefine/>
    <w:qFormat/>
    <w:uiPriority w:val="0"/>
    <w:pPr>
      <w:tabs>
        <w:tab w:val="left" w:pos="0"/>
      </w:tabs>
      <w:adjustRightInd w:val="0"/>
      <w:snapToGrid w:val="0"/>
      <w:spacing w:line="340" w:lineRule="atLeast"/>
    </w:pPr>
    <w:rPr>
      <w:rFonts w:ascii="宋体" w:hAnsi="宋体"/>
      <w:bCs/>
      <w:kern w:val="0"/>
      <w:lang w:val="eu-ES"/>
    </w:rPr>
  </w:style>
  <w:style w:type="paragraph" w:customStyle="1" w:styleId="140">
    <w:name w:val="Char Char7 Char"/>
    <w:basedOn w:val="1"/>
    <w:autoRedefine/>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41">
    <w:name w:val="Char Char Char"/>
    <w:basedOn w:val="1"/>
    <w:autoRedefine/>
    <w:qFormat/>
    <w:uiPriority w:val="0"/>
    <w:rPr>
      <w:rFonts w:ascii="Tahoma" w:hAnsi="Tahoma"/>
      <w:sz w:val="24"/>
      <w:szCs w:val="20"/>
    </w:rPr>
  </w:style>
  <w:style w:type="paragraph" w:customStyle="1" w:styleId="142">
    <w:name w:val="List Paragraph1"/>
    <w:basedOn w:val="1"/>
    <w:autoRedefine/>
    <w:qFormat/>
    <w:uiPriority w:val="0"/>
    <w:pPr>
      <w:ind w:firstLine="420" w:firstLineChars="200"/>
    </w:pPr>
    <w:rPr>
      <w:rFonts w:ascii="仿宋_GB2312" w:hAnsi="宋体" w:eastAsia="仿宋_GB2312" w:cs="仿宋_GB2312"/>
      <w:b/>
      <w:bCs/>
      <w:color w:val="000000"/>
      <w:kern w:val="0"/>
      <w:szCs w:val="21"/>
    </w:rPr>
  </w:style>
  <w:style w:type="paragraph" w:customStyle="1" w:styleId="143">
    <w:name w:val="默认段落字体 Para Char Char Char Char Char Char Char Char Char1 Char Char Char Char Char Char Char"/>
    <w:basedOn w:val="16"/>
    <w:autoRedefine/>
    <w:qFormat/>
    <w:uiPriority w:val="0"/>
    <w:rPr>
      <w:rFonts w:ascii="Tahoma" w:hAnsi="Tahoma"/>
      <w:sz w:val="24"/>
    </w:rPr>
  </w:style>
  <w:style w:type="paragraph" w:customStyle="1" w:styleId="144">
    <w:name w:val="标题5"/>
    <w:basedOn w:val="1"/>
    <w:autoRedefine/>
    <w:qFormat/>
    <w:uiPriority w:val="0"/>
    <w:pPr>
      <w:adjustRightInd w:val="0"/>
      <w:snapToGrid w:val="0"/>
      <w:spacing w:line="310" w:lineRule="atLeast"/>
      <w:ind w:firstLine="425"/>
    </w:pPr>
    <w:rPr>
      <w:rFonts w:ascii="Arial" w:hAnsi="Arial" w:eastAsia="黑体"/>
      <w:szCs w:val="20"/>
    </w:rPr>
  </w:style>
  <w:style w:type="paragraph" w:customStyle="1" w:styleId="145">
    <w:name w:val="Numbered list 2.3"/>
    <w:basedOn w:val="6"/>
    <w:next w:val="1"/>
    <w:autoRedefine/>
    <w:qFormat/>
    <w:uiPriority w:val="0"/>
    <w:pPr>
      <w:keepLines w:val="0"/>
      <w:widowControl/>
      <w:tabs>
        <w:tab w:val="left" w:pos="360"/>
        <w:tab w:val="left" w:pos="705"/>
        <w:tab w:val="left" w:pos="1080"/>
        <w:tab w:val="clear" w:pos="720"/>
      </w:tabs>
      <w:spacing w:before="240" w:afterLines="0" w:line="240" w:lineRule="auto"/>
      <w:jc w:val="left"/>
    </w:pPr>
    <w:rPr>
      <w:rFonts w:eastAsia="宋体" w:cs="Times New Roman"/>
      <w:bCs/>
      <w:iCs/>
      <w:color w:val="auto"/>
      <w:spacing w:val="0"/>
      <w:sz w:val="28"/>
      <w:szCs w:val="24"/>
    </w:rPr>
  </w:style>
  <w:style w:type="paragraph" w:customStyle="1" w:styleId="146">
    <w:name w:val="表格正文"/>
    <w:basedOn w:val="1"/>
    <w:autoRedefine/>
    <w:qFormat/>
    <w:uiPriority w:val="0"/>
    <w:pPr>
      <w:adjustRightInd w:val="0"/>
      <w:snapToGrid w:val="0"/>
      <w:spacing w:before="60" w:after="60"/>
      <w:jc w:val="center"/>
      <w:textAlignment w:val="baseline"/>
    </w:pPr>
    <w:rPr>
      <w:kern w:val="0"/>
      <w:sz w:val="24"/>
      <w:szCs w:val="20"/>
    </w:rPr>
  </w:style>
  <w:style w:type="paragraph" w:customStyle="1" w:styleId="147">
    <w:name w:val="样式 宋体 小四 首行缩进:  0.93 厘米 段前: 11.15 磅 段后: 11.15 磅1"/>
    <w:basedOn w:val="1"/>
    <w:autoRedefine/>
    <w:qFormat/>
    <w:uiPriority w:val="0"/>
    <w:pPr>
      <w:adjustRightInd w:val="0"/>
      <w:snapToGrid w:val="0"/>
      <w:ind w:left="200" w:leftChars="200"/>
    </w:pPr>
    <w:rPr>
      <w:rFonts w:ascii="宋体"/>
      <w:sz w:val="24"/>
      <w:szCs w:val="20"/>
    </w:rPr>
  </w:style>
  <w:style w:type="paragraph" w:customStyle="1" w:styleId="148">
    <w:name w:val="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9">
    <w:name w:val="Char3"/>
    <w:basedOn w:val="1"/>
    <w:autoRedefine/>
    <w:qFormat/>
    <w:uiPriority w:val="0"/>
    <w:rPr>
      <w:szCs w:val="20"/>
    </w:rPr>
  </w:style>
  <w:style w:type="paragraph" w:customStyle="1" w:styleId="150">
    <w:name w:val="style3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1">
    <w:name w:val="正文段"/>
    <w:basedOn w:val="1"/>
    <w:autoRedefine/>
    <w:qFormat/>
    <w:uiPriority w:val="0"/>
    <w:pPr>
      <w:widowControl/>
      <w:snapToGrid w:val="0"/>
      <w:spacing w:afterLines="50"/>
      <w:ind w:firstLine="200" w:firstLineChars="200"/>
    </w:pPr>
    <w:rPr>
      <w:kern w:val="0"/>
      <w:sz w:val="24"/>
      <w:szCs w:val="20"/>
    </w:rPr>
  </w:style>
  <w:style w:type="paragraph" w:customStyle="1" w:styleId="152">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53">
    <w:name w:val="正文－恩普"/>
    <w:basedOn w:val="8"/>
    <w:autoRedefine/>
    <w:qFormat/>
    <w:uiPriority w:val="0"/>
    <w:pPr>
      <w:widowControl/>
      <w:spacing w:before="100" w:beforeAutospacing="1" w:afterLines="50" w:afterAutospacing="1" w:line="360" w:lineRule="auto"/>
      <w:ind w:firstLine="480"/>
      <w:jc w:val="left"/>
    </w:pPr>
    <w:rPr>
      <w:sz w:val="24"/>
      <w:szCs w:val="20"/>
    </w:rPr>
  </w:style>
  <w:style w:type="paragraph" w:customStyle="1" w:styleId="154">
    <w:name w:val="Char1 Char Char Char Char Char"/>
    <w:basedOn w:val="1"/>
    <w:autoRedefine/>
    <w:qFormat/>
    <w:uiPriority w:val="0"/>
  </w:style>
  <w:style w:type="paragraph" w:customStyle="1" w:styleId="155">
    <w:name w:val="Char Char Char1"/>
    <w:basedOn w:val="16"/>
    <w:autoRedefine/>
    <w:qFormat/>
    <w:uiPriority w:val="0"/>
    <w:rPr>
      <w:rFonts w:ascii="Tahoma" w:hAnsi="Tahoma"/>
      <w:sz w:val="24"/>
    </w:rPr>
  </w:style>
  <w:style w:type="paragraph" w:customStyle="1" w:styleId="156">
    <w:name w:val="Char1 Char Char Char Char Char Char"/>
    <w:basedOn w:val="1"/>
    <w:autoRedefine/>
    <w:qFormat/>
    <w:uiPriority w:val="0"/>
    <w:rPr>
      <w:rFonts w:ascii="Tahoma" w:hAnsi="Tahoma"/>
      <w:sz w:val="24"/>
      <w:szCs w:val="20"/>
    </w:rPr>
  </w:style>
  <w:style w:type="paragraph" w:customStyle="1" w:styleId="157">
    <w:name w:val="正文－5"/>
    <w:autoRedefine/>
    <w:qFormat/>
    <w:uiPriority w:val="0"/>
    <w:pPr>
      <w:widowControl w:val="0"/>
      <w:jc w:val="both"/>
    </w:pPr>
    <w:rPr>
      <w:rFonts w:ascii="宋体" w:hAnsi="宋体" w:eastAsia="宋体" w:cs="Times New Roman"/>
      <w:kern w:val="2"/>
      <w:sz w:val="24"/>
      <w:szCs w:val="24"/>
      <w:lang w:val="en-US" w:eastAsia="zh-CN" w:bidi="ar-SA"/>
    </w:rPr>
  </w:style>
  <w:style w:type="paragraph" w:customStyle="1" w:styleId="158">
    <w:name w:val="表内文字"/>
    <w:basedOn w:val="1"/>
    <w:autoRedefine/>
    <w:qFormat/>
    <w:uiPriority w:val="0"/>
    <w:pPr>
      <w:spacing w:line="500" w:lineRule="atLeast"/>
      <w:jc w:val="center"/>
    </w:pPr>
    <w:rPr>
      <w:rFonts w:ascii="Arial" w:hAnsi="Arial" w:eastAsia="楷体_GB2312" w:cs="Arial"/>
      <w:sz w:val="28"/>
    </w:rPr>
  </w:style>
  <w:style w:type="character" w:customStyle="1" w:styleId="159">
    <w:name w:val="标题 4 Char1"/>
    <w:autoRedefine/>
    <w:qFormat/>
    <w:uiPriority w:val="0"/>
    <w:rPr>
      <w:rFonts w:ascii="Arial" w:hAnsi="Arial" w:eastAsia="黑体"/>
      <w:b/>
      <w:bCs/>
      <w:kern w:val="2"/>
      <w:sz w:val="28"/>
      <w:szCs w:val="28"/>
      <w:lang w:val="en-US" w:eastAsia="zh-CN" w:bidi="ar-SA"/>
    </w:rPr>
  </w:style>
  <w:style w:type="paragraph" w:customStyle="1" w:styleId="160">
    <w:name w:val="正文缩进1"/>
    <w:basedOn w:val="1"/>
    <w:autoRedefine/>
    <w:qFormat/>
    <w:uiPriority w:val="0"/>
    <w:pPr>
      <w:spacing w:line="360" w:lineRule="auto"/>
      <w:ind w:firstLine="454"/>
      <w:jc w:val="left"/>
    </w:pPr>
    <w:rPr>
      <w:sz w:val="24"/>
    </w:rPr>
  </w:style>
  <w:style w:type="paragraph" w:customStyle="1" w:styleId="161">
    <w:name w:val="列出段落1"/>
    <w:basedOn w:val="1"/>
    <w:autoRedefine/>
    <w:qFormat/>
    <w:uiPriority w:val="0"/>
    <w:pPr>
      <w:ind w:firstLine="420" w:firstLineChars="200"/>
    </w:pPr>
    <w:rPr>
      <w:sz w:val="36"/>
      <w:szCs w:val="20"/>
    </w:rPr>
  </w:style>
  <w:style w:type="character" w:customStyle="1" w:styleId="162">
    <w:name w:val="无"/>
    <w:autoRedefine/>
    <w:qFormat/>
    <w:uiPriority w:val="0"/>
  </w:style>
  <w:style w:type="paragraph" w:customStyle="1" w:styleId="163">
    <w:name w:val="Other|1"/>
    <w:basedOn w:val="1"/>
    <w:autoRedefine/>
    <w:qFormat/>
    <w:uiPriority w:val="0"/>
    <w:pPr>
      <w:spacing w:line="311" w:lineRule="exact"/>
    </w:pPr>
    <w:rPr>
      <w:rFonts w:ascii="宋体" w:hAnsi="宋体" w:cs="宋体"/>
      <w:sz w:val="20"/>
      <w:szCs w:val="20"/>
      <w:lang w:val="zh-TW" w:eastAsia="zh-TW" w:bidi="zh-TW"/>
    </w:rPr>
  </w:style>
  <w:style w:type="character" w:customStyle="1" w:styleId="164">
    <w:name w:val="font21"/>
    <w:basedOn w:val="45"/>
    <w:autoRedefine/>
    <w:qFormat/>
    <w:uiPriority w:val="0"/>
    <w:rPr>
      <w:rFonts w:hint="eastAsia" w:ascii="宋体" w:hAnsi="宋体" w:eastAsia="宋体"/>
      <w:color w:val="000000"/>
      <w:sz w:val="21"/>
      <w:szCs w:val="21"/>
      <w:u w:val="none"/>
    </w:rPr>
  </w:style>
  <w:style w:type="paragraph" w:customStyle="1" w:styleId="165">
    <w:name w:val="章正文"/>
    <w:basedOn w:val="1"/>
    <w:autoRedefine/>
    <w:qFormat/>
    <w:uiPriority w:val="99"/>
    <w:pPr>
      <w:spacing w:beforeLines="50" w:after="120" w:line="300" w:lineRule="auto"/>
      <w:ind w:firstLine="480"/>
    </w:pPr>
    <w:rPr>
      <w:rFonts w:ascii="Helvetica" w:hAnsi="Helvetica"/>
      <w:kern w:val="0"/>
      <w:sz w:val="24"/>
    </w:rPr>
  </w:style>
  <w:style w:type="paragraph" w:customStyle="1" w:styleId="166">
    <w:name w:val="表格文字"/>
    <w:basedOn w:val="1"/>
    <w:next w:val="3"/>
    <w:autoRedefine/>
    <w:qFormat/>
    <w:uiPriority w:val="0"/>
    <w:pPr>
      <w:widowControl/>
      <w:adjustRightInd w:val="0"/>
      <w:spacing w:line="420" w:lineRule="atLeast"/>
      <w:jc w:val="left"/>
      <w:textAlignment w:val="baseline"/>
    </w:pPr>
  </w:style>
  <w:style w:type="paragraph" w:customStyle="1" w:styleId="167">
    <w:name w:val="引用1"/>
    <w:basedOn w:val="1"/>
    <w:next w:val="1"/>
    <w:autoRedefine/>
    <w:qFormat/>
    <w:uiPriority w:val="29"/>
    <w:rPr>
      <w:i/>
      <w:iCs/>
      <w:color w:val="000000"/>
    </w:rPr>
  </w:style>
  <w:style w:type="paragraph" w:customStyle="1" w:styleId="168">
    <w:name w:val="正文首行缩进2字符"/>
    <w:basedOn w:val="1"/>
    <w:autoRedefine/>
    <w:qFormat/>
    <w:uiPriority w:val="0"/>
    <w:pPr>
      <w:widowControl/>
    </w:pPr>
  </w:style>
  <w:style w:type="paragraph" w:customStyle="1" w:styleId="169">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70">
    <w:name w:val="_Style 167"/>
    <w:basedOn w:val="3"/>
    <w:next w:val="34"/>
    <w:autoRedefine/>
    <w:qFormat/>
    <w:uiPriority w:val="0"/>
    <w:pPr>
      <w:adjustRightInd w:val="0"/>
      <w:snapToGrid w:val="0"/>
      <w:spacing w:after="120" w:line="288" w:lineRule="auto"/>
      <w:ind w:firstLine="420" w:firstLineChars="100"/>
    </w:pPr>
    <w:rPr>
      <w:rFonts w:hAnsi="Calibri"/>
      <w:szCs w:val="20"/>
    </w:rPr>
  </w:style>
  <w:style w:type="paragraph" w:customStyle="1" w:styleId="171">
    <w:name w:val="修订2"/>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72">
    <w:name w:val="_Style 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
    <w:name w:val="修订3"/>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174">
    <w:name w:val="标题 Char2"/>
    <w:autoRedefine/>
    <w:qFormat/>
    <w:uiPriority w:val="0"/>
    <w:rPr>
      <w:rFonts w:ascii="Arial" w:hAnsi="Arial" w:cs="Arial"/>
      <w:b/>
      <w:bCs/>
      <w:color w:val="000000"/>
      <w:sz w:val="32"/>
      <w:szCs w:val="32"/>
    </w:rPr>
  </w:style>
  <w:style w:type="character" w:customStyle="1" w:styleId="175">
    <w:name w:val="纯文本 Char3"/>
    <w:autoRedefine/>
    <w:qFormat/>
    <w:uiPriority w:val="0"/>
    <w:rPr>
      <w:rFonts w:ascii="宋体" w:hAnsi="Courier New" w:eastAsia="仿宋_GB2312" w:cs="宋体"/>
      <w:b/>
      <w:bCs/>
      <w:color w:val="000000"/>
      <w:sz w:val="21"/>
      <w:lang w:val="en-US" w:eastAsia="zh-CN" w:bidi="ar-SA"/>
    </w:rPr>
  </w:style>
  <w:style w:type="character" w:customStyle="1" w:styleId="176">
    <w:name w:val="正文文本 3 Char"/>
    <w:basedOn w:val="45"/>
    <w:link w:val="18"/>
    <w:autoRedefine/>
    <w:qFormat/>
    <w:uiPriority w:val="0"/>
    <w:rPr>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2A31-F646-4A52-86ED-49737774E377}">
  <ds:schemaRefs/>
</ds:datastoreItem>
</file>

<file path=docProps/app.xml><?xml version="1.0" encoding="utf-8"?>
<Properties xmlns="http://schemas.openxmlformats.org/officeDocument/2006/extended-properties" xmlns:vt="http://schemas.openxmlformats.org/officeDocument/2006/docPropsVTypes">
  <Template>Normal.dotm</Template>
  <Company>tuxin</Company>
  <Pages>48</Pages>
  <Words>30130</Words>
  <Characters>31466</Characters>
  <Lines>54</Lines>
  <Paragraphs>81</Paragraphs>
  <TotalTime>38</TotalTime>
  <ScaleCrop>false</ScaleCrop>
  <LinksUpToDate>false</LinksUpToDate>
  <CharactersWithSpaces>33088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2023-12-13T04:00:00Z</dcterms:created>
  <dc:creator>雨林木风</dc:creator>
  <cp:lastModifiedBy>可可</cp:lastModifiedBy>
  <cp:lastPrinted>2023-10-20T01:48:00Z</cp:lastPrinted>
  <dcterms:modified xsi:type="dcterms:W3CDTF">2024-05-28T09:14:29Z</dcterms:modified>
  <dc:title>投标须知前附表</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69D20786EDF142A2BA984258CDFD52E5_13</vt:lpwstr>
  </property>
</Properties>
</file>