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1"/>
        <w:tblW w:w="96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6" w:hRule="atLeast"/>
        </w:trPr>
        <w:tc>
          <w:tcPr>
            <w:tcW w:w="9657" w:type="dxa"/>
            <w:noWrap w:val="0"/>
            <w:vAlign w:val="top"/>
          </w:tcPr>
          <w:p>
            <w:pPr>
              <w:autoSpaceDE w:val="0"/>
              <w:autoSpaceDN w:val="0"/>
              <w:adjustRightInd w:val="0"/>
              <w:snapToGrid w:val="0"/>
              <w:spacing w:line="500" w:lineRule="atLeast"/>
              <w:ind w:left="956"/>
              <w:rPr>
                <w:rFonts w:ascii="宋体" w:hAnsi="宋体" w:cs="新宋体"/>
                <w:b/>
                <w:bCs/>
                <w:sz w:val="32"/>
                <w:szCs w:val="32"/>
                <w:lang w:val="zh-CN"/>
              </w:rPr>
            </w:pPr>
            <w:bookmarkStart w:id="247" w:name="_GoBack"/>
            <w:bookmarkEnd w:id="247"/>
          </w:p>
          <w:p>
            <w:pPr>
              <w:autoSpaceDE w:val="0"/>
              <w:autoSpaceDN w:val="0"/>
              <w:adjustRightInd w:val="0"/>
              <w:snapToGrid w:val="0"/>
              <w:spacing w:line="500" w:lineRule="atLeast"/>
              <w:jc w:val="center"/>
              <w:rPr>
                <w:rFonts w:ascii="宋体" w:hAnsi="宋体" w:cs="新宋体"/>
                <w:sz w:val="32"/>
                <w:szCs w:val="32"/>
                <w:lang w:val="zh-CN"/>
              </w:rPr>
            </w:pPr>
          </w:p>
          <w:p>
            <w:pPr>
              <w:spacing w:line="480" w:lineRule="auto"/>
              <w:jc w:val="center"/>
              <w:rPr>
                <w:rFonts w:ascii="宋体" w:hAnsi="宋体"/>
                <w:sz w:val="72"/>
              </w:rPr>
            </w:pPr>
            <w:r>
              <w:rPr>
                <w:rFonts w:hint="eastAsia" w:ascii="宋体" w:hAnsi="宋体"/>
                <w:sz w:val="72"/>
              </w:rPr>
              <w:t>永嘉县政府采购</w:t>
            </w:r>
          </w:p>
          <w:p>
            <w:pPr>
              <w:spacing w:line="480" w:lineRule="auto"/>
              <w:jc w:val="center"/>
              <w:rPr>
                <w:rFonts w:ascii="宋体" w:hAnsi="宋体"/>
                <w:sz w:val="72"/>
              </w:rPr>
            </w:pPr>
            <w:r>
              <w:rPr>
                <w:rFonts w:hint="eastAsia" w:ascii="宋体" w:hAnsi="宋体"/>
                <w:sz w:val="72"/>
              </w:rPr>
              <w:t>招标文件</w:t>
            </w:r>
          </w:p>
          <w:p>
            <w:pPr>
              <w:jc w:val="center"/>
              <w:rPr>
                <w:rFonts w:ascii="宋体" w:hAnsi="宋体" w:cs="新宋体"/>
                <w:b/>
                <w:sz w:val="72"/>
                <w:szCs w:val="72"/>
              </w:rPr>
            </w:pPr>
            <w:r>
              <w:rPr>
                <w:rFonts w:hint="eastAsia" w:ascii="宋体" w:hAnsi="宋体"/>
                <w:sz w:val="72"/>
              </w:rPr>
              <w:t>（电子招投标）</w:t>
            </w:r>
          </w:p>
          <w:p>
            <w:pPr>
              <w:spacing w:line="460" w:lineRule="atLeast"/>
              <w:ind w:left="2846" w:leftChars="710" w:hanging="1355" w:hangingChars="450"/>
              <w:rPr>
                <w:rFonts w:ascii="宋体" w:hAnsi="宋体" w:cs="新宋体"/>
                <w:b/>
                <w:sz w:val="30"/>
                <w:szCs w:val="30"/>
              </w:rPr>
            </w:pPr>
          </w:p>
          <w:p>
            <w:pPr>
              <w:pStyle w:val="3"/>
              <w:ind w:firstLine="210"/>
              <w:rPr>
                <w:rFonts w:ascii="宋体" w:hAnsi="宋体"/>
              </w:rPr>
            </w:pPr>
          </w:p>
          <w:p>
            <w:pPr>
              <w:pStyle w:val="3"/>
              <w:ind w:firstLine="210"/>
              <w:rPr>
                <w:rFonts w:ascii="宋体" w:hAnsi="宋体"/>
              </w:rPr>
            </w:pPr>
          </w:p>
          <w:p>
            <w:pPr>
              <w:pStyle w:val="3"/>
              <w:ind w:firstLine="210"/>
              <w:rPr>
                <w:rFonts w:ascii="宋体" w:hAnsi="宋体"/>
              </w:rPr>
            </w:pPr>
          </w:p>
          <w:p>
            <w:pPr>
              <w:pStyle w:val="3"/>
              <w:ind w:firstLine="210"/>
              <w:rPr>
                <w:rFonts w:ascii="宋体" w:hAnsi="宋体"/>
              </w:rPr>
            </w:pPr>
          </w:p>
          <w:p>
            <w:pPr>
              <w:spacing w:line="460" w:lineRule="atLeast"/>
              <w:ind w:left="2935" w:leftChars="712" w:right="834" w:rightChars="397" w:hanging="1440" w:hangingChars="480"/>
              <w:rPr>
                <w:rFonts w:hint="eastAsia" w:ascii="宋体" w:hAnsi="宋体" w:cs="新宋体"/>
                <w:sz w:val="30"/>
                <w:szCs w:val="30"/>
              </w:rPr>
            </w:pPr>
            <w:r>
              <w:rPr>
                <w:rFonts w:hint="eastAsia" w:ascii="宋体" w:hAnsi="宋体" w:cs="新宋体"/>
                <w:sz w:val="30"/>
                <w:szCs w:val="30"/>
              </w:rPr>
              <w:t>项目名称：永嘉县疫情防控智治平台</w:t>
            </w:r>
          </w:p>
          <w:p>
            <w:pPr>
              <w:spacing w:line="460" w:lineRule="atLeast"/>
              <w:ind w:left="3565" w:leftChars="726" w:hanging="2040" w:hangingChars="680"/>
              <w:rPr>
                <w:rFonts w:hint="eastAsia" w:ascii="宋体" w:hAnsi="宋体" w:cs="新宋体"/>
                <w:sz w:val="30"/>
                <w:szCs w:val="30"/>
              </w:rPr>
            </w:pPr>
            <w:r>
              <w:rPr>
                <w:rFonts w:hint="eastAsia" w:ascii="宋体" w:hAnsi="宋体" w:cs="新宋体"/>
                <w:sz w:val="30"/>
                <w:szCs w:val="30"/>
              </w:rPr>
              <w:t>项目编号：</w:t>
            </w:r>
            <w:r>
              <w:rPr>
                <w:rFonts w:ascii="宋体" w:hAnsi="宋体"/>
                <w:sz w:val="30"/>
                <w:szCs w:val="30"/>
              </w:rPr>
              <w:t>F-GB202207120558</w:t>
            </w:r>
          </w:p>
          <w:p>
            <w:pPr>
              <w:spacing w:line="500" w:lineRule="atLeast"/>
              <w:ind w:left="3565" w:leftChars="726" w:hanging="2040" w:hangingChars="680"/>
              <w:rPr>
                <w:rFonts w:ascii="宋体" w:hAnsi="宋体" w:cs="新宋体"/>
                <w:sz w:val="30"/>
                <w:szCs w:val="30"/>
              </w:rPr>
            </w:pPr>
          </w:p>
          <w:p>
            <w:pPr>
              <w:pStyle w:val="3"/>
              <w:ind w:firstLine="210"/>
              <w:rPr>
                <w:rFonts w:ascii="宋体" w:hAnsi="宋体"/>
              </w:rPr>
            </w:pPr>
          </w:p>
          <w:p>
            <w:pPr>
              <w:pStyle w:val="3"/>
              <w:ind w:firstLine="210"/>
              <w:rPr>
                <w:rFonts w:ascii="宋体" w:hAnsi="宋体"/>
              </w:rPr>
            </w:pPr>
          </w:p>
          <w:p>
            <w:pPr>
              <w:pStyle w:val="3"/>
              <w:ind w:firstLine="210"/>
              <w:rPr>
                <w:rFonts w:ascii="宋体" w:hAnsi="宋体"/>
              </w:rPr>
            </w:pPr>
          </w:p>
          <w:p>
            <w:pPr>
              <w:pStyle w:val="3"/>
              <w:ind w:firstLine="210"/>
              <w:rPr>
                <w:rFonts w:ascii="宋体" w:hAnsi="宋体"/>
              </w:rPr>
            </w:pPr>
          </w:p>
          <w:p>
            <w:pPr>
              <w:pStyle w:val="3"/>
              <w:ind w:firstLine="210"/>
              <w:rPr>
                <w:rFonts w:ascii="宋体" w:hAnsi="宋体"/>
              </w:rPr>
            </w:pPr>
          </w:p>
          <w:p>
            <w:pPr>
              <w:pStyle w:val="3"/>
              <w:ind w:firstLine="210"/>
              <w:rPr>
                <w:rFonts w:ascii="宋体" w:hAnsi="宋体"/>
              </w:rPr>
            </w:pPr>
          </w:p>
          <w:p>
            <w:pPr>
              <w:pStyle w:val="3"/>
              <w:ind w:firstLine="210"/>
              <w:rPr>
                <w:rFonts w:ascii="宋体" w:hAnsi="宋体"/>
              </w:rPr>
            </w:pPr>
          </w:p>
          <w:p>
            <w:pPr>
              <w:spacing w:line="460" w:lineRule="atLeast"/>
              <w:ind w:left="2841" w:leftChars="710" w:hanging="1350" w:hangingChars="450"/>
              <w:rPr>
                <w:rFonts w:hint="eastAsia" w:ascii="宋体" w:hAnsi="宋体" w:cs="新宋体"/>
                <w:sz w:val="30"/>
                <w:szCs w:val="30"/>
              </w:rPr>
            </w:pPr>
            <w:r>
              <w:rPr>
                <w:rFonts w:hint="eastAsia" w:ascii="宋体" w:hAnsi="宋体" w:cs="新宋体"/>
                <w:sz w:val="30"/>
                <w:szCs w:val="30"/>
              </w:rPr>
              <w:t>采 购 人：永嘉县公安局</w:t>
            </w:r>
          </w:p>
          <w:p>
            <w:pPr>
              <w:spacing w:line="460" w:lineRule="atLeast"/>
              <w:ind w:left="2841" w:leftChars="710" w:hanging="1350" w:hangingChars="450"/>
              <w:rPr>
                <w:rFonts w:ascii="宋体" w:hAnsi="宋体" w:cs="新宋体"/>
                <w:sz w:val="30"/>
                <w:szCs w:val="30"/>
              </w:rPr>
            </w:pPr>
            <w:r>
              <w:rPr>
                <w:rFonts w:hint="eastAsia" w:ascii="宋体" w:hAnsi="宋体" w:cs="新宋体"/>
                <w:sz w:val="30"/>
                <w:szCs w:val="30"/>
              </w:rPr>
              <w:t>代理机构：温州市中概工程管理咨询有限公司</w:t>
            </w:r>
          </w:p>
          <w:p>
            <w:pPr>
              <w:spacing w:line="500" w:lineRule="atLeast"/>
              <w:ind w:left="3565" w:leftChars="726" w:hanging="2040" w:hangingChars="680"/>
              <w:rPr>
                <w:rFonts w:ascii="宋体" w:hAnsi="宋体" w:cs="新宋体"/>
                <w:sz w:val="30"/>
                <w:szCs w:val="30"/>
              </w:rPr>
            </w:pPr>
          </w:p>
          <w:p>
            <w:pPr>
              <w:autoSpaceDE w:val="0"/>
              <w:autoSpaceDN w:val="0"/>
              <w:adjustRightInd w:val="0"/>
              <w:snapToGrid w:val="0"/>
              <w:spacing w:line="500" w:lineRule="atLeast"/>
              <w:jc w:val="center"/>
              <w:rPr>
                <w:rFonts w:ascii="宋体" w:hAnsi="宋体" w:cs="新宋体"/>
                <w:sz w:val="32"/>
                <w:szCs w:val="32"/>
              </w:rPr>
            </w:pPr>
            <w:r>
              <w:rPr>
                <w:rFonts w:hint="eastAsia" w:ascii="宋体" w:hAnsi="宋体" w:cs="新宋体"/>
                <w:sz w:val="30"/>
                <w:szCs w:val="30"/>
              </w:rPr>
              <w:t>二○二二年七月</w:t>
            </w:r>
          </w:p>
        </w:tc>
      </w:tr>
    </w:tbl>
    <w:p>
      <w:pPr>
        <w:spacing w:line="500" w:lineRule="atLeast"/>
        <w:rPr>
          <w:rFonts w:ascii="宋体" w:hAnsi="宋体" w:cs="新宋体"/>
          <w:sz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850" w:gutter="0"/>
          <w:pgNumType w:start="1"/>
          <w:cols w:space="720" w:num="1"/>
          <w:titlePg/>
          <w:docGrid w:type="lines" w:linePitch="312" w:charSpace="0"/>
        </w:sectPr>
      </w:pPr>
    </w:p>
    <w:p>
      <w:pPr>
        <w:widowControl/>
        <w:spacing w:line="500" w:lineRule="atLeast"/>
        <w:jc w:val="center"/>
        <w:rPr>
          <w:rFonts w:ascii="宋体" w:hAnsi="宋体" w:cs="新宋体"/>
          <w:b/>
          <w:sz w:val="32"/>
          <w:szCs w:val="32"/>
        </w:rPr>
      </w:pPr>
      <w:bookmarkStart w:id="0" w:name="_Toc496116237"/>
      <w:bookmarkStart w:id="1" w:name="_Toc293038713"/>
      <w:r>
        <w:rPr>
          <w:rFonts w:hint="eastAsia" w:ascii="宋体" w:hAnsi="宋体" w:cs="新宋体"/>
          <w:b/>
          <w:sz w:val="32"/>
          <w:szCs w:val="32"/>
        </w:rPr>
        <w:t>招标文件目录</w:t>
      </w:r>
    </w:p>
    <w:p>
      <w:pPr>
        <w:pStyle w:val="3"/>
        <w:ind w:firstLine="211"/>
        <w:rPr>
          <w:rFonts w:ascii="宋体" w:hAnsi="宋体"/>
          <w:b/>
        </w:rPr>
      </w:pPr>
    </w:p>
    <w:p>
      <w:pPr>
        <w:pStyle w:val="30"/>
        <w:spacing w:line="480" w:lineRule="auto"/>
        <w:rPr>
          <w:rFonts w:ascii="Calibri" w:hAnsi="Calibri"/>
          <w:b/>
          <w:szCs w:val="22"/>
          <w:lang/>
        </w:rPr>
      </w:pPr>
      <w:r>
        <w:rPr>
          <w:rFonts w:hint="eastAsia" w:ascii="宋体" w:hAnsi="宋体" w:cs="新宋体"/>
          <w:b/>
        </w:rPr>
        <w:fldChar w:fldCharType="begin"/>
      </w:r>
      <w:r>
        <w:rPr>
          <w:rFonts w:hint="eastAsia" w:ascii="宋体" w:hAnsi="宋体" w:cs="新宋体"/>
          <w:b/>
        </w:rPr>
        <w:instrText xml:space="preserve"> TOC \o "1-2" \h \z \u </w:instrText>
      </w:r>
      <w:r>
        <w:rPr>
          <w:rFonts w:hint="eastAsia" w:ascii="宋体" w:hAnsi="宋体" w:cs="新宋体"/>
          <w:b/>
        </w:rPr>
        <w:fldChar w:fldCharType="separate"/>
      </w:r>
      <w:r>
        <w:rPr>
          <w:lang/>
        </w:rPr>
        <w:fldChar w:fldCharType="begin"/>
      </w:r>
      <w:r>
        <w:rPr>
          <w:lang/>
        </w:rPr>
        <w:instrText xml:space="preserve"> HYPERLINK \l "_Toc97033049" </w:instrText>
      </w:r>
      <w:r>
        <w:rPr>
          <w:lang/>
        </w:rPr>
        <w:fldChar w:fldCharType="separate"/>
      </w:r>
      <w:r>
        <w:rPr>
          <w:rStyle w:val="48"/>
          <w:rFonts w:ascii="宋体" w:hAnsi="宋体" w:cs="新宋体"/>
          <w:b/>
          <w:color w:val="auto"/>
          <w:lang/>
        </w:rPr>
        <w:t>温州市中概工程管理咨询有限公司关于</w:t>
      </w:r>
      <w:r>
        <w:rPr>
          <w:rStyle w:val="48"/>
          <w:rFonts w:hint="eastAsia" w:ascii="宋体" w:hAnsi="宋体" w:cs="新宋体"/>
          <w:b/>
          <w:color w:val="auto"/>
          <w:lang/>
        </w:rPr>
        <w:t>永嘉县疫情防控智治平台</w:t>
      </w:r>
      <w:r>
        <w:rPr>
          <w:rStyle w:val="48"/>
          <w:rFonts w:ascii="宋体" w:hAnsi="宋体" w:cs="新宋体"/>
          <w:b/>
          <w:color w:val="auto"/>
          <w:lang/>
        </w:rPr>
        <w:t>的公开招标公告</w:t>
      </w:r>
      <w:r>
        <w:rPr>
          <w:b/>
          <w:lang/>
        </w:rPr>
        <w:tab/>
      </w:r>
      <w:r>
        <w:rPr>
          <w:b/>
          <w:lang/>
        </w:rPr>
        <w:fldChar w:fldCharType="begin"/>
      </w:r>
      <w:r>
        <w:rPr>
          <w:b/>
          <w:lang/>
        </w:rPr>
        <w:instrText xml:space="preserve"> PAGEREF _Toc97033049 \h </w:instrText>
      </w:r>
      <w:r>
        <w:rPr>
          <w:b/>
          <w:lang/>
        </w:rPr>
        <w:fldChar w:fldCharType="separate"/>
      </w:r>
      <w:r>
        <w:rPr>
          <w:b/>
          <w:lang/>
        </w:rPr>
        <w:t>2</w:t>
      </w:r>
      <w:r>
        <w:rPr>
          <w:b/>
          <w:lang/>
        </w:rPr>
        <w:fldChar w:fldCharType="end"/>
      </w:r>
      <w:r>
        <w:rPr>
          <w:b/>
          <w:lang/>
        </w:rPr>
        <w:fldChar w:fldCharType="end"/>
      </w:r>
    </w:p>
    <w:p>
      <w:pPr>
        <w:pStyle w:val="30"/>
        <w:spacing w:line="480" w:lineRule="auto"/>
        <w:rPr>
          <w:rFonts w:ascii="Calibri" w:hAnsi="Calibri"/>
          <w:b/>
          <w:szCs w:val="22"/>
          <w:lang/>
        </w:rPr>
      </w:pPr>
      <w:r>
        <w:rPr>
          <w:lang/>
        </w:rPr>
        <w:fldChar w:fldCharType="begin"/>
      </w:r>
      <w:r>
        <w:rPr>
          <w:lang/>
        </w:rPr>
        <w:instrText xml:space="preserve"> HYPERLINK \l "_Toc97033050" </w:instrText>
      </w:r>
      <w:r>
        <w:rPr>
          <w:lang/>
        </w:rPr>
        <w:fldChar w:fldCharType="separate"/>
      </w:r>
      <w:r>
        <w:rPr>
          <w:rStyle w:val="48"/>
          <w:rFonts w:ascii="宋体" w:hAnsi="宋体" w:cs="新宋体"/>
          <w:b/>
          <w:color w:val="auto"/>
          <w:lang/>
        </w:rPr>
        <w:t>第一部分  投标通知(邀请)书</w:t>
      </w:r>
      <w:r>
        <w:rPr>
          <w:b/>
          <w:lang/>
        </w:rPr>
        <w:tab/>
      </w:r>
      <w:r>
        <w:rPr>
          <w:b/>
          <w:lang/>
        </w:rPr>
        <w:fldChar w:fldCharType="begin"/>
      </w:r>
      <w:r>
        <w:rPr>
          <w:b/>
          <w:lang/>
        </w:rPr>
        <w:instrText xml:space="preserve"> PAGEREF _Toc97033050 \h </w:instrText>
      </w:r>
      <w:r>
        <w:rPr>
          <w:b/>
          <w:lang/>
        </w:rPr>
        <w:fldChar w:fldCharType="separate"/>
      </w:r>
      <w:r>
        <w:rPr>
          <w:b/>
          <w:lang/>
        </w:rPr>
        <w:t>5</w:t>
      </w:r>
      <w:r>
        <w:rPr>
          <w:b/>
          <w:lang/>
        </w:rPr>
        <w:fldChar w:fldCharType="end"/>
      </w:r>
      <w:r>
        <w:rPr>
          <w:b/>
          <w:lang/>
        </w:rPr>
        <w:fldChar w:fldCharType="end"/>
      </w:r>
    </w:p>
    <w:p>
      <w:pPr>
        <w:pStyle w:val="30"/>
        <w:spacing w:line="480" w:lineRule="auto"/>
        <w:rPr>
          <w:rFonts w:ascii="Calibri" w:hAnsi="Calibri"/>
          <w:b/>
          <w:szCs w:val="22"/>
          <w:lang/>
        </w:rPr>
      </w:pPr>
      <w:r>
        <w:rPr>
          <w:lang/>
        </w:rPr>
        <w:fldChar w:fldCharType="begin"/>
      </w:r>
      <w:r>
        <w:rPr>
          <w:lang/>
        </w:rPr>
        <w:instrText xml:space="preserve"> HYPERLINK \l "_Toc97033051" </w:instrText>
      </w:r>
      <w:r>
        <w:rPr>
          <w:lang/>
        </w:rPr>
        <w:fldChar w:fldCharType="separate"/>
      </w:r>
      <w:r>
        <w:rPr>
          <w:rStyle w:val="48"/>
          <w:rFonts w:ascii="宋体" w:hAnsi="宋体" w:cs="新宋体"/>
          <w:b/>
          <w:color w:val="auto"/>
          <w:lang/>
        </w:rPr>
        <w:t>第二部分 招标内容及要求</w:t>
      </w:r>
      <w:r>
        <w:rPr>
          <w:b/>
          <w:lang/>
        </w:rPr>
        <w:tab/>
      </w:r>
      <w:r>
        <w:rPr>
          <w:b/>
          <w:lang/>
        </w:rPr>
        <w:fldChar w:fldCharType="begin"/>
      </w:r>
      <w:r>
        <w:rPr>
          <w:b/>
          <w:lang/>
        </w:rPr>
        <w:instrText xml:space="preserve"> PAGEREF _Toc97033051 \h </w:instrText>
      </w:r>
      <w:r>
        <w:rPr>
          <w:b/>
          <w:lang/>
        </w:rPr>
        <w:fldChar w:fldCharType="separate"/>
      </w:r>
      <w:r>
        <w:rPr>
          <w:b/>
          <w:lang/>
        </w:rPr>
        <w:t>9</w:t>
      </w:r>
      <w:r>
        <w:rPr>
          <w:b/>
          <w:lang/>
        </w:rPr>
        <w:fldChar w:fldCharType="end"/>
      </w:r>
      <w:r>
        <w:rPr>
          <w:b/>
          <w:lang/>
        </w:rPr>
        <w:fldChar w:fldCharType="end"/>
      </w:r>
    </w:p>
    <w:p>
      <w:pPr>
        <w:pStyle w:val="30"/>
        <w:spacing w:line="480" w:lineRule="auto"/>
        <w:rPr>
          <w:rFonts w:ascii="Calibri" w:hAnsi="Calibri"/>
          <w:b/>
          <w:szCs w:val="22"/>
          <w:lang/>
        </w:rPr>
      </w:pPr>
      <w:r>
        <w:rPr>
          <w:lang/>
        </w:rPr>
        <w:fldChar w:fldCharType="begin"/>
      </w:r>
      <w:r>
        <w:rPr>
          <w:lang/>
        </w:rPr>
        <w:instrText xml:space="preserve"> HYPERLINK \l "_Toc97033052" </w:instrText>
      </w:r>
      <w:r>
        <w:rPr>
          <w:lang/>
        </w:rPr>
        <w:fldChar w:fldCharType="separate"/>
      </w:r>
      <w:r>
        <w:rPr>
          <w:rStyle w:val="48"/>
          <w:rFonts w:ascii="宋体" w:hAnsi="宋体" w:cs="新宋体"/>
          <w:b/>
          <w:color w:val="auto"/>
          <w:lang/>
        </w:rPr>
        <w:t>第三部分 供应商须知</w:t>
      </w:r>
      <w:r>
        <w:rPr>
          <w:b/>
          <w:lang/>
        </w:rPr>
        <w:tab/>
      </w:r>
      <w:r>
        <w:rPr>
          <w:b/>
          <w:lang/>
        </w:rPr>
        <w:fldChar w:fldCharType="begin"/>
      </w:r>
      <w:r>
        <w:rPr>
          <w:b/>
          <w:lang/>
        </w:rPr>
        <w:instrText xml:space="preserve"> PAGEREF _Toc97033052 \h </w:instrText>
      </w:r>
      <w:r>
        <w:rPr>
          <w:b/>
          <w:lang/>
        </w:rPr>
        <w:fldChar w:fldCharType="separate"/>
      </w:r>
      <w:r>
        <w:rPr>
          <w:b/>
          <w:lang/>
        </w:rPr>
        <w:t>42</w:t>
      </w:r>
      <w:r>
        <w:rPr>
          <w:b/>
          <w:lang/>
        </w:rPr>
        <w:fldChar w:fldCharType="end"/>
      </w:r>
      <w:r>
        <w:rPr>
          <w:b/>
          <w:lang/>
        </w:rPr>
        <w:fldChar w:fldCharType="end"/>
      </w:r>
    </w:p>
    <w:p>
      <w:pPr>
        <w:pStyle w:val="35"/>
        <w:spacing w:line="480" w:lineRule="auto"/>
        <w:ind w:firstLine="105"/>
        <w:rPr>
          <w:rFonts w:ascii="Calibri" w:hAnsi="Calibri"/>
          <w:b/>
          <w:szCs w:val="22"/>
          <w:lang/>
        </w:rPr>
      </w:pPr>
      <w:r>
        <w:rPr>
          <w:lang/>
        </w:rPr>
        <w:fldChar w:fldCharType="begin"/>
      </w:r>
      <w:r>
        <w:rPr>
          <w:lang/>
        </w:rPr>
        <w:instrText xml:space="preserve"> HYPERLINK \l "_Toc97033053" </w:instrText>
      </w:r>
      <w:r>
        <w:rPr>
          <w:lang/>
        </w:rPr>
        <w:fldChar w:fldCharType="separate"/>
      </w:r>
      <w:r>
        <w:rPr>
          <w:rStyle w:val="48"/>
          <w:rFonts w:ascii="宋体" w:hAnsi="宋体" w:cs="Arial"/>
          <w:b/>
          <w:color w:val="auto"/>
          <w:lang/>
        </w:rPr>
        <w:t>一、说明</w:t>
      </w:r>
      <w:r>
        <w:rPr>
          <w:b/>
          <w:lang/>
        </w:rPr>
        <w:tab/>
      </w:r>
      <w:r>
        <w:rPr>
          <w:b/>
          <w:lang/>
        </w:rPr>
        <w:fldChar w:fldCharType="begin"/>
      </w:r>
      <w:r>
        <w:rPr>
          <w:b/>
          <w:lang/>
        </w:rPr>
        <w:instrText xml:space="preserve"> PAGEREF _Toc97033053 \h </w:instrText>
      </w:r>
      <w:r>
        <w:rPr>
          <w:b/>
          <w:lang/>
        </w:rPr>
        <w:fldChar w:fldCharType="separate"/>
      </w:r>
      <w:r>
        <w:rPr>
          <w:b/>
          <w:lang/>
        </w:rPr>
        <w:t>43</w:t>
      </w:r>
      <w:r>
        <w:rPr>
          <w:b/>
          <w:lang/>
        </w:rPr>
        <w:fldChar w:fldCharType="end"/>
      </w:r>
      <w:r>
        <w:rPr>
          <w:b/>
          <w:lang/>
        </w:rPr>
        <w:fldChar w:fldCharType="end"/>
      </w:r>
    </w:p>
    <w:p>
      <w:pPr>
        <w:pStyle w:val="35"/>
        <w:spacing w:line="480" w:lineRule="auto"/>
        <w:ind w:firstLine="105"/>
        <w:rPr>
          <w:rFonts w:ascii="Calibri" w:hAnsi="Calibri"/>
          <w:b/>
          <w:szCs w:val="22"/>
          <w:lang/>
        </w:rPr>
      </w:pPr>
      <w:r>
        <w:rPr>
          <w:lang/>
        </w:rPr>
        <w:fldChar w:fldCharType="begin"/>
      </w:r>
      <w:r>
        <w:rPr>
          <w:lang/>
        </w:rPr>
        <w:instrText xml:space="preserve"> HYPERLINK \l "_Toc97033054" </w:instrText>
      </w:r>
      <w:r>
        <w:rPr>
          <w:lang/>
        </w:rPr>
        <w:fldChar w:fldCharType="separate"/>
      </w:r>
      <w:r>
        <w:rPr>
          <w:rStyle w:val="48"/>
          <w:rFonts w:ascii="宋体" w:hAnsi="宋体" w:cs="Arial"/>
          <w:b/>
          <w:color w:val="auto"/>
          <w:lang/>
        </w:rPr>
        <w:t>二、供应商资格条件</w:t>
      </w:r>
      <w:r>
        <w:rPr>
          <w:b/>
          <w:lang/>
        </w:rPr>
        <w:tab/>
      </w:r>
      <w:r>
        <w:rPr>
          <w:b/>
          <w:lang/>
        </w:rPr>
        <w:fldChar w:fldCharType="begin"/>
      </w:r>
      <w:r>
        <w:rPr>
          <w:b/>
          <w:lang/>
        </w:rPr>
        <w:instrText xml:space="preserve"> PAGEREF _Toc97033054 \h </w:instrText>
      </w:r>
      <w:r>
        <w:rPr>
          <w:b/>
          <w:lang/>
        </w:rPr>
        <w:fldChar w:fldCharType="separate"/>
      </w:r>
      <w:r>
        <w:rPr>
          <w:b/>
          <w:lang/>
        </w:rPr>
        <w:t>44</w:t>
      </w:r>
      <w:r>
        <w:rPr>
          <w:b/>
          <w:lang/>
        </w:rPr>
        <w:fldChar w:fldCharType="end"/>
      </w:r>
      <w:r>
        <w:rPr>
          <w:b/>
          <w:lang/>
        </w:rPr>
        <w:fldChar w:fldCharType="end"/>
      </w:r>
    </w:p>
    <w:p>
      <w:pPr>
        <w:pStyle w:val="35"/>
        <w:spacing w:line="480" w:lineRule="auto"/>
        <w:ind w:firstLine="105"/>
        <w:rPr>
          <w:rFonts w:ascii="Calibri" w:hAnsi="Calibri"/>
          <w:b/>
          <w:szCs w:val="22"/>
          <w:lang/>
        </w:rPr>
      </w:pPr>
      <w:r>
        <w:rPr>
          <w:lang/>
        </w:rPr>
        <w:fldChar w:fldCharType="begin"/>
      </w:r>
      <w:r>
        <w:rPr>
          <w:lang/>
        </w:rPr>
        <w:instrText xml:space="preserve"> HYPERLINK \l "_Toc97033055" </w:instrText>
      </w:r>
      <w:r>
        <w:rPr>
          <w:lang/>
        </w:rPr>
        <w:fldChar w:fldCharType="separate"/>
      </w:r>
      <w:r>
        <w:rPr>
          <w:rStyle w:val="48"/>
          <w:rFonts w:ascii="宋体" w:hAnsi="宋体" w:cs="Arial"/>
          <w:b/>
          <w:color w:val="auto"/>
          <w:lang/>
        </w:rPr>
        <w:t>三、招标文件</w:t>
      </w:r>
      <w:r>
        <w:rPr>
          <w:b/>
          <w:lang/>
        </w:rPr>
        <w:tab/>
      </w:r>
      <w:r>
        <w:rPr>
          <w:b/>
          <w:lang/>
        </w:rPr>
        <w:fldChar w:fldCharType="begin"/>
      </w:r>
      <w:r>
        <w:rPr>
          <w:b/>
          <w:lang/>
        </w:rPr>
        <w:instrText xml:space="preserve"> PAGEREF _Toc97033055 \h </w:instrText>
      </w:r>
      <w:r>
        <w:rPr>
          <w:b/>
          <w:lang/>
        </w:rPr>
        <w:fldChar w:fldCharType="separate"/>
      </w:r>
      <w:r>
        <w:rPr>
          <w:b/>
          <w:lang/>
        </w:rPr>
        <w:t>44</w:t>
      </w:r>
      <w:r>
        <w:rPr>
          <w:b/>
          <w:lang/>
        </w:rPr>
        <w:fldChar w:fldCharType="end"/>
      </w:r>
      <w:r>
        <w:rPr>
          <w:b/>
          <w:lang/>
        </w:rPr>
        <w:fldChar w:fldCharType="end"/>
      </w:r>
    </w:p>
    <w:p>
      <w:pPr>
        <w:pStyle w:val="35"/>
        <w:spacing w:line="480" w:lineRule="auto"/>
        <w:ind w:firstLine="105"/>
        <w:rPr>
          <w:rFonts w:ascii="Calibri" w:hAnsi="Calibri"/>
          <w:b/>
          <w:szCs w:val="22"/>
          <w:lang/>
        </w:rPr>
      </w:pPr>
      <w:r>
        <w:rPr>
          <w:lang/>
        </w:rPr>
        <w:fldChar w:fldCharType="begin"/>
      </w:r>
      <w:r>
        <w:rPr>
          <w:lang/>
        </w:rPr>
        <w:instrText xml:space="preserve"> HYPERLINK \l "_Toc97033056" </w:instrText>
      </w:r>
      <w:r>
        <w:rPr>
          <w:lang/>
        </w:rPr>
        <w:fldChar w:fldCharType="separate"/>
      </w:r>
      <w:r>
        <w:rPr>
          <w:rStyle w:val="48"/>
          <w:rFonts w:ascii="宋体" w:hAnsi="宋体" w:cs="Arial"/>
          <w:b/>
          <w:color w:val="auto"/>
          <w:lang/>
        </w:rPr>
        <w:t>四、投标文件</w:t>
      </w:r>
      <w:r>
        <w:rPr>
          <w:b/>
          <w:lang/>
        </w:rPr>
        <w:tab/>
      </w:r>
      <w:r>
        <w:rPr>
          <w:b/>
          <w:lang/>
        </w:rPr>
        <w:fldChar w:fldCharType="begin"/>
      </w:r>
      <w:r>
        <w:rPr>
          <w:b/>
          <w:lang/>
        </w:rPr>
        <w:instrText xml:space="preserve"> PAGEREF _Toc97033056 \h </w:instrText>
      </w:r>
      <w:r>
        <w:rPr>
          <w:b/>
          <w:lang/>
        </w:rPr>
        <w:fldChar w:fldCharType="separate"/>
      </w:r>
      <w:r>
        <w:rPr>
          <w:b/>
          <w:lang/>
        </w:rPr>
        <w:t>45</w:t>
      </w:r>
      <w:r>
        <w:rPr>
          <w:b/>
          <w:lang/>
        </w:rPr>
        <w:fldChar w:fldCharType="end"/>
      </w:r>
      <w:r>
        <w:rPr>
          <w:b/>
          <w:lang/>
        </w:rPr>
        <w:fldChar w:fldCharType="end"/>
      </w:r>
    </w:p>
    <w:p>
      <w:pPr>
        <w:pStyle w:val="35"/>
        <w:spacing w:line="480" w:lineRule="auto"/>
        <w:ind w:firstLine="105"/>
        <w:rPr>
          <w:rFonts w:ascii="Calibri" w:hAnsi="Calibri"/>
          <w:b/>
          <w:szCs w:val="22"/>
          <w:lang/>
        </w:rPr>
      </w:pPr>
      <w:r>
        <w:rPr>
          <w:lang/>
        </w:rPr>
        <w:fldChar w:fldCharType="begin"/>
      </w:r>
      <w:r>
        <w:rPr>
          <w:lang/>
        </w:rPr>
        <w:instrText xml:space="preserve"> HYPERLINK \l "_Toc97033057" </w:instrText>
      </w:r>
      <w:r>
        <w:rPr>
          <w:lang/>
        </w:rPr>
        <w:fldChar w:fldCharType="separate"/>
      </w:r>
      <w:r>
        <w:rPr>
          <w:rStyle w:val="48"/>
          <w:rFonts w:ascii="宋体" w:hAnsi="宋体" w:cs="Arial"/>
          <w:b/>
          <w:color w:val="auto"/>
          <w:lang/>
        </w:rPr>
        <w:t>五、投标文件的密封</w:t>
      </w:r>
      <w:r>
        <w:rPr>
          <w:b/>
          <w:lang/>
        </w:rPr>
        <w:tab/>
      </w:r>
      <w:r>
        <w:rPr>
          <w:b/>
          <w:lang/>
        </w:rPr>
        <w:fldChar w:fldCharType="begin"/>
      </w:r>
      <w:r>
        <w:rPr>
          <w:b/>
          <w:lang/>
        </w:rPr>
        <w:instrText xml:space="preserve"> PAGEREF _Toc97033057 \h </w:instrText>
      </w:r>
      <w:r>
        <w:rPr>
          <w:b/>
          <w:lang/>
        </w:rPr>
        <w:fldChar w:fldCharType="separate"/>
      </w:r>
      <w:r>
        <w:rPr>
          <w:b/>
          <w:lang/>
        </w:rPr>
        <w:t>49</w:t>
      </w:r>
      <w:r>
        <w:rPr>
          <w:b/>
          <w:lang/>
        </w:rPr>
        <w:fldChar w:fldCharType="end"/>
      </w:r>
      <w:r>
        <w:rPr>
          <w:b/>
          <w:lang/>
        </w:rPr>
        <w:fldChar w:fldCharType="end"/>
      </w:r>
    </w:p>
    <w:p>
      <w:pPr>
        <w:pStyle w:val="35"/>
        <w:spacing w:line="480" w:lineRule="auto"/>
        <w:ind w:firstLine="105"/>
        <w:rPr>
          <w:rFonts w:ascii="Calibri" w:hAnsi="Calibri"/>
          <w:b/>
          <w:szCs w:val="22"/>
          <w:lang/>
        </w:rPr>
      </w:pPr>
      <w:r>
        <w:rPr>
          <w:lang/>
        </w:rPr>
        <w:fldChar w:fldCharType="begin"/>
      </w:r>
      <w:r>
        <w:rPr>
          <w:lang/>
        </w:rPr>
        <w:instrText xml:space="preserve"> HYPERLINK \l "_Toc97033058" </w:instrText>
      </w:r>
      <w:r>
        <w:rPr>
          <w:lang/>
        </w:rPr>
        <w:fldChar w:fldCharType="separate"/>
      </w:r>
      <w:r>
        <w:rPr>
          <w:rStyle w:val="48"/>
          <w:rFonts w:ascii="宋体" w:hAnsi="宋体" w:cs="Arial"/>
          <w:b/>
          <w:color w:val="auto"/>
          <w:lang/>
        </w:rPr>
        <w:t>六、开标和评标</w:t>
      </w:r>
      <w:r>
        <w:rPr>
          <w:b/>
          <w:lang/>
        </w:rPr>
        <w:tab/>
      </w:r>
      <w:r>
        <w:rPr>
          <w:b/>
          <w:lang/>
        </w:rPr>
        <w:fldChar w:fldCharType="begin"/>
      </w:r>
      <w:r>
        <w:rPr>
          <w:b/>
          <w:lang/>
        </w:rPr>
        <w:instrText xml:space="preserve"> PAGEREF _Toc97033058 \h </w:instrText>
      </w:r>
      <w:r>
        <w:rPr>
          <w:b/>
          <w:lang/>
        </w:rPr>
        <w:fldChar w:fldCharType="separate"/>
      </w:r>
      <w:r>
        <w:rPr>
          <w:b/>
          <w:lang/>
        </w:rPr>
        <w:t>49</w:t>
      </w:r>
      <w:r>
        <w:rPr>
          <w:b/>
          <w:lang/>
        </w:rPr>
        <w:fldChar w:fldCharType="end"/>
      </w:r>
      <w:r>
        <w:rPr>
          <w:b/>
          <w:lang/>
        </w:rPr>
        <w:fldChar w:fldCharType="end"/>
      </w:r>
    </w:p>
    <w:p>
      <w:pPr>
        <w:pStyle w:val="35"/>
        <w:spacing w:line="480" w:lineRule="auto"/>
        <w:ind w:firstLine="105"/>
        <w:rPr>
          <w:rFonts w:ascii="Calibri" w:hAnsi="Calibri"/>
          <w:b/>
          <w:szCs w:val="22"/>
          <w:lang/>
        </w:rPr>
      </w:pPr>
      <w:r>
        <w:rPr>
          <w:lang/>
        </w:rPr>
        <w:fldChar w:fldCharType="begin"/>
      </w:r>
      <w:r>
        <w:rPr>
          <w:lang/>
        </w:rPr>
        <w:instrText xml:space="preserve"> HYPERLINK \l "_Toc97033059" </w:instrText>
      </w:r>
      <w:r>
        <w:rPr>
          <w:lang/>
        </w:rPr>
        <w:fldChar w:fldCharType="separate"/>
      </w:r>
      <w:r>
        <w:rPr>
          <w:rStyle w:val="48"/>
          <w:rFonts w:ascii="宋体" w:hAnsi="宋体" w:cs="Arial"/>
          <w:b/>
          <w:color w:val="auto"/>
          <w:lang/>
        </w:rPr>
        <w:t>七、授予合同</w:t>
      </w:r>
      <w:r>
        <w:rPr>
          <w:b/>
          <w:lang/>
        </w:rPr>
        <w:tab/>
      </w:r>
      <w:r>
        <w:rPr>
          <w:b/>
          <w:lang/>
        </w:rPr>
        <w:fldChar w:fldCharType="begin"/>
      </w:r>
      <w:r>
        <w:rPr>
          <w:b/>
          <w:lang/>
        </w:rPr>
        <w:instrText xml:space="preserve"> PAGEREF _Toc97033059 \h </w:instrText>
      </w:r>
      <w:r>
        <w:rPr>
          <w:b/>
          <w:lang/>
        </w:rPr>
        <w:fldChar w:fldCharType="separate"/>
      </w:r>
      <w:r>
        <w:rPr>
          <w:b/>
          <w:lang/>
        </w:rPr>
        <w:t>54</w:t>
      </w:r>
      <w:r>
        <w:rPr>
          <w:b/>
          <w:lang/>
        </w:rPr>
        <w:fldChar w:fldCharType="end"/>
      </w:r>
      <w:r>
        <w:rPr>
          <w:b/>
          <w:lang/>
        </w:rPr>
        <w:fldChar w:fldCharType="end"/>
      </w:r>
    </w:p>
    <w:p>
      <w:pPr>
        <w:pStyle w:val="30"/>
        <w:spacing w:line="480" w:lineRule="auto"/>
        <w:rPr>
          <w:rFonts w:ascii="Calibri" w:hAnsi="Calibri"/>
          <w:b/>
          <w:szCs w:val="22"/>
          <w:lang/>
        </w:rPr>
      </w:pPr>
      <w:r>
        <w:rPr>
          <w:lang/>
        </w:rPr>
        <w:fldChar w:fldCharType="begin"/>
      </w:r>
      <w:r>
        <w:rPr>
          <w:lang/>
        </w:rPr>
        <w:instrText xml:space="preserve"> HYPERLINK \l "_Toc97033060" </w:instrText>
      </w:r>
      <w:r>
        <w:rPr>
          <w:lang/>
        </w:rPr>
        <w:fldChar w:fldCharType="separate"/>
      </w:r>
      <w:r>
        <w:rPr>
          <w:rStyle w:val="48"/>
          <w:rFonts w:ascii="宋体" w:hAnsi="宋体" w:cs="新宋体"/>
          <w:b/>
          <w:color w:val="auto"/>
          <w:lang/>
        </w:rPr>
        <w:t>第四部分</w:t>
      </w:r>
      <w:r>
        <w:rPr>
          <w:rStyle w:val="48"/>
          <w:rFonts w:ascii="宋体" w:hAnsi="宋体" w:cs="宋体"/>
          <w:b/>
          <w:color w:val="auto"/>
          <w:lang/>
        </w:rPr>
        <w:t xml:space="preserve">  政府采购政策功能相关说明</w:t>
      </w:r>
      <w:r>
        <w:rPr>
          <w:b/>
          <w:lang/>
        </w:rPr>
        <w:tab/>
      </w:r>
      <w:r>
        <w:rPr>
          <w:b/>
          <w:lang/>
        </w:rPr>
        <w:fldChar w:fldCharType="begin"/>
      </w:r>
      <w:r>
        <w:rPr>
          <w:b/>
          <w:lang/>
        </w:rPr>
        <w:instrText xml:space="preserve"> PAGEREF _Toc97033060 \h </w:instrText>
      </w:r>
      <w:r>
        <w:rPr>
          <w:b/>
          <w:lang/>
        </w:rPr>
        <w:fldChar w:fldCharType="separate"/>
      </w:r>
      <w:r>
        <w:rPr>
          <w:b/>
          <w:lang/>
        </w:rPr>
        <w:t>56</w:t>
      </w:r>
      <w:r>
        <w:rPr>
          <w:b/>
          <w:lang/>
        </w:rPr>
        <w:fldChar w:fldCharType="end"/>
      </w:r>
      <w:r>
        <w:rPr>
          <w:b/>
          <w:lang/>
        </w:rPr>
        <w:fldChar w:fldCharType="end"/>
      </w:r>
    </w:p>
    <w:p>
      <w:pPr>
        <w:pStyle w:val="30"/>
        <w:spacing w:line="480" w:lineRule="auto"/>
        <w:rPr>
          <w:rFonts w:ascii="Calibri" w:hAnsi="Calibri"/>
          <w:b/>
          <w:szCs w:val="22"/>
          <w:lang/>
        </w:rPr>
      </w:pPr>
      <w:r>
        <w:rPr>
          <w:lang/>
        </w:rPr>
        <w:fldChar w:fldCharType="begin"/>
      </w:r>
      <w:r>
        <w:rPr>
          <w:lang/>
        </w:rPr>
        <w:instrText xml:space="preserve"> HYPERLINK \l "_Toc97033061" </w:instrText>
      </w:r>
      <w:r>
        <w:rPr>
          <w:lang/>
        </w:rPr>
        <w:fldChar w:fldCharType="separate"/>
      </w:r>
      <w:r>
        <w:rPr>
          <w:rStyle w:val="48"/>
          <w:rFonts w:ascii="宋体" w:hAnsi="宋体" w:cs="新宋体"/>
          <w:b/>
          <w:color w:val="auto"/>
          <w:lang/>
        </w:rPr>
        <w:t>第五部分  合同格式</w:t>
      </w:r>
      <w:r>
        <w:rPr>
          <w:b/>
          <w:lang/>
        </w:rPr>
        <w:tab/>
      </w:r>
      <w:r>
        <w:rPr>
          <w:b/>
          <w:lang/>
        </w:rPr>
        <w:fldChar w:fldCharType="begin"/>
      </w:r>
      <w:r>
        <w:rPr>
          <w:b/>
          <w:lang/>
        </w:rPr>
        <w:instrText xml:space="preserve"> PAGEREF _Toc97033061 \h </w:instrText>
      </w:r>
      <w:r>
        <w:rPr>
          <w:b/>
          <w:lang/>
        </w:rPr>
        <w:fldChar w:fldCharType="separate"/>
      </w:r>
      <w:r>
        <w:rPr>
          <w:b/>
          <w:lang/>
        </w:rPr>
        <w:t>61</w:t>
      </w:r>
      <w:r>
        <w:rPr>
          <w:b/>
          <w:lang/>
        </w:rPr>
        <w:fldChar w:fldCharType="end"/>
      </w:r>
      <w:r>
        <w:rPr>
          <w:b/>
          <w:lang/>
        </w:rPr>
        <w:fldChar w:fldCharType="end"/>
      </w:r>
    </w:p>
    <w:p>
      <w:pPr>
        <w:pStyle w:val="30"/>
        <w:spacing w:line="480" w:lineRule="auto"/>
        <w:rPr>
          <w:rFonts w:ascii="Calibri" w:hAnsi="Calibri"/>
          <w:b/>
          <w:szCs w:val="22"/>
          <w:lang/>
        </w:rPr>
      </w:pPr>
      <w:r>
        <w:rPr>
          <w:lang/>
        </w:rPr>
        <w:fldChar w:fldCharType="begin"/>
      </w:r>
      <w:r>
        <w:rPr>
          <w:lang/>
        </w:rPr>
        <w:instrText xml:space="preserve"> HYPERLINK \l "_Toc97033062" </w:instrText>
      </w:r>
      <w:r>
        <w:rPr>
          <w:lang/>
        </w:rPr>
        <w:fldChar w:fldCharType="separate"/>
      </w:r>
      <w:r>
        <w:rPr>
          <w:rStyle w:val="48"/>
          <w:rFonts w:ascii="宋体" w:hAnsi="宋体" w:cs="新宋体"/>
          <w:b/>
          <w:color w:val="auto"/>
          <w:lang/>
        </w:rPr>
        <w:t>合同主要条款</w:t>
      </w:r>
      <w:r>
        <w:rPr>
          <w:b/>
          <w:lang/>
        </w:rPr>
        <w:tab/>
      </w:r>
      <w:r>
        <w:rPr>
          <w:b/>
          <w:lang/>
        </w:rPr>
        <w:fldChar w:fldCharType="begin"/>
      </w:r>
      <w:r>
        <w:rPr>
          <w:b/>
          <w:lang/>
        </w:rPr>
        <w:instrText xml:space="preserve"> PAGEREF _Toc97033062 \h </w:instrText>
      </w:r>
      <w:r>
        <w:rPr>
          <w:b/>
          <w:lang/>
        </w:rPr>
        <w:fldChar w:fldCharType="separate"/>
      </w:r>
      <w:r>
        <w:rPr>
          <w:b/>
          <w:lang/>
        </w:rPr>
        <w:t>62</w:t>
      </w:r>
      <w:r>
        <w:rPr>
          <w:b/>
          <w:lang/>
        </w:rPr>
        <w:fldChar w:fldCharType="end"/>
      </w:r>
      <w:r>
        <w:rPr>
          <w:b/>
          <w:lang/>
        </w:rPr>
        <w:fldChar w:fldCharType="end"/>
      </w:r>
    </w:p>
    <w:p>
      <w:pPr>
        <w:pStyle w:val="30"/>
        <w:spacing w:line="480" w:lineRule="auto"/>
        <w:rPr>
          <w:rFonts w:ascii="Calibri" w:hAnsi="Calibri"/>
          <w:b/>
          <w:szCs w:val="22"/>
          <w:lang/>
        </w:rPr>
      </w:pPr>
      <w:r>
        <w:rPr>
          <w:lang/>
        </w:rPr>
        <w:fldChar w:fldCharType="begin"/>
      </w:r>
      <w:r>
        <w:rPr>
          <w:lang/>
        </w:rPr>
        <w:instrText xml:space="preserve"> HYPERLINK \l "_Toc97033063" </w:instrText>
      </w:r>
      <w:r>
        <w:rPr>
          <w:lang/>
        </w:rPr>
        <w:fldChar w:fldCharType="separate"/>
      </w:r>
      <w:r>
        <w:rPr>
          <w:rStyle w:val="48"/>
          <w:rFonts w:ascii="宋体" w:hAnsi="宋体" w:cs="新宋体"/>
          <w:b/>
          <w:color w:val="auto"/>
          <w:lang/>
        </w:rPr>
        <w:t>第六部分 投标文件格式</w:t>
      </w:r>
      <w:r>
        <w:rPr>
          <w:b/>
          <w:lang/>
        </w:rPr>
        <w:tab/>
      </w:r>
      <w:r>
        <w:rPr>
          <w:b/>
          <w:lang/>
        </w:rPr>
        <w:fldChar w:fldCharType="begin"/>
      </w:r>
      <w:r>
        <w:rPr>
          <w:b/>
          <w:lang/>
        </w:rPr>
        <w:instrText xml:space="preserve"> PAGEREF _Toc97033063 \h </w:instrText>
      </w:r>
      <w:r>
        <w:rPr>
          <w:b/>
          <w:lang/>
        </w:rPr>
        <w:fldChar w:fldCharType="separate"/>
      </w:r>
      <w:r>
        <w:rPr>
          <w:b/>
          <w:lang/>
        </w:rPr>
        <w:t>66</w:t>
      </w:r>
      <w:r>
        <w:rPr>
          <w:b/>
          <w:lang/>
        </w:rPr>
        <w:fldChar w:fldCharType="end"/>
      </w:r>
      <w:r>
        <w:rPr>
          <w:b/>
          <w:lang/>
        </w:rPr>
        <w:fldChar w:fldCharType="end"/>
      </w:r>
    </w:p>
    <w:p>
      <w:pPr>
        <w:pStyle w:val="30"/>
        <w:spacing w:line="480" w:lineRule="auto"/>
        <w:rPr>
          <w:rFonts w:ascii="Calibri" w:hAnsi="Calibri"/>
          <w:b/>
          <w:szCs w:val="22"/>
          <w:lang/>
        </w:rPr>
      </w:pPr>
      <w:r>
        <w:rPr>
          <w:lang/>
        </w:rPr>
        <w:fldChar w:fldCharType="begin"/>
      </w:r>
      <w:r>
        <w:rPr>
          <w:lang/>
        </w:rPr>
        <w:instrText xml:space="preserve"> HYPERLINK \l "_Toc97033064" </w:instrText>
      </w:r>
      <w:r>
        <w:rPr>
          <w:lang/>
        </w:rPr>
        <w:fldChar w:fldCharType="separate"/>
      </w:r>
      <w:r>
        <w:rPr>
          <w:rStyle w:val="48"/>
          <w:rFonts w:ascii="宋体" w:hAnsi="宋体"/>
          <w:b/>
          <w:color w:val="auto"/>
          <w:lang/>
        </w:rPr>
        <w:t>一、资格文件部分格式</w:t>
      </w:r>
      <w:r>
        <w:rPr>
          <w:b/>
          <w:lang/>
        </w:rPr>
        <w:tab/>
      </w:r>
      <w:r>
        <w:rPr>
          <w:b/>
          <w:lang/>
        </w:rPr>
        <w:fldChar w:fldCharType="begin"/>
      </w:r>
      <w:r>
        <w:rPr>
          <w:b/>
          <w:lang/>
        </w:rPr>
        <w:instrText xml:space="preserve"> PAGEREF _Toc97033064 \h </w:instrText>
      </w:r>
      <w:r>
        <w:rPr>
          <w:b/>
          <w:lang/>
        </w:rPr>
        <w:fldChar w:fldCharType="separate"/>
      </w:r>
      <w:r>
        <w:rPr>
          <w:b/>
          <w:lang/>
        </w:rPr>
        <w:t>66</w:t>
      </w:r>
      <w:r>
        <w:rPr>
          <w:b/>
          <w:lang/>
        </w:rPr>
        <w:fldChar w:fldCharType="end"/>
      </w:r>
      <w:r>
        <w:rPr>
          <w:b/>
          <w:lang/>
        </w:rPr>
        <w:fldChar w:fldCharType="end"/>
      </w:r>
    </w:p>
    <w:p>
      <w:pPr>
        <w:pStyle w:val="30"/>
        <w:spacing w:line="480" w:lineRule="auto"/>
        <w:rPr>
          <w:rFonts w:ascii="Calibri" w:hAnsi="Calibri"/>
          <w:b/>
          <w:szCs w:val="22"/>
          <w:lang/>
        </w:rPr>
      </w:pPr>
      <w:r>
        <w:rPr>
          <w:lang/>
        </w:rPr>
        <w:fldChar w:fldCharType="begin"/>
      </w:r>
      <w:r>
        <w:rPr>
          <w:lang/>
        </w:rPr>
        <w:instrText xml:space="preserve"> HYPERLINK \l "_Toc97033071" </w:instrText>
      </w:r>
      <w:r>
        <w:rPr>
          <w:lang/>
        </w:rPr>
        <w:fldChar w:fldCharType="separate"/>
      </w:r>
      <w:r>
        <w:rPr>
          <w:rStyle w:val="48"/>
          <w:rFonts w:ascii="宋体" w:hAnsi="宋体"/>
          <w:b/>
          <w:color w:val="auto"/>
          <w:lang/>
        </w:rPr>
        <w:t>二、报价文件部分格式</w:t>
      </w:r>
      <w:r>
        <w:rPr>
          <w:b/>
          <w:lang/>
        </w:rPr>
        <w:tab/>
      </w:r>
      <w:r>
        <w:rPr>
          <w:b/>
          <w:lang/>
        </w:rPr>
        <w:fldChar w:fldCharType="begin"/>
      </w:r>
      <w:r>
        <w:rPr>
          <w:b/>
          <w:lang/>
        </w:rPr>
        <w:instrText xml:space="preserve"> PAGEREF _Toc97033071 \h </w:instrText>
      </w:r>
      <w:r>
        <w:rPr>
          <w:b/>
          <w:lang/>
        </w:rPr>
        <w:fldChar w:fldCharType="separate"/>
      </w:r>
      <w:r>
        <w:rPr>
          <w:b/>
          <w:lang/>
        </w:rPr>
        <w:t>70</w:t>
      </w:r>
      <w:r>
        <w:rPr>
          <w:b/>
          <w:lang/>
        </w:rPr>
        <w:fldChar w:fldCharType="end"/>
      </w:r>
      <w:r>
        <w:rPr>
          <w:b/>
          <w:lang/>
        </w:rPr>
        <w:fldChar w:fldCharType="end"/>
      </w:r>
    </w:p>
    <w:p>
      <w:pPr>
        <w:pStyle w:val="30"/>
        <w:spacing w:line="480" w:lineRule="auto"/>
        <w:rPr>
          <w:rFonts w:ascii="Calibri" w:hAnsi="Calibri"/>
          <w:b/>
          <w:szCs w:val="22"/>
          <w:lang/>
        </w:rPr>
      </w:pPr>
      <w:r>
        <w:rPr>
          <w:lang/>
        </w:rPr>
        <w:fldChar w:fldCharType="begin"/>
      </w:r>
      <w:r>
        <w:rPr>
          <w:lang/>
        </w:rPr>
        <w:instrText xml:space="preserve"> HYPERLINK \l "_Toc97033073" </w:instrText>
      </w:r>
      <w:r>
        <w:rPr>
          <w:lang/>
        </w:rPr>
        <w:fldChar w:fldCharType="separate"/>
      </w:r>
      <w:r>
        <w:rPr>
          <w:rStyle w:val="48"/>
          <w:rFonts w:ascii="宋体" w:hAnsi="宋体"/>
          <w:b/>
          <w:color w:val="auto"/>
          <w:lang/>
        </w:rPr>
        <w:t>三、商务技术文件部分格式</w:t>
      </w:r>
      <w:r>
        <w:rPr>
          <w:b/>
          <w:lang/>
        </w:rPr>
        <w:tab/>
      </w:r>
      <w:r>
        <w:rPr>
          <w:b/>
          <w:lang/>
        </w:rPr>
        <w:fldChar w:fldCharType="begin"/>
      </w:r>
      <w:r>
        <w:rPr>
          <w:b/>
          <w:lang/>
        </w:rPr>
        <w:instrText xml:space="preserve"> PAGEREF _Toc97033073 \h </w:instrText>
      </w:r>
      <w:r>
        <w:rPr>
          <w:b/>
          <w:lang/>
        </w:rPr>
        <w:fldChar w:fldCharType="separate"/>
      </w:r>
      <w:r>
        <w:rPr>
          <w:b/>
          <w:lang/>
        </w:rPr>
        <w:t>72</w:t>
      </w:r>
      <w:r>
        <w:rPr>
          <w:b/>
          <w:lang/>
        </w:rPr>
        <w:fldChar w:fldCharType="end"/>
      </w:r>
      <w:r>
        <w:rPr>
          <w:b/>
          <w:lang/>
        </w:rPr>
        <w:fldChar w:fldCharType="end"/>
      </w:r>
    </w:p>
    <w:p>
      <w:pPr>
        <w:pStyle w:val="30"/>
        <w:spacing w:line="480" w:lineRule="auto"/>
        <w:rPr>
          <w:rFonts w:ascii="Calibri" w:hAnsi="Calibri"/>
          <w:b/>
          <w:szCs w:val="22"/>
          <w:lang/>
        </w:rPr>
      </w:pPr>
      <w:r>
        <w:rPr>
          <w:lang/>
        </w:rPr>
        <w:fldChar w:fldCharType="begin"/>
      </w:r>
      <w:r>
        <w:rPr>
          <w:lang/>
        </w:rPr>
        <w:instrText xml:space="preserve"> HYPERLINK \l "_Toc97033076" </w:instrText>
      </w:r>
      <w:r>
        <w:rPr>
          <w:lang/>
        </w:rPr>
        <w:fldChar w:fldCharType="separate"/>
      </w:r>
      <w:r>
        <w:rPr>
          <w:rStyle w:val="48"/>
          <w:rFonts w:ascii="宋体" w:hAnsi="宋体" w:cs="新宋体"/>
          <w:b/>
          <w:color w:val="auto"/>
          <w:lang/>
        </w:rPr>
        <w:t>第七部分 评标定标办法</w:t>
      </w:r>
      <w:r>
        <w:rPr>
          <w:b/>
          <w:lang/>
        </w:rPr>
        <w:tab/>
      </w:r>
      <w:r>
        <w:rPr>
          <w:b/>
          <w:lang/>
        </w:rPr>
        <w:fldChar w:fldCharType="begin"/>
      </w:r>
      <w:r>
        <w:rPr>
          <w:b/>
          <w:lang/>
        </w:rPr>
        <w:instrText xml:space="preserve"> PAGEREF _Toc97033076 \h </w:instrText>
      </w:r>
      <w:r>
        <w:rPr>
          <w:b/>
          <w:lang/>
        </w:rPr>
        <w:fldChar w:fldCharType="separate"/>
      </w:r>
      <w:r>
        <w:rPr>
          <w:b/>
          <w:lang/>
        </w:rPr>
        <w:t>82</w:t>
      </w:r>
      <w:r>
        <w:rPr>
          <w:b/>
          <w:lang/>
        </w:rPr>
        <w:fldChar w:fldCharType="end"/>
      </w:r>
      <w:r>
        <w:rPr>
          <w:b/>
          <w:lang/>
        </w:rPr>
        <w:fldChar w:fldCharType="end"/>
      </w:r>
    </w:p>
    <w:p>
      <w:pPr>
        <w:spacing w:line="480" w:lineRule="auto"/>
        <w:rPr>
          <w:rFonts w:ascii="宋体" w:hAnsi="宋体" w:cs="新宋体"/>
        </w:rPr>
      </w:pPr>
      <w:r>
        <w:rPr>
          <w:rFonts w:hint="eastAsia" w:ascii="宋体" w:hAnsi="宋体" w:cs="新宋体"/>
          <w:b/>
        </w:rPr>
        <w:fldChar w:fldCharType="end"/>
      </w:r>
    </w:p>
    <w:bookmarkEnd w:id="0"/>
    <w:p>
      <w:pPr>
        <w:pStyle w:val="39"/>
        <w:rPr>
          <w:rFonts w:ascii="宋体" w:hAnsi="宋体" w:cs="新宋体"/>
          <w:sz w:val="30"/>
          <w:szCs w:val="30"/>
        </w:rPr>
      </w:pPr>
      <w:bookmarkStart w:id="2" w:name="_Toc97033049"/>
      <w:bookmarkStart w:id="3" w:name="_Toc498343164"/>
      <w:bookmarkStart w:id="4" w:name="_Toc496116239"/>
      <w:r>
        <w:rPr>
          <w:rFonts w:ascii="宋体" w:hAnsi="宋体" w:cs="新宋体"/>
          <w:sz w:val="30"/>
          <w:szCs w:val="30"/>
        </w:rPr>
        <w:br w:type="page"/>
      </w:r>
      <w:r>
        <w:rPr>
          <w:rFonts w:ascii="宋体" w:hAnsi="宋体" w:cs="新宋体"/>
          <w:sz w:val="30"/>
          <w:szCs w:val="30"/>
        </w:rPr>
        <w:t>温州市中概工程管理咨询有限公司关于</w:t>
      </w:r>
      <w:r>
        <w:rPr>
          <w:rFonts w:hint="eastAsia" w:ascii="宋体" w:hAnsi="宋体" w:cs="新宋体"/>
          <w:sz w:val="30"/>
          <w:szCs w:val="30"/>
        </w:rPr>
        <w:t>永嘉县疫情防控智治平台</w:t>
      </w:r>
      <w:r>
        <w:rPr>
          <w:rFonts w:ascii="宋体" w:hAnsi="宋体" w:cs="新宋体"/>
          <w:sz w:val="30"/>
          <w:szCs w:val="30"/>
        </w:rPr>
        <w:t>的公开招标公告</w:t>
      </w:r>
      <w:bookmarkEnd w:id="2"/>
    </w:p>
    <w:p>
      <w:pPr>
        <w:pStyle w:val="38"/>
        <w:spacing w:before="75" w:beforeAutospacing="0" w:after="75" w:afterAutospacing="0"/>
        <w:rPr>
          <w:rFonts w:hint="eastAsia" w:cs="宋体"/>
          <w:sz w:val="22"/>
          <w:szCs w:val="22"/>
        </w:rPr>
      </w:pPr>
      <w:r>
        <w:rPr>
          <w:rFonts w:hint="eastAsia" w:cs="宋体"/>
          <w:sz w:val="22"/>
          <w:szCs w:val="22"/>
        </w:rPr>
        <w:t xml:space="preserve">  项目概况                                                 </w:t>
      </w:r>
    </w:p>
    <w:p>
      <w:pPr>
        <w:pStyle w:val="38"/>
        <w:spacing w:before="75" w:beforeAutospacing="0" w:after="75" w:afterAutospacing="0"/>
        <w:rPr>
          <w:rFonts w:hint="eastAsia" w:cs="宋体"/>
          <w:sz w:val="22"/>
          <w:szCs w:val="22"/>
        </w:rPr>
      </w:pPr>
      <w:r>
        <w:rPr>
          <w:rFonts w:hint="eastAsia" w:cs="宋体"/>
          <w:sz w:val="22"/>
          <w:szCs w:val="22"/>
        </w:rPr>
        <w:t>    永嘉县疫情防控智治平台招标项目的潜在投标人应在政采云平台（http://zfcg.czt.zj.gov.cn） 获取（下载）招标文件，并于 2022年08月03日 09:30（北京时间）前递交（上传）投标文件。                             </w:t>
      </w:r>
    </w:p>
    <w:p>
      <w:pPr>
        <w:rPr>
          <w:rFonts w:hint="eastAsia" w:ascii="宋体" w:hAnsi="宋体"/>
          <w:sz w:val="22"/>
          <w:szCs w:val="22"/>
        </w:rPr>
      </w:pPr>
      <w:r>
        <w:rPr>
          <w:rFonts w:hint="eastAsia" w:ascii="宋体" w:hAnsi="宋体"/>
          <w:b/>
          <w:bCs/>
          <w:sz w:val="22"/>
          <w:szCs w:val="22"/>
        </w:rPr>
        <w:t xml:space="preserve">一、项目基本情况 </w:t>
      </w:r>
      <w:r>
        <w:rPr>
          <w:rFonts w:hint="eastAsia" w:ascii="宋体" w:hAnsi="宋体"/>
          <w:sz w:val="22"/>
          <w:szCs w:val="22"/>
        </w:rPr>
        <w:t xml:space="preserve">                                           </w:t>
      </w:r>
    </w:p>
    <w:p>
      <w:pPr>
        <w:rPr>
          <w:rFonts w:hint="eastAsia" w:ascii="宋体" w:hAnsi="宋体"/>
          <w:sz w:val="22"/>
          <w:szCs w:val="22"/>
        </w:rPr>
      </w:pPr>
      <w:r>
        <w:rPr>
          <w:rFonts w:hint="eastAsia" w:ascii="宋体" w:hAnsi="宋体"/>
          <w:sz w:val="22"/>
          <w:szCs w:val="22"/>
        </w:rPr>
        <w:t xml:space="preserve">    项目编号：F-GB202207120558 </w:t>
      </w:r>
    </w:p>
    <w:p>
      <w:pPr>
        <w:rPr>
          <w:rFonts w:hint="eastAsia" w:ascii="宋体" w:hAnsi="宋体"/>
          <w:sz w:val="22"/>
          <w:szCs w:val="22"/>
        </w:rPr>
      </w:pPr>
      <w:r>
        <w:rPr>
          <w:rFonts w:hint="eastAsia" w:ascii="宋体" w:hAnsi="宋体"/>
          <w:sz w:val="22"/>
          <w:szCs w:val="22"/>
        </w:rPr>
        <w:t xml:space="preserve">    项目名称：永嘉县疫情防控智治平台</w:t>
      </w:r>
    </w:p>
    <w:p>
      <w:pPr>
        <w:rPr>
          <w:rFonts w:hint="eastAsia" w:ascii="宋体" w:hAnsi="宋体"/>
          <w:sz w:val="22"/>
          <w:szCs w:val="22"/>
        </w:rPr>
      </w:pPr>
      <w:r>
        <w:rPr>
          <w:rFonts w:hint="eastAsia" w:ascii="宋体" w:hAnsi="宋体"/>
          <w:sz w:val="22"/>
          <w:szCs w:val="22"/>
        </w:rPr>
        <w:t xml:space="preserve">    预算金额（元）：7522300  </w:t>
      </w:r>
    </w:p>
    <w:p>
      <w:pPr>
        <w:rPr>
          <w:rFonts w:hint="eastAsia" w:ascii="宋体" w:hAnsi="宋体"/>
          <w:sz w:val="22"/>
          <w:szCs w:val="22"/>
        </w:rPr>
      </w:pPr>
      <w:r>
        <w:rPr>
          <w:rFonts w:hint="eastAsia" w:ascii="宋体" w:hAnsi="宋体"/>
          <w:sz w:val="22"/>
          <w:szCs w:val="22"/>
        </w:rPr>
        <w:t xml:space="preserve">    最高限价（元）：7365000 </w:t>
      </w:r>
    </w:p>
    <w:p>
      <w:pPr>
        <w:rPr>
          <w:rFonts w:hint="eastAsia" w:ascii="宋体" w:hAnsi="宋体"/>
          <w:sz w:val="22"/>
          <w:szCs w:val="22"/>
        </w:rPr>
      </w:pPr>
      <w:r>
        <w:rPr>
          <w:rFonts w:hint="eastAsia" w:ascii="宋体" w:hAnsi="宋体"/>
          <w:sz w:val="22"/>
          <w:szCs w:val="22"/>
        </w:rPr>
        <w:t xml:space="preserve">    采购需求：</w:t>
      </w:r>
    </w:p>
    <w:p>
      <w:pPr>
        <w:rPr>
          <w:rFonts w:hint="eastAsia" w:ascii="宋体" w:hAnsi="宋体"/>
          <w:sz w:val="22"/>
          <w:szCs w:val="22"/>
        </w:rPr>
      </w:pPr>
    </w:p>
    <w:p>
      <w:pPr>
        <w:rPr>
          <w:rFonts w:hint="eastAsia" w:ascii="宋体" w:hAnsi="宋体"/>
          <w:sz w:val="22"/>
          <w:szCs w:val="22"/>
        </w:rPr>
      </w:pPr>
      <w:r>
        <w:rPr>
          <w:rFonts w:hint="eastAsia" w:ascii="宋体" w:hAnsi="宋体"/>
          <w:sz w:val="22"/>
          <w:szCs w:val="22"/>
        </w:rPr>
        <w:t xml:space="preserve">    标项名称: 永嘉县疫情防控智治平台 </w:t>
      </w:r>
    </w:p>
    <w:p>
      <w:pPr>
        <w:rPr>
          <w:rFonts w:hint="eastAsia" w:ascii="宋体" w:hAnsi="宋体"/>
          <w:sz w:val="22"/>
          <w:szCs w:val="22"/>
        </w:rPr>
      </w:pPr>
      <w:r>
        <w:rPr>
          <w:rFonts w:hint="eastAsia" w:ascii="宋体" w:hAnsi="宋体"/>
          <w:sz w:val="22"/>
          <w:szCs w:val="22"/>
        </w:rPr>
        <w:t xml:space="preserve">    数量: 1  </w:t>
      </w:r>
    </w:p>
    <w:p>
      <w:pPr>
        <w:rPr>
          <w:rFonts w:hint="eastAsia" w:ascii="宋体" w:hAnsi="宋体"/>
          <w:sz w:val="22"/>
          <w:szCs w:val="22"/>
        </w:rPr>
      </w:pPr>
      <w:r>
        <w:rPr>
          <w:rFonts w:hint="eastAsia" w:ascii="宋体" w:hAnsi="宋体"/>
          <w:sz w:val="22"/>
          <w:szCs w:val="22"/>
        </w:rPr>
        <w:t xml:space="preserve">    预算金额（元）: 7522300 </w:t>
      </w:r>
    </w:p>
    <w:p>
      <w:pPr>
        <w:rPr>
          <w:rFonts w:hint="eastAsia" w:ascii="宋体" w:hAnsi="宋体"/>
          <w:sz w:val="22"/>
          <w:szCs w:val="22"/>
        </w:rPr>
      </w:pPr>
      <w:r>
        <w:rPr>
          <w:rFonts w:hint="eastAsia" w:ascii="宋体" w:hAnsi="宋体"/>
          <w:sz w:val="22"/>
          <w:szCs w:val="22"/>
        </w:rPr>
        <w:t xml:space="preserve">    简要规格描述或项目基本概况介绍、用途：永嘉县疫情防控智治平台，详见招标文件。 </w:t>
      </w:r>
    </w:p>
    <w:p>
      <w:pPr>
        <w:rPr>
          <w:rFonts w:hint="eastAsia" w:ascii="宋体" w:hAnsi="宋体"/>
          <w:sz w:val="22"/>
          <w:szCs w:val="22"/>
        </w:rPr>
      </w:pPr>
      <w:r>
        <w:rPr>
          <w:rFonts w:hint="eastAsia" w:ascii="宋体" w:hAnsi="宋体"/>
          <w:sz w:val="22"/>
          <w:szCs w:val="22"/>
        </w:rPr>
        <w:t xml:space="preserve">    备注： </w:t>
      </w:r>
    </w:p>
    <w:p>
      <w:pPr>
        <w:rPr>
          <w:rFonts w:hint="eastAsia" w:ascii="宋体" w:hAnsi="宋体"/>
          <w:sz w:val="22"/>
          <w:szCs w:val="22"/>
        </w:rPr>
      </w:pPr>
    </w:p>
    <w:p>
      <w:pPr>
        <w:rPr>
          <w:rFonts w:hint="eastAsia" w:ascii="宋体" w:hAnsi="宋体"/>
          <w:sz w:val="22"/>
          <w:szCs w:val="22"/>
        </w:rPr>
      </w:pPr>
      <w:r>
        <w:rPr>
          <w:rFonts w:hint="eastAsia" w:ascii="宋体" w:hAnsi="宋体"/>
          <w:sz w:val="22"/>
          <w:szCs w:val="22"/>
        </w:rPr>
        <w:t xml:space="preserve">    合同履约期限：标项 1，项目实施时间： 软件开发、调试、测试、上线试运行自合同签订起不得超过90天。</w:t>
      </w:r>
    </w:p>
    <w:p>
      <w:pPr>
        <w:rPr>
          <w:rFonts w:hint="eastAsia" w:ascii="宋体" w:hAnsi="宋体"/>
          <w:sz w:val="22"/>
          <w:szCs w:val="22"/>
        </w:rPr>
      </w:pPr>
      <w:r>
        <w:rPr>
          <w:rFonts w:hint="eastAsia" w:ascii="宋体" w:hAnsi="宋体"/>
          <w:sz w:val="22"/>
          <w:szCs w:val="22"/>
        </w:rPr>
        <w:t xml:space="preserve">    本项目（否）接受联合体投标。</w:t>
      </w:r>
    </w:p>
    <w:p>
      <w:pPr>
        <w:rPr>
          <w:rFonts w:hint="eastAsia" w:ascii="宋体" w:hAnsi="宋体"/>
          <w:b/>
          <w:bCs/>
          <w:sz w:val="22"/>
          <w:szCs w:val="22"/>
        </w:rPr>
      </w:pPr>
      <w:r>
        <w:rPr>
          <w:rFonts w:hint="eastAsia" w:ascii="宋体" w:hAnsi="宋体"/>
          <w:b/>
          <w:bCs/>
          <w:sz w:val="22"/>
          <w:szCs w:val="22"/>
        </w:rPr>
        <w:t>二、申请人的资格要求：</w:t>
      </w:r>
    </w:p>
    <w:p>
      <w:pPr>
        <w:rPr>
          <w:rFonts w:hint="eastAsia" w:ascii="宋体" w:hAnsi="宋体"/>
          <w:sz w:val="22"/>
          <w:szCs w:val="22"/>
        </w:rPr>
      </w:pPr>
      <w:r>
        <w:rPr>
          <w:rFonts w:hint="eastAsia" w:ascii="宋体" w:hAnsi="宋体"/>
          <w:sz w:val="22"/>
          <w:szCs w:val="22"/>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rPr>
          <w:rFonts w:hint="eastAsia" w:ascii="宋体" w:hAnsi="宋体"/>
          <w:sz w:val="22"/>
          <w:szCs w:val="22"/>
        </w:rPr>
      </w:pPr>
      <w:r>
        <w:rPr>
          <w:rFonts w:hint="eastAsia" w:ascii="宋体" w:hAnsi="宋体"/>
          <w:sz w:val="22"/>
          <w:szCs w:val="22"/>
        </w:rPr>
        <w:t xml:space="preserve">    2.落实政府采购政策需满足的资格要求：无 </w:t>
      </w:r>
    </w:p>
    <w:p>
      <w:pPr>
        <w:rPr>
          <w:rFonts w:hint="eastAsia" w:ascii="宋体" w:hAnsi="宋体"/>
          <w:sz w:val="22"/>
          <w:szCs w:val="22"/>
        </w:rPr>
      </w:pPr>
      <w:r>
        <w:rPr>
          <w:rFonts w:hint="eastAsia" w:ascii="宋体" w:hAnsi="宋体"/>
          <w:sz w:val="22"/>
          <w:szCs w:val="22"/>
        </w:rPr>
        <w:t xml:space="preserve">    3.本项目的特定资格要求：无 </w:t>
      </w:r>
    </w:p>
    <w:p>
      <w:pPr>
        <w:rPr>
          <w:rFonts w:hint="eastAsia" w:ascii="宋体" w:hAnsi="宋体"/>
          <w:b/>
          <w:bCs/>
          <w:sz w:val="22"/>
          <w:szCs w:val="22"/>
        </w:rPr>
      </w:pPr>
      <w:r>
        <w:rPr>
          <w:rFonts w:hint="eastAsia" w:ascii="宋体" w:hAnsi="宋体"/>
          <w:b/>
          <w:bCs/>
          <w:sz w:val="22"/>
          <w:szCs w:val="22"/>
        </w:rPr>
        <w:t xml:space="preserve">三、获取招标文件 </w:t>
      </w:r>
    </w:p>
    <w:p>
      <w:pPr>
        <w:rPr>
          <w:rFonts w:hint="eastAsia" w:ascii="宋体" w:hAnsi="宋体"/>
          <w:sz w:val="22"/>
          <w:szCs w:val="22"/>
        </w:rPr>
      </w:pPr>
      <w:r>
        <w:rPr>
          <w:rFonts w:hint="eastAsia" w:ascii="宋体" w:hAnsi="宋体"/>
          <w:sz w:val="22"/>
          <w:szCs w:val="22"/>
        </w:rPr>
        <w:t xml:space="preserve">    时间：/至2022年08月03日 ，每天上午00:00至12:00 ，下午12:00至23:59（北京时间，线上获取法定节假日均可，线下获取文件法定节假日除外）</w:t>
      </w:r>
    </w:p>
    <w:p>
      <w:pPr>
        <w:rPr>
          <w:rFonts w:hint="eastAsia" w:ascii="宋体" w:hAnsi="宋体"/>
          <w:sz w:val="22"/>
          <w:szCs w:val="22"/>
        </w:rPr>
      </w:pPr>
      <w:r>
        <w:rPr>
          <w:rFonts w:hint="eastAsia" w:ascii="宋体" w:hAnsi="宋体"/>
          <w:sz w:val="22"/>
          <w:szCs w:val="22"/>
        </w:rPr>
        <w:t xml:space="preserve">    地点（网址）：政采云平台（http://zfcg.czt.zj.gov.cn）  </w:t>
      </w:r>
    </w:p>
    <w:p>
      <w:pPr>
        <w:rPr>
          <w:rFonts w:hint="eastAsia" w:ascii="宋体" w:hAnsi="宋体"/>
          <w:sz w:val="22"/>
          <w:szCs w:val="22"/>
        </w:rPr>
      </w:pPr>
      <w:r>
        <w:rPr>
          <w:rFonts w:hint="eastAsia" w:ascii="宋体" w:hAnsi="宋体"/>
          <w:sz w:val="22"/>
          <w:szCs w:val="22"/>
        </w:rPr>
        <w:t xml:space="preserve">    方式：供应商登录政采云平台https://www.zcygov.cn/在线申请获取采购文件（进入“项目采购”应用，在获取采购文件菜单中选择项目，申请获取采购文件） </w:t>
      </w:r>
    </w:p>
    <w:p>
      <w:pPr>
        <w:rPr>
          <w:rFonts w:hint="eastAsia" w:ascii="宋体" w:hAnsi="宋体"/>
          <w:sz w:val="22"/>
          <w:szCs w:val="22"/>
        </w:rPr>
      </w:pPr>
      <w:r>
        <w:rPr>
          <w:rFonts w:hint="eastAsia" w:ascii="宋体" w:hAnsi="宋体"/>
          <w:sz w:val="22"/>
          <w:szCs w:val="22"/>
        </w:rPr>
        <w:t xml:space="preserve">    售价（元）：0 </w:t>
      </w:r>
    </w:p>
    <w:p>
      <w:pPr>
        <w:rPr>
          <w:rFonts w:hint="eastAsia" w:ascii="宋体" w:hAnsi="宋体"/>
          <w:b/>
          <w:bCs/>
          <w:sz w:val="22"/>
          <w:szCs w:val="22"/>
        </w:rPr>
      </w:pPr>
      <w:r>
        <w:rPr>
          <w:rFonts w:hint="eastAsia" w:ascii="宋体" w:hAnsi="宋体"/>
          <w:b/>
          <w:bCs/>
          <w:sz w:val="22"/>
          <w:szCs w:val="22"/>
        </w:rPr>
        <w:t>四、提交投标文件截止时间、开标时间和地点</w:t>
      </w:r>
    </w:p>
    <w:p>
      <w:pPr>
        <w:rPr>
          <w:rFonts w:hint="eastAsia" w:ascii="宋体" w:hAnsi="宋体"/>
          <w:sz w:val="22"/>
          <w:szCs w:val="22"/>
        </w:rPr>
      </w:pPr>
      <w:r>
        <w:rPr>
          <w:rFonts w:hint="eastAsia" w:ascii="宋体" w:hAnsi="宋体"/>
          <w:sz w:val="22"/>
          <w:szCs w:val="22"/>
        </w:rPr>
        <w:t xml:space="preserve">    提交投标文件截止时间：2022年08月03日 09:30（北京时间）</w:t>
      </w:r>
    </w:p>
    <w:p>
      <w:pPr>
        <w:rPr>
          <w:rFonts w:hint="eastAsia" w:ascii="宋体" w:hAnsi="宋体"/>
          <w:sz w:val="22"/>
          <w:szCs w:val="22"/>
        </w:rPr>
      </w:pPr>
      <w:r>
        <w:rPr>
          <w:rFonts w:hint="eastAsia" w:ascii="宋体" w:hAnsi="宋体"/>
          <w:sz w:val="22"/>
          <w:szCs w:val="22"/>
        </w:rPr>
        <w:t xml:space="preserve">    投标地点（网址）：政采云电子投标客户端在线提交 </w:t>
      </w:r>
    </w:p>
    <w:p>
      <w:pPr>
        <w:rPr>
          <w:rFonts w:hint="eastAsia" w:ascii="宋体" w:hAnsi="宋体"/>
          <w:sz w:val="22"/>
          <w:szCs w:val="22"/>
        </w:rPr>
      </w:pPr>
      <w:r>
        <w:rPr>
          <w:rFonts w:hint="eastAsia" w:ascii="宋体" w:hAnsi="宋体"/>
          <w:sz w:val="22"/>
          <w:szCs w:val="22"/>
        </w:rPr>
        <w:t xml:space="preserve">    开标时间：2022年08月03日 09:30 </w:t>
      </w:r>
    </w:p>
    <w:p>
      <w:pPr>
        <w:rPr>
          <w:rFonts w:hint="eastAsia" w:ascii="宋体" w:hAnsi="宋体"/>
          <w:sz w:val="22"/>
          <w:szCs w:val="22"/>
        </w:rPr>
      </w:pPr>
      <w:r>
        <w:rPr>
          <w:rFonts w:hint="eastAsia" w:ascii="宋体" w:hAnsi="宋体"/>
          <w:sz w:val="22"/>
          <w:szCs w:val="22"/>
        </w:rPr>
        <w:t xml:space="preserve">    开标地点（网址）：永嘉县公共资源交易中心评标室（永嘉上塘广场路建设大厦三楼）  </w:t>
      </w:r>
    </w:p>
    <w:p>
      <w:pPr>
        <w:rPr>
          <w:rFonts w:hint="eastAsia" w:ascii="宋体" w:hAnsi="宋体"/>
          <w:b/>
          <w:bCs/>
          <w:sz w:val="22"/>
          <w:szCs w:val="22"/>
        </w:rPr>
      </w:pPr>
      <w:r>
        <w:rPr>
          <w:rFonts w:hint="eastAsia" w:ascii="宋体" w:hAnsi="宋体"/>
          <w:b/>
          <w:bCs/>
          <w:sz w:val="22"/>
          <w:szCs w:val="22"/>
        </w:rPr>
        <w:t xml:space="preserve">五、公告期限 </w:t>
      </w:r>
    </w:p>
    <w:p>
      <w:pPr>
        <w:rPr>
          <w:rFonts w:hint="eastAsia" w:ascii="宋体" w:hAnsi="宋体"/>
          <w:sz w:val="22"/>
          <w:szCs w:val="22"/>
        </w:rPr>
      </w:pPr>
      <w:r>
        <w:rPr>
          <w:rFonts w:hint="eastAsia" w:ascii="宋体" w:hAnsi="宋体"/>
          <w:sz w:val="22"/>
          <w:szCs w:val="22"/>
        </w:rPr>
        <w:t xml:space="preserve">    自本公告发布之日起5个工作日。</w:t>
      </w:r>
    </w:p>
    <w:p>
      <w:pPr>
        <w:rPr>
          <w:rFonts w:hint="eastAsia" w:ascii="宋体" w:hAnsi="宋体"/>
          <w:b/>
          <w:bCs/>
          <w:sz w:val="22"/>
          <w:szCs w:val="22"/>
        </w:rPr>
      </w:pPr>
      <w:r>
        <w:rPr>
          <w:rFonts w:hint="eastAsia" w:ascii="宋体" w:hAnsi="宋体"/>
          <w:b/>
          <w:bCs/>
          <w:sz w:val="22"/>
          <w:szCs w:val="22"/>
        </w:rPr>
        <w:t>六、其他补充事宜</w:t>
      </w:r>
    </w:p>
    <w:p>
      <w:pPr>
        <w:rPr>
          <w:rFonts w:hint="eastAsia" w:ascii="宋体" w:hAnsi="宋体"/>
          <w:sz w:val="22"/>
          <w:szCs w:val="22"/>
        </w:rPr>
      </w:pPr>
    </w:p>
    <w:p>
      <w:pPr>
        <w:rPr>
          <w:rFonts w:hint="eastAsia" w:ascii="宋体" w:hAnsi="宋体"/>
          <w:sz w:val="22"/>
          <w:szCs w:val="22"/>
        </w:rPr>
      </w:pPr>
      <w:r>
        <w:rPr>
          <w:rFonts w:hint="eastAsia" w:ascii="宋体" w:hAnsi="宋体"/>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rPr>
          <w:rFonts w:hint="eastAsia" w:ascii="宋体" w:hAnsi="宋体"/>
          <w:sz w:val="22"/>
          <w:szCs w:val="22"/>
        </w:rPr>
      </w:pPr>
      <w:r>
        <w:rPr>
          <w:rFonts w:hint="eastAsia" w:ascii="宋体" w:hAnsi="宋体"/>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rPr>
          <w:rFonts w:hint="eastAsia" w:ascii="宋体" w:hAnsi="宋体"/>
          <w:sz w:val="22"/>
          <w:szCs w:val="22"/>
        </w:rPr>
      </w:pPr>
      <w:r>
        <w:rPr>
          <w:rFonts w:hint="eastAsia" w:ascii="宋体" w:hAnsi="宋体"/>
          <w:sz w:val="22"/>
          <w:szCs w:val="22"/>
        </w:rPr>
        <w:t xml:space="preserve">3.其他事项：在线投标响应（电子投标）说明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政府采购项目电子交易操作指南》（https://help.zcygov.cn/web/site_2/2018/12-28/2573.html）；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3、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 注：请供应商按上述要求获取采购文件，如未在“政采云”系统内完成相关流程，引起的投标无效责任自负。  </w:t>
      </w:r>
    </w:p>
    <w:p>
      <w:pPr>
        <w:rPr>
          <w:rFonts w:hint="eastAsia" w:ascii="宋体" w:hAnsi="宋体"/>
          <w:b/>
          <w:bCs/>
          <w:sz w:val="22"/>
          <w:szCs w:val="22"/>
        </w:rPr>
      </w:pPr>
      <w:r>
        <w:rPr>
          <w:rFonts w:hint="eastAsia" w:ascii="宋体" w:hAnsi="宋体"/>
          <w:b/>
          <w:bCs/>
          <w:sz w:val="22"/>
          <w:szCs w:val="22"/>
        </w:rPr>
        <w:t>七、对本次采购提出询问、质疑、投诉，请按以下方式联系</w:t>
      </w:r>
    </w:p>
    <w:p>
      <w:pPr>
        <w:rPr>
          <w:rFonts w:hint="eastAsia" w:ascii="宋体" w:hAnsi="宋体"/>
          <w:sz w:val="22"/>
          <w:szCs w:val="22"/>
        </w:rPr>
      </w:pPr>
      <w:r>
        <w:rPr>
          <w:rFonts w:hint="eastAsia" w:ascii="宋体" w:hAnsi="宋体"/>
          <w:sz w:val="22"/>
          <w:szCs w:val="22"/>
        </w:rPr>
        <w:t xml:space="preserve">    1.采购人信息</w:t>
      </w:r>
    </w:p>
    <w:p>
      <w:pPr>
        <w:rPr>
          <w:rFonts w:hint="eastAsia" w:ascii="宋体" w:hAnsi="宋体"/>
          <w:sz w:val="22"/>
          <w:szCs w:val="22"/>
        </w:rPr>
      </w:pPr>
      <w:r>
        <w:rPr>
          <w:rFonts w:hint="eastAsia" w:ascii="宋体" w:hAnsi="宋体"/>
          <w:sz w:val="22"/>
          <w:szCs w:val="22"/>
        </w:rPr>
        <w:t xml:space="preserve">    名    称：永嘉县公安局 </w:t>
      </w:r>
    </w:p>
    <w:p>
      <w:pPr>
        <w:rPr>
          <w:rFonts w:hint="eastAsia" w:ascii="宋体" w:hAnsi="宋体"/>
          <w:sz w:val="22"/>
          <w:szCs w:val="22"/>
        </w:rPr>
      </w:pPr>
      <w:r>
        <w:rPr>
          <w:rFonts w:hint="eastAsia" w:ascii="宋体" w:hAnsi="宋体"/>
          <w:sz w:val="22"/>
          <w:szCs w:val="22"/>
        </w:rPr>
        <w:t xml:space="preserve">    地    址：永嘉县沙门路1号 </w:t>
      </w:r>
    </w:p>
    <w:p>
      <w:pPr>
        <w:rPr>
          <w:rFonts w:hint="eastAsia" w:ascii="宋体" w:hAnsi="宋体"/>
          <w:sz w:val="22"/>
          <w:szCs w:val="22"/>
        </w:rPr>
      </w:pPr>
      <w:r>
        <w:rPr>
          <w:rFonts w:hint="eastAsia" w:ascii="宋体" w:hAnsi="宋体"/>
          <w:sz w:val="22"/>
          <w:szCs w:val="22"/>
        </w:rPr>
        <w:t xml:space="preserve">    传    真：  </w:t>
      </w:r>
    </w:p>
    <w:p>
      <w:pPr>
        <w:rPr>
          <w:rFonts w:hint="eastAsia" w:ascii="宋体" w:hAnsi="宋体"/>
          <w:sz w:val="22"/>
          <w:szCs w:val="22"/>
        </w:rPr>
      </w:pPr>
      <w:r>
        <w:rPr>
          <w:rFonts w:hint="eastAsia" w:ascii="宋体" w:hAnsi="宋体"/>
          <w:sz w:val="22"/>
          <w:szCs w:val="22"/>
        </w:rPr>
        <w:t xml:space="preserve">    项目联系人（询问）：潘先生  </w:t>
      </w:r>
    </w:p>
    <w:p>
      <w:pPr>
        <w:rPr>
          <w:rFonts w:hint="eastAsia" w:ascii="宋体" w:hAnsi="宋体"/>
          <w:sz w:val="22"/>
          <w:szCs w:val="22"/>
        </w:rPr>
      </w:pPr>
      <w:r>
        <w:rPr>
          <w:rFonts w:hint="eastAsia" w:ascii="宋体" w:hAnsi="宋体"/>
          <w:sz w:val="22"/>
          <w:szCs w:val="22"/>
        </w:rPr>
        <w:t xml:space="preserve">    项目联系方式（询问）：0577-66966922 </w:t>
      </w:r>
    </w:p>
    <w:p>
      <w:pPr>
        <w:rPr>
          <w:rFonts w:hint="eastAsia" w:ascii="宋体" w:hAnsi="宋体"/>
          <w:sz w:val="22"/>
          <w:szCs w:val="22"/>
        </w:rPr>
      </w:pPr>
      <w:r>
        <w:rPr>
          <w:rFonts w:hint="eastAsia" w:ascii="宋体" w:hAnsi="宋体"/>
          <w:sz w:val="22"/>
          <w:szCs w:val="22"/>
        </w:rPr>
        <w:t xml:space="preserve">    质疑联系人：潘先生    </w:t>
      </w:r>
    </w:p>
    <w:p>
      <w:pPr>
        <w:rPr>
          <w:rFonts w:hint="eastAsia" w:ascii="宋体" w:hAnsi="宋体"/>
          <w:sz w:val="22"/>
          <w:szCs w:val="22"/>
        </w:rPr>
      </w:pPr>
      <w:r>
        <w:rPr>
          <w:rFonts w:hint="eastAsia" w:ascii="宋体" w:hAnsi="宋体"/>
          <w:sz w:val="22"/>
          <w:szCs w:val="22"/>
        </w:rPr>
        <w:t xml:space="preserve">    质疑联系方式：13706690506 </w:t>
      </w:r>
    </w:p>
    <w:p>
      <w:pPr>
        <w:rPr>
          <w:rFonts w:hint="eastAsia" w:ascii="宋体" w:hAnsi="宋体"/>
          <w:sz w:val="22"/>
          <w:szCs w:val="22"/>
        </w:rPr>
      </w:pPr>
      <w:r>
        <w:rPr>
          <w:rFonts w:hint="eastAsia" w:ascii="宋体" w:hAnsi="宋体"/>
          <w:sz w:val="22"/>
          <w:szCs w:val="22"/>
        </w:rPr>
        <w:t xml:space="preserve">    </w:t>
      </w:r>
    </w:p>
    <w:p>
      <w:pPr>
        <w:rPr>
          <w:rFonts w:hint="eastAsia" w:ascii="宋体" w:hAnsi="宋体"/>
          <w:sz w:val="22"/>
          <w:szCs w:val="22"/>
        </w:rPr>
      </w:pPr>
      <w:r>
        <w:rPr>
          <w:rFonts w:hint="eastAsia" w:ascii="宋体" w:hAnsi="宋体"/>
          <w:sz w:val="22"/>
          <w:szCs w:val="22"/>
        </w:rPr>
        <w:t xml:space="preserve">    2.采购代理机构信息            </w:t>
      </w:r>
    </w:p>
    <w:p>
      <w:pPr>
        <w:rPr>
          <w:rFonts w:hint="eastAsia" w:ascii="宋体" w:hAnsi="宋体"/>
          <w:sz w:val="22"/>
          <w:szCs w:val="22"/>
        </w:rPr>
      </w:pPr>
      <w:r>
        <w:rPr>
          <w:rFonts w:hint="eastAsia" w:ascii="宋体" w:hAnsi="宋体"/>
          <w:sz w:val="22"/>
          <w:szCs w:val="22"/>
        </w:rPr>
        <w:t xml:space="preserve">    名    称：温州市中概工程管理咨询有限公司             </w:t>
      </w:r>
    </w:p>
    <w:p>
      <w:pPr>
        <w:rPr>
          <w:rFonts w:hint="eastAsia" w:ascii="宋体" w:hAnsi="宋体"/>
          <w:sz w:val="22"/>
          <w:szCs w:val="22"/>
        </w:rPr>
      </w:pPr>
      <w:r>
        <w:rPr>
          <w:rFonts w:hint="eastAsia" w:ascii="宋体" w:hAnsi="宋体"/>
          <w:sz w:val="22"/>
          <w:szCs w:val="22"/>
        </w:rPr>
        <w:t xml:space="preserve">    地    址：温州市永嘉县南城街道环城北路618号云碓大厦503室             </w:t>
      </w:r>
    </w:p>
    <w:p>
      <w:pPr>
        <w:rPr>
          <w:rFonts w:hint="eastAsia" w:ascii="宋体" w:hAnsi="宋体"/>
          <w:sz w:val="22"/>
          <w:szCs w:val="22"/>
        </w:rPr>
      </w:pPr>
      <w:r>
        <w:rPr>
          <w:rFonts w:hint="eastAsia" w:ascii="宋体" w:hAnsi="宋体"/>
          <w:sz w:val="22"/>
          <w:szCs w:val="22"/>
        </w:rPr>
        <w:t xml:space="preserve">    传    真：             </w:t>
      </w:r>
    </w:p>
    <w:p>
      <w:pPr>
        <w:rPr>
          <w:rFonts w:hint="eastAsia" w:ascii="宋体" w:hAnsi="宋体"/>
          <w:sz w:val="22"/>
          <w:szCs w:val="22"/>
        </w:rPr>
      </w:pPr>
      <w:r>
        <w:rPr>
          <w:rFonts w:hint="eastAsia" w:ascii="宋体" w:hAnsi="宋体"/>
          <w:sz w:val="22"/>
          <w:szCs w:val="22"/>
        </w:rPr>
        <w:t xml:space="preserve">    项目联系人（询问）：胡可可              </w:t>
      </w:r>
    </w:p>
    <w:p>
      <w:pPr>
        <w:rPr>
          <w:rFonts w:hint="eastAsia" w:ascii="宋体" w:hAnsi="宋体"/>
          <w:sz w:val="22"/>
          <w:szCs w:val="22"/>
        </w:rPr>
      </w:pPr>
      <w:r>
        <w:rPr>
          <w:rFonts w:hint="eastAsia" w:ascii="宋体" w:hAnsi="宋体"/>
          <w:sz w:val="22"/>
          <w:szCs w:val="22"/>
        </w:rPr>
        <w:t xml:space="preserve">    项目联系方式（询问）：15258683545 </w:t>
      </w:r>
    </w:p>
    <w:p>
      <w:pPr>
        <w:rPr>
          <w:rFonts w:hint="eastAsia" w:ascii="宋体" w:hAnsi="宋体"/>
          <w:sz w:val="22"/>
          <w:szCs w:val="22"/>
        </w:rPr>
      </w:pPr>
      <w:r>
        <w:rPr>
          <w:rFonts w:hint="eastAsia" w:ascii="宋体" w:hAnsi="宋体"/>
          <w:sz w:val="22"/>
          <w:szCs w:val="22"/>
        </w:rPr>
        <w:t xml:space="preserve">    质疑联系人：余茜茜             </w:t>
      </w:r>
    </w:p>
    <w:p>
      <w:pPr>
        <w:rPr>
          <w:rFonts w:hint="eastAsia" w:ascii="宋体" w:hAnsi="宋体"/>
          <w:sz w:val="22"/>
          <w:szCs w:val="22"/>
        </w:rPr>
      </w:pPr>
      <w:r>
        <w:rPr>
          <w:rFonts w:hint="eastAsia" w:ascii="宋体" w:hAnsi="宋体"/>
          <w:sz w:val="22"/>
          <w:szCs w:val="22"/>
        </w:rPr>
        <w:t xml:space="preserve">    质疑联系方式：13567723502 　　　　　　     </w:t>
      </w:r>
    </w:p>
    <w:p>
      <w:pPr>
        <w:rPr>
          <w:rFonts w:hint="eastAsia" w:ascii="宋体" w:hAnsi="宋体"/>
          <w:sz w:val="22"/>
          <w:szCs w:val="22"/>
        </w:rPr>
      </w:pPr>
      <w:r>
        <w:rPr>
          <w:rFonts w:hint="eastAsia" w:ascii="宋体" w:hAnsi="宋体"/>
          <w:sz w:val="22"/>
          <w:szCs w:val="22"/>
        </w:rPr>
        <w:t xml:space="preserve">    </w:t>
      </w:r>
    </w:p>
    <w:p>
      <w:pPr>
        <w:rPr>
          <w:rFonts w:hint="eastAsia" w:ascii="宋体" w:hAnsi="宋体"/>
          <w:sz w:val="22"/>
          <w:szCs w:val="22"/>
        </w:rPr>
      </w:pPr>
      <w:r>
        <w:rPr>
          <w:rFonts w:hint="eastAsia" w:ascii="宋体" w:hAnsi="宋体"/>
          <w:sz w:val="22"/>
          <w:szCs w:val="22"/>
        </w:rPr>
        <w:t xml:space="preserve">    3.同级政府采购监督管理部门            </w:t>
      </w:r>
    </w:p>
    <w:p>
      <w:pPr>
        <w:rPr>
          <w:rFonts w:hint="eastAsia" w:ascii="宋体" w:hAnsi="宋体"/>
          <w:sz w:val="22"/>
          <w:szCs w:val="22"/>
        </w:rPr>
      </w:pPr>
      <w:r>
        <w:rPr>
          <w:rFonts w:hint="eastAsia" w:ascii="宋体" w:hAnsi="宋体"/>
          <w:sz w:val="22"/>
          <w:szCs w:val="22"/>
        </w:rPr>
        <w:t xml:space="preserve">    名    称：永嘉县财政局              </w:t>
      </w:r>
    </w:p>
    <w:p>
      <w:pPr>
        <w:rPr>
          <w:rFonts w:hint="eastAsia" w:ascii="宋体" w:hAnsi="宋体"/>
          <w:sz w:val="22"/>
          <w:szCs w:val="22"/>
        </w:rPr>
      </w:pPr>
      <w:r>
        <w:rPr>
          <w:rFonts w:hint="eastAsia" w:ascii="宋体" w:hAnsi="宋体"/>
          <w:sz w:val="22"/>
          <w:szCs w:val="22"/>
        </w:rPr>
        <w:t xml:space="preserve">    地    址：/             </w:t>
      </w:r>
    </w:p>
    <w:p>
      <w:pPr>
        <w:rPr>
          <w:rFonts w:hint="eastAsia" w:ascii="宋体" w:hAnsi="宋体"/>
          <w:sz w:val="22"/>
          <w:szCs w:val="22"/>
        </w:rPr>
      </w:pPr>
      <w:r>
        <w:rPr>
          <w:rFonts w:hint="eastAsia" w:ascii="宋体" w:hAnsi="宋体"/>
          <w:sz w:val="22"/>
          <w:szCs w:val="22"/>
        </w:rPr>
        <w:t xml:space="preserve">    传    真：/             </w:t>
      </w:r>
    </w:p>
    <w:p>
      <w:pPr>
        <w:rPr>
          <w:rFonts w:hint="eastAsia" w:ascii="宋体" w:hAnsi="宋体"/>
          <w:sz w:val="22"/>
          <w:szCs w:val="22"/>
        </w:rPr>
      </w:pPr>
      <w:r>
        <w:rPr>
          <w:rFonts w:hint="eastAsia" w:ascii="宋体" w:hAnsi="宋体"/>
          <w:sz w:val="22"/>
          <w:szCs w:val="22"/>
        </w:rPr>
        <w:t xml:space="preserve">    联系人 ：胡先生              </w:t>
      </w:r>
    </w:p>
    <w:p>
      <w:pPr>
        <w:rPr>
          <w:rFonts w:hint="eastAsia" w:ascii="宋体" w:hAnsi="宋体"/>
          <w:sz w:val="22"/>
          <w:szCs w:val="22"/>
        </w:rPr>
      </w:pPr>
      <w:r>
        <w:rPr>
          <w:rFonts w:hint="eastAsia" w:ascii="宋体" w:hAnsi="宋体"/>
          <w:sz w:val="22"/>
          <w:szCs w:val="22"/>
        </w:rPr>
        <w:t xml:space="preserve">    监督投诉电话：0577-67230257            </w:t>
      </w:r>
    </w:p>
    <w:p>
      <w:pPr>
        <w:rPr>
          <w:rFonts w:hint="eastAsia" w:ascii="宋体" w:hAnsi="宋体"/>
          <w:sz w:val="22"/>
          <w:szCs w:val="22"/>
        </w:rPr>
      </w:pPr>
    </w:p>
    <w:p>
      <w:pPr>
        <w:rPr>
          <w:rFonts w:hint="eastAsia" w:ascii="宋体" w:hAnsi="宋体"/>
          <w:sz w:val="22"/>
          <w:szCs w:val="22"/>
        </w:rPr>
      </w:pPr>
      <w:r>
        <w:rPr>
          <w:rFonts w:hint="eastAsia" w:ascii="宋体" w:hAnsi="宋体"/>
          <w:sz w:val="22"/>
          <w:szCs w:val="22"/>
        </w:rPr>
        <w:t xml:space="preserve">         </w:t>
      </w:r>
    </w:p>
    <w:p>
      <w:pPr>
        <w:rPr>
          <w:rFonts w:hint="eastAsia" w:ascii="宋体" w:hAnsi="宋体"/>
          <w:sz w:val="22"/>
          <w:szCs w:val="22"/>
        </w:rPr>
      </w:pPr>
    </w:p>
    <w:p>
      <w:pPr>
        <w:rPr>
          <w:rFonts w:hint="eastAsia" w:ascii="宋体" w:hAnsi="宋体"/>
          <w:sz w:val="22"/>
          <w:szCs w:val="22"/>
        </w:rPr>
      </w:pPr>
    </w:p>
    <w:p>
      <w:pPr>
        <w:rPr>
          <w:rFonts w:hint="eastAsia" w:ascii="宋体" w:hAnsi="宋体"/>
          <w:sz w:val="22"/>
          <w:szCs w:val="22"/>
        </w:rPr>
      </w:pPr>
    </w:p>
    <w:p>
      <w:pPr>
        <w:rPr>
          <w:rFonts w:hint="eastAsia" w:ascii="宋体" w:hAnsi="宋体"/>
          <w:sz w:val="22"/>
          <w:szCs w:val="22"/>
        </w:rPr>
      </w:pPr>
      <w:r>
        <w:rPr>
          <w:rFonts w:hint="eastAsia" w:ascii="宋体" w:hAnsi="宋体"/>
          <w:sz w:val="22"/>
          <w:szCs w:val="22"/>
        </w:rPr>
        <w:t xml:space="preserve">若对项目采购电子交易系统操作有疑问，可登录政采云（https://www.zcygov.cn/），点击右侧咨询小采，获取采小蜜智能服务管家帮助，或拨打政采云服务热线400-881-7190获取热线服务帮助。       </w:t>
      </w:r>
    </w:p>
    <w:p>
      <w:pPr>
        <w:rPr>
          <w:rFonts w:hint="eastAsia" w:ascii="宋体" w:hAnsi="宋体"/>
          <w:sz w:val="22"/>
          <w:szCs w:val="22"/>
        </w:rPr>
      </w:pPr>
      <w:r>
        <w:rPr>
          <w:rFonts w:hint="eastAsia" w:ascii="宋体" w:hAnsi="宋体"/>
          <w:sz w:val="22"/>
          <w:szCs w:val="22"/>
        </w:rPr>
        <w:t>CA问题联系电话（人工）：汇信CA 400-888-4636；天谷CA 400-087-8198。</w:t>
      </w:r>
    </w:p>
    <w:p>
      <w:pPr>
        <w:rPr>
          <w:rFonts w:hint="eastAsia" w:ascii="宋体" w:hAnsi="宋体"/>
          <w:sz w:val="22"/>
          <w:szCs w:val="22"/>
        </w:rPr>
      </w:pPr>
    </w:p>
    <w:p>
      <w:pPr>
        <w:rPr>
          <w:rFonts w:hint="eastAsia" w:ascii="宋体" w:hAnsi="宋体"/>
          <w:sz w:val="22"/>
          <w:szCs w:val="22"/>
        </w:rPr>
      </w:pPr>
    </w:p>
    <w:p>
      <w:pPr>
        <w:rPr>
          <w:rFonts w:ascii="宋体" w:hAnsi="宋体"/>
          <w:sz w:val="22"/>
          <w:szCs w:val="22"/>
        </w:rPr>
      </w:pPr>
      <w:r>
        <w:rPr>
          <w:rFonts w:hint="eastAsia" w:ascii="宋体" w:hAnsi="宋体"/>
          <w:sz w:val="22"/>
          <w:szCs w:val="22"/>
        </w:rPr>
        <w:t xml:space="preserve">    </w:t>
      </w:r>
    </w:p>
    <w:p>
      <w:pPr>
        <w:pStyle w:val="38"/>
      </w:pPr>
    </w:p>
    <w:p>
      <w:pPr>
        <w:widowControl/>
        <w:jc w:val="left"/>
        <w:rPr>
          <w:rFonts w:ascii="宋体" w:hAnsi="宋体" w:cs="新宋体"/>
          <w:b/>
          <w:bCs/>
          <w:sz w:val="30"/>
          <w:szCs w:val="30"/>
        </w:rPr>
      </w:pPr>
    </w:p>
    <w:p>
      <w:pPr>
        <w:widowControl/>
        <w:jc w:val="left"/>
        <w:rPr>
          <w:rFonts w:ascii="宋体" w:hAnsi="宋体" w:cs="新宋体"/>
          <w:b/>
          <w:bCs/>
          <w:sz w:val="30"/>
          <w:szCs w:val="30"/>
        </w:rPr>
      </w:pPr>
      <w:r>
        <w:rPr>
          <w:rFonts w:ascii="宋体" w:hAnsi="宋体" w:cs="新宋体"/>
          <w:sz w:val="30"/>
          <w:szCs w:val="30"/>
        </w:rPr>
        <w:br w:type="page"/>
      </w:r>
    </w:p>
    <w:p>
      <w:pPr>
        <w:pStyle w:val="39"/>
        <w:rPr>
          <w:rFonts w:ascii="宋体" w:hAnsi="宋体" w:cs="新宋体"/>
          <w:sz w:val="30"/>
          <w:szCs w:val="30"/>
        </w:rPr>
      </w:pPr>
      <w:bookmarkStart w:id="5" w:name="_Toc97033050"/>
      <w:r>
        <w:rPr>
          <w:rFonts w:hint="eastAsia" w:ascii="宋体" w:hAnsi="宋体" w:cs="新宋体"/>
          <w:sz w:val="30"/>
          <w:szCs w:val="30"/>
        </w:rPr>
        <w:t>第一部分  投标通知(邀请)书</w:t>
      </w:r>
      <w:bookmarkEnd w:id="3"/>
      <w:bookmarkEnd w:id="4"/>
      <w:bookmarkEnd w:id="5"/>
    </w:p>
    <w:tbl>
      <w:tblPr>
        <w:tblStyle w:val="41"/>
        <w:tblW w:w="102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94"/>
        <w:gridCol w:w="1715"/>
        <w:gridCol w:w="7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noWrap w:val="0"/>
            <w:vAlign w:val="center"/>
          </w:tcPr>
          <w:p>
            <w:pPr>
              <w:spacing w:line="400" w:lineRule="atLeast"/>
              <w:jc w:val="center"/>
              <w:rPr>
                <w:rFonts w:ascii="宋体" w:hAnsi="宋体"/>
                <w:sz w:val="22"/>
                <w:szCs w:val="22"/>
              </w:rPr>
            </w:pPr>
            <w:r>
              <w:rPr>
                <w:rFonts w:hint="eastAsia" w:ascii="宋体" w:hAnsi="宋体"/>
                <w:sz w:val="22"/>
                <w:szCs w:val="22"/>
              </w:rPr>
              <w:t>序号</w:t>
            </w:r>
          </w:p>
        </w:tc>
        <w:tc>
          <w:tcPr>
            <w:tcW w:w="1715" w:type="dxa"/>
            <w:noWrap w:val="0"/>
            <w:vAlign w:val="center"/>
          </w:tcPr>
          <w:p>
            <w:pPr>
              <w:spacing w:line="400" w:lineRule="atLeast"/>
              <w:jc w:val="center"/>
              <w:rPr>
                <w:rFonts w:ascii="宋体" w:hAnsi="宋体"/>
                <w:sz w:val="22"/>
                <w:szCs w:val="22"/>
              </w:rPr>
            </w:pPr>
            <w:r>
              <w:rPr>
                <w:rFonts w:hint="eastAsia" w:ascii="宋体" w:hAnsi="宋体"/>
                <w:sz w:val="22"/>
                <w:szCs w:val="22"/>
              </w:rPr>
              <w:t>内容</w:t>
            </w:r>
          </w:p>
        </w:tc>
        <w:tc>
          <w:tcPr>
            <w:tcW w:w="7821" w:type="dxa"/>
            <w:noWrap w:val="0"/>
            <w:vAlign w:val="center"/>
          </w:tcPr>
          <w:p>
            <w:pPr>
              <w:spacing w:line="400" w:lineRule="atLeast"/>
              <w:jc w:val="center"/>
              <w:rPr>
                <w:rFonts w:ascii="宋体" w:hAnsi="宋体"/>
                <w:sz w:val="22"/>
                <w:szCs w:val="22"/>
              </w:rPr>
            </w:pPr>
            <w:r>
              <w:rPr>
                <w:rFonts w:hint="eastAsia" w:ascii="宋体" w:hAnsi="宋体"/>
                <w:sz w:val="22"/>
                <w:szCs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4" w:type="dxa"/>
            <w:noWrap w:val="0"/>
            <w:vAlign w:val="center"/>
          </w:tcPr>
          <w:p>
            <w:pPr>
              <w:widowControl/>
              <w:tabs>
                <w:tab w:val="left" w:pos="420"/>
                <w:tab w:val="left" w:pos="720"/>
              </w:tabs>
              <w:ind w:right="1100"/>
              <w:jc w:val="center"/>
              <w:rPr>
                <w:rFonts w:ascii="宋体" w:hAnsi="宋体"/>
                <w:sz w:val="22"/>
                <w:szCs w:val="22"/>
              </w:rPr>
            </w:pPr>
            <w:r>
              <w:rPr>
                <w:rFonts w:hint="eastAsia" w:ascii="宋体" w:hAnsi="宋体"/>
                <w:sz w:val="22"/>
                <w:szCs w:val="22"/>
              </w:rPr>
              <w:t>1</w:t>
            </w:r>
          </w:p>
        </w:tc>
        <w:tc>
          <w:tcPr>
            <w:tcW w:w="1715" w:type="dxa"/>
            <w:noWrap w:val="0"/>
            <w:vAlign w:val="center"/>
          </w:tcPr>
          <w:p>
            <w:pPr>
              <w:jc w:val="center"/>
              <w:rPr>
                <w:rFonts w:ascii="宋体" w:hAnsi="宋体"/>
                <w:sz w:val="22"/>
                <w:szCs w:val="22"/>
              </w:rPr>
            </w:pPr>
            <w:r>
              <w:rPr>
                <w:rFonts w:hint="eastAsia" w:ascii="宋体" w:hAnsi="宋体"/>
                <w:sz w:val="22"/>
                <w:szCs w:val="22"/>
              </w:rPr>
              <w:t>项目名称</w:t>
            </w:r>
          </w:p>
        </w:tc>
        <w:tc>
          <w:tcPr>
            <w:tcW w:w="7821" w:type="dxa"/>
            <w:noWrap w:val="0"/>
            <w:vAlign w:val="center"/>
          </w:tcPr>
          <w:p>
            <w:pPr>
              <w:rPr>
                <w:rFonts w:ascii="宋体" w:hAnsi="宋体"/>
                <w:sz w:val="22"/>
                <w:szCs w:val="22"/>
              </w:rPr>
            </w:pPr>
            <w:r>
              <w:rPr>
                <w:rFonts w:hint="eastAsia" w:ascii="宋体" w:hAnsi="宋体" w:cs="新宋体"/>
                <w:bCs/>
                <w:sz w:val="22"/>
                <w:szCs w:val="22"/>
              </w:rPr>
              <w:t>永嘉县疫情防控智治平台项目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noWrap w:val="0"/>
            <w:vAlign w:val="center"/>
          </w:tcPr>
          <w:p>
            <w:pPr>
              <w:widowControl/>
              <w:tabs>
                <w:tab w:val="left" w:pos="420"/>
                <w:tab w:val="left" w:pos="720"/>
              </w:tabs>
              <w:ind w:right="1100"/>
              <w:jc w:val="center"/>
              <w:rPr>
                <w:rFonts w:ascii="宋体" w:hAnsi="宋体"/>
                <w:sz w:val="22"/>
                <w:szCs w:val="22"/>
              </w:rPr>
            </w:pPr>
            <w:r>
              <w:rPr>
                <w:rFonts w:hint="eastAsia" w:ascii="宋体" w:hAnsi="宋体"/>
                <w:sz w:val="22"/>
                <w:szCs w:val="22"/>
              </w:rPr>
              <w:t>2</w:t>
            </w:r>
          </w:p>
        </w:tc>
        <w:tc>
          <w:tcPr>
            <w:tcW w:w="1715" w:type="dxa"/>
            <w:noWrap w:val="0"/>
            <w:vAlign w:val="center"/>
          </w:tcPr>
          <w:p>
            <w:pPr>
              <w:jc w:val="center"/>
              <w:rPr>
                <w:rFonts w:ascii="宋体" w:hAnsi="宋体"/>
                <w:sz w:val="22"/>
                <w:szCs w:val="22"/>
              </w:rPr>
            </w:pPr>
            <w:r>
              <w:rPr>
                <w:rFonts w:hint="eastAsia" w:ascii="宋体" w:hAnsi="宋体"/>
                <w:sz w:val="22"/>
                <w:szCs w:val="22"/>
              </w:rPr>
              <w:t>项目编号</w:t>
            </w:r>
          </w:p>
        </w:tc>
        <w:tc>
          <w:tcPr>
            <w:tcW w:w="7821" w:type="dxa"/>
            <w:noWrap w:val="0"/>
            <w:vAlign w:val="center"/>
          </w:tcPr>
          <w:p>
            <w:pPr>
              <w:rPr>
                <w:rFonts w:hint="eastAsia" w:ascii="宋体" w:hAnsi="宋体"/>
                <w:sz w:val="22"/>
                <w:szCs w:val="22"/>
              </w:rPr>
            </w:pPr>
            <w:r>
              <w:rPr>
                <w:rFonts w:ascii="宋体" w:hAnsi="宋体"/>
                <w:sz w:val="22"/>
                <w:szCs w:val="22"/>
              </w:rPr>
              <w:t>F-GB202207120558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noWrap w:val="0"/>
            <w:vAlign w:val="center"/>
          </w:tcPr>
          <w:p>
            <w:pPr>
              <w:widowControl/>
              <w:tabs>
                <w:tab w:val="left" w:pos="420"/>
                <w:tab w:val="left" w:pos="720"/>
              </w:tabs>
              <w:ind w:right="1100"/>
              <w:jc w:val="center"/>
              <w:rPr>
                <w:rFonts w:ascii="宋体" w:hAnsi="宋体"/>
                <w:sz w:val="22"/>
                <w:szCs w:val="22"/>
              </w:rPr>
            </w:pPr>
            <w:r>
              <w:rPr>
                <w:rFonts w:hint="eastAsia" w:ascii="宋体" w:hAnsi="宋体"/>
                <w:sz w:val="22"/>
                <w:szCs w:val="22"/>
              </w:rPr>
              <w:t>3</w:t>
            </w:r>
          </w:p>
        </w:tc>
        <w:tc>
          <w:tcPr>
            <w:tcW w:w="1715" w:type="dxa"/>
            <w:noWrap w:val="0"/>
            <w:vAlign w:val="center"/>
          </w:tcPr>
          <w:p>
            <w:pPr>
              <w:jc w:val="center"/>
              <w:rPr>
                <w:rFonts w:ascii="宋体" w:hAnsi="宋体"/>
                <w:sz w:val="22"/>
                <w:szCs w:val="22"/>
              </w:rPr>
            </w:pPr>
            <w:r>
              <w:rPr>
                <w:rFonts w:hint="eastAsia" w:ascii="宋体" w:hAnsi="宋体"/>
                <w:sz w:val="22"/>
                <w:szCs w:val="22"/>
              </w:rPr>
              <w:t>采购预算</w:t>
            </w:r>
          </w:p>
        </w:tc>
        <w:tc>
          <w:tcPr>
            <w:tcW w:w="7821" w:type="dxa"/>
            <w:noWrap w:val="0"/>
            <w:vAlign w:val="center"/>
          </w:tcPr>
          <w:p>
            <w:pPr>
              <w:rPr>
                <w:rFonts w:ascii="宋体" w:hAnsi="宋体"/>
                <w:sz w:val="22"/>
                <w:szCs w:val="22"/>
              </w:rPr>
            </w:pPr>
            <w:r>
              <w:rPr>
                <w:rFonts w:ascii="宋体" w:hAnsi="宋体"/>
                <w:sz w:val="22"/>
                <w:szCs w:val="22"/>
              </w:rPr>
              <w:t>7522300元</w:t>
            </w:r>
            <w:r>
              <w:rPr>
                <w:rFonts w:hint="eastAsia" w:ascii="宋体" w:hAnsi="宋体"/>
                <w:sz w:val="22"/>
                <w:szCs w:val="22"/>
              </w:rPr>
              <w:t>，</w:t>
            </w:r>
            <w:r>
              <w:rPr>
                <w:rFonts w:hint="eastAsia"/>
              </w:rPr>
              <w:t>最高限价7365000元。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noWrap w:val="0"/>
            <w:vAlign w:val="center"/>
          </w:tcPr>
          <w:p>
            <w:pPr>
              <w:widowControl/>
              <w:tabs>
                <w:tab w:val="left" w:pos="420"/>
                <w:tab w:val="left" w:pos="720"/>
              </w:tabs>
              <w:ind w:right="1100"/>
              <w:jc w:val="center"/>
              <w:rPr>
                <w:rFonts w:ascii="宋体" w:hAnsi="宋体"/>
                <w:sz w:val="22"/>
                <w:szCs w:val="22"/>
              </w:rPr>
            </w:pPr>
            <w:r>
              <w:rPr>
                <w:rFonts w:hint="eastAsia" w:ascii="宋体" w:hAnsi="宋体"/>
                <w:sz w:val="22"/>
                <w:szCs w:val="22"/>
              </w:rPr>
              <w:t>4</w:t>
            </w:r>
          </w:p>
        </w:tc>
        <w:tc>
          <w:tcPr>
            <w:tcW w:w="1715" w:type="dxa"/>
            <w:noWrap w:val="0"/>
            <w:vAlign w:val="center"/>
          </w:tcPr>
          <w:p>
            <w:pPr>
              <w:jc w:val="center"/>
              <w:rPr>
                <w:rFonts w:ascii="宋体" w:hAnsi="宋体"/>
                <w:sz w:val="22"/>
                <w:szCs w:val="22"/>
              </w:rPr>
            </w:pPr>
            <w:r>
              <w:rPr>
                <w:rFonts w:hint="eastAsia" w:ascii="宋体" w:hAnsi="宋体"/>
                <w:sz w:val="22"/>
                <w:szCs w:val="22"/>
              </w:rPr>
              <w:t>采购方式</w:t>
            </w:r>
          </w:p>
        </w:tc>
        <w:tc>
          <w:tcPr>
            <w:tcW w:w="7821" w:type="dxa"/>
            <w:noWrap w:val="0"/>
            <w:vAlign w:val="center"/>
          </w:tcPr>
          <w:p>
            <w:pPr>
              <w:rPr>
                <w:rFonts w:ascii="宋体" w:hAnsi="宋体"/>
                <w:sz w:val="22"/>
                <w:szCs w:val="22"/>
              </w:rPr>
            </w:pPr>
            <w:r>
              <w:rPr>
                <w:rFonts w:hint="eastAsia" w:ascii="宋体" w:hAnsi="宋体"/>
                <w:sz w:val="22"/>
                <w:szCs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noWrap w:val="0"/>
            <w:vAlign w:val="center"/>
          </w:tcPr>
          <w:p>
            <w:pPr>
              <w:widowControl/>
              <w:tabs>
                <w:tab w:val="left" w:pos="420"/>
                <w:tab w:val="left" w:pos="720"/>
              </w:tabs>
              <w:ind w:right="1100"/>
              <w:jc w:val="center"/>
              <w:rPr>
                <w:rFonts w:ascii="宋体" w:hAnsi="宋体"/>
                <w:sz w:val="22"/>
                <w:szCs w:val="22"/>
              </w:rPr>
            </w:pPr>
            <w:r>
              <w:rPr>
                <w:rFonts w:hint="eastAsia" w:ascii="宋体" w:hAnsi="宋体"/>
                <w:sz w:val="22"/>
                <w:szCs w:val="22"/>
              </w:rPr>
              <w:t>5</w:t>
            </w:r>
          </w:p>
        </w:tc>
        <w:tc>
          <w:tcPr>
            <w:tcW w:w="1715" w:type="dxa"/>
            <w:noWrap w:val="0"/>
            <w:vAlign w:val="center"/>
          </w:tcPr>
          <w:p>
            <w:pPr>
              <w:adjustRightInd w:val="0"/>
              <w:jc w:val="center"/>
              <w:rPr>
                <w:rFonts w:ascii="宋体" w:hAnsi="宋体"/>
                <w:sz w:val="22"/>
                <w:szCs w:val="22"/>
              </w:rPr>
            </w:pPr>
            <w:r>
              <w:rPr>
                <w:rFonts w:hint="eastAsia" w:ascii="宋体" w:hAnsi="宋体"/>
                <w:sz w:val="22"/>
                <w:szCs w:val="22"/>
              </w:rPr>
              <w:t>采购人</w:t>
            </w:r>
          </w:p>
        </w:tc>
        <w:tc>
          <w:tcPr>
            <w:tcW w:w="7821" w:type="dxa"/>
            <w:noWrap w:val="0"/>
            <w:vAlign w:val="center"/>
          </w:tcPr>
          <w:p>
            <w:pPr>
              <w:adjustRightInd w:val="0"/>
              <w:rPr>
                <w:rFonts w:hint="eastAsia" w:ascii="宋体" w:hAnsi="宋体" w:cs="新宋体"/>
                <w:sz w:val="22"/>
                <w:szCs w:val="22"/>
              </w:rPr>
            </w:pPr>
            <w:r>
              <w:rPr>
                <w:rFonts w:hint="eastAsia" w:ascii="宋体" w:hAnsi="宋体" w:cs="新宋体"/>
                <w:sz w:val="22"/>
                <w:szCs w:val="22"/>
              </w:rPr>
              <w:t>名称：永嘉县公安局</w:t>
            </w:r>
          </w:p>
          <w:p>
            <w:pPr>
              <w:adjustRightInd w:val="0"/>
              <w:rPr>
                <w:rFonts w:hint="eastAsia" w:ascii="宋体" w:hAnsi="宋体"/>
                <w:b/>
                <w:sz w:val="22"/>
                <w:szCs w:val="22"/>
              </w:rPr>
            </w:pPr>
            <w:r>
              <w:rPr>
                <w:rFonts w:hint="eastAsia" w:ascii="宋体" w:hAnsi="宋体"/>
                <w:sz w:val="22"/>
                <w:szCs w:val="22"/>
              </w:rPr>
              <w:t>联</w:t>
            </w:r>
            <w:r>
              <w:rPr>
                <w:rFonts w:ascii="宋体" w:hAnsi="宋体"/>
                <w:sz w:val="22"/>
                <w:szCs w:val="22"/>
              </w:rPr>
              <w:t xml:space="preserve"> 系 人：</w:t>
            </w:r>
            <w:r>
              <w:rPr>
                <w:rFonts w:hint="eastAsia" w:ascii="宋体" w:hAnsi="宋体"/>
                <w:sz w:val="22"/>
                <w:szCs w:val="22"/>
              </w:rPr>
              <w:t>潘先生</w:t>
            </w:r>
          </w:p>
          <w:p>
            <w:pPr>
              <w:adjustRightInd w:val="0"/>
              <w:rPr>
                <w:rFonts w:ascii="宋体" w:hAnsi="宋体"/>
                <w:sz w:val="22"/>
                <w:szCs w:val="22"/>
              </w:rPr>
            </w:pPr>
            <w:r>
              <w:rPr>
                <w:rFonts w:hint="eastAsia" w:ascii="宋体" w:hAnsi="宋体"/>
                <w:sz w:val="22"/>
                <w:szCs w:val="22"/>
              </w:rPr>
              <w:t>联系方式：</w:t>
            </w:r>
            <w:r>
              <w:rPr>
                <w:rFonts w:ascii="宋体" w:hAnsi="宋体" w:cs="宋体"/>
                <w:sz w:val="24"/>
              </w:rPr>
              <w:t>0577-66966922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noWrap w:val="0"/>
            <w:vAlign w:val="center"/>
          </w:tcPr>
          <w:p>
            <w:pPr>
              <w:widowControl/>
              <w:tabs>
                <w:tab w:val="left" w:pos="420"/>
                <w:tab w:val="left" w:pos="720"/>
              </w:tabs>
              <w:ind w:right="1100"/>
              <w:jc w:val="center"/>
              <w:rPr>
                <w:rFonts w:ascii="宋体" w:hAnsi="宋体"/>
                <w:sz w:val="22"/>
                <w:szCs w:val="22"/>
              </w:rPr>
            </w:pPr>
            <w:r>
              <w:rPr>
                <w:rFonts w:hint="eastAsia" w:ascii="宋体" w:hAnsi="宋体"/>
                <w:sz w:val="22"/>
                <w:szCs w:val="22"/>
              </w:rPr>
              <w:t>6</w:t>
            </w:r>
          </w:p>
        </w:tc>
        <w:tc>
          <w:tcPr>
            <w:tcW w:w="1715" w:type="dxa"/>
            <w:noWrap w:val="0"/>
            <w:vAlign w:val="center"/>
          </w:tcPr>
          <w:p>
            <w:pPr>
              <w:jc w:val="center"/>
              <w:rPr>
                <w:rFonts w:ascii="宋体" w:hAnsi="宋体"/>
                <w:sz w:val="22"/>
                <w:szCs w:val="22"/>
              </w:rPr>
            </w:pPr>
            <w:r>
              <w:rPr>
                <w:rFonts w:hint="eastAsia" w:ascii="宋体" w:hAnsi="宋体"/>
                <w:sz w:val="22"/>
                <w:szCs w:val="22"/>
              </w:rPr>
              <w:t>采购代理机构</w:t>
            </w:r>
          </w:p>
        </w:tc>
        <w:tc>
          <w:tcPr>
            <w:tcW w:w="7821" w:type="dxa"/>
            <w:noWrap w:val="0"/>
            <w:vAlign w:val="center"/>
          </w:tcPr>
          <w:p>
            <w:pPr>
              <w:adjustRightInd w:val="0"/>
              <w:rPr>
                <w:rFonts w:ascii="宋体" w:hAnsi="宋体"/>
                <w:bCs/>
                <w:sz w:val="22"/>
                <w:szCs w:val="22"/>
              </w:rPr>
            </w:pPr>
            <w:r>
              <w:rPr>
                <w:rFonts w:ascii="宋体" w:hAnsi="宋体"/>
                <w:bCs/>
                <w:sz w:val="22"/>
                <w:szCs w:val="22"/>
              </w:rPr>
              <w:t>采购代理机构名称：温州市中概工程管理咨询有限公司</w:t>
            </w:r>
          </w:p>
          <w:p>
            <w:pPr>
              <w:adjustRightInd w:val="0"/>
              <w:rPr>
                <w:rFonts w:ascii="宋体" w:hAnsi="宋体"/>
                <w:bCs/>
                <w:sz w:val="22"/>
                <w:szCs w:val="22"/>
              </w:rPr>
            </w:pPr>
            <w:r>
              <w:rPr>
                <w:rFonts w:ascii="宋体" w:hAnsi="宋体"/>
                <w:bCs/>
                <w:sz w:val="22"/>
                <w:szCs w:val="22"/>
              </w:rPr>
              <w:t>地点：</w:t>
            </w:r>
            <w:r>
              <w:rPr>
                <w:rFonts w:hint="eastAsia" w:ascii="宋体" w:hAnsi="宋体"/>
                <w:bCs/>
                <w:sz w:val="22"/>
                <w:szCs w:val="22"/>
              </w:rPr>
              <w:t>温州市永嘉县南城街道环城北路618号云碓大厦503室</w:t>
            </w:r>
          </w:p>
          <w:p>
            <w:pPr>
              <w:adjustRightInd w:val="0"/>
              <w:rPr>
                <w:rFonts w:ascii="宋体" w:hAnsi="宋体"/>
                <w:sz w:val="22"/>
              </w:rPr>
            </w:pPr>
            <w:r>
              <w:rPr>
                <w:rFonts w:hint="eastAsia" w:ascii="宋体" w:hAnsi="宋体"/>
                <w:sz w:val="22"/>
              </w:rPr>
              <w:t>联 系 人：</w:t>
            </w:r>
            <w:r>
              <w:rPr>
                <w:rFonts w:hint="eastAsia" w:ascii="宋体" w:hAnsi="宋体"/>
                <w:sz w:val="22"/>
                <w:szCs w:val="22"/>
              </w:rPr>
              <w:t>胡可可</w:t>
            </w:r>
          </w:p>
          <w:p>
            <w:pPr>
              <w:adjustRightInd w:val="0"/>
              <w:rPr>
                <w:rFonts w:ascii="宋体" w:hAnsi="宋体"/>
                <w:sz w:val="22"/>
                <w:szCs w:val="22"/>
              </w:rPr>
            </w:pPr>
            <w:r>
              <w:rPr>
                <w:rFonts w:hint="eastAsia" w:ascii="宋体" w:hAnsi="宋体"/>
                <w:sz w:val="22"/>
              </w:rPr>
              <w:t>联系电话：15258683545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noWrap w:val="0"/>
            <w:vAlign w:val="center"/>
          </w:tcPr>
          <w:p>
            <w:pPr>
              <w:widowControl/>
              <w:tabs>
                <w:tab w:val="left" w:pos="420"/>
                <w:tab w:val="left" w:pos="720"/>
              </w:tabs>
              <w:ind w:right="1100"/>
              <w:jc w:val="center"/>
              <w:rPr>
                <w:rFonts w:ascii="宋体" w:hAnsi="宋体"/>
                <w:sz w:val="22"/>
                <w:szCs w:val="22"/>
              </w:rPr>
            </w:pPr>
            <w:r>
              <w:rPr>
                <w:rFonts w:hint="eastAsia" w:ascii="宋体" w:hAnsi="宋体"/>
                <w:sz w:val="22"/>
                <w:szCs w:val="22"/>
              </w:rPr>
              <w:t>7</w:t>
            </w:r>
          </w:p>
        </w:tc>
        <w:tc>
          <w:tcPr>
            <w:tcW w:w="1715" w:type="dxa"/>
            <w:noWrap w:val="0"/>
            <w:vAlign w:val="center"/>
          </w:tcPr>
          <w:p>
            <w:pPr>
              <w:jc w:val="center"/>
              <w:rPr>
                <w:rFonts w:ascii="宋体" w:hAnsi="宋体"/>
                <w:sz w:val="22"/>
                <w:szCs w:val="22"/>
              </w:rPr>
            </w:pPr>
            <w:r>
              <w:rPr>
                <w:rFonts w:hint="eastAsia" w:ascii="宋体" w:hAnsi="宋体"/>
                <w:sz w:val="22"/>
                <w:szCs w:val="22"/>
              </w:rPr>
              <w:t>评标办法</w:t>
            </w:r>
          </w:p>
        </w:tc>
        <w:tc>
          <w:tcPr>
            <w:tcW w:w="7821" w:type="dxa"/>
            <w:noWrap w:val="0"/>
            <w:vAlign w:val="center"/>
          </w:tcPr>
          <w:p>
            <w:pPr>
              <w:adjustRightInd w:val="0"/>
              <w:rPr>
                <w:rFonts w:ascii="宋体" w:hAnsi="宋体"/>
                <w:sz w:val="22"/>
                <w:szCs w:val="22"/>
              </w:rPr>
            </w:pPr>
            <w:r>
              <w:rPr>
                <w:rFonts w:hint="eastAsia" w:ascii="宋体" w:hAnsi="宋体"/>
                <w:sz w:val="22"/>
                <w:szCs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noWrap w:val="0"/>
            <w:vAlign w:val="center"/>
          </w:tcPr>
          <w:p>
            <w:pPr>
              <w:widowControl/>
              <w:tabs>
                <w:tab w:val="left" w:pos="420"/>
                <w:tab w:val="left" w:pos="720"/>
              </w:tabs>
              <w:ind w:right="1100"/>
              <w:jc w:val="center"/>
              <w:rPr>
                <w:rFonts w:ascii="宋体" w:hAnsi="宋体"/>
                <w:sz w:val="22"/>
                <w:szCs w:val="22"/>
              </w:rPr>
            </w:pPr>
            <w:r>
              <w:rPr>
                <w:rFonts w:hint="eastAsia" w:ascii="宋体" w:hAnsi="宋体"/>
                <w:sz w:val="22"/>
                <w:szCs w:val="22"/>
              </w:rPr>
              <w:t>8</w:t>
            </w:r>
          </w:p>
        </w:tc>
        <w:tc>
          <w:tcPr>
            <w:tcW w:w="1715" w:type="dxa"/>
            <w:noWrap w:val="0"/>
            <w:vAlign w:val="center"/>
          </w:tcPr>
          <w:p>
            <w:pPr>
              <w:jc w:val="center"/>
              <w:rPr>
                <w:rFonts w:ascii="宋体" w:hAnsi="宋体"/>
                <w:sz w:val="22"/>
                <w:szCs w:val="22"/>
              </w:rPr>
            </w:pPr>
            <w:r>
              <w:rPr>
                <w:rFonts w:hint="eastAsia" w:ascii="宋体" w:hAnsi="宋体"/>
                <w:sz w:val="22"/>
                <w:szCs w:val="22"/>
              </w:rPr>
              <w:t>采购内容</w:t>
            </w:r>
          </w:p>
        </w:tc>
        <w:tc>
          <w:tcPr>
            <w:tcW w:w="7821" w:type="dxa"/>
            <w:noWrap w:val="0"/>
            <w:vAlign w:val="center"/>
          </w:tcPr>
          <w:p>
            <w:pPr>
              <w:adjustRightInd w:val="0"/>
              <w:rPr>
                <w:rFonts w:ascii="宋体" w:hAnsi="宋体"/>
                <w:sz w:val="22"/>
                <w:szCs w:val="22"/>
              </w:rPr>
            </w:pPr>
            <w:r>
              <w:rPr>
                <w:rFonts w:hint="eastAsia" w:ascii="宋体" w:hAnsi="宋体"/>
                <w:sz w:val="22"/>
                <w:szCs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noWrap w:val="0"/>
            <w:vAlign w:val="center"/>
          </w:tcPr>
          <w:p>
            <w:pPr>
              <w:widowControl/>
              <w:tabs>
                <w:tab w:val="left" w:pos="420"/>
                <w:tab w:val="left" w:pos="720"/>
              </w:tabs>
              <w:ind w:right="1100"/>
              <w:jc w:val="center"/>
              <w:rPr>
                <w:rFonts w:ascii="宋体" w:hAnsi="宋体"/>
                <w:sz w:val="22"/>
                <w:szCs w:val="22"/>
              </w:rPr>
            </w:pPr>
            <w:r>
              <w:rPr>
                <w:rFonts w:hint="eastAsia" w:ascii="宋体" w:hAnsi="宋体"/>
                <w:sz w:val="22"/>
                <w:szCs w:val="22"/>
              </w:rPr>
              <w:t>9</w:t>
            </w:r>
          </w:p>
        </w:tc>
        <w:tc>
          <w:tcPr>
            <w:tcW w:w="1715" w:type="dxa"/>
            <w:noWrap w:val="0"/>
            <w:vAlign w:val="center"/>
          </w:tcPr>
          <w:p>
            <w:pPr>
              <w:jc w:val="center"/>
              <w:rPr>
                <w:rFonts w:ascii="宋体" w:hAnsi="宋体"/>
                <w:sz w:val="22"/>
                <w:szCs w:val="22"/>
              </w:rPr>
            </w:pPr>
            <w:r>
              <w:rPr>
                <w:rFonts w:hint="eastAsia" w:ascii="宋体" w:hAnsi="宋体"/>
                <w:sz w:val="22"/>
                <w:szCs w:val="22"/>
              </w:rPr>
              <w:t>供应商资格要求</w:t>
            </w:r>
          </w:p>
        </w:tc>
        <w:tc>
          <w:tcPr>
            <w:tcW w:w="7821" w:type="dxa"/>
            <w:noWrap w:val="0"/>
            <w:vAlign w:val="center"/>
          </w:tcPr>
          <w:p>
            <w:pPr>
              <w:adjustRightInd w:val="0"/>
              <w:rPr>
                <w:rFonts w:hint="eastAsia" w:ascii="宋体" w:hAnsi="宋体"/>
                <w:sz w:val="22"/>
                <w:szCs w:val="22"/>
              </w:rPr>
            </w:pPr>
            <w:r>
              <w:rPr>
                <w:rFonts w:hint="eastAsia" w:ascii="宋体" w:hAnsi="宋体"/>
                <w:sz w:val="22"/>
                <w:szCs w:val="22"/>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10</w:t>
            </w:r>
          </w:p>
        </w:tc>
        <w:tc>
          <w:tcPr>
            <w:tcW w:w="1715" w:type="dxa"/>
            <w:noWrap w:val="0"/>
            <w:vAlign w:val="center"/>
          </w:tcPr>
          <w:p>
            <w:pPr>
              <w:adjustRightInd w:val="0"/>
              <w:jc w:val="center"/>
              <w:rPr>
                <w:rFonts w:ascii="宋体" w:hAnsi="宋体"/>
                <w:sz w:val="22"/>
                <w:szCs w:val="22"/>
              </w:rPr>
            </w:pPr>
            <w:r>
              <w:rPr>
                <w:rFonts w:hint="eastAsia" w:ascii="宋体" w:hAnsi="宋体"/>
                <w:sz w:val="22"/>
                <w:szCs w:val="22"/>
              </w:rPr>
              <w:t>是否接受联合体投标</w:t>
            </w:r>
          </w:p>
        </w:tc>
        <w:tc>
          <w:tcPr>
            <w:tcW w:w="7821" w:type="dxa"/>
            <w:noWrap w:val="0"/>
            <w:vAlign w:val="center"/>
          </w:tcPr>
          <w:p>
            <w:pPr>
              <w:adjustRightInd w:val="0"/>
              <w:rPr>
                <w:rFonts w:ascii="宋体" w:hAnsi="宋体"/>
                <w:sz w:val="22"/>
                <w:szCs w:val="22"/>
              </w:rPr>
            </w:pPr>
            <w:r>
              <w:rPr>
                <w:rFonts w:ascii="宋体" w:hAnsi="宋体"/>
                <w:sz w:val="22"/>
                <w:szCs w:val="22"/>
              </w:rPr>
              <w:fldChar w:fldCharType="begin"/>
            </w:r>
            <w:r>
              <w:rPr>
                <w:rFonts w:hint="eastAsia" w:ascii="宋体" w:hAnsi="宋体"/>
                <w:sz w:val="22"/>
                <w:szCs w:val="22"/>
              </w:rPr>
              <w:instrText xml:space="preserve">eq \o\ac(□,√)</w:instrText>
            </w:r>
            <w:r>
              <w:rPr>
                <w:rFonts w:ascii="宋体" w:hAnsi="宋体"/>
                <w:sz w:val="22"/>
                <w:szCs w:val="22"/>
              </w:rPr>
              <w:fldChar w:fldCharType="end"/>
            </w:r>
            <w:r>
              <w:rPr>
                <w:rFonts w:hint="eastAsia" w:ascii="宋体" w:hAnsi="宋体"/>
                <w:sz w:val="22"/>
                <w:szCs w:val="22"/>
              </w:rPr>
              <w:t>不接受</w:t>
            </w:r>
          </w:p>
          <w:p>
            <w:pPr>
              <w:adjustRightInd w:val="0"/>
              <w:rPr>
                <w:rFonts w:hint="eastAsia" w:ascii="宋体" w:hAnsi="宋体"/>
                <w:sz w:val="22"/>
                <w:szCs w:val="22"/>
              </w:rPr>
            </w:pPr>
            <w:r>
              <w:rPr>
                <w:rFonts w:ascii="宋体" w:hAnsi="宋体"/>
                <w:sz w:val="22"/>
                <w:szCs w:val="22"/>
              </w:rPr>
              <w:fldChar w:fldCharType="begin"/>
            </w:r>
            <w:r>
              <w:rPr>
                <w:rFonts w:hint="eastAsia" w:ascii="宋体" w:hAnsi="宋体"/>
                <w:sz w:val="22"/>
                <w:szCs w:val="22"/>
              </w:rPr>
              <w:instrText xml:space="preserve">eq \o\ac(□)</w:instrText>
            </w:r>
            <w:r>
              <w:rPr>
                <w:rFonts w:ascii="宋体" w:hAnsi="宋体"/>
                <w:sz w:val="22"/>
                <w:szCs w:val="22"/>
              </w:rPr>
              <w:fldChar w:fldCharType="end"/>
            </w:r>
            <w:r>
              <w:rPr>
                <w:rFonts w:hint="eastAsia" w:ascii="宋体" w:hAnsi="宋体"/>
                <w:sz w:val="22"/>
                <w:szCs w:val="22"/>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11</w:t>
            </w:r>
          </w:p>
        </w:tc>
        <w:tc>
          <w:tcPr>
            <w:tcW w:w="1715" w:type="dxa"/>
            <w:noWrap w:val="0"/>
            <w:vAlign w:val="center"/>
          </w:tcPr>
          <w:p>
            <w:pPr>
              <w:adjustRightInd w:val="0"/>
              <w:jc w:val="center"/>
              <w:rPr>
                <w:rFonts w:ascii="宋体" w:hAnsi="宋体"/>
                <w:sz w:val="22"/>
                <w:szCs w:val="22"/>
              </w:rPr>
            </w:pPr>
            <w:r>
              <w:rPr>
                <w:rFonts w:hint="eastAsia" w:ascii="宋体" w:hAnsi="宋体"/>
                <w:sz w:val="22"/>
                <w:szCs w:val="22"/>
              </w:rPr>
              <w:t>踏勘现场</w:t>
            </w:r>
          </w:p>
        </w:tc>
        <w:tc>
          <w:tcPr>
            <w:tcW w:w="7821" w:type="dxa"/>
            <w:noWrap w:val="0"/>
            <w:vAlign w:val="center"/>
          </w:tcPr>
          <w:p>
            <w:pPr>
              <w:adjustRightInd w:val="0"/>
              <w:rPr>
                <w:rFonts w:ascii="宋体" w:hAnsi="宋体"/>
                <w:sz w:val="22"/>
                <w:szCs w:val="22"/>
              </w:rPr>
            </w:pPr>
            <w:r>
              <w:rPr>
                <w:rFonts w:ascii="宋体" w:hAnsi="宋体"/>
                <w:sz w:val="22"/>
                <w:szCs w:val="22"/>
              </w:rPr>
              <w:fldChar w:fldCharType="begin"/>
            </w:r>
            <w:r>
              <w:rPr>
                <w:rFonts w:hint="eastAsia" w:ascii="宋体" w:hAnsi="宋体"/>
                <w:sz w:val="22"/>
                <w:szCs w:val="22"/>
              </w:rPr>
              <w:instrText xml:space="preserve">eq \o\ac(□,√)</w:instrText>
            </w:r>
            <w:r>
              <w:rPr>
                <w:rFonts w:ascii="宋体" w:hAnsi="宋体"/>
                <w:sz w:val="22"/>
                <w:szCs w:val="22"/>
              </w:rPr>
              <w:fldChar w:fldCharType="end"/>
            </w:r>
            <w:r>
              <w:rPr>
                <w:rFonts w:hint="eastAsia" w:ascii="宋体" w:hAnsi="宋体"/>
                <w:sz w:val="22"/>
                <w:szCs w:val="22"/>
              </w:rPr>
              <w:t>不组织</w:t>
            </w:r>
          </w:p>
          <w:p>
            <w:pPr>
              <w:adjustRightInd w:val="0"/>
              <w:rPr>
                <w:rFonts w:ascii="宋体" w:hAnsi="宋体"/>
                <w:sz w:val="22"/>
                <w:szCs w:val="22"/>
              </w:rPr>
            </w:pPr>
            <w:r>
              <w:rPr>
                <w:rFonts w:hint="eastAsia" w:ascii="宋体" w:hAnsi="宋体"/>
                <w:sz w:val="22"/>
                <w:szCs w:val="22"/>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12</w:t>
            </w:r>
          </w:p>
        </w:tc>
        <w:tc>
          <w:tcPr>
            <w:tcW w:w="1715" w:type="dxa"/>
            <w:noWrap w:val="0"/>
            <w:vAlign w:val="center"/>
          </w:tcPr>
          <w:p>
            <w:pPr>
              <w:adjustRightInd w:val="0"/>
              <w:jc w:val="center"/>
              <w:rPr>
                <w:rFonts w:ascii="宋体" w:hAnsi="宋体"/>
                <w:sz w:val="22"/>
                <w:szCs w:val="22"/>
              </w:rPr>
            </w:pPr>
            <w:r>
              <w:rPr>
                <w:rFonts w:hint="eastAsia" w:ascii="宋体" w:hAnsi="宋体"/>
                <w:sz w:val="22"/>
                <w:szCs w:val="22"/>
              </w:rPr>
              <w:t>是否允许递交备选投标方案</w:t>
            </w:r>
          </w:p>
        </w:tc>
        <w:tc>
          <w:tcPr>
            <w:tcW w:w="7821" w:type="dxa"/>
            <w:noWrap w:val="0"/>
            <w:vAlign w:val="center"/>
          </w:tcPr>
          <w:p>
            <w:pPr>
              <w:adjustRightInd w:val="0"/>
              <w:rPr>
                <w:rFonts w:ascii="宋体" w:hAnsi="宋体"/>
                <w:sz w:val="22"/>
                <w:szCs w:val="22"/>
              </w:rPr>
            </w:pPr>
            <w:r>
              <w:rPr>
                <w:rFonts w:ascii="宋体" w:hAnsi="宋体"/>
                <w:sz w:val="22"/>
                <w:szCs w:val="22"/>
              </w:rPr>
              <w:fldChar w:fldCharType="begin"/>
            </w:r>
            <w:r>
              <w:rPr>
                <w:rFonts w:hint="eastAsia" w:ascii="宋体" w:hAnsi="宋体"/>
                <w:sz w:val="22"/>
                <w:szCs w:val="22"/>
              </w:rPr>
              <w:instrText xml:space="preserve">eq \o\ac(□,√)</w:instrText>
            </w:r>
            <w:r>
              <w:rPr>
                <w:rFonts w:ascii="宋体" w:hAnsi="宋体"/>
                <w:sz w:val="22"/>
                <w:szCs w:val="22"/>
              </w:rPr>
              <w:fldChar w:fldCharType="end"/>
            </w:r>
            <w:r>
              <w:rPr>
                <w:rFonts w:hint="eastAsia" w:ascii="宋体" w:hAnsi="宋体"/>
                <w:sz w:val="22"/>
                <w:szCs w:val="22"/>
              </w:rPr>
              <w:t xml:space="preserve"> 不允许</w:t>
            </w:r>
          </w:p>
          <w:p>
            <w:pPr>
              <w:adjustRightInd w:val="0"/>
              <w:rPr>
                <w:rFonts w:ascii="宋体" w:hAnsi="宋体"/>
                <w:sz w:val="22"/>
                <w:szCs w:val="22"/>
              </w:rPr>
            </w:pPr>
            <w:r>
              <w:rPr>
                <w:rFonts w:hint="eastAsia" w:ascii="宋体" w:hAnsi="宋体"/>
                <w:sz w:val="22"/>
                <w:szCs w:val="22"/>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13</w:t>
            </w:r>
          </w:p>
        </w:tc>
        <w:tc>
          <w:tcPr>
            <w:tcW w:w="1715" w:type="dxa"/>
            <w:noWrap w:val="0"/>
            <w:vAlign w:val="center"/>
          </w:tcPr>
          <w:p>
            <w:pPr>
              <w:adjustRightInd w:val="0"/>
              <w:jc w:val="center"/>
              <w:rPr>
                <w:rFonts w:ascii="宋体" w:hAnsi="宋体"/>
                <w:sz w:val="22"/>
                <w:szCs w:val="22"/>
              </w:rPr>
            </w:pPr>
            <w:r>
              <w:rPr>
                <w:rFonts w:hint="eastAsia" w:ascii="宋体" w:hAnsi="宋体"/>
                <w:sz w:val="22"/>
                <w:szCs w:val="22"/>
              </w:rPr>
              <w:t>分包</w:t>
            </w:r>
          </w:p>
        </w:tc>
        <w:tc>
          <w:tcPr>
            <w:tcW w:w="7821" w:type="dxa"/>
            <w:noWrap w:val="0"/>
            <w:vAlign w:val="center"/>
          </w:tcPr>
          <w:p>
            <w:pPr>
              <w:adjustRightInd w:val="0"/>
              <w:rPr>
                <w:rFonts w:hint="eastAsia" w:ascii="宋体" w:hAnsi="宋体"/>
                <w:sz w:val="22"/>
                <w:szCs w:val="22"/>
              </w:rPr>
            </w:pPr>
            <w:r>
              <w:rPr>
                <w:rFonts w:ascii="宋体" w:hAnsi="宋体"/>
                <w:sz w:val="22"/>
                <w:szCs w:val="22"/>
              </w:rPr>
              <w:fldChar w:fldCharType="begin"/>
            </w:r>
            <w:r>
              <w:rPr>
                <w:rFonts w:hint="eastAsia" w:ascii="宋体" w:hAnsi="宋体"/>
                <w:sz w:val="22"/>
                <w:szCs w:val="22"/>
              </w:rPr>
              <w:instrText xml:space="preserve">eq \o\ac(□,√)</w:instrText>
            </w:r>
            <w:r>
              <w:rPr>
                <w:rFonts w:ascii="宋体" w:hAnsi="宋体"/>
                <w:sz w:val="22"/>
                <w:szCs w:val="22"/>
              </w:rPr>
              <w:fldChar w:fldCharType="end"/>
            </w:r>
            <w:r>
              <w:rPr>
                <w:rFonts w:hint="eastAsia" w:ascii="宋体" w:hAnsi="宋体"/>
                <w:sz w:val="22"/>
                <w:szCs w:val="22"/>
              </w:rPr>
              <w:t>不允许</w:t>
            </w:r>
          </w:p>
          <w:p>
            <w:pPr>
              <w:adjustRightInd w:val="0"/>
              <w:rPr>
                <w:rFonts w:ascii="宋体" w:hAnsi="宋体"/>
                <w:sz w:val="22"/>
                <w:szCs w:val="22"/>
              </w:rPr>
            </w:pPr>
            <w:r>
              <w:rPr>
                <w:rFonts w:hint="eastAsia" w:ascii="宋体" w:hAnsi="宋体"/>
                <w:sz w:val="22"/>
                <w:szCs w:val="22"/>
              </w:rPr>
              <w:sym w:font="Wingdings 2" w:char="00A3"/>
            </w:r>
            <w:r>
              <w:rPr>
                <w:rFonts w:hint="eastAsia" w:ascii="宋体" w:hAnsi="宋体"/>
                <w:sz w:val="22"/>
                <w:szCs w:val="22"/>
              </w:rPr>
              <w:t xml:space="preserve">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14</w:t>
            </w:r>
          </w:p>
        </w:tc>
        <w:tc>
          <w:tcPr>
            <w:tcW w:w="1715" w:type="dxa"/>
            <w:noWrap w:val="0"/>
            <w:vAlign w:val="center"/>
          </w:tcPr>
          <w:p>
            <w:pPr>
              <w:adjustRightInd w:val="0"/>
              <w:jc w:val="center"/>
              <w:rPr>
                <w:rFonts w:ascii="宋体" w:hAnsi="宋体"/>
                <w:sz w:val="22"/>
                <w:szCs w:val="22"/>
              </w:rPr>
            </w:pPr>
            <w:r>
              <w:rPr>
                <w:rFonts w:hint="eastAsia" w:ascii="宋体" w:hAnsi="宋体"/>
                <w:sz w:val="22"/>
                <w:szCs w:val="22"/>
              </w:rPr>
              <w:t>报价货币</w:t>
            </w:r>
          </w:p>
        </w:tc>
        <w:tc>
          <w:tcPr>
            <w:tcW w:w="7821" w:type="dxa"/>
            <w:noWrap w:val="0"/>
            <w:vAlign w:val="center"/>
          </w:tcPr>
          <w:p>
            <w:pPr>
              <w:adjustRightInd w:val="0"/>
              <w:rPr>
                <w:rFonts w:ascii="宋体" w:hAnsi="宋体"/>
                <w:sz w:val="22"/>
                <w:szCs w:val="22"/>
              </w:rPr>
            </w:pPr>
            <w:r>
              <w:rPr>
                <w:rFonts w:hint="eastAsia" w:ascii="宋体" w:hAnsi="宋体"/>
                <w:sz w:val="22"/>
                <w:szCs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0"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15</w:t>
            </w:r>
          </w:p>
        </w:tc>
        <w:tc>
          <w:tcPr>
            <w:tcW w:w="1715" w:type="dxa"/>
            <w:noWrap w:val="0"/>
            <w:vAlign w:val="center"/>
          </w:tcPr>
          <w:p>
            <w:pPr>
              <w:adjustRightInd w:val="0"/>
              <w:jc w:val="center"/>
              <w:rPr>
                <w:rFonts w:ascii="宋体" w:hAnsi="宋体"/>
                <w:sz w:val="22"/>
                <w:szCs w:val="22"/>
              </w:rPr>
            </w:pPr>
            <w:r>
              <w:rPr>
                <w:rFonts w:hint="eastAsia" w:ascii="宋体" w:hAnsi="宋体"/>
                <w:sz w:val="22"/>
                <w:szCs w:val="22"/>
              </w:rPr>
              <w:t>报价语言</w:t>
            </w:r>
          </w:p>
        </w:tc>
        <w:tc>
          <w:tcPr>
            <w:tcW w:w="7821" w:type="dxa"/>
            <w:noWrap w:val="0"/>
            <w:vAlign w:val="center"/>
          </w:tcPr>
          <w:p>
            <w:pPr>
              <w:adjustRightInd w:val="0"/>
              <w:rPr>
                <w:rFonts w:ascii="宋体" w:hAnsi="宋体"/>
                <w:sz w:val="22"/>
                <w:szCs w:val="22"/>
              </w:rPr>
            </w:pPr>
            <w:r>
              <w:rPr>
                <w:rFonts w:hint="eastAsia" w:ascii="宋体" w:hAnsi="宋体"/>
                <w:sz w:val="22"/>
                <w:szCs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16</w:t>
            </w:r>
          </w:p>
        </w:tc>
        <w:tc>
          <w:tcPr>
            <w:tcW w:w="1715" w:type="dxa"/>
            <w:noWrap w:val="0"/>
            <w:vAlign w:val="center"/>
          </w:tcPr>
          <w:p>
            <w:pPr>
              <w:adjustRightInd w:val="0"/>
              <w:rPr>
                <w:rFonts w:ascii="宋体" w:hAnsi="宋体"/>
                <w:sz w:val="22"/>
                <w:szCs w:val="22"/>
              </w:rPr>
            </w:pPr>
            <w:r>
              <w:rPr>
                <w:rFonts w:hint="eastAsia" w:ascii="宋体" w:hAnsi="宋体"/>
                <w:sz w:val="22"/>
                <w:szCs w:val="22"/>
              </w:rPr>
              <w:t>投标文件的编制</w:t>
            </w:r>
          </w:p>
        </w:tc>
        <w:tc>
          <w:tcPr>
            <w:tcW w:w="7821" w:type="dxa"/>
            <w:noWrap w:val="0"/>
            <w:vAlign w:val="center"/>
          </w:tcPr>
          <w:p>
            <w:pPr>
              <w:adjustRightInd w:val="0"/>
              <w:rPr>
                <w:rFonts w:ascii="宋体" w:hAnsi="宋体"/>
                <w:sz w:val="22"/>
                <w:szCs w:val="22"/>
              </w:rPr>
            </w:pPr>
            <w:r>
              <w:rPr>
                <w:rFonts w:hint="eastAsia" w:ascii="宋体" w:hAnsi="宋体"/>
                <w:sz w:val="22"/>
                <w:szCs w:val="22"/>
              </w:rPr>
              <w:t>供应商应先安装“政采云电子交易客户端”，并按照本采购文件和“政采云平台”的要求，通过“政采云电子交易客户端”编制并加密投标文件。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17</w:t>
            </w:r>
          </w:p>
        </w:tc>
        <w:tc>
          <w:tcPr>
            <w:tcW w:w="1715" w:type="dxa"/>
            <w:noWrap w:val="0"/>
            <w:vAlign w:val="center"/>
          </w:tcPr>
          <w:p>
            <w:pPr>
              <w:jc w:val="center"/>
              <w:rPr>
                <w:rFonts w:ascii="宋体" w:hAnsi="宋体"/>
                <w:sz w:val="22"/>
                <w:szCs w:val="22"/>
              </w:rPr>
            </w:pPr>
            <w:r>
              <w:rPr>
                <w:rFonts w:hint="eastAsia" w:ascii="宋体" w:hAnsi="宋体"/>
                <w:sz w:val="22"/>
                <w:szCs w:val="22"/>
              </w:rPr>
              <w:t>报价有效期</w:t>
            </w:r>
          </w:p>
        </w:tc>
        <w:tc>
          <w:tcPr>
            <w:tcW w:w="7821" w:type="dxa"/>
            <w:noWrap w:val="0"/>
            <w:vAlign w:val="center"/>
          </w:tcPr>
          <w:p>
            <w:pPr>
              <w:rPr>
                <w:rFonts w:ascii="宋体" w:hAnsi="宋体"/>
                <w:sz w:val="22"/>
                <w:szCs w:val="22"/>
              </w:rPr>
            </w:pPr>
            <w:r>
              <w:rPr>
                <w:rFonts w:hint="eastAsia" w:ascii="宋体" w:hAnsi="宋体"/>
                <w:sz w:val="22"/>
                <w:szCs w:val="22"/>
              </w:rPr>
              <w:t>提交响应文件截止时间起90天内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18</w:t>
            </w:r>
          </w:p>
        </w:tc>
        <w:tc>
          <w:tcPr>
            <w:tcW w:w="1715" w:type="dxa"/>
            <w:noWrap w:val="0"/>
            <w:vAlign w:val="center"/>
          </w:tcPr>
          <w:p>
            <w:pPr>
              <w:jc w:val="center"/>
              <w:rPr>
                <w:rFonts w:ascii="宋体" w:hAnsi="宋体"/>
                <w:sz w:val="22"/>
                <w:szCs w:val="22"/>
              </w:rPr>
            </w:pPr>
            <w:r>
              <w:rPr>
                <w:rFonts w:hint="eastAsia" w:ascii="宋体" w:hAnsi="宋体"/>
                <w:sz w:val="22"/>
                <w:szCs w:val="22"/>
              </w:rPr>
              <w:t>签字或盖章要求</w:t>
            </w:r>
          </w:p>
        </w:tc>
        <w:tc>
          <w:tcPr>
            <w:tcW w:w="7821" w:type="dxa"/>
            <w:noWrap w:val="0"/>
            <w:vAlign w:val="center"/>
          </w:tcPr>
          <w:p>
            <w:pPr>
              <w:rPr>
                <w:rFonts w:ascii="宋体" w:hAnsi="宋体"/>
                <w:sz w:val="22"/>
                <w:szCs w:val="22"/>
              </w:rPr>
            </w:pPr>
            <w:r>
              <w:rPr>
                <w:rFonts w:hint="eastAsia" w:ascii="宋体" w:hAnsi="宋体"/>
                <w:sz w:val="22"/>
                <w:szCs w:val="22"/>
              </w:rPr>
              <w:t>投标文件的相应位置应加盖：电子签章。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19</w:t>
            </w:r>
          </w:p>
        </w:tc>
        <w:tc>
          <w:tcPr>
            <w:tcW w:w="1715" w:type="dxa"/>
            <w:noWrap w:val="0"/>
            <w:vAlign w:val="center"/>
          </w:tcPr>
          <w:p>
            <w:pPr>
              <w:rPr>
                <w:rFonts w:ascii="宋体" w:hAnsi="宋体"/>
                <w:sz w:val="22"/>
                <w:szCs w:val="22"/>
              </w:rPr>
            </w:pPr>
            <w:r>
              <w:rPr>
                <w:rFonts w:hint="eastAsia" w:ascii="宋体" w:hAnsi="宋体"/>
                <w:sz w:val="22"/>
                <w:szCs w:val="22"/>
              </w:rPr>
              <w:t>投标文件的形式、制作及组成</w:t>
            </w:r>
          </w:p>
        </w:tc>
        <w:tc>
          <w:tcPr>
            <w:tcW w:w="7821" w:type="dxa"/>
            <w:noWrap w:val="0"/>
            <w:vAlign w:val="center"/>
          </w:tcPr>
          <w:p>
            <w:pPr>
              <w:rPr>
                <w:rFonts w:ascii="宋体" w:hAnsi="宋体"/>
                <w:sz w:val="22"/>
                <w:szCs w:val="22"/>
              </w:rPr>
            </w:pPr>
            <w:r>
              <w:rPr>
                <w:rFonts w:hint="eastAsia" w:ascii="宋体" w:hAnsi="宋体"/>
                <w:sz w:val="22"/>
                <w:szCs w:val="22"/>
              </w:rPr>
              <w:t>本项目实行在线投标响应（电子投标）。</w:t>
            </w:r>
          </w:p>
          <w:p>
            <w:pPr>
              <w:rPr>
                <w:rFonts w:ascii="宋体" w:hAnsi="宋体"/>
                <w:sz w:val="22"/>
                <w:szCs w:val="22"/>
              </w:rPr>
            </w:pPr>
            <w:r>
              <w:rPr>
                <w:rFonts w:hint="eastAsia" w:ascii="宋体" w:hAnsi="宋体"/>
                <w:sz w:val="22"/>
                <w:szCs w:val="22"/>
              </w:rPr>
              <w:t>投标人须准备电子投标文件（包括“电子加密投标文件”和“备份投标文件”两类，在投标文件编制完成后同时生成）。</w:t>
            </w:r>
          </w:p>
          <w:p>
            <w:pPr>
              <w:rPr>
                <w:rFonts w:ascii="宋体" w:hAnsi="宋体"/>
                <w:sz w:val="22"/>
                <w:szCs w:val="22"/>
              </w:rPr>
            </w:pPr>
            <w:r>
              <w:rPr>
                <w:rFonts w:hint="eastAsia" w:ascii="宋体" w:hAnsi="宋体"/>
                <w:sz w:val="22"/>
                <w:szCs w:val="22"/>
              </w:rPr>
              <w:t>（1）“电子加密投标文件”是指通过“政采云电子交易客户端”完成投标文件编制后生成并加密的数据电文形式的投标文件。</w:t>
            </w:r>
          </w:p>
          <w:p>
            <w:pPr>
              <w:rPr>
                <w:rFonts w:ascii="宋体" w:hAnsi="宋体"/>
                <w:sz w:val="22"/>
                <w:szCs w:val="22"/>
              </w:rPr>
            </w:pPr>
            <w:r>
              <w:rPr>
                <w:rFonts w:hint="eastAsia" w:ascii="宋体" w:hAnsi="宋体"/>
                <w:sz w:val="22"/>
                <w:szCs w:val="22"/>
              </w:rPr>
              <w:t>（2）“备份投标文件”是指与“电子加密投标文件”同时生成的数据电文形式的电子文件（备份标书），其他方式编制的备份投标文件视为无效备份投标文件。</w:t>
            </w:r>
          </w:p>
          <w:p>
            <w:pPr>
              <w:rPr>
                <w:rFonts w:ascii="宋体" w:hAnsi="宋体"/>
                <w:sz w:val="22"/>
                <w:szCs w:val="22"/>
              </w:rPr>
            </w:pPr>
            <w:r>
              <w:rPr>
                <w:rFonts w:hint="eastAsia" w:ascii="宋体" w:hAnsi="宋体"/>
                <w:sz w:val="22"/>
                <w:szCs w:val="22"/>
              </w:rPr>
              <w:t>以上两类投标文件均由资格文件、报价文件、商务技术文件三部分组成。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20</w:t>
            </w:r>
          </w:p>
        </w:tc>
        <w:tc>
          <w:tcPr>
            <w:tcW w:w="1715" w:type="dxa"/>
            <w:noWrap w:val="0"/>
            <w:vAlign w:val="center"/>
          </w:tcPr>
          <w:p>
            <w:pPr>
              <w:jc w:val="center"/>
              <w:rPr>
                <w:rFonts w:ascii="宋体" w:hAnsi="宋体"/>
                <w:sz w:val="22"/>
                <w:szCs w:val="22"/>
              </w:rPr>
            </w:pPr>
            <w:r>
              <w:rPr>
                <w:rFonts w:hint="eastAsia" w:ascii="宋体" w:hAnsi="宋体"/>
                <w:sz w:val="22"/>
                <w:szCs w:val="22"/>
              </w:rPr>
              <w:t>投标样品</w:t>
            </w:r>
          </w:p>
        </w:tc>
        <w:tc>
          <w:tcPr>
            <w:tcW w:w="7821" w:type="dxa"/>
            <w:noWrap w:val="0"/>
            <w:vAlign w:val="center"/>
          </w:tcPr>
          <w:p>
            <w:pPr>
              <w:rPr>
                <w:rFonts w:ascii="宋体" w:hAnsi="宋体"/>
                <w:sz w:val="22"/>
                <w:szCs w:val="22"/>
              </w:rPr>
            </w:pPr>
            <w:r>
              <w:rPr>
                <w:rFonts w:ascii="宋体" w:hAnsi="宋体"/>
                <w:sz w:val="22"/>
                <w:szCs w:val="22"/>
              </w:rPr>
              <w:fldChar w:fldCharType="begin"/>
            </w:r>
            <w:r>
              <w:rPr>
                <w:rFonts w:hint="eastAsia" w:ascii="宋体" w:hAnsi="宋体"/>
                <w:sz w:val="22"/>
                <w:szCs w:val="22"/>
              </w:rPr>
              <w:instrText xml:space="preserve">eq \o\ac(□,√)</w:instrText>
            </w:r>
            <w:r>
              <w:rPr>
                <w:rFonts w:ascii="宋体" w:hAnsi="宋体"/>
                <w:sz w:val="22"/>
                <w:szCs w:val="22"/>
              </w:rPr>
              <w:fldChar w:fldCharType="end"/>
            </w:r>
            <w:r>
              <w:rPr>
                <w:rFonts w:hint="eastAsia" w:ascii="宋体" w:hAnsi="宋体"/>
                <w:sz w:val="22"/>
                <w:szCs w:val="22"/>
              </w:rPr>
              <w:t>不需要</w:t>
            </w:r>
          </w:p>
          <w:p>
            <w:pPr>
              <w:rPr>
                <w:rFonts w:ascii="宋体" w:hAnsi="宋体"/>
                <w:sz w:val="22"/>
                <w:szCs w:val="22"/>
              </w:rPr>
            </w:pPr>
            <w:r>
              <w:rPr>
                <w:rFonts w:hint="eastAsia" w:ascii="宋体" w:hAnsi="宋体"/>
                <w:sz w:val="22"/>
                <w:szCs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21</w:t>
            </w:r>
          </w:p>
        </w:tc>
        <w:tc>
          <w:tcPr>
            <w:tcW w:w="1715" w:type="dxa"/>
            <w:noWrap w:val="0"/>
            <w:vAlign w:val="center"/>
          </w:tcPr>
          <w:p>
            <w:pPr>
              <w:jc w:val="center"/>
              <w:rPr>
                <w:rFonts w:ascii="宋体" w:hAnsi="宋体"/>
                <w:sz w:val="22"/>
                <w:szCs w:val="22"/>
              </w:rPr>
            </w:pPr>
            <w:r>
              <w:rPr>
                <w:rFonts w:hint="eastAsia" w:ascii="宋体" w:hAnsi="宋体"/>
                <w:sz w:val="22"/>
                <w:szCs w:val="22"/>
              </w:rPr>
              <w:t>投标保证金</w:t>
            </w:r>
          </w:p>
        </w:tc>
        <w:tc>
          <w:tcPr>
            <w:tcW w:w="7821" w:type="dxa"/>
            <w:noWrap w:val="0"/>
            <w:vAlign w:val="center"/>
          </w:tcPr>
          <w:p>
            <w:pPr>
              <w:rPr>
                <w:rFonts w:ascii="宋体" w:hAnsi="宋体"/>
                <w:sz w:val="22"/>
                <w:szCs w:val="22"/>
              </w:rPr>
            </w:pPr>
            <w:r>
              <w:rPr>
                <w:rFonts w:ascii="宋体" w:hAnsi="宋体"/>
                <w:sz w:val="22"/>
                <w:szCs w:val="22"/>
              </w:rPr>
              <w:fldChar w:fldCharType="begin"/>
            </w:r>
            <w:r>
              <w:rPr>
                <w:rFonts w:hint="eastAsia" w:ascii="宋体" w:hAnsi="宋体"/>
                <w:sz w:val="22"/>
                <w:szCs w:val="22"/>
              </w:rPr>
              <w:instrText xml:space="preserve">eq \o\ac(□,√)</w:instrText>
            </w:r>
            <w:r>
              <w:rPr>
                <w:rFonts w:ascii="宋体" w:hAnsi="宋体"/>
                <w:sz w:val="22"/>
                <w:szCs w:val="22"/>
              </w:rPr>
              <w:fldChar w:fldCharType="end"/>
            </w:r>
            <w:r>
              <w:rPr>
                <w:rFonts w:hint="eastAsia" w:ascii="宋体" w:hAnsi="宋体"/>
                <w:sz w:val="22"/>
                <w:szCs w:val="22"/>
              </w:rPr>
              <w:t>不需要</w:t>
            </w:r>
          </w:p>
          <w:p>
            <w:pPr>
              <w:rPr>
                <w:rFonts w:ascii="宋体" w:hAnsi="宋体"/>
                <w:sz w:val="22"/>
                <w:szCs w:val="22"/>
              </w:rPr>
            </w:pPr>
            <w:r>
              <w:rPr>
                <w:rFonts w:hint="eastAsia" w:ascii="宋体" w:hAnsi="宋体"/>
                <w:sz w:val="22"/>
                <w:szCs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22</w:t>
            </w:r>
          </w:p>
        </w:tc>
        <w:tc>
          <w:tcPr>
            <w:tcW w:w="1715" w:type="dxa"/>
            <w:noWrap w:val="0"/>
            <w:vAlign w:val="center"/>
          </w:tcPr>
          <w:p>
            <w:pPr>
              <w:adjustRightInd w:val="0"/>
              <w:jc w:val="center"/>
              <w:rPr>
                <w:rFonts w:ascii="宋体" w:hAnsi="宋体"/>
                <w:sz w:val="22"/>
                <w:szCs w:val="22"/>
              </w:rPr>
            </w:pPr>
            <w:r>
              <w:rPr>
                <w:rFonts w:hint="eastAsia" w:ascii="宋体" w:hAnsi="宋体"/>
                <w:sz w:val="22"/>
                <w:szCs w:val="22"/>
              </w:rPr>
              <w:t>履约担保</w:t>
            </w:r>
          </w:p>
        </w:tc>
        <w:tc>
          <w:tcPr>
            <w:tcW w:w="7821" w:type="dxa"/>
            <w:noWrap w:val="0"/>
            <w:vAlign w:val="center"/>
          </w:tcPr>
          <w:p>
            <w:pPr>
              <w:rPr>
                <w:rFonts w:ascii="宋体" w:hAnsi="宋体"/>
                <w:sz w:val="22"/>
                <w:szCs w:val="22"/>
              </w:rPr>
            </w:pPr>
            <w:r>
              <w:rPr>
                <w:rFonts w:ascii="宋体" w:hAnsi="宋体"/>
                <w:sz w:val="22"/>
                <w:szCs w:val="22"/>
              </w:rPr>
              <w:fldChar w:fldCharType="begin"/>
            </w:r>
            <w:r>
              <w:rPr>
                <w:rFonts w:hint="eastAsia" w:ascii="宋体" w:hAnsi="宋体"/>
                <w:sz w:val="22"/>
                <w:szCs w:val="22"/>
              </w:rPr>
              <w:instrText xml:space="preserve">eq \o\ac(□,√)</w:instrText>
            </w:r>
            <w:r>
              <w:rPr>
                <w:rFonts w:ascii="宋体" w:hAnsi="宋体"/>
                <w:sz w:val="22"/>
                <w:szCs w:val="22"/>
              </w:rPr>
              <w:fldChar w:fldCharType="end"/>
            </w:r>
            <w:r>
              <w:rPr>
                <w:rFonts w:hint="eastAsia" w:ascii="宋体" w:hAnsi="宋体"/>
                <w:sz w:val="22"/>
                <w:szCs w:val="22"/>
              </w:rPr>
              <w:t>不需要</w:t>
            </w:r>
          </w:p>
          <w:p>
            <w:pPr>
              <w:adjustRightInd w:val="0"/>
              <w:rPr>
                <w:rFonts w:ascii="宋体" w:hAnsi="宋体"/>
                <w:sz w:val="22"/>
                <w:szCs w:val="22"/>
              </w:rPr>
            </w:pPr>
            <w:r>
              <w:rPr>
                <w:rFonts w:hint="eastAsia" w:ascii="宋体" w:hAnsi="宋体"/>
                <w:sz w:val="22"/>
                <w:szCs w:val="22"/>
              </w:rPr>
              <w:t xml:space="preserve">□需要 </w:t>
            </w:r>
            <w:r>
              <w:rPr>
                <w:rFonts w:hint="eastAsia" w:ascii="宋体" w:hAnsi="宋体"/>
                <w:bCs/>
                <w:sz w:val="22"/>
                <w:szCs w:val="22"/>
              </w:rPr>
              <w:t xml:space="preserve"> 合同签订后成交供应商应提供合同总金额1%的履约保证金至采购人指定账户，履约保证金可以以银行或保险公司出具的保函作为履约保函。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7"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23</w:t>
            </w:r>
          </w:p>
        </w:tc>
        <w:tc>
          <w:tcPr>
            <w:tcW w:w="1715" w:type="dxa"/>
            <w:noWrap w:val="0"/>
            <w:vAlign w:val="center"/>
          </w:tcPr>
          <w:p>
            <w:pPr>
              <w:adjustRightInd w:val="0"/>
              <w:jc w:val="center"/>
              <w:rPr>
                <w:rFonts w:ascii="宋体" w:hAnsi="宋体"/>
                <w:sz w:val="22"/>
                <w:szCs w:val="22"/>
              </w:rPr>
            </w:pPr>
            <w:r>
              <w:rPr>
                <w:rFonts w:hint="eastAsia" w:ascii="宋体" w:hAnsi="宋体"/>
                <w:sz w:val="22"/>
                <w:szCs w:val="22"/>
              </w:rPr>
              <w:t>投标文件份数</w:t>
            </w:r>
          </w:p>
        </w:tc>
        <w:tc>
          <w:tcPr>
            <w:tcW w:w="7821" w:type="dxa"/>
            <w:noWrap w:val="0"/>
            <w:vAlign w:val="center"/>
          </w:tcPr>
          <w:p>
            <w:pPr>
              <w:adjustRightInd w:val="0"/>
              <w:jc w:val="left"/>
              <w:rPr>
                <w:rFonts w:ascii="宋体" w:hAnsi="宋体"/>
                <w:sz w:val="22"/>
                <w:szCs w:val="22"/>
              </w:rPr>
            </w:pPr>
            <w:r>
              <w:rPr>
                <w:rFonts w:hint="eastAsia" w:ascii="宋体" w:hAnsi="宋体"/>
                <w:sz w:val="22"/>
                <w:szCs w:val="22"/>
              </w:rPr>
              <w:t>（1）“电子加密投标文件”：在线上传递交、一份。</w:t>
            </w:r>
          </w:p>
          <w:p>
            <w:pPr>
              <w:adjustRightInd w:val="0"/>
              <w:jc w:val="left"/>
              <w:rPr>
                <w:rFonts w:ascii="宋体" w:hAnsi="宋体"/>
                <w:sz w:val="22"/>
                <w:szCs w:val="22"/>
              </w:rPr>
            </w:pPr>
            <w:r>
              <w:rPr>
                <w:rFonts w:hint="eastAsia" w:ascii="宋体" w:hAnsi="宋体"/>
                <w:sz w:val="22"/>
                <w:szCs w:val="22"/>
              </w:rPr>
              <w:t>（2）“备份投标文件”：以U盘存储，密封包装后（顺丰快递形式）在</w:t>
            </w:r>
            <w:r>
              <w:rPr>
                <w:rFonts w:hint="eastAsia" w:ascii="宋体" w:hAnsi="宋体"/>
                <w:bCs/>
                <w:sz w:val="22"/>
                <w:szCs w:val="22"/>
                <w:u w:val="single"/>
              </w:rPr>
              <w:t>202</w:t>
            </w:r>
            <w:r>
              <w:rPr>
                <w:rFonts w:ascii="宋体" w:hAnsi="宋体"/>
                <w:bCs/>
                <w:sz w:val="22"/>
                <w:szCs w:val="22"/>
                <w:u w:val="single"/>
              </w:rPr>
              <w:t>2</w:t>
            </w:r>
            <w:r>
              <w:rPr>
                <w:rFonts w:hint="eastAsia" w:ascii="宋体" w:hAnsi="宋体"/>
                <w:bCs/>
                <w:sz w:val="22"/>
                <w:szCs w:val="22"/>
                <w:u w:val="single"/>
              </w:rPr>
              <w:t>年</w:t>
            </w:r>
            <w:r>
              <w:rPr>
                <w:rFonts w:hint="eastAsia" w:ascii="宋体" w:hAnsi="宋体"/>
                <w:bCs/>
                <w:sz w:val="22"/>
                <w:szCs w:val="22"/>
                <w:u w:val="single"/>
                <w:lang w:val="en-US" w:eastAsia="zh-CN"/>
              </w:rPr>
              <w:t>0</w:t>
            </w:r>
            <w:r>
              <w:rPr>
                <w:rFonts w:hint="eastAsia" w:ascii="宋体" w:hAnsi="宋体"/>
                <w:bCs/>
                <w:sz w:val="22"/>
                <w:szCs w:val="22"/>
                <w:u w:val="single"/>
                <w:lang w:val="en-US" w:eastAsia="zh-CN"/>
              </w:rPr>
              <w:t>8</w:t>
            </w:r>
            <w:r>
              <w:rPr>
                <w:rFonts w:hint="eastAsia" w:ascii="宋体" w:hAnsi="宋体"/>
                <w:bCs/>
                <w:sz w:val="22"/>
                <w:szCs w:val="22"/>
                <w:u w:val="single"/>
              </w:rPr>
              <w:t>月</w:t>
            </w:r>
            <w:r>
              <w:rPr>
                <w:rFonts w:hint="eastAsia" w:ascii="宋体" w:hAnsi="宋体"/>
                <w:bCs/>
                <w:sz w:val="22"/>
                <w:szCs w:val="22"/>
                <w:u w:val="single"/>
                <w:lang w:val="en-US" w:eastAsia="zh-CN"/>
              </w:rPr>
              <w:t>0</w:t>
            </w:r>
            <w:r>
              <w:rPr>
                <w:rFonts w:hint="eastAsia" w:ascii="宋体" w:hAnsi="宋体"/>
                <w:bCs/>
                <w:sz w:val="22"/>
                <w:szCs w:val="22"/>
                <w:u w:val="single"/>
                <w:lang w:val="en-US" w:eastAsia="zh-CN"/>
              </w:rPr>
              <w:t>2</w:t>
            </w:r>
            <w:r>
              <w:rPr>
                <w:rFonts w:hint="eastAsia" w:ascii="宋体" w:hAnsi="宋体"/>
                <w:bCs/>
                <w:sz w:val="22"/>
                <w:szCs w:val="22"/>
                <w:u w:val="single"/>
              </w:rPr>
              <w:t>日 16时00分</w:t>
            </w:r>
            <w:r>
              <w:rPr>
                <w:rFonts w:hint="eastAsia" w:ascii="宋体" w:hAnsi="宋体"/>
                <w:sz w:val="22"/>
                <w:szCs w:val="22"/>
              </w:rPr>
              <w:t>前递交，一份，邮寄地址：温州市永嘉县南城街道环城北路618号云碓大厦503室，黄女士收，联系电话：</w:t>
            </w:r>
            <w:r>
              <w:rPr>
                <w:rFonts w:ascii="宋体" w:hAnsi="宋体"/>
                <w:sz w:val="22"/>
              </w:rPr>
              <w:t>15858728890</w:t>
            </w:r>
            <w:r>
              <w:rPr>
                <w:rFonts w:hint="eastAsia" w:ascii="宋体" w:hAnsi="宋体"/>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24</w:t>
            </w:r>
          </w:p>
        </w:tc>
        <w:tc>
          <w:tcPr>
            <w:tcW w:w="1715" w:type="dxa"/>
            <w:noWrap w:val="0"/>
            <w:vAlign w:val="center"/>
          </w:tcPr>
          <w:p>
            <w:pPr>
              <w:jc w:val="center"/>
              <w:rPr>
                <w:rFonts w:ascii="宋体" w:hAnsi="宋体"/>
                <w:sz w:val="22"/>
                <w:szCs w:val="22"/>
              </w:rPr>
            </w:pPr>
            <w:r>
              <w:rPr>
                <w:rFonts w:hint="eastAsia" w:ascii="宋体" w:hAnsi="宋体"/>
                <w:sz w:val="22"/>
                <w:szCs w:val="22"/>
              </w:rPr>
              <w:t>投标文件递交截止时间及开标时间</w:t>
            </w:r>
          </w:p>
        </w:tc>
        <w:tc>
          <w:tcPr>
            <w:tcW w:w="7821" w:type="dxa"/>
            <w:noWrap w:val="0"/>
            <w:vAlign w:val="center"/>
          </w:tcPr>
          <w:p>
            <w:pPr>
              <w:rPr>
                <w:rFonts w:ascii="宋体" w:hAnsi="宋体" w:cs="Arial"/>
                <w:sz w:val="22"/>
                <w:szCs w:val="22"/>
              </w:rPr>
            </w:pPr>
            <w:r>
              <w:rPr>
                <w:rStyle w:val="95"/>
                <w:rFonts w:hint="eastAsia" w:ascii="宋体" w:hAnsi="宋体"/>
                <w:sz w:val="22"/>
                <w:szCs w:val="22"/>
              </w:rPr>
              <w:t>2022年</w:t>
            </w:r>
            <w:r>
              <w:rPr>
                <w:rStyle w:val="95"/>
                <w:rFonts w:hint="eastAsia" w:ascii="宋体" w:hAnsi="宋体"/>
                <w:sz w:val="22"/>
                <w:szCs w:val="22"/>
                <w:lang w:val="en-US" w:eastAsia="zh-CN"/>
              </w:rPr>
              <w:t>08</w:t>
            </w:r>
            <w:r>
              <w:rPr>
                <w:rStyle w:val="95"/>
                <w:rFonts w:hint="eastAsia" w:ascii="宋体" w:hAnsi="宋体"/>
                <w:sz w:val="22"/>
                <w:szCs w:val="22"/>
              </w:rPr>
              <w:t>月</w:t>
            </w:r>
            <w:r>
              <w:rPr>
                <w:rStyle w:val="95"/>
                <w:rFonts w:hint="eastAsia" w:ascii="宋体" w:hAnsi="宋体"/>
                <w:sz w:val="22"/>
                <w:szCs w:val="22"/>
                <w:lang w:val="en-US" w:eastAsia="zh-CN"/>
              </w:rPr>
              <w:t>03</w:t>
            </w:r>
            <w:r>
              <w:rPr>
                <w:rStyle w:val="95"/>
                <w:rFonts w:hint="eastAsia" w:ascii="宋体" w:hAnsi="宋体"/>
                <w:sz w:val="22"/>
                <w:szCs w:val="22"/>
              </w:rPr>
              <w:t>日</w:t>
            </w:r>
            <w:r>
              <w:rPr>
                <w:rFonts w:hint="eastAsia" w:ascii="宋体" w:hAnsi="宋体"/>
                <w:i/>
                <w:sz w:val="22"/>
                <w:szCs w:val="22"/>
              </w:rPr>
              <w:t>09:30 截</w:t>
            </w:r>
            <w:r>
              <w:rPr>
                <w:rFonts w:hint="eastAsia" w:ascii="宋体" w:hAnsi="宋体" w:cs="Arial"/>
                <w:sz w:val="22"/>
                <w:szCs w:val="22"/>
              </w:rPr>
              <w:t>止</w:t>
            </w:r>
            <w:r>
              <w:rPr>
                <w:rFonts w:ascii="宋体" w:hAnsi="宋体" w:cs="Arial"/>
                <w:sz w:val="22"/>
                <w:szCs w:val="22"/>
              </w:rPr>
              <w:t>(</w:t>
            </w:r>
            <w:r>
              <w:rPr>
                <w:rFonts w:hint="eastAsia" w:ascii="宋体" w:hAnsi="宋体" w:cs="Arial"/>
                <w:sz w:val="22"/>
                <w:szCs w:val="22"/>
              </w:rPr>
              <w:t>北京时间</w:t>
            </w:r>
            <w:r>
              <w:rPr>
                <w:rFonts w:ascii="宋体" w:hAnsi="宋体" w:cs="Arial"/>
                <w:sz w:val="22"/>
                <w:szCs w:val="22"/>
              </w:rPr>
              <w:t>)</w:t>
            </w:r>
            <w:r>
              <w:rPr>
                <w:rFonts w:hint="eastAsia" w:ascii="宋体" w:hAnsi="宋体" w:cs="Arial"/>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7"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25</w:t>
            </w:r>
          </w:p>
        </w:tc>
        <w:tc>
          <w:tcPr>
            <w:tcW w:w="1715" w:type="dxa"/>
            <w:noWrap w:val="0"/>
            <w:vAlign w:val="center"/>
          </w:tcPr>
          <w:p>
            <w:pPr>
              <w:autoSpaceDE w:val="0"/>
              <w:autoSpaceDN w:val="0"/>
              <w:adjustRightInd w:val="0"/>
              <w:spacing w:line="300" w:lineRule="atLeast"/>
              <w:rPr>
                <w:rFonts w:ascii="宋体" w:hAnsi="宋体" w:cs="新宋体"/>
                <w:sz w:val="22"/>
                <w:szCs w:val="22"/>
                <w:lang w:val="zh-CN"/>
              </w:rPr>
            </w:pPr>
            <w:r>
              <w:rPr>
                <w:rFonts w:hint="eastAsia" w:ascii="宋体" w:hAnsi="宋体" w:cs="新宋体"/>
                <w:sz w:val="22"/>
                <w:szCs w:val="22"/>
                <w:lang w:val="zh-CN"/>
              </w:rPr>
              <w:t>投标文件的上传和递交</w:t>
            </w:r>
          </w:p>
        </w:tc>
        <w:tc>
          <w:tcPr>
            <w:tcW w:w="7821" w:type="dxa"/>
            <w:noWrap w:val="0"/>
            <w:vAlign w:val="center"/>
          </w:tcPr>
          <w:p>
            <w:pPr>
              <w:pStyle w:val="85"/>
              <w:autoSpaceDE w:val="0"/>
              <w:autoSpaceDN w:val="0"/>
              <w:adjustRightInd w:val="0"/>
              <w:spacing w:line="300" w:lineRule="atLeast"/>
              <w:jc w:val="both"/>
              <w:rPr>
                <w:rFonts w:cs="新宋体"/>
                <w:sz w:val="22"/>
              </w:rPr>
            </w:pPr>
            <w:r>
              <w:rPr>
                <w:rFonts w:hint="eastAsia" w:cs="新宋体"/>
                <w:sz w:val="22"/>
              </w:rPr>
              <w:t>一、“电子加密投标文件”的上传、递交：</w:t>
            </w:r>
          </w:p>
          <w:p>
            <w:pPr>
              <w:pStyle w:val="85"/>
              <w:autoSpaceDE w:val="0"/>
              <w:autoSpaceDN w:val="0"/>
              <w:adjustRightInd w:val="0"/>
              <w:spacing w:line="300" w:lineRule="atLeast"/>
              <w:ind w:firstLine="440" w:firstLineChars="200"/>
              <w:jc w:val="both"/>
              <w:rPr>
                <w:rFonts w:cs="新宋体"/>
                <w:sz w:val="22"/>
              </w:rPr>
            </w:pPr>
            <w:r>
              <w:rPr>
                <w:rFonts w:hint="eastAsia" w:cs="新宋体"/>
                <w:sz w:val="22"/>
              </w:rPr>
              <w:t>a.投标人应在投标文件递交截止时间前将“电子加密投标文件”成功上传递交至“政采云平台”，否则投标无效。</w:t>
            </w:r>
          </w:p>
          <w:p>
            <w:pPr>
              <w:pStyle w:val="85"/>
              <w:autoSpaceDE w:val="0"/>
              <w:autoSpaceDN w:val="0"/>
              <w:adjustRightInd w:val="0"/>
              <w:spacing w:line="300" w:lineRule="atLeast"/>
              <w:ind w:firstLine="440" w:firstLineChars="200"/>
              <w:jc w:val="both"/>
              <w:rPr>
                <w:rFonts w:cs="新宋体"/>
                <w:sz w:val="22"/>
              </w:rPr>
            </w:pPr>
            <w:r>
              <w:rPr>
                <w:rFonts w:hint="eastAsia" w:cs="新宋体"/>
                <w:sz w:val="22"/>
              </w:rPr>
              <w:t>b.“电子加密投标文件”成功上传递交后，供应商可自行打印投标文件接收回执。</w:t>
            </w:r>
          </w:p>
          <w:p>
            <w:pPr>
              <w:pStyle w:val="85"/>
              <w:autoSpaceDE w:val="0"/>
              <w:autoSpaceDN w:val="0"/>
              <w:adjustRightInd w:val="0"/>
              <w:spacing w:line="300" w:lineRule="atLeast"/>
              <w:jc w:val="both"/>
              <w:rPr>
                <w:rFonts w:cs="新宋体"/>
                <w:sz w:val="22"/>
              </w:rPr>
            </w:pPr>
            <w:r>
              <w:rPr>
                <w:rFonts w:hint="eastAsia" w:cs="新宋体"/>
                <w:sz w:val="22"/>
              </w:rPr>
              <w:t>二、“备份投标文件”的密封包装、递交：</w:t>
            </w:r>
          </w:p>
          <w:p>
            <w:pPr>
              <w:pStyle w:val="85"/>
              <w:autoSpaceDE w:val="0"/>
              <w:autoSpaceDN w:val="0"/>
              <w:adjustRightInd w:val="0"/>
              <w:spacing w:line="300" w:lineRule="atLeast"/>
              <w:ind w:firstLine="440" w:firstLineChars="200"/>
              <w:jc w:val="both"/>
              <w:rPr>
                <w:rFonts w:cs="新宋体"/>
                <w:sz w:val="22"/>
              </w:rPr>
            </w:pPr>
            <w:r>
              <w:rPr>
                <w:rFonts w:hint="eastAsia" w:cs="新宋体"/>
                <w:sz w:val="22"/>
              </w:rPr>
              <w:t>a.投标人在“政采云平台”完成“电子加密投标文件”的上传递交后，还可以（建议顺丰快递形式）递交以介质（U盘）存储的 “备份投标文件”（一份）；顺丰快递形式快递至采购代理机构地址（地址详见招标采购文件，防疫期间不建议供应商本代表抵达开评标地点）；解密CA必须是上传并制作电子投标文件CA锁。</w:t>
            </w:r>
          </w:p>
          <w:p>
            <w:pPr>
              <w:autoSpaceDE w:val="0"/>
              <w:autoSpaceDN w:val="0"/>
              <w:adjustRightInd w:val="0"/>
              <w:spacing w:line="300" w:lineRule="atLeast"/>
              <w:ind w:firstLine="440" w:firstLineChars="200"/>
              <w:rPr>
                <w:rFonts w:ascii="宋体" w:hAnsi="宋体" w:cs="新宋体"/>
                <w:sz w:val="22"/>
                <w:szCs w:val="22"/>
                <w:lang w:val="zh-CN"/>
              </w:rPr>
            </w:pPr>
            <w:r>
              <w:rPr>
                <w:rFonts w:hint="eastAsia" w:ascii="宋体" w:hAnsi="宋体" w:cs="新宋体"/>
                <w:sz w:val="22"/>
                <w:szCs w:val="22"/>
                <w:lang w:val="zh-CN"/>
              </w:rPr>
              <w:t>b.“备份投标文件”应当密封包装，并在包装上标注投标项目名称、投标单位名称并加盖公章。没有密封包装或者逾期邮寄送达至投标地点的“备份投标文件”将不予接收。</w:t>
            </w:r>
          </w:p>
          <w:p>
            <w:pPr>
              <w:autoSpaceDE w:val="0"/>
              <w:autoSpaceDN w:val="0"/>
              <w:adjustRightInd w:val="0"/>
              <w:spacing w:line="300" w:lineRule="atLeast"/>
              <w:ind w:firstLine="440" w:firstLineChars="200"/>
              <w:rPr>
                <w:rFonts w:ascii="宋体" w:hAnsi="宋体" w:cs="新宋体"/>
                <w:sz w:val="22"/>
                <w:szCs w:val="22"/>
                <w:lang w:val="zh-CN"/>
              </w:rPr>
            </w:pPr>
            <w:r>
              <w:rPr>
                <w:rFonts w:hint="eastAsia" w:ascii="宋体" w:hAnsi="宋体" w:cs="新宋体"/>
                <w:sz w:val="22"/>
                <w:szCs w:val="22"/>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7"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26</w:t>
            </w:r>
          </w:p>
        </w:tc>
        <w:tc>
          <w:tcPr>
            <w:tcW w:w="1715" w:type="dxa"/>
            <w:noWrap w:val="0"/>
            <w:vAlign w:val="center"/>
          </w:tcPr>
          <w:p>
            <w:pPr>
              <w:autoSpaceDE w:val="0"/>
              <w:autoSpaceDN w:val="0"/>
              <w:adjustRightInd w:val="0"/>
              <w:spacing w:line="300" w:lineRule="atLeast"/>
              <w:rPr>
                <w:rFonts w:ascii="宋体" w:hAnsi="宋体" w:cs="新宋体"/>
                <w:sz w:val="22"/>
                <w:szCs w:val="22"/>
                <w:lang w:val="zh-CN"/>
              </w:rPr>
            </w:pPr>
            <w:r>
              <w:rPr>
                <w:rFonts w:hint="eastAsia" w:ascii="宋体" w:hAnsi="宋体" w:cs="新宋体"/>
                <w:sz w:val="22"/>
                <w:szCs w:val="22"/>
                <w:lang w:val="zh-CN"/>
              </w:rPr>
              <w:t>电子加密投标文件的解密和异常情况处理</w:t>
            </w:r>
          </w:p>
        </w:tc>
        <w:tc>
          <w:tcPr>
            <w:tcW w:w="7821" w:type="dxa"/>
            <w:noWrap w:val="0"/>
            <w:vAlign w:val="center"/>
          </w:tcPr>
          <w:p>
            <w:pPr>
              <w:autoSpaceDE w:val="0"/>
              <w:autoSpaceDN w:val="0"/>
              <w:adjustRightInd w:val="0"/>
              <w:spacing w:line="300" w:lineRule="atLeast"/>
              <w:rPr>
                <w:rFonts w:ascii="宋体" w:hAnsi="宋体" w:cs="新宋体"/>
                <w:sz w:val="22"/>
                <w:szCs w:val="22"/>
                <w:lang w:val="zh-CN"/>
              </w:rPr>
            </w:pPr>
            <w:r>
              <w:rPr>
                <w:rFonts w:hint="eastAsia" w:ascii="宋体" w:hAnsi="宋体" w:cs="新宋体"/>
                <w:sz w:val="22"/>
                <w:szCs w:val="22"/>
                <w:lang w:val="zh-CN"/>
              </w:rPr>
              <w:t>（1）开标后，采购组织机构将向各投标人发出“电子加密投标文件”的解密通知，各投标人代表应当在接到解密通知后30分钟内自行完成“电子加密投标文件”的在线解密。</w:t>
            </w:r>
          </w:p>
          <w:p>
            <w:pPr>
              <w:autoSpaceDE w:val="0"/>
              <w:autoSpaceDN w:val="0"/>
              <w:adjustRightInd w:val="0"/>
              <w:spacing w:line="300" w:lineRule="atLeast"/>
              <w:rPr>
                <w:rFonts w:ascii="宋体" w:hAnsi="宋体" w:cs="新宋体"/>
                <w:sz w:val="22"/>
                <w:szCs w:val="22"/>
                <w:lang w:val="zh-CN"/>
              </w:rPr>
            </w:pPr>
            <w:r>
              <w:rPr>
                <w:rFonts w:hint="eastAsia" w:ascii="宋体" w:hAnsi="宋体" w:cs="新宋体"/>
                <w:sz w:val="22"/>
                <w:szCs w:val="22"/>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300" w:lineRule="atLeast"/>
              <w:rPr>
                <w:rFonts w:ascii="宋体" w:hAnsi="宋体" w:cs="新宋体"/>
                <w:sz w:val="22"/>
                <w:szCs w:val="22"/>
                <w:lang w:val="zh-CN"/>
              </w:rPr>
            </w:pPr>
            <w:r>
              <w:rPr>
                <w:rFonts w:hint="eastAsia" w:ascii="宋体" w:hAnsi="宋体" w:cs="新宋体"/>
                <w:sz w:val="22"/>
                <w:szCs w:val="22"/>
                <w:lang w:val="zh-CN"/>
              </w:rPr>
              <w:t>（3）投标文件递交截止时间前，投标人仅递交了“备份投标文件”而未将电子加密投标文件上传至“政采云平台”的，投标无效。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6"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27</w:t>
            </w:r>
          </w:p>
        </w:tc>
        <w:tc>
          <w:tcPr>
            <w:tcW w:w="1715" w:type="dxa"/>
            <w:noWrap w:val="0"/>
            <w:vAlign w:val="center"/>
          </w:tcPr>
          <w:p>
            <w:pPr>
              <w:jc w:val="center"/>
              <w:rPr>
                <w:rFonts w:ascii="宋体" w:hAnsi="宋体"/>
                <w:sz w:val="22"/>
                <w:szCs w:val="22"/>
                <w:lang w:val="zh-CN"/>
              </w:rPr>
            </w:pPr>
            <w:r>
              <w:rPr>
                <w:rFonts w:hint="eastAsia" w:ascii="宋体" w:hAnsi="宋体"/>
                <w:sz w:val="22"/>
                <w:szCs w:val="22"/>
              </w:rPr>
              <w:t>评标委员会成员的组建</w:t>
            </w:r>
          </w:p>
        </w:tc>
        <w:tc>
          <w:tcPr>
            <w:tcW w:w="7821" w:type="dxa"/>
            <w:noWrap w:val="0"/>
            <w:vAlign w:val="center"/>
          </w:tcPr>
          <w:p>
            <w:pPr>
              <w:rPr>
                <w:rFonts w:ascii="宋体" w:hAnsi="宋体"/>
                <w:sz w:val="22"/>
                <w:szCs w:val="22"/>
                <w:lang w:val="zh-CN"/>
              </w:rPr>
            </w:pPr>
            <w:r>
              <w:rPr>
                <w:rFonts w:hint="eastAsia" w:ascii="宋体" w:hAnsi="宋体"/>
                <w:sz w:val="22"/>
                <w:szCs w:val="22"/>
              </w:rPr>
              <w:t>评标委员会成员构成：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28</w:t>
            </w:r>
          </w:p>
        </w:tc>
        <w:tc>
          <w:tcPr>
            <w:tcW w:w="1715" w:type="dxa"/>
            <w:noWrap w:val="0"/>
            <w:vAlign w:val="center"/>
          </w:tcPr>
          <w:p>
            <w:pPr>
              <w:adjustRightInd w:val="0"/>
              <w:jc w:val="center"/>
              <w:rPr>
                <w:rFonts w:ascii="宋体" w:hAnsi="宋体"/>
                <w:sz w:val="22"/>
                <w:szCs w:val="22"/>
              </w:rPr>
            </w:pPr>
            <w:r>
              <w:rPr>
                <w:rFonts w:hint="eastAsia" w:ascii="宋体" w:hAnsi="宋体"/>
                <w:sz w:val="22"/>
                <w:szCs w:val="22"/>
              </w:rPr>
              <w:t>政府采购</w:t>
            </w:r>
          </w:p>
          <w:p>
            <w:pPr>
              <w:adjustRightInd w:val="0"/>
              <w:jc w:val="center"/>
              <w:rPr>
                <w:rFonts w:ascii="宋体" w:hAnsi="宋体"/>
                <w:sz w:val="22"/>
                <w:szCs w:val="22"/>
              </w:rPr>
            </w:pPr>
            <w:r>
              <w:rPr>
                <w:rFonts w:hint="eastAsia" w:ascii="宋体" w:hAnsi="宋体"/>
                <w:sz w:val="22"/>
                <w:szCs w:val="22"/>
              </w:rPr>
              <w:t>扶持政策</w:t>
            </w:r>
          </w:p>
        </w:tc>
        <w:tc>
          <w:tcPr>
            <w:tcW w:w="7821" w:type="dxa"/>
            <w:noWrap w:val="0"/>
            <w:vAlign w:val="center"/>
          </w:tcPr>
          <w:p>
            <w:pPr>
              <w:spacing w:line="360" w:lineRule="exact"/>
              <w:rPr>
                <w:rFonts w:ascii="宋体" w:hAnsi="宋体" w:cs="宋体"/>
                <w:bCs/>
                <w:sz w:val="22"/>
              </w:rPr>
            </w:pPr>
            <w:r>
              <w:rPr>
                <w:rFonts w:hint="eastAsia" w:ascii="宋体" w:hAnsi="宋体" w:cs="宋体"/>
                <w:bCs/>
                <w:sz w:val="22"/>
                <w:szCs w:val="22"/>
              </w:rPr>
              <w:t>1.本项目对符合财政扶持政策的中小企业（小型、微型）、监狱企业、残疾人福利性单位给予价格优惠扶持，价格优惠扶持见《评分办法》。</w:t>
            </w:r>
          </w:p>
          <w:p>
            <w:pPr>
              <w:spacing w:line="360" w:lineRule="exact"/>
              <w:rPr>
                <w:rFonts w:ascii="宋体" w:hAnsi="宋体" w:cs="宋体"/>
                <w:bCs/>
                <w:sz w:val="22"/>
              </w:rPr>
            </w:pPr>
            <w:r>
              <w:rPr>
                <w:rFonts w:hint="eastAsia" w:ascii="宋体" w:hAnsi="宋体" w:cs="宋体"/>
                <w:bCs/>
                <w:sz w:val="22"/>
                <w:szCs w:val="22"/>
              </w:rPr>
              <w:t>2.满足财政部 工业和信息化部关于印发《政府采购促进中小企业发展管理办法》的通知（财库〔2020〕46号）的规定的中小企业可享受优惠扶持。</w:t>
            </w:r>
          </w:p>
          <w:p>
            <w:pPr>
              <w:spacing w:line="360" w:lineRule="exact"/>
              <w:rPr>
                <w:rFonts w:ascii="宋体" w:hAnsi="宋体" w:cs="宋体"/>
                <w:bCs/>
                <w:sz w:val="22"/>
              </w:rPr>
            </w:pPr>
            <w:r>
              <w:rPr>
                <w:rFonts w:hint="eastAsia" w:ascii="宋体" w:hAnsi="宋体" w:cs="宋体"/>
                <w:bCs/>
                <w:sz w:val="22"/>
                <w:szCs w:val="22"/>
              </w:rPr>
              <w:t>3.满足关于政府采购支持监狱企业发展有关问题的通知（财库[2014]68号）的规定的供应商可享受优惠扶持。</w:t>
            </w:r>
          </w:p>
          <w:p>
            <w:pPr>
              <w:spacing w:line="360" w:lineRule="exact"/>
              <w:rPr>
                <w:rFonts w:ascii="宋体" w:hAnsi="宋体" w:cs="宋体"/>
                <w:bCs/>
                <w:sz w:val="22"/>
              </w:rPr>
            </w:pPr>
            <w:r>
              <w:rPr>
                <w:rFonts w:hint="eastAsia" w:ascii="宋体" w:hAnsi="宋体" w:cs="宋体"/>
                <w:bCs/>
                <w:sz w:val="22"/>
                <w:szCs w:val="22"/>
              </w:rPr>
              <w:t>4.满足关于促进残疾人就业政府采购政策的通知（财库[2017]141号）的规定的供应商可享受优惠扶持。</w:t>
            </w:r>
          </w:p>
          <w:p>
            <w:pPr>
              <w:rPr>
                <w:rFonts w:ascii="宋体" w:hAnsi="宋体"/>
                <w:sz w:val="22"/>
                <w:szCs w:val="22"/>
              </w:rPr>
            </w:pPr>
            <w:r>
              <w:rPr>
                <w:rFonts w:hint="eastAsia" w:ascii="宋体" w:hAnsi="宋体" w:cs="宋体"/>
                <w:bCs/>
                <w:sz w:val="22"/>
                <w:szCs w:val="22"/>
              </w:rPr>
              <w:t>5.对节能、环保产品优先采购。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1"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29</w:t>
            </w:r>
          </w:p>
        </w:tc>
        <w:tc>
          <w:tcPr>
            <w:tcW w:w="1715" w:type="dxa"/>
            <w:noWrap w:val="0"/>
            <w:vAlign w:val="center"/>
          </w:tcPr>
          <w:p>
            <w:pPr>
              <w:jc w:val="center"/>
              <w:rPr>
                <w:rFonts w:ascii="宋体" w:hAnsi="宋体"/>
                <w:sz w:val="22"/>
                <w:szCs w:val="22"/>
              </w:rPr>
            </w:pPr>
            <w:r>
              <w:rPr>
                <w:rFonts w:hint="eastAsia" w:ascii="宋体" w:hAnsi="宋体"/>
                <w:sz w:val="22"/>
                <w:szCs w:val="22"/>
              </w:rPr>
              <w:t>供应商信用</w:t>
            </w:r>
          </w:p>
          <w:p>
            <w:pPr>
              <w:jc w:val="center"/>
              <w:rPr>
                <w:rFonts w:ascii="宋体" w:hAnsi="宋体"/>
                <w:sz w:val="22"/>
                <w:szCs w:val="22"/>
              </w:rPr>
            </w:pPr>
            <w:r>
              <w:rPr>
                <w:rFonts w:hint="eastAsia" w:ascii="宋体" w:hAnsi="宋体"/>
                <w:sz w:val="22"/>
                <w:szCs w:val="22"/>
              </w:rPr>
              <w:t>查询</w:t>
            </w:r>
          </w:p>
        </w:tc>
        <w:tc>
          <w:tcPr>
            <w:tcW w:w="7821" w:type="dxa"/>
            <w:noWrap w:val="0"/>
            <w:vAlign w:val="center"/>
          </w:tcPr>
          <w:p>
            <w:pPr>
              <w:rPr>
                <w:rFonts w:ascii="宋体" w:hAnsi="宋体"/>
                <w:sz w:val="22"/>
                <w:szCs w:val="22"/>
              </w:rPr>
            </w:pPr>
            <w:r>
              <w:rPr>
                <w:rFonts w:hint="eastAsia" w:ascii="宋体" w:hAnsi="宋体"/>
                <w:sz w:val="22"/>
                <w:szCs w:val="22"/>
              </w:rPr>
              <w:t>1、投标供应商</w:t>
            </w:r>
            <w:r>
              <w:rPr>
                <w:rFonts w:ascii="宋体" w:hAnsi="宋体"/>
                <w:sz w:val="22"/>
                <w:szCs w:val="22"/>
              </w:rPr>
              <w:t>信用信息查询的查询渠道</w:t>
            </w:r>
            <w:r>
              <w:rPr>
                <w:rFonts w:hint="eastAsia" w:ascii="宋体" w:hAnsi="宋体"/>
                <w:sz w:val="22"/>
                <w:szCs w:val="22"/>
              </w:rPr>
              <w:t>：</w:t>
            </w:r>
            <w:r>
              <w:rPr>
                <w:rFonts w:ascii="宋体" w:hAnsi="宋体"/>
                <w:sz w:val="22"/>
                <w:szCs w:val="22"/>
              </w:rPr>
              <w:t>“信用中国”(</w:t>
            </w:r>
            <w:r>
              <w:fldChar w:fldCharType="begin"/>
            </w:r>
            <w:r>
              <w:instrText xml:space="preserve"> HYPERLINK "http://www.creditchina.gov.cn" </w:instrText>
            </w:r>
            <w:r>
              <w:fldChar w:fldCharType="separate"/>
            </w:r>
            <w:r>
              <w:rPr>
                <w:rFonts w:ascii="宋体" w:hAnsi="宋体"/>
                <w:sz w:val="22"/>
                <w:szCs w:val="22"/>
              </w:rPr>
              <w:t>www.creditchina.gov.cn</w:t>
            </w:r>
            <w:r>
              <w:rPr>
                <w:rFonts w:ascii="宋体" w:hAnsi="宋体"/>
                <w:sz w:val="22"/>
                <w:szCs w:val="22"/>
              </w:rPr>
              <w:fldChar w:fldCharType="end"/>
            </w:r>
            <w:r>
              <w:rPr>
                <w:rFonts w:ascii="宋体" w:hAnsi="宋体"/>
                <w:sz w:val="22"/>
                <w:szCs w:val="22"/>
              </w:rPr>
              <w:t>)</w:t>
            </w:r>
            <w:r>
              <w:rPr>
                <w:rFonts w:hint="eastAsia" w:ascii="宋体" w:hAnsi="宋体"/>
                <w:sz w:val="22"/>
                <w:szCs w:val="22"/>
              </w:rPr>
              <w:t>；“中国政府采购网”（</w:t>
            </w:r>
            <w:r>
              <w:rPr>
                <w:rFonts w:ascii="宋体" w:hAnsi="宋体"/>
                <w:sz w:val="22"/>
                <w:szCs w:val="22"/>
              </w:rPr>
              <w:t>http://www.ccgp.gov.cn/</w:t>
            </w:r>
            <w:r>
              <w:rPr>
                <w:rFonts w:hint="eastAsia" w:ascii="宋体" w:hAnsi="宋体"/>
                <w:sz w:val="22"/>
                <w:szCs w:val="22"/>
              </w:rPr>
              <w:t>）；</w:t>
            </w:r>
          </w:p>
          <w:p>
            <w:pPr>
              <w:rPr>
                <w:rFonts w:ascii="宋体" w:hAnsi="宋体"/>
                <w:sz w:val="22"/>
                <w:szCs w:val="22"/>
              </w:rPr>
            </w:pPr>
            <w:r>
              <w:rPr>
                <w:rFonts w:hint="eastAsia" w:ascii="宋体" w:hAnsi="宋体"/>
                <w:sz w:val="22"/>
                <w:szCs w:val="22"/>
              </w:rPr>
              <w:t>2、投标供应商信用信息查询</w:t>
            </w:r>
            <w:r>
              <w:rPr>
                <w:rFonts w:ascii="宋体" w:hAnsi="宋体"/>
                <w:sz w:val="22"/>
                <w:szCs w:val="22"/>
              </w:rPr>
              <w:t>截止时点</w:t>
            </w:r>
            <w:r>
              <w:rPr>
                <w:rFonts w:hint="eastAsia" w:ascii="宋体" w:hAnsi="宋体"/>
                <w:sz w:val="22"/>
                <w:szCs w:val="22"/>
              </w:rPr>
              <w:t>：招标公告发布之日至投标截止时间前；</w:t>
            </w:r>
          </w:p>
          <w:p>
            <w:pPr>
              <w:rPr>
                <w:rFonts w:ascii="宋体" w:hAnsi="宋体"/>
                <w:sz w:val="22"/>
                <w:szCs w:val="22"/>
              </w:rPr>
            </w:pPr>
            <w:r>
              <w:rPr>
                <w:rFonts w:hint="eastAsia" w:ascii="宋体" w:hAnsi="宋体"/>
                <w:sz w:val="22"/>
                <w:szCs w:val="22"/>
              </w:rPr>
              <w:t>3、投标供应商</w:t>
            </w:r>
            <w:r>
              <w:rPr>
                <w:rFonts w:ascii="宋体" w:hAnsi="宋体"/>
                <w:sz w:val="22"/>
                <w:szCs w:val="22"/>
              </w:rPr>
              <w:t>信用信息查询记录和证据留存的具体方式</w:t>
            </w:r>
            <w:r>
              <w:rPr>
                <w:rFonts w:hint="eastAsia" w:ascii="宋体" w:hAnsi="宋体"/>
                <w:sz w:val="22"/>
                <w:szCs w:val="22"/>
              </w:rPr>
              <w:t>：网页截图打印；</w:t>
            </w:r>
          </w:p>
          <w:p>
            <w:pPr>
              <w:rPr>
                <w:rFonts w:ascii="宋体" w:hAnsi="宋体"/>
                <w:sz w:val="22"/>
                <w:szCs w:val="22"/>
              </w:rPr>
            </w:pPr>
            <w:r>
              <w:rPr>
                <w:rFonts w:hint="eastAsia" w:ascii="宋体" w:hAnsi="宋体"/>
                <w:sz w:val="22"/>
                <w:szCs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rPr>
                <w:rFonts w:ascii="宋体" w:hAnsi="宋体"/>
                <w:sz w:val="22"/>
                <w:szCs w:val="22"/>
                <w:u w:val="single"/>
              </w:rPr>
            </w:pPr>
            <w:r>
              <w:rPr>
                <w:rFonts w:hint="eastAsia" w:ascii="宋体" w:hAnsi="宋体"/>
                <w:sz w:val="22"/>
                <w:szCs w:val="22"/>
              </w:rPr>
              <w:t>5、</w:t>
            </w:r>
            <w:r>
              <w:rPr>
                <w:rFonts w:ascii="宋体" w:hAnsi="宋体"/>
                <w:sz w:val="22"/>
                <w:szCs w:val="22"/>
              </w:rPr>
              <w:t>▲</w:t>
            </w:r>
            <w:r>
              <w:rPr>
                <w:rFonts w:ascii="宋体" w:hAnsi="宋体"/>
                <w:sz w:val="22"/>
                <w:szCs w:val="22"/>
                <w:u w:val="single"/>
              </w:rPr>
              <w:t>关于“信用中国”(www.creditchina.gov.cn) 信用记录网页截图相关说明：</w:t>
            </w:r>
          </w:p>
          <w:p>
            <w:pPr>
              <w:rPr>
                <w:rFonts w:ascii="宋体" w:hAnsi="宋体"/>
                <w:sz w:val="22"/>
                <w:szCs w:val="22"/>
              </w:rPr>
            </w:pPr>
            <w:r>
              <w:rPr>
                <w:rFonts w:hint="eastAsia" w:ascii="宋体" w:hAnsi="宋体"/>
                <w:sz w:val="22"/>
                <w:szCs w:val="22"/>
              </w:rPr>
              <w:t>①若供应商查询页面“行政处罚”栏显示有行政处罚事项，须将所有行政处罚事项在“信用中国”网页上列出的明细一并打印，并附说明，是否属于“经营活动中的重大违法记录”。</w:t>
            </w:r>
          </w:p>
          <w:p>
            <w:pPr>
              <w:rPr>
                <w:rFonts w:ascii="宋体" w:hAnsi="宋体"/>
                <w:sz w:val="22"/>
                <w:szCs w:val="22"/>
              </w:rPr>
            </w:pPr>
            <w:r>
              <w:rPr>
                <w:rFonts w:hint="eastAsia" w:ascii="宋体" w:hAnsi="宋体"/>
                <w:sz w:val="22"/>
                <w:szCs w:val="22"/>
              </w:rPr>
              <w:t>②若供应商在“信用中国”无数据，亦须将搜索结果页面打印，并附说明。</w:t>
            </w:r>
          </w:p>
          <w:p>
            <w:pPr>
              <w:rPr>
                <w:rFonts w:ascii="宋体" w:hAnsi="宋体"/>
                <w:sz w:val="22"/>
                <w:szCs w:val="22"/>
              </w:rPr>
            </w:pPr>
            <w:r>
              <w:rPr>
                <w:rFonts w:hint="eastAsia" w:ascii="宋体" w:hAnsi="宋体"/>
                <w:sz w:val="22"/>
                <w:szCs w:val="22"/>
              </w:rPr>
              <w:t>③未按照以上①</w:t>
            </w:r>
            <w:r>
              <w:rPr>
                <w:rFonts w:ascii="宋体" w:hAnsi="宋体"/>
                <w:sz w:val="22"/>
                <w:szCs w:val="22"/>
              </w:rPr>
              <w:t>-</w:t>
            </w:r>
            <w:r>
              <w:rPr>
                <w:rFonts w:hint="eastAsia" w:ascii="宋体" w:hAnsi="宋体"/>
                <w:sz w:val="22"/>
                <w:szCs w:val="22"/>
              </w:rPr>
              <w:t>②</w:t>
            </w:r>
            <w:r>
              <w:rPr>
                <w:rFonts w:ascii="宋体" w:hAnsi="宋体"/>
                <w:sz w:val="22"/>
                <w:szCs w:val="22"/>
              </w:rPr>
              <w:t>条要求提供“信用中国”查询结果记录的，将按照资格审查不通过处理。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30</w:t>
            </w:r>
          </w:p>
        </w:tc>
        <w:tc>
          <w:tcPr>
            <w:tcW w:w="1715" w:type="dxa"/>
            <w:noWrap w:val="0"/>
            <w:vAlign w:val="center"/>
          </w:tcPr>
          <w:p>
            <w:pPr>
              <w:jc w:val="center"/>
              <w:rPr>
                <w:rFonts w:ascii="宋体" w:hAnsi="宋体"/>
                <w:sz w:val="22"/>
                <w:szCs w:val="22"/>
              </w:rPr>
            </w:pPr>
            <w:r>
              <w:rPr>
                <w:rFonts w:hint="eastAsia" w:ascii="宋体" w:hAnsi="宋体"/>
                <w:sz w:val="22"/>
                <w:szCs w:val="22"/>
              </w:rPr>
              <w:t>合同备案</w:t>
            </w:r>
          </w:p>
        </w:tc>
        <w:tc>
          <w:tcPr>
            <w:tcW w:w="7821" w:type="dxa"/>
            <w:noWrap w:val="0"/>
            <w:vAlign w:val="center"/>
          </w:tcPr>
          <w:p>
            <w:pPr>
              <w:rPr>
                <w:rFonts w:ascii="宋体" w:hAnsi="宋体" w:cs="Arial"/>
                <w:sz w:val="22"/>
                <w:szCs w:val="22"/>
              </w:rPr>
            </w:pPr>
            <w:r>
              <w:rPr>
                <w:rFonts w:hint="eastAsia" w:ascii="宋体" w:hAnsi="宋体" w:cs="Arial"/>
                <w:sz w:val="22"/>
                <w:szCs w:val="22"/>
              </w:rPr>
              <w:t>1、中标供应商须在发出中标通知书之日起30日历天内与采购人签订合同。</w:t>
            </w:r>
          </w:p>
          <w:p>
            <w:pPr>
              <w:rPr>
                <w:rFonts w:ascii="宋体" w:hAnsi="宋体" w:cs="Arial"/>
                <w:sz w:val="22"/>
                <w:szCs w:val="22"/>
              </w:rPr>
            </w:pPr>
            <w:r>
              <w:rPr>
                <w:rFonts w:hint="eastAsia" w:ascii="宋体" w:hAnsi="宋体" w:cs="Arial"/>
                <w:sz w:val="22"/>
                <w:szCs w:val="22"/>
              </w:rPr>
              <w:t>2、中标供应商与采购人签订合同后，</w:t>
            </w:r>
            <w:r>
              <w:rPr>
                <w:rFonts w:ascii="宋体" w:hAnsi="宋体" w:cs="Arial"/>
                <w:sz w:val="22"/>
                <w:szCs w:val="22"/>
              </w:rPr>
              <w:t>2</w:t>
            </w:r>
            <w:r>
              <w:rPr>
                <w:rFonts w:hint="eastAsia" w:ascii="宋体" w:hAnsi="宋体" w:cs="Arial"/>
                <w:sz w:val="22"/>
                <w:szCs w:val="22"/>
              </w:rPr>
              <w:t>日历天内将合同原件交温州市中概工程管理咨询有限公司备案。合同原件扫描件电子版发给温州市中概工程管理咨询有限公司：邮箱：</w:t>
            </w:r>
            <w:r>
              <w:fldChar w:fldCharType="begin"/>
            </w:r>
            <w:r>
              <w:instrText xml:space="preserve"> HYPERLINK "mailto:250453502@qq.com" </w:instrText>
            </w:r>
            <w:r>
              <w:fldChar w:fldCharType="separate"/>
            </w:r>
            <w:r>
              <w:rPr>
                <w:rStyle w:val="48"/>
                <w:rFonts w:hint="eastAsia" w:ascii="宋体" w:hAnsi="宋体" w:cs="Arial"/>
                <w:color w:val="auto"/>
                <w:sz w:val="22"/>
                <w:szCs w:val="22"/>
              </w:rPr>
              <w:t>1437567478@qq.com</w:t>
            </w:r>
            <w:r>
              <w:rPr>
                <w:rStyle w:val="48"/>
                <w:rFonts w:hint="eastAsia" w:ascii="宋体" w:hAnsi="宋体" w:cs="Arial"/>
                <w:color w:val="auto"/>
                <w:sz w:val="22"/>
                <w:szCs w:val="22"/>
              </w:rPr>
              <w:fldChar w:fldCharType="end"/>
            </w:r>
            <w:r>
              <w:rPr>
                <w:rFonts w:hint="eastAsia" w:ascii="宋体" w:hAnsi="宋体" w:cs="Arial"/>
                <w:sz w:val="22"/>
                <w:szCs w:val="22"/>
              </w:rPr>
              <w:t>；</w:t>
            </w:r>
          </w:p>
          <w:p>
            <w:pPr>
              <w:rPr>
                <w:rFonts w:ascii="宋体" w:hAnsi="宋体"/>
                <w:sz w:val="22"/>
                <w:szCs w:val="22"/>
              </w:rPr>
            </w:pPr>
            <w:r>
              <w:rPr>
                <w:rFonts w:hint="eastAsia" w:ascii="宋体" w:hAnsi="宋体" w:cs="Arial"/>
                <w:sz w:val="22"/>
                <w:szCs w:val="22"/>
              </w:rPr>
              <w:t>3、本项目政府采购合同按规定在</w:t>
            </w:r>
            <w:r>
              <w:rPr>
                <w:rFonts w:hint="eastAsia" w:ascii="宋体" w:hAnsi="宋体"/>
                <w:sz w:val="22"/>
                <w:szCs w:val="22"/>
              </w:rPr>
              <w:t>浙江政府采购网（</w:t>
            </w:r>
            <w:r>
              <w:rPr>
                <w:rFonts w:ascii="宋体" w:hAnsi="宋体"/>
                <w:sz w:val="22"/>
                <w:szCs w:val="22"/>
              </w:rPr>
              <w:t>http://www.zjzfcg.gov.cn</w:t>
            </w:r>
            <w:r>
              <w:rPr>
                <w:rFonts w:hint="eastAsia" w:ascii="宋体" w:hAnsi="宋体"/>
                <w:sz w:val="22"/>
                <w:szCs w:val="22"/>
              </w:rPr>
              <w:t>）</w:t>
            </w:r>
            <w:r>
              <w:rPr>
                <w:rFonts w:hint="eastAsia" w:ascii="宋体" w:hAnsi="宋体" w:cs="Arial"/>
                <w:sz w:val="22"/>
                <w:szCs w:val="22"/>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31</w:t>
            </w:r>
          </w:p>
        </w:tc>
        <w:tc>
          <w:tcPr>
            <w:tcW w:w="1715" w:type="dxa"/>
            <w:noWrap w:val="0"/>
            <w:vAlign w:val="center"/>
          </w:tcPr>
          <w:p>
            <w:pPr>
              <w:jc w:val="center"/>
              <w:rPr>
                <w:rFonts w:ascii="宋体" w:hAnsi="宋体"/>
                <w:sz w:val="22"/>
                <w:szCs w:val="22"/>
              </w:rPr>
            </w:pPr>
            <w:r>
              <w:rPr>
                <w:rFonts w:hint="eastAsia" w:ascii="宋体" w:hAnsi="宋体"/>
                <w:sz w:val="22"/>
                <w:szCs w:val="22"/>
              </w:rPr>
              <w:t>合同履约管理</w:t>
            </w:r>
          </w:p>
        </w:tc>
        <w:tc>
          <w:tcPr>
            <w:tcW w:w="7821" w:type="dxa"/>
            <w:noWrap w:val="0"/>
            <w:vAlign w:val="center"/>
          </w:tcPr>
          <w:p>
            <w:pPr>
              <w:rPr>
                <w:rFonts w:ascii="宋体" w:hAnsi="宋体"/>
                <w:sz w:val="22"/>
                <w:szCs w:val="22"/>
              </w:rPr>
            </w:pPr>
            <w:r>
              <w:rPr>
                <w:rFonts w:hint="eastAsia" w:ascii="宋体" w:hAnsi="宋体"/>
                <w:sz w:val="22"/>
                <w:szCs w:val="22"/>
              </w:rPr>
              <w:t>合同签订后，采购人依法加强对合同履约进行管理，并在成交供应商服务、项目验收等重要关节，如实填写《合同验收报告》，并及时向同级财政部门报告验收过程中遇到的问题。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32</w:t>
            </w:r>
          </w:p>
        </w:tc>
        <w:tc>
          <w:tcPr>
            <w:tcW w:w="1715" w:type="dxa"/>
            <w:noWrap w:val="0"/>
            <w:vAlign w:val="center"/>
          </w:tcPr>
          <w:p>
            <w:pPr>
              <w:jc w:val="center"/>
              <w:rPr>
                <w:rFonts w:ascii="宋体" w:hAnsi="宋体"/>
                <w:sz w:val="22"/>
                <w:szCs w:val="22"/>
              </w:rPr>
            </w:pPr>
            <w:r>
              <w:rPr>
                <w:rFonts w:hint="eastAsia" w:ascii="宋体" w:hAnsi="宋体"/>
                <w:sz w:val="22"/>
                <w:szCs w:val="22"/>
              </w:rPr>
              <w:t>免则声明</w:t>
            </w:r>
          </w:p>
        </w:tc>
        <w:tc>
          <w:tcPr>
            <w:tcW w:w="7821" w:type="dxa"/>
            <w:noWrap w:val="0"/>
            <w:vAlign w:val="center"/>
          </w:tcPr>
          <w:p>
            <w:pPr>
              <w:rPr>
                <w:rFonts w:ascii="宋体" w:hAnsi="宋体"/>
                <w:sz w:val="22"/>
                <w:szCs w:val="22"/>
              </w:rPr>
            </w:pPr>
            <w:r>
              <w:rPr>
                <w:rFonts w:hint="eastAsia" w:ascii="宋体" w:hAnsi="宋体"/>
                <w:sz w:val="22"/>
                <w:szCs w:val="22"/>
              </w:rPr>
              <w:t>1、供应商自行承担投标过程中产生的费用。无论何种因素导致采购项目延期开标、废标（流标）、供应商未成交、项目终止采购的，</w:t>
            </w:r>
            <w:r>
              <w:rPr>
                <w:rFonts w:hint="eastAsia" w:ascii="宋体" w:hAnsi="宋体" w:cs="Arial"/>
                <w:sz w:val="22"/>
                <w:szCs w:val="22"/>
              </w:rPr>
              <w:t>采购人与代理机构均不承担供应商投标费用。</w:t>
            </w:r>
          </w:p>
          <w:p>
            <w:pPr>
              <w:rPr>
                <w:rFonts w:ascii="宋体" w:hAnsi="宋体"/>
                <w:sz w:val="22"/>
                <w:szCs w:val="22"/>
              </w:rPr>
            </w:pPr>
            <w:r>
              <w:rPr>
                <w:rFonts w:hint="eastAsia" w:ascii="宋体" w:hAnsi="宋体"/>
                <w:sz w:val="22"/>
                <w:szCs w:val="22"/>
              </w:rPr>
              <w:t>2、供应商在投标、合同履行过程中必须做好安全保障工作，不因项目实施而危及自身及第三方人员、财产安全。若发生任何安全事故，由成交供应商自行承担一切责任并赔偿损失。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2"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33</w:t>
            </w:r>
          </w:p>
        </w:tc>
        <w:tc>
          <w:tcPr>
            <w:tcW w:w="1715" w:type="dxa"/>
            <w:noWrap w:val="0"/>
            <w:vAlign w:val="center"/>
          </w:tcPr>
          <w:p>
            <w:pPr>
              <w:jc w:val="center"/>
              <w:rPr>
                <w:rFonts w:ascii="宋体" w:hAnsi="宋体"/>
                <w:sz w:val="22"/>
                <w:szCs w:val="22"/>
              </w:rPr>
            </w:pPr>
            <w:r>
              <w:rPr>
                <w:rFonts w:hint="eastAsia" w:ascii="宋体" w:hAnsi="宋体"/>
                <w:sz w:val="22"/>
                <w:szCs w:val="22"/>
              </w:rPr>
              <w:t>解释权</w:t>
            </w:r>
          </w:p>
        </w:tc>
        <w:tc>
          <w:tcPr>
            <w:tcW w:w="7821" w:type="dxa"/>
            <w:noWrap w:val="0"/>
            <w:vAlign w:val="center"/>
          </w:tcPr>
          <w:p>
            <w:pPr>
              <w:rPr>
                <w:rFonts w:ascii="宋体" w:hAnsi="宋体"/>
                <w:sz w:val="22"/>
                <w:szCs w:val="22"/>
              </w:rPr>
            </w:pPr>
            <w:r>
              <w:rPr>
                <w:rFonts w:hint="eastAsia" w:ascii="宋体" w:hAnsi="宋体"/>
                <w:sz w:val="22"/>
                <w:szCs w:val="22"/>
              </w:rPr>
              <w:t>构成本招标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8" w:hRule="atLeast"/>
          <w:jc w:val="center"/>
        </w:trPr>
        <w:tc>
          <w:tcPr>
            <w:tcW w:w="694" w:type="dxa"/>
            <w:noWrap w:val="0"/>
            <w:vAlign w:val="center"/>
          </w:tcPr>
          <w:p>
            <w:pPr>
              <w:jc w:val="center"/>
              <w:rPr>
                <w:rFonts w:ascii="宋体" w:hAnsi="宋体"/>
                <w:sz w:val="22"/>
                <w:szCs w:val="22"/>
              </w:rPr>
            </w:pPr>
            <w:r>
              <w:rPr>
                <w:rFonts w:hint="eastAsia" w:ascii="宋体" w:hAnsi="宋体"/>
                <w:sz w:val="22"/>
                <w:szCs w:val="22"/>
              </w:rPr>
              <w:t>34</w:t>
            </w:r>
          </w:p>
        </w:tc>
        <w:tc>
          <w:tcPr>
            <w:tcW w:w="1715" w:type="dxa"/>
            <w:noWrap w:val="0"/>
            <w:vAlign w:val="center"/>
          </w:tcPr>
          <w:p>
            <w:pPr>
              <w:jc w:val="center"/>
              <w:rPr>
                <w:rFonts w:ascii="宋体" w:hAnsi="宋体"/>
                <w:sz w:val="22"/>
                <w:szCs w:val="22"/>
              </w:rPr>
            </w:pPr>
            <w:r>
              <w:rPr>
                <w:rFonts w:hint="eastAsia" w:ascii="宋体" w:hAnsi="宋体"/>
                <w:sz w:val="22"/>
                <w:szCs w:val="22"/>
              </w:rPr>
              <w:t>招标代理服务费</w:t>
            </w:r>
          </w:p>
        </w:tc>
        <w:tc>
          <w:tcPr>
            <w:tcW w:w="7821" w:type="dxa"/>
            <w:noWrap w:val="0"/>
            <w:vAlign w:val="center"/>
          </w:tcPr>
          <w:p>
            <w:pPr>
              <w:rPr>
                <w:rFonts w:ascii="宋体" w:hAnsi="宋体"/>
                <w:sz w:val="22"/>
                <w:szCs w:val="22"/>
              </w:rPr>
            </w:pPr>
            <w:r>
              <w:rPr>
                <w:rFonts w:hint="eastAsia" w:ascii="宋体" w:hAnsi="宋体"/>
                <w:sz w:val="22"/>
                <w:szCs w:val="22"/>
              </w:rPr>
              <w:t>本次项目招标代理服务费按固定金额71100元，采购代理服务费无须在报价中单列。采购人不负责任何招标代理服务费用。招标代理服务费由中标人支付，请报价人在报价时予以考虑。招标代理服务费汇入以下帐户：</w:t>
            </w:r>
          </w:p>
          <w:p>
            <w:pPr>
              <w:rPr>
                <w:rFonts w:ascii="宋体" w:hAnsi="宋体"/>
                <w:sz w:val="22"/>
                <w:szCs w:val="22"/>
              </w:rPr>
            </w:pPr>
            <w:r>
              <w:rPr>
                <w:rFonts w:hint="eastAsia" w:ascii="宋体" w:hAnsi="宋体"/>
                <w:sz w:val="22"/>
                <w:szCs w:val="22"/>
              </w:rPr>
              <w:t>开户银行：中国建设银行永嘉广场支行</w:t>
            </w:r>
          </w:p>
          <w:p>
            <w:pPr>
              <w:rPr>
                <w:rFonts w:ascii="宋体" w:hAnsi="宋体"/>
                <w:sz w:val="22"/>
                <w:szCs w:val="22"/>
              </w:rPr>
            </w:pPr>
            <w:r>
              <w:rPr>
                <w:rFonts w:hint="eastAsia" w:ascii="宋体" w:hAnsi="宋体"/>
                <w:sz w:val="22"/>
                <w:szCs w:val="22"/>
              </w:rPr>
              <w:t>开户名称：温州市中概工程管理咨询有限公司</w:t>
            </w:r>
          </w:p>
          <w:p>
            <w:pPr>
              <w:rPr>
                <w:rFonts w:ascii="宋体" w:hAnsi="宋体"/>
                <w:sz w:val="22"/>
                <w:szCs w:val="22"/>
              </w:rPr>
            </w:pPr>
            <w:r>
              <w:rPr>
                <w:rFonts w:hint="eastAsia" w:ascii="宋体" w:hAnsi="宋体"/>
                <w:sz w:val="22"/>
                <w:szCs w:val="22"/>
              </w:rPr>
              <w:t>开户帐号：33050162766300000011</w:t>
            </w:r>
          </w:p>
          <w:p>
            <w:pPr>
              <w:rPr>
                <w:rFonts w:ascii="宋体" w:hAnsi="宋体"/>
                <w:sz w:val="22"/>
                <w:szCs w:val="22"/>
              </w:rPr>
            </w:pPr>
            <w:r>
              <w:rPr>
                <w:rFonts w:hint="eastAsia" w:ascii="宋体" w:hAnsi="宋体"/>
                <w:sz w:val="22"/>
                <w:szCs w:val="22"/>
              </w:rPr>
              <w:t>招标代理服务费须在领取《中标通知书》前付清。</w:t>
            </w:r>
          </w:p>
        </w:tc>
      </w:tr>
    </w:tbl>
    <w:p>
      <w:pPr>
        <w:rPr>
          <w:rFonts w:ascii="宋体" w:hAnsi="宋体"/>
        </w:rPr>
      </w:pPr>
    </w:p>
    <w:p>
      <w:pPr>
        <w:pStyle w:val="3"/>
        <w:ind w:firstLine="210"/>
        <w:rPr>
          <w:rFonts w:ascii="宋体" w:hAnsi="宋体"/>
        </w:rPr>
      </w:pPr>
    </w:p>
    <w:p>
      <w:pPr>
        <w:pStyle w:val="3"/>
        <w:ind w:firstLine="210"/>
        <w:rPr>
          <w:rFonts w:ascii="宋体" w:hAnsi="宋体"/>
        </w:rPr>
      </w:pPr>
    </w:p>
    <w:p>
      <w:pPr>
        <w:pStyle w:val="3"/>
        <w:ind w:firstLine="210"/>
        <w:rPr>
          <w:rFonts w:ascii="宋体" w:hAnsi="宋体"/>
        </w:rPr>
      </w:pPr>
    </w:p>
    <w:p>
      <w:pPr>
        <w:pStyle w:val="39"/>
        <w:rPr>
          <w:rFonts w:ascii="宋体" w:hAnsi="宋体" w:cs="新宋体"/>
          <w:sz w:val="30"/>
          <w:szCs w:val="30"/>
        </w:rPr>
      </w:pPr>
      <w:bookmarkStart w:id="6" w:name="_Toc498343165"/>
      <w:bookmarkStart w:id="7" w:name="_Toc461563840"/>
      <w:r>
        <w:rPr>
          <w:rFonts w:hint="eastAsia" w:ascii="宋体" w:hAnsi="宋体" w:cs="新宋体"/>
          <w:sz w:val="30"/>
          <w:szCs w:val="30"/>
        </w:rPr>
        <w:br w:type="page"/>
      </w:r>
      <w:bookmarkStart w:id="8" w:name="_Toc97033051"/>
      <w:r>
        <w:rPr>
          <w:rFonts w:hint="eastAsia" w:ascii="宋体" w:hAnsi="宋体" w:cs="新宋体"/>
          <w:sz w:val="30"/>
          <w:szCs w:val="30"/>
        </w:rPr>
        <w:t xml:space="preserve">第二部分 </w:t>
      </w:r>
      <w:bookmarkEnd w:id="6"/>
      <w:bookmarkEnd w:id="7"/>
      <w:r>
        <w:rPr>
          <w:rFonts w:hint="eastAsia" w:ascii="宋体" w:hAnsi="宋体" w:cs="新宋体"/>
          <w:sz w:val="30"/>
          <w:szCs w:val="30"/>
        </w:rPr>
        <w:t>招标内容及要求</w:t>
      </w:r>
      <w:bookmarkEnd w:id="8"/>
    </w:p>
    <w:p>
      <w:pPr>
        <w:widowControl/>
        <w:spacing w:after="62" w:afterLines="20" w:line="360" w:lineRule="auto"/>
        <w:jc w:val="left"/>
        <w:rPr>
          <w:rFonts w:hint="eastAsia" w:ascii="宋体" w:hAnsi="宋体"/>
          <w:b/>
          <w:sz w:val="22"/>
          <w:szCs w:val="22"/>
        </w:rPr>
      </w:pPr>
      <w:bookmarkStart w:id="9" w:name="_Toc498343168"/>
      <w:bookmarkStart w:id="10" w:name="_Toc461563851"/>
      <w:r>
        <w:rPr>
          <w:rFonts w:hint="eastAsia" w:ascii="宋体" w:hAnsi="宋体"/>
          <w:b/>
          <w:sz w:val="22"/>
          <w:szCs w:val="22"/>
        </w:rPr>
        <w:t>一．建设目标及规模</w:t>
      </w:r>
    </w:p>
    <w:p>
      <w:pPr>
        <w:widowControl/>
        <w:spacing w:line="360" w:lineRule="auto"/>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1、建设目标</w:t>
      </w:r>
    </w:p>
    <w:p>
      <w:pPr>
        <w:widowControl/>
        <w:spacing w:line="360" w:lineRule="auto"/>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平台以打造永嘉特色的“实有人户”数据专题库为基础，利用省市县一体公共数据平台做支撑。抓住危机机遇，以“智安小区”助力疫情防控为小切口，疫情防控成果积累反哺基层治理为愿景。坚持需求导向，打造 1+5+N 基层治理防疫平</w:t>
      </w:r>
      <w:r>
        <w:rPr>
          <w:rFonts w:hint="eastAsia"/>
        </w:rPr>
        <w:t>台</w:t>
      </w:r>
      <w:r>
        <w:rPr>
          <w:rFonts w:hint="eastAsia" w:ascii="宋体" w:hAnsi="宋体" w:cs="宋体"/>
          <w:kern w:val="0"/>
          <w:sz w:val="22"/>
          <w:szCs w:val="22"/>
          <w:lang w:bidi="ar"/>
        </w:rPr>
        <w:t>，涵盖单元管控、区域协查、流调溯源、三点管理、应急处置五大基础模块，叠加“老人疫苗接种”、“境外人员预警”等 N 个应用。在平台端以实用、好用的可视化展现形式，打破传统平台大屏“看”的局限，实现千人千面，平战结合，一屏掌控，一网通用。</w:t>
      </w:r>
    </w:p>
    <w:p>
      <w:pPr>
        <w:pStyle w:val="3"/>
        <w:spacing w:line="360" w:lineRule="auto"/>
        <w:ind w:firstLine="440" w:firstLineChars="200"/>
        <w:rPr>
          <w:rFonts w:hint="eastAsia" w:ascii="宋体" w:hAnsi="宋体" w:cs="宋体"/>
          <w:kern w:val="0"/>
          <w:sz w:val="22"/>
          <w:szCs w:val="22"/>
          <w:lang w:bidi="ar"/>
        </w:rPr>
      </w:pPr>
      <w:r>
        <w:rPr>
          <w:rFonts w:hint="eastAsia" w:ascii="宋体" w:hAnsi="宋体" w:cs="宋体"/>
          <w:kern w:val="0"/>
          <w:sz w:val="22"/>
          <w:szCs w:val="22"/>
          <w:lang w:bidi="ar"/>
        </w:rPr>
        <w:t>2、建设规模</w:t>
      </w:r>
    </w:p>
    <w:p>
      <w:pPr>
        <w:pStyle w:val="4"/>
        <w:spacing w:line="360" w:lineRule="auto"/>
        <w:ind w:left="0" w:leftChars="0" w:firstLine="440" w:firstLineChars="200"/>
        <w:rPr>
          <w:rFonts w:hint="eastAsia" w:ascii="宋体" w:eastAsia="宋体"/>
          <w:b w:val="0"/>
          <w:bCs w:val="0"/>
          <w:color w:val="auto"/>
          <w:sz w:val="22"/>
          <w:szCs w:val="22"/>
        </w:rPr>
      </w:pPr>
      <w:r>
        <w:rPr>
          <w:rFonts w:hint="eastAsia" w:ascii="宋体" w:eastAsia="宋体"/>
          <w:b w:val="0"/>
          <w:bCs w:val="0"/>
          <w:color w:val="auto"/>
          <w:sz w:val="22"/>
          <w:szCs w:val="22"/>
        </w:rPr>
        <w:t>对内涉及公安疫情防控部门，对外覆盖永嘉全县的社区。</w:t>
      </w:r>
    </w:p>
    <w:p>
      <w:pPr>
        <w:widowControl/>
        <w:numPr>
          <w:ilvl w:val="0"/>
          <w:numId w:val="1"/>
        </w:numPr>
        <w:spacing w:before="31" w:beforeLines="10" w:after="62" w:afterLines="20" w:line="360" w:lineRule="auto"/>
        <w:jc w:val="left"/>
        <w:rPr>
          <w:rFonts w:hint="eastAsia" w:ascii="宋体" w:hAnsi="宋体"/>
          <w:b/>
          <w:sz w:val="22"/>
          <w:szCs w:val="22"/>
        </w:rPr>
      </w:pPr>
      <w:r>
        <w:rPr>
          <w:rFonts w:hint="eastAsia" w:ascii="宋体" w:hAnsi="宋体"/>
          <w:b/>
          <w:sz w:val="22"/>
          <w:szCs w:val="22"/>
        </w:rPr>
        <w:t>建设内容</w:t>
      </w:r>
    </w:p>
    <w:p>
      <w:pPr>
        <w:pStyle w:val="2"/>
        <w:spacing w:line="360" w:lineRule="auto"/>
        <w:jc w:val="center"/>
        <w:rPr>
          <w:rFonts w:hint="eastAsia" w:ascii="宋体" w:hAnsi="宋体" w:cs="宋体"/>
          <w:sz w:val="22"/>
          <w:szCs w:val="22"/>
        </w:rPr>
      </w:pPr>
      <w:r>
        <w:drawing>
          <wp:inline distT="0" distB="0" distL="114300" distR="114300">
            <wp:extent cx="3896360" cy="2161540"/>
            <wp:effectExtent l="0" t="0" r="889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3896360" cy="2161540"/>
                    </a:xfrm>
                    <a:prstGeom prst="rect">
                      <a:avLst/>
                    </a:prstGeom>
                    <a:noFill/>
                    <a:ln>
                      <a:noFill/>
                    </a:ln>
                  </pic:spPr>
                </pic:pic>
              </a:graphicData>
            </a:graphic>
          </wp:inline>
        </w:drawing>
      </w:r>
    </w:p>
    <w:p>
      <w:pPr>
        <w:pStyle w:val="2"/>
        <w:spacing w:line="360" w:lineRule="auto"/>
        <w:ind w:firstLine="440" w:firstLineChars="200"/>
        <w:rPr>
          <w:rFonts w:hint="eastAsia" w:ascii="宋体" w:hAnsi="宋体" w:cs="宋体"/>
          <w:sz w:val="22"/>
          <w:szCs w:val="22"/>
        </w:rPr>
      </w:pPr>
      <w:r>
        <w:rPr>
          <w:rFonts w:hint="eastAsia" w:ascii="宋体" w:hAnsi="宋体" w:cs="宋体"/>
          <w:sz w:val="22"/>
          <w:szCs w:val="22"/>
        </w:rPr>
        <w:t>本次项目建设遵循“1+5+N”架构和建设思路，具体包括应用系统建设、基础能力(资源)建设、终端设备采购等。</w:t>
      </w:r>
    </w:p>
    <w:p>
      <w:pPr>
        <w:pStyle w:val="3"/>
        <w:spacing w:line="360" w:lineRule="auto"/>
        <w:ind w:firstLine="0" w:firstLineChars="0"/>
        <w:rPr>
          <w:rFonts w:hint="eastAsia"/>
        </w:rPr>
      </w:pPr>
      <w:r>
        <w:rPr>
          <w:rFonts w:hint="eastAsia"/>
        </w:rPr>
        <w:t>1、应用系统建设</w:t>
      </w:r>
    </w:p>
    <w:p>
      <w:pPr>
        <w:pStyle w:val="3"/>
        <w:spacing w:line="360" w:lineRule="auto"/>
        <w:ind w:firstLineChars="200"/>
        <w:rPr>
          <w:rFonts w:hint="eastAsia"/>
        </w:rPr>
      </w:pPr>
      <w:r>
        <w:rPr>
          <w:rFonts w:hint="eastAsia"/>
        </w:rPr>
        <w:t>应用系统按类别分为“数字驾驶舱”、“业务平台”、“采集应用”。</w:t>
      </w:r>
    </w:p>
    <w:p>
      <w:pPr>
        <w:pStyle w:val="3"/>
        <w:spacing w:line="360" w:lineRule="auto"/>
        <w:ind w:firstLineChars="200"/>
        <w:rPr>
          <w:rFonts w:hint="eastAsia"/>
        </w:rPr>
      </w:pPr>
      <w:r>
        <w:rPr>
          <w:rFonts w:hint="eastAsia"/>
        </w:rPr>
        <w:t>“ 数字驾驶舱 ”按“五大核心应用”分为单元管控、区域协查、流调溯源、隔离管控、应急处置五大模块，再增加全域监督模块作为工作推进抓手，共计六大模块。</w:t>
      </w:r>
    </w:p>
    <w:p>
      <w:pPr>
        <w:pStyle w:val="3"/>
        <w:spacing w:line="360" w:lineRule="auto"/>
        <w:ind w:firstLineChars="200"/>
        <w:rPr>
          <w:rFonts w:hint="eastAsia"/>
        </w:rPr>
      </w:pPr>
      <w:r>
        <w:rPr>
          <w:rFonts w:hint="eastAsia"/>
        </w:rPr>
        <w:t>“ 业务平台 ”按“五大核心应用”分为单元管控、区域协查、流调溯源、隔离管控、应急处置五大模块。并根据业务场景，分别部署与公安内网环境和政务外网环境。</w:t>
      </w:r>
    </w:p>
    <w:p>
      <w:pPr>
        <w:pStyle w:val="3"/>
        <w:spacing w:line="360" w:lineRule="auto"/>
        <w:ind w:firstLine="210"/>
        <w:rPr>
          <w:rFonts w:hint="eastAsia"/>
        </w:rPr>
      </w:pPr>
      <w:r>
        <w:rPr>
          <w:rFonts w:hint="eastAsia"/>
        </w:rPr>
        <w:t>“ 采集应用 ”根据单元管控和应急处置的业务需求，分别开发建设“单元管控采集平台”和“作战单元采集平台”。</w:t>
      </w:r>
    </w:p>
    <w:p>
      <w:pPr>
        <w:pStyle w:val="3"/>
        <w:spacing w:line="360" w:lineRule="auto"/>
        <w:ind w:firstLine="0" w:firstLineChars="0"/>
        <w:rPr>
          <w:rFonts w:hint="eastAsia"/>
        </w:rPr>
      </w:pPr>
      <w:r>
        <w:rPr>
          <w:rFonts w:hint="eastAsia"/>
        </w:rPr>
        <w:t>2、基础能力（资源）建设</w:t>
      </w:r>
    </w:p>
    <w:p>
      <w:pPr>
        <w:pStyle w:val="3"/>
        <w:spacing w:line="360" w:lineRule="auto"/>
        <w:ind w:firstLineChars="200"/>
        <w:rPr>
          <w:rFonts w:hint="eastAsia"/>
        </w:rPr>
      </w:pPr>
      <w:r>
        <w:rPr>
          <w:rFonts w:hint="eastAsia"/>
        </w:rPr>
        <w:t>为支撑平台整体建设需要，基础能力（资源）主要由“采集应用”以及相关的配套功能开发与设备采购为子系统或模块进行开发建设。</w:t>
      </w:r>
    </w:p>
    <w:p>
      <w:pPr>
        <w:pStyle w:val="3"/>
        <w:spacing w:line="360" w:lineRule="auto"/>
        <w:ind w:firstLineChars="200"/>
        <w:rPr>
          <w:rFonts w:hint="eastAsia"/>
        </w:rPr>
      </w:pPr>
      <w:r>
        <w:rPr>
          <w:rFonts w:hint="eastAsia"/>
        </w:rPr>
        <w:t>互联网侧包含人房录入小程序、防疫硬件建设标准；政务网侧搭建基础服务接口应用（含健康码接口、疫苗接种接口、标准地址接口）单元管理平台；政务云到公安信息网搭建专门的数据通道、公安信息</w:t>
      </w:r>
    </w:p>
    <w:p>
      <w:pPr>
        <w:pStyle w:val="3"/>
        <w:spacing w:line="360" w:lineRule="auto"/>
        <w:ind w:firstLine="0" w:firstLineChars="0"/>
        <w:rPr>
          <w:rFonts w:hint="eastAsia"/>
        </w:rPr>
      </w:pPr>
      <w:r>
        <w:rPr>
          <w:rFonts w:hint="eastAsia"/>
        </w:rPr>
        <w:t>网内建设永嘉县疫情防控智治平台；购买服务器和政务云服务；为公办菜场、试点村社集中配置一批防疫码采集终端（智能防疫扫码枪、桌面式智能防疫扫码盒、门禁设备）。</w:t>
      </w:r>
    </w:p>
    <w:p>
      <w:pPr>
        <w:pStyle w:val="4"/>
        <w:spacing w:line="360" w:lineRule="auto"/>
        <w:ind w:left="0" w:leftChars="0"/>
        <w:rPr>
          <w:rFonts w:hint="eastAsia" w:ascii="宋体" w:eastAsia="宋体"/>
          <w:b w:val="0"/>
          <w:bCs w:val="0"/>
          <w:color w:val="auto"/>
          <w:sz w:val="22"/>
          <w:szCs w:val="22"/>
        </w:rPr>
      </w:pPr>
      <w:r>
        <w:rPr>
          <w:rFonts w:hint="eastAsia" w:ascii="宋体" w:eastAsia="宋体"/>
          <w:b w:val="0"/>
          <w:bCs w:val="0"/>
          <w:color w:val="auto"/>
          <w:sz w:val="22"/>
          <w:szCs w:val="22"/>
        </w:rPr>
        <w:t>3、具体体现：</w:t>
      </w:r>
    </w:p>
    <w:p>
      <w:pPr>
        <w:pStyle w:val="4"/>
        <w:spacing w:line="360" w:lineRule="auto"/>
        <w:ind w:left="0" w:leftChars="0"/>
        <w:rPr>
          <w:rFonts w:hint="eastAsia"/>
          <w:b w:val="0"/>
          <w:bCs w:val="0"/>
          <w:color w:val="auto"/>
        </w:rPr>
      </w:pPr>
      <w:r>
        <w:rPr>
          <w:rFonts w:hint="eastAsia" w:ascii="宋体" w:eastAsia="宋体"/>
          <w:b w:val="0"/>
          <w:bCs w:val="0"/>
          <w:color w:val="auto"/>
          <w:sz w:val="22"/>
          <w:szCs w:val="22"/>
        </w:rPr>
        <w:t>1、单元管控</w:t>
      </w:r>
    </w:p>
    <w:p>
      <w:pPr>
        <w:pStyle w:val="2"/>
        <w:spacing w:line="360" w:lineRule="auto"/>
        <w:rPr>
          <w:rFonts w:hint="eastAsia" w:ascii="宋体" w:hAnsi="宋体" w:cs="宋体"/>
          <w:sz w:val="22"/>
          <w:szCs w:val="22"/>
        </w:rPr>
      </w:pPr>
      <w:r>
        <w:rPr>
          <w:rFonts w:hint="eastAsia" w:ascii="宋体" w:hAnsi="宋体" w:cs="宋体"/>
          <w:sz w:val="22"/>
          <w:szCs w:val="22"/>
        </w:rPr>
        <w:t>①单元建设（建楼建房）</w:t>
      </w:r>
    </w:p>
    <w:p>
      <w:pPr>
        <w:pStyle w:val="2"/>
        <w:spacing w:line="360" w:lineRule="auto"/>
        <w:ind w:firstLine="440" w:firstLineChars="200"/>
        <w:rPr>
          <w:rFonts w:hint="eastAsia" w:ascii="宋体" w:hAnsi="宋体" w:cs="宋体"/>
          <w:sz w:val="22"/>
          <w:szCs w:val="22"/>
        </w:rPr>
      </w:pPr>
      <w:r>
        <w:rPr>
          <w:rFonts w:hint="eastAsia" w:ascii="宋体" w:hAnsi="宋体" w:cs="宋体"/>
          <w:sz w:val="22"/>
          <w:szCs w:val="22"/>
        </w:rPr>
        <w:t>一级，单元采集。以门牌地址为标准，对辖区进行单元信息采集归集。包括住宅、学校、工地、工厂、商铺、写字楼等场所。按省政法委、省公安厅共同打造的最新“标准地址”要求，采集单元名称、行政区划、街路巷、门牌号、经纬度等信息。</w:t>
      </w:r>
    </w:p>
    <w:p>
      <w:pPr>
        <w:pStyle w:val="2"/>
        <w:spacing w:line="360" w:lineRule="auto"/>
        <w:ind w:firstLine="440" w:firstLineChars="200"/>
        <w:rPr>
          <w:rFonts w:hint="eastAsia" w:ascii="宋体" w:hAnsi="宋体" w:cs="宋体"/>
          <w:sz w:val="22"/>
          <w:szCs w:val="22"/>
        </w:rPr>
      </w:pPr>
      <w:r>
        <w:rPr>
          <w:rFonts w:hint="eastAsia" w:ascii="宋体" w:hAnsi="宋体" w:cs="宋体"/>
          <w:sz w:val="22"/>
          <w:szCs w:val="22"/>
        </w:rPr>
        <w:t>二级，楼屋采集。在单元内采集各类楼栋信息，包括小区楼栋、自建独栋、高层楼栋等具体实体。根据实际情况梳理编号，采集楼房结构（层、户数量）。</w:t>
      </w:r>
    </w:p>
    <w:p>
      <w:pPr>
        <w:pStyle w:val="2"/>
        <w:spacing w:line="360" w:lineRule="auto"/>
        <w:ind w:firstLine="440" w:firstLineChars="200"/>
        <w:rPr>
          <w:rFonts w:hint="eastAsia" w:ascii="宋体" w:hAnsi="宋体" w:cs="宋体"/>
          <w:sz w:val="22"/>
          <w:szCs w:val="22"/>
        </w:rPr>
      </w:pPr>
      <w:r>
        <w:rPr>
          <w:rFonts w:hint="eastAsia" w:ascii="宋体" w:hAnsi="宋体" w:cs="宋体"/>
          <w:sz w:val="22"/>
          <w:szCs w:val="22"/>
        </w:rPr>
        <w:t>三级，房户采集。在楼屋基础上，快速建立房户信息。为下一环节，人房关联做好基础。</w:t>
      </w:r>
    </w:p>
    <w:p>
      <w:pPr>
        <w:pStyle w:val="2"/>
        <w:spacing w:line="360" w:lineRule="auto"/>
        <w:rPr>
          <w:rFonts w:hint="eastAsia" w:ascii="宋体" w:hAnsi="宋体" w:cs="宋体"/>
          <w:sz w:val="22"/>
          <w:szCs w:val="22"/>
        </w:rPr>
      </w:pPr>
      <w:r>
        <w:rPr>
          <w:rFonts w:hint="eastAsia" w:ascii="宋体" w:hAnsi="宋体" w:cs="宋体"/>
          <w:sz w:val="22"/>
          <w:szCs w:val="22"/>
        </w:rPr>
        <w:t>②人户关联采集（数字扫楼）</w:t>
      </w:r>
    </w:p>
    <w:p>
      <w:pPr>
        <w:pStyle w:val="2"/>
        <w:spacing w:line="360" w:lineRule="auto"/>
        <w:ind w:firstLine="440" w:firstLineChars="200"/>
        <w:rPr>
          <w:rFonts w:hint="eastAsia" w:ascii="宋体" w:hAnsi="宋体" w:cs="宋体"/>
          <w:sz w:val="22"/>
          <w:szCs w:val="22"/>
        </w:rPr>
      </w:pPr>
      <w:r>
        <w:rPr>
          <w:rFonts w:hint="eastAsia" w:ascii="宋体" w:hAnsi="宋体" w:cs="宋体"/>
          <w:sz w:val="22"/>
          <w:szCs w:val="22"/>
        </w:rPr>
        <w:t>开发浙政钉\浙里办小程序赋能基层工作人员。实现“扫楼”（入户排查）的数字化。通过利用“温州防疫码”能力，扫描居民防疫码，自动填写身份信息，后台查验防疫码警示色，实现入户排查式扫楼的全程数字化。在完成若干次扫楼工作任务的同时，建立健全人户真实信息，结合单元建设实现人户关联，形成平台最核心的基础数据。</w:t>
      </w:r>
    </w:p>
    <w:p>
      <w:pPr>
        <w:pStyle w:val="2"/>
        <w:spacing w:line="360" w:lineRule="auto"/>
        <w:rPr>
          <w:rFonts w:hint="eastAsia" w:ascii="宋体" w:hAnsi="宋体" w:cs="宋体"/>
          <w:sz w:val="22"/>
          <w:szCs w:val="22"/>
        </w:rPr>
      </w:pPr>
      <w:r>
        <w:rPr>
          <w:rFonts w:hint="eastAsia" w:ascii="宋体" w:hAnsi="宋体" w:cs="宋体"/>
          <w:sz w:val="22"/>
          <w:szCs w:val="22"/>
        </w:rPr>
        <w:t>③精准人员全息画像</w:t>
      </w:r>
    </w:p>
    <w:p>
      <w:pPr>
        <w:pStyle w:val="2"/>
        <w:spacing w:line="360" w:lineRule="auto"/>
        <w:ind w:firstLine="440" w:firstLineChars="200"/>
        <w:rPr>
          <w:rFonts w:hint="eastAsia" w:ascii="宋体" w:hAnsi="宋体" w:cs="宋体"/>
          <w:sz w:val="22"/>
          <w:szCs w:val="22"/>
        </w:rPr>
      </w:pPr>
      <w:r>
        <w:rPr>
          <w:rFonts w:hint="eastAsia" w:ascii="宋体" w:hAnsi="宋体" w:cs="宋体"/>
          <w:sz w:val="22"/>
          <w:szCs w:val="22"/>
        </w:rPr>
        <w:t>平台对接永嘉大数据中心公共数据平台，获取防疫相关的其他信息，如疫苗、核酸等。对接公安内部系统（公安涉密系统，本文不表）。最终形成涵盖人员真实基础信息、轨迹信息、防疫信息的“精准人员全息画像”。</w:t>
      </w:r>
    </w:p>
    <w:p>
      <w:pPr>
        <w:pStyle w:val="2"/>
        <w:spacing w:line="360" w:lineRule="auto"/>
        <w:rPr>
          <w:rFonts w:hint="eastAsia" w:ascii="宋体" w:hAnsi="宋体" w:cs="宋体"/>
          <w:sz w:val="22"/>
          <w:szCs w:val="22"/>
        </w:rPr>
      </w:pPr>
      <w:r>
        <w:rPr>
          <w:rFonts w:hint="eastAsia" w:ascii="宋体" w:hAnsi="宋体" w:cs="宋体"/>
          <w:sz w:val="22"/>
          <w:szCs w:val="22"/>
        </w:rPr>
        <w:t>④数据鲜活机制</w:t>
      </w:r>
    </w:p>
    <w:p>
      <w:pPr>
        <w:pStyle w:val="2"/>
        <w:spacing w:line="360" w:lineRule="auto"/>
        <w:ind w:firstLine="440" w:firstLineChars="200"/>
        <w:rPr>
          <w:rFonts w:hint="eastAsia" w:ascii="宋体" w:hAnsi="宋体" w:cs="宋体"/>
          <w:sz w:val="22"/>
          <w:szCs w:val="22"/>
        </w:rPr>
      </w:pPr>
      <w:r>
        <w:rPr>
          <w:rFonts w:hint="eastAsia" w:ascii="宋体" w:hAnsi="宋体" w:cs="宋体"/>
          <w:sz w:val="22"/>
          <w:szCs w:val="22"/>
        </w:rPr>
        <w:t>本平台对接智安小区平台。利用智安小区已有的人脸识别闸机，在居民在进出小区门口时，只需通过闸机的人脸识别机，平台将实时获取其温州防疫码的状态。在闸机的人脸识别机上显示该人的防疫码状态，并进行语音播报，即可核验其防疫码状态。实现出入留码，守好“小门”。利用小区住宅是人核心落脚点的逻辑，通过出入设备获取数据保持人员数据的鲜活。平台对接“温州防疫码平台”。利用场所码和扫码设备的数据回来，来保持人员数据的鲜活。利用上述两个平台的对接，为“精准人员全息画像”分析人员变动情况，提醒基层关注疑似变动人员信息，保持人员数据鲜活。</w:t>
      </w:r>
    </w:p>
    <w:p>
      <w:pPr>
        <w:pStyle w:val="2"/>
        <w:spacing w:line="360" w:lineRule="auto"/>
        <w:rPr>
          <w:rFonts w:hint="eastAsia" w:ascii="宋体" w:hAnsi="宋体" w:cs="宋体"/>
          <w:sz w:val="22"/>
          <w:szCs w:val="22"/>
        </w:rPr>
      </w:pPr>
      <w:r>
        <w:rPr>
          <w:rFonts w:hint="eastAsia" w:ascii="宋体" w:hAnsi="宋体" w:cs="宋体"/>
          <w:sz w:val="22"/>
          <w:szCs w:val="22"/>
        </w:rPr>
        <w:t>2、区域协查</w:t>
      </w:r>
    </w:p>
    <w:p>
      <w:pPr>
        <w:pStyle w:val="2"/>
        <w:spacing w:line="360" w:lineRule="auto"/>
        <w:ind w:firstLine="440" w:firstLineChars="200"/>
        <w:rPr>
          <w:rFonts w:hint="eastAsia" w:ascii="宋体" w:hAnsi="宋体" w:cs="宋体"/>
          <w:sz w:val="22"/>
          <w:szCs w:val="22"/>
        </w:rPr>
      </w:pPr>
      <w:r>
        <w:rPr>
          <w:rFonts w:hint="eastAsia" w:ascii="宋体" w:hAnsi="宋体" w:cs="宋体"/>
          <w:sz w:val="22"/>
          <w:szCs w:val="22"/>
        </w:rPr>
        <w:t>对重点管控人员进行数据可视化分析，统计境内外协查完成情况、管控分类情况等信息。结合单元管控实现触网人员自动预警，基于 GIS 地图分级散点显示触网人员和时空伴随人员，时效路线展示触网人员行动轨迹。</w:t>
      </w:r>
    </w:p>
    <w:p>
      <w:pPr>
        <w:pStyle w:val="2"/>
        <w:spacing w:line="360" w:lineRule="auto"/>
        <w:rPr>
          <w:rFonts w:hint="eastAsia" w:ascii="宋体" w:hAnsi="宋体" w:cs="宋体"/>
          <w:sz w:val="22"/>
          <w:szCs w:val="22"/>
        </w:rPr>
      </w:pPr>
      <w:r>
        <w:rPr>
          <w:rFonts w:hint="eastAsia" w:ascii="宋体" w:hAnsi="宋体" w:cs="宋体"/>
          <w:sz w:val="22"/>
          <w:szCs w:val="22"/>
        </w:rPr>
        <w:t>3、流调溯源</w:t>
      </w:r>
    </w:p>
    <w:p>
      <w:pPr>
        <w:pStyle w:val="2"/>
        <w:spacing w:line="360" w:lineRule="auto"/>
        <w:rPr>
          <w:rFonts w:hint="eastAsia" w:ascii="宋体" w:hAnsi="宋体" w:cs="宋体"/>
          <w:sz w:val="22"/>
          <w:szCs w:val="22"/>
        </w:rPr>
      </w:pPr>
      <w:r>
        <w:rPr>
          <w:rFonts w:hint="eastAsia" w:ascii="宋体" w:hAnsi="宋体" w:cs="宋体"/>
          <w:sz w:val="22"/>
          <w:szCs w:val="22"/>
        </w:rPr>
        <w:t>①统一平台、上通下达</w:t>
      </w:r>
    </w:p>
    <w:p>
      <w:pPr>
        <w:pStyle w:val="2"/>
        <w:spacing w:line="360" w:lineRule="auto"/>
        <w:ind w:firstLine="440" w:firstLineChars="200"/>
        <w:rPr>
          <w:rFonts w:hint="eastAsia" w:ascii="宋体" w:hAnsi="宋体" w:cs="宋体"/>
          <w:sz w:val="22"/>
          <w:szCs w:val="22"/>
        </w:rPr>
      </w:pPr>
      <w:r>
        <w:rPr>
          <w:rFonts w:hint="eastAsia" w:ascii="宋体" w:hAnsi="宋体" w:cs="宋体"/>
          <w:sz w:val="22"/>
          <w:szCs w:val="22"/>
        </w:rPr>
        <w:t>五部门流调工作统一平台协同作战，疫情防控流调任务第一时间传达到相关工作人员，流调工作进展实时更新展示，上级领导第一时间获取疫情防控工作实时状态。</w:t>
      </w:r>
    </w:p>
    <w:p>
      <w:pPr>
        <w:pStyle w:val="2"/>
        <w:spacing w:line="360" w:lineRule="auto"/>
        <w:rPr>
          <w:rFonts w:hint="eastAsia" w:ascii="宋体" w:hAnsi="宋体" w:cs="宋体"/>
          <w:sz w:val="22"/>
          <w:szCs w:val="22"/>
        </w:rPr>
      </w:pPr>
      <w:r>
        <w:rPr>
          <w:rFonts w:hint="eastAsia" w:ascii="宋体" w:hAnsi="宋体" w:cs="宋体"/>
          <w:sz w:val="22"/>
          <w:szCs w:val="22"/>
        </w:rPr>
        <w:t>②实时监测</w:t>
      </w:r>
    </w:p>
    <w:p>
      <w:pPr>
        <w:pStyle w:val="2"/>
        <w:spacing w:line="360" w:lineRule="auto"/>
        <w:ind w:firstLine="440" w:firstLineChars="200"/>
        <w:rPr>
          <w:rFonts w:hint="eastAsia" w:ascii="宋体" w:hAnsi="宋体" w:cs="宋体"/>
          <w:sz w:val="22"/>
          <w:szCs w:val="22"/>
        </w:rPr>
      </w:pPr>
      <w:r>
        <w:rPr>
          <w:rFonts w:hint="eastAsia" w:ascii="宋体" w:hAnsi="宋体" w:cs="宋体"/>
          <w:sz w:val="22"/>
          <w:szCs w:val="22"/>
        </w:rPr>
        <w:t>满足 4&amp;24 小时的流调任务时间要求，实时监测当下的流调进展动态数据看板，数据汇总形成可视化数据驾驶舱。为领导防疫决策提供实时数据支撑。</w:t>
      </w:r>
    </w:p>
    <w:p>
      <w:pPr>
        <w:pStyle w:val="2"/>
        <w:spacing w:line="360" w:lineRule="auto"/>
        <w:rPr>
          <w:rFonts w:hint="eastAsia" w:ascii="宋体" w:hAnsi="宋体" w:cs="宋体"/>
          <w:sz w:val="22"/>
          <w:szCs w:val="22"/>
        </w:rPr>
      </w:pPr>
      <w:r>
        <w:rPr>
          <w:rFonts w:hint="eastAsia" w:ascii="宋体" w:hAnsi="宋体" w:cs="宋体"/>
          <w:sz w:val="22"/>
          <w:szCs w:val="22"/>
        </w:rPr>
        <w:t>③高效协同</w:t>
      </w:r>
    </w:p>
    <w:p>
      <w:pPr>
        <w:pStyle w:val="2"/>
        <w:spacing w:line="360" w:lineRule="auto"/>
        <w:ind w:firstLine="440" w:firstLineChars="200"/>
        <w:rPr>
          <w:rFonts w:hint="eastAsia" w:ascii="宋体" w:hAnsi="宋体" w:cs="宋体"/>
          <w:sz w:val="22"/>
          <w:szCs w:val="22"/>
        </w:rPr>
      </w:pPr>
      <w:r>
        <w:rPr>
          <w:rFonts w:hint="eastAsia" w:ascii="宋体" w:hAnsi="宋体" w:cs="宋体"/>
          <w:sz w:val="22"/>
          <w:szCs w:val="22"/>
        </w:rPr>
        <w:t>五部门场内场外多人协同作战，实现流调工作量化闭环，目标导向，清单化推进，责任落实，到边到底。对信息进行精细化完善，追根溯源无遗漏，不错判，达到精密智控。做到边流调溯源、边传递信息、边追踪核查、边落实管控。</w:t>
      </w:r>
    </w:p>
    <w:p>
      <w:pPr>
        <w:pStyle w:val="2"/>
        <w:spacing w:line="360" w:lineRule="auto"/>
        <w:rPr>
          <w:rFonts w:hint="eastAsia" w:ascii="宋体" w:hAnsi="宋体" w:cs="宋体"/>
          <w:sz w:val="22"/>
          <w:szCs w:val="22"/>
        </w:rPr>
      </w:pPr>
      <w:r>
        <w:rPr>
          <w:rFonts w:hint="eastAsia" w:ascii="宋体" w:hAnsi="宋体" w:cs="宋体"/>
          <w:sz w:val="22"/>
          <w:szCs w:val="22"/>
        </w:rPr>
        <w:t>④快速全面</w:t>
      </w:r>
    </w:p>
    <w:p>
      <w:pPr>
        <w:pStyle w:val="2"/>
        <w:spacing w:line="360" w:lineRule="auto"/>
        <w:ind w:firstLine="440" w:firstLineChars="200"/>
        <w:rPr>
          <w:rFonts w:hint="eastAsia" w:ascii="宋体" w:hAnsi="宋体" w:cs="宋体"/>
          <w:sz w:val="22"/>
          <w:szCs w:val="22"/>
        </w:rPr>
      </w:pPr>
      <w:r>
        <w:rPr>
          <w:rFonts w:hint="eastAsia" w:ascii="宋体" w:hAnsi="宋体" w:cs="宋体"/>
          <w:sz w:val="22"/>
          <w:szCs w:val="22"/>
        </w:rPr>
        <w:t>管住重点人，放开健康人，实现疫情防控工作精密型智控模式。根据时间、空间、事件、人员四个维度，对多目标信息采集、核实、形成拓扑脑图、行动轨迹、流调报告、关联人员清单等汇总数据，不漏一人、不疏一环，实现一人不漏、一刻不误。</w:t>
      </w:r>
    </w:p>
    <w:p>
      <w:pPr>
        <w:pStyle w:val="2"/>
        <w:spacing w:line="360" w:lineRule="auto"/>
        <w:rPr>
          <w:rFonts w:hint="eastAsia" w:ascii="宋体" w:hAnsi="宋体" w:cs="宋体"/>
          <w:sz w:val="22"/>
          <w:szCs w:val="22"/>
        </w:rPr>
      </w:pPr>
      <w:r>
        <w:rPr>
          <w:rFonts w:hint="eastAsia" w:ascii="宋体" w:hAnsi="宋体" w:cs="宋体"/>
          <w:sz w:val="22"/>
          <w:szCs w:val="22"/>
        </w:rPr>
        <w:t>4、隔离管控</w:t>
      </w:r>
    </w:p>
    <w:p>
      <w:pPr>
        <w:pStyle w:val="2"/>
        <w:spacing w:line="360" w:lineRule="auto"/>
        <w:ind w:firstLine="440" w:firstLineChars="200"/>
        <w:rPr>
          <w:rFonts w:hint="eastAsia" w:ascii="宋体" w:hAnsi="宋体" w:cs="宋体"/>
          <w:sz w:val="22"/>
          <w:szCs w:val="22"/>
        </w:rPr>
      </w:pPr>
      <w:r>
        <w:rPr>
          <w:rFonts w:hint="eastAsia" w:ascii="宋体" w:hAnsi="宋体" w:cs="宋体"/>
          <w:sz w:val="22"/>
          <w:szCs w:val="22"/>
        </w:rPr>
        <w:t>提供贯穿隔离工作从接受到服务到结束的全流程，赋能基层管理工作和防疫监督监管。</w:t>
      </w:r>
    </w:p>
    <w:p>
      <w:pPr>
        <w:pStyle w:val="2"/>
        <w:spacing w:line="360" w:lineRule="auto"/>
        <w:ind w:firstLine="440" w:firstLineChars="200"/>
        <w:rPr>
          <w:rFonts w:hint="eastAsia" w:ascii="宋体" w:hAnsi="宋体" w:cs="宋体"/>
          <w:sz w:val="22"/>
          <w:szCs w:val="22"/>
        </w:rPr>
      </w:pPr>
      <w:r>
        <w:rPr>
          <w:rFonts w:hint="eastAsia" w:ascii="宋体" w:hAnsi="宋体" w:cs="宋体"/>
          <w:sz w:val="22"/>
          <w:szCs w:val="22"/>
        </w:rPr>
        <w:t>具备人员登记、核酸记录、打卡功能，隔离结束转移管理等业务的具体数字化流程支撑。并提供 GIS 可视化地图展示隔离点地理信息、服务功能、容量规模、负责人、负责单位、工作人员等基本信息，体现隔离点现有工作状态，和空闲容纳能力，为领导防疫工作决策提供依据。接入公安雪亮视频能力，实景巡查各个隔离点的状况。基于GIS 地图，快速点击打开现场视频监控，对隔离点场所内外情况、重点部位、周边交通，实现直达式查看。有条件场所可设置无人机进行机动力量和盲点补充。</w:t>
      </w:r>
    </w:p>
    <w:p>
      <w:pPr>
        <w:pStyle w:val="2"/>
        <w:spacing w:line="360" w:lineRule="auto"/>
        <w:rPr>
          <w:rFonts w:hint="eastAsia" w:ascii="宋体" w:hAnsi="宋体" w:cs="宋体"/>
          <w:sz w:val="22"/>
          <w:szCs w:val="22"/>
        </w:rPr>
      </w:pPr>
      <w:r>
        <w:rPr>
          <w:rFonts w:hint="eastAsia" w:ascii="宋体" w:hAnsi="宋体" w:cs="宋体"/>
          <w:sz w:val="22"/>
          <w:szCs w:val="22"/>
        </w:rPr>
        <w:t>5、应急处置</w:t>
      </w:r>
    </w:p>
    <w:p>
      <w:pPr>
        <w:pStyle w:val="2"/>
        <w:spacing w:line="360" w:lineRule="auto"/>
        <w:rPr>
          <w:rFonts w:hint="eastAsia" w:ascii="宋体" w:hAnsi="宋体" w:cs="宋体"/>
          <w:sz w:val="22"/>
          <w:szCs w:val="22"/>
        </w:rPr>
      </w:pPr>
      <w:r>
        <w:rPr>
          <w:rFonts w:hint="eastAsia" w:ascii="宋体" w:hAnsi="宋体" w:cs="宋体"/>
          <w:sz w:val="22"/>
          <w:szCs w:val="22"/>
        </w:rPr>
        <w:t>①在线勤务</w:t>
      </w:r>
    </w:p>
    <w:p>
      <w:pPr>
        <w:pStyle w:val="2"/>
        <w:spacing w:line="360" w:lineRule="auto"/>
        <w:ind w:firstLine="440" w:firstLineChars="200"/>
        <w:rPr>
          <w:rFonts w:hint="eastAsia" w:ascii="宋体" w:hAnsi="宋体" w:cs="宋体"/>
          <w:sz w:val="22"/>
          <w:szCs w:val="22"/>
        </w:rPr>
      </w:pPr>
      <w:r>
        <w:rPr>
          <w:rFonts w:hint="eastAsia" w:ascii="宋体" w:hAnsi="宋体" w:cs="宋体"/>
          <w:sz w:val="22"/>
          <w:szCs w:val="22"/>
        </w:rPr>
        <w:t>应急处置采取“三队三清单”机制，疫情发生时“三区”（封控区、管控区、防范区）一旦划定，相关处置机制激活。实现实有通道（封控通道、防疫通道）、实有点位（现场指挥点、核酸检测点、临时停车点）、实有监控（高位监控、管控圈监控、动态监控）的全面标注展示。</w:t>
      </w:r>
    </w:p>
    <w:p>
      <w:pPr>
        <w:pStyle w:val="2"/>
        <w:spacing w:line="360" w:lineRule="auto"/>
        <w:rPr>
          <w:rFonts w:hint="eastAsia" w:ascii="宋体" w:hAnsi="宋体" w:cs="宋体"/>
          <w:sz w:val="22"/>
          <w:szCs w:val="22"/>
        </w:rPr>
      </w:pPr>
      <w:r>
        <w:rPr>
          <w:rFonts w:hint="eastAsia" w:ascii="宋体" w:hAnsi="宋体" w:cs="宋体"/>
          <w:sz w:val="22"/>
          <w:szCs w:val="22"/>
        </w:rPr>
        <w:t>②在线指挥</w:t>
      </w:r>
    </w:p>
    <w:p>
      <w:pPr>
        <w:pStyle w:val="2"/>
        <w:spacing w:line="360" w:lineRule="auto"/>
        <w:ind w:firstLine="440" w:firstLineChars="200"/>
        <w:rPr>
          <w:rFonts w:hint="eastAsia" w:ascii="宋体" w:hAnsi="宋体" w:cs="宋体"/>
          <w:sz w:val="22"/>
          <w:szCs w:val="22"/>
        </w:rPr>
      </w:pPr>
      <w:r>
        <w:rPr>
          <w:rFonts w:hint="eastAsia" w:ascii="宋体" w:hAnsi="宋体" w:cs="宋体"/>
          <w:sz w:val="22"/>
          <w:szCs w:val="22"/>
        </w:rPr>
        <w:t>力量到位，根据三队清单，将公安、防疫、地方三方相关人员进行编组；指令到人，发送预案与处置指令；打卡到位，通过“已读”、“已到位”等操作确保信息到位、责任到位，并对未及时响应人员做预警提醒。</w:t>
      </w:r>
    </w:p>
    <w:p>
      <w:pPr>
        <w:pStyle w:val="2"/>
        <w:spacing w:line="360" w:lineRule="auto"/>
        <w:rPr>
          <w:rFonts w:hint="eastAsia" w:ascii="宋体" w:hAnsi="宋体" w:cs="宋体"/>
          <w:sz w:val="22"/>
          <w:szCs w:val="22"/>
        </w:rPr>
      </w:pPr>
      <w:r>
        <w:rPr>
          <w:rFonts w:hint="eastAsia" w:ascii="宋体" w:hAnsi="宋体" w:cs="宋体"/>
          <w:sz w:val="22"/>
          <w:szCs w:val="22"/>
        </w:rPr>
        <w:t>③在线作战</w:t>
      </w:r>
    </w:p>
    <w:p>
      <w:pPr>
        <w:pStyle w:val="2"/>
        <w:spacing w:line="360" w:lineRule="auto"/>
        <w:ind w:firstLine="440" w:firstLineChars="200"/>
        <w:rPr>
          <w:rFonts w:hint="eastAsia" w:ascii="宋体" w:hAnsi="宋体" w:cs="宋体"/>
          <w:sz w:val="22"/>
          <w:szCs w:val="22"/>
        </w:rPr>
      </w:pPr>
      <w:r>
        <w:rPr>
          <w:rFonts w:hint="eastAsia" w:ascii="宋体" w:hAnsi="宋体" w:cs="宋体"/>
          <w:sz w:val="22"/>
          <w:szCs w:val="22"/>
        </w:rPr>
        <w:t>对接防疫的核酸数据、疫苗接种数据、人员力量，公安的“应急护航”、雪亮视频能力，进行可视化呈现，实现可视化指挥；圈内人员底数、核酸、疫苗等数据实现内容分析，达到数字研判；对象精准、投入精准相互联动，实现精准化管控。</w:t>
      </w:r>
    </w:p>
    <w:p>
      <w:pPr>
        <w:widowControl/>
        <w:numPr>
          <w:ilvl w:val="0"/>
          <w:numId w:val="1"/>
        </w:numPr>
        <w:spacing w:after="62" w:afterLines="20" w:line="360" w:lineRule="auto"/>
        <w:jc w:val="left"/>
      </w:pPr>
      <w:r>
        <w:rPr>
          <w:rFonts w:hint="eastAsia" w:ascii="宋体" w:hAnsi="宋体"/>
          <w:b/>
          <w:sz w:val="22"/>
          <w:szCs w:val="22"/>
        </w:rPr>
        <w:t>采购内容及要求</w:t>
      </w:r>
    </w:p>
    <w:tbl>
      <w:tblPr>
        <w:tblStyle w:val="41"/>
        <w:tblW w:w="914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665"/>
        <w:gridCol w:w="597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noWrap w:val="0"/>
            <w:vAlign w:val="center"/>
          </w:tcPr>
          <w:p>
            <w:pPr>
              <w:widowControl/>
              <w:spacing w:line="360" w:lineRule="auto"/>
              <w:jc w:val="center"/>
              <w:textAlignment w:val="center"/>
              <w:rPr>
                <w:rFonts w:hint="eastAsia" w:ascii="宋体" w:hAnsi="宋体" w:cs="宋体"/>
                <w:b/>
                <w:bCs/>
                <w:sz w:val="22"/>
                <w:szCs w:val="22"/>
              </w:rPr>
            </w:pPr>
            <w:r>
              <w:rPr>
                <w:rFonts w:hint="eastAsia" w:ascii="宋体" w:hAnsi="宋体" w:cs="宋体"/>
                <w:b/>
                <w:bCs/>
                <w:kern w:val="0"/>
                <w:sz w:val="22"/>
                <w:szCs w:val="22"/>
                <w:lang w:bidi="ar"/>
              </w:rPr>
              <w:t>序号</w:t>
            </w:r>
          </w:p>
        </w:tc>
        <w:tc>
          <w:tcPr>
            <w:tcW w:w="1665" w:type="dxa"/>
            <w:noWrap w:val="0"/>
            <w:vAlign w:val="center"/>
          </w:tcPr>
          <w:p>
            <w:pPr>
              <w:widowControl/>
              <w:spacing w:line="360" w:lineRule="auto"/>
              <w:jc w:val="center"/>
              <w:textAlignment w:val="center"/>
              <w:rPr>
                <w:rFonts w:hint="eastAsia" w:ascii="宋体" w:hAnsi="宋体" w:cs="宋体"/>
                <w:b/>
                <w:bCs/>
                <w:sz w:val="22"/>
                <w:szCs w:val="22"/>
              </w:rPr>
            </w:pPr>
            <w:r>
              <w:rPr>
                <w:rFonts w:hint="eastAsia" w:ascii="宋体" w:hAnsi="宋体" w:cs="宋体"/>
                <w:b/>
                <w:bCs/>
                <w:kern w:val="0"/>
                <w:sz w:val="22"/>
                <w:szCs w:val="22"/>
                <w:lang w:bidi="ar"/>
              </w:rPr>
              <w:t>功能名称</w:t>
            </w:r>
          </w:p>
        </w:tc>
        <w:tc>
          <w:tcPr>
            <w:tcW w:w="5977" w:type="dxa"/>
            <w:noWrap w:val="0"/>
            <w:vAlign w:val="center"/>
          </w:tcPr>
          <w:p>
            <w:pPr>
              <w:widowControl/>
              <w:spacing w:line="360" w:lineRule="auto"/>
              <w:jc w:val="center"/>
              <w:textAlignment w:val="center"/>
              <w:rPr>
                <w:rFonts w:hint="eastAsia" w:ascii="宋体" w:hAnsi="宋体" w:cs="宋体"/>
                <w:b/>
                <w:bCs/>
                <w:sz w:val="22"/>
                <w:szCs w:val="22"/>
              </w:rPr>
            </w:pPr>
            <w:r>
              <w:rPr>
                <w:rFonts w:hint="eastAsia" w:ascii="宋体" w:hAnsi="宋体" w:cs="宋体"/>
                <w:b/>
                <w:bCs/>
                <w:sz w:val="22"/>
                <w:szCs w:val="22"/>
              </w:rPr>
              <w:t>技术要求</w:t>
            </w:r>
          </w:p>
        </w:tc>
        <w:tc>
          <w:tcPr>
            <w:tcW w:w="667" w:type="dxa"/>
            <w:noWrap w:val="0"/>
            <w:vAlign w:val="center"/>
          </w:tcPr>
          <w:p>
            <w:pPr>
              <w:widowControl/>
              <w:spacing w:line="360" w:lineRule="auto"/>
              <w:jc w:val="center"/>
              <w:textAlignment w:val="center"/>
              <w:rPr>
                <w:rFonts w:hint="eastAsia" w:ascii="宋体" w:hAnsi="宋体" w:cs="宋体"/>
                <w:b/>
                <w:bCs/>
                <w:sz w:val="22"/>
                <w:szCs w:val="22"/>
              </w:rPr>
            </w:pPr>
            <w:r>
              <w:rPr>
                <w:rFonts w:hint="eastAsia" w:ascii="宋体" w:hAnsi="宋体" w:cs="宋体"/>
                <w:b/>
                <w:bCs/>
                <w:kern w:val="0"/>
                <w:sz w:val="22"/>
                <w:szCs w:val="22"/>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noWrap w:val="0"/>
            <w:vAlign w:val="center"/>
          </w:tcPr>
          <w:p>
            <w:pPr>
              <w:widowControl/>
              <w:spacing w:line="360" w:lineRule="auto"/>
              <w:jc w:val="center"/>
              <w:textAlignment w:val="center"/>
              <w:rPr>
                <w:rFonts w:ascii="宋体" w:hAnsi="宋体" w:cs="宋体"/>
                <w:b/>
                <w:bCs/>
                <w:kern w:val="0"/>
                <w:sz w:val="22"/>
                <w:szCs w:val="22"/>
                <w:lang w:bidi="ar"/>
              </w:rPr>
            </w:pPr>
            <w:r>
              <w:rPr>
                <w:rFonts w:hint="eastAsia" w:ascii="宋体" w:hAnsi="宋体" w:cs="宋体"/>
                <w:b/>
                <w:bCs/>
                <w:kern w:val="0"/>
                <w:sz w:val="22"/>
                <w:szCs w:val="22"/>
                <w:lang w:bidi="ar"/>
              </w:rPr>
              <w:t>一、</w:t>
            </w:r>
          </w:p>
        </w:tc>
        <w:tc>
          <w:tcPr>
            <w:tcW w:w="8309" w:type="dxa"/>
            <w:gridSpan w:val="3"/>
            <w:noWrap w:val="0"/>
            <w:vAlign w:val="center"/>
          </w:tcPr>
          <w:p>
            <w:pPr>
              <w:widowControl/>
              <w:spacing w:line="360" w:lineRule="auto"/>
              <w:jc w:val="left"/>
              <w:textAlignment w:val="center"/>
              <w:rPr>
                <w:rFonts w:hint="eastAsia" w:ascii="宋体" w:hAnsi="宋体" w:cs="宋体"/>
                <w:b/>
                <w:bCs/>
                <w:kern w:val="0"/>
                <w:sz w:val="22"/>
                <w:szCs w:val="22"/>
                <w:lang w:bidi="ar"/>
              </w:rPr>
            </w:pPr>
            <w:r>
              <w:rPr>
                <w:rFonts w:hint="eastAsia" w:ascii="宋体" w:hAnsi="宋体" w:cs="宋体"/>
                <w:kern w:val="0"/>
                <w:sz w:val="22"/>
                <w:szCs w:val="22"/>
                <w:lang w:bidi="ar"/>
              </w:rPr>
              <w:t>数字驾驶舱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832"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1665" w:type="dxa"/>
            <w:noWrap w:val="0"/>
            <w:vAlign w:val="center"/>
          </w:tcPr>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全域监督</w:t>
            </w: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基于整体平台数据的再加工，分街镇进行统计、分析、展示。以图表形式展示建人建房进度、扫楼进度、接种工作情况、区域协查工作情况及各街镇任务完成率，用于全县防疫工作的宏观掌握与督考。</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 单元采集进度</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 人户采集关联进度</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 街镇工作进度</w:t>
            </w:r>
          </w:p>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4） ***工作进度</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832"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2</w:t>
            </w:r>
          </w:p>
        </w:tc>
        <w:tc>
          <w:tcPr>
            <w:tcW w:w="1665" w:type="dxa"/>
            <w:noWrap w:val="0"/>
            <w:vAlign w:val="center"/>
          </w:tcPr>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单元管控</w:t>
            </w:r>
          </w:p>
        </w:tc>
        <w:tc>
          <w:tcPr>
            <w:tcW w:w="5977" w:type="dxa"/>
            <w:noWrap w:val="0"/>
            <w:vAlign w:val="center"/>
          </w:tcPr>
          <w:p>
            <w:pPr>
              <w:widowControl/>
              <w:spacing w:line="360" w:lineRule="auto"/>
              <w:jc w:val="left"/>
              <w:textAlignment w:val="center"/>
              <w:rPr>
                <w:rFonts w:hint="eastAsia"/>
              </w:rPr>
            </w:pPr>
            <w:r>
              <w:rPr>
                <w:rFonts w:hint="eastAsia"/>
              </w:rPr>
              <w:t>全面展示单元管控的建设情况与日常使用情况，以图表形式展示实有数据、户籍信息、社区关怀信息、扫描情况、并对单元管控产生的事件报警与数字扫楼进行实时展示与历史统计。在地图上显示各单元的位置，并可查看单元的建房建人数据。</w:t>
            </w:r>
          </w:p>
          <w:p>
            <w:pPr>
              <w:widowControl/>
              <w:spacing w:line="360" w:lineRule="auto"/>
              <w:jc w:val="left"/>
              <w:textAlignment w:val="center"/>
              <w:rPr>
                <w:rFonts w:hint="eastAsia"/>
              </w:rPr>
            </w:pPr>
            <w:r>
              <w:rPr>
                <w:rFonts w:hint="eastAsia"/>
              </w:rPr>
              <w:t>1）实有数据</w:t>
            </w:r>
          </w:p>
          <w:p>
            <w:pPr>
              <w:widowControl/>
              <w:spacing w:line="360" w:lineRule="auto"/>
              <w:jc w:val="left"/>
              <w:textAlignment w:val="center"/>
              <w:rPr>
                <w:rFonts w:hint="eastAsia"/>
              </w:rPr>
            </w:pPr>
            <w:r>
              <w:rPr>
                <w:rFonts w:hint="eastAsia"/>
              </w:rPr>
              <w:t>实有人口数据与细分统计</w:t>
            </w:r>
          </w:p>
          <w:p>
            <w:pPr>
              <w:widowControl/>
              <w:spacing w:line="360" w:lineRule="auto"/>
              <w:jc w:val="left"/>
              <w:textAlignment w:val="center"/>
              <w:rPr>
                <w:rFonts w:hint="eastAsia"/>
              </w:rPr>
            </w:pPr>
            <w:r>
              <w:rPr>
                <w:rFonts w:hint="eastAsia"/>
              </w:rPr>
              <w:t>实有房屋地址数据与细分统计（以标准地址的地址表述为基础）</w:t>
            </w:r>
          </w:p>
          <w:p>
            <w:pPr>
              <w:widowControl/>
              <w:spacing w:line="360" w:lineRule="auto"/>
              <w:jc w:val="left"/>
              <w:textAlignment w:val="center"/>
              <w:rPr>
                <w:rFonts w:hint="eastAsia"/>
              </w:rPr>
            </w:pPr>
            <w:r>
              <w:rPr>
                <w:rFonts w:hint="eastAsia"/>
              </w:rPr>
              <w:t>特殊关爱人群数据与细分统计</w:t>
            </w:r>
          </w:p>
          <w:p>
            <w:pPr>
              <w:widowControl/>
              <w:spacing w:line="360" w:lineRule="auto"/>
              <w:jc w:val="left"/>
              <w:textAlignment w:val="center"/>
              <w:rPr>
                <w:rFonts w:hint="eastAsia"/>
              </w:rPr>
            </w:pPr>
            <w:r>
              <w:rPr>
                <w:rFonts w:hint="eastAsia"/>
              </w:rPr>
              <w:t>防疫预警扫码的数据展示与统计</w:t>
            </w:r>
          </w:p>
          <w:p>
            <w:pPr>
              <w:widowControl/>
              <w:spacing w:line="360" w:lineRule="auto"/>
              <w:jc w:val="left"/>
              <w:textAlignment w:val="center"/>
              <w:rPr>
                <w:rFonts w:hint="eastAsia"/>
              </w:rPr>
            </w:pPr>
            <w:r>
              <w:rPr>
                <w:rFonts w:hint="eastAsia"/>
              </w:rPr>
              <w:t>★2）框选单元</w:t>
            </w:r>
          </w:p>
          <w:p>
            <w:pPr>
              <w:widowControl/>
              <w:spacing w:line="360" w:lineRule="auto"/>
              <w:jc w:val="left"/>
              <w:textAlignment w:val="center"/>
              <w:rPr>
                <w:rFonts w:hint="eastAsia"/>
              </w:rPr>
            </w:pPr>
            <w:r>
              <w:rPr>
                <w:rFonts w:hint="eastAsia"/>
              </w:rPr>
              <w:t>地图可框选任意单元，统计其人、房、防疫等专题信息和统计</w:t>
            </w:r>
          </w:p>
          <w:p>
            <w:pPr>
              <w:widowControl/>
              <w:spacing w:line="360" w:lineRule="auto"/>
              <w:jc w:val="left"/>
              <w:textAlignment w:val="center"/>
              <w:rPr>
                <w:rFonts w:hint="eastAsia"/>
              </w:rPr>
            </w:pPr>
            <w:r>
              <w:rPr>
                <w:rFonts w:hint="eastAsia"/>
              </w:rPr>
              <w:t>★3）专题分析</w:t>
            </w:r>
          </w:p>
          <w:p>
            <w:pPr>
              <w:widowControl/>
              <w:spacing w:line="360" w:lineRule="auto"/>
              <w:jc w:val="left"/>
              <w:textAlignment w:val="center"/>
              <w:rPr>
                <w:rFonts w:hint="eastAsia"/>
              </w:rPr>
            </w:pPr>
            <w:r>
              <w:rPr>
                <w:rFonts w:hint="eastAsia"/>
              </w:rPr>
              <w:t>核酸检测</w:t>
            </w:r>
          </w:p>
          <w:p>
            <w:pPr>
              <w:widowControl/>
              <w:spacing w:line="360" w:lineRule="auto"/>
              <w:jc w:val="left"/>
              <w:textAlignment w:val="center"/>
              <w:rPr>
                <w:rFonts w:hint="eastAsia"/>
              </w:rPr>
            </w:pPr>
            <w:r>
              <w:rPr>
                <w:rFonts w:hint="eastAsia"/>
              </w:rPr>
              <w:t>疫苗接种</w:t>
            </w:r>
          </w:p>
          <w:p>
            <w:pPr>
              <w:pStyle w:val="2"/>
              <w:rPr>
                <w:rFonts w:hint="eastAsia"/>
              </w:rPr>
            </w:pPr>
            <w:r>
              <w:rPr>
                <w:rFonts w:hint="eastAsia" w:ascii="宋体" w:hAnsi="宋体" w:cs="宋体"/>
                <w:kern w:val="0"/>
                <w:sz w:val="22"/>
                <w:szCs w:val="22"/>
                <w:lang w:bidi="ar"/>
              </w:rPr>
              <w:t>★4）人员时空轨迹、关系分析</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832"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3</w:t>
            </w:r>
          </w:p>
        </w:tc>
        <w:tc>
          <w:tcPr>
            <w:tcW w:w="1665" w:type="dxa"/>
            <w:noWrap w:val="0"/>
            <w:vAlign w:val="center"/>
          </w:tcPr>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区域协查</w:t>
            </w:r>
          </w:p>
        </w:tc>
        <w:tc>
          <w:tcPr>
            <w:tcW w:w="5977" w:type="dxa"/>
            <w:noWrap w:val="0"/>
            <w:vAlign w:val="center"/>
          </w:tcPr>
          <w:p>
            <w:pPr>
              <w:widowControl/>
              <w:spacing w:line="360" w:lineRule="auto"/>
              <w:jc w:val="left"/>
              <w:textAlignment w:val="center"/>
              <w:rPr>
                <w:rFonts w:hint="eastAsia"/>
              </w:rPr>
            </w:pPr>
            <w:r>
              <w:rPr>
                <w:rFonts w:hint="eastAsia"/>
              </w:rPr>
              <w:t>展示全县及各街镇承接省市区域协查任务的情况，进行可视化展现分析，以图表形式展示协查任务数和完成数、各街道协查数、重点人员境内外主要来源地，管控人员状态统计、各风险类型统计、各管理措施统计、各月纳入管控人数和结束管控人数。并将分析出的触网人员情况在驾驶舱进行展示。</w:t>
            </w:r>
          </w:p>
          <w:p>
            <w:pPr>
              <w:widowControl/>
              <w:spacing w:line="360" w:lineRule="auto"/>
              <w:jc w:val="left"/>
              <w:textAlignment w:val="center"/>
              <w:rPr>
                <w:rFonts w:hint="eastAsia"/>
              </w:rPr>
            </w:pPr>
            <w:r>
              <w:rPr>
                <w:rFonts w:hint="eastAsia" w:ascii="宋体" w:hAnsi="宋体" w:cs="宋体"/>
                <w:kern w:val="0"/>
                <w:sz w:val="22"/>
                <w:szCs w:val="22"/>
                <w:lang w:bidi="ar"/>
              </w:rPr>
              <w:t>★</w:t>
            </w:r>
            <w:r>
              <w:rPr>
                <w:rFonts w:hint="eastAsia"/>
              </w:rPr>
              <w:t>1.协查总览（满足省精密智控平台接口对接）</w:t>
            </w:r>
          </w:p>
          <w:p>
            <w:pPr>
              <w:widowControl/>
              <w:spacing w:line="360" w:lineRule="auto"/>
              <w:jc w:val="left"/>
              <w:textAlignment w:val="center"/>
              <w:rPr>
                <w:rFonts w:hint="eastAsia"/>
              </w:rPr>
            </w:pPr>
            <w:r>
              <w:rPr>
                <w:rFonts w:hint="eastAsia"/>
              </w:rPr>
              <w:t>2.境外协查</w:t>
            </w:r>
          </w:p>
          <w:p>
            <w:pPr>
              <w:widowControl/>
              <w:spacing w:line="360" w:lineRule="auto"/>
              <w:jc w:val="left"/>
              <w:textAlignment w:val="center"/>
              <w:rPr>
                <w:rFonts w:hint="eastAsia"/>
              </w:rPr>
            </w:pPr>
            <w:r>
              <w:rPr>
                <w:rFonts w:hint="eastAsia"/>
              </w:rPr>
              <w:t>3.重点人员境内外来源</w:t>
            </w:r>
          </w:p>
          <w:p>
            <w:pPr>
              <w:widowControl/>
              <w:spacing w:line="360" w:lineRule="auto"/>
              <w:jc w:val="left"/>
              <w:textAlignment w:val="center"/>
              <w:rPr>
                <w:rFonts w:hint="eastAsia"/>
              </w:rPr>
            </w:pPr>
            <w:r>
              <w:rPr>
                <w:rFonts w:hint="eastAsia"/>
              </w:rPr>
              <w:t>4.管控总数状态</w:t>
            </w:r>
          </w:p>
          <w:p>
            <w:pPr>
              <w:widowControl/>
              <w:spacing w:line="360" w:lineRule="auto"/>
              <w:jc w:val="left"/>
              <w:textAlignment w:val="center"/>
              <w:rPr>
                <w:rFonts w:hint="eastAsia"/>
              </w:rPr>
            </w:pPr>
            <w:r>
              <w:rPr>
                <w:rFonts w:hint="eastAsia"/>
              </w:rPr>
              <w:t>5.境内外管控分析</w:t>
            </w:r>
          </w:p>
          <w:p>
            <w:pPr>
              <w:widowControl/>
              <w:spacing w:line="360" w:lineRule="auto"/>
              <w:jc w:val="left"/>
              <w:textAlignment w:val="center"/>
              <w:rPr>
                <w:rFonts w:hint="eastAsia"/>
              </w:rPr>
            </w:pPr>
            <w:r>
              <w:rPr>
                <w:rFonts w:hint="eastAsia"/>
              </w:rPr>
              <w:t>6.管控处理时间</w:t>
            </w:r>
          </w:p>
          <w:p>
            <w:pPr>
              <w:pStyle w:val="2"/>
            </w:pP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trPr>
        <w:tc>
          <w:tcPr>
            <w:tcW w:w="832"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4</w:t>
            </w:r>
          </w:p>
        </w:tc>
        <w:tc>
          <w:tcPr>
            <w:tcW w:w="1665" w:type="dxa"/>
            <w:noWrap w:val="0"/>
            <w:vAlign w:val="center"/>
          </w:tcPr>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流调溯源</w:t>
            </w:r>
          </w:p>
        </w:tc>
        <w:tc>
          <w:tcPr>
            <w:tcW w:w="5977" w:type="dxa"/>
            <w:noWrap w:val="0"/>
            <w:vAlign w:val="center"/>
          </w:tcPr>
          <w:p>
            <w:pPr>
              <w:widowControl/>
              <w:spacing w:line="360" w:lineRule="auto"/>
              <w:jc w:val="left"/>
              <w:textAlignment w:val="center"/>
              <w:rPr>
                <w:rFonts w:hint="eastAsia"/>
              </w:rPr>
            </w:pPr>
            <w:r>
              <w:rPr>
                <w:rFonts w:hint="eastAsia"/>
              </w:rPr>
              <w:t>提供流调对象的来源地、今日和累计的数据流分析，提供管控信息统计汇总。</w:t>
            </w:r>
          </w:p>
          <w:p>
            <w:pPr>
              <w:widowControl/>
              <w:spacing w:line="360" w:lineRule="auto"/>
              <w:jc w:val="left"/>
              <w:textAlignment w:val="center"/>
              <w:rPr>
                <w:rFonts w:hint="eastAsia"/>
              </w:rPr>
            </w:pPr>
            <w:r>
              <w:rPr>
                <w:rFonts w:hint="eastAsia"/>
              </w:rPr>
              <w:t>提供永嘉县不同镇街流调对象的地图分布统计功能。</w:t>
            </w:r>
          </w:p>
          <w:p>
            <w:pPr>
              <w:widowControl/>
              <w:spacing w:line="360" w:lineRule="auto"/>
              <w:jc w:val="left"/>
              <w:textAlignment w:val="center"/>
              <w:rPr>
                <w:rFonts w:hint="eastAsia"/>
              </w:rPr>
            </w:pPr>
            <w:r>
              <w:rPr>
                <w:rFonts w:hint="eastAsia"/>
              </w:rPr>
              <w:t>提供今日关联人次、密接者人次、次密接者人次、其他人次、今日任务数、进行中任务数、今日流调任务的展示功能。</w:t>
            </w:r>
          </w:p>
          <w:p>
            <w:pPr>
              <w:widowControl/>
              <w:spacing w:line="360" w:lineRule="auto"/>
              <w:jc w:val="left"/>
              <w:textAlignment w:val="center"/>
              <w:rPr>
                <w:rFonts w:hint="eastAsia"/>
              </w:rPr>
            </w:pPr>
            <w:r>
              <w:rPr>
                <w:rFonts w:hint="eastAsia"/>
              </w:rPr>
              <w:t>根据近一周的时间对流调人次进行统计，根据不同风险类型进行统计展示，提供今日流调跟踪监控。</w:t>
            </w:r>
          </w:p>
          <w:p>
            <w:pPr>
              <w:widowControl/>
              <w:spacing w:line="360" w:lineRule="auto"/>
              <w:jc w:val="left"/>
              <w:textAlignment w:val="center"/>
              <w:rPr>
                <w:rFonts w:hint="eastAsia"/>
              </w:rPr>
            </w:pPr>
            <w:r>
              <w:rPr>
                <w:rFonts w:hint="eastAsia"/>
              </w:rPr>
              <w:t>1.流调对象</w:t>
            </w:r>
          </w:p>
          <w:p>
            <w:pPr>
              <w:widowControl/>
              <w:spacing w:line="360" w:lineRule="auto"/>
              <w:jc w:val="left"/>
              <w:textAlignment w:val="center"/>
              <w:rPr>
                <w:rFonts w:hint="eastAsia"/>
              </w:rPr>
            </w:pPr>
            <w:r>
              <w:rPr>
                <w:rFonts w:hint="eastAsia"/>
              </w:rPr>
              <w:t>2.今日流调跟踪监控</w:t>
            </w:r>
          </w:p>
          <w:p>
            <w:pPr>
              <w:widowControl/>
              <w:spacing w:line="360" w:lineRule="auto"/>
              <w:jc w:val="left"/>
              <w:textAlignment w:val="center"/>
              <w:rPr>
                <w:rFonts w:hint="eastAsia"/>
              </w:rPr>
            </w:pPr>
            <w:r>
              <w:rPr>
                <w:rFonts w:hint="eastAsia"/>
              </w:rPr>
              <w:t>3.流调工作</w:t>
            </w:r>
          </w:p>
          <w:p>
            <w:pPr>
              <w:widowControl/>
              <w:spacing w:line="360" w:lineRule="auto"/>
              <w:jc w:val="left"/>
              <w:textAlignment w:val="center"/>
              <w:rPr>
                <w:rFonts w:hint="eastAsia"/>
              </w:rPr>
            </w:pPr>
            <w:r>
              <w:rPr>
                <w:rFonts w:hint="eastAsia"/>
              </w:rPr>
              <w:t>4.流调人次</w:t>
            </w:r>
          </w:p>
          <w:p>
            <w:pPr>
              <w:widowControl/>
              <w:spacing w:line="360" w:lineRule="auto"/>
              <w:jc w:val="left"/>
              <w:textAlignment w:val="center"/>
              <w:rPr>
                <w:rFonts w:hint="eastAsia"/>
              </w:rPr>
            </w:pPr>
            <w:r>
              <w:rPr>
                <w:rFonts w:hint="eastAsia"/>
              </w:rPr>
              <w:t>5.风险类型</w:t>
            </w:r>
          </w:p>
          <w:p>
            <w:pPr>
              <w:widowControl/>
              <w:spacing w:line="360" w:lineRule="auto"/>
              <w:jc w:val="left"/>
              <w:textAlignment w:val="center"/>
              <w:rPr>
                <w:rFonts w:hint="eastAsia"/>
              </w:rPr>
            </w:pPr>
            <w:r>
              <w:rPr>
                <w:rFonts w:hint="eastAsia"/>
              </w:rPr>
              <w:t>6.GIS地图分街镇展示流调对象分布</w:t>
            </w:r>
          </w:p>
          <w:p>
            <w:pPr>
              <w:pStyle w:val="3"/>
              <w:ind w:firstLine="0" w:firstLineChars="0"/>
            </w:pP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832"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5</w:t>
            </w:r>
          </w:p>
        </w:tc>
        <w:tc>
          <w:tcPr>
            <w:tcW w:w="1665" w:type="dxa"/>
            <w:noWrap w:val="0"/>
            <w:vAlign w:val="center"/>
          </w:tcPr>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隔离管控</w:t>
            </w:r>
          </w:p>
        </w:tc>
        <w:tc>
          <w:tcPr>
            <w:tcW w:w="5977" w:type="dxa"/>
            <w:noWrap w:val="0"/>
            <w:vAlign w:val="center"/>
          </w:tcPr>
          <w:p>
            <w:pPr>
              <w:widowControl/>
              <w:spacing w:line="360" w:lineRule="auto"/>
              <w:jc w:val="left"/>
              <w:textAlignment w:val="center"/>
              <w:rPr>
                <w:rFonts w:hint="eastAsia"/>
              </w:rPr>
            </w:pPr>
            <w:r>
              <w:rPr>
                <w:rFonts w:hint="eastAsia"/>
              </w:rPr>
              <w:t>将全县各隔离点的实时状况与工作结果进行可视化展示，以图表形式展示隔离房屋统计、防疫物资统计、防疫人员信息、隔离人员管控信息统计、隔离点监控视频播放。并在地图展示各隔离点位置，并可查看单个隔离点的防疫物资和防疫人员信息。实现实数、实人、实景。</w:t>
            </w:r>
          </w:p>
          <w:p>
            <w:pPr>
              <w:widowControl/>
              <w:spacing w:line="360" w:lineRule="auto"/>
              <w:jc w:val="left"/>
              <w:textAlignment w:val="center"/>
              <w:rPr>
                <w:rFonts w:hint="eastAsia"/>
              </w:rPr>
            </w:pPr>
            <w:r>
              <w:rPr>
                <w:rFonts w:hint="eastAsia"/>
              </w:rPr>
              <w:t>1.隔离点情况展示</w:t>
            </w:r>
          </w:p>
          <w:p>
            <w:pPr>
              <w:widowControl/>
              <w:spacing w:line="360" w:lineRule="auto"/>
              <w:jc w:val="left"/>
              <w:textAlignment w:val="center"/>
              <w:rPr>
                <w:rFonts w:hint="eastAsia"/>
              </w:rPr>
            </w:pPr>
            <w:r>
              <w:rPr>
                <w:rFonts w:hint="eastAsia"/>
              </w:rPr>
              <w:t>2.防疫物资统计展示</w:t>
            </w:r>
          </w:p>
          <w:p>
            <w:pPr>
              <w:widowControl/>
              <w:spacing w:line="360" w:lineRule="auto"/>
              <w:jc w:val="left"/>
              <w:textAlignment w:val="center"/>
              <w:rPr>
                <w:rFonts w:hint="eastAsia"/>
              </w:rPr>
            </w:pPr>
            <w:r>
              <w:rPr>
                <w:rFonts w:hint="eastAsia"/>
              </w:rPr>
              <w:t>3.防疫工作人员展示</w:t>
            </w:r>
          </w:p>
          <w:p>
            <w:pPr>
              <w:widowControl/>
              <w:spacing w:line="360" w:lineRule="auto"/>
              <w:jc w:val="left"/>
              <w:textAlignment w:val="center"/>
              <w:rPr>
                <w:rFonts w:hint="eastAsia"/>
              </w:rPr>
            </w:pPr>
            <w:r>
              <w:rPr>
                <w:rFonts w:hint="eastAsia"/>
              </w:rPr>
              <w:t>4.隔离人员管理</w:t>
            </w:r>
          </w:p>
          <w:p>
            <w:pPr>
              <w:widowControl/>
              <w:spacing w:line="360" w:lineRule="auto"/>
              <w:jc w:val="left"/>
              <w:textAlignment w:val="center"/>
              <w:rPr>
                <w:rFonts w:hint="eastAsia"/>
              </w:rPr>
            </w:pPr>
            <w:r>
              <w:rPr>
                <w:rFonts w:hint="eastAsia"/>
              </w:rPr>
              <w:t>5.实景巡查</w:t>
            </w:r>
          </w:p>
          <w:p>
            <w:pPr>
              <w:pStyle w:val="2"/>
            </w:pPr>
            <w:r>
              <w:rPr>
                <w:rFonts w:hint="eastAsia" w:ascii="宋体" w:hAnsi="宋体" w:cs="宋体"/>
                <w:kern w:val="0"/>
                <w:sz w:val="22"/>
                <w:szCs w:val="22"/>
                <w:lang w:bidi="ar"/>
              </w:rPr>
              <w:t>6.各类情况分析</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trPr>
        <w:tc>
          <w:tcPr>
            <w:tcW w:w="832"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6</w:t>
            </w:r>
          </w:p>
        </w:tc>
        <w:tc>
          <w:tcPr>
            <w:tcW w:w="1665" w:type="dxa"/>
            <w:noWrap w:val="0"/>
            <w:vAlign w:val="center"/>
          </w:tcPr>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应急处置</w:t>
            </w: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地图展示应急事件发生点，并以事件点为中心，进行三区划分。展示三区的人数统计、疫苗核酸情况、责任人员信息、防疫力量信息、防疫资源信息、预案信息推送情况、卡点及视频信息；一键下发预案反馈，实现队伍一体作战。</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图表可视化，展示</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1）人员力量部署</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2）GIS化地图，展示</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三区划分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★区内人数</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区内点位</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区内监控</w:t>
            </w:r>
          </w:p>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绿色通道</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noWrap w:val="0"/>
            <w:vAlign w:val="center"/>
          </w:tcPr>
          <w:p>
            <w:pPr>
              <w:widowControl/>
              <w:spacing w:line="360" w:lineRule="auto"/>
              <w:jc w:val="center"/>
              <w:textAlignment w:val="center"/>
              <w:rPr>
                <w:rFonts w:ascii="宋体" w:hAnsi="宋体" w:cs="宋体"/>
                <w:kern w:val="0"/>
                <w:sz w:val="22"/>
                <w:szCs w:val="22"/>
                <w:lang w:bidi="ar"/>
              </w:rPr>
            </w:pPr>
            <w:r>
              <w:rPr>
                <w:rFonts w:hint="eastAsia" w:ascii="宋体" w:hAnsi="宋体" w:cs="宋体"/>
                <w:kern w:val="0"/>
                <w:sz w:val="22"/>
                <w:szCs w:val="22"/>
                <w:lang w:bidi="ar"/>
              </w:rPr>
              <w:t>二、</w:t>
            </w:r>
          </w:p>
        </w:tc>
        <w:tc>
          <w:tcPr>
            <w:tcW w:w="8309" w:type="dxa"/>
            <w:gridSpan w:val="3"/>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业务平台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832"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1665" w:type="dxa"/>
            <w:noWrap w:val="0"/>
            <w:vAlign w:val="center"/>
          </w:tcPr>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全域监督</w:t>
            </w: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分***、街镇纬度展示以下信息：</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1.老人疫苗未接种</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2.建房数</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3.实有人口</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4.高危省份在永人数</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5.建房建人进度</w:t>
            </w:r>
          </w:p>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6.扫人类型分析</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2"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2</w:t>
            </w:r>
          </w:p>
        </w:tc>
        <w:tc>
          <w:tcPr>
            <w:tcW w:w="1665" w:type="dxa"/>
            <w:noWrap w:val="0"/>
            <w:vAlign w:val="center"/>
          </w:tcPr>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单元管理</w:t>
            </w:r>
          </w:p>
        </w:tc>
        <w:tc>
          <w:tcPr>
            <w:tcW w:w="5977" w:type="dxa"/>
            <w:noWrap w:val="0"/>
            <w:vAlign w:val="center"/>
          </w:tcPr>
          <w:p>
            <w:pPr>
              <w:widowControl/>
              <w:numPr>
                <w:ilvl w:val="0"/>
                <w:numId w:val="2"/>
              </w:numPr>
              <w:spacing w:line="360" w:lineRule="auto"/>
              <w:jc w:val="left"/>
              <w:textAlignment w:val="center"/>
              <w:rPr>
                <w:rFonts w:hint="eastAsia"/>
              </w:rPr>
            </w:pPr>
            <w:r>
              <w:rPr>
                <w:rFonts w:hint="eastAsia"/>
              </w:rPr>
              <w:t>单元管理基础要素</w:t>
            </w:r>
          </w:p>
          <w:p>
            <w:pPr>
              <w:widowControl/>
              <w:numPr>
                <w:ilvl w:val="0"/>
                <w:numId w:val="2"/>
              </w:numPr>
              <w:spacing w:line="360" w:lineRule="auto"/>
              <w:jc w:val="left"/>
              <w:textAlignment w:val="center"/>
              <w:rPr>
                <w:rFonts w:hint="eastAsia"/>
              </w:rPr>
            </w:pPr>
            <w:r>
              <w:rPr>
                <w:rFonts w:hint="eastAsia"/>
              </w:rPr>
              <w:t>汇聚了实有单元、实有人口、实有房屋的基本信息，实现动静结合、多场景覆盖。形成各类精准详细画像，为研判工作提供全面详细的信息。</w:t>
            </w:r>
          </w:p>
          <w:p>
            <w:pPr>
              <w:widowControl/>
              <w:numPr>
                <w:ilvl w:val="0"/>
                <w:numId w:val="2"/>
              </w:numPr>
              <w:spacing w:line="360" w:lineRule="auto"/>
              <w:jc w:val="left"/>
              <w:textAlignment w:val="center"/>
              <w:rPr>
                <w:rFonts w:hint="eastAsia"/>
              </w:rPr>
            </w:pPr>
            <w:r>
              <w:rPr>
                <w:rFonts w:hint="eastAsia"/>
              </w:rPr>
              <w:t>防疫信息</w:t>
            </w:r>
          </w:p>
          <w:p>
            <w:pPr>
              <w:widowControl/>
              <w:numPr>
                <w:ilvl w:val="0"/>
                <w:numId w:val="2"/>
              </w:numPr>
              <w:spacing w:line="360" w:lineRule="auto"/>
              <w:jc w:val="left"/>
              <w:textAlignment w:val="center"/>
              <w:rPr>
                <w:rFonts w:hint="eastAsia"/>
              </w:rPr>
            </w:pPr>
            <w:r>
              <w:rPr>
                <w:rFonts w:hint="eastAsia"/>
              </w:rPr>
              <w:t>防疫码、疫苗接种、核酸检测的各纬度数据与管理</w:t>
            </w:r>
          </w:p>
          <w:p>
            <w:pPr>
              <w:widowControl/>
              <w:numPr>
                <w:ilvl w:val="0"/>
                <w:numId w:val="2"/>
              </w:numPr>
              <w:spacing w:line="360" w:lineRule="auto"/>
              <w:jc w:val="left"/>
              <w:textAlignment w:val="center"/>
              <w:rPr>
                <w:rFonts w:hint="eastAsia"/>
              </w:rPr>
            </w:pPr>
            <w:r>
              <w:rPr>
                <w:rFonts w:hint="eastAsia"/>
              </w:rPr>
              <w:t>.实有人口管理</w:t>
            </w:r>
          </w:p>
          <w:p>
            <w:pPr>
              <w:widowControl/>
              <w:numPr>
                <w:ilvl w:val="0"/>
                <w:numId w:val="2"/>
              </w:numPr>
              <w:spacing w:line="360" w:lineRule="auto"/>
              <w:jc w:val="left"/>
              <w:textAlignment w:val="center"/>
              <w:rPr>
                <w:rFonts w:hint="eastAsia"/>
              </w:rPr>
            </w:pPr>
            <w:r>
              <w:rPr>
                <w:rFonts w:hint="eastAsia"/>
              </w:rPr>
              <w:t>扫楼统计</w:t>
            </w:r>
          </w:p>
          <w:p>
            <w:pPr>
              <w:widowControl/>
              <w:spacing w:line="360" w:lineRule="auto"/>
              <w:jc w:val="left"/>
              <w:textAlignment w:val="center"/>
              <w:rPr>
                <w:rFonts w:hint="eastAsia"/>
              </w:rPr>
            </w:pPr>
            <w:r>
              <w:rPr>
                <w:rFonts w:hint="eastAsia"/>
              </w:rPr>
              <w:t>★7.人房关联数据对外比对模块</w:t>
            </w:r>
          </w:p>
          <w:p>
            <w:pPr>
              <w:pStyle w:val="2"/>
              <w:rPr>
                <w:rFonts w:hint="eastAsia" w:ascii="宋体" w:hAnsi="宋体" w:cs="宋体"/>
                <w:kern w:val="0"/>
                <w:sz w:val="22"/>
                <w:szCs w:val="22"/>
                <w:lang w:bidi="ar"/>
              </w:rPr>
            </w:pPr>
            <w:r>
              <w:rPr>
                <w:rFonts w:hint="eastAsia" w:ascii="宋体" w:hAnsi="宋体" w:cs="宋体"/>
                <w:kern w:val="0"/>
                <w:sz w:val="22"/>
                <w:szCs w:val="22"/>
                <w:lang w:bidi="ar"/>
              </w:rPr>
              <w:t>8.时空分析，关系分析模块</w:t>
            </w:r>
          </w:p>
          <w:p>
            <w:pPr>
              <w:pStyle w:val="2"/>
              <w:rPr>
                <w:rFonts w:ascii="宋体" w:hAnsi="宋体" w:cs="宋体"/>
                <w:kern w:val="0"/>
                <w:sz w:val="22"/>
                <w:szCs w:val="22"/>
                <w:lang w:bidi="ar"/>
              </w:rPr>
            </w:pPr>
            <w:r>
              <w:rPr>
                <w:rFonts w:hint="eastAsia" w:ascii="宋体" w:hAnsi="宋体" w:cs="宋体"/>
                <w:kern w:val="0"/>
                <w:sz w:val="22"/>
                <w:szCs w:val="22"/>
                <w:lang w:bidi="ar"/>
              </w:rPr>
              <w:t>9.事件任务模块</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832"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3</w:t>
            </w:r>
          </w:p>
        </w:tc>
        <w:tc>
          <w:tcPr>
            <w:tcW w:w="1665" w:type="dxa"/>
            <w:noWrap w:val="0"/>
            <w:vAlign w:val="center"/>
          </w:tcPr>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区域协查</w:t>
            </w: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1.核查人员管理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基于省厅人员核查工作要求，对核查人员和核查结果进行管理。列表展示核查人员基本信息、核查信息。</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2.重点人员管理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基于省厅重点人员管理工作要求，对重点人员和管理情况进行管理。列表展示重点人员基本信息、管控信息。</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3.触网预警</w:t>
            </w:r>
          </w:p>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根据前端采集到的信息，对有违规活动的核查人员和重点人员发出触网预警，包括声明不回乡人员回乡，居家隔离期人员离家。</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4</w:t>
            </w:r>
          </w:p>
        </w:tc>
        <w:tc>
          <w:tcPr>
            <w:tcW w:w="1665" w:type="dxa"/>
            <w:noWrap w:val="0"/>
            <w:vAlign w:val="center"/>
          </w:tcPr>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流调溯源</w:t>
            </w: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PC端</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人员档案</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支持人员档案的增删改查操作，为了数据方便有效地快速录入，对姓名、手机号码、身份证号进行校验，提供身份证号码与性别对应的转换处理。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支持常用字段与字典进行匹配实现精准的录入和便于字段的维护。支持人员档案按照基本信息属性、管控信息属性、健康信息属性、活动信息属性对档案进行划分和录入。</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提供人员档案的状态变更功能，支持对档案进行结束流调操作，支持对人员档案的状态分为进行中和已完成分类查看。</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支持批量删除人员档案，支持多条档案的分页查看功能。</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提供卡片视图和列表视图对人员档案进行展示，卡片视图中支持统计轨迹事件总计和关联人数总计。</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 流调工作</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 文字群聊</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 信息提示</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4） 流调档案</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★支持提取人员档案的基本信息和人员事件信息自动生成脑图，支持导出脑图。</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★根据疾控文档模板和公安文档模板通过分析提取数据系统自动对模板的数据进行自动填充，同时支持导出word文档。</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5） 实时看板</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6） 系统管理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移动端</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 人员档案</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 流调工作</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支持流调事件的新增和编辑功能，提供日期的切换功能。</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支持上传拍摄的照片功能。</w:t>
            </w:r>
          </w:p>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支持添加关联人员，提供关联人员的基本信息填写。</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832"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5</w:t>
            </w:r>
          </w:p>
        </w:tc>
        <w:tc>
          <w:tcPr>
            <w:tcW w:w="1665" w:type="dxa"/>
            <w:noWrap w:val="0"/>
            <w:vAlign w:val="center"/>
          </w:tcPr>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隔离管控</w:t>
            </w: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1.隔离点管理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对隔离点进行管理，列表展示隔离点基本信息和房间信息。提供查询、新增、导入、详情查看功能。系统可根据隔离人员信息的变动，自动计算房间的状态变化并进行统计。</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2.防疫物资管理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对隔离点防疫物资进行管理，列表展示防疫物资信息。提供查询、新增、导入、详情查看功能。</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3.防疫人员管理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对隔离点防疫人员进行管理，列表展示防疫人员信息。提供查询、新增、导入、详情查看功能。</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4.视频巡查</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对接雪亮视频监控，列表展示隔离点监控的名称、所属隔离点、设备信息。提供查询、导入、实时视频播放功能。</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5.隔离人员管理</w:t>
            </w:r>
          </w:p>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基于省厅隔离人员管理工作要求，实现对隔离人员的管理，列表展示人员基本信息、隔离信息、核酸检测信息、打卡信息和数据来源。提供查询、新增、导入、详情查看功能。隔离人员结束时隔离人员所在社区互动。</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1" w:hRule="atLeast"/>
        </w:trPr>
        <w:tc>
          <w:tcPr>
            <w:tcW w:w="832"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6</w:t>
            </w:r>
          </w:p>
        </w:tc>
        <w:tc>
          <w:tcPr>
            <w:tcW w:w="1665" w:type="dxa"/>
            <w:noWrap w:val="0"/>
            <w:vAlign w:val="center"/>
          </w:tcPr>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应急处置</w:t>
            </w: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1.应急预案管理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对各街镇三区预案管理，展示各街镇管理三区负责人、队伍、物资等信息，提供预案查看、队伍人员详情查看、防疫物资详情查看、隔离点清单详情查看以及预警一键下发功能。</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2.队伍管理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对全县队伍进行管理，列表展示队伍名称、所属街镇、负责人、负责人联系方式。提供查询、新增、导入、队伍成员管理功能。队伍成员管理可查看成员姓名、联系方式、所属单位、人员类型，并可以对队伍成员进行新增、删除、修改。</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3.核酸检测点管理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对全县核酸检测点进行管理，列表展示核酸检测地点、所属街镇、所在社区、采样点数量、组长信息、联络员信息。提供查询、新增、导入功能。支持临时核酸检测点的录入管理。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4.应急防疫物资管理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对全县应急防疫物资进行管理，列表展示防疫物资信息，包括所属街镇、所属单位，类别，目录，数量。提供查询、新增、导入、详情查看功能。</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5.卡点管理</w:t>
            </w:r>
          </w:p>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对全县三区卡点进行管理，列表展示开单名称、所属街镇、所属社区、地址。提供查询、新增、导入、详情查看功能。</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32"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7</w:t>
            </w:r>
          </w:p>
        </w:tc>
        <w:tc>
          <w:tcPr>
            <w:tcW w:w="1665" w:type="dxa"/>
            <w:noWrap w:val="0"/>
            <w:vAlign w:val="center"/>
          </w:tcPr>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系统管理</w:t>
            </w: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1.用户管理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对接警综平台，列表展示用户基本信息（登录名、姓名、所属单位、所属角色、联系电话）和使用信息（使用状态、最后登录时间）。提供查询、新增、编辑、删除、密码修改、密码重置、用户启用/停用功能。</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用户启用/停用：可以设置启用/停用账户。提供设定时间到时自动停用功能。</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2.角色管理</w:t>
            </w:r>
          </w:p>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建立数据权限和功能权限系统，管理用户平台权限。列表展示角色基本信息（角色名称、角色描述）。提供查询、新增、删除、修改功能。</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2" w:type="dxa"/>
            <w:noWrap w:val="0"/>
            <w:vAlign w:val="center"/>
          </w:tcPr>
          <w:p>
            <w:pPr>
              <w:widowControl/>
              <w:spacing w:line="360" w:lineRule="auto"/>
              <w:jc w:val="center"/>
              <w:textAlignment w:val="center"/>
              <w:rPr>
                <w:rFonts w:ascii="宋体" w:hAnsi="宋体" w:cs="宋体"/>
                <w:kern w:val="0"/>
                <w:sz w:val="22"/>
                <w:szCs w:val="22"/>
                <w:lang w:bidi="ar"/>
              </w:rPr>
            </w:pPr>
            <w:r>
              <w:rPr>
                <w:rFonts w:hint="eastAsia" w:ascii="宋体" w:hAnsi="宋体" w:cs="宋体"/>
                <w:kern w:val="0"/>
                <w:sz w:val="22"/>
                <w:szCs w:val="22"/>
                <w:lang w:bidi="ar"/>
              </w:rPr>
              <w:t>三、</w:t>
            </w:r>
          </w:p>
        </w:tc>
        <w:tc>
          <w:tcPr>
            <w:tcW w:w="8309" w:type="dxa"/>
            <w:gridSpan w:val="3"/>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采集应用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1665" w:type="dxa"/>
            <w:noWrap w:val="0"/>
            <w:vAlign w:val="center"/>
          </w:tcPr>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采集应用</w:t>
            </w:r>
          </w:p>
        </w:tc>
        <w:tc>
          <w:tcPr>
            <w:tcW w:w="5977" w:type="dxa"/>
            <w:noWrap w:val="0"/>
            <w:vAlign w:val="center"/>
          </w:tcPr>
          <w:p>
            <w:pPr>
              <w:widowControl/>
              <w:numPr>
                <w:ilvl w:val="0"/>
                <w:numId w:val="3"/>
              </w:numPr>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单元管控采集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PC端：</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（1）单元管理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 xml:space="preserve">    1)基础信息</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 xml:space="preserve">    2)楼房管理</w:t>
            </w:r>
          </w:p>
          <w:p>
            <w:pPr>
              <w:widowControl/>
              <w:spacing w:line="360" w:lineRule="auto"/>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3)人员管理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（2）扫楼统计</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（3）系统管理</w:t>
            </w:r>
          </w:p>
          <w:p>
            <w:pPr>
              <w:widowControl/>
              <w:spacing w:line="360" w:lineRule="auto"/>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 xml:space="preserve"> 1)用户管理</w:t>
            </w:r>
          </w:p>
          <w:p>
            <w:pPr>
              <w:widowControl/>
              <w:spacing w:line="360" w:lineRule="auto"/>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 xml:space="preserve"> 2)角色管理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移动端：</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（1）用户权限</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（2）单元模块</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（3）楼栋功能</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（4）房屋功能</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（5）人员登记</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（6）扫码查验</w:t>
            </w:r>
          </w:p>
          <w:p>
            <w:pPr>
              <w:pStyle w:val="2"/>
              <w:numPr>
                <w:ilvl w:val="0"/>
                <w:numId w:val="4"/>
              </w:numPr>
              <w:rPr>
                <w:rFonts w:hint="eastAsia" w:ascii="宋体" w:hAnsi="宋体" w:cs="宋体"/>
                <w:kern w:val="0"/>
                <w:sz w:val="22"/>
                <w:szCs w:val="22"/>
                <w:lang w:bidi="ar"/>
              </w:rPr>
            </w:pPr>
            <w:r>
              <w:rPr>
                <w:rFonts w:hint="eastAsia" w:ascii="宋体" w:hAnsi="宋体" w:cs="宋体"/>
                <w:kern w:val="0"/>
                <w:sz w:val="22"/>
                <w:szCs w:val="22"/>
                <w:lang w:bidi="ar"/>
              </w:rPr>
              <w:t>群众自主申报采集管理模块</w:t>
            </w:r>
          </w:p>
          <w:p>
            <w:pPr>
              <w:pStyle w:val="3"/>
              <w:ind w:firstLine="0" w:firstLineChars="0"/>
            </w:pPr>
            <w:r>
              <w:rPr>
                <w:rFonts w:hint="eastAsia"/>
              </w:rPr>
              <w:t>（8）符合市级地址码功能模块</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2.作战单元采集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PC端：</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（1）地图总览</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（2）网格管理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（3）封控区域出入口管理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（4）系统管理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（5）出入口类别、地址模型、行政区划、街路巷的管理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移动端：</w:t>
            </w:r>
          </w:p>
          <w:p>
            <w:pPr>
              <w:widowControl/>
              <w:numPr>
                <w:ilvl w:val="0"/>
                <w:numId w:val="5"/>
              </w:numPr>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搜索网格</w:t>
            </w:r>
          </w:p>
          <w:p>
            <w:pPr>
              <w:widowControl/>
              <w:numPr>
                <w:ilvl w:val="0"/>
                <w:numId w:val="5"/>
              </w:numPr>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查看网格</w:t>
            </w:r>
          </w:p>
          <w:p>
            <w:pPr>
              <w:widowControl/>
              <w:numPr>
                <w:ilvl w:val="0"/>
                <w:numId w:val="5"/>
              </w:numPr>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新增出入口　</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3.问题反馈</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移动端可以文字编辑，图片拍照，反馈使用中的问题，或封控中碰到的突发非紧急情况。</w:t>
            </w:r>
          </w:p>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PC端接收前端反馈的问题，支持查看、查询、处理等功能。</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32" w:type="dxa"/>
            <w:noWrap w:val="0"/>
            <w:vAlign w:val="center"/>
          </w:tcPr>
          <w:p>
            <w:pPr>
              <w:widowControl/>
              <w:spacing w:line="360" w:lineRule="auto"/>
              <w:jc w:val="center"/>
              <w:textAlignment w:val="center"/>
              <w:rPr>
                <w:rFonts w:ascii="宋体" w:hAnsi="宋体" w:cs="宋体"/>
                <w:kern w:val="0"/>
                <w:sz w:val="22"/>
                <w:szCs w:val="22"/>
                <w:lang w:bidi="ar"/>
              </w:rPr>
            </w:pPr>
            <w:r>
              <w:rPr>
                <w:rFonts w:hint="eastAsia" w:ascii="宋体" w:hAnsi="宋体" w:cs="宋体"/>
                <w:kern w:val="0"/>
                <w:sz w:val="22"/>
                <w:szCs w:val="22"/>
                <w:lang w:bidi="ar"/>
              </w:rPr>
              <w:t>四、</w:t>
            </w:r>
          </w:p>
        </w:tc>
        <w:tc>
          <w:tcPr>
            <w:tcW w:w="8309" w:type="dxa"/>
            <w:gridSpan w:val="3"/>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基础能力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32"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1665" w:type="dxa"/>
            <w:noWrap w:val="0"/>
            <w:vAlign w:val="center"/>
          </w:tcPr>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防疫专题数据对接处理</w:t>
            </w: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主要负责公安内网数据与政务外网数据的数据归集与共享、健康码接口、标准地址接口对接等。与外部数据资源进行对接、转换成标准能力再输出到多个前端子模块中。</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对接省派综2.0系统的行政区划管理、乡镇街道管理、社区居村委会管理、街路巷小区管理、建筑物管理、单元房屋管理和标准地址管理等服务接口获取标准地址所属行政区划、乡镇街道、社区居村委会、建筑物、点位等信息；</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2）利用数字扫楼小程序修正并完善错、缺的标准地址信息，并通过标准地址接口将完整的标准地址信息回流至省标准地址库；</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3）通过扫码枪、门禁等硬件设备采集人员的扫健康码和行程码的定位、行程等元数据；</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4）整合隔离点信息：获取隔离点使用数据、隔离人员数据、物资数据和人防管控数据；重点人员管控信息：获取人员的来源数据，管控数据、风险类型数据和管理措施数据；</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5）雪亮视频信息：获取视频监控的点位数据和流媒体信息；</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6）疫苗接种信息：通过身份证号获取该人员的疫苗接种情况：疫苗名称、接种时间、接种门诊、人员住址、人员身份证号、人员姓名等；</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7）核酸检测信息：获取人员核酸检测时间、检测结果等；</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8）返温来温预申报信息：通过身份证号或健康码获取该人员健康码状态、是否去过高风险地区等；</w:t>
            </w:r>
          </w:p>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将以上各类元数据集中存储在由关系型数据库与NOSQL数据库整合的数据仓库中，基于规则引擎将元数据进行缺失值、离群点、去重处理以及噪音数据的处理，保障数据质量的准确性、完整性、简洁性和适用性。使用Mysql存储业务数据，以保证上层数据查询的高性能，运用MQ完成内部系统消息通知；与客户端系统消息通知；以及实时数据计算，运用ES搜索技术，对冷数据、地址数据建立索引，以保证冷数据、地址查询性能，运用Redis缓存技术，实现热数据的计算，NoSession等功能，提升系统性能指标，利用人员、建筑物等多维度计算并智能分析出数据地图、人员画像等，科学辅助领导决策。</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832"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sz w:val="22"/>
                <w:szCs w:val="22"/>
              </w:rPr>
              <w:t>2</w:t>
            </w:r>
          </w:p>
        </w:tc>
        <w:tc>
          <w:tcPr>
            <w:tcW w:w="1665" w:type="dxa"/>
            <w:vMerge w:val="restart"/>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sz w:val="22"/>
                <w:szCs w:val="22"/>
              </w:rPr>
              <w:t>政务外网至公安内网通道</w:t>
            </w:r>
          </w:p>
        </w:tc>
        <w:tc>
          <w:tcPr>
            <w:tcW w:w="5977" w:type="dxa"/>
            <w:noWrap w:val="0"/>
            <w:vAlign w:val="center"/>
          </w:tcPr>
          <w:p>
            <w:pPr>
              <w:widowControl/>
              <w:spacing w:line="360" w:lineRule="auto"/>
              <w:jc w:val="left"/>
              <w:textAlignment w:val="center"/>
              <w:rPr>
                <w:rFonts w:hint="eastAsia"/>
              </w:rPr>
            </w:pPr>
            <w:r>
              <w:rPr>
                <w:rFonts w:hint="eastAsia"/>
              </w:rPr>
              <w:t>2.1安全交换服务系统</w:t>
            </w:r>
          </w:p>
          <w:p>
            <w:pPr>
              <w:widowControl/>
              <w:spacing w:line="360" w:lineRule="auto"/>
              <w:jc w:val="left"/>
              <w:textAlignment w:val="center"/>
              <w:rPr>
                <w:rFonts w:hint="eastAsia"/>
              </w:rPr>
            </w:pPr>
            <w:r>
              <w:rPr>
                <w:rFonts w:hint="eastAsia"/>
              </w:rPr>
              <w:t>除满足防疫工作数据需求外，考虑更多公安内外数据接入，涉及支持主流数据库交换，包括：Oracle、SQLServer、DB2、SYBASE、MYSQL等多重类型；</w:t>
            </w:r>
          </w:p>
          <w:p>
            <w:pPr>
              <w:widowControl/>
              <w:spacing w:line="360" w:lineRule="auto"/>
              <w:jc w:val="left"/>
              <w:textAlignment w:val="center"/>
              <w:rPr>
                <w:rFonts w:hint="eastAsia"/>
              </w:rPr>
            </w:pPr>
            <w:r>
              <w:rPr>
                <w:rFonts w:hint="eastAsia"/>
              </w:rPr>
              <w:t>支持各种数据库之间的异构数据转换；支持共享、客户端、FTP等多种模式的文件同步服务，支持文件实时同步；</w:t>
            </w:r>
          </w:p>
          <w:p>
            <w:pPr>
              <w:widowControl/>
              <w:spacing w:line="360" w:lineRule="auto"/>
              <w:jc w:val="left"/>
              <w:textAlignment w:val="center"/>
              <w:rPr>
                <w:rFonts w:hint="eastAsia"/>
              </w:rPr>
            </w:pPr>
            <w:r>
              <w:rPr>
                <w:rFonts w:hint="eastAsia"/>
              </w:rPr>
              <w:t>支持对传输数据进行加密；</w:t>
            </w:r>
          </w:p>
          <w:p>
            <w:pPr>
              <w:widowControl/>
              <w:spacing w:line="360" w:lineRule="auto"/>
              <w:jc w:val="left"/>
              <w:textAlignment w:val="center"/>
              <w:rPr>
                <w:rFonts w:hint="eastAsia"/>
              </w:rPr>
            </w:pPr>
            <w:r>
              <w:rPr>
                <w:rFonts w:hint="eastAsia"/>
              </w:rPr>
              <w:t>支持多级分布式部署、多节点非对称部署；</w:t>
            </w:r>
          </w:p>
          <w:p>
            <w:pPr>
              <w:widowControl/>
              <w:spacing w:line="360" w:lineRule="auto"/>
              <w:jc w:val="left"/>
              <w:textAlignment w:val="center"/>
              <w:rPr>
                <w:rFonts w:hint="eastAsia"/>
              </w:rPr>
            </w:pPr>
            <w:r>
              <w:rPr>
                <w:rFonts w:hint="eastAsia"/>
              </w:rPr>
              <w:t>接收管理中心的统一配置管理；</w:t>
            </w:r>
          </w:p>
          <w:p>
            <w:pPr>
              <w:widowControl/>
              <w:spacing w:line="360" w:lineRule="auto"/>
              <w:jc w:val="left"/>
              <w:textAlignment w:val="center"/>
              <w:rPr>
                <w:rFonts w:hint="eastAsia"/>
              </w:rPr>
            </w:pPr>
            <w:r>
              <w:rPr>
                <w:rFonts w:hint="eastAsia"/>
              </w:rPr>
              <w:t>向管理中心统一上报设备状态、业务运行情况；</w:t>
            </w:r>
          </w:p>
          <w:p>
            <w:pPr>
              <w:pStyle w:val="3"/>
              <w:spacing w:line="360" w:lineRule="auto"/>
              <w:ind w:firstLine="0" w:firstLineChars="0"/>
              <w:rPr>
                <w:rFonts w:hint="eastAsia"/>
              </w:rPr>
            </w:pPr>
            <w:r>
              <w:rPr>
                <w:rFonts w:hint="eastAsia"/>
              </w:rPr>
              <w:t>硬件参数：</w:t>
            </w:r>
          </w:p>
          <w:p>
            <w:pPr>
              <w:pStyle w:val="3"/>
              <w:spacing w:line="360" w:lineRule="auto"/>
              <w:ind w:firstLine="0" w:firstLineChars="0"/>
              <w:rPr>
                <w:rFonts w:hint="eastAsia"/>
              </w:rPr>
            </w:pPr>
            <w:r>
              <w:rPr>
                <w:rFonts w:hint="eastAsia"/>
              </w:rPr>
              <w:t>标准2U机型，10/100/1000Mbps（电口）×4，万兆SFP+（光纤口）×4，USB接口×2，VGA接口×1，Console接口×1，标配冗余电源；</w:t>
            </w:r>
          </w:p>
          <w:p>
            <w:pPr>
              <w:pStyle w:val="3"/>
              <w:spacing w:line="360" w:lineRule="auto"/>
              <w:ind w:firstLine="0" w:firstLineChars="0"/>
              <w:rPr>
                <w:rFonts w:hint="eastAsia"/>
              </w:rPr>
            </w:pPr>
            <w:r>
              <w:rPr>
                <w:rFonts w:hint="eastAsia"/>
              </w:rPr>
              <w:t>操作系统：</w:t>
            </w:r>
          </w:p>
          <w:p>
            <w:pPr>
              <w:pStyle w:val="3"/>
              <w:spacing w:line="360" w:lineRule="auto"/>
              <w:ind w:firstLine="0" w:firstLineChars="0"/>
              <w:rPr>
                <w:rFonts w:hint="eastAsia"/>
              </w:rPr>
            </w:pPr>
            <w:r>
              <w:rPr>
                <w:rFonts w:hint="eastAsia"/>
              </w:rPr>
              <w:t>采用基于Linux内核的TopOS安全操作系统；操作系统内核以及关键进程部分进行硬件固化；</w:t>
            </w:r>
          </w:p>
          <w:p>
            <w:pPr>
              <w:pStyle w:val="3"/>
              <w:spacing w:line="360" w:lineRule="auto"/>
              <w:ind w:firstLine="0" w:firstLineChars="0"/>
              <w:rPr>
                <w:rFonts w:hint="eastAsia"/>
              </w:rPr>
            </w:pPr>
            <w:r>
              <w:rPr>
                <w:rFonts w:hint="eastAsia"/>
              </w:rPr>
              <w:t>性能参数：</w:t>
            </w:r>
          </w:p>
          <w:p>
            <w:pPr>
              <w:pStyle w:val="3"/>
              <w:spacing w:line="360" w:lineRule="auto"/>
              <w:ind w:firstLine="0" w:firstLineChars="0"/>
              <w:rPr>
                <w:rFonts w:hint="eastAsia"/>
              </w:rPr>
            </w:pPr>
            <w:r>
              <w:rPr>
                <w:rFonts w:hint="eastAsia"/>
              </w:rPr>
              <w:t>交换能力≥3.5Gbps；文件性能≥1800Mbps，数据库触发性能≥16000条/s。</w:t>
            </w:r>
          </w:p>
          <w:p>
            <w:pPr>
              <w:pStyle w:val="3"/>
              <w:spacing w:line="360" w:lineRule="auto"/>
              <w:ind w:firstLine="0" w:firstLineChars="0"/>
              <w:rPr>
                <w:rFonts w:hint="eastAsia"/>
              </w:rPr>
            </w:pPr>
            <w:r>
              <w:rPr>
                <w:rFonts w:hint="eastAsia"/>
              </w:rPr>
              <w:t>产品功能：</w:t>
            </w:r>
          </w:p>
          <w:p>
            <w:pPr>
              <w:pStyle w:val="3"/>
              <w:spacing w:line="360" w:lineRule="auto"/>
              <w:ind w:firstLine="0" w:firstLineChars="0"/>
              <w:rPr>
                <w:rFonts w:hint="eastAsia"/>
              </w:rPr>
            </w:pPr>
            <w:r>
              <w:rPr>
                <w:rFonts w:hint="eastAsia"/>
              </w:rPr>
              <w:t>支持主流数据库交换，包括：Oracle、SQLServer、MYSQL、达梦（DM）、人大金仓、南大通用、PostgreSQL；</w:t>
            </w:r>
          </w:p>
          <w:p>
            <w:pPr>
              <w:pStyle w:val="3"/>
              <w:spacing w:line="360" w:lineRule="auto"/>
              <w:ind w:firstLine="0" w:firstLineChars="0"/>
              <w:rPr>
                <w:rFonts w:hint="eastAsia"/>
              </w:rPr>
            </w:pPr>
            <w:r>
              <w:rPr>
                <w:rFonts w:hint="eastAsia"/>
              </w:rPr>
              <w:t>支持各种数据库之间的异构数据转换；</w:t>
            </w:r>
          </w:p>
          <w:p>
            <w:pPr>
              <w:pStyle w:val="3"/>
              <w:spacing w:line="360" w:lineRule="auto"/>
              <w:ind w:firstLine="0" w:firstLineChars="0"/>
              <w:rPr>
                <w:rFonts w:hint="eastAsia"/>
              </w:rPr>
            </w:pPr>
            <w:r>
              <w:rPr>
                <w:rFonts w:hint="eastAsia"/>
              </w:rPr>
              <w:t>支持FTP/SFTP等文件同步服务，支持文件实时同步；</w:t>
            </w:r>
          </w:p>
          <w:p>
            <w:pPr>
              <w:pStyle w:val="3"/>
              <w:spacing w:line="360" w:lineRule="auto"/>
              <w:ind w:firstLine="0" w:firstLineChars="0"/>
              <w:rPr>
                <w:rFonts w:hint="eastAsia"/>
              </w:rPr>
            </w:pPr>
            <w:r>
              <w:rPr>
                <w:rFonts w:hint="eastAsia"/>
              </w:rPr>
              <w:t>支持任务传输异常中断、安全策略触发的报警功能；</w:t>
            </w:r>
          </w:p>
          <w:p>
            <w:pPr>
              <w:pStyle w:val="3"/>
              <w:spacing w:line="360" w:lineRule="auto"/>
              <w:ind w:firstLine="0" w:firstLineChars="0"/>
              <w:rPr>
                <w:rFonts w:hint="eastAsia"/>
              </w:rPr>
            </w:pPr>
            <w:r>
              <w:rPr>
                <w:rFonts w:hint="eastAsia"/>
              </w:rPr>
              <w:t>支持对网络内终端、服务器等设备基于IP和MAC等信息的注册和认证，拒绝非注册设备的访问请求；</w:t>
            </w:r>
          </w:p>
          <w:p>
            <w:pPr>
              <w:pStyle w:val="3"/>
              <w:spacing w:line="360" w:lineRule="auto"/>
              <w:ind w:firstLine="0" w:firstLineChars="0"/>
              <w:rPr>
                <w:rFonts w:hint="eastAsia"/>
              </w:rPr>
            </w:pPr>
            <w:r>
              <w:rPr>
                <w:rFonts w:hint="eastAsia"/>
              </w:rPr>
              <w:t>支持文件类型、大小、文件名长度、关键字、时间等策略的安全控制；</w:t>
            </w:r>
          </w:p>
          <w:p>
            <w:pPr>
              <w:pStyle w:val="3"/>
              <w:spacing w:line="360" w:lineRule="auto"/>
              <w:ind w:firstLine="0" w:firstLineChars="0"/>
              <w:rPr>
                <w:rFonts w:hint="eastAsia"/>
              </w:rPr>
            </w:pPr>
            <w:r>
              <w:rPr>
                <w:rFonts w:hint="eastAsia"/>
              </w:rPr>
              <w:t>通道交换提供接口策略制定，可流量、连接连接频率的配置合理进行网络资源分配；</w:t>
            </w:r>
          </w:p>
          <w:p>
            <w:pPr>
              <w:pStyle w:val="3"/>
              <w:spacing w:line="360" w:lineRule="auto"/>
              <w:ind w:firstLine="0" w:firstLineChars="0"/>
              <w:rPr>
                <w:rFonts w:hint="eastAsia"/>
              </w:rPr>
            </w:pPr>
            <w:r>
              <w:rPr>
                <w:rFonts w:hint="eastAsia"/>
              </w:rPr>
              <w:t>通过浏览器对数据交换服务系统进行管理；系统配置信息可导出备份、导入恢复；</w:t>
            </w:r>
          </w:p>
          <w:p>
            <w:pPr>
              <w:pStyle w:val="3"/>
              <w:spacing w:line="360" w:lineRule="auto"/>
              <w:ind w:firstLine="0" w:firstLineChars="0"/>
              <w:rPr>
                <w:rFonts w:hint="eastAsia"/>
              </w:rPr>
            </w:pPr>
            <w:r>
              <w:rPr>
                <w:rFonts w:hint="eastAsia"/>
              </w:rPr>
              <w:t>系统支持一键还原功能，在系统出现严重配置错误、系统损坏时可通过管理员操作将系统还原成初始状态或任意备份过的状态；</w:t>
            </w:r>
          </w:p>
          <w:p>
            <w:pPr>
              <w:pStyle w:val="3"/>
              <w:spacing w:line="360" w:lineRule="auto"/>
              <w:ind w:firstLine="0" w:firstLineChars="0"/>
              <w:rPr>
                <w:rFonts w:hint="eastAsia"/>
              </w:rPr>
            </w:pPr>
            <w:r>
              <w:rPr>
                <w:rFonts w:hint="eastAsia"/>
              </w:rPr>
              <w:t>管理口与业务口分离，增强配置信息抗干扰能力；</w:t>
            </w:r>
          </w:p>
          <w:p>
            <w:pPr>
              <w:pStyle w:val="3"/>
              <w:spacing w:line="360" w:lineRule="auto"/>
              <w:ind w:firstLine="0" w:firstLineChars="0"/>
              <w:rPr>
                <w:rFonts w:hint="eastAsia"/>
              </w:rPr>
            </w:pPr>
            <w:r>
              <w:rPr>
                <w:rFonts w:hint="eastAsia"/>
              </w:rPr>
              <w:t>提供系统日志显示、读取功能，日志信息可配置、可管理，专用日志服务程序处理系统日志；</w:t>
            </w:r>
          </w:p>
          <w:p>
            <w:pPr>
              <w:pStyle w:val="3"/>
              <w:spacing w:line="360" w:lineRule="auto"/>
              <w:ind w:firstLine="0" w:firstLineChars="0"/>
              <w:rPr>
                <w:rFonts w:hint="eastAsia"/>
              </w:rPr>
            </w:pPr>
            <w:r>
              <w:rPr>
                <w:rFonts w:hint="eastAsia"/>
              </w:rPr>
              <w:t>支持负载功能，多设备负载配置，系统中任意设备故障或宕机不影响任务的正常运行，具备极高的系统可用性；且可以通过负载模式提高边界交换的性能；</w:t>
            </w:r>
          </w:p>
          <w:p>
            <w:pPr>
              <w:pStyle w:val="3"/>
              <w:spacing w:line="360" w:lineRule="auto"/>
              <w:ind w:firstLine="0" w:firstLineChars="0"/>
              <w:rPr>
                <w:rFonts w:hint="eastAsia"/>
              </w:rPr>
            </w:pPr>
            <w:r>
              <w:rPr>
                <w:rFonts w:hint="eastAsia"/>
              </w:rPr>
              <w:t>数据交换系统具备对于账号安全的管理策略：账户错误登录次数达到所设置次数上限时，系统自动锁定X分钟；登陆系统后，一定时间内没有操作行为，自动退出登录。系统支持对于登录失败次数及登录超时时间进行设置；</w:t>
            </w:r>
          </w:p>
          <w:p>
            <w:pPr>
              <w:pStyle w:val="3"/>
              <w:spacing w:line="360" w:lineRule="auto"/>
              <w:ind w:firstLine="0" w:firstLineChars="0"/>
              <w:rPr>
                <w:rFonts w:hint="eastAsia"/>
              </w:rPr>
            </w:pPr>
            <w:r>
              <w:rPr>
                <w:rFonts w:hint="eastAsia"/>
              </w:rPr>
              <w:t>基本资质：</w:t>
            </w:r>
          </w:p>
          <w:p>
            <w:pPr>
              <w:pStyle w:val="3"/>
              <w:spacing w:line="360" w:lineRule="auto"/>
              <w:ind w:firstLine="0" w:firstLineChars="0"/>
              <w:rPr>
                <w:rFonts w:hint="eastAsia"/>
              </w:rPr>
            </w:pPr>
            <w:r>
              <w:rPr>
                <w:rFonts w:hint="eastAsia"/>
              </w:rPr>
              <w:t>1.设备原厂商为入围公安部组织测试的接入平台厂商。</w:t>
            </w:r>
          </w:p>
          <w:p>
            <w:pPr>
              <w:pStyle w:val="3"/>
              <w:spacing w:line="360" w:lineRule="auto"/>
              <w:ind w:firstLine="0" w:firstLineChars="0"/>
              <w:rPr>
                <w:rFonts w:hint="eastAsia"/>
              </w:rPr>
            </w:pPr>
            <w:r>
              <w:rPr>
                <w:rFonts w:hint="eastAsia"/>
              </w:rPr>
              <w:t>2.★为符合GB/T26572-2011标准，减少和控制电子信息产品废弃后对环境造成的污染，促进低污染电子信息产品的生产和销售，产品需具备CPST欧冠检测报告，提供相关证明文件；</w:t>
            </w:r>
          </w:p>
          <w:p>
            <w:pPr>
              <w:pStyle w:val="3"/>
              <w:spacing w:line="360" w:lineRule="auto"/>
              <w:ind w:firstLine="0" w:firstLineChars="0"/>
              <w:rPr>
                <w:rFonts w:hint="eastAsia"/>
              </w:rPr>
            </w:pPr>
            <w:r>
              <w:rPr>
                <w:rFonts w:hint="eastAsia"/>
              </w:rPr>
              <w:t>3.★产品厂商具备与边界安全产品的软件研发、计算机信息系统集成相关的知识产权管理体系认证证书，提供相关证明文件。</w:t>
            </w:r>
          </w:p>
          <w:p>
            <w:pPr>
              <w:pStyle w:val="4"/>
              <w:ind w:left="0" w:leftChars="0"/>
              <w:rPr>
                <w:color w:val="auto"/>
              </w:rPr>
            </w:pPr>
            <w:r>
              <w:rPr>
                <w:rFonts w:hint="eastAsia"/>
                <w:color w:val="auto"/>
              </w:rPr>
              <w:t>★其他要求：含安全交换服务前置和后置服务器各一台。</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2" w:hRule="atLeast"/>
        </w:trPr>
        <w:tc>
          <w:tcPr>
            <w:tcW w:w="832" w:type="dxa"/>
            <w:vMerge w:val="restart"/>
            <w:noWrap w:val="0"/>
            <w:vAlign w:val="center"/>
          </w:tcPr>
          <w:p>
            <w:pPr>
              <w:widowControl/>
              <w:spacing w:line="360" w:lineRule="auto"/>
              <w:jc w:val="center"/>
              <w:textAlignment w:val="center"/>
              <w:rPr>
                <w:rFonts w:hint="eastAsia" w:ascii="宋体" w:hAnsi="宋体" w:cs="宋体"/>
                <w:sz w:val="22"/>
                <w:szCs w:val="22"/>
              </w:rPr>
            </w:pPr>
          </w:p>
        </w:tc>
        <w:tc>
          <w:tcPr>
            <w:tcW w:w="1665" w:type="dxa"/>
            <w:vMerge w:val="continue"/>
            <w:noWrap w:val="0"/>
            <w:vAlign w:val="center"/>
          </w:tcPr>
          <w:p>
            <w:pPr>
              <w:spacing w:line="360" w:lineRule="auto"/>
              <w:jc w:val="center"/>
              <w:rPr>
                <w:rFonts w:hint="eastAsia" w:ascii="宋体" w:hAnsi="宋体" w:cs="宋体"/>
                <w:sz w:val="22"/>
                <w:szCs w:val="22"/>
              </w:rPr>
            </w:pPr>
          </w:p>
        </w:tc>
        <w:tc>
          <w:tcPr>
            <w:tcW w:w="5977" w:type="dxa"/>
            <w:noWrap w:val="0"/>
            <w:vAlign w:val="center"/>
          </w:tcPr>
          <w:p>
            <w:pPr>
              <w:widowControl/>
              <w:spacing w:line="360" w:lineRule="auto"/>
              <w:jc w:val="left"/>
              <w:textAlignment w:val="center"/>
              <w:rPr>
                <w:rFonts w:hint="eastAsia"/>
              </w:rPr>
            </w:pPr>
            <w:r>
              <w:rPr>
                <w:rFonts w:hint="eastAsia"/>
              </w:rPr>
              <w:t>2.2安全视频交换系统</w:t>
            </w:r>
          </w:p>
          <w:p>
            <w:pPr>
              <w:widowControl/>
              <w:spacing w:line="360" w:lineRule="auto"/>
              <w:jc w:val="left"/>
              <w:textAlignment w:val="center"/>
              <w:rPr>
                <w:rFonts w:hint="eastAsia"/>
              </w:rPr>
            </w:pPr>
            <w:r>
              <w:rPr>
                <w:rFonts w:hint="eastAsia"/>
              </w:rPr>
              <w:t>1) 视频服务管理</w:t>
            </w:r>
          </w:p>
          <w:p>
            <w:pPr>
              <w:widowControl/>
              <w:spacing w:line="360" w:lineRule="auto"/>
              <w:jc w:val="left"/>
              <w:textAlignment w:val="center"/>
              <w:rPr>
                <w:rFonts w:hint="eastAsia"/>
              </w:rPr>
            </w:pPr>
            <w:r>
              <w:rPr>
                <w:rFonts w:hint="eastAsia"/>
              </w:rPr>
              <w:t>安全视频交换系统支持视频流、音频流等多媒体数据的单向传输，支持主流视频流、音频流格式，如H264、MJPEG、AVI、MOV、Media、RMVB、WMA等。并支持媒体流编码格式识别，杜绝通过媒体传输通道传输恶意数据。</w:t>
            </w:r>
          </w:p>
          <w:p>
            <w:pPr>
              <w:widowControl/>
              <w:spacing w:line="360" w:lineRule="auto"/>
              <w:jc w:val="left"/>
              <w:textAlignment w:val="center"/>
              <w:rPr>
                <w:rFonts w:hint="eastAsia"/>
              </w:rPr>
            </w:pPr>
            <w:r>
              <w:rPr>
                <w:rFonts w:hint="eastAsia"/>
              </w:rPr>
              <w:t>为了提高MTP系统的高安全性以及高适用性，网闸模式同时支持内外网两端使用ipv4和ipv6协议，暂不支持光闸模式在ipv6协议下使用。</w:t>
            </w:r>
          </w:p>
          <w:p>
            <w:pPr>
              <w:widowControl/>
              <w:spacing w:line="360" w:lineRule="auto"/>
              <w:jc w:val="left"/>
              <w:textAlignment w:val="center"/>
              <w:rPr>
                <w:rFonts w:hint="eastAsia"/>
              </w:rPr>
            </w:pPr>
            <w:r>
              <w:rPr>
                <w:rFonts w:hint="eastAsia"/>
              </w:rPr>
              <w:t>MTP可以实现控制信令的双向传输，并支持SIP、RTSP、RTCP等主流媒体协议，同时支持压缩模式信令。MTP也提供API二次开发接口，实现对新视频厂商的快速接入。</w:t>
            </w:r>
          </w:p>
          <w:p>
            <w:pPr>
              <w:widowControl/>
              <w:spacing w:line="360" w:lineRule="auto"/>
              <w:jc w:val="left"/>
              <w:textAlignment w:val="center"/>
              <w:rPr>
                <w:rFonts w:hint="eastAsia"/>
              </w:rPr>
            </w:pPr>
            <w:r>
              <w:rPr>
                <w:rFonts w:hint="eastAsia"/>
              </w:rPr>
              <w:t>对同一视频源的多个请求，可共享相应的视频资源。内网多个用户需要调用同一路视频时，系统会主动从外部视频监控点获取一路视频至视频用户认证服务器（TMS），并将视频分多路发送给用户。</w:t>
            </w:r>
          </w:p>
          <w:p>
            <w:pPr>
              <w:widowControl/>
              <w:spacing w:line="360" w:lineRule="auto"/>
              <w:jc w:val="left"/>
              <w:textAlignment w:val="center"/>
              <w:rPr>
                <w:rFonts w:hint="eastAsia"/>
              </w:rPr>
            </w:pPr>
            <w:r>
              <w:rPr>
                <w:rFonts w:hint="eastAsia"/>
              </w:rPr>
              <w:t>2) 流量管理</w:t>
            </w:r>
          </w:p>
          <w:p>
            <w:pPr>
              <w:widowControl/>
              <w:spacing w:line="360" w:lineRule="auto"/>
              <w:jc w:val="left"/>
              <w:textAlignment w:val="center"/>
              <w:rPr>
                <w:rFonts w:hint="eastAsia"/>
              </w:rPr>
            </w:pPr>
            <w:r>
              <w:rPr>
                <w:rFonts w:hint="eastAsia"/>
              </w:rPr>
              <w:t>安全视频交换系统可以对用户、IP、视频资源进行流量的统计和查询。</w:t>
            </w:r>
          </w:p>
          <w:p>
            <w:pPr>
              <w:widowControl/>
              <w:spacing w:line="360" w:lineRule="auto"/>
              <w:jc w:val="left"/>
              <w:textAlignment w:val="center"/>
              <w:rPr>
                <w:rFonts w:hint="eastAsia"/>
              </w:rPr>
            </w:pPr>
            <w:r>
              <w:rPr>
                <w:rFonts w:hint="eastAsia"/>
              </w:rPr>
              <w:t>系统对流量的统计，可提供曲线图、柱状图和饼状图三种方式展现报表，并可导出Excel格式文件。</w:t>
            </w:r>
          </w:p>
          <w:p>
            <w:pPr>
              <w:widowControl/>
              <w:spacing w:line="360" w:lineRule="auto"/>
              <w:jc w:val="left"/>
              <w:textAlignment w:val="center"/>
              <w:rPr>
                <w:rFonts w:hint="eastAsia"/>
              </w:rPr>
            </w:pPr>
            <w:r>
              <w:rPr>
                <w:rFonts w:hint="eastAsia"/>
              </w:rPr>
              <w:t>系统同时提供分组、多条件两种方式进行查询。</w:t>
            </w:r>
          </w:p>
          <w:p>
            <w:pPr>
              <w:widowControl/>
              <w:spacing w:line="360" w:lineRule="auto"/>
              <w:jc w:val="left"/>
              <w:textAlignment w:val="center"/>
              <w:rPr>
                <w:rFonts w:hint="eastAsia"/>
              </w:rPr>
            </w:pPr>
            <w:r>
              <w:rPr>
                <w:rFonts w:hint="eastAsia"/>
              </w:rPr>
              <w:t>3) 系统管理</w:t>
            </w:r>
          </w:p>
          <w:p>
            <w:pPr>
              <w:widowControl/>
              <w:spacing w:line="360" w:lineRule="auto"/>
              <w:jc w:val="left"/>
              <w:textAlignment w:val="center"/>
              <w:rPr>
                <w:rFonts w:hint="eastAsia"/>
              </w:rPr>
            </w:pPr>
            <w:r>
              <w:rPr>
                <w:rFonts w:hint="eastAsia"/>
              </w:rPr>
              <w:t>安全视频交换系统提供系统配置、状态监控、系统备份/还原等管理。</w:t>
            </w:r>
          </w:p>
          <w:p>
            <w:pPr>
              <w:widowControl/>
              <w:spacing w:line="360" w:lineRule="auto"/>
              <w:jc w:val="left"/>
              <w:textAlignment w:val="center"/>
              <w:rPr>
                <w:rFonts w:hint="eastAsia"/>
              </w:rPr>
            </w:pPr>
            <w:r>
              <w:rPr>
                <w:rFonts w:hint="eastAsia"/>
              </w:rPr>
              <w:t>系统配置包括系统基本信息、网络信息、系统运行，可对信息进行编辑、修改，以方便用户日常的维护工作。为了避免系统重要数据丢失，可对系统进行备份及还原。</w:t>
            </w:r>
          </w:p>
          <w:p>
            <w:pPr>
              <w:widowControl/>
              <w:spacing w:line="360" w:lineRule="auto"/>
              <w:jc w:val="left"/>
              <w:textAlignment w:val="center"/>
              <w:rPr>
                <w:rFonts w:hint="eastAsia"/>
              </w:rPr>
            </w:pPr>
            <w:r>
              <w:rPr>
                <w:rFonts w:hint="eastAsia"/>
              </w:rPr>
              <w:t>状态监控主要对视频接入认证服务器（UMS）和视频用户认证服务器（TMS）硬件资源的监控，方便实时监测硬件状态，及时发现故障并维护。</w:t>
            </w:r>
          </w:p>
          <w:p>
            <w:pPr>
              <w:widowControl/>
              <w:spacing w:line="360" w:lineRule="auto"/>
              <w:jc w:val="left"/>
              <w:textAlignment w:val="center"/>
              <w:rPr>
                <w:rFonts w:hint="eastAsia"/>
              </w:rPr>
            </w:pPr>
            <w:r>
              <w:rPr>
                <w:rFonts w:hint="eastAsia"/>
              </w:rPr>
              <w:t>系统具备“一键检测”功能，在信令失效或视频点播失败时，可通过此功能定位链路出现异常的位置，进行故障排查。</w:t>
            </w:r>
          </w:p>
          <w:p>
            <w:pPr>
              <w:widowControl/>
              <w:spacing w:line="360" w:lineRule="auto"/>
              <w:jc w:val="left"/>
              <w:textAlignment w:val="center"/>
              <w:rPr>
                <w:rFonts w:hint="eastAsia"/>
              </w:rPr>
            </w:pPr>
            <w:r>
              <w:rPr>
                <w:rFonts w:hint="eastAsia"/>
              </w:rPr>
              <w:t>4) 日志审计</w:t>
            </w:r>
          </w:p>
          <w:p>
            <w:pPr>
              <w:widowControl/>
              <w:spacing w:line="360" w:lineRule="auto"/>
              <w:jc w:val="left"/>
              <w:textAlignment w:val="center"/>
              <w:rPr>
                <w:rFonts w:hint="eastAsia"/>
              </w:rPr>
            </w:pPr>
            <w:r>
              <w:rPr>
                <w:rFonts w:hint="eastAsia"/>
              </w:rPr>
              <w:t>系统提供用户、流量、系统的日志审计，并可导入Excel格式文件。通过查阅用户日志可以实时掌握用户的操作内容、时间以及IP地址；通过查阅系统日志信息，可以实时掌握系统服务的运行状况。如果系统出现异常状况，可以通过查阅系统日志来定位出错的原因及所在的应用功能模块</w:t>
            </w:r>
          </w:p>
          <w:p>
            <w:pPr>
              <w:widowControl/>
              <w:spacing w:line="360" w:lineRule="auto"/>
              <w:jc w:val="left"/>
              <w:textAlignment w:val="center"/>
              <w:rPr>
                <w:rFonts w:hint="eastAsia"/>
              </w:rPr>
            </w:pPr>
            <w:r>
              <w:rPr>
                <w:rFonts w:hint="eastAsia"/>
              </w:rPr>
              <w:t>5) 报警处理</w:t>
            </w:r>
          </w:p>
          <w:p>
            <w:pPr>
              <w:widowControl/>
              <w:spacing w:line="360" w:lineRule="auto"/>
              <w:jc w:val="left"/>
              <w:textAlignment w:val="center"/>
              <w:rPr>
                <w:rFonts w:hint="eastAsia"/>
              </w:rPr>
            </w:pPr>
            <w:r>
              <w:rPr>
                <w:rFonts w:hint="eastAsia"/>
              </w:rPr>
              <w:t>系统提供对硬件资源和日志的异常行为按照自定义触发规则，通过邮件、短信等方式报警，并提供多种报警处置模式。</w:t>
            </w:r>
          </w:p>
          <w:p>
            <w:pPr>
              <w:widowControl/>
              <w:spacing w:line="360" w:lineRule="auto"/>
              <w:jc w:val="left"/>
              <w:textAlignment w:val="center"/>
              <w:rPr>
                <w:rFonts w:hint="eastAsia"/>
              </w:rPr>
            </w:pPr>
            <w:r>
              <w:rPr>
                <w:rFonts w:hint="eastAsia"/>
              </w:rPr>
              <w:t>6) 统计报表</w:t>
            </w:r>
          </w:p>
          <w:p>
            <w:pPr>
              <w:widowControl/>
              <w:spacing w:line="360" w:lineRule="auto"/>
              <w:jc w:val="left"/>
              <w:textAlignment w:val="center"/>
              <w:rPr>
                <w:rFonts w:hint="eastAsia"/>
              </w:rPr>
            </w:pPr>
            <w:r>
              <w:rPr>
                <w:rFonts w:hint="eastAsia"/>
              </w:rPr>
              <w:t>系统对视频流、用户和流量进行统计、生成报表，并支持对统计报表以Excel格式文件导出。</w:t>
            </w:r>
          </w:p>
          <w:p>
            <w:pPr>
              <w:widowControl/>
              <w:spacing w:line="360" w:lineRule="auto"/>
              <w:jc w:val="left"/>
              <w:textAlignment w:val="center"/>
              <w:rPr>
                <w:rFonts w:hint="eastAsia"/>
              </w:rPr>
            </w:pPr>
            <w:r>
              <w:rPr>
                <w:rFonts w:hint="eastAsia"/>
              </w:rPr>
              <w:t>7) 视频流双向传输</w:t>
            </w:r>
          </w:p>
          <w:p>
            <w:pPr>
              <w:widowControl/>
              <w:spacing w:line="360" w:lineRule="auto"/>
              <w:jc w:val="left"/>
              <w:textAlignment w:val="center"/>
              <w:rPr>
                <w:rFonts w:hint="eastAsia"/>
              </w:rPr>
            </w:pPr>
            <w:r>
              <w:rPr>
                <w:rFonts w:hint="eastAsia"/>
              </w:rPr>
              <w:t>系统支持网闸模式以及光闸模式对视频流的双向传输，并支持PDT音视频流的双向传输。</w:t>
            </w:r>
          </w:p>
          <w:p>
            <w:pPr>
              <w:pStyle w:val="3"/>
              <w:spacing w:line="360" w:lineRule="auto"/>
              <w:ind w:firstLine="0" w:firstLineChars="0"/>
              <w:rPr>
                <w:rFonts w:hint="eastAsia"/>
              </w:rPr>
            </w:pPr>
            <w:r>
              <w:rPr>
                <w:rFonts w:hint="eastAsia"/>
              </w:rPr>
              <w:t>硬件配置及性能指标</w:t>
            </w:r>
          </w:p>
          <w:p>
            <w:pPr>
              <w:pStyle w:val="3"/>
              <w:spacing w:line="360" w:lineRule="auto"/>
              <w:ind w:firstLine="210"/>
              <w:rPr>
                <w:rFonts w:hint="eastAsia"/>
              </w:rPr>
            </w:pPr>
            <w:r>
              <w:rPr>
                <w:rFonts w:hint="eastAsia"/>
              </w:rPr>
              <w:t>1、标准2U机架式，由视频接入认证服务器以及用户接入认证服务器组成，部署在安全隔离与信息交换系统前后；</w:t>
            </w:r>
          </w:p>
          <w:p>
            <w:pPr>
              <w:pStyle w:val="3"/>
              <w:spacing w:line="360" w:lineRule="auto"/>
              <w:ind w:firstLine="210"/>
              <w:rPr>
                <w:rFonts w:hint="eastAsia"/>
              </w:rPr>
            </w:pPr>
            <w:r>
              <w:rPr>
                <w:rFonts w:hint="eastAsia"/>
              </w:rPr>
              <w:t>2、每个设备各具备100/1000Mbase-TX以太接口≥4个，万兆光纤接口≥2个；</w:t>
            </w:r>
          </w:p>
          <w:p>
            <w:pPr>
              <w:pStyle w:val="3"/>
              <w:spacing w:line="360" w:lineRule="auto"/>
              <w:ind w:firstLine="210"/>
              <w:rPr>
                <w:rFonts w:hint="eastAsia"/>
              </w:rPr>
            </w:pPr>
            <w:r>
              <w:rPr>
                <w:rFonts w:hint="eastAsia"/>
              </w:rPr>
              <w:t>3、★具备Linux的高性能安全操作系统、给传输数据提供安全可靠的的生态，提供采用基于Linux内核的TopOS安全操作系统软件著作权登记证书；</w:t>
            </w:r>
          </w:p>
          <w:p>
            <w:pPr>
              <w:pStyle w:val="3"/>
              <w:spacing w:line="360" w:lineRule="auto"/>
              <w:ind w:firstLine="210"/>
              <w:rPr>
                <w:rFonts w:hint="eastAsia"/>
              </w:rPr>
            </w:pPr>
            <w:r>
              <w:rPr>
                <w:rFonts w:hint="eastAsia"/>
              </w:rPr>
              <w:t>4、稳定性运行时间(MTBF)：&gt;50000小时；</w:t>
            </w:r>
          </w:p>
          <w:p>
            <w:pPr>
              <w:pStyle w:val="3"/>
              <w:spacing w:line="360" w:lineRule="auto"/>
              <w:ind w:firstLine="210"/>
              <w:rPr>
                <w:rFonts w:hint="eastAsia"/>
              </w:rPr>
            </w:pPr>
            <w:r>
              <w:rPr>
                <w:rFonts w:hint="eastAsia"/>
              </w:rPr>
              <w:t>5、★吞吐量≥2Gbps，延时≤19us，并发连接数≥450000个；（提供第三方检测报告证明文件）</w:t>
            </w:r>
          </w:p>
          <w:p>
            <w:pPr>
              <w:pStyle w:val="3"/>
              <w:spacing w:line="360" w:lineRule="auto"/>
              <w:ind w:firstLine="210"/>
              <w:rPr>
                <w:rFonts w:hint="eastAsia"/>
              </w:rPr>
            </w:pPr>
            <w:r>
              <w:rPr>
                <w:rFonts w:hint="eastAsia"/>
              </w:rPr>
              <w:t>6、支持并发500路D1（4M）图像线性传输；</w:t>
            </w:r>
          </w:p>
          <w:p>
            <w:pPr>
              <w:pStyle w:val="3"/>
              <w:spacing w:line="360" w:lineRule="auto"/>
              <w:ind w:firstLine="210"/>
              <w:rPr>
                <w:rFonts w:hint="eastAsia"/>
              </w:rPr>
            </w:pPr>
            <w:r>
              <w:rPr>
                <w:rFonts w:hint="eastAsia"/>
              </w:rPr>
              <w:t>7、无故障运行时间≥50000小时。</w:t>
            </w:r>
          </w:p>
          <w:p>
            <w:pPr>
              <w:pStyle w:val="3"/>
              <w:spacing w:line="360" w:lineRule="auto"/>
              <w:ind w:firstLine="210"/>
              <w:rPr>
                <w:rFonts w:hint="eastAsia"/>
              </w:rPr>
            </w:pPr>
            <w:r>
              <w:rPr>
                <w:rFonts w:hint="eastAsia"/>
              </w:rPr>
              <w:t>基本功能</w:t>
            </w:r>
          </w:p>
          <w:p>
            <w:pPr>
              <w:pStyle w:val="3"/>
              <w:spacing w:line="360" w:lineRule="auto"/>
              <w:ind w:firstLine="210"/>
              <w:rPr>
                <w:rFonts w:hint="eastAsia"/>
              </w:rPr>
            </w:pPr>
            <w:r>
              <w:rPr>
                <w:rFonts w:hint="eastAsia"/>
              </w:rPr>
              <w:t>1、支持标准SIP信令控制协议，支持GB/T28181-2016 《安全防范视频监控联网系统信息传输、交换、控制技术要求》，且支持TCP/UDP点播方式、同时TCP连接方式支持Active和Passive两种方式，提供相关权威测试报告；</w:t>
            </w:r>
          </w:p>
          <w:p>
            <w:pPr>
              <w:pStyle w:val="3"/>
              <w:spacing w:line="360" w:lineRule="auto"/>
              <w:ind w:firstLine="210"/>
              <w:rPr>
                <w:rFonts w:hint="eastAsia"/>
              </w:rPr>
            </w:pPr>
            <w:r>
              <w:rPr>
                <w:rFonts w:hint="eastAsia"/>
              </w:rPr>
              <w:t>2、支持海康、大华、宇视科技、科达、立元等国内外视频监控厂商的信令控制协议；</w:t>
            </w:r>
          </w:p>
          <w:p>
            <w:pPr>
              <w:pStyle w:val="3"/>
              <w:spacing w:line="360" w:lineRule="auto"/>
              <w:ind w:firstLine="210"/>
              <w:rPr>
                <w:rFonts w:hint="eastAsia"/>
              </w:rPr>
            </w:pPr>
            <w:r>
              <w:rPr>
                <w:rFonts w:hint="eastAsia"/>
              </w:rPr>
              <w:t>3、支持海能达、承联、普天、中兴等指挥系统厂商的信令控制协议；</w:t>
            </w:r>
          </w:p>
          <w:p>
            <w:pPr>
              <w:pStyle w:val="3"/>
              <w:spacing w:line="360" w:lineRule="auto"/>
              <w:ind w:firstLine="210"/>
              <w:rPr>
                <w:rFonts w:hint="eastAsia"/>
              </w:rPr>
            </w:pPr>
            <w:r>
              <w:rPr>
                <w:rFonts w:hint="eastAsia"/>
              </w:rPr>
              <w:t>4、为满足市场各品牌对接需求以及便于配置人员对接业务，产品支持配置不同视频厂商产品适配的模板文件，快速生成视频传输通道；（提供相关权威检测报告）</w:t>
            </w:r>
          </w:p>
          <w:p>
            <w:pPr>
              <w:pStyle w:val="3"/>
              <w:spacing w:line="360" w:lineRule="auto"/>
              <w:ind w:firstLine="210"/>
              <w:rPr>
                <w:rFonts w:hint="eastAsia"/>
              </w:rPr>
            </w:pPr>
            <w:r>
              <w:rPr>
                <w:rFonts w:hint="eastAsia"/>
              </w:rPr>
              <w:t>5、★能够在IPV4和IPV6协议环境下，对视频流使用用户、源端IP地址、目的端IP地址、访问时间进行控制；可对视频流进行丢帧、插帧处理；可对信令协议做register、play等关键字过滤，控制操作类型；（提供权威检测报告截图并加盖公章）</w:t>
            </w:r>
          </w:p>
          <w:p>
            <w:pPr>
              <w:pStyle w:val="3"/>
              <w:spacing w:line="360" w:lineRule="auto"/>
              <w:ind w:firstLine="210"/>
              <w:rPr>
                <w:rFonts w:hint="eastAsia"/>
              </w:rPr>
            </w:pPr>
            <w:r>
              <w:rPr>
                <w:rFonts w:hint="eastAsia"/>
              </w:rPr>
              <w:t>6、★为提高视频质量及视频流安全防御，对视频流中的关键帧（I帧）与非关键帧（P帧）加以识别，在不影响图像质量的前提下，插入或丢弃极少量P帧，破坏恶意代码，保障视频流安全；系统支持可定义丢插帧及帧级大小，（提供相关功能截图）</w:t>
            </w:r>
          </w:p>
          <w:p>
            <w:pPr>
              <w:pStyle w:val="3"/>
              <w:spacing w:line="360" w:lineRule="auto"/>
              <w:ind w:firstLine="210"/>
              <w:rPr>
                <w:rFonts w:hint="eastAsia"/>
              </w:rPr>
            </w:pPr>
            <w:r>
              <w:rPr>
                <w:rFonts w:hint="eastAsia"/>
              </w:rPr>
              <w:t>7、为保证系统稳定性，不需要第三方负载均衡服务器，系统内部即可实现负载均衡功能；（提供相关功能截图及“视频云交换负载均衡系统”国家版权局软件著作权登记证书）</w:t>
            </w:r>
          </w:p>
          <w:p>
            <w:pPr>
              <w:pStyle w:val="3"/>
              <w:spacing w:line="360" w:lineRule="auto"/>
              <w:ind w:firstLine="210"/>
              <w:rPr>
                <w:rFonts w:hint="eastAsia"/>
              </w:rPr>
            </w:pPr>
            <w:r>
              <w:rPr>
                <w:rFonts w:hint="eastAsia"/>
              </w:rPr>
              <w:t>8、系统支持网口聚合功能，实现链路的冗余；（提供相关功能截图）</w:t>
            </w:r>
          </w:p>
          <w:p>
            <w:pPr>
              <w:pStyle w:val="3"/>
              <w:spacing w:line="360" w:lineRule="auto"/>
              <w:ind w:firstLine="210"/>
              <w:rPr>
                <w:rFonts w:hint="eastAsia"/>
              </w:rPr>
            </w:pPr>
            <w:r>
              <w:rPr>
                <w:rFonts w:hint="eastAsia"/>
              </w:rPr>
              <w:t>9、为保证视频平台对接及视频流交互的安全可靠，支持信令传输协议过滤，比如HTTP、SIP、RTSP等，对不同信令传输协议做黑白名单设置；（提供相关功能截图）</w:t>
            </w:r>
          </w:p>
          <w:p>
            <w:pPr>
              <w:pStyle w:val="3"/>
              <w:spacing w:line="360" w:lineRule="auto"/>
              <w:ind w:firstLine="210"/>
              <w:rPr>
                <w:rFonts w:hint="eastAsia"/>
              </w:rPr>
            </w:pPr>
            <w:r>
              <w:rPr>
                <w:rFonts w:hint="eastAsia"/>
              </w:rPr>
              <w:t>10、为保证视频流的合规性，杜绝通过媒体传输通道传输恶意数据保证业务内网安全，支持媒体流编码格式识别，设置服务视频编码格式，比如MPEG、MPEG-1、H.261、H.263、H.264等格式；（提供相关功能截图）</w:t>
            </w:r>
          </w:p>
          <w:p>
            <w:pPr>
              <w:pStyle w:val="3"/>
              <w:spacing w:line="360" w:lineRule="auto"/>
              <w:ind w:firstLine="210"/>
              <w:rPr>
                <w:rFonts w:hint="eastAsia"/>
              </w:rPr>
            </w:pPr>
            <w:r>
              <w:rPr>
                <w:rFonts w:hint="eastAsia"/>
              </w:rPr>
              <w:t>11、为保证视频流的合规性，保证业务内网安全，支持视频流传输协议过滤，比如UDP、TCP、RTP、RTCP等，对视频传输格式做黑白名单设置；（提供相关功能截图）</w:t>
            </w:r>
          </w:p>
          <w:p>
            <w:pPr>
              <w:pStyle w:val="3"/>
              <w:spacing w:line="360" w:lineRule="auto"/>
              <w:ind w:firstLine="210"/>
              <w:rPr>
                <w:rFonts w:hint="eastAsia"/>
              </w:rPr>
            </w:pPr>
            <w:r>
              <w:rPr>
                <w:rFonts w:hint="eastAsia"/>
              </w:rPr>
              <w:t>12、为保证对接的服务器及摄像头的可信度，保证内网安全，可对通信的设备进行认证，包括IP、端口、摄像头标识等；（提供相关功能截图）</w:t>
            </w:r>
          </w:p>
          <w:p>
            <w:pPr>
              <w:pStyle w:val="3"/>
              <w:spacing w:line="360" w:lineRule="auto"/>
              <w:ind w:firstLine="210"/>
              <w:rPr>
                <w:rFonts w:hint="eastAsia"/>
              </w:rPr>
            </w:pPr>
            <w:r>
              <w:rPr>
                <w:rFonts w:hint="eastAsia"/>
              </w:rPr>
              <w:t>13、为保证视频通道使用的可控性，可自定义视频通道启停时间，提供相应系统功能截图；（提供相关功能截图）</w:t>
            </w:r>
          </w:p>
          <w:p>
            <w:pPr>
              <w:pStyle w:val="3"/>
              <w:spacing w:line="360" w:lineRule="auto"/>
              <w:ind w:firstLine="210"/>
              <w:rPr>
                <w:rFonts w:hint="eastAsia"/>
              </w:rPr>
            </w:pPr>
            <w:r>
              <w:rPr>
                <w:rFonts w:hint="eastAsia"/>
              </w:rPr>
              <w:t>14、具备在同一视频通道中当多个用户访问视频资源导致带宽资源紧张时，产品支持自动限制低优先级用户的带宽占用，释放带宽资源，保证高优先级用户对视频资源的访问，可设置优先用户以及IP启用流量峰值；（提供相关功能截图）</w:t>
            </w:r>
          </w:p>
          <w:p>
            <w:pPr>
              <w:pStyle w:val="3"/>
              <w:spacing w:line="360" w:lineRule="auto"/>
              <w:ind w:firstLine="210"/>
              <w:rPr>
                <w:rFonts w:hint="eastAsia"/>
              </w:rPr>
            </w:pPr>
            <w:r>
              <w:rPr>
                <w:rFonts w:hint="eastAsia"/>
              </w:rPr>
              <w:t>15、为方便运维人员实时监测硬件状态，及时发现故障并维护，可自定义报警策略，对设备相关指标进行设置，包括CPU峰值、使用运行内存峰值、硬盘空间使用峰值、账号使用状态等指标；（提供相关功能截图）</w:t>
            </w:r>
          </w:p>
          <w:p>
            <w:pPr>
              <w:pStyle w:val="3"/>
              <w:spacing w:line="360" w:lineRule="auto"/>
              <w:ind w:firstLine="210"/>
              <w:rPr>
                <w:rFonts w:hint="eastAsia"/>
              </w:rPr>
            </w:pPr>
            <w:r>
              <w:rPr>
                <w:rFonts w:hint="eastAsia"/>
              </w:rPr>
              <w:t>16、产品具备兼容第三方视频密钥系统，满足GB35114视频接入规范。（提供权威证明文件）</w:t>
            </w:r>
          </w:p>
          <w:p>
            <w:pPr>
              <w:pStyle w:val="3"/>
              <w:spacing w:line="360" w:lineRule="auto"/>
              <w:ind w:firstLine="210"/>
              <w:rPr>
                <w:rFonts w:hint="eastAsia"/>
              </w:rPr>
            </w:pPr>
            <w:r>
              <w:rPr>
                <w:rFonts w:hint="eastAsia"/>
              </w:rPr>
              <w:t>资质要求</w:t>
            </w:r>
          </w:p>
          <w:p>
            <w:pPr>
              <w:pStyle w:val="3"/>
              <w:spacing w:line="360" w:lineRule="auto"/>
              <w:ind w:firstLine="210"/>
              <w:rPr>
                <w:rFonts w:hint="eastAsia"/>
              </w:rPr>
            </w:pPr>
            <w:r>
              <w:rPr>
                <w:rFonts w:hint="eastAsia"/>
              </w:rPr>
              <w:t>1、★产品厂商入围通过公安部组织测试的接入平台厂商名单；（提供相关截图证明文件）</w:t>
            </w:r>
          </w:p>
          <w:p>
            <w:pPr>
              <w:pStyle w:val="3"/>
              <w:spacing w:line="360" w:lineRule="auto"/>
              <w:ind w:firstLine="210"/>
              <w:rPr>
                <w:rFonts w:hint="eastAsia"/>
              </w:rPr>
            </w:pPr>
            <w:r>
              <w:rPr>
                <w:rFonts w:hint="eastAsia"/>
              </w:rPr>
              <w:t>2、★产品通过安全测评的视频安全交换产品及厂商目录；（提供相关截图证明文件）</w:t>
            </w:r>
          </w:p>
          <w:p>
            <w:pPr>
              <w:pStyle w:val="3"/>
              <w:spacing w:line="360" w:lineRule="auto"/>
              <w:ind w:firstLine="210"/>
              <w:rPr>
                <w:rFonts w:hint="eastAsia"/>
              </w:rPr>
            </w:pPr>
            <w:r>
              <w:rPr>
                <w:rFonts w:hint="eastAsia"/>
              </w:rPr>
              <w:t>3、产品具有公安部计算机信息系统安全专用产品销售许可证；</w:t>
            </w:r>
          </w:p>
          <w:p>
            <w:pPr>
              <w:pStyle w:val="3"/>
              <w:spacing w:line="360" w:lineRule="auto"/>
              <w:ind w:firstLine="210"/>
              <w:rPr>
                <w:rFonts w:hint="eastAsia"/>
              </w:rPr>
            </w:pPr>
            <w:r>
              <w:rPr>
                <w:rFonts w:hint="eastAsia"/>
              </w:rPr>
              <w:t>4、符合GB/T 28181-2016技术规范的检测证书；（提供相关检测报告证明文件）</w:t>
            </w:r>
          </w:p>
          <w:p>
            <w:pPr>
              <w:pStyle w:val="3"/>
              <w:spacing w:line="360" w:lineRule="auto"/>
              <w:ind w:firstLine="210"/>
              <w:rPr>
                <w:rFonts w:hint="eastAsia"/>
              </w:rPr>
            </w:pPr>
            <w:r>
              <w:rPr>
                <w:rFonts w:hint="eastAsia"/>
              </w:rPr>
              <w:t>5、为保证网络的高效率高，高安全性，产品需支持IPV6接入；（提供相关证明文件）</w:t>
            </w:r>
          </w:p>
          <w:p>
            <w:pPr>
              <w:pStyle w:val="3"/>
              <w:spacing w:line="360" w:lineRule="auto"/>
              <w:ind w:firstLine="210"/>
              <w:rPr>
                <w:rFonts w:hint="eastAsia"/>
              </w:rPr>
            </w:pPr>
            <w:r>
              <w:rPr>
                <w:rFonts w:hint="eastAsia"/>
              </w:rPr>
              <w:t>6、★为符合GB/T26572-2011标准，减少和控制电子信息产品废弃后对环境造成的污染，促进低污染电子信息产品的生产和销售，产品需具备CPST欧冠检测报告；（提供相关证明文件）</w:t>
            </w:r>
          </w:p>
          <w:p>
            <w:pPr>
              <w:pStyle w:val="3"/>
              <w:spacing w:line="360" w:lineRule="auto"/>
              <w:ind w:firstLine="210"/>
              <w:rPr>
                <w:rFonts w:hint="eastAsia"/>
              </w:rPr>
            </w:pPr>
            <w:r>
              <w:rPr>
                <w:rFonts w:hint="eastAsia"/>
              </w:rPr>
              <w:t>7、★产品厂商具备与边界安全产品的软件研发、计算机信息系统集成相关的知识产权管理体系认证证书；（提供相关证明文件）</w:t>
            </w:r>
          </w:p>
          <w:p>
            <w:pPr>
              <w:pStyle w:val="3"/>
              <w:spacing w:line="360" w:lineRule="auto"/>
              <w:ind w:firstLine="210"/>
              <w:rPr>
                <w:rFonts w:hint="eastAsia"/>
              </w:rPr>
            </w:pPr>
            <w:r>
              <w:rPr>
                <w:rFonts w:hint="eastAsia"/>
              </w:rPr>
              <w:t>8、★必须与安全隔离设备为同一品牌，保证兼容性和稳定性支持双机热备功能，提供高可靠性支持。</w:t>
            </w:r>
          </w:p>
          <w:p>
            <w:pPr>
              <w:pStyle w:val="4"/>
              <w:ind w:left="0" w:leftChars="0"/>
              <w:rPr>
                <w:rFonts w:hint="eastAsia"/>
                <w:color w:val="auto"/>
              </w:rPr>
            </w:pPr>
            <w:r>
              <w:rPr>
                <w:rFonts w:hint="eastAsia"/>
                <w:color w:val="auto"/>
              </w:rPr>
              <w:t>★其他要求：含安全视频交换服务前置和后置服务器各一台。</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832" w:type="dxa"/>
            <w:vMerge w:val="continue"/>
            <w:noWrap w:val="0"/>
            <w:vAlign w:val="center"/>
          </w:tcPr>
          <w:p>
            <w:pPr>
              <w:widowControl/>
              <w:spacing w:line="360" w:lineRule="auto"/>
              <w:textAlignment w:val="center"/>
              <w:rPr>
                <w:rFonts w:hint="eastAsia" w:ascii="宋体" w:hAnsi="宋体" w:cs="宋体"/>
                <w:sz w:val="22"/>
                <w:szCs w:val="22"/>
              </w:rPr>
            </w:pPr>
          </w:p>
        </w:tc>
        <w:tc>
          <w:tcPr>
            <w:tcW w:w="1665" w:type="dxa"/>
            <w:vMerge w:val="continue"/>
            <w:noWrap w:val="0"/>
            <w:vAlign w:val="center"/>
          </w:tcPr>
          <w:p>
            <w:pPr>
              <w:spacing w:line="360" w:lineRule="auto"/>
              <w:jc w:val="center"/>
              <w:rPr>
                <w:rFonts w:hint="eastAsia" w:ascii="宋体" w:hAnsi="宋体" w:cs="宋体"/>
                <w:sz w:val="22"/>
                <w:szCs w:val="22"/>
              </w:rPr>
            </w:pPr>
          </w:p>
        </w:tc>
        <w:tc>
          <w:tcPr>
            <w:tcW w:w="5977" w:type="dxa"/>
            <w:noWrap w:val="0"/>
            <w:vAlign w:val="center"/>
          </w:tcPr>
          <w:p>
            <w:pPr>
              <w:widowControl/>
              <w:spacing w:line="360" w:lineRule="auto"/>
              <w:jc w:val="left"/>
              <w:textAlignment w:val="center"/>
              <w:rPr>
                <w:rFonts w:hint="eastAsia"/>
              </w:rPr>
            </w:pPr>
            <w:r>
              <w:rPr>
                <w:rFonts w:hint="eastAsia"/>
              </w:rPr>
              <w:t>2.3安全单向隔离光闸</w:t>
            </w:r>
          </w:p>
          <w:p>
            <w:pPr>
              <w:widowControl/>
              <w:spacing w:line="360" w:lineRule="auto"/>
              <w:jc w:val="left"/>
              <w:textAlignment w:val="center"/>
              <w:rPr>
                <w:rFonts w:hint="eastAsia"/>
              </w:rPr>
            </w:pPr>
            <w:r>
              <w:rPr>
                <w:rFonts w:hint="eastAsia"/>
              </w:rPr>
              <w:t>1. 支持异构不同数据库之间的数据交换，现在支持四大常用的数据库之间的互相交换；</w:t>
            </w:r>
          </w:p>
          <w:p>
            <w:pPr>
              <w:widowControl/>
              <w:spacing w:line="360" w:lineRule="auto"/>
              <w:jc w:val="left"/>
              <w:textAlignment w:val="center"/>
              <w:rPr>
                <w:rFonts w:hint="eastAsia"/>
              </w:rPr>
            </w:pPr>
            <w:r>
              <w:rPr>
                <w:rFonts w:hint="eastAsia"/>
              </w:rPr>
              <w:t>2. 数据库交换模式包含全表机制和触发器机制全表机制按照用户定义的时间间隔，根据用户配置过的表和字段把源表的全部数据传送到目的表中；</w:t>
            </w:r>
          </w:p>
          <w:p>
            <w:pPr>
              <w:widowControl/>
              <w:spacing w:line="360" w:lineRule="auto"/>
              <w:jc w:val="left"/>
              <w:textAlignment w:val="center"/>
              <w:rPr>
                <w:rFonts w:hint="eastAsia"/>
              </w:rPr>
            </w:pPr>
            <w:r>
              <w:rPr>
                <w:rFonts w:hint="eastAsia"/>
              </w:rPr>
              <w:t>3. 支持对交换的数据进行内容的过滤，根据用户的定义内容黑名单对数据库中的数据进行过滤，对不符合的数据不进行交换；</w:t>
            </w:r>
          </w:p>
          <w:p>
            <w:pPr>
              <w:widowControl/>
              <w:spacing w:line="360" w:lineRule="auto"/>
              <w:jc w:val="left"/>
              <w:textAlignment w:val="center"/>
              <w:rPr>
                <w:rFonts w:hint="eastAsia"/>
              </w:rPr>
            </w:pPr>
            <w:r>
              <w:rPr>
                <w:rFonts w:hint="eastAsia"/>
              </w:rPr>
              <w:t>4. 支持对数据库数据中的大字段进行格式检查。查看大字段中有没有木马和病毒的特征码的判断和大字段数据的数据具体的文件格式是不是符合要求；</w:t>
            </w:r>
          </w:p>
          <w:p>
            <w:pPr>
              <w:widowControl/>
              <w:spacing w:line="360" w:lineRule="auto"/>
              <w:jc w:val="left"/>
              <w:textAlignment w:val="center"/>
              <w:rPr>
                <w:rFonts w:hint="eastAsia"/>
              </w:rPr>
            </w:pPr>
            <w:r>
              <w:rPr>
                <w:rFonts w:hint="eastAsia"/>
              </w:rPr>
              <w:t>5. 可依据用户设置的同步条件判断是否同步以及同步策略；</w:t>
            </w:r>
          </w:p>
          <w:p>
            <w:pPr>
              <w:widowControl/>
              <w:spacing w:line="360" w:lineRule="auto"/>
              <w:jc w:val="left"/>
              <w:textAlignment w:val="center"/>
              <w:rPr>
                <w:rFonts w:hint="eastAsia"/>
              </w:rPr>
            </w:pPr>
            <w:r>
              <w:rPr>
                <w:rFonts w:hint="eastAsia"/>
              </w:rPr>
              <w:t>6. 可自行调度任务的执行周期、频率、次数、每周期数据处理量等，满足特殊的要求；</w:t>
            </w:r>
          </w:p>
          <w:p>
            <w:pPr>
              <w:widowControl/>
              <w:spacing w:line="360" w:lineRule="auto"/>
              <w:jc w:val="left"/>
              <w:textAlignment w:val="center"/>
              <w:rPr>
                <w:rFonts w:hint="eastAsia"/>
              </w:rPr>
            </w:pPr>
            <w:r>
              <w:rPr>
                <w:rFonts w:hint="eastAsia"/>
              </w:rPr>
              <w:t>7. 支持文件传输优先级设定；</w:t>
            </w:r>
          </w:p>
          <w:p>
            <w:pPr>
              <w:widowControl/>
              <w:spacing w:line="360" w:lineRule="auto"/>
              <w:jc w:val="left"/>
              <w:textAlignment w:val="center"/>
              <w:rPr>
                <w:rFonts w:hint="eastAsia"/>
              </w:rPr>
            </w:pPr>
            <w:r>
              <w:rPr>
                <w:rFonts w:hint="eastAsia"/>
              </w:rPr>
              <w:t>8. 网闸关机/重启缓存中的目录和文件不丢失；</w:t>
            </w:r>
          </w:p>
          <w:p>
            <w:pPr>
              <w:widowControl/>
              <w:spacing w:line="360" w:lineRule="auto"/>
              <w:jc w:val="left"/>
              <w:textAlignment w:val="center"/>
              <w:rPr>
                <w:rFonts w:hint="eastAsia"/>
              </w:rPr>
            </w:pPr>
            <w:r>
              <w:rPr>
                <w:rFonts w:hint="eastAsia"/>
              </w:rPr>
              <w:t>9. 能够自动清理缓存中的文件碎片，修复文件系统错误；</w:t>
            </w:r>
          </w:p>
          <w:p>
            <w:pPr>
              <w:widowControl/>
              <w:spacing w:line="360" w:lineRule="auto"/>
              <w:jc w:val="left"/>
              <w:textAlignment w:val="center"/>
              <w:rPr>
                <w:rFonts w:hint="eastAsia"/>
              </w:rPr>
            </w:pPr>
            <w:r>
              <w:rPr>
                <w:rFonts w:hint="eastAsia"/>
              </w:rPr>
              <w:t>10. 保证文件传输效率。</w:t>
            </w:r>
          </w:p>
          <w:p>
            <w:pPr>
              <w:pStyle w:val="3"/>
              <w:spacing w:line="360" w:lineRule="auto"/>
              <w:ind w:firstLine="0" w:firstLineChars="0"/>
              <w:rPr>
                <w:rFonts w:hint="eastAsia"/>
              </w:rPr>
            </w:pPr>
            <w:r>
              <w:rPr>
                <w:rFonts w:hint="eastAsia"/>
              </w:rPr>
              <w:t>硬件性能</w:t>
            </w:r>
          </w:p>
          <w:p>
            <w:pPr>
              <w:pStyle w:val="3"/>
              <w:spacing w:line="360" w:lineRule="auto"/>
              <w:ind w:firstLine="0" w:firstLineChars="0"/>
              <w:rPr>
                <w:rFonts w:hint="eastAsia"/>
              </w:rPr>
            </w:pPr>
            <w:r>
              <w:rPr>
                <w:rFonts w:hint="eastAsia"/>
              </w:rPr>
              <w:t>1、采用标准机架式机箱，产品由外网单元、内网单元，单向传输部件组成；</w:t>
            </w:r>
          </w:p>
          <w:p>
            <w:pPr>
              <w:pStyle w:val="3"/>
              <w:spacing w:line="360" w:lineRule="auto"/>
              <w:ind w:firstLine="0" w:firstLineChars="0"/>
              <w:rPr>
                <w:rFonts w:hint="eastAsia"/>
              </w:rPr>
            </w:pPr>
            <w:r>
              <w:rPr>
                <w:rFonts w:hint="eastAsia"/>
              </w:rPr>
              <w:t>2、内外网单元各100/1000M Base-TX网络接口≥4个，万兆光纤接口≥2个；</w:t>
            </w:r>
          </w:p>
          <w:p>
            <w:pPr>
              <w:pStyle w:val="3"/>
              <w:spacing w:line="360" w:lineRule="auto"/>
              <w:ind w:firstLine="0" w:firstLineChars="0"/>
              <w:rPr>
                <w:rFonts w:hint="eastAsia"/>
              </w:rPr>
            </w:pPr>
            <w:r>
              <w:rPr>
                <w:rFonts w:hint="eastAsia"/>
              </w:rPr>
              <w:t>3、最大传输延时≤50ms；数据库到数据库交换最大并发数据表≥2048；数据影射最大字段数≥512；数据库到数据库交换记录数（≥100KB/记录）≥2000条/秒；数据文件处理文件数（≥100KB/文件）≥2000个/秒；系统吞吐量≥4000Mbps；</w:t>
            </w:r>
          </w:p>
          <w:p>
            <w:pPr>
              <w:pStyle w:val="3"/>
              <w:spacing w:line="360" w:lineRule="auto"/>
              <w:ind w:firstLine="0" w:firstLineChars="0"/>
              <w:rPr>
                <w:rFonts w:hint="eastAsia"/>
              </w:rPr>
            </w:pPr>
            <w:r>
              <w:rPr>
                <w:rFonts w:hint="eastAsia"/>
              </w:rPr>
              <w:t>技术指标参数：</w:t>
            </w:r>
          </w:p>
          <w:p>
            <w:pPr>
              <w:pStyle w:val="3"/>
              <w:spacing w:line="360" w:lineRule="auto"/>
              <w:ind w:firstLine="0" w:firstLineChars="0"/>
              <w:rPr>
                <w:rFonts w:hint="eastAsia"/>
              </w:rPr>
            </w:pPr>
            <w:r>
              <w:rPr>
                <w:rFonts w:hint="eastAsia"/>
              </w:rPr>
              <w:t>4、支持静态文件的单向导入；要求支持Samba共享、FTP、本地FTP、NFS等多种方式的文件同步服务；支持相同操作系统上不同类型文件服务器的灵活搭配进行文件单向导入；支持基于Windows和Linux等操作系统的文件服务器的文件单向导入；支持文件快递功能，用户将自己的文件同时单向导入给多个用户；支持文件后缀名黑白名单过滤；支持文件内容格式黑白名单过滤；支持病毒查杀功能；支持关键字过滤；支持文件打包传输；</w:t>
            </w:r>
          </w:p>
          <w:p>
            <w:pPr>
              <w:pStyle w:val="3"/>
              <w:spacing w:line="360" w:lineRule="auto"/>
              <w:ind w:firstLine="0" w:firstLineChars="0"/>
              <w:rPr>
                <w:rFonts w:hint="eastAsia"/>
              </w:rPr>
            </w:pPr>
            <w:r>
              <w:rPr>
                <w:rFonts w:hint="eastAsia"/>
              </w:rPr>
              <w:t>5、支持数据库的单向导入；要求支持ORACLE、SQLSERVER、SYBASE、DB2、Mysql、神州通用(oscar)等多种数据库类型数据库的单向导入；支持异构数据单向导入，包括数据库类型异构、表异构、字段异构和字符异构；支持触发器、全表同步、增量同步、快照和奉献模式数据采集与导入；支持数据内容审查，包括身份证审查、枚举值审查、数值范围审查、字段值长度审查等；</w:t>
            </w:r>
          </w:p>
          <w:p>
            <w:pPr>
              <w:pStyle w:val="3"/>
              <w:spacing w:line="360" w:lineRule="auto"/>
              <w:ind w:firstLine="0" w:firstLineChars="0"/>
              <w:rPr>
                <w:rFonts w:hint="eastAsia"/>
              </w:rPr>
            </w:pPr>
            <w:r>
              <w:rPr>
                <w:rFonts w:hint="eastAsia"/>
              </w:rPr>
              <w:t>6、支持丢包恢复、掉电保护、断网恢复、流量控制等功能，有效保障传输数据的完整性、正确性；</w:t>
            </w:r>
          </w:p>
          <w:p>
            <w:pPr>
              <w:pStyle w:val="3"/>
              <w:spacing w:line="360" w:lineRule="auto"/>
              <w:ind w:firstLine="0" w:firstLineChars="0"/>
              <w:rPr>
                <w:rFonts w:hint="eastAsia"/>
              </w:rPr>
            </w:pPr>
            <w:r>
              <w:rPr>
                <w:rFonts w:hint="eastAsia"/>
              </w:rPr>
              <w:t>7、符合等级保护三级要求，支持三权分立的管理；</w:t>
            </w:r>
          </w:p>
          <w:p>
            <w:pPr>
              <w:pStyle w:val="3"/>
              <w:spacing w:line="360" w:lineRule="auto"/>
              <w:ind w:firstLine="0" w:firstLineChars="0"/>
              <w:rPr>
                <w:rFonts w:hint="eastAsia"/>
              </w:rPr>
            </w:pPr>
            <w:r>
              <w:rPr>
                <w:rFonts w:hint="eastAsia"/>
              </w:rPr>
              <w:t>8、支持对外接设备进行认证功能；</w:t>
            </w:r>
          </w:p>
          <w:p>
            <w:pPr>
              <w:pStyle w:val="3"/>
              <w:spacing w:line="360" w:lineRule="auto"/>
              <w:ind w:firstLine="0" w:firstLineChars="0"/>
              <w:rPr>
                <w:rFonts w:hint="eastAsia"/>
              </w:rPr>
            </w:pPr>
            <w:r>
              <w:rPr>
                <w:rFonts w:hint="eastAsia"/>
              </w:rPr>
              <w:t>9、支持业务运行状态监控管理；</w:t>
            </w:r>
          </w:p>
          <w:p>
            <w:pPr>
              <w:pStyle w:val="3"/>
              <w:spacing w:line="360" w:lineRule="auto"/>
              <w:ind w:firstLine="0" w:firstLineChars="0"/>
              <w:rPr>
                <w:rFonts w:hint="eastAsia"/>
              </w:rPr>
            </w:pPr>
            <w:r>
              <w:rPr>
                <w:rFonts w:hint="eastAsia"/>
              </w:rPr>
              <w:t>10、支持查询和显示详尽的日志信息及统计报表，具备良好的人机交换界面；</w:t>
            </w:r>
          </w:p>
          <w:p>
            <w:pPr>
              <w:pStyle w:val="3"/>
              <w:spacing w:line="360" w:lineRule="auto"/>
              <w:ind w:firstLine="0" w:firstLineChars="0"/>
              <w:rPr>
                <w:rFonts w:hint="eastAsia"/>
              </w:rPr>
            </w:pPr>
            <w:r>
              <w:rPr>
                <w:rFonts w:hint="eastAsia"/>
              </w:rPr>
              <w:t>11、支持web（B/S）方式管理，支持HTTPS方式访问，管理界面采用证书和用户名与密码双因子进行认证；</w:t>
            </w:r>
          </w:p>
          <w:p>
            <w:pPr>
              <w:pStyle w:val="3"/>
              <w:spacing w:line="360" w:lineRule="auto"/>
              <w:ind w:firstLine="0" w:firstLineChars="0"/>
              <w:rPr>
                <w:rFonts w:hint="eastAsia"/>
              </w:rPr>
            </w:pPr>
            <w:r>
              <w:rPr>
                <w:rFonts w:hint="eastAsia"/>
              </w:rPr>
              <w:t>12、具有系统状态监测功能，支持网络状态监测功能。系统状态分为红、黄、绿三级，系统实时进行状态监测与结果展示，根据不同颜色来反映当前系统的状态。</w:t>
            </w:r>
          </w:p>
          <w:p>
            <w:pPr>
              <w:pStyle w:val="3"/>
              <w:spacing w:line="360" w:lineRule="auto"/>
              <w:ind w:firstLine="0" w:firstLineChars="0"/>
              <w:rPr>
                <w:rFonts w:hint="eastAsia"/>
              </w:rPr>
            </w:pPr>
            <w:r>
              <w:rPr>
                <w:rFonts w:hint="eastAsia"/>
              </w:rPr>
              <w:t>相关资质：</w:t>
            </w:r>
          </w:p>
          <w:p>
            <w:pPr>
              <w:pStyle w:val="3"/>
              <w:spacing w:line="360" w:lineRule="auto"/>
              <w:ind w:firstLine="0" w:firstLineChars="0"/>
              <w:rPr>
                <w:rFonts w:hint="eastAsia"/>
              </w:rPr>
            </w:pPr>
            <w:r>
              <w:rPr>
                <w:rFonts w:hint="eastAsia"/>
              </w:rPr>
              <w:t>1、★产品数据完整性、正确性校验采用分光回馈机制，通过接收主机返回流量控制信号，防止数据丢失，具备可信计算芯片平台；（提供相关软件著作权证书复印件）</w:t>
            </w:r>
          </w:p>
          <w:p>
            <w:pPr>
              <w:pStyle w:val="3"/>
              <w:spacing w:line="360" w:lineRule="auto"/>
              <w:ind w:firstLine="0" w:firstLineChars="0"/>
              <w:rPr>
                <w:rFonts w:hint="eastAsia"/>
              </w:rPr>
            </w:pPr>
            <w:r>
              <w:rPr>
                <w:rFonts w:hint="eastAsia"/>
              </w:rPr>
              <w:t>2、★为符合GB/T26572-2011标准，减少和控制电子信息产品废弃后对环境造成的污染，促进低污染电子信息产品的生产和销售，产品需具备CPST欧冠检测报告；（提供相关证明文件）</w:t>
            </w:r>
          </w:p>
          <w:p>
            <w:pPr>
              <w:pStyle w:val="3"/>
              <w:spacing w:line="360" w:lineRule="auto"/>
              <w:ind w:firstLine="0" w:firstLineChars="0"/>
              <w:rPr>
                <w:rFonts w:hint="eastAsia"/>
              </w:rPr>
            </w:pPr>
            <w:r>
              <w:rPr>
                <w:rFonts w:hint="eastAsia"/>
              </w:rPr>
              <w:t>3、★产品基于分光技术的纯单向数据可靠传输，实现相互隔离网络的单向数据同步，产品具备安全可靠网络信息采集系统软件著作权证书；</w:t>
            </w:r>
          </w:p>
          <w:p>
            <w:pPr>
              <w:pStyle w:val="3"/>
              <w:spacing w:line="360" w:lineRule="auto"/>
              <w:ind w:firstLine="0" w:firstLineChars="0"/>
              <w:rPr>
                <w:rFonts w:hint="eastAsia"/>
              </w:rPr>
            </w:pPr>
            <w:r>
              <w:rPr>
                <w:rFonts w:hint="eastAsia"/>
              </w:rPr>
              <w:t>4、★产品厂商具备与边界安全产品的软件研发、计算机信息系统集成相关的知识产权管理体系认证证书；（提供相关证明文件）</w:t>
            </w:r>
          </w:p>
          <w:p>
            <w:pPr>
              <w:pStyle w:val="3"/>
              <w:spacing w:line="360" w:lineRule="auto"/>
              <w:ind w:firstLine="0" w:firstLineChars="0"/>
              <w:rPr>
                <w:rFonts w:hint="eastAsia"/>
              </w:rPr>
            </w:pPr>
            <w:r>
              <w:rPr>
                <w:rFonts w:hint="eastAsia"/>
              </w:rPr>
              <w:t>5、公安部销售许可证书（增强级）；（提供相应截图证明文件）</w:t>
            </w:r>
          </w:p>
          <w:p>
            <w:pPr>
              <w:pStyle w:val="3"/>
              <w:spacing w:line="360" w:lineRule="auto"/>
              <w:ind w:firstLine="0" w:firstLineChars="0"/>
              <w:rPr>
                <w:rFonts w:hint="eastAsia"/>
              </w:rPr>
            </w:pPr>
            <w:r>
              <w:rPr>
                <w:rFonts w:hint="eastAsia"/>
              </w:rPr>
              <w:t>6、中国信息安全测评中心EAL3+证书；（提供相应截图证明文件）</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32" w:type="dxa"/>
            <w:vMerge w:val="restart"/>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3</w:t>
            </w:r>
          </w:p>
        </w:tc>
        <w:tc>
          <w:tcPr>
            <w:tcW w:w="1665" w:type="dxa"/>
            <w:vMerge w:val="restart"/>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防疫专题库底层能力</w:t>
            </w: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b/>
                <w:bCs/>
                <w:kern w:val="0"/>
                <w:sz w:val="22"/>
                <w:szCs w:val="22"/>
                <w:lang w:bidi="ar"/>
              </w:rPr>
              <w:t xml:space="preserve">3.1数据架构 </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数据盘点：支持从业务、技术、组织等多个维度去梳理数据平台内容，包含组织机构维护和应用系统管理。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数据规划：支持从业务、技术多个维度，从战略到现状多个层次，多方面进行数据规划，包含数仓规划和业务场景维护。其中，数仓规划可维护数据域、数据层次、刷新频率、存储策略、统计周期信息供其他模块调用；业务场景支持基于业务过程的规划梳理能力。</w:t>
            </w:r>
          </w:p>
          <w:p>
            <w:pPr>
              <w:widowControl/>
              <w:spacing w:line="360" w:lineRule="auto"/>
              <w:jc w:val="left"/>
              <w:textAlignment w:val="center"/>
              <w:rPr>
                <w:rFonts w:hint="eastAsia" w:ascii="宋体" w:hAnsi="宋体" w:cs="宋体"/>
                <w:b/>
                <w:bCs/>
                <w:sz w:val="22"/>
                <w:szCs w:val="22"/>
              </w:rPr>
            </w:pPr>
            <w:r>
              <w:rPr>
                <w:rFonts w:hint="eastAsia" w:ascii="宋体" w:hAnsi="宋体" w:cs="宋体"/>
                <w:kern w:val="0"/>
                <w:sz w:val="22"/>
                <w:szCs w:val="22"/>
                <w:lang w:bidi="ar"/>
              </w:rPr>
              <w:t>主题规划：包含主题管理和主题应用。其中，主题管理是对主题的管理，主题发布后其他模块可调用；主题应用是对应用主题的管理，其他模块调用应用中的主题，包括主题的数据升级、版本管理、停用等功能。</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832" w:type="dxa"/>
            <w:vMerge w:val="continue"/>
            <w:noWrap w:val="0"/>
            <w:vAlign w:val="center"/>
          </w:tcPr>
          <w:p>
            <w:pPr>
              <w:spacing w:line="360" w:lineRule="auto"/>
              <w:jc w:val="center"/>
              <w:rPr>
                <w:rFonts w:hint="eastAsia" w:ascii="宋体" w:hAnsi="宋体" w:cs="宋体"/>
                <w:sz w:val="22"/>
                <w:szCs w:val="22"/>
              </w:rPr>
            </w:pPr>
          </w:p>
        </w:tc>
        <w:tc>
          <w:tcPr>
            <w:tcW w:w="1665" w:type="dxa"/>
            <w:vMerge w:val="continue"/>
            <w:noWrap w:val="0"/>
            <w:vAlign w:val="center"/>
          </w:tcPr>
          <w:p>
            <w:pPr>
              <w:spacing w:line="360" w:lineRule="auto"/>
              <w:jc w:val="center"/>
              <w:rPr>
                <w:rFonts w:hint="eastAsia" w:ascii="宋体" w:hAnsi="宋体" w:cs="宋体"/>
                <w:sz w:val="22"/>
                <w:szCs w:val="22"/>
              </w:rPr>
            </w:pP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b/>
                <w:bCs/>
                <w:kern w:val="0"/>
                <w:sz w:val="22"/>
                <w:szCs w:val="22"/>
                <w:lang w:bidi="ar"/>
              </w:rPr>
              <w:t xml:space="preserve">3.2元数据 </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元数据采集：包含采集任务配置和采集执行日志。其中，采集任务配置主要进行元数据采集，可配置调度自动采集和查看采集日志。</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元数据管理：包含物理表元数据、文件类元数据和半结构化元数据。其中，物理表元数据是针对生产过程中的实体物理表进行管理，分为应用和设计两个选项卡；文件类元数据用于管理服务器中的文件，分为应用和设计两个选项卡；半结构化元数据主要管理半结构化元数据，分为应用和设计两个选项卡。</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元数据稽核：包含稽核配置、稽核历史和稽核报告。其中，稽核配置用于管理稽核配置；稽核历史可查看稽核历史详情和列表详情；稽核报告是在执行稽核后，可在此模块查看稽核报告。</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元数据能力：</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1、★支持采集国内外主流关系型数据库元数据，包括Oracle、DB2、SQL Server、Mysql、PostgreSQL、达梦数据库；支持采集MPP数据库元数据，包括：Greenplum 、Gbase8a，神舟通用MPP数据库；支持采集国内外主流的商业发行版大数据平台元数据，包括CDH、Apache Hadoop；（需提供功能截图证明；）</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 xml:space="preserve">2、基于图数据库的关系关联，可全局观察、检索数据关系，分析影响； </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3、★支持通过配置，形成技术元数据之间的血缘、影响和全链关系；（需提供功能截图证明）</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4、★支持元数据质量稽核，并支持形成稽核报告；（需提供功能截图证明）</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5、支持数据库直连和文件上传两种方式采集元数据；</w:t>
            </w:r>
          </w:p>
          <w:p>
            <w:pPr>
              <w:widowControl/>
              <w:spacing w:line="360" w:lineRule="auto"/>
              <w:jc w:val="left"/>
              <w:textAlignment w:val="center"/>
              <w:rPr>
                <w:rFonts w:hint="eastAsia" w:ascii="宋体" w:hAnsi="宋体" w:cs="宋体"/>
                <w:b/>
                <w:bCs/>
                <w:sz w:val="22"/>
                <w:szCs w:val="22"/>
              </w:rPr>
            </w:pPr>
            <w:r>
              <w:rPr>
                <w:rFonts w:hint="eastAsia" w:ascii="宋体" w:hAnsi="宋体" w:cs="宋体"/>
                <w:kern w:val="0"/>
                <w:sz w:val="22"/>
                <w:szCs w:val="22"/>
                <w:lang w:bidi="ar"/>
              </w:rPr>
              <w:t>6、★支持元数据版本管理及版本对比；（需提供功能截图证明）</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2" w:hRule="atLeast"/>
        </w:trPr>
        <w:tc>
          <w:tcPr>
            <w:tcW w:w="832" w:type="dxa"/>
            <w:vMerge w:val="continue"/>
            <w:noWrap w:val="0"/>
            <w:vAlign w:val="center"/>
          </w:tcPr>
          <w:p>
            <w:pPr>
              <w:spacing w:line="360" w:lineRule="auto"/>
              <w:jc w:val="center"/>
              <w:rPr>
                <w:rFonts w:hint="eastAsia" w:ascii="宋体" w:hAnsi="宋体" w:cs="宋体"/>
                <w:sz w:val="22"/>
                <w:szCs w:val="22"/>
              </w:rPr>
            </w:pPr>
          </w:p>
        </w:tc>
        <w:tc>
          <w:tcPr>
            <w:tcW w:w="1665" w:type="dxa"/>
            <w:vMerge w:val="continue"/>
            <w:noWrap w:val="0"/>
            <w:vAlign w:val="center"/>
          </w:tcPr>
          <w:p>
            <w:pPr>
              <w:spacing w:line="360" w:lineRule="auto"/>
              <w:jc w:val="center"/>
              <w:rPr>
                <w:rFonts w:hint="eastAsia" w:ascii="宋体" w:hAnsi="宋体" w:cs="宋体"/>
                <w:sz w:val="22"/>
                <w:szCs w:val="22"/>
              </w:rPr>
            </w:pP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b/>
                <w:bCs/>
                <w:kern w:val="0"/>
                <w:sz w:val="22"/>
                <w:szCs w:val="22"/>
                <w:lang w:bidi="ar"/>
              </w:rPr>
              <w:t>3.3数据标准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数据标准管理：包含数据元标准、词典标准、命名标准、维度标准。其中，数据元标准是对应用数据元标准的管理，包括数据升级、版本管理、停用等功能；词典标准是对应用词典标准的管理，包括数据升级、版本管理、停用等功能；命名标准是对命名标准的管理；维度标准主要是对维度的管理，可供其他模块调取。</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标准文档管理：包含国家标准和行业标准。其中，国家标准实现对国家级别的文档进行管理、维护，从而进行统一的存储和管理；行业标准实现对行业的文档进行管理、维护，从而进行统一的存储和管理。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数据标准能力：</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1、支持基础数据元、指标数据元、维度、相关标准的管理；</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2、支持维度与数据元关联，以便进行数据质量稽核；</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3、★支持数据标准生命周期管理，包括审批发布、升级、版本控制、版本对比；（需提供功能截图证明）</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4、支持国家、行业、地方、企业内部相关标准的管理；</w:t>
            </w:r>
          </w:p>
          <w:p>
            <w:pPr>
              <w:widowControl/>
              <w:spacing w:line="360" w:lineRule="auto"/>
              <w:jc w:val="left"/>
              <w:textAlignment w:val="center"/>
              <w:rPr>
                <w:rFonts w:hint="eastAsia" w:ascii="宋体" w:hAnsi="宋体" w:cs="宋体"/>
                <w:b/>
                <w:bCs/>
                <w:sz w:val="22"/>
                <w:szCs w:val="22"/>
              </w:rPr>
            </w:pPr>
            <w:r>
              <w:rPr>
                <w:rFonts w:hint="eastAsia" w:ascii="宋体" w:hAnsi="宋体" w:cs="宋体"/>
                <w:kern w:val="0"/>
                <w:sz w:val="22"/>
                <w:szCs w:val="22"/>
                <w:lang w:bidi="ar"/>
              </w:rPr>
              <w:t>5、★支持标准落地的统计；（需提供功能截图证明）</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6" w:hRule="atLeast"/>
        </w:trPr>
        <w:tc>
          <w:tcPr>
            <w:tcW w:w="832" w:type="dxa"/>
            <w:vMerge w:val="continue"/>
            <w:noWrap w:val="0"/>
            <w:vAlign w:val="center"/>
          </w:tcPr>
          <w:p>
            <w:pPr>
              <w:spacing w:line="360" w:lineRule="auto"/>
              <w:jc w:val="center"/>
              <w:rPr>
                <w:rFonts w:hint="eastAsia" w:ascii="宋体" w:hAnsi="宋体" w:cs="宋体"/>
                <w:sz w:val="22"/>
                <w:szCs w:val="22"/>
              </w:rPr>
            </w:pPr>
          </w:p>
        </w:tc>
        <w:tc>
          <w:tcPr>
            <w:tcW w:w="1665" w:type="dxa"/>
            <w:vMerge w:val="continue"/>
            <w:noWrap w:val="0"/>
            <w:vAlign w:val="center"/>
          </w:tcPr>
          <w:p>
            <w:pPr>
              <w:spacing w:line="360" w:lineRule="auto"/>
              <w:jc w:val="center"/>
              <w:rPr>
                <w:rFonts w:hint="eastAsia" w:ascii="宋体" w:hAnsi="宋体" w:cs="宋体"/>
                <w:sz w:val="22"/>
                <w:szCs w:val="22"/>
              </w:rPr>
            </w:pP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b/>
                <w:bCs/>
                <w:kern w:val="0"/>
                <w:sz w:val="22"/>
                <w:szCs w:val="22"/>
                <w:lang w:bidi="ar"/>
              </w:rPr>
              <w:t xml:space="preserve">3.4数据质量 </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质量规则：主要管理规则配置，支持基于质量规则、质量规范的质量体系定义。</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质量管理：包含质量模型配置、质检方案配置、方案执行明细和质量整改管理。其中，质量模型配置可根据需要配置质量模型配置；质检方案配置主要对质检方案进行配置管理；方案执行明细显示质检方案的执行历史，可查看数据量、错误数、正确率；质量整改管理可管理质量整改流程。</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质量报告：在质检方案执行后，可查看质检报告及质量模型的各项统计。</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数据质量能力：</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1、★支持关系型数据库（MySQL、Oracle、Sql Server、PostgreSQL、达梦）质量检查；（需提供功能截图证明）</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2、支持大数据存储数据库Hive的质量检查；</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3、数据质量检查支持一致性、完整性、精确度、及时性、唯一性、有效性、自定义SQL规则；</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4、★可根据元数据、数据标准，智能快速生成格式校验、值域校验、数值范围校验、空值校验的规则，可基于表同时配置多个规则；（需提供功能截图证明）</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5、★支持基于质量模型、方案层面的批量数据质量检查，灵活方便的针对主题、专题、核心表进行数据质量管控；（需提供功能截图证明）</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6、提供基于模型、方案、表不同维度的质量检查报告、可视化报表，支持基于可视化的数据质量趋势报告，报告可导出word、pdf、html格式；</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7、★可对异常数据进行数据导出，方便数据管理方进行数据修复；（需提供功能截图证明）</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8、流程化推进数据质量修复，可通过邮件、待办督促提高数据质量；</w:t>
            </w:r>
          </w:p>
          <w:p>
            <w:pPr>
              <w:widowControl/>
              <w:spacing w:line="360" w:lineRule="auto"/>
              <w:jc w:val="left"/>
              <w:textAlignment w:val="center"/>
              <w:rPr>
                <w:rFonts w:hint="eastAsia" w:ascii="宋体" w:hAnsi="宋体" w:cs="宋体"/>
                <w:b/>
                <w:bCs/>
                <w:sz w:val="22"/>
                <w:szCs w:val="22"/>
              </w:rPr>
            </w:pPr>
            <w:r>
              <w:rPr>
                <w:rFonts w:hint="eastAsia" w:ascii="宋体" w:hAnsi="宋体" w:cs="宋体"/>
                <w:kern w:val="0"/>
                <w:sz w:val="22"/>
                <w:szCs w:val="22"/>
                <w:lang w:bidi="ar"/>
              </w:rPr>
              <w:t>9、支持基于规则分的计算模式，对数据质量模型进行评分，并设置告警基线；</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832" w:type="dxa"/>
            <w:vMerge w:val="continue"/>
            <w:noWrap w:val="0"/>
            <w:vAlign w:val="center"/>
          </w:tcPr>
          <w:p>
            <w:pPr>
              <w:spacing w:line="360" w:lineRule="auto"/>
              <w:jc w:val="center"/>
              <w:rPr>
                <w:rFonts w:hint="eastAsia" w:ascii="宋体" w:hAnsi="宋体" w:cs="宋体"/>
                <w:sz w:val="22"/>
                <w:szCs w:val="22"/>
              </w:rPr>
            </w:pPr>
          </w:p>
        </w:tc>
        <w:tc>
          <w:tcPr>
            <w:tcW w:w="1665" w:type="dxa"/>
            <w:vMerge w:val="continue"/>
            <w:noWrap w:val="0"/>
            <w:vAlign w:val="center"/>
          </w:tcPr>
          <w:p>
            <w:pPr>
              <w:spacing w:line="360" w:lineRule="auto"/>
              <w:jc w:val="center"/>
              <w:rPr>
                <w:rFonts w:hint="eastAsia" w:ascii="宋体" w:hAnsi="宋体" w:cs="宋体"/>
                <w:sz w:val="22"/>
                <w:szCs w:val="22"/>
              </w:rPr>
            </w:pP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b/>
                <w:bCs/>
                <w:kern w:val="0"/>
                <w:sz w:val="22"/>
                <w:szCs w:val="22"/>
                <w:lang w:bidi="ar"/>
              </w:rPr>
              <w:t>3.5数据交换</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数据交换：数据交换管理主要配置离线数据交换信息及执行数据交换，支持接入RDBMS、MPP、Hadoop等多种数据源间的数据离线交换。</w:t>
            </w:r>
          </w:p>
          <w:p>
            <w:pPr>
              <w:widowControl/>
              <w:spacing w:line="360" w:lineRule="auto"/>
              <w:jc w:val="left"/>
              <w:textAlignment w:val="center"/>
              <w:rPr>
                <w:rFonts w:hint="eastAsia" w:ascii="宋体" w:hAnsi="宋体" w:cs="宋体"/>
                <w:b/>
                <w:bCs/>
                <w:sz w:val="22"/>
                <w:szCs w:val="22"/>
              </w:rPr>
            </w:pPr>
            <w:r>
              <w:rPr>
                <w:rFonts w:hint="eastAsia" w:ascii="宋体" w:hAnsi="宋体" w:cs="宋体"/>
                <w:kern w:val="0"/>
                <w:sz w:val="22"/>
                <w:szCs w:val="22"/>
                <w:lang w:bidi="ar"/>
              </w:rPr>
              <w:t>数据交换历史：支持打开日志查看交换历史，支持任务级、表级的各种交换指标。</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832" w:type="dxa"/>
            <w:vMerge w:val="continue"/>
            <w:noWrap w:val="0"/>
            <w:vAlign w:val="center"/>
          </w:tcPr>
          <w:p>
            <w:pPr>
              <w:spacing w:line="360" w:lineRule="auto"/>
              <w:jc w:val="center"/>
              <w:rPr>
                <w:rFonts w:hint="eastAsia" w:ascii="宋体" w:hAnsi="宋体" w:cs="宋体"/>
                <w:sz w:val="22"/>
                <w:szCs w:val="22"/>
              </w:rPr>
            </w:pPr>
          </w:p>
        </w:tc>
        <w:tc>
          <w:tcPr>
            <w:tcW w:w="1665" w:type="dxa"/>
            <w:vMerge w:val="continue"/>
            <w:noWrap w:val="0"/>
            <w:vAlign w:val="center"/>
          </w:tcPr>
          <w:p>
            <w:pPr>
              <w:spacing w:line="360" w:lineRule="auto"/>
              <w:jc w:val="center"/>
              <w:rPr>
                <w:rFonts w:hint="eastAsia" w:ascii="宋体" w:hAnsi="宋体" w:cs="宋体"/>
                <w:sz w:val="22"/>
                <w:szCs w:val="22"/>
              </w:rPr>
            </w:pP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b/>
                <w:bCs/>
                <w:kern w:val="0"/>
                <w:sz w:val="22"/>
                <w:szCs w:val="22"/>
                <w:lang w:bidi="ar"/>
              </w:rPr>
              <w:t>3.6数据开发</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数据探索：包含SQL查询和HDFS查询。其中，SQL查询支持各数据库类型的数据查询功能；HDFS查询支持文件的查询功能。</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数据建模：包含建模管理和建模概览。其中，建模管理主要管理建模信息；建模概览按照数据源显示已发布的模型信息， 可点击某个数据源，进入表模型查看模型详情。</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程序开发：包含场景设计、ETL开发、作业编排、实时程序。ETL开发可对数据进行ETL清洗、加工、分发等工作；支持DAG图形化的数据加工能力；支持流程化上线审批。</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数据开发能力：</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1、★支持多种作业类型SQL，Hive，Shell，ETL开发等的编排；（需提供功能截图证明）</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2、编排支持标准编排：通过可视化，以DAG图的形式，主动将多个作业编排为一个作业流水线；（需提供功能截图证明）</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3、编排支持事件订阅编排：作业之间，通过输出、订阅各种事件（如作业、表、数据交换），使多个作业编排为一个作业流水线；</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4、★ETL开发，支持在线可视化、以DAG图的形式进行开发，且支持多人协同、版本化管理、上下线，同时支持上线流程化审批（审批完成前不能影响已上线版本）；（需提供功能截图证明）</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5、ETL开发支持数据源：Oracle、DB2、SQL Server、Mysql、PostgreSQL、达梦、Hive、HDFS、FTP等；</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6、★ETL开发支持数据处理：格式转换（在CSV、Avro、JSON、XML之间进行数据转换）、数据压缩（gzip、bzip2、snappy，支持各个压缩级别）、数据加密/散列（SHA、RSA、MD5、SM3、SM4）、转换字符集、执行脚本（Groovy、python、ECMAScript）、执行命令、拆分数据（将一组大数据量的数据拆分成多组小数据量的数据）、修改数据；（需提供功能截图证明）</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7、★ETL支持参数化、EL表达式语言；（需提供功能截图证明）</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8、支持在线数据库数据查询、HDFS查询，支持SQL编辑器高亮、查询历史；</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9、支持打通任务调度，且能查看作业血缘、影响等关系。</w:t>
            </w:r>
          </w:p>
          <w:p>
            <w:pPr>
              <w:widowControl/>
              <w:spacing w:line="360" w:lineRule="auto"/>
              <w:jc w:val="left"/>
              <w:textAlignment w:val="center"/>
              <w:rPr>
                <w:rFonts w:hint="eastAsia" w:ascii="宋体" w:hAnsi="宋体" w:cs="宋体"/>
                <w:b/>
                <w:bCs/>
                <w:sz w:val="22"/>
                <w:szCs w:val="22"/>
              </w:rPr>
            </w:pPr>
            <w:r>
              <w:rPr>
                <w:rFonts w:hint="eastAsia" w:ascii="宋体" w:hAnsi="宋体" w:cs="宋体"/>
                <w:kern w:val="0"/>
                <w:sz w:val="22"/>
                <w:szCs w:val="22"/>
                <w:lang w:bidi="ar"/>
              </w:rPr>
              <w:t>10. 支持Hive、Maxcompute等大数据平台模型开发，支持版本化管理。</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832" w:type="dxa"/>
            <w:vMerge w:val="continue"/>
            <w:noWrap w:val="0"/>
            <w:vAlign w:val="center"/>
          </w:tcPr>
          <w:p>
            <w:pPr>
              <w:spacing w:line="360" w:lineRule="auto"/>
              <w:jc w:val="center"/>
              <w:rPr>
                <w:rFonts w:hint="eastAsia" w:ascii="宋体" w:hAnsi="宋体" w:cs="宋体"/>
                <w:sz w:val="22"/>
                <w:szCs w:val="22"/>
              </w:rPr>
            </w:pPr>
          </w:p>
        </w:tc>
        <w:tc>
          <w:tcPr>
            <w:tcW w:w="1665" w:type="dxa"/>
            <w:vMerge w:val="continue"/>
            <w:noWrap w:val="0"/>
            <w:vAlign w:val="center"/>
          </w:tcPr>
          <w:p>
            <w:pPr>
              <w:spacing w:line="360" w:lineRule="auto"/>
              <w:jc w:val="center"/>
              <w:rPr>
                <w:rFonts w:hint="eastAsia" w:ascii="宋体" w:hAnsi="宋体" w:cs="宋体"/>
                <w:sz w:val="22"/>
                <w:szCs w:val="22"/>
              </w:rPr>
            </w:pPr>
          </w:p>
        </w:tc>
        <w:tc>
          <w:tcPr>
            <w:tcW w:w="5977" w:type="dxa"/>
            <w:noWrap w:val="0"/>
            <w:vAlign w:val="center"/>
          </w:tcPr>
          <w:p>
            <w:pPr>
              <w:widowControl/>
              <w:spacing w:line="360" w:lineRule="auto"/>
              <w:jc w:val="left"/>
              <w:textAlignment w:val="center"/>
              <w:rPr>
                <w:rFonts w:hint="eastAsia"/>
              </w:rPr>
            </w:pPr>
            <w:r>
              <w:rPr>
                <w:rFonts w:hint="eastAsia"/>
              </w:rPr>
              <w:t>3.7数据目录</w:t>
            </w:r>
          </w:p>
          <w:p>
            <w:pPr>
              <w:widowControl/>
              <w:spacing w:line="360" w:lineRule="auto"/>
              <w:jc w:val="left"/>
              <w:textAlignment w:val="center"/>
              <w:rPr>
                <w:rFonts w:hint="eastAsia"/>
              </w:rPr>
            </w:pPr>
            <w:r>
              <w:rPr>
                <w:rFonts w:hint="eastAsia"/>
              </w:rPr>
              <w:t>数据目录：包含设计数据目录和应用数据目录，可完成从目录设计、目录发布、目录订阅一系列目录操作；目录支持数据库、文件、API类型的目录；支持目录的发布审批；支持目录的查看与订阅。</w:t>
            </w:r>
          </w:p>
          <w:p>
            <w:pPr>
              <w:widowControl/>
              <w:spacing w:line="360" w:lineRule="auto"/>
              <w:jc w:val="left"/>
              <w:textAlignment w:val="center"/>
              <w:rPr>
                <w:rFonts w:hint="eastAsia"/>
              </w:rPr>
            </w:pPr>
            <w:r>
              <w:rPr>
                <w:rFonts w:hint="eastAsia"/>
              </w:rPr>
              <w:t>目录标签管理：主要对标签的管理，支持分类标签信息。</w:t>
            </w:r>
          </w:p>
          <w:p>
            <w:pPr>
              <w:pStyle w:val="2"/>
            </w:pPr>
            <w:r>
              <w:rPr>
                <w:rFonts w:hint="eastAsia" w:ascii="宋体" w:hAnsi="宋体" w:cs="宋体"/>
                <w:kern w:val="0"/>
                <w:sz w:val="22"/>
                <w:szCs w:val="22"/>
                <w:lang w:bidi="ar"/>
              </w:rPr>
              <w:t>本次建设将与省公安厅、市公安局数据目录系统对接，同步县大数据管理中心数据，整合清洗县公安局自建系统数据，建立包含全公安局数据的数据目录，具体以采购人实际需求为准。</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32" w:type="dxa"/>
            <w:vMerge w:val="continue"/>
            <w:noWrap w:val="0"/>
            <w:vAlign w:val="center"/>
          </w:tcPr>
          <w:p>
            <w:pPr>
              <w:spacing w:line="360" w:lineRule="auto"/>
              <w:jc w:val="center"/>
              <w:rPr>
                <w:rFonts w:hint="eastAsia" w:ascii="宋体" w:hAnsi="宋体" w:cs="宋体"/>
                <w:sz w:val="22"/>
                <w:szCs w:val="22"/>
              </w:rPr>
            </w:pPr>
          </w:p>
        </w:tc>
        <w:tc>
          <w:tcPr>
            <w:tcW w:w="1665" w:type="dxa"/>
            <w:vMerge w:val="continue"/>
            <w:noWrap w:val="0"/>
            <w:vAlign w:val="center"/>
          </w:tcPr>
          <w:p>
            <w:pPr>
              <w:spacing w:line="360" w:lineRule="auto"/>
              <w:jc w:val="center"/>
              <w:rPr>
                <w:rFonts w:hint="eastAsia" w:ascii="宋体" w:hAnsi="宋体" w:cs="宋体"/>
                <w:sz w:val="22"/>
                <w:szCs w:val="22"/>
              </w:rPr>
            </w:pP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 xml:space="preserve">3.8数据资产 </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资产概览：可查看数据治理各项资产统计，包括资产全景、治理大盘、成本价值。</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资产分析：支持全文检索物理表元数据、字段信息、数据API信息，可打开详情查看。</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资产管理能力：</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1、★支持全量资产检索，快速找到需求相关资产，主要检索对象为物理表、文件、数据标准、数据API、数据指标，检索维度包括主题、团队、类型等；（需提供功能截图证明）</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2、可对检索到的资产进行可视化血缘、影响等关系分析；</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3、针对资产可查看详细的信息，包括技术属性、业务属性、管理属性、共享统计、预览数据等；</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4、★支持可视化分析资产全景、治理大盘、成本价值；（需提供功能截图证明）</w:t>
            </w:r>
          </w:p>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5、支持资产地图，可视化数据流向。</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832" w:type="dxa"/>
            <w:vMerge w:val="continue"/>
            <w:noWrap w:val="0"/>
            <w:vAlign w:val="center"/>
          </w:tcPr>
          <w:p>
            <w:pPr>
              <w:spacing w:line="360" w:lineRule="auto"/>
              <w:jc w:val="center"/>
              <w:rPr>
                <w:rFonts w:hint="eastAsia" w:ascii="宋体" w:hAnsi="宋体" w:cs="宋体"/>
                <w:sz w:val="22"/>
                <w:szCs w:val="22"/>
              </w:rPr>
            </w:pPr>
          </w:p>
        </w:tc>
        <w:tc>
          <w:tcPr>
            <w:tcW w:w="1665" w:type="dxa"/>
            <w:vMerge w:val="continue"/>
            <w:noWrap w:val="0"/>
            <w:vAlign w:val="center"/>
          </w:tcPr>
          <w:p>
            <w:pPr>
              <w:spacing w:line="360" w:lineRule="auto"/>
              <w:jc w:val="center"/>
              <w:rPr>
                <w:rFonts w:hint="eastAsia" w:ascii="宋体" w:hAnsi="宋体" w:cs="宋体"/>
                <w:sz w:val="22"/>
                <w:szCs w:val="22"/>
              </w:rPr>
            </w:pP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3.9数据共享</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数据API：包含API开发、应用管理和API监控。其中，API开发可维护共享接口，其他应用可通过此API访问共享数据；应用管理主要维护我的应用信息；API监控显示各API的调用统计，可按照应用和时间维度过滤查看。</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资源订阅：包含资源浏览、资源订阅申请和资源订阅历史。其中，资源浏览显示已挂载资源的数据目录，可根据多种条件过滤，还可订阅资源；资源订阅申请显示保存、提交、审批中、审批通过的订阅数据目录，可查看详情；资源订阅历史显示历史审批通过的订阅数据目录，可查看详情。</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数据共享能力：</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1、★支持自定义SQL模式创建API，通过写SQL语句查询API所需数据；（需提供功能截图证明）</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2、★多数据源类型的数据查询API，支持MySQL、Oracle、PostgreSQL、达梦等多种数据源类型；（需提供功能截图证明）</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3、支持API的上下线、在线测试；</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4、支持多种周期粒度查看API调用的统计数据及多种维度查看API调用次数、频率和调用方信息；</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5、支持自由配置针对API本身的限流和并发限制；</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6、支持配置黑白IP名单策略，并绑定不同API来进行调用来源过滤；</w:t>
            </w:r>
          </w:p>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7、★支持第三方鉴权方式、支持APPKEY/SECRET鉴权和Token鉴权等多种鉴权模式；（需提供功能截图证明)</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2" w:type="dxa"/>
            <w:vMerge w:val="continue"/>
            <w:noWrap w:val="0"/>
            <w:vAlign w:val="center"/>
          </w:tcPr>
          <w:p>
            <w:pPr>
              <w:spacing w:line="360" w:lineRule="auto"/>
              <w:jc w:val="center"/>
              <w:rPr>
                <w:rFonts w:hint="eastAsia" w:ascii="宋体" w:hAnsi="宋体" w:cs="宋体"/>
                <w:sz w:val="22"/>
                <w:szCs w:val="22"/>
              </w:rPr>
            </w:pPr>
          </w:p>
        </w:tc>
        <w:tc>
          <w:tcPr>
            <w:tcW w:w="1665" w:type="dxa"/>
            <w:vMerge w:val="continue"/>
            <w:noWrap w:val="0"/>
            <w:vAlign w:val="center"/>
          </w:tcPr>
          <w:p>
            <w:pPr>
              <w:spacing w:line="360" w:lineRule="auto"/>
              <w:jc w:val="center"/>
              <w:rPr>
                <w:rFonts w:hint="eastAsia" w:ascii="宋体" w:hAnsi="宋体" w:cs="宋体"/>
                <w:sz w:val="22"/>
                <w:szCs w:val="22"/>
              </w:rPr>
            </w:pP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 xml:space="preserve">3.10运维监控 </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任务调度：包含任务编排、编排历史、任务历史。其中，任务编排主要对调度任务的管理；编排历史显示实例执行历史，可进行查询、停止、重跑和查看依赖关系；任务历史主要查看任务执行历史，可进行任务重跑、停止。</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监控告警：包含服务监控、告警历史、联系人和告警组。其中，服务监控可对个资源进行监控，可配置告警组，列表中状态是实时状态；告警历史显示资源告警历史，可打开详情查看；联系人主要维护联系人信息；告警组主要维护告警组信息。</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 xml:space="preserve">任务调度能力： </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1、支持自定义调度时间、调度周期，调度时间粒度可选择分钟、小时、天、周、月、季度；</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2、支持集群部署，支持负载均衡、队列化、优先级特性；</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3、★支持总览任务运行状态，可以重跑、补数据等运维操作；(需提供功能截图证明)</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4、任务调度支持超时、告警等特性；</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5、支持查看任务执行历史、当前执行任务、执行日志（可实时查看执行中任务日志、历史任务日志）；</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6、★对接数据开发、数据交换、元数据采集，并支持标准编排、基于事件编排；(需提供功能截图证明)</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7、★可查看事件触发历史列表；(需提供功能截图证明)</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8. 支持静态依赖分析、动态依赖分析，可查看任务定义基本的依赖关系，也可通过任务执行、编排进行动态分析，用于查看依赖任务不执行的原型。</w:t>
            </w:r>
          </w:p>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9. 任务调度分析，通过任务调度timeline，快速查看任务调度资源占用，用于分析、提高资源利用率。</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832" w:type="dxa"/>
            <w:vMerge w:val="continue"/>
            <w:noWrap w:val="0"/>
            <w:vAlign w:val="center"/>
          </w:tcPr>
          <w:p>
            <w:pPr>
              <w:spacing w:line="360" w:lineRule="auto"/>
              <w:jc w:val="center"/>
              <w:rPr>
                <w:rFonts w:hint="eastAsia" w:ascii="宋体" w:hAnsi="宋体" w:cs="宋体"/>
                <w:sz w:val="22"/>
                <w:szCs w:val="22"/>
              </w:rPr>
            </w:pPr>
          </w:p>
        </w:tc>
        <w:tc>
          <w:tcPr>
            <w:tcW w:w="1665" w:type="dxa"/>
            <w:vMerge w:val="continue"/>
            <w:noWrap w:val="0"/>
            <w:vAlign w:val="center"/>
          </w:tcPr>
          <w:p>
            <w:pPr>
              <w:spacing w:line="360" w:lineRule="auto"/>
              <w:jc w:val="center"/>
              <w:rPr>
                <w:rFonts w:hint="eastAsia" w:ascii="宋体" w:hAnsi="宋体" w:cs="宋体"/>
                <w:sz w:val="22"/>
                <w:szCs w:val="22"/>
              </w:rPr>
            </w:pP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 xml:space="preserve">3.11控制台 </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平台管理：包含基础权限管理、日志管理、系统监控、系统维度管理、系统参数管理、IP黑白名单。</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系统初始化：包含系统类目管理、JDBC驱动和系统资源管理。其中，系统类目管理是对系统类目的维护；JDBC驱动是对资源驱动的管理；系统资源管理是对系统资源的管理，资源接入系统后才可使用其他功能。</w:t>
            </w:r>
          </w:p>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团队管理：包含团队类型配置和团队配置。其中，团队类型配置主要对团队类型的管理，添加团队类型后在团队配置中可选择；团队配置主要管理团队信息，系统的数据按照团队隔离，团队内人员共享。</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32" w:type="dxa"/>
            <w:vMerge w:val="continue"/>
            <w:noWrap w:val="0"/>
            <w:vAlign w:val="center"/>
          </w:tcPr>
          <w:p>
            <w:pPr>
              <w:spacing w:line="360" w:lineRule="auto"/>
              <w:jc w:val="center"/>
              <w:rPr>
                <w:rFonts w:hint="eastAsia" w:ascii="宋体" w:hAnsi="宋体" w:cs="宋体"/>
                <w:sz w:val="22"/>
                <w:szCs w:val="22"/>
              </w:rPr>
            </w:pPr>
          </w:p>
        </w:tc>
        <w:tc>
          <w:tcPr>
            <w:tcW w:w="1665" w:type="dxa"/>
            <w:vMerge w:val="continue"/>
            <w:noWrap w:val="0"/>
            <w:vAlign w:val="center"/>
          </w:tcPr>
          <w:p>
            <w:pPr>
              <w:spacing w:line="360" w:lineRule="auto"/>
              <w:jc w:val="center"/>
              <w:rPr>
                <w:rFonts w:hint="eastAsia" w:ascii="宋体" w:hAnsi="宋体" w:cs="宋体"/>
                <w:sz w:val="22"/>
                <w:szCs w:val="22"/>
              </w:rPr>
            </w:pP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 xml:space="preserve">3.12工作台 </w:t>
            </w:r>
          </w:p>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数据服务门户：包含单点登录系统集成、统一用户管理、通知消息、开发者平台、数据目录展示、快速申请入口、统一接口平台、异常及日志管理。</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832" w:type="dxa"/>
            <w:vMerge w:val="continue"/>
            <w:noWrap w:val="0"/>
            <w:vAlign w:val="center"/>
          </w:tcPr>
          <w:p>
            <w:pPr>
              <w:spacing w:line="360" w:lineRule="auto"/>
              <w:jc w:val="center"/>
              <w:rPr>
                <w:rFonts w:hint="eastAsia" w:ascii="宋体" w:hAnsi="宋体" w:cs="宋体"/>
                <w:sz w:val="22"/>
                <w:szCs w:val="22"/>
              </w:rPr>
            </w:pPr>
          </w:p>
        </w:tc>
        <w:tc>
          <w:tcPr>
            <w:tcW w:w="1665" w:type="dxa"/>
            <w:vMerge w:val="continue"/>
            <w:noWrap w:val="0"/>
            <w:vAlign w:val="center"/>
          </w:tcPr>
          <w:p>
            <w:pPr>
              <w:spacing w:line="360" w:lineRule="auto"/>
              <w:jc w:val="center"/>
              <w:rPr>
                <w:rFonts w:hint="eastAsia" w:ascii="宋体" w:hAnsi="宋体" w:cs="宋体"/>
                <w:sz w:val="22"/>
                <w:szCs w:val="22"/>
              </w:rPr>
            </w:pP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3.13数据仓库建设</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基础库建设：基础库主要是建立以永嘉县实有人口为主的人口资源库，同时对一人一档人员基础库、一车一档、一物一档等基础库进行接入，形成基础数据库的基本信息、多维度拓展信息、应用共享信息为主要内容的信息资源库，为各职能部门提供基础性、辅助性的信息服务和决策支持。</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专题库建设：</w:t>
            </w:r>
          </w:p>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本次将建设6个专题库，第一批专题业务分析库主要是建立疫情防控专题库、人员全息档案专题库、防诈骗专题库、实有房屋专题库，满足人员信息的管理、疫情防控、结合标签画像支撑决策指挥、提升综合管理能力、实现精准在城管控精细化治理等应用需求，通过完善的永嘉县公安业务专题库可为跨领域、跨部门的应用系统提供数据支撑。</w:t>
            </w:r>
          </w:p>
        </w:tc>
        <w:tc>
          <w:tcPr>
            <w:tcW w:w="667" w:type="dxa"/>
            <w:noWrap w:val="0"/>
            <w:vAlign w:val="center"/>
          </w:tcPr>
          <w:p>
            <w:pPr>
              <w:spacing w:line="36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832" w:type="dxa"/>
            <w:vMerge w:val="restart"/>
            <w:noWrap/>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20</w:t>
            </w:r>
          </w:p>
        </w:tc>
        <w:tc>
          <w:tcPr>
            <w:tcW w:w="1665" w:type="dxa"/>
            <w:vMerge w:val="continue"/>
            <w:noWrap w:val="0"/>
            <w:vAlign w:val="center"/>
          </w:tcPr>
          <w:p>
            <w:pPr>
              <w:spacing w:line="360" w:lineRule="auto"/>
              <w:jc w:val="center"/>
              <w:rPr>
                <w:rFonts w:hint="eastAsia" w:ascii="宋体" w:hAnsi="宋体" w:cs="宋体"/>
                <w:sz w:val="22"/>
                <w:szCs w:val="22"/>
              </w:rPr>
            </w:pP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3.14超融合管理平台扩容：原超融合管理平台UIS超融合管理软件扩容（已有管理平台授权为H3C UIS Manager管理软件），要求在统一的超融合管理平台上实现对计算、存储、网络、安全等资源的统一管理运维，无需界面跳转即可实现全部操作，简化运维工作，降低运维成本。</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支持对整个平台虚拟设备实现统一的管理，虚拟化 WEB 管理平台可以完成网络拓扑的构建，完成各类虚拟设备的自助逻辑编排，支持在管理平台上连接、开启、关闭各类虚拟设备，拓扑呈现业务流量信息，所画即所得，方便运维管理。(要求提供CNAS认可的检测机构出具的检测报告检测结果及检测结果截图页)</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支持从超融合管理平台扩展应用监控服务组件，应用监控服务基于预置的监控模板，提供应用的实时监控告警管理服务能力，包括操作系统（Windows、CentOS、RHEL、Ubuntu、SUSE、AIX和HP-UX），数据库（MySQL、Oracle、达梦MPP、Redis和MongoDB），中间件（Tomcat、Apache、Weblogic、RabbitMQ、WebSphere），Url、Ping站点和Kubernetes的应用监控，用户无需重新开发自定义脚本，并展示各类资源的健康状态和关键指标，提供资源分类汇总视图，统计各类资源的数量。通过对应用的监控，提前预判故障风险，提升业务可靠性。(要求提供产品功能截图)</w:t>
            </w:r>
          </w:p>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★扩容超融合管理平台授权≥12个物理CPU授权。</w:t>
            </w:r>
          </w:p>
        </w:tc>
        <w:tc>
          <w:tcPr>
            <w:tcW w:w="667" w:type="dxa"/>
            <w:noWrap w:val="0"/>
            <w:vAlign w:val="center"/>
          </w:tcPr>
          <w:p>
            <w:pPr>
              <w:spacing w:line="36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32" w:type="dxa"/>
            <w:vMerge w:val="continue"/>
            <w:noWrap/>
            <w:vAlign w:val="center"/>
          </w:tcPr>
          <w:p>
            <w:pPr>
              <w:spacing w:line="360" w:lineRule="auto"/>
              <w:jc w:val="center"/>
              <w:rPr>
                <w:rFonts w:hint="eastAsia" w:ascii="宋体" w:hAnsi="宋体" w:cs="宋体"/>
                <w:sz w:val="22"/>
                <w:szCs w:val="22"/>
              </w:rPr>
            </w:pPr>
          </w:p>
        </w:tc>
        <w:tc>
          <w:tcPr>
            <w:tcW w:w="1665" w:type="dxa"/>
            <w:vMerge w:val="continue"/>
            <w:noWrap w:val="0"/>
            <w:vAlign w:val="center"/>
          </w:tcPr>
          <w:p>
            <w:pPr>
              <w:spacing w:line="360" w:lineRule="auto"/>
              <w:jc w:val="center"/>
              <w:rPr>
                <w:rFonts w:hint="eastAsia" w:ascii="宋体" w:hAnsi="宋体" w:cs="宋体"/>
                <w:sz w:val="22"/>
                <w:szCs w:val="22"/>
              </w:rPr>
            </w:pP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3.15超融合计算虚拟化授权扩容：原超融合虚拟化授权软件扩容（已有超融合虚拟化授权为H3C CAS虚拟化软件），要求通过超融合虚拟化平台实现虚拟机启动、暂停、恢复、休眠、重启、关闭、克隆、迁移、删除、快照等功能的批量操作。</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支持虚拟机迁移历史记录功能，记录中包含迁移的操作员、迁移方式、源主机、目的主机、开始时间、迁移耗时等信息，便于对虚拟机的迁移路径进行回溯。</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支持对接 RBD（虚拟机直接与RBD进行对接处理数据存储I/O，虚拟机直接对接RBD可以规避ocfs2文件系统和ISCSI协议带来的I/O性能损耗。相对于ocfs2路径，数据随机读写性能提升4倍以上，规格数量也大幅提升。（提供官网截图证明）</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支持虚拟机桌面预览功能，无需登录虚拟机即可在虚拟化管理平台上看到虚拟机当前桌面的状态。(提供具有CNAS/CMA资质的第三方机构认证的测试报告截图)</w:t>
            </w:r>
          </w:p>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★扩容超融合计算虚拟化授权≥12个物理CPU授权</w:t>
            </w:r>
          </w:p>
        </w:tc>
        <w:tc>
          <w:tcPr>
            <w:tcW w:w="667" w:type="dxa"/>
            <w:noWrap w:val="0"/>
            <w:vAlign w:val="center"/>
          </w:tcPr>
          <w:p>
            <w:pPr>
              <w:spacing w:line="36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trPr>
        <w:tc>
          <w:tcPr>
            <w:tcW w:w="832" w:type="dxa"/>
            <w:vMerge w:val="continue"/>
            <w:noWrap/>
            <w:vAlign w:val="center"/>
          </w:tcPr>
          <w:p>
            <w:pPr>
              <w:spacing w:line="360" w:lineRule="auto"/>
              <w:jc w:val="center"/>
              <w:rPr>
                <w:rFonts w:hint="eastAsia" w:ascii="宋体" w:hAnsi="宋体" w:cs="宋体"/>
                <w:sz w:val="22"/>
                <w:szCs w:val="22"/>
              </w:rPr>
            </w:pPr>
          </w:p>
        </w:tc>
        <w:tc>
          <w:tcPr>
            <w:tcW w:w="1665" w:type="dxa"/>
            <w:vMerge w:val="continue"/>
            <w:noWrap w:val="0"/>
            <w:vAlign w:val="center"/>
          </w:tcPr>
          <w:p>
            <w:pPr>
              <w:spacing w:line="360" w:lineRule="auto"/>
              <w:jc w:val="center"/>
              <w:rPr>
                <w:rFonts w:hint="eastAsia" w:ascii="宋体" w:hAnsi="宋体" w:cs="宋体"/>
                <w:sz w:val="22"/>
                <w:szCs w:val="22"/>
              </w:rPr>
            </w:pP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3.16超融合存储虚拟化授权扩容：采用分布式的软件定义存储架构，要求与原有超融合存储资源池融合，形成统一存储资源池，无缝衔接。所有新、旧超融合服务器硬盘组织成一个虚拟存储资源池，提供分布式存储服务，无需独立的元数据及控制器节点，使用超融合管理平台统一管理，无需在计算虚拟化平台上部署存储控制器。</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磁盘或者节点故障之后无需人工干预，数据在集群内硬盘的剩余空间中自动重构，非在热备盘中重构，提高重构效率。每T数据重构时间不大于30min。3节点二副本情况下要支持重建。(要求提供满足CNAS/CMA资质的第三方机构测试报告首页及功能页证明)</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同一节点同时支持虚拟化和3种存储功能，最少只需3个节点集群即可同时提供虚拟化、分布式块、对象、文件存储服务。其中对象和文件服务必须在宿主机上提供，和超融合自研同品牌，不能以应用跑在虚拟机上的形式提供。(要求提供功能页截图证明)</w:t>
            </w:r>
          </w:p>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★扩容超融合存储虚拟化授权≥12个物理CPU授权</w:t>
            </w:r>
          </w:p>
        </w:tc>
        <w:tc>
          <w:tcPr>
            <w:tcW w:w="667" w:type="dxa"/>
            <w:noWrap w:val="0"/>
            <w:vAlign w:val="center"/>
          </w:tcPr>
          <w:p>
            <w:pPr>
              <w:spacing w:line="36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32" w:type="dxa"/>
            <w:vMerge w:val="continue"/>
            <w:noWrap/>
            <w:vAlign w:val="center"/>
          </w:tcPr>
          <w:p>
            <w:pPr>
              <w:spacing w:line="360" w:lineRule="auto"/>
              <w:jc w:val="center"/>
              <w:rPr>
                <w:rFonts w:hint="eastAsia" w:ascii="宋体" w:hAnsi="宋体" w:cs="宋体"/>
                <w:sz w:val="22"/>
                <w:szCs w:val="22"/>
              </w:rPr>
            </w:pPr>
          </w:p>
        </w:tc>
        <w:tc>
          <w:tcPr>
            <w:tcW w:w="1665" w:type="dxa"/>
            <w:vMerge w:val="continue"/>
            <w:noWrap w:val="0"/>
            <w:vAlign w:val="center"/>
          </w:tcPr>
          <w:p>
            <w:pPr>
              <w:spacing w:line="360" w:lineRule="auto"/>
              <w:jc w:val="center"/>
              <w:rPr>
                <w:rFonts w:hint="eastAsia" w:ascii="宋体" w:hAnsi="宋体" w:cs="宋体"/>
                <w:sz w:val="22"/>
                <w:szCs w:val="22"/>
              </w:rPr>
            </w:pP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3.17超融合管理平台兼容性要求：要求本次超融合软硬件扩容与原平台无缝衔接，并提供原厂工程师上门实施部署，快速完成基础设施落地，保障业务快速上线。</w:t>
            </w:r>
          </w:p>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★如采用新建超融合业务系统方案，则必须为国产品牌，要求超融合硬件服务器、计算虚拟化软件、存储虚拟化SDS软件、为同一品牌且完全自主研发，不接受第三方软件整合，以保证功能的可靠性和安全性。</w:t>
            </w:r>
          </w:p>
          <w:p>
            <w:pPr>
              <w:widowControl/>
              <w:spacing w:line="360" w:lineRule="auto"/>
              <w:jc w:val="left"/>
              <w:textAlignment w:val="center"/>
              <w:rPr>
                <w:rFonts w:hint="eastAsia" w:ascii="宋体" w:hAnsi="宋体" w:cs="宋体"/>
                <w:sz w:val="22"/>
                <w:szCs w:val="22"/>
              </w:rPr>
            </w:pPr>
          </w:p>
        </w:tc>
        <w:tc>
          <w:tcPr>
            <w:tcW w:w="667" w:type="dxa"/>
            <w:vMerge w:val="restart"/>
            <w:noWrap w:val="0"/>
            <w:vAlign w:val="center"/>
          </w:tcPr>
          <w:p>
            <w:pPr>
              <w:spacing w:line="36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832" w:type="dxa"/>
            <w:vMerge w:val="continue"/>
            <w:noWrap/>
            <w:vAlign w:val="center"/>
          </w:tcPr>
          <w:p>
            <w:pPr>
              <w:widowControl/>
              <w:spacing w:line="360" w:lineRule="auto"/>
              <w:jc w:val="left"/>
              <w:textAlignment w:val="center"/>
            </w:pPr>
          </w:p>
        </w:tc>
        <w:tc>
          <w:tcPr>
            <w:tcW w:w="1665" w:type="dxa"/>
            <w:vMerge w:val="continue"/>
            <w:noWrap w:val="0"/>
            <w:vAlign w:val="center"/>
          </w:tcPr>
          <w:p>
            <w:pPr>
              <w:widowControl/>
              <w:spacing w:line="360" w:lineRule="auto"/>
              <w:jc w:val="left"/>
              <w:textAlignment w:val="center"/>
            </w:pPr>
          </w:p>
        </w:tc>
        <w:tc>
          <w:tcPr>
            <w:tcW w:w="5977" w:type="dxa"/>
            <w:noWrap w:val="0"/>
            <w:vAlign w:val="center"/>
          </w:tcPr>
          <w:p>
            <w:pPr>
              <w:widowControl/>
              <w:spacing w:line="360" w:lineRule="auto"/>
              <w:jc w:val="left"/>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3.18</w:t>
            </w:r>
            <w:r>
              <w:rPr>
                <w:rFonts w:hint="eastAsia" w:ascii="宋体" w:hAnsi="宋体" w:cs="宋体"/>
                <w:kern w:val="0"/>
                <w:sz w:val="22"/>
                <w:szCs w:val="22"/>
                <w:lang w:bidi="ar"/>
              </w:rPr>
              <w:t>新建超融合业务系统配置不低于现网超融合及扩容超融合资源</w:t>
            </w:r>
            <w:r>
              <w:rPr>
                <w:rFonts w:hint="eastAsia" w:ascii="宋体" w:hAnsi="宋体" w:cs="宋体"/>
                <w:kern w:val="0"/>
                <w:sz w:val="22"/>
                <w:szCs w:val="22"/>
                <w:highlight w:val="none"/>
                <w:lang w:bidi="ar"/>
              </w:rPr>
              <w:t>总和，要求新建超融合业务系统实际配置不低于</w:t>
            </w:r>
            <w:r>
              <w:rPr>
                <w:rFonts w:hint="eastAsia" w:ascii="宋体" w:hAnsi="宋体" w:cs="宋体"/>
                <w:kern w:val="0"/>
                <w:sz w:val="22"/>
                <w:szCs w:val="22"/>
                <w:highlight w:val="none"/>
                <w:lang w:val="en-US" w:eastAsia="zh-CN" w:bidi="ar"/>
              </w:rPr>
              <w:t>6</w:t>
            </w:r>
            <w:r>
              <w:rPr>
                <w:rFonts w:hint="eastAsia" w:ascii="宋体" w:hAnsi="宋体" w:cs="宋体"/>
                <w:kern w:val="0"/>
                <w:sz w:val="22"/>
                <w:szCs w:val="22"/>
                <w:highlight w:val="none"/>
                <w:lang w:bidi="ar"/>
              </w:rPr>
              <w:t>节点，单节</w:t>
            </w:r>
            <w:r>
              <w:rPr>
                <w:rFonts w:hint="eastAsia" w:ascii="宋体" w:hAnsi="宋体" w:cs="宋体"/>
                <w:kern w:val="0"/>
                <w:sz w:val="22"/>
                <w:szCs w:val="22"/>
                <w:lang w:bidi="ar"/>
              </w:rPr>
              <w:t>点配置要求</w:t>
            </w:r>
            <w:r>
              <w:rPr>
                <w:rFonts w:hint="eastAsia" w:ascii="宋体" w:hAnsi="宋体" w:cs="宋体"/>
                <w:kern w:val="0"/>
                <w:sz w:val="22"/>
                <w:szCs w:val="22"/>
                <w:lang w:val="en-US" w:eastAsia="zh-CN" w:bidi="ar"/>
              </w:rPr>
              <w:t>:</w:t>
            </w:r>
          </w:p>
          <w:p>
            <w:pPr>
              <w:widowControl/>
              <w:spacing w:line="360" w:lineRule="auto"/>
              <w:jc w:val="left"/>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≥2U机架式服务器，标配原厂导轨；</w:t>
            </w:r>
          </w:p>
          <w:p>
            <w:pPr>
              <w:widowControl/>
              <w:spacing w:line="360" w:lineRule="auto"/>
              <w:jc w:val="left"/>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 xml:space="preserve">≥2颗Intel 至强可扩展系列处理器 5218R(2.1GHz/20核）； </w:t>
            </w:r>
          </w:p>
          <w:p>
            <w:pPr>
              <w:widowControl/>
              <w:spacing w:line="360" w:lineRule="auto"/>
              <w:jc w:val="left"/>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≥256GB 2933MHz DDR4，支持Advanced ECC、内存镜像、内存热备，最大支持24根DDR4内存，最高速率2933MT/s，支持RDIMM或LRDIMM，最大容量3.0TB；</w:t>
            </w:r>
          </w:p>
          <w:p>
            <w:pPr>
              <w:widowControl/>
              <w:spacing w:line="360" w:lineRule="auto"/>
              <w:jc w:val="left"/>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≥2*960G NVME u.2 SSD硬盘，≥2*600G SAS HDD硬盘，≥4*6T 7.2K SATA硬盘；配置≥12个3.5寸热插拔硬盘槽位，可扩展至≥16个3.5寸硬盘槽位，同时可扩展4个2.5寸小盘，且全部硬盘可在不打开主机箱盖的情况下热插拔维护；</w:t>
            </w:r>
          </w:p>
          <w:p>
            <w:pPr>
              <w:widowControl/>
              <w:spacing w:line="360" w:lineRule="auto"/>
              <w:jc w:val="left"/>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≥1个标配SAS RAID阵列卡，支持RAID0/1/10/5/6/50/60/1E/Simple Volume；≥2GB缓存，支持缓存数据保护，且后备保护时间不受限制；</w:t>
            </w:r>
          </w:p>
          <w:p>
            <w:pPr>
              <w:widowControl/>
              <w:spacing w:line="360" w:lineRule="auto"/>
              <w:jc w:val="left"/>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最多提供≥10个PCIe 3.0可用插槽，提供官网清晰截图及链接证明；</w:t>
            </w:r>
          </w:p>
          <w:p>
            <w:pPr>
              <w:widowControl/>
              <w:spacing w:line="360" w:lineRule="auto"/>
              <w:jc w:val="left"/>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提供≥1个网卡专用插槽（不占用PCIE扩展槽），可选配千兆或万兆网卡，本次配置≥4个以太网千兆电口；≥2个万兆光口（配置光模块）；</w:t>
            </w:r>
          </w:p>
          <w:p>
            <w:pPr>
              <w:widowControl/>
              <w:spacing w:line="360" w:lineRule="auto"/>
              <w:jc w:val="left"/>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可支持≥8块单宽GPU卡，提供官网清晰截图证明；</w:t>
            </w:r>
          </w:p>
          <w:p>
            <w:pPr>
              <w:widowControl/>
              <w:spacing w:line="360" w:lineRule="auto"/>
              <w:jc w:val="left"/>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 xml:space="preserve">配置2个≥800w白金版热插拔冗余电源，支持96%能效比的钛金级电源选件； </w:t>
            </w:r>
          </w:p>
          <w:p>
            <w:pPr>
              <w:widowControl/>
              <w:spacing w:line="360" w:lineRule="auto"/>
              <w:jc w:val="left"/>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★提供UEFI安全启动；支持中国标准TCM 1.0可信计算，（支持国际标准TPM模块），可配置机箱入侵侦测，在外部打开机箱时提供报警功能；提供官网清晰截图证明；</w:t>
            </w:r>
          </w:p>
          <w:p>
            <w:pPr>
              <w:widowControl/>
              <w:spacing w:line="360" w:lineRule="auto"/>
              <w:jc w:val="left"/>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设备支持配置≥32块NVMe SSD，增强面向现代数据中心的扩展能力和配置灵活性，提供官网链接及清晰截图证明；</w:t>
            </w:r>
          </w:p>
          <w:p>
            <w:pPr>
              <w:widowControl/>
              <w:spacing w:line="360" w:lineRule="auto"/>
              <w:jc w:val="left"/>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★支持选配PCle防护模块，支持防火墙、IPS、防病毒和QoS的安全功能，提供官网清晰截图证明；</w:t>
            </w:r>
          </w:p>
          <w:p>
            <w:pPr>
              <w:widowControl/>
              <w:spacing w:line="360" w:lineRule="auto"/>
              <w:jc w:val="left"/>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bidi="ar"/>
              </w:rPr>
              <w:t>标准导轨及风扇</w:t>
            </w:r>
            <w:r>
              <w:rPr>
                <w:rFonts w:hint="eastAsia" w:ascii="宋体" w:hAnsi="宋体" w:cs="宋体"/>
                <w:kern w:val="0"/>
                <w:sz w:val="22"/>
                <w:szCs w:val="22"/>
                <w:lang w:eastAsia="zh-CN" w:bidi="ar"/>
              </w:rPr>
              <w:t>；</w:t>
            </w:r>
          </w:p>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同时配置满足超融合业务所需的所有软件功能（包括但不限于管理平台、计算虚拟化、存储虚拟化、网络虚拟化等）以及至少三年软件支持服务，并配备1名原厂工程师（至少90日驻场），以“交钥匙”方式，在不影响业务正常运行情况下完成业务迁移、数据迁移、业务上线交付等超融合系统切换作业。</w:t>
            </w:r>
          </w:p>
        </w:tc>
        <w:tc>
          <w:tcPr>
            <w:tcW w:w="667" w:type="dxa"/>
            <w:vMerge w:val="continue"/>
            <w:noWrap w:val="0"/>
            <w:vAlign w:val="center"/>
          </w:tcPr>
          <w:p>
            <w:pPr>
              <w:widowControl/>
              <w:spacing w:line="360" w:lineRule="auto"/>
              <w:jc w:val="left"/>
              <w:textAlignment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32" w:type="dxa"/>
            <w:noWrap/>
            <w:vAlign w:val="center"/>
          </w:tcPr>
          <w:p>
            <w:pPr>
              <w:spacing w:line="360" w:lineRule="auto"/>
              <w:jc w:val="center"/>
              <w:rPr>
                <w:rFonts w:hint="eastAsia" w:ascii="宋体" w:hAnsi="宋体" w:cs="宋体"/>
                <w:sz w:val="22"/>
                <w:szCs w:val="22"/>
              </w:rPr>
            </w:pPr>
            <w:r>
              <w:rPr>
                <w:rFonts w:hint="eastAsia" w:ascii="宋体" w:hAnsi="宋体" w:cs="宋体"/>
                <w:sz w:val="22"/>
                <w:szCs w:val="22"/>
              </w:rPr>
              <w:t>五、</w:t>
            </w:r>
          </w:p>
        </w:tc>
        <w:tc>
          <w:tcPr>
            <w:tcW w:w="8309" w:type="dxa"/>
            <w:gridSpan w:val="3"/>
            <w:noWrap w:val="0"/>
            <w:vAlign w:val="center"/>
          </w:tcPr>
          <w:p>
            <w:pPr>
              <w:spacing w:line="360" w:lineRule="auto"/>
              <w:jc w:val="left"/>
              <w:rPr>
                <w:rFonts w:ascii="宋体" w:hAnsi="宋体" w:cs="宋体"/>
                <w:sz w:val="22"/>
                <w:szCs w:val="22"/>
              </w:rPr>
            </w:pPr>
            <w:r>
              <w:rPr>
                <w:rFonts w:hint="eastAsia" w:ascii="宋体" w:hAnsi="宋体" w:cs="宋体"/>
                <w:sz w:val="22"/>
                <w:szCs w:val="22"/>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32" w:type="dxa"/>
            <w:noWrap/>
            <w:vAlign w:val="center"/>
          </w:tcPr>
          <w:p>
            <w:pPr>
              <w:spacing w:line="360" w:lineRule="auto"/>
              <w:jc w:val="center"/>
              <w:rPr>
                <w:rFonts w:ascii="宋体" w:hAnsi="宋体" w:cs="宋体"/>
                <w:sz w:val="22"/>
                <w:szCs w:val="22"/>
              </w:rPr>
            </w:pPr>
            <w:r>
              <w:rPr>
                <w:rFonts w:hint="eastAsia" w:ascii="宋体" w:hAnsi="宋体" w:cs="宋体"/>
                <w:sz w:val="22"/>
                <w:szCs w:val="22"/>
              </w:rPr>
              <w:t>1</w:t>
            </w:r>
          </w:p>
        </w:tc>
        <w:tc>
          <w:tcPr>
            <w:tcW w:w="1665" w:type="dxa"/>
            <w:noWrap w:val="0"/>
            <w:vAlign w:val="center"/>
          </w:tcPr>
          <w:p>
            <w:pPr>
              <w:spacing w:line="360" w:lineRule="auto"/>
              <w:jc w:val="left"/>
              <w:rPr>
                <w:rFonts w:hint="eastAsia" w:ascii="宋体" w:hAnsi="宋体" w:cs="宋体"/>
                <w:sz w:val="22"/>
                <w:szCs w:val="22"/>
              </w:rPr>
            </w:pPr>
            <w:r>
              <w:rPr>
                <w:rFonts w:hint="eastAsia" w:ascii="宋体" w:hAnsi="宋体" w:cs="宋体"/>
                <w:sz w:val="22"/>
                <w:szCs w:val="22"/>
              </w:rPr>
              <w:t>永嘉疫情防控业务平台数据接收服务器</w:t>
            </w: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CPU：14核1颗；内存：128G；硬盘：10T；支持Raid1</w:t>
            </w:r>
          </w:p>
        </w:tc>
        <w:tc>
          <w:tcPr>
            <w:tcW w:w="667" w:type="dxa"/>
            <w:noWrap w:val="0"/>
            <w:vAlign w:val="center"/>
          </w:tcPr>
          <w:p>
            <w:pPr>
              <w:spacing w:line="360" w:lineRule="auto"/>
              <w:jc w:val="left"/>
              <w:rPr>
                <w:rFonts w:hint="eastAsia" w:ascii="宋体" w:hAnsi="宋体" w:cs="宋体"/>
                <w:sz w:val="22"/>
                <w:szCs w:val="22"/>
              </w:rPr>
            </w:pPr>
            <w:r>
              <w:rPr>
                <w:rFonts w:hint="eastAsia" w:ascii="宋体" w:hAnsi="宋体" w:cs="宋体"/>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32" w:type="dxa"/>
            <w:noWrap/>
            <w:vAlign w:val="center"/>
          </w:tcPr>
          <w:p>
            <w:pPr>
              <w:spacing w:line="360" w:lineRule="auto"/>
              <w:jc w:val="center"/>
              <w:rPr>
                <w:rFonts w:ascii="宋体" w:hAnsi="宋体" w:cs="宋体"/>
                <w:sz w:val="22"/>
                <w:szCs w:val="22"/>
              </w:rPr>
            </w:pPr>
            <w:r>
              <w:rPr>
                <w:rFonts w:hint="eastAsia" w:ascii="宋体" w:hAnsi="宋体" w:cs="宋体"/>
                <w:sz w:val="22"/>
                <w:szCs w:val="22"/>
              </w:rPr>
              <w:t>2</w:t>
            </w:r>
          </w:p>
        </w:tc>
        <w:tc>
          <w:tcPr>
            <w:tcW w:w="1665" w:type="dxa"/>
            <w:noWrap w:val="0"/>
            <w:vAlign w:val="center"/>
          </w:tcPr>
          <w:p>
            <w:pPr>
              <w:spacing w:line="360" w:lineRule="auto"/>
              <w:jc w:val="left"/>
              <w:rPr>
                <w:rFonts w:hint="eastAsia" w:ascii="宋体" w:hAnsi="宋体" w:cs="宋体"/>
                <w:sz w:val="22"/>
                <w:szCs w:val="22"/>
              </w:rPr>
            </w:pPr>
            <w:r>
              <w:rPr>
                <w:rFonts w:hint="eastAsia" w:ascii="宋体" w:hAnsi="宋体" w:cs="宋体"/>
                <w:sz w:val="22"/>
                <w:szCs w:val="22"/>
              </w:rPr>
              <w:t>永嘉疫情防控业务平台及驾驶舱web服务器</w:t>
            </w: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CPU：16核1颗；内存：128G；硬盘：10T；支持Raid1</w:t>
            </w:r>
          </w:p>
        </w:tc>
        <w:tc>
          <w:tcPr>
            <w:tcW w:w="667" w:type="dxa"/>
            <w:noWrap w:val="0"/>
            <w:vAlign w:val="center"/>
          </w:tcPr>
          <w:p>
            <w:pPr>
              <w:spacing w:line="360" w:lineRule="auto"/>
              <w:jc w:val="left"/>
              <w:rPr>
                <w:rFonts w:hint="eastAsia" w:ascii="宋体" w:hAnsi="宋体" w:cs="宋体"/>
                <w:sz w:val="22"/>
                <w:szCs w:val="22"/>
              </w:rPr>
            </w:pPr>
            <w:r>
              <w:rPr>
                <w:rFonts w:hint="eastAsia" w:ascii="宋体" w:hAnsi="宋体" w:cs="宋体"/>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32" w:type="dxa"/>
            <w:noWrap/>
            <w:vAlign w:val="center"/>
          </w:tcPr>
          <w:p>
            <w:pPr>
              <w:spacing w:line="360" w:lineRule="auto"/>
              <w:jc w:val="center"/>
              <w:rPr>
                <w:rFonts w:hint="eastAsia" w:ascii="宋体" w:hAnsi="宋体" w:cs="宋体"/>
                <w:sz w:val="22"/>
                <w:szCs w:val="22"/>
              </w:rPr>
            </w:pPr>
            <w:r>
              <w:rPr>
                <w:rFonts w:hint="eastAsia" w:ascii="宋体" w:hAnsi="宋体" w:cs="宋体"/>
                <w:sz w:val="22"/>
                <w:szCs w:val="22"/>
              </w:rPr>
              <w:t>六、</w:t>
            </w:r>
          </w:p>
        </w:tc>
        <w:tc>
          <w:tcPr>
            <w:tcW w:w="8309" w:type="dxa"/>
            <w:gridSpan w:val="3"/>
            <w:noWrap w:val="0"/>
            <w:vAlign w:val="center"/>
          </w:tcPr>
          <w:p>
            <w:pPr>
              <w:spacing w:line="360" w:lineRule="auto"/>
              <w:jc w:val="left"/>
              <w:rPr>
                <w:rFonts w:hint="eastAsia" w:ascii="宋体" w:hAnsi="宋体" w:cs="宋体"/>
                <w:sz w:val="22"/>
                <w:szCs w:val="22"/>
              </w:rPr>
            </w:pPr>
            <w:r>
              <w:rPr>
                <w:rFonts w:ascii="宋体" w:hAnsi="宋体" w:cs="宋体"/>
                <w:sz w:val="22"/>
                <w:szCs w:val="22"/>
              </w:rPr>
              <w:t>终端采集设备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32" w:type="dxa"/>
            <w:noWrap/>
            <w:vAlign w:val="center"/>
          </w:tcPr>
          <w:p>
            <w:pPr>
              <w:spacing w:line="360" w:lineRule="auto"/>
              <w:jc w:val="center"/>
              <w:rPr>
                <w:rFonts w:ascii="宋体" w:hAnsi="宋体" w:cs="宋体"/>
                <w:sz w:val="22"/>
                <w:szCs w:val="22"/>
              </w:rPr>
            </w:pPr>
            <w:r>
              <w:rPr>
                <w:rFonts w:hint="eastAsia" w:ascii="宋体" w:hAnsi="宋体" w:cs="宋体"/>
                <w:sz w:val="22"/>
                <w:szCs w:val="22"/>
              </w:rPr>
              <w:t>1</w:t>
            </w:r>
          </w:p>
        </w:tc>
        <w:tc>
          <w:tcPr>
            <w:tcW w:w="1665" w:type="dxa"/>
            <w:noWrap w:val="0"/>
            <w:vAlign w:val="center"/>
          </w:tcPr>
          <w:p>
            <w:pPr>
              <w:spacing w:line="360" w:lineRule="auto"/>
              <w:jc w:val="left"/>
              <w:rPr>
                <w:rFonts w:ascii="宋体" w:hAnsi="宋体" w:cs="宋体"/>
                <w:sz w:val="22"/>
                <w:szCs w:val="22"/>
              </w:rPr>
            </w:pPr>
            <w:r>
              <w:rPr>
                <w:rFonts w:ascii="宋体" w:hAnsi="宋体" w:cs="宋体"/>
                <w:sz w:val="22"/>
                <w:szCs w:val="22"/>
              </w:rPr>
              <w:t>智能防疫扫码枪</w:t>
            </w:r>
          </w:p>
        </w:tc>
        <w:tc>
          <w:tcPr>
            <w:tcW w:w="5977" w:type="dxa"/>
            <w:noWrap w:val="0"/>
            <w:vAlign w:val="center"/>
          </w:tcPr>
          <w:p>
            <w:pPr>
              <w:widowControl/>
              <w:spacing w:line="360" w:lineRule="auto"/>
              <w:jc w:val="left"/>
              <w:textAlignment w:val="center"/>
              <w:rPr>
                <w:rFonts w:ascii="宋体" w:hAnsi="宋体" w:cs="宋体"/>
                <w:sz w:val="22"/>
                <w:szCs w:val="22"/>
              </w:rPr>
            </w:pPr>
            <w:r>
              <w:rPr>
                <w:rFonts w:hint="eastAsia" w:ascii="宋体" w:hAnsi="宋体" w:cs="宋体"/>
                <w:kern w:val="0"/>
                <w:sz w:val="22"/>
                <w:szCs w:val="22"/>
                <w:lang w:bidi="ar"/>
              </w:rPr>
              <w:t>加密传输、防疫码识别、异常情况播报、自带电源、通信模组</w:t>
            </w:r>
            <w:r>
              <w:rPr>
                <w:rFonts w:hint="eastAsia" w:ascii="宋体" w:hAnsi="宋体" w:cs="宋体"/>
                <w:kern w:val="0"/>
                <w:sz w:val="22"/>
                <w:szCs w:val="22"/>
                <w:lang w:bidi="ar"/>
              </w:rPr>
              <w:br w:type="textWrapping"/>
            </w:r>
            <w:r>
              <w:rPr>
                <w:rFonts w:hint="eastAsia" w:ascii="宋体" w:hAnsi="宋体" w:cs="宋体"/>
                <w:kern w:val="0"/>
                <w:sz w:val="22"/>
                <w:szCs w:val="22"/>
                <w:lang w:bidi="ar"/>
              </w:rPr>
              <w:t>通讯方式 4G-CAT1(全网通)</w:t>
            </w:r>
            <w:r>
              <w:rPr>
                <w:rFonts w:hint="eastAsia" w:ascii="宋体" w:hAnsi="宋体" w:cs="宋体"/>
                <w:kern w:val="0"/>
                <w:sz w:val="22"/>
                <w:szCs w:val="22"/>
                <w:lang w:bidi="ar"/>
              </w:rPr>
              <w:br w:type="textWrapping"/>
            </w:r>
            <w:r>
              <w:rPr>
                <w:rFonts w:hint="eastAsia" w:ascii="宋体" w:hAnsi="宋体" w:cs="宋体"/>
                <w:kern w:val="0"/>
                <w:sz w:val="22"/>
                <w:szCs w:val="22"/>
                <w:lang w:bidi="ar"/>
              </w:rPr>
              <w:t>定位 北斗/GPS</w:t>
            </w:r>
            <w:r>
              <w:rPr>
                <w:rFonts w:hint="eastAsia" w:ascii="宋体" w:hAnsi="宋体" w:cs="宋体"/>
                <w:kern w:val="0"/>
                <w:sz w:val="22"/>
                <w:szCs w:val="22"/>
                <w:lang w:bidi="ar"/>
              </w:rPr>
              <w:br w:type="textWrapping"/>
            </w:r>
            <w:r>
              <w:rPr>
                <w:rFonts w:hint="eastAsia" w:ascii="宋体" w:hAnsi="宋体" w:cs="宋体"/>
                <w:kern w:val="0"/>
                <w:sz w:val="22"/>
                <w:szCs w:val="22"/>
                <w:lang w:bidi="ar"/>
              </w:rPr>
              <w:t>电池容量 3200mAh</w:t>
            </w:r>
            <w:r>
              <w:rPr>
                <w:rFonts w:hint="eastAsia" w:ascii="宋体" w:hAnsi="宋体" w:cs="宋体"/>
                <w:kern w:val="0"/>
                <w:sz w:val="22"/>
                <w:szCs w:val="22"/>
                <w:lang w:bidi="ar"/>
              </w:rPr>
              <w:br w:type="textWrapping"/>
            </w:r>
            <w:r>
              <w:rPr>
                <w:rFonts w:hint="eastAsia" w:ascii="宋体" w:hAnsi="宋体" w:cs="宋体"/>
                <w:kern w:val="0"/>
                <w:sz w:val="22"/>
                <w:szCs w:val="22"/>
                <w:lang w:bidi="ar"/>
              </w:rPr>
              <w:t>续航能力 12H</w:t>
            </w:r>
            <w:r>
              <w:rPr>
                <w:rFonts w:hint="eastAsia" w:ascii="宋体" w:hAnsi="宋体" w:cs="宋体"/>
                <w:kern w:val="0"/>
                <w:sz w:val="22"/>
                <w:szCs w:val="22"/>
                <w:lang w:bidi="ar"/>
              </w:rPr>
              <w:br w:type="textWrapping"/>
            </w:r>
            <w:r>
              <w:rPr>
                <w:rFonts w:hint="eastAsia" w:ascii="宋体" w:hAnsi="宋体" w:cs="宋体"/>
                <w:kern w:val="0"/>
                <w:sz w:val="22"/>
                <w:szCs w:val="22"/>
                <w:lang w:bidi="ar"/>
              </w:rPr>
              <w:t>视场角 左右40°，上下30°</w:t>
            </w:r>
            <w:r>
              <w:rPr>
                <w:rFonts w:hint="eastAsia" w:ascii="宋体" w:hAnsi="宋体" w:cs="宋体"/>
                <w:kern w:val="0"/>
                <w:sz w:val="22"/>
                <w:szCs w:val="22"/>
                <w:lang w:bidi="ar"/>
              </w:rPr>
              <w:br w:type="textWrapping"/>
            </w:r>
            <w:r>
              <w:rPr>
                <w:rFonts w:hint="eastAsia" w:ascii="宋体" w:hAnsi="宋体" w:cs="宋体"/>
                <w:kern w:val="0"/>
                <w:sz w:val="22"/>
                <w:szCs w:val="22"/>
                <w:lang w:bidi="ar"/>
              </w:rPr>
              <w:t>扫码距离 55mm-300mm</w:t>
            </w:r>
            <w:r>
              <w:rPr>
                <w:rFonts w:hint="eastAsia" w:ascii="宋体" w:hAnsi="宋体" w:cs="宋体"/>
                <w:kern w:val="0"/>
                <w:sz w:val="22"/>
                <w:szCs w:val="22"/>
                <w:lang w:bidi="ar"/>
              </w:rPr>
              <w:br w:type="textWrapping"/>
            </w:r>
            <w:r>
              <w:rPr>
                <w:rFonts w:hint="eastAsia" w:ascii="宋体" w:hAnsi="宋体" w:cs="宋体"/>
                <w:kern w:val="0"/>
                <w:sz w:val="22"/>
                <w:szCs w:val="22"/>
                <w:lang w:bidi="ar"/>
              </w:rPr>
              <w:t>扫码方式 手动</w:t>
            </w:r>
            <w:r>
              <w:rPr>
                <w:rFonts w:hint="eastAsia" w:ascii="宋体" w:hAnsi="宋体" w:cs="宋体"/>
                <w:kern w:val="0"/>
                <w:sz w:val="22"/>
                <w:szCs w:val="22"/>
                <w:lang w:bidi="ar"/>
              </w:rPr>
              <w:br w:type="textWrapping"/>
            </w:r>
            <w:r>
              <w:rPr>
                <w:rFonts w:hint="eastAsia" w:ascii="宋体" w:hAnsi="宋体" w:cs="宋体"/>
                <w:kern w:val="0"/>
                <w:sz w:val="22"/>
                <w:szCs w:val="22"/>
                <w:lang w:bidi="ar"/>
              </w:rPr>
              <w:t>扫码原理 COMS影像式</w:t>
            </w:r>
            <w:r>
              <w:rPr>
                <w:rFonts w:hint="eastAsia" w:ascii="宋体" w:hAnsi="宋体" w:cs="宋体"/>
                <w:kern w:val="0"/>
                <w:sz w:val="22"/>
                <w:szCs w:val="22"/>
                <w:lang w:bidi="ar"/>
              </w:rPr>
              <w:br w:type="textWrapping"/>
            </w:r>
            <w:r>
              <w:rPr>
                <w:rFonts w:hint="eastAsia" w:ascii="宋体" w:hAnsi="宋体" w:cs="宋体"/>
                <w:kern w:val="0"/>
                <w:sz w:val="22"/>
                <w:szCs w:val="22"/>
                <w:lang w:bidi="ar"/>
              </w:rPr>
              <w:t>扫码类型 一维码、二维码</w:t>
            </w:r>
            <w:r>
              <w:rPr>
                <w:rFonts w:hint="eastAsia" w:ascii="宋体" w:hAnsi="宋体" w:cs="宋体"/>
                <w:kern w:val="0"/>
                <w:sz w:val="22"/>
                <w:szCs w:val="22"/>
                <w:lang w:bidi="ar"/>
              </w:rPr>
              <w:br w:type="textWrapping"/>
            </w:r>
            <w:r>
              <w:rPr>
                <w:rFonts w:hint="eastAsia" w:ascii="宋体" w:hAnsi="宋体" w:cs="宋体"/>
                <w:kern w:val="0"/>
                <w:sz w:val="22"/>
                <w:szCs w:val="22"/>
                <w:lang w:bidi="ar"/>
              </w:rPr>
              <w:t>识读精度 一维码≥5mil、二维码≥10mil</w:t>
            </w:r>
            <w:r>
              <w:rPr>
                <w:rFonts w:hint="eastAsia" w:ascii="宋体" w:hAnsi="宋体" w:cs="宋体"/>
                <w:kern w:val="0"/>
                <w:sz w:val="22"/>
                <w:szCs w:val="22"/>
                <w:lang w:bidi="ar"/>
              </w:rPr>
              <w:br w:type="textWrapping"/>
            </w:r>
            <w:r>
              <w:rPr>
                <w:rFonts w:hint="eastAsia" w:ascii="宋体" w:hAnsi="宋体" w:cs="宋体"/>
                <w:kern w:val="0"/>
                <w:sz w:val="22"/>
                <w:szCs w:val="22"/>
                <w:lang w:bidi="ar"/>
              </w:rPr>
              <w:t>环境光免疫 0-100000Lux</w:t>
            </w:r>
            <w:r>
              <w:rPr>
                <w:rFonts w:hint="eastAsia" w:ascii="宋体" w:hAnsi="宋体" w:cs="宋体"/>
                <w:kern w:val="0"/>
                <w:sz w:val="22"/>
                <w:szCs w:val="22"/>
                <w:lang w:bidi="ar"/>
              </w:rPr>
              <w:br w:type="textWrapping"/>
            </w:r>
            <w:r>
              <w:rPr>
                <w:rFonts w:hint="eastAsia" w:ascii="宋体" w:hAnsi="宋体" w:cs="宋体"/>
                <w:kern w:val="0"/>
                <w:sz w:val="22"/>
                <w:szCs w:val="22"/>
                <w:lang w:bidi="ar"/>
              </w:rPr>
              <w:t>光    源 LED</w:t>
            </w:r>
            <w:r>
              <w:rPr>
                <w:rFonts w:hint="eastAsia" w:ascii="宋体" w:hAnsi="宋体" w:cs="宋体"/>
                <w:kern w:val="0"/>
                <w:sz w:val="22"/>
                <w:szCs w:val="22"/>
                <w:lang w:bidi="ar"/>
              </w:rPr>
              <w:br w:type="textWrapping"/>
            </w:r>
            <w:r>
              <w:rPr>
                <w:rFonts w:hint="eastAsia" w:ascii="宋体" w:hAnsi="宋体" w:cs="宋体"/>
                <w:kern w:val="0"/>
                <w:sz w:val="22"/>
                <w:szCs w:val="22"/>
                <w:lang w:bidi="ar"/>
              </w:rPr>
              <w:t>提示方式 智能语音、指示灯</w:t>
            </w:r>
            <w:r>
              <w:rPr>
                <w:rFonts w:hint="eastAsia" w:ascii="宋体" w:hAnsi="宋体" w:cs="宋体"/>
                <w:kern w:val="0"/>
                <w:sz w:val="22"/>
                <w:szCs w:val="22"/>
                <w:lang w:bidi="ar"/>
              </w:rPr>
              <w:br w:type="textWrapping"/>
            </w:r>
            <w:r>
              <w:rPr>
                <w:rFonts w:hint="eastAsia" w:ascii="宋体" w:hAnsi="宋体" w:cs="宋体"/>
                <w:kern w:val="0"/>
                <w:sz w:val="22"/>
                <w:szCs w:val="22"/>
                <w:lang w:bidi="ar"/>
              </w:rPr>
              <w:t>声量能级 50cm处不低于60dB</w:t>
            </w:r>
            <w:r>
              <w:rPr>
                <w:rFonts w:hint="eastAsia" w:ascii="宋体" w:hAnsi="宋体" w:cs="宋体"/>
                <w:kern w:val="0"/>
                <w:sz w:val="22"/>
                <w:szCs w:val="22"/>
                <w:lang w:bidi="ar"/>
              </w:rPr>
              <w:br w:type="textWrapping"/>
            </w:r>
            <w:r>
              <w:rPr>
                <w:rFonts w:hint="eastAsia" w:ascii="宋体" w:hAnsi="宋体" w:cs="宋体"/>
                <w:kern w:val="0"/>
                <w:sz w:val="22"/>
                <w:szCs w:val="22"/>
                <w:lang w:bidi="ar"/>
              </w:rPr>
              <w:t>接口类型 USB-C</w:t>
            </w:r>
            <w:r>
              <w:rPr>
                <w:rFonts w:hint="eastAsia" w:ascii="宋体" w:hAnsi="宋体" w:cs="宋体"/>
                <w:kern w:val="0"/>
                <w:sz w:val="22"/>
                <w:szCs w:val="22"/>
                <w:lang w:bidi="ar"/>
              </w:rPr>
              <w:br w:type="textWrapping"/>
            </w:r>
            <w:r>
              <w:rPr>
                <w:rFonts w:hint="eastAsia" w:ascii="宋体" w:hAnsi="宋体" w:cs="宋体"/>
                <w:kern w:val="0"/>
                <w:sz w:val="22"/>
                <w:szCs w:val="22"/>
                <w:lang w:bidi="ar"/>
              </w:rPr>
              <w:t>防护等级 IP41</w:t>
            </w:r>
            <w:r>
              <w:rPr>
                <w:rFonts w:hint="eastAsia" w:ascii="宋体" w:hAnsi="宋体" w:cs="宋体"/>
                <w:kern w:val="0"/>
                <w:sz w:val="22"/>
                <w:szCs w:val="22"/>
                <w:lang w:bidi="ar"/>
              </w:rPr>
              <w:br w:type="textWrapping"/>
            </w:r>
            <w:r>
              <w:rPr>
                <w:rFonts w:hint="eastAsia" w:ascii="宋体" w:hAnsi="宋体" w:cs="宋体"/>
                <w:kern w:val="0"/>
                <w:sz w:val="22"/>
                <w:szCs w:val="22"/>
                <w:lang w:bidi="ar"/>
              </w:rPr>
              <w:t>防摔性能 可通过1.0米自由落体测试</w:t>
            </w:r>
            <w:r>
              <w:rPr>
                <w:rFonts w:hint="eastAsia" w:ascii="宋体" w:hAnsi="宋体" w:cs="宋体"/>
                <w:kern w:val="0"/>
                <w:sz w:val="22"/>
                <w:szCs w:val="22"/>
                <w:lang w:bidi="ar"/>
              </w:rPr>
              <w:br w:type="textWrapping"/>
            </w:r>
            <w:r>
              <w:rPr>
                <w:rFonts w:hint="eastAsia" w:ascii="宋体" w:hAnsi="宋体" w:cs="宋体"/>
                <w:kern w:val="0"/>
                <w:sz w:val="22"/>
                <w:szCs w:val="22"/>
                <w:lang w:bidi="ar"/>
              </w:rPr>
              <w:t>预计充电时间 5H</w:t>
            </w:r>
            <w:r>
              <w:rPr>
                <w:rFonts w:hint="eastAsia" w:ascii="宋体" w:hAnsi="宋体" w:cs="宋体"/>
                <w:kern w:val="0"/>
                <w:sz w:val="22"/>
                <w:szCs w:val="22"/>
                <w:lang w:bidi="ar"/>
              </w:rPr>
              <w:br w:type="textWrapping"/>
            </w:r>
            <w:r>
              <w:rPr>
                <w:rFonts w:hint="eastAsia" w:ascii="宋体" w:hAnsi="宋体" w:cs="宋体"/>
                <w:kern w:val="0"/>
                <w:sz w:val="22"/>
                <w:szCs w:val="22"/>
                <w:lang w:bidi="ar"/>
              </w:rPr>
              <w:t>一次交互时长 3~10s</w:t>
            </w:r>
          </w:p>
        </w:tc>
        <w:tc>
          <w:tcPr>
            <w:tcW w:w="667" w:type="dxa"/>
            <w:noWrap w:val="0"/>
            <w:vAlign w:val="center"/>
          </w:tcPr>
          <w:p>
            <w:pPr>
              <w:spacing w:line="360" w:lineRule="auto"/>
              <w:jc w:val="left"/>
              <w:rPr>
                <w:rFonts w:ascii="宋体" w:hAnsi="宋体" w:cs="宋体"/>
                <w:sz w:val="22"/>
                <w:szCs w:val="22"/>
              </w:rPr>
            </w:pPr>
            <w:r>
              <w:rPr>
                <w:rFonts w:ascii="宋体" w:hAnsi="宋体" w:cs="宋体"/>
                <w:sz w:val="22"/>
                <w:szCs w:val="22"/>
              </w:rPr>
              <w:t>138台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32" w:type="dxa"/>
            <w:noWrap/>
            <w:vAlign w:val="center"/>
          </w:tcPr>
          <w:p>
            <w:pPr>
              <w:spacing w:line="360" w:lineRule="auto"/>
              <w:jc w:val="center"/>
              <w:rPr>
                <w:rFonts w:hint="eastAsia" w:ascii="宋体" w:hAnsi="宋体" w:cs="宋体"/>
                <w:sz w:val="22"/>
                <w:szCs w:val="22"/>
              </w:rPr>
            </w:pPr>
            <w:r>
              <w:rPr>
                <w:rFonts w:hint="eastAsia" w:ascii="宋体" w:hAnsi="宋体" w:cs="宋体"/>
                <w:sz w:val="22"/>
                <w:szCs w:val="22"/>
              </w:rPr>
              <w:t>七、</w:t>
            </w:r>
          </w:p>
        </w:tc>
        <w:tc>
          <w:tcPr>
            <w:tcW w:w="8309" w:type="dxa"/>
            <w:gridSpan w:val="3"/>
            <w:noWrap w:val="0"/>
            <w:vAlign w:val="center"/>
          </w:tcPr>
          <w:p>
            <w:pPr>
              <w:spacing w:line="360" w:lineRule="auto"/>
              <w:jc w:val="left"/>
              <w:rPr>
                <w:rFonts w:ascii="宋体" w:hAnsi="宋体" w:cs="宋体"/>
                <w:sz w:val="22"/>
                <w:szCs w:val="22"/>
              </w:rPr>
            </w:pPr>
            <w:r>
              <w:rPr>
                <w:rFonts w:hint="eastAsia" w:ascii="宋体" w:hAnsi="宋体" w:cs="宋体"/>
                <w:sz w:val="22"/>
                <w:szCs w:val="22"/>
              </w:rPr>
              <w:t>其他服务或技术要求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32"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1665" w:type="dxa"/>
            <w:noWrap w:val="0"/>
            <w:vAlign w:val="center"/>
          </w:tcPr>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培训运维</w:t>
            </w:r>
          </w:p>
        </w:tc>
        <w:tc>
          <w:tcPr>
            <w:tcW w:w="5977" w:type="dxa"/>
            <w:noWrap w:val="0"/>
            <w:vAlign w:val="center"/>
          </w:tcPr>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为期6个月的全县街镇社区基层人员培训与支撑服务，电话支撑答疑2人，现场支持培训2人一组，共2组，合计4人，总计6人；提供3个人（其中最少1人为大数据工程师，提供相关证书）一年的驻场服务，根据业主需求可替换人员。</w:t>
            </w:r>
          </w:p>
        </w:tc>
        <w:tc>
          <w:tcPr>
            <w:tcW w:w="667" w:type="dxa"/>
            <w:noWrap w:val="0"/>
            <w:vAlign w:val="center"/>
          </w:tcPr>
          <w:p>
            <w:pPr>
              <w:spacing w:line="360" w:lineRule="auto"/>
              <w:jc w:val="center"/>
              <w:rPr>
                <w:rFonts w:hint="eastAsia"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32"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2</w:t>
            </w:r>
          </w:p>
        </w:tc>
        <w:tc>
          <w:tcPr>
            <w:tcW w:w="1665" w:type="dxa"/>
            <w:noWrap w:val="0"/>
            <w:vAlign w:val="center"/>
          </w:tcPr>
          <w:p>
            <w:pPr>
              <w:widowControl/>
              <w:spacing w:line="360" w:lineRule="auto"/>
              <w:jc w:val="left"/>
              <w:textAlignment w:val="center"/>
              <w:rPr>
                <w:rFonts w:hint="eastAsia" w:ascii="宋体" w:hAnsi="宋体" w:cs="宋体"/>
                <w:sz w:val="22"/>
                <w:szCs w:val="22"/>
              </w:rPr>
            </w:pPr>
            <w:r>
              <w:rPr>
                <w:rFonts w:hint="eastAsia" w:ascii="宋体" w:hAnsi="宋体" w:cs="宋体"/>
                <w:kern w:val="0"/>
                <w:sz w:val="22"/>
                <w:szCs w:val="22"/>
                <w:lang w:bidi="ar"/>
              </w:rPr>
              <w:t>等保测评</w:t>
            </w:r>
          </w:p>
        </w:tc>
        <w:tc>
          <w:tcPr>
            <w:tcW w:w="5977" w:type="dxa"/>
            <w:noWrap w:val="0"/>
            <w:vAlign w:val="center"/>
          </w:tcPr>
          <w:p>
            <w:pPr>
              <w:widowControl/>
              <w:spacing w:line="360" w:lineRule="auto"/>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按等保测评标准,第一年费用（需每年复评，报价为一次测试费用）</w:t>
            </w:r>
          </w:p>
        </w:tc>
        <w:tc>
          <w:tcPr>
            <w:tcW w:w="667" w:type="dxa"/>
            <w:noWrap w:val="0"/>
            <w:vAlign w:val="center"/>
          </w:tcPr>
          <w:p>
            <w:pPr>
              <w:widowControl/>
              <w:spacing w:line="360" w:lineRule="auto"/>
              <w:jc w:val="center"/>
              <w:textAlignment w:val="center"/>
              <w:rPr>
                <w:rFonts w:hint="eastAsia" w:ascii="宋体" w:hAnsi="宋体" w:cs="宋体"/>
                <w:sz w:val="22"/>
                <w:szCs w:val="22"/>
              </w:rPr>
            </w:pPr>
            <w:r>
              <w:rPr>
                <w:rFonts w:hint="eastAsia" w:ascii="宋体" w:hAnsi="宋体" w:cs="宋体"/>
                <w:kern w:val="0"/>
                <w:sz w:val="22"/>
                <w:szCs w:val="22"/>
                <w:lang w:bidi="ar"/>
              </w:rPr>
              <w:t>1年</w:t>
            </w:r>
          </w:p>
        </w:tc>
      </w:tr>
    </w:tbl>
    <w:p>
      <w:pPr>
        <w:widowControl/>
        <w:spacing w:before="31" w:beforeLines="10" w:line="360" w:lineRule="auto"/>
        <w:jc w:val="left"/>
        <w:rPr>
          <w:rFonts w:hint="eastAsia" w:ascii="宋体" w:hAnsi="宋体"/>
          <w:b/>
          <w:sz w:val="22"/>
          <w:szCs w:val="22"/>
        </w:rPr>
      </w:pPr>
      <w:r>
        <w:rPr>
          <w:rFonts w:hint="eastAsia" w:ascii="宋体" w:hAnsi="宋体" w:cs="仿宋"/>
          <w:b/>
          <w:bCs/>
          <w:sz w:val="22"/>
          <w:szCs w:val="22"/>
          <w:u w:val="single"/>
        </w:rPr>
        <w:t>▲</w:t>
      </w:r>
      <w:r>
        <w:rPr>
          <w:rFonts w:hint="eastAsia" w:ascii="宋体" w:hAnsi="宋体"/>
          <w:b/>
          <w:sz w:val="22"/>
          <w:szCs w:val="22"/>
        </w:rPr>
        <w:t>建房使用的地址标准应采用浙江省“基层治理四平台”标准地址库建设技术规定。</w:t>
      </w:r>
    </w:p>
    <w:p>
      <w:pPr>
        <w:pStyle w:val="2"/>
      </w:pPr>
      <w:r>
        <w:rPr>
          <w:rFonts w:hint="eastAsia" w:ascii="宋体" w:hAnsi="宋体" w:cs="仿宋"/>
          <w:b/>
          <w:bCs/>
          <w:sz w:val="22"/>
          <w:szCs w:val="22"/>
          <w:u w:val="single"/>
        </w:rPr>
        <w:t>▲底层地图要求：</w:t>
      </w:r>
      <w:r>
        <w:rPr>
          <w:rFonts w:hint="eastAsia" w:ascii="宋体" w:hAnsi="宋体"/>
          <w:b/>
          <w:sz w:val="22"/>
          <w:szCs w:val="22"/>
        </w:rPr>
        <w:t>政务网使用天地图，公安网使用高德地图（两平台之间如存在差异，需能自动转换不得存在偏移）。</w:t>
      </w:r>
    </w:p>
    <w:p>
      <w:pPr>
        <w:widowControl/>
        <w:numPr>
          <w:ilvl w:val="0"/>
          <w:numId w:val="1"/>
        </w:numPr>
        <w:spacing w:before="31" w:beforeLines="10" w:line="360" w:lineRule="auto"/>
        <w:jc w:val="left"/>
        <w:rPr>
          <w:rFonts w:hint="eastAsia" w:ascii="宋体" w:hAnsi="宋体"/>
          <w:b/>
          <w:sz w:val="22"/>
          <w:szCs w:val="22"/>
        </w:rPr>
      </w:pPr>
      <w:r>
        <w:rPr>
          <w:rFonts w:hint="eastAsia" w:ascii="宋体" w:hAnsi="宋体"/>
          <w:b/>
          <w:sz w:val="22"/>
          <w:szCs w:val="22"/>
        </w:rPr>
        <w:t>商务要求</w:t>
      </w:r>
    </w:p>
    <w:p>
      <w:pPr>
        <w:tabs>
          <w:tab w:val="left" w:pos="-838"/>
        </w:tabs>
        <w:spacing w:line="360" w:lineRule="auto"/>
        <w:ind w:firstLine="660" w:firstLineChars="300"/>
        <w:rPr>
          <w:rFonts w:ascii="宋体" w:hAnsi="宋体" w:cs="宋体"/>
          <w:sz w:val="22"/>
          <w:szCs w:val="22"/>
        </w:rPr>
      </w:pPr>
      <w:r>
        <w:rPr>
          <w:rFonts w:hint="eastAsia" w:ascii="宋体" w:hAnsi="宋体" w:cs="宋体"/>
          <w:sz w:val="22"/>
          <w:szCs w:val="22"/>
        </w:rPr>
        <w:t>1、售后服务：中标供应商必须有可靠的售后服务保障，能提供正常的技术、备品备件服务。成交人须在30分钟内响应，2小时内派人赴现场处理设备或工程质量问题，设备在24个小时内不能修复的，则无偿提供备机或备用零件供采购人使用。保证有偿提供设备10年所需零配件，终身维护。</w:t>
      </w:r>
    </w:p>
    <w:p>
      <w:pPr>
        <w:tabs>
          <w:tab w:val="left" w:pos="9135"/>
        </w:tabs>
        <w:spacing w:line="440" w:lineRule="exact"/>
        <w:ind w:firstLine="663" w:firstLineChars="300"/>
        <w:rPr>
          <w:rFonts w:ascii="宋体" w:hAnsi="宋体" w:cs="Arial"/>
          <w:b/>
          <w:bCs/>
          <w:sz w:val="22"/>
          <w:u w:val="single"/>
        </w:rPr>
      </w:pPr>
      <w:r>
        <w:rPr>
          <w:rFonts w:hint="eastAsia" w:ascii="宋体" w:hAnsi="宋体" w:cs="新宋体"/>
          <w:b/>
          <w:bCs/>
          <w:sz w:val="22"/>
          <w:szCs w:val="22"/>
          <w:u w:val="single"/>
        </w:rPr>
        <w:t xml:space="preserve">2. </w:t>
      </w:r>
      <w:r>
        <w:rPr>
          <w:rFonts w:hint="eastAsia" w:ascii="宋体" w:hAnsi="宋体" w:cs="仿宋"/>
          <w:b/>
          <w:bCs/>
          <w:sz w:val="22"/>
          <w:szCs w:val="22"/>
          <w:u w:val="single"/>
        </w:rPr>
        <w:t>▲</w:t>
      </w:r>
      <w:r>
        <w:rPr>
          <w:rFonts w:hint="eastAsia" w:ascii="宋体" w:hAnsi="宋体" w:cs="Arial"/>
          <w:b/>
          <w:bCs/>
          <w:sz w:val="22"/>
          <w:u w:val="single"/>
        </w:rPr>
        <w:t xml:space="preserve">项目实施时间： </w:t>
      </w:r>
      <w:r>
        <w:rPr>
          <w:rFonts w:hint="eastAsia" w:ascii="宋体" w:hAnsi="宋体"/>
          <w:b/>
          <w:bCs/>
          <w:sz w:val="22"/>
          <w:u w:val="single"/>
        </w:rPr>
        <w:t>软件开发、调试、测试、上线试运行自合同签订起不得超过90天。</w:t>
      </w:r>
    </w:p>
    <w:p>
      <w:pPr>
        <w:pStyle w:val="24"/>
        <w:widowControl w:val="0"/>
        <w:overflowPunct/>
        <w:autoSpaceDE/>
        <w:autoSpaceDN/>
        <w:adjustRightInd/>
        <w:spacing w:before="10" w:after="10" w:line="360" w:lineRule="auto"/>
        <w:ind w:firstLine="660" w:firstLineChars="300"/>
        <w:textAlignment w:val="auto"/>
        <w:rPr>
          <w:rFonts w:hint="eastAsia" w:hAnsi="宋体" w:cs="宋体"/>
          <w:kern w:val="2"/>
          <w:sz w:val="22"/>
          <w:szCs w:val="22"/>
        </w:rPr>
      </w:pPr>
      <w:r>
        <w:rPr>
          <w:rFonts w:hint="eastAsia" w:hAnsi="宋体" w:cs="新宋体"/>
          <w:sz w:val="22"/>
          <w:szCs w:val="22"/>
        </w:rPr>
        <w:t>3.</w:t>
      </w:r>
      <w:r>
        <w:rPr>
          <w:rFonts w:hint="eastAsia" w:hAnsi="宋体" w:cs="宋体"/>
          <w:kern w:val="2"/>
          <w:sz w:val="22"/>
          <w:szCs w:val="22"/>
        </w:rPr>
        <w:t>付款方式：</w:t>
      </w:r>
    </w:p>
    <w:p>
      <w:pPr>
        <w:adjustRightInd w:val="0"/>
        <w:snapToGrid w:val="0"/>
        <w:spacing w:line="360" w:lineRule="auto"/>
        <w:ind w:firstLine="660" w:firstLineChars="300"/>
        <w:rPr>
          <w:rFonts w:ascii="宋体" w:hAnsi="宋体"/>
          <w:sz w:val="22"/>
          <w:szCs w:val="22"/>
        </w:rPr>
      </w:pPr>
      <w:r>
        <w:rPr>
          <w:rFonts w:hint="eastAsia" w:ascii="宋体" w:hAnsi="宋体"/>
          <w:sz w:val="22"/>
          <w:szCs w:val="22"/>
        </w:rPr>
        <w:t>1)、</w:t>
      </w:r>
      <w:r>
        <w:rPr>
          <w:rFonts w:hint="eastAsia" w:ascii="宋体" w:hAnsi="宋体" w:cs="宋体"/>
          <w:sz w:val="22"/>
          <w:szCs w:val="22"/>
        </w:rPr>
        <w:t>签订合同</w:t>
      </w:r>
      <w:r>
        <w:rPr>
          <w:rFonts w:hint="eastAsia" w:hAnsi="宋体" w:cs="宋体"/>
          <w:sz w:val="22"/>
          <w:szCs w:val="22"/>
        </w:rPr>
        <w:t>7</w:t>
      </w:r>
      <w:r>
        <w:rPr>
          <w:rFonts w:hint="eastAsia" w:ascii="宋体" w:hAnsi="宋体" w:cs="宋体"/>
          <w:sz w:val="22"/>
          <w:szCs w:val="22"/>
        </w:rPr>
        <w:t>个工作日内向中标供应商支付合同总价的40%预付款（具体以财政部门资金拨付情况而定）</w:t>
      </w:r>
      <w:r>
        <w:rPr>
          <w:rFonts w:hint="eastAsia" w:ascii="宋体" w:hAnsi="宋体"/>
          <w:sz w:val="22"/>
          <w:szCs w:val="22"/>
        </w:rPr>
        <w:t>；</w:t>
      </w:r>
    </w:p>
    <w:p>
      <w:pPr>
        <w:adjustRightInd w:val="0"/>
        <w:snapToGrid w:val="0"/>
        <w:spacing w:line="360" w:lineRule="auto"/>
        <w:ind w:firstLine="660" w:firstLineChars="300"/>
        <w:rPr>
          <w:rFonts w:ascii="宋体" w:hAnsi="宋体"/>
          <w:sz w:val="22"/>
          <w:szCs w:val="22"/>
        </w:rPr>
      </w:pPr>
      <w:r>
        <w:rPr>
          <w:rFonts w:hint="eastAsia" w:ascii="宋体" w:hAnsi="宋体"/>
          <w:sz w:val="22"/>
          <w:szCs w:val="22"/>
        </w:rPr>
        <w:t>2)、所有项目经相关部门初步验收合格，自正式上线试运行之日起</w:t>
      </w:r>
      <w:r>
        <w:rPr>
          <w:rFonts w:ascii="宋体" w:hAnsi="宋体"/>
          <w:sz w:val="22"/>
          <w:szCs w:val="22"/>
        </w:rPr>
        <w:t>日内</w:t>
      </w:r>
      <w:r>
        <w:rPr>
          <w:rFonts w:hint="eastAsia" w:ascii="宋体" w:hAnsi="宋体"/>
          <w:sz w:val="22"/>
          <w:szCs w:val="22"/>
        </w:rPr>
        <w:t>，甲方向乙方支付至合同总额的90%；</w:t>
      </w:r>
    </w:p>
    <w:p>
      <w:pPr>
        <w:adjustRightInd w:val="0"/>
        <w:snapToGrid w:val="0"/>
        <w:spacing w:line="360" w:lineRule="auto"/>
        <w:ind w:firstLine="660" w:firstLineChars="300"/>
        <w:rPr>
          <w:rFonts w:ascii="宋体" w:hAnsi="宋体"/>
          <w:sz w:val="22"/>
          <w:szCs w:val="22"/>
        </w:rPr>
      </w:pPr>
      <w:r>
        <w:rPr>
          <w:rFonts w:hint="eastAsia" w:ascii="宋体" w:hAnsi="宋体"/>
          <w:sz w:val="22"/>
          <w:szCs w:val="22"/>
        </w:rPr>
        <w:t>3)、所有项目通过最终验收后日内，甲方向乙方无息支剩余合同总额的10%。</w:t>
      </w:r>
    </w:p>
    <w:p>
      <w:pPr>
        <w:pStyle w:val="24"/>
        <w:widowControl w:val="0"/>
        <w:overflowPunct/>
        <w:autoSpaceDE/>
        <w:autoSpaceDN/>
        <w:adjustRightInd/>
        <w:spacing w:before="10" w:after="10" w:line="360" w:lineRule="auto"/>
        <w:ind w:firstLine="660" w:firstLineChars="300"/>
        <w:textAlignment w:val="auto"/>
        <w:rPr>
          <w:rFonts w:hint="eastAsia" w:hAnsi="宋体" w:cs="宋体"/>
          <w:kern w:val="2"/>
          <w:sz w:val="22"/>
          <w:szCs w:val="22"/>
        </w:rPr>
      </w:pPr>
      <w:r>
        <w:rPr>
          <w:rFonts w:hint="eastAsia" w:hAnsi="宋体" w:cs="宋体"/>
          <w:kern w:val="2"/>
          <w:sz w:val="22"/>
          <w:szCs w:val="22"/>
        </w:rPr>
        <w:t>注：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根据《浙江省财政厅关于进一步发挥政府采购政策功能全力推动经济稳进提质的通知》（浙财采监[2022]3号）的规定，双方协商决定付款比例，具体每笔款项支付视财政部门资金拨付情况而定。）</w:t>
      </w:r>
    </w:p>
    <w:p>
      <w:r>
        <w:rPr>
          <w:rFonts w:hint="eastAsia" w:hAnsi="宋体" w:cs="宋体"/>
          <w:sz w:val="22"/>
          <w:szCs w:val="22"/>
        </w:rPr>
        <w:t xml:space="preserve">    </w:t>
      </w:r>
      <w:r>
        <w:rPr>
          <w:rFonts w:hint="eastAsia" w:ascii="宋体" w:hAnsi="宋体" w:cs="仿宋"/>
          <w:b/>
          <w:bCs/>
          <w:sz w:val="22"/>
          <w:szCs w:val="22"/>
          <w:u w:val="single"/>
        </w:rPr>
        <w:t>▲</w:t>
      </w:r>
      <w:r>
        <w:rPr>
          <w:rFonts w:hint="eastAsia" w:hAnsi="宋体" w:cs="宋体"/>
          <w:b/>
          <w:bCs/>
          <w:sz w:val="22"/>
          <w:szCs w:val="22"/>
          <w:u w:val="single"/>
        </w:rPr>
        <w:t>4、免费质保期：三年，如有特殊约定按约定执行。</w:t>
      </w:r>
    </w:p>
    <w:p>
      <w:pPr>
        <w:tabs>
          <w:tab w:val="left" w:pos="-838"/>
        </w:tabs>
        <w:spacing w:line="360" w:lineRule="auto"/>
        <w:rPr>
          <w:rFonts w:hint="eastAsia" w:ascii="宋体" w:hAnsi="宋体" w:cs="宋体"/>
          <w:b/>
          <w:bCs/>
          <w:sz w:val="22"/>
          <w:szCs w:val="22"/>
        </w:rPr>
      </w:pPr>
      <w:r>
        <w:rPr>
          <w:rFonts w:hint="eastAsia" w:ascii="宋体" w:hAnsi="宋体" w:cs="宋体"/>
          <w:b/>
          <w:bCs/>
          <w:sz w:val="22"/>
          <w:szCs w:val="22"/>
        </w:rPr>
        <w:t>五．其他要求</w:t>
      </w:r>
    </w:p>
    <w:p>
      <w:pPr>
        <w:tabs>
          <w:tab w:val="left" w:pos="-838"/>
        </w:tabs>
        <w:spacing w:line="360" w:lineRule="auto"/>
        <w:ind w:firstLine="440" w:firstLineChars="200"/>
        <w:rPr>
          <w:rFonts w:hint="eastAsia" w:ascii="宋体" w:hAnsi="宋体" w:cs="宋体"/>
          <w:sz w:val="22"/>
          <w:szCs w:val="22"/>
        </w:rPr>
      </w:pPr>
      <w:r>
        <w:rPr>
          <w:rFonts w:hint="eastAsia" w:ascii="宋体" w:hAnsi="宋体" w:cs="宋体"/>
          <w:sz w:val="22"/>
          <w:szCs w:val="22"/>
        </w:rPr>
        <w:t>1、开发：根据永嘉县公安局对永嘉疫情防控智治平台的需求，完成该系统的设计和开发工作。</w:t>
      </w:r>
    </w:p>
    <w:p>
      <w:pPr>
        <w:tabs>
          <w:tab w:val="left" w:pos="-838"/>
        </w:tabs>
        <w:spacing w:line="360" w:lineRule="auto"/>
        <w:ind w:firstLine="440" w:firstLineChars="200"/>
        <w:rPr>
          <w:rFonts w:hint="eastAsia" w:ascii="宋体" w:hAnsi="宋体" w:cs="宋体"/>
          <w:sz w:val="22"/>
          <w:szCs w:val="22"/>
        </w:rPr>
      </w:pPr>
      <w:r>
        <w:rPr>
          <w:rFonts w:hint="eastAsia" w:ascii="宋体" w:hAnsi="宋体" w:cs="宋体"/>
          <w:sz w:val="22"/>
          <w:szCs w:val="22"/>
        </w:rPr>
        <w:t>2、交付：在永嘉疫情防控智治平台开发完成后，完成该系统的应用软件部署、调试。</w:t>
      </w:r>
    </w:p>
    <w:p>
      <w:pPr>
        <w:tabs>
          <w:tab w:val="left" w:pos="-838"/>
        </w:tabs>
        <w:spacing w:line="360" w:lineRule="auto"/>
        <w:ind w:firstLine="440" w:firstLineChars="200"/>
        <w:rPr>
          <w:rFonts w:hint="eastAsia" w:ascii="宋体" w:hAnsi="宋体" w:cs="宋体"/>
          <w:sz w:val="22"/>
          <w:szCs w:val="22"/>
        </w:rPr>
      </w:pPr>
      <w:r>
        <w:rPr>
          <w:rFonts w:hint="eastAsia" w:ascii="宋体" w:hAnsi="宋体" w:cs="宋体"/>
          <w:sz w:val="22"/>
          <w:szCs w:val="22"/>
        </w:rPr>
        <w:t>3、培训：对永嘉县公安局及相关疫情防控人员进行培训，培训目标为受训者能够熟练地完成系统所有功能的操作。</w:t>
      </w:r>
    </w:p>
    <w:p>
      <w:pPr>
        <w:tabs>
          <w:tab w:val="left" w:pos="-838"/>
        </w:tabs>
        <w:spacing w:line="360" w:lineRule="auto"/>
        <w:ind w:firstLine="440" w:firstLineChars="200"/>
        <w:rPr>
          <w:rFonts w:hint="eastAsia" w:ascii="宋体" w:hAnsi="宋体" w:cs="宋体"/>
          <w:sz w:val="22"/>
          <w:szCs w:val="22"/>
        </w:rPr>
      </w:pPr>
      <w:r>
        <w:rPr>
          <w:rFonts w:hint="eastAsia" w:ascii="宋体" w:hAnsi="宋体" w:cs="宋体"/>
          <w:sz w:val="22"/>
          <w:szCs w:val="22"/>
        </w:rPr>
        <w:t>4、运维：在质保期内除保证系统正常运行和完好外，还负责对永嘉县公安局及相关疫情防控人员的技术指导和系统的优化。</w:t>
      </w:r>
    </w:p>
    <w:p>
      <w:pPr>
        <w:tabs>
          <w:tab w:val="left" w:pos="-838"/>
        </w:tabs>
        <w:spacing w:line="360" w:lineRule="auto"/>
        <w:ind w:firstLine="440" w:firstLineChars="200"/>
        <w:rPr>
          <w:rFonts w:hint="eastAsia" w:ascii="宋体" w:hAnsi="宋体" w:cs="宋体"/>
          <w:sz w:val="22"/>
          <w:szCs w:val="22"/>
          <w:u w:val="single"/>
        </w:rPr>
      </w:pPr>
      <w:r>
        <w:rPr>
          <w:rFonts w:hint="eastAsia" w:ascii="宋体" w:hAnsi="宋体" w:cs="宋体"/>
          <w:sz w:val="22"/>
          <w:szCs w:val="22"/>
          <w:u w:val="single"/>
        </w:rPr>
        <w:t>▲5、验收后，中标供应商须提供本项目所开发软件的源代码和数据结构等文档资料交予采购人。</w:t>
      </w:r>
    </w:p>
    <w:p>
      <w:pPr>
        <w:tabs>
          <w:tab w:val="left" w:pos="-838"/>
        </w:tabs>
        <w:spacing w:line="360" w:lineRule="auto"/>
        <w:ind w:firstLine="440" w:firstLineChars="200"/>
        <w:rPr>
          <w:rFonts w:hint="eastAsia" w:ascii="宋体" w:hAnsi="宋体" w:cs="宋体"/>
          <w:sz w:val="22"/>
          <w:szCs w:val="22"/>
          <w:u w:val="single"/>
        </w:rPr>
      </w:pPr>
      <w:r>
        <w:rPr>
          <w:rFonts w:hint="eastAsia" w:ascii="宋体" w:hAnsi="宋体" w:cs="宋体"/>
          <w:sz w:val="22"/>
          <w:szCs w:val="22"/>
          <w:u w:val="single"/>
        </w:rPr>
        <w:t>★注：1. 本招标文件中带“▲”的条款内容，为本次磋商的实质性内容，供应商必须全部响应，否则将作无效标处理。“★”的条款内容为重要</w:t>
      </w:r>
      <w:bookmarkStart w:id="11" w:name="_Toc97033052"/>
      <w:r>
        <w:rPr>
          <w:rFonts w:hint="eastAsia" w:ascii="宋体" w:hAnsi="宋体" w:cs="宋体"/>
          <w:sz w:val="22"/>
          <w:szCs w:val="22"/>
          <w:u w:val="single"/>
        </w:rPr>
        <w:t>性条款，供应商对重要条款的响应程度将作为评审工作的主要依据之一。</w:t>
      </w:r>
    </w:p>
    <w:p>
      <w:pPr>
        <w:tabs>
          <w:tab w:val="left" w:pos="-838"/>
        </w:tabs>
        <w:spacing w:line="360" w:lineRule="auto"/>
        <w:ind w:firstLine="602" w:firstLineChars="200"/>
        <w:jc w:val="center"/>
        <w:rPr>
          <w:rFonts w:ascii="宋体" w:hAnsi="宋体" w:cs="新宋体"/>
          <w:sz w:val="30"/>
          <w:szCs w:val="30"/>
        </w:rPr>
      </w:pPr>
      <w:r>
        <w:rPr>
          <w:rFonts w:hint="eastAsia" w:ascii="宋体" w:hAnsi="宋体" w:cs="新宋体"/>
          <w:b/>
          <w:bCs/>
          <w:sz w:val="30"/>
          <w:szCs w:val="30"/>
        </w:rPr>
        <w:br w:type="page"/>
      </w:r>
      <w:r>
        <w:rPr>
          <w:rFonts w:hint="eastAsia" w:ascii="宋体" w:hAnsi="宋体" w:cs="新宋体"/>
          <w:b/>
          <w:bCs/>
          <w:sz w:val="30"/>
          <w:szCs w:val="30"/>
        </w:rPr>
        <w:t>第三部分 供应商须知</w:t>
      </w:r>
      <w:bookmarkEnd w:id="9"/>
      <w:bookmarkEnd w:id="10"/>
      <w:bookmarkEnd w:id="11"/>
    </w:p>
    <w:p>
      <w:pPr>
        <w:autoSpaceDE w:val="0"/>
        <w:autoSpaceDN w:val="0"/>
        <w:adjustRightInd w:val="0"/>
        <w:snapToGrid w:val="0"/>
        <w:spacing w:line="440" w:lineRule="exact"/>
        <w:ind w:firstLine="331" w:firstLineChars="150"/>
        <w:textAlignment w:val="bottom"/>
        <w:outlineLvl w:val="1"/>
        <w:rPr>
          <w:rFonts w:ascii="宋体" w:hAnsi="宋体" w:cs="Arial"/>
          <w:b/>
          <w:bCs/>
          <w:sz w:val="22"/>
          <w:szCs w:val="22"/>
        </w:rPr>
      </w:pPr>
      <w:bookmarkStart w:id="12" w:name="_Toc97033053"/>
      <w:bookmarkStart w:id="13" w:name="_Toc461563852"/>
      <w:r>
        <w:rPr>
          <w:rFonts w:hint="eastAsia" w:ascii="宋体" w:hAnsi="宋体" w:cs="Arial"/>
          <w:b/>
          <w:bCs/>
          <w:sz w:val="22"/>
          <w:szCs w:val="22"/>
        </w:rPr>
        <w:t>一、说明</w:t>
      </w:r>
      <w:bookmarkEnd w:id="12"/>
      <w:bookmarkEnd w:id="13"/>
    </w:p>
    <w:p>
      <w:pPr>
        <w:widowControl/>
        <w:autoSpaceDE w:val="0"/>
        <w:autoSpaceDN w:val="0"/>
        <w:adjustRightInd w:val="0"/>
        <w:spacing w:line="460" w:lineRule="atLeast"/>
        <w:ind w:firstLine="440" w:firstLineChars="200"/>
        <w:textAlignment w:val="bottom"/>
        <w:rPr>
          <w:rFonts w:ascii="宋体" w:hAnsi="宋体" w:cs="新宋体"/>
          <w:sz w:val="22"/>
          <w:szCs w:val="22"/>
        </w:rPr>
      </w:pPr>
      <w:r>
        <w:rPr>
          <w:rFonts w:hint="eastAsia" w:ascii="宋体" w:hAnsi="宋体" w:cs="新宋体"/>
          <w:sz w:val="22"/>
          <w:szCs w:val="22"/>
        </w:rPr>
        <w:t>1、本次采购工作是按照《中华人民共和国政府采购法》、《政府采购货物和服务招标投标管理办法》及相关法律规章组织和实施。</w:t>
      </w:r>
    </w:p>
    <w:p>
      <w:pPr>
        <w:widowControl/>
        <w:autoSpaceDE w:val="0"/>
        <w:autoSpaceDN w:val="0"/>
        <w:adjustRightInd w:val="0"/>
        <w:spacing w:line="460" w:lineRule="atLeast"/>
        <w:ind w:firstLine="440" w:firstLineChars="200"/>
        <w:textAlignment w:val="bottom"/>
        <w:rPr>
          <w:rFonts w:ascii="宋体" w:hAnsi="宋体" w:cs="新宋体"/>
          <w:sz w:val="22"/>
          <w:szCs w:val="22"/>
        </w:rPr>
      </w:pPr>
      <w:r>
        <w:rPr>
          <w:rFonts w:hint="eastAsia" w:ascii="宋体" w:hAnsi="宋体" w:cs="新宋体"/>
          <w:sz w:val="22"/>
          <w:szCs w:val="22"/>
        </w:rPr>
        <w:t>2、</w:t>
      </w:r>
      <w:r>
        <w:rPr>
          <w:rFonts w:hint="eastAsia" w:ascii="宋体" w:hAnsi="宋体"/>
          <w:b/>
          <w:bCs/>
          <w:sz w:val="22"/>
          <w:szCs w:val="22"/>
          <w:u w:val="single"/>
        </w:rPr>
        <w:t>▲本次招标设一个标项，</w:t>
      </w:r>
      <w:r>
        <w:rPr>
          <w:rFonts w:hint="eastAsia" w:ascii="宋体" w:hAnsi="宋体" w:cs="新宋体"/>
          <w:b/>
          <w:bCs/>
          <w:sz w:val="22"/>
          <w:szCs w:val="22"/>
          <w:u w:val="single"/>
        </w:rPr>
        <w:t>供应商必须对全部招标内容进行投标报价，只对部分内容进行投标报价的供应商将按无效投标处理。</w:t>
      </w:r>
    </w:p>
    <w:p>
      <w:pPr>
        <w:widowControl/>
        <w:autoSpaceDE w:val="0"/>
        <w:autoSpaceDN w:val="0"/>
        <w:adjustRightInd w:val="0"/>
        <w:spacing w:line="460" w:lineRule="atLeast"/>
        <w:ind w:firstLine="440" w:firstLineChars="200"/>
        <w:textAlignment w:val="bottom"/>
        <w:rPr>
          <w:rFonts w:ascii="宋体" w:hAnsi="宋体" w:cs="新宋体"/>
          <w:sz w:val="22"/>
          <w:szCs w:val="22"/>
        </w:rPr>
      </w:pPr>
      <w:r>
        <w:rPr>
          <w:rFonts w:hint="eastAsia" w:ascii="宋体" w:hAnsi="宋体" w:cs="新宋体"/>
          <w:sz w:val="22"/>
          <w:szCs w:val="22"/>
        </w:rPr>
        <w:t>3、无论投标过程中的作法和结果如何，供应商自行承担投标活动中所发生的全部费用。采购人有权选择中标供应商的服务范围。</w:t>
      </w:r>
    </w:p>
    <w:p>
      <w:pPr>
        <w:widowControl/>
        <w:autoSpaceDE w:val="0"/>
        <w:autoSpaceDN w:val="0"/>
        <w:adjustRightInd w:val="0"/>
        <w:spacing w:line="460" w:lineRule="atLeast"/>
        <w:ind w:firstLine="440" w:firstLineChars="200"/>
        <w:textAlignment w:val="bottom"/>
        <w:rPr>
          <w:rFonts w:ascii="宋体" w:hAnsi="宋体" w:cs="新宋体"/>
          <w:sz w:val="22"/>
          <w:szCs w:val="22"/>
        </w:rPr>
      </w:pPr>
      <w:r>
        <w:rPr>
          <w:rFonts w:hint="eastAsia" w:ascii="宋体" w:hAnsi="宋体" w:cs="新宋体"/>
          <w:sz w:val="22"/>
          <w:szCs w:val="22"/>
        </w:rPr>
        <w:t>4、本次采购采用商务投标文件与技术资信文件分别评审，评标委员会首先评审供应商技术资信部分，技术资信部分无效的供应商不进入商务报价评审。</w:t>
      </w:r>
    </w:p>
    <w:p>
      <w:pPr>
        <w:widowControl/>
        <w:autoSpaceDE w:val="0"/>
        <w:autoSpaceDN w:val="0"/>
        <w:adjustRightInd w:val="0"/>
        <w:spacing w:line="460" w:lineRule="atLeast"/>
        <w:ind w:firstLine="440" w:firstLineChars="200"/>
        <w:textAlignment w:val="bottom"/>
        <w:rPr>
          <w:rFonts w:ascii="宋体" w:hAnsi="宋体" w:cs="新宋体"/>
          <w:sz w:val="22"/>
          <w:szCs w:val="22"/>
        </w:rPr>
      </w:pPr>
      <w:r>
        <w:rPr>
          <w:rFonts w:hint="eastAsia" w:ascii="宋体" w:hAnsi="宋体" w:cs="新宋体"/>
          <w:sz w:val="22"/>
          <w:szCs w:val="22"/>
        </w:rPr>
        <w:t>5、供应商须自行现场勘察，确认采购人的实际需求，取得准确的报价依据。如果认为招标文件描述或所列范围、面积与实际情况有较大出入，请在规定的招标质疑截止时间前列出详细的异议意见和数据向采购代理机构书面反映，逾期不得再对招标文件的条款提出质疑，视为接受招标文件，投标供应商中标后不得以各种理由提出增价要求，否则做投标违约处理，采购人有权取消其中标资格。</w:t>
      </w:r>
    </w:p>
    <w:p>
      <w:pPr>
        <w:widowControl/>
        <w:autoSpaceDE w:val="0"/>
        <w:autoSpaceDN w:val="0"/>
        <w:adjustRightInd w:val="0"/>
        <w:spacing w:line="460" w:lineRule="atLeast"/>
        <w:ind w:firstLine="440" w:firstLineChars="200"/>
        <w:textAlignment w:val="bottom"/>
        <w:rPr>
          <w:rFonts w:ascii="宋体" w:hAnsi="宋体" w:cs="新宋体"/>
          <w:sz w:val="22"/>
          <w:szCs w:val="22"/>
        </w:rPr>
      </w:pPr>
      <w:r>
        <w:rPr>
          <w:rFonts w:hint="eastAsia" w:ascii="宋体" w:hAnsi="宋体" w:cs="新宋体"/>
          <w:sz w:val="22"/>
          <w:szCs w:val="22"/>
        </w:rPr>
        <w:t>6、本项目采购预算见招标公告。</w:t>
      </w:r>
    </w:p>
    <w:p>
      <w:pPr>
        <w:widowControl/>
        <w:autoSpaceDE w:val="0"/>
        <w:autoSpaceDN w:val="0"/>
        <w:adjustRightInd w:val="0"/>
        <w:spacing w:line="460" w:lineRule="atLeast"/>
        <w:ind w:firstLine="440" w:firstLineChars="200"/>
        <w:textAlignment w:val="bottom"/>
        <w:rPr>
          <w:rFonts w:ascii="宋体" w:hAnsi="宋体"/>
          <w:sz w:val="22"/>
          <w:szCs w:val="22"/>
        </w:rPr>
      </w:pPr>
      <w:r>
        <w:rPr>
          <w:rFonts w:hint="eastAsia" w:ascii="宋体" w:hAnsi="宋体" w:cs="新宋体"/>
          <w:sz w:val="22"/>
          <w:szCs w:val="22"/>
          <w:lang w:val="zh-CN"/>
        </w:rPr>
        <w:t>7、</w:t>
      </w:r>
      <w:r>
        <w:rPr>
          <w:rFonts w:hint="eastAsia" w:ascii="宋体" w:hAnsi="宋体"/>
          <w:sz w:val="22"/>
          <w:szCs w:val="22"/>
        </w:rPr>
        <w:t>本项目采用在线投标响应方式，执行《浙江省财政厅关于印发浙江省政府采购项目电子交易管理暂行办法的通知》（浙财采监〔2019〕10 号）等相关规定。</w:t>
      </w:r>
    </w:p>
    <w:p>
      <w:pPr>
        <w:widowControl/>
        <w:autoSpaceDE w:val="0"/>
        <w:autoSpaceDN w:val="0"/>
        <w:adjustRightInd w:val="0"/>
        <w:spacing w:line="460" w:lineRule="atLeast"/>
        <w:ind w:firstLine="440" w:firstLineChars="200"/>
        <w:textAlignment w:val="bottom"/>
        <w:rPr>
          <w:rFonts w:ascii="宋体" w:hAnsi="宋体" w:cs="新宋体"/>
          <w:sz w:val="22"/>
          <w:szCs w:val="22"/>
        </w:rPr>
      </w:pPr>
      <w:r>
        <w:rPr>
          <w:rFonts w:hint="eastAsia" w:ascii="宋体" w:hAnsi="宋体" w:cs="新宋体"/>
          <w:sz w:val="22"/>
          <w:szCs w:val="22"/>
        </w:rPr>
        <w:t>8、投标供应商认为完成本招标文件规定的项目承包内容所发生的直接成本、间接成本、利润、税金、政策性文件规定的费用等一切费用均应计入投标报价，凡未列入的将被认为均已包含在投标总价中，今后不得以任何理由追加或调整。</w:t>
      </w:r>
    </w:p>
    <w:p>
      <w:pPr>
        <w:widowControl/>
        <w:autoSpaceDE w:val="0"/>
        <w:autoSpaceDN w:val="0"/>
        <w:adjustRightInd w:val="0"/>
        <w:spacing w:line="460" w:lineRule="atLeast"/>
        <w:ind w:firstLine="440" w:firstLineChars="200"/>
        <w:textAlignment w:val="bottom"/>
        <w:rPr>
          <w:rFonts w:ascii="宋体" w:hAnsi="宋体" w:cs="新宋体"/>
          <w:sz w:val="22"/>
          <w:szCs w:val="22"/>
        </w:rPr>
      </w:pPr>
      <w:r>
        <w:rPr>
          <w:rFonts w:hint="eastAsia" w:ascii="宋体" w:hAnsi="宋体" w:cs="新宋体"/>
          <w:sz w:val="22"/>
          <w:szCs w:val="22"/>
        </w:rPr>
        <w:t>9、</w:t>
      </w:r>
      <w:r>
        <w:rPr>
          <w:rFonts w:hint="eastAsia" w:ascii="宋体" w:hAnsi="宋体" w:cs="新宋体"/>
          <w:b/>
          <w:sz w:val="22"/>
          <w:szCs w:val="22"/>
        </w:rPr>
        <w:t>供应商如果报名后不来参与本次投标要在投标截止前3天给予书面告知及其理由，否则采购组织机构将该情况报同级财政部门，并视情况将其列入不良供应商名单。</w:t>
      </w:r>
    </w:p>
    <w:p>
      <w:pPr>
        <w:widowControl/>
        <w:autoSpaceDE w:val="0"/>
        <w:autoSpaceDN w:val="0"/>
        <w:adjustRightInd w:val="0"/>
        <w:spacing w:line="460" w:lineRule="atLeast"/>
        <w:ind w:firstLine="440" w:firstLineChars="200"/>
        <w:textAlignment w:val="bottom"/>
        <w:rPr>
          <w:rFonts w:ascii="宋体" w:hAnsi="宋体" w:cs="新宋体"/>
          <w:sz w:val="22"/>
          <w:szCs w:val="22"/>
        </w:rPr>
      </w:pPr>
      <w:r>
        <w:rPr>
          <w:rFonts w:hint="eastAsia" w:ascii="宋体" w:hAnsi="宋体" w:cs="新宋体"/>
          <w:sz w:val="22"/>
          <w:szCs w:val="22"/>
        </w:rPr>
        <w:t>10、</w:t>
      </w:r>
      <w:r>
        <w:rPr>
          <w:rFonts w:ascii="宋体" w:hAnsi="宋体" w:cs="新宋体"/>
          <w:sz w:val="22"/>
          <w:szCs w:val="22"/>
        </w:rPr>
        <w:t>采用最低评标价法的采购项目，提供相同品牌产品的不同投标供应商参加同一合同项下投标的，以其中通过资格审查、符合性审查且报价最低的参加评标；报价相同的，采取随机抽取方式确定，其他投标无效。</w:t>
      </w:r>
    </w:p>
    <w:p>
      <w:pPr>
        <w:widowControl/>
        <w:autoSpaceDE w:val="0"/>
        <w:autoSpaceDN w:val="0"/>
        <w:adjustRightInd w:val="0"/>
        <w:spacing w:line="460" w:lineRule="atLeast"/>
        <w:ind w:firstLine="440" w:firstLineChars="200"/>
        <w:textAlignment w:val="bottom"/>
        <w:rPr>
          <w:rFonts w:ascii="宋体" w:hAnsi="宋体" w:cs="新宋体"/>
          <w:sz w:val="22"/>
          <w:szCs w:val="22"/>
        </w:rPr>
      </w:pPr>
      <w:r>
        <w:rPr>
          <w:rFonts w:ascii="宋体" w:hAnsi="宋体" w:cs="新宋体"/>
          <w:sz w:val="22"/>
          <w:szCs w:val="22"/>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pPr>
        <w:widowControl/>
        <w:autoSpaceDE w:val="0"/>
        <w:autoSpaceDN w:val="0"/>
        <w:adjustRightInd w:val="0"/>
        <w:spacing w:line="460" w:lineRule="atLeast"/>
        <w:ind w:firstLine="440" w:firstLineChars="200"/>
        <w:textAlignment w:val="bottom"/>
        <w:rPr>
          <w:rFonts w:ascii="宋体" w:hAnsi="宋体" w:cs="新宋体"/>
          <w:sz w:val="22"/>
          <w:szCs w:val="22"/>
        </w:rPr>
      </w:pPr>
      <w:r>
        <w:rPr>
          <w:rFonts w:hint="eastAsia" w:ascii="宋体" w:hAnsi="宋体" w:cs="新宋体"/>
          <w:sz w:val="22"/>
          <w:szCs w:val="22"/>
        </w:rPr>
        <w:t>非单一产品采购项目，单项产品投标价格比重占总投标价 50% 及以上的认定为核心产品（有效投标供应商中一家供应商该产品投标价格占总投标价50%级以上即认定），多家投标人提供的核心产品品牌相同的，按前两款规定处理。</w:t>
      </w:r>
    </w:p>
    <w:p>
      <w:pPr>
        <w:widowControl/>
        <w:autoSpaceDE w:val="0"/>
        <w:autoSpaceDN w:val="0"/>
        <w:adjustRightInd w:val="0"/>
        <w:spacing w:line="460" w:lineRule="atLeast"/>
        <w:ind w:firstLine="440" w:firstLineChars="200"/>
        <w:textAlignment w:val="bottom"/>
        <w:rPr>
          <w:rFonts w:ascii="宋体" w:hAnsi="宋体" w:cs="新宋体"/>
          <w:sz w:val="22"/>
          <w:szCs w:val="22"/>
        </w:rPr>
      </w:pPr>
      <w:r>
        <w:rPr>
          <w:rFonts w:hint="eastAsia" w:ascii="宋体" w:hAnsi="宋体" w:cs="新宋体"/>
          <w:sz w:val="22"/>
          <w:szCs w:val="22"/>
        </w:rPr>
        <w:t>11、</w:t>
      </w:r>
      <w:r>
        <w:rPr>
          <w:rFonts w:ascii="宋体" w:hAnsi="宋体" w:cs="新宋体"/>
          <w:sz w:val="22"/>
          <w:szCs w:val="22"/>
        </w:rPr>
        <w:t>执行节</w:t>
      </w:r>
      <w:r>
        <w:rPr>
          <w:rFonts w:hint="eastAsia" w:ascii="宋体" w:hAnsi="宋体" w:cs="新宋体"/>
          <w:sz w:val="22"/>
          <w:szCs w:val="22"/>
        </w:rPr>
        <w:t>能产品政府强制采购和优先采购政策，执行环境标志产品政府优先采购政策；</w:t>
      </w:r>
    </w:p>
    <w:p>
      <w:pPr>
        <w:widowControl/>
        <w:autoSpaceDE w:val="0"/>
        <w:autoSpaceDN w:val="0"/>
        <w:adjustRightInd w:val="0"/>
        <w:spacing w:line="460" w:lineRule="atLeast"/>
        <w:ind w:firstLine="440" w:firstLineChars="200"/>
        <w:textAlignment w:val="bottom"/>
        <w:rPr>
          <w:rFonts w:ascii="宋体" w:hAnsi="宋体" w:cs="新宋体"/>
          <w:sz w:val="22"/>
          <w:szCs w:val="22"/>
        </w:rPr>
      </w:pPr>
      <w:r>
        <w:rPr>
          <w:rFonts w:hint="eastAsia" w:ascii="宋体" w:hAnsi="宋体" w:cs="新宋体"/>
          <w:sz w:val="22"/>
          <w:szCs w:val="22"/>
        </w:rPr>
        <w:t>12、根据浙江省财政厅《关于坚决打赢疫情防控狙击战进一步做好政府采购资金支持企业发展工作的通知》（浙财采监〔</w:t>
      </w:r>
      <w:r>
        <w:rPr>
          <w:rFonts w:ascii="宋体" w:hAnsi="宋体" w:cs="新宋体"/>
          <w:sz w:val="22"/>
          <w:szCs w:val="22"/>
        </w:rPr>
        <w:t>2020〕3号）和</w:t>
      </w:r>
      <w:r>
        <w:rPr>
          <w:rFonts w:hint="eastAsia" w:ascii="宋体" w:hAnsi="宋体" w:cs="新宋体"/>
          <w:sz w:val="22"/>
          <w:szCs w:val="22"/>
        </w:rPr>
        <w:t>永嘉县公安局</w:t>
      </w:r>
      <w:r>
        <w:rPr>
          <w:rFonts w:ascii="宋体" w:hAnsi="宋体" w:cs="新宋体"/>
          <w:sz w:val="22"/>
          <w:szCs w:val="22"/>
        </w:rPr>
        <w:t>《关于做好政府采购相关工作应对新冠肺炎疫情支持中小企业共渡难关的通知》（永财采监〔2020〕47号）文件精神，</w:t>
      </w:r>
      <w:r>
        <w:rPr>
          <w:rFonts w:hint="eastAsia" w:ascii="宋体" w:hAnsi="宋体" w:cs="新宋体"/>
          <w:sz w:val="22"/>
          <w:szCs w:val="22"/>
        </w:rPr>
        <w:t>永嘉县公安局</w:t>
      </w:r>
      <w:r>
        <w:rPr>
          <w:rFonts w:ascii="宋体" w:hAnsi="宋体" w:cs="新宋体"/>
          <w:sz w:val="22"/>
          <w:szCs w:val="22"/>
        </w:rPr>
        <w:t>积极协同永嘉县相关金融机构，加快推广政采贷、履约保函等政府采购金融服务。各中标供应商可直接在政采云上申请政采贷也可以通过线下申请政采贷活动，永嘉县域内金融机构政采贷服务业务介绍详见</w:t>
      </w:r>
      <w:r>
        <w:rPr>
          <w:rFonts w:hint="eastAsia" w:ascii="宋体" w:hAnsi="宋体" w:cs="新宋体"/>
          <w:sz w:val="22"/>
          <w:szCs w:val="22"/>
        </w:rPr>
        <w:t>采购公告</w:t>
      </w:r>
      <w:r>
        <w:rPr>
          <w:rFonts w:ascii="宋体" w:hAnsi="宋体" w:cs="新宋体"/>
          <w:sz w:val="22"/>
          <w:szCs w:val="22"/>
        </w:rPr>
        <w:t>“政采贷融资”，如有需要可直接联系。</w:t>
      </w:r>
    </w:p>
    <w:p>
      <w:pPr>
        <w:widowControl/>
        <w:autoSpaceDE w:val="0"/>
        <w:autoSpaceDN w:val="0"/>
        <w:adjustRightInd w:val="0"/>
        <w:spacing w:line="460" w:lineRule="atLeast"/>
        <w:ind w:firstLine="440" w:firstLineChars="200"/>
        <w:textAlignment w:val="bottom"/>
        <w:rPr>
          <w:rFonts w:ascii="宋体" w:hAnsi="宋体" w:cs="新宋体"/>
          <w:sz w:val="22"/>
          <w:szCs w:val="22"/>
        </w:rPr>
      </w:pPr>
      <w:r>
        <w:rPr>
          <w:rFonts w:hint="eastAsia" w:ascii="宋体" w:hAnsi="宋体" w:cs="新宋体"/>
          <w:sz w:val="22"/>
          <w:szCs w:val="22"/>
        </w:rPr>
        <w:t>13、</w:t>
      </w:r>
      <w:r>
        <w:rPr>
          <w:rFonts w:ascii="宋体" w:hAnsi="宋体" w:cs="新宋体"/>
          <w:sz w:val="22"/>
          <w:szCs w:val="22"/>
        </w:rPr>
        <w:t>本项目对符合财政扶持政策的中小企业（小型、微型）、监狱企业、残疾人福利性单位给予价格优惠扶持，执行节能产品政府强制采购和优先采购政策，执行环境标志产品政府优先采购政策；</w:t>
      </w:r>
    </w:p>
    <w:p>
      <w:pPr>
        <w:widowControl/>
        <w:autoSpaceDE w:val="0"/>
        <w:autoSpaceDN w:val="0"/>
        <w:adjustRightInd w:val="0"/>
        <w:spacing w:line="460" w:lineRule="atLeast"/>
        <w:ind w:firstLine="440" w:firstLineChars="200"/>
        <w:textAlignment w:val="bottom"/>
        <w:rPr>
          <w:rFonts w:ascii="宋体" w:hAnsi="宋体" w:cs="新宋体"/>
          <w:sz w:val="22"/>
          <w:szCs w:val="22"/>
        </w:rPr>
      </w:pPr>
      <w:r>
        <w:rPr>
          <w:rFonts w:hint="eastAsia" w:ascii="宋体" w:hAnsi="宋体" w:cs="新宋体"/>
          <w:sz w:val="22"/>
          <w:szCs w:val="22"/>
        </w:rPr>
        <w:t>14、“政采金融服务：政采云平台目前为供应商提供政采贷、履约保函、预付款保函等相关金融服务，相关操作帮助及情况介绍见以下链接：https://jinrong.zcygov.cn/finance-service/#/help”</w:t>
      </w:r>
      <w:r>
        <w:rPr>
          <w:rFonts w:ascii="宋体" w:hAnsi="宋体" w:cs="新宋体"/>
          <w:sz w:val="22"/>
          <w:szCs w:val="22"/>
        </w:rPr>
        <w:t>。</w:t>
      </w:r>
    </w:p>
    <w:p>
      <w:pPr>
        <w:widowControl/>
        <w:autoSpaceDE w:val="0"/>
        <w:autoSpaceDN w:val="0"/>
        <w:adjustRightInd w:val="0"/>
        <w:spacing w:line="460" w:lineRule="atLeast"/>
        <w:ind w:firstLine="440" w:firstLineChars="200"/>
        <w:textAlignment w:val="bottom"/>
        <w:rPr>
          <w:rFonts w:ascii="宋体" w:hAnsi="宋体" w:cs="新宋体"/>
          <w:sz w:val="22"/>
          <w:szCs w:val="22"/>
        </w:rPr>
      </w:pPr>
      <w:r>
        <w:rPr>
          <w:rFonts w:hint="eastAsia" w:ascii="宋体" w:hAnsi="宋体" w:cs="新宋体"/>
          <w:sz w:val="22"/>
          <w:szCs w:val="22"/>
        </w:rPr>
        <w:t>15、</w:t>
      </w:r>
      <w:r>
        <w:rPr>
          <w:rFonts w:hint="eastAsia" w:ascii="宋体" w:hAnsi="宋体" w:cs="宋体"/>
          <w:sz w:val="22"/>
          <w:szCs w:val="22"/>
        </w:rPr>
        <w:t>投标人代表指全权代表投标人参加投标活动并签署投标文件的人。如果投标人代表是法定代表人的，仅须提供身份证扫描件；如果投标人代表不是法定代表人，须持有《法定代表人授权书》。</w:t>
      </w:r>
    </w:p>
    <w:p>
      <w:pPr>
        <w:widowControl/>
        <w:autoSpaceDE w:val="0"/>
        <w:autoSpaceDN w:val="0"/>
        <w:adjustRightInd w:val="0"/>
        <w:spacing w:line="460" w:lineRule="atLeast"/>
        <w:ind w:firstLine="440" w:firstLineChars="200"/>
        <w:textAlignment w:val="bottom"/>
        <w:rPr>
          <w:rFonts w:ascii="宋体" w:hAnsi="宋体" w:cs="新宋体"/>
          <w:sz w:val="22"/>
          <w:szCs w:val="22"/>
        </w:rPr>
      </w:pPr>
      <w:r>
        <w:rPr>
          <w:rFonts w:hint="eastAsia" w:ascii="宋体" w:hAnsi="宋体" w:cs="新宋体"/>
          <w:sz w:val="22"/>
          <w:szCs w:val="22"/>
        </w:rPr>
        <w:t>16、中标供应商必须是已申请加入浙江省政府采购供应商库的，未申请加入的请到浙江省政府采购网申请加入：</w:t>
      </w:r>
      <w:r>
        <w:fldChar w:fldCharType="begin"/>
      </w:r>
      <w:r>
        <w:instrText xml:space="preserve"> HYPERLINK "http://www.zjzfcg.gov.cn/new/zytz/257927.html" </w:instrText>
      </w:r>
      <w:r>
        <w:fldChar w:fldCharType="separate"/>
      </w:r>
      <w:r>
        <w:rPr>
          <w:rFonts w:hint="eastAsia" w:ascii="宋体" w:hAnsi="宋体" w:cs="新宋体"/>
          <w:sz w:val="22"/>
          <w:szCs w:val="22"/>
        </w:rPr>
        <w:t>http://www.zjzfcg.gov.cn/new/zytz/257927.html</w:t>
      </w:r>
      <w:r>
        <w:rPr>
          <w:rFonts w:hint="eastAsia" w:ascii="宋体" w:hAnsi="宋体" w:cs="新宋体"/>
          <w:sz w:val="22"/>
          <w:szCs w:val="22"/>
        </w:rPr>
        <w:fldChar w:fldCharType="end"/>
      </w:r>
      <w:r>
        <w:rPr>
          <w:rFonts w:hint="eastAsia" w:ascii="宋体" w:hAnsi="宋体" w:cs="新宋体"/>
          <w:sz w:val="22"/>
          <w:szCs w:val="22"/>
        </w:rPr>
        <w:t xml:space="preserve"> 。</w:t>
      </w:r>
    </w:p>
    <w:p>
      <w:pPr>
        <w:autoSpaceDE w:val="0"/>
        <w:autoSpaceDN w:val="0"/>
        <w:adjustRightInd w:val="0"/>
        <w:snapToGrid w:val="0"/>
        <w:spacing w:line="440" w:lineRule="exact"/>
        <w:ind w:firstLine="331" w:firstLineChars="150"/>
        <w:textAlignment w:val="bottom"/>
        <w:outlineLvl w:val="1"/>
        <w:rPr>
          <w:rFonts w:ascii="宋体" w:hAnsi="宋体" w:cs="Arial"/>
          <w:b/>
          <w:bCs/>
          <w:sz w:val="22"/>
          <w:szCs w:val="22"/>
        </w:rPr>
      </w:pPr>
      <w:bookmarkStart w:id="14" w:name="_Toc461563853"/>
      <w:bookmarkStart w:id="15" w:name="_Toc97033054"/>
      <w:r>
        <w:rPr>
          <w:rFonts w:hint="eastAsia" w:ascii="宋体" w:hAnsi="宋体" w:cs="Arial"/>
          <w:b/>
          <w:bCs/>
          <w:sz w:val="22"/>
          <w:szCs w:val="22"/>
        </w:rPr>
        <w:t>二、供应商资格条件</w:t>
      </w:r>
      <w:bookmarkEnd w:id="14"/>
      <w:bookmarkEnd w:id="15"/>
    </w:p>
    <w:p>
      <w:pPr>
        <w:autoSpaceDE w:val="0"/>
        <w:autoSpaceDN w:val="0"/>
        <w:adjustRightInd w:val="0"/>
        <w:spacing w:line="450" w:lineRule="exact"/>
        <w:ind w:firstLine="440" w:firstLineChars="200"/>
        <w:rPr>
          <w:rFonts w:ascii="宋体" w:hAnsi="宋体" w:cs="新宋体"/>
          <w:sz w:val="22"/>
          <w:szCs w:val="22"/>
          <w:lang w:val="zh-CN"/>
        </w:rPr>
      </w:pPr>
      <w:r>
        <w:rPr>
          <w:rFonts w:hint="eastAsia" w:ascii="宋体" w:hAnsi="宋体" w:cs="新宋体"/>
          <w:sz w:val="22"/>
          <w:szCs w:val="22"/>
          <w:lang w:val="zh-CN"/>
        </w:rPr>
        <w:t>按招标公告要求。</w:t>
      </w:r>
    </w:p>
    <w:p>
      <w:pPr>
        <w:autoSpaceDE w:val="0"/>
        <w:autoSpaceDN w:val="0"/>
        <w:adjustRightInd w:val="0"/>
        <w:snapToGrid w:val="0"/>
        <w:spacing w:line="440" w:lineRule="exact"/>
        <w:ind w:firstLine="331" w:firstLineChars="150"/>
        <w:textAlignment w:val="bottom"/>
        <w:outlineLvl w:val="1"/>
        <w:rPr>
          <w:rFonts w:ascii="宋体" w:hAnsi="宋体" w:cs="Arial"/>
          <w:b/>
          <w:bCs/>
          <w:sz w:val="22"/>
          <w:szCs w:val="22"/>
        </w:rPr>
      </w:pPr>
      <w:bookmarkStart w:id="16" w:name="_Toc97033055"/>
      <w:bookmarkStart w:id="17" w:name="_Toc461563854"/>
      <w:r>
        <w:rPr>
          <w:rFonts w:hint="eastAsia" w:ascii="宋体" w:hAnsi="宋体" w:cs="Arial"/>
          <w:b/>
          <w:bCs/>
          <w:sz w:val="22"/>
          <w:szCs w:val="22"/>
        </w:rPr>
        <w:t>三、招标文件</w:t>
      </w:r>
      <w:bookmarkEnd w:id="16"/>
      <w:bookmarkEnd w:id="17"/>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1、招标文件</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1.1、招标文件约束力</w:t>
      </w:r>
    </w:p>
    <w:p>
      <w:pPr>
        <w:autoSpaceDE w:val="0"/>
        <w:autoSpaceDN w:val="0"/>
        <w:adjustRightInd w:val="0"/>
        <w:spacing w:line="460" w:lineRule="atLeast"/>
        <w:ind w:firstLine="440" w:firstLineChars="200"/>
        <w:rPr>
          <w:rFonts w:ascii="宋体" w:hAnsi="宋体" w:cs="新宋体"/>
          <w:sz w:val="22"/>
          <w:szCs w:val="22"/>
          <w:u w:val="single"/>
        </w:rPr>
      </w:pPr>
      <w:r>
        <w:rPr>
          <w:rFonts w:hint="eastAsia" w:ascii="宋体" w:hAnsi="宋体" w:cs="新宋体"/>
          <w:sz w:val="22"/>
          <w:szCs w:val="22"/>
        </w:rPr>
        <w:t>▲</w:t>
      </w:r>
      <w:r>
        <w:rPr>
          <w:rFonts w:hint="eastAsia" w:ascii="宋体" w:hAnsi="宋体" w:cs="新宋体"/>
          <w:b/>
          <w:sz w:val="22"/>
          <w:szCs w:val="22"/>
          <w:u w:val="single"/>
        </w:rPr>
        <w:t>供应商一旦获取了本招标文件并参加投标，即被认为接受了本招标文件中所有条款和规定。</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1.2、招标文件的组成</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招标文件由招标文件总目录所列内容及补充资料等组成。</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2、招标文件的澄清</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供应商对招标文件如有质疑或需要澄清，可用书面形式（包括信函、传真，下同）或政采云系统通知采购代理机构，但通知不得迟于规定的质疑时间前使采购代理机构收到，采购代理机构将用书面形式予以答复。如有必要，可将不说明来源的答复书面发给各有关供应商并予以公告。</w:t>
      </w:r>
      <w:r>
        <w:rPr>
          <w:rFonts w:hint="eastAsia" w:ascii="宋体" w:hAnsi="宋体" w:cs="新宋体"/>
          <w:b/>
          <w:sz w:val="22"/>
          <w:szCs w:val="22"/>
        </w:rPr>
        <w:t>任何口头答复均不作为投标依据。</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3、招标文件的修改</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3.1、在投标截止时间前，采购人有权澄清或者修改招标文件，并以书面形式（补充、更正文件）通知供应商。补充、更正文件作为招标文件的组成部分，对所有投标供应商均有约束力。</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3.2、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3.3、补充、更正文件在浙江政府采购网（http://www.zjzfcg.gov.cn/）予以公告公布。</w:t>
      </w:r>
      <w:bookmarkEnd w:id="1"/>
      <w:r>
        <w:rPr>
          <w:rFonts w:hint="eastAsia" w:ascii="宋体" w:hAnsi="宋体"/>
          <w:b/>
          <w:bCs/>
          <w:sz w:val="22"/>
          <w:szCs w:val="22"/>
        </w:rPr>
        <w:t>供应商须在开标前一日自行查看是否有补充更正文件，并按补充更正文件要求响应，否则责任自负。</w:t>
      </w:r>
    </w:p>
    <w:p>
      <w:pPr>
        <w:autoSpaceDE w:val="0"/>
        <w:autoSpaceDN w:val="0"/>
        <w:adjustRightInd w:val="0"/>
        <w:snapToGrid w:val="0"/>
        <w:spacing w:line="440" w:lineRule="exact"/>
        <w:ind w:firstLine="331" w:firstLineChars="150"/>
        <w:textAlignment w:val="bottom"/>
        <w:outlineLvl w:val="1"/>
        <w:rPr>
          <w:rFonts w:ascii="宋体" w:hAnsi="宋体" w:cs="Arial"/>
          <w:b/>
          <w:bCs/>
          <w:sz w:val="22"/>
          <w:szCs w:val="22"/>
        </w:rPr>
      </w:pPr>
      <w:bookmarkStart w:id="18" w:name="_Toc496116252"/>
      <w:bookmarkStart w:id="19" w:name="_Toc97033056"/>
      <w:r>
        <w:rPr>
          <w:rFonts w:hint="eastAsia" w:ascii="宋体" w:hAnsi="宋体" w:cs="Arial"/>
          <w:b/>
          <w:bCs/>
          <w:sz w:val="22"/>
          <w:szCs w:val="22"/>
        </w:rPr>
        <w:t>四、投标文件</w:t>
      </w:r>
      <w:bookmarkEnd w:id="18"/>
      <w:bookmarkEnd w:id="19"/>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1、投标文件</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1.1供应商提交的投标文件以及供应商与采购人就有关投标的所有来往函电均应使用中文。供应商可以提交用其它语言印制的资料，但必须译成中文，在有差异和矛盾时以中文为准。</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1.2供应商提交的投标文件报价均采用人民币报价。</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1.3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1.4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1.5供应商应仔细阅读招标文件中的所有内容，按照招标文件要求，详细编制投标文件，所有文件资料必须是针对本次投标。不按招标文件的要求提供的投标文件可能导致被拒绝。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pacing w:line="460" w:lineRule="atLeast"/>
        <w:ind w:firstLine="440" w:firstLineChars="200"/>
        <w:rPr>
          <w:rFonts w:ascii="宋体" w:hAnsi="宋体" w:cs="新宋体"/>
          <w:sz w:val="22"/>
          <w:szCs w:val="22"/>
          <w:lang w:val="zh-CN"/>
        </w:rPr>
      </w:pPr>
      <w:r>
        <w:rPr>
          <w:rFonts w:hint="eastAsia" w:ascii="宋体" w:hAnsi="宋体" w:cs="新宋体"/>
          <w:sz w:val="22"/>
          <w:szCs w:val="22"/>
          <w:lang w:val="zh-CN"/>
        </w:rPr>
        <w:t>2、投标文件的组成</w:t>
      </w:r>
    </w:p>
    <w:p>
      <w:pPr>
        <w:autoSpaceDE w:val="0"/>
        <w:autoSpaceDN w:val="0"/>
        <w:adjustRightInd w:val="0"/>
        <w:spacing w:line="460" w:lineRule="atLeast"/>
        <w:ind w:firstLine="442" w:firstLineChars="200"/>
        <w:rPr>
          <w:rFonts w:ascii="宋体" w:hAnsi="宋体" w:cs="新宋体"/>
          <w:b/>
          <w:sz w:val="22"/>
          <w:szCs w:val="22"/>
          <w:lang w:val="zh-CN"/>
        </w:rPr>
      </w:pPr>
      <w:r>
        <w:rPr>
          <w:rFonts w:hint="eastAsia" w:ascii="宋体" w:hAnsi="宋体" w:cs="新宋体"/>
          <w:b/>
          <w:bCs/>
          <w:sz w:val="22"/>
          <w:szCs w:val="22"/>
          <w:u w:val="single"/>
        </w:rPr>
        <w:t>投标文件由资格证明文件、报价文件部分和技术资信部分三部分组成。</w:t>
      </w:r>
    </w:p>
    <w:p>
      <w:pPr>
        <w:autoSpaceDE w:val="0"/>
        <w:autoSpaceDN w:val="0"/>
        <w:adjustRightInd w:val="0"/>
        <w:spacing w:line="450" w:lineRule="atLeast"/>
        <w:ind w:firstLine="442" w:firstLineChars="200"/>
        <w:rPr>
          <w:rFonts w:ascii="宋体" w:hAnsi="宋体" w:cs="仿宋_GB2312"/>
          <w:b/>
          <w:sz w:val="22"/>
          <w:szCs w:val="22"/>
          <w:u w:val="single"/>
          <w:lang w:val="zh-CN"/>
        </w:rPr>
      </w:pPr>
      <w:bookmarkStart w:id="20" w:name="_Toc132122412"/>
      <w:bookmarkStart w:id="21" w:name="_Toc132122115"/>
      <w:r>
        <w:rPr>
          <w:rFonts w:hint="eastAsia" w:ascii="宋体" w:hAnsi="宋体" w:cs="仿宋_GB2312"/>
          <w:b/>
          <w:sz w:val="22"/>
          <w:szCs w:val="22"/>
          <w:u w:val="single"/>
          <w:lang w:val="zh-CN"/>
        </w:rPr>
        <w:t>2.1、资格证明文件部分组成</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8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430" w:lineRule="atLeast"/>
              <w:jc w:val="center"/>
              <w:rPr>
                <w:rFonts w:ascii="宋体" w:hAnsi="宋体"/>
                <w:b/>
                <w:bCs/>
                <w:sz w:val="22"/>
                <w:lang w:val="zh-CN"/>
              </w:rPr>
            </w:pPr>
            <w:r>
              <w:rPr>
                <w:rFonts w:hint="eastAsia" w:ascii="宋体" w:hAnsi="宋体"/>
                <w:sz w:val="22"/>
                <w:szCs w:val="22"/>
                <w:lang w:val="zh-CN"/>
              </w:rPr>
              <w:t>序号</w:t>
            </w:r>
          </w:p>
        </w:tc>
        <w:tc>
          <w:tcPr>
            <w:tcW w:w="80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line="430" w:lineRule="atLeast"/>
              <w:jc w:val="center"/>
              <w:rPr>
                <w:rFonts w:ascii="宋体" w:hAnsi="宋体"/>
                <w:b/>
                <w:bCs/>
                <w:sz w:val="22"/>
                <w:lang w:val="zh-CN"/>
              </w:rPr>
            </w:pPr>
            <w:r>
              <w:rPr>
                <w:rFonts w:hint="eastAsia" w:ascii="宋体" w:hAnsi="宋体"/>
                <w:sz w:val="22"/>
                <w:szCs w:val="22"/>
                <w:lang w:val="zh-CN"/>
              </w:rPr>
              <w:t>内容</w:t>
            </w:r>
          </w:p>
        </w:tc>
        <w:tc>
          <w:tcPr>
            <w:tcW w:w="109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line="430" w:lineRule="atLeast"/>
              <w:jc w:val="center"/>
              <w:rPr>
                <w:rFonts w:ascii="宋体" w:hAnsi="宋体"/>
                <w:sz w:val="22"/>
                <w:szCs w:val="22"/>
                <w:lang w:val="zh-CN"/>
              </w:rPr>
            </w:pPr>
            <w:r>
              <w:rPr>
                <w:rFonts w:hint="eastAsia" w:ascii="宋体" w:hAnsi="宋体"/>
                <w:sz w:val="22"/>
                <w:szCs w:val="22"/>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4140"/>
              </w:tabs>
              <w:adjustRightInd w:val="0"/>
              <w:snapToGrid w:val="0"/>
              <w:spacing w:line="320" w:lineRule="atLeast"/>
              <w:jc w:val="center"/>
              <w:rPr>
                <w:rFonts w:ascii="宋体" w:hAnsi="宋体"/>
                <w:b/>
                <w:bCs/>
                <w:sz w:val="22"/>
                <w:lang w:val="zh-CN"/>
              </w:rPr>
            </w:pPr>
            <w:r>
              <w:rPr>
                <w:rFonts w:hint="eastAsia" w:ascii="宋体" w:hAnsi="宋体"/>
                <w:sz w:val="22"/>
                <w:szCs w:val="22"/>
                <w:lang w:val="zh-CN"/>
              </w:rPr>
              <w:t>1</w:t>
            </w:r>
          </w:p>
        </w:tc>
        <w:tc>
          <w:tcPr>
            <w:tcW w:w="8080" w:type="dxa"/>
            <w:tcBorders>
              <w:top w:val="single" w:color="auto" w:sz="4" w:space="0"/>
              <w:left w:val="single" w:color="auto" w:sz="4" w:space="0"/>
              <w:bottom w:val="single" w:color="auto" w:sz="4" w:space="0"/>
              <w:right w:val="single" w:color="auto" w:sz="4" w:space="0"/>
            </w:tcBorders>
            <w:noWrap w:val="0"/>
            <w:vAlign w:val="top"/>
          </w:tcPr>
          <w:p>
            <w:pPr>
              <w:tabs>
                <w:tab w:val="left" w:pos="4140"/>
              </w:tabs>
              <w:adjustRightInd w:val="0"/>
              <w:snapToGrid w:val="0"/>
              <w:spacing w:line="320" w:lineRule="atLeast"/>
              <w:rPr>
                <w:rFonts w:ascii="宋体" w:hAnsi="宋体"/>
                <w:b/>
                <w:bCs/>
                <w:sz w:val="22"/>
                <w:lang w:val="zh-CN"/>
              </w:rPr>
            </w:pPr>
            <w:r>
              <w:rPr>
                <w:rFonts w:hint="eastAsia" w:ascii="宋体" w:hAnsi="宋体"/>
                <w:sz w:val="22"/>
                <w:szCs w:val="22"/>
              </w:rPr>
              <w:t>投标人的营业执照（或事业法人登记证书或其它工商等登记证明材料）、税务登记证（如为多证合一仅需提供营业执照（或事业法人登记证书或其它工商等登记证明材料），若为事业单位请提供供应商不属于公益一类事业单位承诺函，扫描件加盖公章）。</w:t>
            </w:r>
          </w:p>
        </w:tc>
        <w:tc>
          <w:tcPr>
            <w:tcW w:w="1099" w:type="dxa"/>
            <w:tcBorders>
              <w:top w:val="single" w:color="auto" w:sz="4" w:space="0"/>
              <w:left w:val="single" w:color="auto" w:sz="4" w:space="0"/>
              <w:bottom w:val="single" w:color="auto" w:sz="4" w:space="0"/>
              <w:right w:val="single" w:color="auto" w:sz="4" w:space="0"/>
            </w:tcBorders>
            <w:noWrap w:val="0"/>
            <w:vAlign w:val="top"/>
          </w:tcPr>
          <w:p>
            <w:pPr>
              <w:tabs>
                <w:tab w:val="left" w:pos="4140"/>
              </w:tabs>
              <w:adjustRightInd w:val="0"/>
              <w:snapToGrid w:val="0"/>
              <w:spacing w:line="320" w:lineRule="atLeast"/>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4140"/>
              </w:tabs>
              <w:adjustRightInd w:val="0"/>
              <w:snapToGrid w:val="0"/>
              <w:spacing w:line="320" w:lineRule="atLeast"/>
              <w:jc w:val="center"/>
              <w:rPr>
                <w:rFonts w:ascii="宋体" w:hAnsi="宋体"/>
                <w:sz w:val="22"/>
                <w:szCs w:val="22"/>
                <w:lang w:val="zh-CN"/>
              </w:rPr>
            </w:pPr>
            <w:r>
              <w:rPr>
                <w:rFonts w:hint="eastAsia" w:ascii="宋体" w:hAnsi="宋体"/>
                <w:sz w:val="22"/>
                <w:szCs w:val="22"/>
                <w:lang w:val="zh-CN"/>
              </w:rPr>
              <w:t>2</w:t>
            </w:r>
          </w:p>
        </w:tc>
        <w:tc>
          <w:tcPr>
            <w:tcW w:w="8080" w:type="dxa"/>
            <w:tcBorders>
              <w:top w:val="single" w:color="auto" w:sz="4" w:space="0"/>
              <w:left w:val="single" w:color="auto" w:sz="4" w:space="0"/>
              <w:bottom w:val="single" w:color="auto" w:sz="4" w:space="0"/>
              <w:right w:val="single" w:color="auto" w:sz="4" w:space="0"/>
            </w:tcBorders>
            <w:noWrap w:val="0"/>
            <w:vAlign w:val="top"/>
          </w:tcPr>
          <w:p>
            <w:pPr>
              <w:tabs>
                <w:tab w:val="left" w:pos="4140"/>
              </w:tabs>
              <w:adjustRightInd w:val="0"/>
              <w:snapToGrid w:val="0"/>
              <w:spacing w:line="320" w:lineRule="atLeast"/>
              <w:rPr>
                <w:rFonts w:ascii="宋体" w:hAnsi="宋体"/>
                <w:b/>
                <w:bCs/>
                <w:sz w:val="22"/>
              </w:rPr>
            </w:pPr>
            <w:bookmarkStart w:id="22" w:name="_Toc27009"/>
            <w:bookmarkStart w:id="23" w:name="_Toc15000"/>
            <w:bookmarkStart w:id="24" w:name="_Toc26946"/>
            <w:bookmarkStart w:id="25" w:name="_Toc68188416"/>
            <w:bookmarkStart w:id="26" w:name="_Toc18070"/>
            <w:bookmarkStart w:id="27" w:name="_Toc28986"/>
            <w:r>
              <w:rPr>
                <w:rFonts w:hint="eastAsia" w:ascii="宋体" w:hAnsi="宋体"/>
                <w:sz w:val="22"/>
              </w:rPr>
              <w:t>投标供应商</w:t>
            </w:r>
            <w:r>
              <w:rPr>
                <w:rFonts w:hint="eastAsia" w:ascii="宋体" w:hAnsi="宋体"/>
                <w:sz w:val="22"/>
                <w:lang w:val="zh-CN"/>
              </w:rPr>
              <w:t>具有财务会计制度、设备和专业技术能力、</w:t>
            </w:r>
            <w:r>
              <w:rPr>
                <w:rFonts w:hint="eastAsia" w:ascii="宋体" w:hAnsi="宋体"/>
                <w:sz w:val="22"/>
              </w:rPr>
              <w:t>依法</w:t>
            </w:r>
            <w:r>
              <w:rPr>
                <w:rFonts w:hint="eastAsia" w:ascii="宋体" w:hAnsi="宋体"/>
                <w:sz w:val="22"/>
                <w:lang w:val="zh-CN"/>
              </w:rPr>
              <w:t>缴纳税收和社会保障资金</w:t>
            </w:r>
            <w:r>
              <w:rPr>
                <w:rFonts w:hint="eastAsia" w:ascii="宋体" w:hAnsi="宋体"/>
                <w:sz w:val="22"/>
              </w:rPr>
              <w:t>记录</w:t>
            </w:r>
            <w:r>
              <w:rPr>
                <w:rFonts w:hint="eastAsia" w:ascii="宋体" w:hAnsi="宋体"/>
                <w:sz w:val="22"/>
                <w:lang w:val="zh-CN"/>
              </w:rPr>
              <w:t>、</w:t>
            </w:r>
            <w:r>
              <w:rPr>
                <w:rFonts w:hint="eastAsia" w:ascii="宋体" w:hAnsi="宋体"/>
                <w:sz w:val="22"/>
              </w:rPr>
              <w:t>无</w:t>
            </w:r>
            <w:r>
              <w:rPr>
                <w:rFonts w:hint="eastAsia" w:ascii="宋体" w:hAnsi="宋体"/>
                <w:sz w:val="22"/>
                <w:lang w:val="zh-CN"/>
              </w:rPr>
              <w:t>重大违法记录的承诺函</w:t>
            </w:r>
            <w:bookmarkEnd w:id="22"/>
            <w:bookmarkEnd w:id="23"/>
            <w:bookmarkEnd w:id="24"/>
            <w:bookmarkEnd w:id="25"/>
            <w:bookmarkEnd w:id="26"/>
            <w:bookmarkEnd w:id="27"/>
          </w:p>
        </w:tc>
        <w:tc>
          <w:tcPr>
            <w:tcW w:w="1099" w:type="dxa"/>
            <w:tcBorders>
              <w:top w:val="single" w:color="auto" w:sz="4" w:space="0"/>
              <w:left w:val="single" w:color="auto" w:sz="4" w:space="0"/>
              <w:bottom w:val="single" w:color="auto" w:sz="4" w:space="0"/>
              <w:right w:val="single" w:color="auto" w:sz="4" w:space="0"/>
            </w:tcBorders>
            <w:noWrap w:val="0"/>
            <w:vAlign w:val="top"/>
          </w:tcPr>
          <w:p>
            <w:pPr>
              <w:tabs>
                <w:tab w:val="left" w:pos="4140"/>
              </w:tabs>
              <w:adjustRightInd w:val="0"/>
              <w:snapToGrid w:val="0"/>
              <w:spacing w:line="320" w:lineRule="atLeast"/>
              <w:jc w:val="center"/>
              <w:rPr>
                <w:rFonts w:ascii="宋体" w:hAnsi="宋体"/>
                <w:sz w:val="22"/>
                <w:szCs w:val="22"/>
              </w:rPr>
            </w:pPr>
            <w:r>
              <w:rPr>
                <w:rFonts w:hint="eastAsia" w:ascii="宋体" w:hAnsi="宋体"/>
                <w:sz w:val="22"/>
                <w:szCs w:val="22"/>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4140"/>
              </w:tabs>
              <w:adjustRightInd w:val="0"/>
              <w:snapToGrid w:val="0"/>
              <w:spacing w:line="320" w:lineRule="atLeast"/>
              <w:jc w:val="center"/>
              <w:rPr>
                <w:rFonts w:ascii="宋体" w:hAnsi="宋体"/>
                <w:b/>
                <w:bCs/>
                <w:sz w:val="22"/>
              </w:rPr>
            </w:pPr>
            <w:r>
              <w:rPr>
                <w:rFonts w:hint="eastAsia" w:ascii="宋体" w:hAnsi="宋体"/>
                <w:sz w:val="22"/>
                <w:szCs w:val="22"/>
              </w:rPr>
              <w:t>3</w:t>
            </w:r>
          </w:p>
        </w:tc>
        <w:tc>
          <w:tcPr>
            <w:tcW w:w="8080"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b/>
                <w:bCs/>
                <w:sz w:val="22"/>
              </w:rPr>
            </w:pPr>
            <w:r>
              <w:rPr>
                <w:rFonts w:hint="eastAsia" w:ascii="宋体" w:hAnsi="宋体"/>
                <w:sz w:val="22"/>
                <w:szCs w:val="22"/>
              </w:rPr>
              <w:t>投标供应商特定资格条件证明：无</w:t>
            </w:r>
          </w:p>
        </w:tc>
        <w:tc>
          <w:tcPr>
            <w:tcW w:w="1099" w:type="dxa"/>
            <w:tcBorders>
              <w:top w:val="single" w:color="auto" w:sz="4" w:space="0"/>
              <w:left w:val="single" w:color="auto" w:sz="4" w:space="0"/>
              <w:bottom w:val="single" w:color="auto" w:sz="4" w:space="0"/>
              <w:right w:val="single" w:color="auto" w:sz="4" w:space="0"/>
            </w:tcBorders>
            <w:noWrap w:val="0"/>
            <w:vAlign w:val="top"/>
          </w:tcPr>
          <w:p>
            <w:pPr>
              <w:tabs>
                <w:tab w:val="left" w:pos="4140"/>
              </w:tabs>
              <w:adjustRightInd w:val="0"/>
              <w:snapToGrid w:val="0"/>
              <w:spacing w:line="320" w:lineRule="atLeas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4140"/>
              </w:tabs>
              <w:adjustRightInd w:val="0"/>
              <w:snapToGrid w:val="0"/>
              <w:spacing w:line="320" w:lineRule="atLeast"/>
              <w:jc w:val="center"/>
              <w:rPr>
                <w:rFonts w:hint="eastAsia" w:ascii="宋体" w:hAnsi="宋体"/>
                <w:b/>
                <w:bCs/>
                <w:sz w:val="22"/>
              </w:rPr>
            </w:pPr>
            <w:r>
              <w:rPr>
                <w:rFonts w:hint="eastAsia" w:ascii="宋体" w:hAnsi="宋体"/>
                <w:sz w:val="22"/>
                <w:szCs w:val="22"/>
              </w:rPr>
              <w:t>4</w:t>
            </w:r>
          </w:p>
        </w:tc>
        <w:tc>
          <w:tcPr>
            <w:tcW w:w="8080" w:type="dxa"/>
            <w:tcBorders>
              <w:top w:val="single" w:color="auto" w:sz="4" w:space="0"/>
              <w:left w:val="single" w:color="auto" w:sz="4" w:space="0"/>
              <w:bottom w:val="single" w:color="auto" w:sz="4" w:space="0"/>
              <w:right w:val="single" w:color="auto" w:sz="4" w:space="0"/>
            </w:tcBorders>
            <w:noWrap w:val="0"/>
            <w:vAlign w:val="top"/>
          </w:tcPr>
          <w:p>
            <w:pPr>
              <w:tabs>
                <w:tab w:val="left" w:pos="4140"/>
              </w:tabs>
              <w:adjustRightInd w:val="0"/>
              <w:snapToGrid w:val="0"/>
              <w:spacing w:line="320" w:lineRule="atLeast"/>
              <w:rPr>
                <w:rFonts w:ascii="宋体" w:hAnsi="宋体"/>
                <w:b/>
                <w:bCs/>
                <w:sz w:val="22"/>
              </w:rPr>
            </w:pPr>
            <w:r>
              <w:rPr>
                <w:rFonts w:hint="eastAsia" w:ascii="宋体" w:hAnsi="宋体"/>
                <w:sz w:val="22"/>
                <w:szCs w:val="22"/>
              </w:rPr>
              <w:t>投标供应商“信用中国”(www.creditchina.gov.cn)；“中国政府采购网”（www.ccgp.gov.cn）信用记录查询网页截图（采购公告发布之日至响应文件递交截止时间前）</w:t>
            </w:r>
          </w:p>
        </w:tc>
        <w:tc>
          <w:tcPr>
            <w:tcW w:w="1099" w:type="dxa"/>
            <w:tcBorders>
              <w:top w:val="single" w:color="auto" w:sz="4" w:space="0"/>
              <w:left w:val="single" w:color="auto" w:sz="4" w:space="0"/>
              <w:bottom w:val="single" w:color="auto" w:sz="4" w:space="0"/>
              <w:right w:val="single" w:color="auto" w:sz="4" w:space="0"/>
            </w:tcBorders>
            <w:noWrap w:val="0"/>
            <w:vAlign w:val="top"/>
          </w:tcPr>
          <w:p>
            <w:pPr>
              <w:tabs>
                <w:tab w:val="left" w:pos="4140"/>
              </w:tabs>
              <w:adjustRightInd w:val="0"/>
              <w:snapToGrid w:val="0"/>
              <w:spacing w:line="320" w:lineRule="atLeas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4140"/>
              </w:tabs>
              <w:adjustRightInd w:val="0"/>
              <w:snapToGrid w:val="0"/>
              <w:spacing w:line="320" w:lineRule="atLeast"/>
              <w:jc w:val="center"/>
              <w:rPr>
                <w:rFonts w:hint="eastAsia" w:ascii="宋体" w:hAnsi="宋体"/>
                <w:b/>
                <w:bCs/>
                <w:sz w:val="22"/>
              </w:rPr>
            </w:pPr>
            <w:r>
              <w:rPr>
                <w:rFonts w:hint="eastAsia" w:ascii="宋体" w:hAnsi="宋体"/>
                <w:sz w:val="22"/>
                <w:szCs w:val="22"/>
              </w:rPr>
              <w:t>5</w:t>
            </w:r>
          </w:p>
        </w:tc>
        <w:tc>
          <w:tcPr>
            <w:tcW w:w="8080" w:type="dxa"/>
            <w:tcBorders>
              <w:top w:val="single" w:color="auto" w:sz="4" w:space="0"/>
              <w:left w:val="single" w:color="auto" w:sz="4" w:space="0"/>
              <w:bottom w:val="single" w:color="auto" w:sz="4" w:space="0"/>
              <w:right w:val="single" w:color="auto" w:sz="4" w:space="0"/>
            </w:tcBorders>
            <w:noWrap w:val="0"/>
            <w:vAlign w:val="top"/>
          </w:tcPr>
          <w:p>
            <w:pPr>
              <w:tabs>
                <w:tab w:val="left" w:pos="4140"/>
              </w:tabs>
              <w:adjustRightInd w:val="0"/>
              <w:snapToGrid w:val="0"/>
              <w:spacing w:line="320" w:lineRule="atLeast"/>
              <w:rPr>
                <w:rFonts w:ascii="宋体" w:hAnsi="宋体"/>
                <w:b/>
                <w:bCs/>
                <w:sz w:val="22"/>
              </w:rPr>
            </w:pPr>
            <w:r>
              <w:rPr>
                <w:rFonts w:hint="eastAsia" w:ascii="宋体" w:hAnsi="宋体"/>
                <w:sz w:val="22"/>
                <w:szCs w:val="22"/>
              </w:rPr>
              <w:t>与参加本次项目同一合同项下政府采购活动的其他供应商不存在单位负责人为同一人或者直接控股、管理关系的承诺函</w:t>
            </w:r>
          </w:p>
        </w:tc>
        <w:tc>
          <w:tcPr>
            <w:tcW w:w="1099" w:type="dxa"/>
            <w:tcBorders>
              <w:top w:val="single" w:color="auto" w:sz="4" w:space="0"/>
              <w:left w:val="single" w:color="auto" w:sz="4" w:space="0"/>
              <w:bottom w:val="single" w:color="auto" w:sz="4" w:space="0"/>
              <w:right w:val="single" w:color="auto" w:sz="4" w:space="0"/>
            </w:tcBorders>
            <w:noWrap w:val="0"/>
            <w:vAlign w:val="top"/>
          </w:tcPr>
          <w:p>
            <w:pPr>
              <w:tabs>
                <w:tab w:val="left" w:pos="4140"/>
              </w:tabs>
              <w:adjustRightInd w:val="0"/>
              <w:snapToGrid w:val="0"/>
              <w:spacing w:line="320" w:lineRule="atLeast"/>
              <w:jc w:val="center"/>
              <w:rPr>
                <w:rFonts w:hint="eastAsia" w:ascii="宋体" w:hAnsi="宋体"/>
                <w:sz w:val="22"/>
                <w:szCs w:val="22"/>
              </w:rPr>
            </w:pPr>
            <w:r>
              <w:rPr>
                <w:rFonts w:hint="eastAsia" w:ascii="宋体" w:hAnsi="宋体"/>
                <w:sz w:val="22"/>
                <w:szCs w:val="22"/>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4140"/>
              </w:tabs>
              <w:adjustRightInd w:val="0"/>
              <w:snapToGrid w:val="0"/>
              <w:spacing w:line="320" w:lineRule="atLeast"/>
              <w:jc w:val="center"/>
              <w:rPr>
                <w:rFonts w:hint="eastAsia" w:ascii="宋体" w:hAnsi="宋体"/>
                <w:b/>
                <w:bCs/>
                <w:sz w:val="22"/>
              </w:rPr>
            </w:pPr>
            <w:r>
              <w:rPr>
                <w:rFonts w:hint="eastAsia" w:ascii="宋体" w:hAnsi="宋体"/>
                <w:sz w:val="22"/>
                <w:szCs w:val="22"/>
              </w:rPr>
              <w:t>6</w:t>
            </w:r>
          </w:p>
        </w:tc>
        <w:tc>
          <w:tcPr>
            <w:tcW w:w="80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line="430" w:lineRule="atLeast"/>
              <w:rPr>
                <w:rFonts w:ascii="宋体" w:hAnsi="宋体"/>
                <w:b/>
                <w:bCs/>
                <w:sz w:val="22"/>
              </w:rPr>
            </w:pPr>
            <w:r>
              <w:rPr>
                <w:rFonts w:hint="eastAsia" w:ascii="宋体" w:hAnsi="宋体"/>
                <w:sz w:val="22"/>
                <w:szCs w:val="22"/>
              </w:rPr>
              <w:t>投标供应商参与政府采购活动投标资格声明函</w:t>
            </w:r>
          </w:p>
        </w:tc>
        <w:tc>
          <w:tcPr>
            <w:tcW w:w="109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line="430" w:lineRule="atLeast"/>
              <w:jc w:val="center"/>
              <w:rPr>
                <w:rFonts w:hint="eastAsia" w:ascii="宋体" w:hAnsi="宋体"/>
                <w:sz w:val="22"/>
                <w:szCs w:val="22"/>
              </w:rPr>
            </w:pPr>
            <w:r>
              <w:rPr>
                <w:rFonts w:hint="eastAsia" w:ascii="宋体" w:hAnsi="宋体"/>
                <w:sz w:val="22"/>
                <w:szCs w:val="22"/>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4140"/>
              </w:tabs>
              <w:adjustRightInd w:val="0"/>
              <w:snapToGrid w:val="0"/>
              <w:spacing w:line="320" w:lineRule="atLeast"/>
              <w:jc w:val="center"/>
              <w:rPr>
                <w:rFonts w:hint="eastAsia" w:ascii="宋体" w:hAnsi="宋体"/>
                <w:sz w:val="22"/>
                <w:szCs w:val="22"/>
              </w:rPr>
            </w:pPr>
            <w:r>
              <w:rPr>
                <w:rFonts w:hint="eastAsia" w:ascii="宋体" w:hAnsi="宋体"/>
                <w:sz w:val="22"/>
                <w:szCs w:val="22"/>
              </w:rPr>
              <w:t>7</w:t>
            </w:r>
          </w:p>
        </w:tc>
        <w:tc>
          <w:tcPr>
            <w:tcW w:w="80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line="430" w:lineRule="atLeast"/>
              <w:rPr>
                <w:rFonts w:ascii="宋体" w:hAnsi="宋体"/>
                <w:b/>
                <w:bCs/>
                <w:sz w:val="22"/>
              </w:rPr>
            </w:pPr>
            <w:r>
              <w:rPr>
                <w:rFonts w:hint="eastAsia" w:ascii="宋体" w:hAnsi="宋体"/>
                <w:sz w:val="22"/>
                <w:szCs w:val="22"/>
              </w:rPr>
              <w:t>供应商法定代表人授权书</w:t>
            </w:r>
          </w:p>
        </w:tc>
        <w:tc>
          <w:tcPr>
            <w:tcW w:w="109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napToGrid w:val="0"/>
              <w:spacing w:line="430" w:lineRule="atLeast"/>
              <w:jc w:val="center"/>
              <w:rPr>
                <w:rFonts w:hint="eastAsia" w:ascii="宋体" w:hAnsi="宋体"/>
                <w:sz w:val="22"/>
                <w:szCs w:val="22"/>
              </w:rPr>
            </w:pPr>
            <w:r>
              <w:rPr>
                <w:rFonts w:hint="eastAsia" w:ascii="宋体" w:hAnsi="宋体"/>
                <w:sz w:val="22"/>
                <w:szCs w:val="22"/>
              </w:rPr>
              <w:t>附件四</w:t>
            </w:r>
          </w:p>
        </w:tc>
      </w:tr>
    </w:tbl>
    <w:p>
      <w:pPr>
        <w:autoSpaceDE w:val="0"/>
        <w:autoSpaceDN w:val="0"/>
        <w:adjustRightInd w:val="0"/>
        <w:spacing w:line="450" w:lineRule="atLeast"/>
        <w:ind w:firstLine="442" w:firstLineChars="200"/>
        <w:rPr>
          <w:rFonts w:ascii="宋体" w:hAnsi="宋体" w:cs="仿宋_GB2312"/>
          <w:b/>
          <w:sz w:val="22"/>
          <w:szCs w:val="22"/>
          <w:u w:val="single"/>
          <w:lang w:val="zh-CN"/>
        </w:rPr>
      </w:pPr>
      <w:r>
        <w:rPr>
          <w:rFonts w:hint="eastAsia" w:ascii="宋体" w:hAnsi="宋体" w:cs="仿宋_GB2312"/>
          <w:b/>
          <w:sz w:val="22"/>
          <w:szCs w:val="22"/>
          <w:u w:val="single"/>
          <w:lang w:val="zh-CN"/>
        </w:rPr>
        <w:t>2.2、报价文件部分组成</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8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autoSpaceDE w:val="0"/>
              <w:autoSpaceDN w:val="0"/>
              <w:adjustRightInd w:val="0"/>
              <w:snapToGrid w:val="0"/>
              <w:spacing w:line="430" w:lineRule="atLeast"/>
              <w:rPr>
                <w:rFonts w:ascii="宋体" w:hAnsi="宋体"/>
                <w:b/>
                <w:bCs/>
                <w:sz w:val="22"/>
                <w:lang w:val="zh-CN"/>
              </w:rPr>
            </w:pPr>
            <w:r>
              <w:rPr>
                <w:rFonts w:hint="eastAsia" w:ascii="宋体" w:hAnsi="宋体"/>
                <w:sz w:val="22"/>
                <w:szCs w:val="22"/>
                <w:lang w:val="zh-CN"/>
              </w:rPr>
              <w:t>序号</w:t>
            </w:r>
          </w:p>
        </w:tc>
        <w:tc>
          <w:tcPr>
            <w:tcW w:w="8080" w:type="dxa"/>
            <w:noWrap w:val="0"/>
            <w:vAlign w:val="top"/>
          </w:tcPr>
          <w:p>
            <w:pPr>
              <w:autoSpaceDE w:val="0"/>
              <w:autoSpaceDN w:val="0"/>
              <w:adjustRightInd w:val="0"/>
              <w:snapToGrid w:val="0"/>
              <w:spacing w:line="430" w:lineRule="atLeast"/>
              <w:rPr>
                <w:rFonts w:ascii="宋体" w:hAnsi="宋体"/>
                <w:b/>
                <w:bCs/>
                <w:sz w:val="22"/>
                <w:lang w:val="zh-CN"/>
              </w:rPr>
            </w:pPr>
            <w:r>
              <w:rPr>
                <w:rFonts w:hint="eastAsia" w:ascii="宋体" w:hAnsi="宋体"/>
                <w:sz w:val="22"/>
                <w:szCs w:val="22"/>
                <w:lang w:val="zh-CN"/>
              </w:rPr>
              <w:t>内容（▲</w:t>
            </w:r>
            <w:r>
              <w:rPr>
                <w:rFonts w:hint="eastAsia" w:ascii="宋体" w:hAnsi="宋体"/>
                <w:sz w:val="22"/>
                <w:szCs w:val="22"/>
                <w:u w:val="single"/>
                <w:lang w:val="zh-CN"/>
              </w:rPr>
              <w:t>序号</w:t>
            </w:r>
            <w:r>
              <w:rPr>
                <w:rFonts w:ascii="宋体" w:hAnsi="宋体"/>
                <w:sz w:val="22"/>
                <w:szCs w:val="22"/>
                <w:u w:val="single"/>
                <w:lang w:val="zh-CN"/>
              </w:rPr>
              <w:t>1</w:t>
            </w:r>
            <w:r>
              <w:rPr>
                <w:rFonts w:hint="eastAsia" w:ascii="宋体" w:hAnsi="宋体"/>
                <w:sz w:val="22"/>
                <w:szCs w:val="22"/>
                <w:u w:val="single"/>
                <w:lang w:val="zh-CN"/>
              </w:rPr>
              <w:t>、</w:t>
            </w:r>
            <w:r>
              <w:rPr>
                <w:rFonts w:hint="eastAsia" w:ascii="宋体" w:hAnsi="宋体"/>
                <w:sz w:val="22"/>
                <w:szCs w:val="22"/>
                <w:u w:val="single"/>
              </w:rPr>
              <w:t>2</w:t>
            </w:r>
            <w:r>
              <w:rPr>
                <w:rFonts w:hint="eastAsia" w:ascii="宋体" w:hAnsi="宋体"/>
                <w:sz w:val="22"/>
                <w:szCs w:val="22"/>
                <w:u w:val="single"/>
                <w:lang w:val="zh-CN"/>
              </w:rPr>
              <w:t>项供应商必须提供，否则不能通过符合性审查的，责任自负</w:t>
            </w:r>
            <w:r>
              <w:rPr>
                <w:rFonts w:hint="eastAsia" w:ascii="宋体" w:hAnsi="宋体"/>
                <w:sz w:val="22"/>
                <w:szCs w:val="22"/>
                <w:lang w:val="zh-CN"/>
              </w:rPr>
              <w:t>）</w:t>
            </w:r>
          </w:p>
        </w:tc>
        <w:tc>
          <w:tcPr>
            <w:tcW w:w="1099" w:type="dxa"/>
            <w:noWrap w:val="0"/>
            <w:vAlign w:val="top"/>
          </w:tcPr>
          <w:p>
            <w:pPr>
              <w:autoSpaceDE w:val="0"/>
              <w:autoSpaceDN w:val="0"/>
              <w:adjustRightInd w:val="0"/>
              <w:snapToGrid w:val="0"/>
              <w:spacing w:line="430" w:lineRule="atLeast"/>
              <w:jc w:val="center"/>
              <w:rPr>
                <w:rFonts w:ascii="宋体" w:hAnsi="宋体"/>
                <w:sz w:val="22"/>
                <w:szCs w:val="22"/>
                <w:lang w:val="zh-CN"/>
              </w:rPr>
            </w:pPr>
            <w:r>
              <w:rPr>
                <w:rFonts w:hint="eastAsia" w:ascii="宋体" w:hAnsi="宋体"/>
                <w:sz w:val="22"/>
                <w:szCs w:val="22"/>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autoSpaceDE w:val="0"/>
              <w:autoSpaceDN w:val="0"/>
              <w:adjustRightInd w:val="0"/>
              <w:snapToGrid w:val="0"/>
              <w:spacing w:line="430" w:lineRule="atLeast"/>
              <w:jc w:val="center"/>
              <w:rPr>
                <w:rFonts w:ascii="宋体" w:hAnsi="宋体"/>
                <w:b/>
                <w:bCs/>
                <w:sz w:val="22"/>
                <w:lang w:val="zh-CN"/>
              </w:rPr>
            </w:pPr>
            <w:r>
              <w:rPr>
                <w:rFonts w:ascii="宋体" w:hAnsi="宋体"/>
                <w:sz w:val="22"/>
                <w:szCs w:val="22"/>
                <w:lang w:val="zh-CN"/>
              </w:rPr>
              <w:t>1</w:t>
            </w:r>
          </w:p>
        </w:tc>
        <w:tc>
          <w:tcPr>
            <w:tcW w:w="8080" w:type="dxa"/>
            <w:noWrap w:val="0"/>
            <w:vAlign w:val="top"/>
          </w:tcPr>
          <w:p>
            <w:pPr>
              <w:autoSpaceDE w:val="0"/>
              <w:autoSpaceDN w:val="0"/>
              <w:adjustRightInd w:val="0"/>
              <w:spacing w:line="430" w:lineRule="atLeast"/>
              <w:textAlignment w:val="bottom"/>
              <w:rPr>
                <w:rFonts w:ascii="宋体" w:hAnsi="宋体"/>
                <w:b/>
                <w:bCs/>
                <w:sz w:val="22"/>
              </w:rPr>
            </w:pPr>
            <w:r>
              <w:rPr>
                <w:rFonts w:hint="eastAsia" w:ascii="宋体" w:hAnsi="宋体"/>
                <w:sz w:val="22"/>
                <w:szCs w:val="22"/>
              </w:rPr>
              <w:t>报价一览表</w:t>
            </w:r>
          </w:p>
        </w:tc>
        <w:tc>
          <w:tcPr>
            <w:tcW w:w="1099" w:type="dxa"/>
            <w:noWrap w:val="0"/>
            <w:vAlign w:val="top"/>
          </w:tcPr>
          <w:p>
            <w:pPr>
              <w:autoSpaceDE w:val="0"/>
              <w:autoSpaceDN w:val="0"/>
              <w:adjustRightInd w:val="0"/>
              <w:spacing w:line="430" w:lineRule="atLeast"/>
              <w:jc w:val="center"/>
              <w:textAlignment w:val="bottom"/>
              <w:rPr>
                <w:rFonts w:hint="eastAsia" w:ascii="宋体" w:hAnsi="宋体"/>
                <w:sz w:val="22"/>
                <w:szCs w:val="22"/>
              </w:rPr>
            </w:pPr>
            <w:r>
              <w:rPr>
                <w:rFonts w:hint="eastAsia" w:ascii="宋体" w:hAnsi="宋体"/>
                <w:sz w:val="22"/>
                <w:szCs w:val="22"/>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autoSpaceDE w:val="0"/>
              <w:autoSpaceDN w:val="0"/>
              <w:adjustRightInd w:val="0"/>
              <w:snapToGrid w:val="0"/>
              <w:spacing w:line="430" w:lineRule="atLeast"/>
              <w:jc w:val="center"/>
              <w:rPr>
                <w:rFonts w:ascii="宋体" w:hAnsi="宋体" w:cs="宋体"/>
                <w:bCs/>
                <w:sz w:val="22"/>
                <w:szCs w:val="22"/>
              </w:rPr>
            </w:pPr>
            <w:r>
              <w:rPr>
                <w:rFonts w:hint="eastAsia" w:ascii="宋体" w:hAnsi="宋体" w:cs="宋体"/>
                <w:bCs/>
                <w:sz w:val="22"/>
                <w:szCs w:val="22"/>
              </w:rPr>
              <w:t>2</w:t>
            </w:r>
          </w:p>
        </w:tc>
        <w:tc>
          <w:tcPr>
            <w:tcW w:w="8080" w:type="dxa"/>
            <w:noWrap w:val="0"/>
            <w:vAlign w:val="top"/>
          </w:tcPr>
          <w:p>
            <w:pPr>
              <w:autoSpaceDE w:val="0"/>
              <w:autoSpaceDN w:val="0"/>
              <w:adjustRightInd w:val="0"/>
              <w:spacing w:line="430" w:lineRule="atLeast"/>
              <w:textAlignment w:val="bottom"/>
              <w:rPr>
                <w:rFonts w:ascii="宋体" w:hAnsi="宋体" w:cs="宋体"/>
                <w:bCs/>
                <w:sz w:val="22"/>
                <w:szCs w:val="22"/>
              </w:rPr>
            </w:pPr>
            <w:r>
              <w:rPr>
                <w:rFonts w:hint="eastAsia" w:ascii="宋体" w:hAnsi="宋体" w:cs="宋体"/>
                <w:bCs/>
                <w:sz w:val="22"/>
                <w:szCs w:val="22"/>
              </w:rPr>
              <w:t>投标</w:t>
            </w:r>
            <w:r>
              <w:rPr>
                <w:rFonts w:hint="eastAsia" w:ascii="宋体" w:hAnsi="宋体" w:cs="宋体"/>
                <w:bCs/>
                <w:sz w:val="22"/>
                <w:szCs w:val="22"/>
                <w:lang w:val="zh-CN"/>
              </w:rPr>
              <w:t>分项报价表</w:t>
            </w:r>
          </w:p>
        </w:tc>
        <w:tc>
          <w:tcPr>
            <w:tcW w:w="1099" w:type="dxa"/>
            <w:noWrap w:val="0"/>
            <w:vAlign w:val="top"/>
          </w:tcPr>
          <w:p>
            <w:pPr>
              <w:autoSpaceDE w:val="0"/>
              <w:autoSpaceDN w:val="0"/>
              <w:adjustRightInd w:val="0"/>
              <w:spacing w:line="430" w:lineRule="atLeast"/>
              <w:jc w:val="center"/>
              <w:textAlignment w:val="bottom"/>
              <w:rPr>
                <w:rFonts w:hint="eastAsia" w:ascii="宋体" w:hAnsi="宋体"/>
                <w:sz w:val="22"/>
                <w:szCs w:val="22"/>
              </w:rPr>
            </w:pPr>
            <w:r>
              <w:rPr>
                <w:rFonts w:hint="eastAsia" w:ascii="宋体" w:hAnsi="宋体"/>
                <w:sz w:val="22"/>
                <w:szCs w:val="22"/>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autoSpaceDE w:val="0"/>
              <w:autoSpaceDN w:val="0"/>
              <w:adjustRightInd w:val="0"/>
              <w:snapToGrid w:val="0"/>
              <w:spacing w:line="430" w:lineRule="atLeast"/>
              <w:jc w:val="center"/>
              <w:rPr>
                <w:rFonts w:ascii="宋体" w:hAnsi="宋体" w:cs="宋体"/>
                <w:sz w:val="22"/>
                <w:lang w:val="zh-CN"/>
              </w:rPr>
            </w:pPr>
            <w:r>
              <w:rPr>
                <w:rFonts w:hint="eastAsia" w:ascii="宋体" w:hAnsi="宋体" w:cs="宋体"/>
                <w:sz w:val="22"/>
                <w:szCs w:val="22"/>
              </w:rPr>
              <w:t>3</w:t>
            </w:r>
          </w:p>
        </w:tc>
        <w:tc>
          <w:tcPr>
            <w:tcW w:w="8080" w:type="dxa"/>
            <w:noWrap w:val="0"/>
            <w:vAlign w:val="top"/>
          </w:tcPr>
          <w:p>
            <w:pPr>
              <w:autoSpaceDE w:val="0"/>
              <w:autoSpaceDN w:val="0"/>
              <w:adjustRightInd w:val="0"/>
              <w:snapToGrid w:val="0"/>
              <w:spacing w:line="430" w:lineRule="atLeast"/>
              <w:rPr>
                <w:rFonts w:ascii="宋体" w:hAnsi="宋体" w:cs="宋体"/>
                <w:sz w:val="22"/>
              </w:rPr>
            </w:pPr>
            <w:r>
              <w:rPr>
                <w:rFonts w:hint="eastAsia" w:ascii="宋体" w:hAnsi="宋体" w:cs="宋体"/>
                <w:sz w:val="22"/>
                <w:szCs w:val="22"/>
              </w:rPr>
              <w:t>享受小微企业（含监狱企业、残疾人福利性单位）价格折扣须按供应商单位性质提供以下相关的证明材料：</w:t>
            </w:r>
          </w:p>
          <w:p>
            <w:pPr>
              <w:autoSpaceDE w:val="0"/>
              <w:autoSpaceDN w:val="0"/>
              <w:adjustRightInd w:val="0"/>
              <w:snapToGrid w:val="0"/>
              <w:spacing w:line="430" w:lineRule="atLeast"/>
              <w:rPr>
                <w:rFonts w:ascii="宋体" w:hAnsi="宋体" w:cs="宋体"/>
                <w:sz w:val="22"/>
              </w:rPr>
            </w:pPr>
            <w:r>
              <w:rPr>
                <w:rFonts w:hint="eastAsia" w:ascii="宋体" w:hAnsi="宋体" w:cs="宋体"/>
                <w:sz w:val="22"/>
                <w:szCs w:val="22"/>
              </w:rPr>
              <w:t>（1）《中小企业声明函》（原件，加盖供应商公章，格式见招标文件第四部分）</w:t>
            </w:r>
          </w:p>
          <w:p>
            <w:pPr>
              <w:autoSpaceDE w:val="0"/>
              <w:autoSpaceDN w:val="0"/>
              <w:adjustRightInd w:val="0"/>
              <w:snapToGrid w:val="0"/>
              <w:spacing w:line="430" w:lineRule="atLeast"/>
              <w:rPr>
                <w:rFonts w:ascii="宋体" w:hAnsi="宋体" w:cs="宋体"/>
                <w:sz w:val="22"/>
              </w:rPr>
            </w:pPr>
            <w:r>
              <w:rPr>
                <w:rFonts w:hint="eastAsia" w:ascii="宋体" w:hAnsi="宋体" w:cs="宋体"/>
                <w:sz w:val="22"/>
                <w:szCs w:val="22"/>
              </w:rPr>
              <w:t>（2）监狱企业参加政府采购活动时，应当提供由省级以上监狱管理局、戒毒管理局(含新疆生产建设兵团)出具的属于监狱企业的证明文件（原件或扫描件加盖公章）。在政府采购活动中，监狱企业视同小型、微型企业，享受评审中价格扣除政策。</w:t>
            </w:r>
          </w:p>
          <w:p>
            <w:pPr>
              <w:autoSpaceDE w:val="0"/>
              <w:autoSpaceDN w:val="0"/>
              <w:adjustRightInd w:val="0"/>
              <w:spacing w:line="500" w:lineRule="atLeast"/>
              <w:rPr>
                <w:rFonts w:ascii="宋体" w:hAnsi="宋体" w:cs="宋体"/>
                <w:sz w:val="22"/>
              </w:rPr>
            </w:pPr>
            <w:r>
              <w:rPr>
                <w:rFonts w:hint="eastAsia" w:ascii="宋体" w:hAnsi="宋体" w:cs="宋体"/>
                <w:sz w:val="22"/>
                <w:szCs w:val="22"/>
              </w:rPr>
              <w:t>（3）残疾人福利性单位声明函（原件，加盖供应商公章，格式见招标文件第四部分）在政府采购活动中，残疾人福利性单位视同小型、微型企业，享受评审中价格扣除政策。</w:t>
            </w:r>
          </w:p>
        </w:tc>
        <w:tc>
          <w:tcPr>
            <w:tcW w:w="1099" w:type="dxa"/>
            <w:noWrap w:val="0"/>
            <w:vAlign w:val="top"/>
          </w:tcPr>
          <w:p>
            <w:pPr>
              <w:autoSpaceDE w:val="0"/>
              <w:autoSpaceDN w:val="0"/>
              <w:adjustRightInd w:val="0"/>
              <w:spacing w:line="430" w:lineRule="atLeast"/>
              <w:jc w:val="center"/>
              <w:textAlignment w:val="bottom"/>
              <w:rPr>
                <w:rFonts w:ascii="宋体" w:hAnsi="宋体"/>
                <w:sz w:val="22"/>
                <w:szCs w:val="22"/>
              </w:rPr>
            </w:pPr>
          </w:p>
        </w:tc>
      </w:tr>
    </w:tbl>
    <w:p>
      <w:pPr>
        <w:autoSpaceDE w:val="0"/>
        <w:autoSpaceDN w:val="0"/>
        <w:adjustRightInd w:val="0"/>
        <w:spacing w:line="450" w:lineRule="atLeast"/>
        <w:ind w:firstLine="442" w:firstLineChars="200"/>
        <w:rPr>
          <w:rFonts w:ascii="宋体" w:hAnsi="宋体" w:cs="仿宋_GB2312"/>
          <w:b/>
          <w:sz w:val="22"/>
          <w:szCs w:val="22"/>
          <w:u w:val="single"/>
          <w:lang w:val="zh-CN"/>
        </w:rPr>
      </w:pPr>
      <w:bookmarkStart w:id="28" w:name="_Toc132122410"/>
      <w:bookmarkStart w:id="29" w:name="_Toc132122113"/>
      <w:r>
        <w:rPr>
          <w:rFonts w:hint="eastAsia" w:ascii="宋体" w:hAnsi="宋体" w:cs="仿宋_GB2312"/>
          <w:b/>
          <w:sz w:val="22"/>
          <w:szCs w:val="22"/>
          <w:u w:val="single"/>
          <w:lang w:val="zh-CN"/>
        </w:rPr>
        <w:t>2.3、商务技术文件部分组成</w:t>
      </w:r>
    </w:p>
    <w:bookmarkEnd w:id="28"/>
    <w:bookmarkEnd w:id="29"/>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08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autoSpaceDE w:val="0"/>
              <w:autoSpaceDN w:val="0"/>
              <w:adjustRightInd w:val="0"/>
              <w:snapToGrid w:val="0"/>
              <w:spacing w:line="430" w:lineRule="atLeast"/>
              <w:jc w:val="center"/>
              <w:rPr>
                <w:rFonts w:ascii="宋体" w:hAnsi="宋体"/>
                <w:b/>
                <w:sz w:val="22"/>
                <w:lang w:val="zh-CN"/>
              </w:rPr>
            </w:pPr>
            <w:r>
              <w:rPr>
                <w:rFonts w:hint="eastAsia" w:ascii="宋体" w:hAnsi="宋体"/>
                <w:sz w:val="22"/>
                <w:szCs w:val="22"/>
                <w:lang w:val="zh-CN"/>
              </w:rPr>
              <w:t>序号</w:t>
            </w:r>
          </w:p>
        </w:tc>
        <w:tc>
          <w:tcPr>
            <w:tcW w:w="8080" w:type="dxa"/>
            <w:noWrap w:val="0"/>
            <w:vAlign w:val="top"/>
          </w:tcPr>
          <w:p>
            <w:pPr>
              <w:autoSpaceDE w:val="0"/>
              <w:autoSpaceDN w:val="0"/>
              <w:adjustRightInd w:val="0"/>
              <w:snapToGrid w:val="0"/>
              <w:spacing w:line="430" w:lineRule="atLeast"/>
              <w:jc w:val="center"/>
              <w:rPr>
                <w:rFonts w:ascii="宋体" w:hAnsi="宋体"/>
                <w:b/>
                <w:sz w:val="22"/>
                <w:lang w:val="zh-CN"/>
              </w:rPr>
            </w:pPr>
            <w:r>
              <w:rPr>
                <w:rFonts w:hint="eastAsia" w:ascii="宋体" w:hAnsi="宋体"/>
                <w:sz w:val="22"/>
                <w:szCs w:val="22"/>
                <w:lang w:val="zh-CN"/>
              </w:rPr>
              <w:t>内容</w:t>
            </w:r>
          </w:p>
        </w:tc>
        <w:tc>
          <w:tcPr>
            <w:tcW w:w="1099" w:type="dxa"/>
            <w:noWrap w:val="0"/>
            <w:vAlign w:val="top"/>
          </w:tcPr>
          <w:p>
            <w:pPr>
              <w:autoSpaceDE w:val="0"/>
              <w:autoSpaceDN w:val="0"/>
              <w:adjustRightInd w:val="0"/>
              <w:snapToGrid w:val="0"/>
              <w:spacing w:line="430" w:lineRule="atLeast"/>
              <w:jc w:val="center"/>
              <w:rPr>
                <w:rFonts w:ascii="宋体" w:hAnsi="宋体"/>
                <w:sz w:val="22"/>
                <w:szCs w:val="22"/>
                <w:lang w:val="zh-CN"/>
              </w:rPr>
            </w:pPr>
            <w:r>
              <w:rPr>
                <w:rFonts w:hint="eastAsia" w:ascii="宋体" w:hAnsi="宋体"/>
                <w:sz w:val="22"/>
                <w:szCs w:val="22"/>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2"/>
            <w:noWrap w:val="0"/>
            <w:vAlign w:val="top"/>
          </w:tcPr>
          <w:p>
            <w:pPr>
              <w:autoSpaceDE w:val="0"/>
              <w:autoSpaceDN w:val="0"/>
              <w:adjustRightInd w:val="0"/>
              <w:snapToGrid w:val="0"/>
              <w:spacing w:line="430" w:lineRule="atLeast"/>
              <w:rPr>
                <w:rFonts w:ascii="宋体" w:hAnsi="宋体"/>
                <w:b/>
                <w:sz w:val="22"/>
                <w:lang w:val="zh-CN"/>
              </w:rPr>
            </w:pPr>
            <w:r>
              <w:rPr>
                <w:rFonts w:hint="eastAsia" w:ascii="宋体" w:hAnsi="宋体"/>
                <w:sz w:val="22"/>
                <w:szCs w:val="22"/>
                <w:lang w:val="zh-CN"/>
              </w:rPr>
              <w:t>资信部分（▲</w:t>
            </w:r>
            <w:r>
              <w:rPr>
                <w:rFonts w:hint="eastAsia" w:ascii="宋体" w:hAnsi="宋体"/>
                <w:sz w:val="22"/>
                <w:szCs w:val="22"/>
                <w:u w:val="single"/>
                <w:lang w:val="zh-CN"/>
              </w:rPr>
              <w:t>序号1-</w:t>
            </w:r>
            <w:r>
              <w:rPr>
                <w:rFonts w:hint="eastAsia" w:ascii="宋体" w:hAnsi="宋体"/>
                <w:sz w:val="22"/>
                <w:szCs w:val="22"/>
                <w:u w:val="single"/>
              </w:rPr>
              <w:t>2</w:t>
            </w:r>
            <w:r>
              <w:rPr>
                <w:rFonts w:hint="eastAsia" w:ascii="宋体" w:hAnsi="宋体"/>
                <w:sz w:val="22"/>
                <w:szCs w:val="22"/>
                <w:u w:val="single"/>
                <w:lang w:val="zh-CN"/>
              </w:rPr>
              <w:t>项供应商必须提供，否则不能通过符合性审查的，责任自负</w:t>
            </w:r>
            <w:r>
              <w:rPr>
                <w:rFonts w:hint="eastAsia" w:ascii="宋体" w:hAnsi="宋体"/>
                <w:sz w:val="22"/>
                <w:szCs w:val="22"/>
                <w:lang w:val="zh-CN"/>
              </w:rPr>
              <w:t>）</w:t>
            </w:r>
          </w:p>
        </w:tc>
        <w:tc>
          <w:tcPr>
            <w:tcW w:w="1099" w:type="dxa"/>
            <w:noWrap w:val="0"/>
            <w:vAlign w:val="top"/>
          </w:tcPr>
          <w:p>
            <w:pPr>
              <w:autoSpaceDE w:val="0"/>
              <w:autoSpaceDN w:val="0"/>
              <w:adjustRightInd w:val="0"/>
              <w:snapToGrid w:val="0"/>
              <w:spacing w:line="430" w:lineRule="atLeast"/>
              <w:jc w:val="center"/>
              <w:rPr>
                <w:rFonts w:ascii="宋体" w:hAnsi="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0"/>
            <w:vAlign w:val="top"/>
          </w:tcPr>
          <w:p>
            <w:pPr>
              <w:autoSpaceDE w:val="0"/>
              <w:autoSpaceDN w:val="0"/>
              <w:adjustRightInd w:val="0"/>
              <w:snapToGrid w:val="0"/>
              <w:spacing w:line="430" w:lineRule="atLeast"/>
              <w:jc w:val="center"/>
              <w:rPr>
                <w:rFonts w:ascii="宋体" w:hAnsi="宋体"/>
                <w:b/>
                <w:sz w:val="22"/>
              </w:rPr>
            </w:pPr>
            <w:r>
              <w:rPr>
                <w:rFonts w:hint="eastAsia" w:ascii="宋体" w:hAnsi="宋体"/>
                <w:sz w:val="22"/>
                <w:szCs w:val="22"/>
              </w:rPr>
              <w:t>1</w:t>
            </w:r>
          </w:p>
        </w:tc>
        <w:tc>
          <w:tcPr>
            <w:tcW w:w="8080" w:type="dxa"/>
            <w:noWrap w:val="0"/>
            <w:vAlign w:val="top"/>
          </w:tcPr>
          <w:p>
            <w:pPr>
              <w:autoSpaceDE w:val="0"/>
              <w:autoSpaceDN w:val="0"/>
              <w:adjustRightInd w:val="0"/>
              <w:snapToGrid w:val="0"/>
              <w:spacing w:line="430" w:lineRule="atLeast"/>
              <w:rPr>
                <w:rFonts w:ascii="宋体" w:hAnsi="宋体"/>
                <w:b/>
                <w:sz w:val="22"/>
                <w:lang w:val="zh-CN"/>
              </w:rPr>
            </w:pPr>
            <w:r>
              <w:rPr>
                <w:rFonts w:hint="eastAsia" w:ascii="宋体" w:hAnsi="宋体"/>
                <w:sz w:val="22"/>
                <w:szCs w:val="22"/>
              </w:rPr>
              <w:t>投标函</w:t>
            </w:r>
          </w:p>
        </w:tc>
        <w:tc>
          <w:tcPr>
            <w:tcW w:w="1099" w:type="dxa"/>
            <w:noWrap w:val="0"/>
            <w:vAlign w:val="top"/>
          </w:tcPr>
          <w:p>
            <w:pPr>
              <w:autoSpaceDE w:val="0"/>
              <w:autoSpaceDN w:val="0"/>
              <w:adjustRightInd w:val="0"/>
              <w:snapToGrid w:val="0"/>
              <w:spacing w:line="430" w:lineRule="atLeast"/>
              <w:jc w:val="center"/>
              <w:rPr>
                <w:rFonts w:hint="eastAsia" w:ascii="宋体" w:hAnsi="宋体"/>
                <w:sz w:val="22"/>
                <w:szCs w:val="22"/>
              </w:rPr>
            </w:pPr>
            <w:r>
              <w:rPr>
                <w:rFonts w:hint="eastAsia" w:ascii="宋体" w:hAnsi="宋体"/>
                <w:sz w:val="22"/>
                <w:szCs w:val="22"/>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autoSpaceDE w:val="0"/>
              <w:autoSpaceDN w:val="0"/>
              <w:adjustRightInd w:val="0"/>
              <w:snapToGrid w:val="0"/>
              <w:spacing w:line="430" w:lineRule="atLeast"/>
              <w:jc w:val="center"/>
              <w:rPr>
                <w:rFonts w:ascii="宋体" w:hAnsi="宋体"/>
                <w:b/>
                <w:sz w:val="22"/>
              </w:rPr>
            </w:pPr>
            <w:r>
              <w:rPr>
                <w:rFonts w:hint="eastAsia" w:ascii="宋体" w:hAnsi="宋体"/>
                <w:sz w:val="22"/>
                <w:szCs w:val="22"/>
              </w:rPr>
              <w:t>2</w:t>
            </w:r>
          </w:p>
        </w:tc>
        <w:tc>
          <w:tcPr>
            <w:tcW w:w="8080" w:type="dxa"/>
            <w:noWrap w:val="0"/>
            <w:vAlign w:val="top"/>
          </w:tcPr>
          <w:p>
            <w:pPr>
              <w:autoSpaceDE w:val="0"/>
              <w:autoSpaceDN w:val="0"/>
              <w:adjustRightInd w:val="0"/>
              <w:snapToGrid w:val="0"/>
              <w:spacing w:line="430" w:lineRule="atLeast"/>
              <w:rPr>
                <w:rFonts w:ascii="宋体" w:hAnsi="宋体"/>
                <w:b/>
                <w:sz w:val="22"/>
              </w:rPr>
            </w:pPr>
            <w:r>
              <w:rPr>
                <w:rFonts w:hint="eastAsia" w:ascii="宋体" w:hAnsi="宋体"/>
                <w:sz w:val="22"/>
                <w:szCs w:val="22"/>
              </w:rPr>
              <w:t>法定代表人诚信投标承诺书</w:t>
            </w:r>
          </w:p>
        </w:tc>
        <w:tc>
          <w:tcPr>
            <w:tcW w:w="1099" w:type="dxa"/>
            <w:noWrap w:val="0"/>
            <w:vAlign w:val="top"/>
          </w:tcPr>
          <w:p>
            <w:pPr>
              <w:autoSpaceDE w:val="0"/>
              <w:autoSpaceDN w:val="0"/>
              <w:adjustRightInd w:val="0"/>
              <w:snapToGrid w:val="0"/>
              <w:spacing w:line="430" w:lineRule="atLeast"/>
              <w:jc w:val="center"/>
              <w:rPr>
                <w:rFonts w:hint="eastAsia" w:ascii="宋体" w:hAnsi="宋体"/>
                <w:sz w:val="22"/>
                <w:szCs w:val="22"/>
              </w:rPr>
            </w:pPr>
            <w:r>
              <w:rPr>
                <w:rFonts w:hint="eastAsia" w:ascii="宋体" w:hAnsi="宋体"/>
                <w:sz w:val="22"/>
                <w:szCs w:val="22"/>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autoSpaceDE w:val="0"/>
              <w:autoSpaceDN w:val="0"/>
              <w:adjustRightInd w:val="0"/>
              <w:snapToGrid w:val="0"/>
              <w:spacing w:line="430" w:lineRule="atLeast"/>
              <w:jc w:val="center"/>
              <w:rPr>
                <w:rFonts w:ascii="宋体" w:hAnsi="宋体"/>
                <w:b/>
                <w:sz w:val="22"/>
              </w:rPr>
            </w:pPr>
            <w:r>
              <w:rPr>
                <w:rFonts w:hint="eastAsia" w:ascii="宋体" w:hAnsi="宋体"/>
                <w:sz w:val="22"/>
                <w:szCs w:val="22"/>
              </w:rPr>
              <w:t>3</w:t>
            </w:r>
          </w:p>
        </w:tc>
        <w:tc>
          <w:tcPr>
            <w:tcW w:w="8080" w:type="dxa"/>
            <w:noWrap w:val="0"/>
            <w:vAlign w:val="top"/>
          </w:tcPr>
          <w:p>
            <w:pPr>
              <w:autoSpaceDE w:val="0"/>
              <w:autoSpaceDN w:val="0"/>
              <w:adjustRightInd w:val="0"/>
              <w:snapToGrid w:val="0"/>
              <w:spacing w:line="430" w:lineRule="atLeast"/>
              <w:rPr>
                <w:rFonts w:ascii="宋体" w:hAnsi="宋体"/>
                <w:b/>
                <w:sz w:val="22"/>
              </w:rPr>
            </w:pPr>
            <w:r>
              <w:rPr>
                <w:rFonts w:hint="eastAsia" w:ascii="宋体" w:hAnsi="宋体"/>
                <w:sz w:val="22"/>
                <w:szCs w:val="22"/>
              </w:rPr>
              <w:t>供应商相关资质、资信或信用证书、获奖证书等（如有则提供，扫描件加盖有效公章）</w:t>
            </w:r>
          </w:p>
        </w:tc>
        <w:tc>
          <w:tcPr>
            <w:tcW w:w="1099" w:type="dxa"/>
            <w:noWrap w:val="0"/>
            <w:vAlign w:val="top"/>
          </w:tcPr>
          <w:p>
            <w:pPr>
              <w:autoSpaceDE w:val="0"/>
              <w:autoSpaceDN w:val="0"/>
              <w:adjustRightInd w:val="0"/>
              <w:snapToGrid w:val="0"/>
              <w:spacing w:line="430" w:lineRule="atLeas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autoSpaceDE w:val="0"/>
              <w:autoSpaceDN w:val="0"/>
              <w:adjustRightInd w:val="0"/>
              <w:snapToGrid w:val="0"/>
              <w:spacing w:line="430" w:lineRule="atLeast"/>
              <w:jc w:val="center"/>
              <w:rPr>
                <w:rFonts w:ascii="宋体" w:hAnsi="宋体"/>
                <w:b/>
                <w:sz w:val="22"/>
              </w:rPr>
            </w:pPr>
            <w:r>
              <w:rPr>
                <w:rFonts w:hint="eastAsia" w:ascii="宋体" w:hAnsi="宋体"/>
                <w:sz w:val="22"/>
                <w:szCs w:val="22"/>
              </w:rPr>
              <w:t>4</w:t>
            </w:r>
          </w:p>
        </w:tc>
        <w:tc>
          <w:tcPr>
            <w:tcW w:w="8080" w:type="dxa"/>
            <w:noWrap w:val="0"/>
            <w:vAlign w:val="top"/>
          </w:tcPr>
          <w:p>
            <w:pPr>
              <w:autoSpaceDE w:val="0"/>
              <w:autoSpaceDN w:val="0"/>
              <w:adjustRightInd w:val="0"/>
              <w:snapToGrid w:val="0"/>
              <w:spacing w:line="430" w:lineRule="atLeast"/>
              <w:rPr>
                <w:rFonts w:ascii="宋体" w:hAnsi="宋体"/>
                <w:b/>
                <w:sz w:val="22"/>
              </w:rPr>
            </w:pPr>
            <w:r>
              <w:rPr>
                <w:rFonts w:hint="eastAsia" w:ascii="宋体" w:hAnsi="宋体"/>
                <w:sz w:val="22"/>
                <w:szCs w:val="22"/>
              </w:rPr>
              <w:t>类似业绩</w:t>
            </w:r>
          </w:p>
        </w:tc>
        <w:tc>
          <w:tcPr>
            <w:tcW w:w="1099" w:type="dxa"/>
            <w:noWrap w:val="0"/>
            <w:vAlign w:val="top"/>
          </w:tcPr>
          <w:p>
            <w:pPr>
              <w:autoSpaceDE w:val="0"/>
              <w:autoSpaceDN w:val="0"/>
              <w:adjustRightInd w:val="0"/>
              <w:snapToGrid w:val="0"/>
              <w:spacing w:line="430" w:lineRule="atLeast"/>
              <w:jc w:val="center"/>
              <w:rPr>
                <w:rFonts w:hint="eastAsia" w:ascii="宋体" w:hAnsi="宋体" w:cs="仿宋_GB2312"/>
                <w:sz w:val="22"/>
                <w:szCs w:val="22"/>
                <w:lang w:val="zh-CN"/>
              </w:rPr>
            </w:pPr>
            <w:r>
              <w:rPr>
                <w:rFonts w:hint="eastAsia" w:ascii="宋体" w:hAnsi="宋体" w:cs="Arial"/>
                <w:sz w:val="22"/>
                <w:szCs w:val="22"/>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autoSpaceDE w:val="0"/>
              <w:autoSpaceDN w:val="0"/>
              <w:adjustRightInd w:val="0"/>
              <w:snapToGrid w:val="0"/>
              <w:spacing w:line="430" w:lineRule="atLeast"/>
              <w:jc w:val="center"/>
              <w:rPr>
                <w:rFonts w:ascii="宋体" w:hAnsi="宋体"/>
                <w:b/>
                <w:sz w:val="22"/>
              </w:rPr>
            </w:pPr>
            <w:r>
              <w:rPr>
                <w:rFonts w:hint="eastAsia" w:ascii="宋体" w:hAnsi="宋体"/>
                <w:sz w:val="22"/>
                <w:szCs w:val="22"/>
              </w:rPr>
              <w:t>5</w:t>
            </w:r>
          </w:p>
        </w:tc>
        <w:tc>
          <w:tcPr>
            <w:tcW w:w="8080" w:type="dxa"/>
            <w:noWrap w:val="0"/>
            <w:vAlign w:val="center"/>
          </w:tcPr>
          <w:p>
            <w:pPr>
              <w:tabs>
                <w:tab w:val="left" w:pos="4140"/>
              </w:tabs>
              <w:adjustRightInd w:val="0"/>
              <w:snapToGrid w:val="0"/>
              <w:spacing w:line="320" w:lineRule="atLeast"/>
              <w:rPr>
                <w:rFonts w:ascii="宋体" w:hAnsi="宋体"/>
                <w:b/>
                <w:sz w:val="22"/>
              </w:rPr>
            </w:pPr>
            <w:r>
              <w:rPr>
                <w:rFonts w:hint="eastAsia" w:ascii="宋体" w:hAnsi="宋体"/>
                <w:sz w:val="22"/>
                <w:szCs w:val="22"/>
              </w:rPr>
              <w:t>其它须说明的资料（如有则提供）</w:t>
            </w:r>
          </w:p>
        </w:tc>
        <w:tc>
          <w:tcPr>
            <w:tcW w:w="1099" w:type="dxa"/>
            <w:noWrap w:val="0"/>
            <w:vAlign w:val="center"/>
          </w:tcPr>
          <w:p>
            <w:pPr>
              <w:tabs>
                <w:tab w:val="left" w:pos="4140"/>
              </w:tabs>
              <w:adjustRightInd w:val="0"/>
              <w:snapToGrid w:val="0"/>
              <w:spacing w:line="320" w:lineRule="atLeast"/>
              <w:jc w:val="center"/>
              <w:rPr>
                <w:rFonts w:ascii="宋体" w:hAnsi="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2"/>
            <w:noWrap w:val="0"/>
            <w:vAlign w:val="top"/>
          </w:tcPr>
          <w:p>
            <w:pPr>
              <w:autoSpaceDE w:val="0"/>
              <w:autoSpaceDN w:val="0"/>
              <w:adjustRightInd w:val="0"/>
              <w:snapToGrid w:val="0"/>
              <w:spacing w:line="430" w:lineRule="atLeast"/>
              <w:rPr>
                <w:rFonts w:ascii="宋体" w:hAnsi="宋体"/>
                <w:b/>
                <w:sz w:val="22"/>
              </w:rPr>
            </w:pPr>
            <w:r>
              <w:rPr>
                <w:rFonts w:hint="eastAsia" w:ascii="宋体" w:hAnsi="宋体"/>
                <w:sz w:val="22"/>
                <w:szCs w:val="22"/>
                <w:lang w:val="zh-CN"/>
              </w:rPr>
              <w:t>技术部分（如资料提供不齐全，将可能导致不利的评定）</w:t>
            </w:r>
          </w:p>
        </w:tc>
        <w:tc>
          <w:tcPr>
            <w:tcW w:w="1099" w:type="dxa"/>
            <w:noWrap w:val="0"/>
            <w:vAlign w:val="top"/>
          </w:tcPr>
          <w:p>
            <w:pPr>
              <w:autoSpaceDE w:val="0"/>
              <w:autoSpaceDN w:val="0"/>
              <w:adjustRightInd w:val="0"/>
              <w:snapToGrid w:val="0"/>
              <w:spacing w:line="430" w:lineRule="atLeast"/>
              <w:jc w:val="center"/>
              <w:rPr>
                <w:rFonts w:ascii="宋体" w:hAnsi="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autoSpaceDE w:val="0"/>
              <w:autoSpaceDN w:val="0"/>
              <w:adjustRightInd w:val="0"/>
              <w:snapToGrid w:val="0"/>
              <w:spacing w:line="430" w:lineRule="atLeast"/>
              <w:jc w:val="center"/>
              <w:rPr>
                <w:rFonts w:ascii="宋体" w:hAnsi="宋体"/>
                <w:bCs/>
                <w:sz w:val="22"/>
              </w:rPr>
            </w:pPr>
            <w:r>
              <w:rPr>
                <w:rFonts w:hint="eastAsia" w:ascii="宋体" w:hAnsi="宋体"/>
                <w:bCs/>
                <w:sz w:val="22"/>
              </w:rPr>
              <w:t>6</w:t>
            </w:r>
          </w:p>
        </w:tc>
        <w:tc>
          <w:tcPr>
            <w:tcW w:w="8080" w:type="dxa"/>
            <w:noWrap w:val="0"/>
            <w:vAlign w:val="top"/>
          </w:tcPr>
          <w:p>
            <w:pPr>
              <w:autoSpaceDE w:val="0"/>
              <w:autoSpaceDN w:val="0"/>
              <w:adjustRightInd w:val="0"/>
              <w:snapToGrid w:val="0"/>
              <w:spacing w:line="430" w:lineRule="atLeast"/>
              <w:rPr>
                <w:rFonts w:ascii="宋体" w:hAnsi="宋体"/>
                <w:b/>
                <w:sz w:val="22"/>
              </w:rPr>
            </w:pPr>
            <w:r>
              <w:rPr>
                <w:rFonts w:hint="eastAsia" w:ascii="宋体" w:hAnsi="宋体"/>
                <w:sz w:val="22"/>
                <w:szCs w:val="22"/>
              </w:rPr>
              <w:t>商务、技术偏离表</w:t>
            </w:r>
          </w:p>
        </w:tc>
        <w:tc>
          <w:tcPr>
            <w:tcW w:w="1099" w:type="dxa"/>
            <w:noWrap w:val="0"/>
            <w:vAlign w:val="top"/>
          </w:tcPr>
          <w:p>
            <w:pPr>
              <w:autoSpaceDE w:val="0"/>
              <w:autoSpaceDN w:val="0"/>
              <w:adjustRightInd w:val="0"/>
              <w:snapToGrid w:val="0"/>
              <w:spacing w:line="430" w:lineRule="atLeast"/>
              <w:jc w:val="center"/>
              <w:rPr>
                <w:rFonts w:ascii="宋体" w:hAnsi="宋体"/>
                <w:sz w:val="22"/>
                <w:szCs w:val="22"/>
              </w:rPr>
            </w:pPr>
            <w:r>
              <w:rPr>
                <w:rFonts w:hint="eastAsia" w:ascii="宋体" w:hAnsi="宋体"/>
                <w:sz w:val="22"/>
                <w:szCs w:val="22"/>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autoSpaceDE w:val="0"/>
              <w:autoSpaceDN w:val="0"/>
              <w:adjustRightInd w:val="0"/>
              <w:snapToGrid w:val="0"/>
              <w:spacing w:line="430" w:lineRule="atLeast"/>
              <w:jc w:val="center"/>
              <w:rPr>
                <w:rFonts w:ascii="宋体" w:hAnsi="宋体"/>
                <w:bCs/>
                <w:sz w:val="22"/>
              </w:rPr>
            </w:pPr>
            <w:r>
              <w:rPr>
                <w:rFonts w:hint="eastAsia" w:ascii="宋体" w:hAnsi="宋体"/>
                <w:bCs/>
                <w:sz w:val="22"/>
                <w:szCs w:val="22"/>
              </w:rPr>
              <w:t>7</w:t>
            </w:r>
          </w:p>
        </w:tc>
        <w:tc>
          <w:tcPr>
            <w:tcW w:w="8080" w:type="dxa"/>
            <w:noWrap w:val="0"/>
            <w:vAlign w:val="top"/>
          </w:tcPr>
          <w:p>
            <w:pPr>
              <w:autoSpaceDE w:val="0"/>
              <w:autoSpaceDN w:val="0"/>
              <w:adjustRightInd w:val="0"/>
              <w:snapToGrid w:val="0"/>
              <w:spacing w:line="430" w:lineRule="atLeast"/>
              <w:rPr>
                <w:rFonts w:ascii="宋体" w:hAnsi="宋体"/>
                <w:sz w:val="22"/>
                <w:szCs w:val="22"/>
              </w:rPr>
            </w:pPr>
            <w:r>
              <w:rPr>
                <w:rFonts w:hint="eastAsia" w:ascii="宋体" w:hAnsi="宋体"/>
                <w:sz w:val="22"/>
                <w:szCs w:val="22"/>
              </w:rPr>
              <w:t>投标产品的数量、配置及主要技术参数</w:t>
            </w:r>
          </w:p>
        </w:tc>
        <w:tc>
          <w:tcPr>
            <w:tcW w:w="1099" w:type="dxa"/>
            <w:noWrap w:val="0"/>
            <w:vAlign w:val="top"/>
          </w:tcPr>
          <w:p>
            <w:pPr>
              <w:autoSpaceDE w:val="0"/>
              <w:autoSpaceDN w:val="0"/>
              <w:adjustRightInd w:val="0"/>
              <w:snapToGrid w:val="0"/>
              <w:spacing w:line="430" w:lineRule="atLeast"/>
              <w:jc w:val="center"/>
              <w:rPr>
                <w:rFonts w:hint="eastAsia" w:ascii="宋体" w:hAnsi="宋体"/>
                <w:sz w:val="22"/>
                <w:szCs w:val="22"/>
              </w:rPr>
            </w:pPr>
            <w:r>
              <w:rPr>
                <w:rFonts w:hint="eastAsia" w:ascii="宋体" w:hAnsi="宋体"/>
                <w:sz w:val="22"/>
                <w:szCs w:val="22"/>
              </w:rPr>
              <w:t>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autoSpaceDE w:val="0"/>
              <w:autoSpaceDN w:val="0"/>
              <w:adjustRightInd w:val="0"/>
              <w:snapToGrid w:val="0"/>
              <w:spacing w:line="430" w:lineRule="atLeast"/>
              <w:jc w:val="center"/>
              <w:rPr>
                <w:rFonts w:ascii="宋体" w:hAnsi="宋体"/>
                <w:bCs/>
                <w:sz w:val="22"/>
              </w:rPr>
            </w:pPr>
            <w:r>
              <w:rPr>
                <w:rFonts w:hint="eastAsia" w:ascii="宋体" w:hAnsi="宋体"/>
                <w:bCs/>
                <w:sz w:val="22"/>
                <w:szCs w:val="22"/>
              </w:rPr>
              <w:t>8</w:t>
            </w:r>
          </w:p>
        </w:tc>
        <w:tc>
          <w:tcPr>
            <w:tcW w:w="8080" w:type="dxa"/>
            <w:noWrap w:val="0"/>
            <w:vAlign w:val="center"/>
          </w:tcPr>
          <w:p>
            <w:pPr>
              <w:autoSpaceDE w:val="0"/>
              <w:autoSpaceDN w:val="0"/>
              <w:adjustRightInd w:val="0"/>
              <w:snapToGrid w:val="0"/>
              <w:spacing w:line="430" w:lineRule="atLeast"/>
              <w:rPr>
                <w:rFonts w:ascii="宋体" w:hAnsi="宋体"/>
                <w:b/>
                <w:sz w:val="22"/>
              </w:rPr>
            </w:pPr>
            <w:r>
              <w:rPr>
                <w:rFonts w:hint="eastAsia" w:ascii="宋体" w:hAnsi="宋体"/>
                <w:sz w:val="22"/>
                <w:szCs w:val="22"/>
              </w:rPr>
              <w:t>针对本项目的供货方案、实施周期计划等</w:t>
            </w:r>
          </w:p>
        </w:tc>
        <w:tc>
          <w:tcPr>
            <w:tcW w:w="1099" w:type="dxa"/>
            <w:noWrap w:val="0"/>
            <w:vAlign w:val="center"/>
          </w:tcPr>
          <w:p>
            <w:pPr>
              <w:autoSpaceDE w:val="0"/>
              <w:autoSpaceDN w:val="0"/>
              <w:adjustRightInd w:val="0"/>
              <w:snapToGrid w:val="0"/>
              <w:spacing w:line="430" w:lineRule="atLeas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autoSpaceDE w:val="0"/>
              <w:autoSpaceDN w:val="0"/>
              <w:adjustRightInd w:val="0"/>
              <w:snapToGrid w:val="0"/>
              <w:spacing w:line="430" w:lineRule="atLeast"/>
              <w:jc w:val="center"/>
              <w:rPr>
                <w:rFonts w:ascii="宋体" w:hAnsi="宋体"/>
                <w:bCs/>
                <w:sz w:val="22"/>
              </w:rPr>
            </w:pPr>
            <w:r>
              <w:rPr>
                <w:rFonts w:hint="eastAsia" w:ascii="宋体" w:hAnsi="宋体"/>
                <w:bCs/>
                <w:sz w:val="22"/>
                <w:szCs w:val="22"/>
              </w:rPr>
              <w:t>9</w:t>
            </w:r>
          </w:p>
        </w:tc>
        <w:tc>
          <w:tcPr>
            <w:tcW w:w="8080" w:type="dxa"/>
            <w:noWrap w:val="0"/>
            <w:vAlign w:val="center"/>
          </w:tcPr>
          <w:p>
            <w:pPr>
              <w:autoSpaceDE w:val="0"/>
              <w:autoSpaceDN w:val="0"/>
              <w:adjustRightInd w:val="0"/>
              <w:snapToGrid w:val="0"/>
              <w:spacing w:line="430" w:lineRule="atLeast"/>
              <w:rPr>
                <w:rFonts w:ascii="宋体" w:hAnsi="宋体"/>
                <w:b/>
                <w:sz w:val="22"/>
              </w:rPr>
            </w:pPr>
            <w:r>
              <w:rPr>
                <w:rFonts w:hint="eastAsia" w:ascii="宋体" w:hAnsi="宋体"/>
                <w:sz w:val="22"/>
                <w:szCs w:val="22"/>
              </w:rPr>
              <w:t>针对本项目拟投入的项目组成员情况</w:t>
            </w:r>
          </w:p>
        </w:tc>
        <w:tc>
          <w:tcPr>
            <w:tcW w:w="1099" w:type="dxa"/>
            <w:noWrap w:val="0"/>
            <w:vAlign w:val="center"/>
          </w:tcPr>
          <w:p>
            <w:pPr>
              <w:autoSpaceDE w:val="0"/>
              <w:autoSpaceDN w:val="0"/>
              <w:adjustRightInd w:val="0"/>
              <w:snapToGrid w:val="0"/>
              <w:spacing w:line="430" w:lineRule="atLeast"/>
              <w:jc w:val="center"/>
              <w:rPr>
                <w:rFonts w:hint="eastAsia" w:ascii="宋体" w:hAnsi="宋体"/>
                <w:sz w:val="22"/>
                <w:szCs w:val="22"/>
              </w:rPr>
            </w:pPr>
            <w:r>
              <w:rPr>
                <w:rFonts w:hint="eastAsia" w:ascii="宋体" w:hAnsi="宋体"/>
                <w:sz w:val="22"/>
                <w:szCs w:val="22"/>
              </w:rPr>
              <w:t>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autoSpaceDE w:val="0"/>
              <w:autoSpaceDN w:val="0"/>
              <w:adjustRightInd w:val="0"/>
              <w:snapToGrid w:val="0"/>
              <w:spacing w:line="430" w:lineRule="atLeast"/>
              <w:jc w:val="center"/>
              <w:rPr>
                <w:rFonts w:ascii="宋体" w:hAnsi="宋体"/>
                <w:bCs/>
                <w:sz w:val="22"/>
              </w:rPr>
            </w:pPr>
            <w:r>
              <w:rPr>
                <w:rFonts w:hint="eastAsia" w:ascii="宋体" w:hAnsi="宋体"/>
                <w:bCs/>
                <w:sz w:val="22"/>
                <w:szCs w:val="22"/>
              </w:rPr>
              <w:t>10</w:t>
            </w:r>
          </w:p>
        </w:tc>
        <w:tc>
          <w:tcPr>
            <w:tcW w:w="8080" w:type="dxa"/>
            <w:noWrap w:val="0"/>
            <w:vAlign w:val="center"/>
          </w:tcPr>
          <w:p>
            <w:pPr>
              <w:autoSpaceDE w:val="0"/>
              <w:autoSpaceDN w:val="0"/>
              <w:adjustRightInd w:val="0"/>
              <w:textAlignment w:val="bottom"/>
              <w:rPr>
                <w:rFonts w:ascii="宋体" w:hAnsi="宋体" w:cs="新宋体"/>
                <w:b/>
                <w:sz w:val="22"/>
                <w:lang w:val="zh-CN"/>
              </w:rPr>
            </w:pPr>
            <w:r>
              <w:rPr>
                <w:rFonts w:hint="eastAsia" w:ascii="宋体" w:hAnsi="宋体" w:cs="新宋体"/>
                <w:sz w:val="22"/>
                <w:szCs w:val="22"/>
                <w:lang w:val="zh-CN"/>
              </w:rPr>
              <w:t>售后服务承诺：技术服务和售后服务的内容、措施、承诺，包括质保期、距采购人最近的服务网点的详细介绍，资质资格、技术力量、成立时间</w:t>
            </w:r>
          </w:p>
        </w:tc>
        <w:tc>
          <w:tcPr>
            <w:tcW w:w="1099" w:type="dxa"/>
            <w:noWrap w:val="0"/>
            <w:vAlign w:val="center"/>
          </w:tcPr>
          <w:p>
            <w:pPr>
              <w:autoSpaceDE w:val="0"/>
              <w:autoSpaceDN w:val="0"/>
              <w:adjustRightInd w:val="0"/>
              <w:snapToGrid w:val="0"/>
              <w:spacing w:line="430" w:lineRule="atLeas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autoSpaceDE w:val="0"/>
              <w:autoSpaceDN w:val="0"/>
              <w:adjustRightInd w:val="0"/>
              <w:snapToGrid w:val="0"/>
              <w:spacing w:line="430" w:lineRule="atLeast"/>
              <w:jc w:val="center"/>
              <w:rPr>
                <w:rFonts w:ascii="宋体" w:hAnsi="宋体"/>
                <w:bCs/>
                <w:sz w:val="22"/>
              </w:rPr>
            </w:pPr>
            <w:r>
              <w:rPr>
                <w:rFonts w:hint="eastAsia" w:ascii="宋体" w:hAnsi="宋体"/>
                <w:bCs/>
                <w:sz w:val="22"/>
                <w:szCs w:val="22"/>
              </w:rPr>
              <w:t>11</w:t>
            </w:r>
          </w:p>
        </w:tc>
        <w:tc>
          <w:tcPr>
            <w:tcW w:w="8080" w:type="dxa"/>
            <w:noWrap w:val="0"/>
            <w:vAlign w:val="top"/>
          </w:tcPr>
          <w:p>
            <w:pPr>
              <w:autoSpaceDE w:val="0"/>
              <w:autoSpaceDN w:val="0"/>
              <w:adjustRightInd w:val="0"/>
              <w:snapToGrid w:val="0"/>
              <w:spacing w:line="430" w:lineRule="atLeast"/>
              <w:rPr>
                <w:rFonts w:ascii="宋体" w:hAnsi="宋体"/>
                <w:b/>
                <w:sz w:val="22"/>
              </w:rPr>
            </w:pPr>
            <w:r>
              <w:rPr>
                <w:rFonts w:hint="eastAsia" w:ascii="宋体" w:hAnsi="宋体" w:cs="新宋体"/>
                <w:sz w:val="22"/>
                <w:szCs w:val="22"/>
                <w:lang w:val="zh-CN"/>
              </w:rPr>
              <w:t>技术服务、培训、质量保证、惩罚保证、优惠条件及其他承诺</w:t>
            </w:r>
          </w:p>
        </w:tc>
        <w:tc>
          <w:tcPr>
            <w:tcW w:w="1099" w:type="dxa"/>
            <w:noWrap w:val="0"/>
            <w:vAlign w:val="center"/>
          </w:tcPr>
          <w:p>
            <w:pPr>
              <w:autoSpaceDE w:val="0"/>
              <w:autoSpaceDN w:val="0"/>
              <w:adjustRightInd w:val="0"/>
              <w:snapToGrid w:val="0"/>
              <w:spacing w:line="430" w:lineRule="atLeas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autoSpaceDE w:val="0"/>
              <w:autoSpaceDN w:val="0"/>
              <w:adjustRightInd w:val="0"/>
              <w:snapToGrid w:val="0"/>
              <w:spacing w:line="430" w:lineRule="atLeast"/>
              <w:jc w:val="center"/>
              <w:rPr>
                <w:rFonts w:ascii="宋体" w:hAnsi="宋体"/>
                <w:bCs/>
                <w:sz w:val="22"/>
              </w:rPr>
            </w:pPr>
            <w:r>
              <w:rPr>
                <w:rFonts w:hint="eastAsia" w:ascii="宋体" w:hAnsi="宋体"/>
                <w:bCs/>
                <w:sz w:val="22"/>
                <w:szCs w:val="22"/>
              </w:rPr>
              <w:t>12</w:t>
            </w:r>
          </w:p>
        </w:tc>
        <w:tc>
          <w:tcPr>
            <w:tcW w:w="8080" w:type="dxa"/>
            <w:noWrap w:val="0"/>
            <w:vAlign w:val="top"/>
          </w:tcPr>
          <w:p>
            <w:pPr>
              <w:autoSpaceDE w:val="0"/>
              <w:autoSpaceDN w:val="0"/>
              <w:adjustRightInd w:val="0"/>
              <w:snapToGrid w:val="0"/>
              <w:spacing w:line="430" w:lineRule="atLeast"/>
              <w:rPr>
                <w:rFonts w:ascii="宋体" w:hAnsi="宋体"/>
                <w:b/>
                <w:sz w:val="22"/>
              </w:rPr>
            </w:pPr>
            <w:r>
              <w:rPr>
                <w:rFonts w:hint="eastAsia" w:ascii="宋体" w:hAnsi="宋体"/>
                <w:sz w:val="22"/>
                <w:szCs w:val="22"/>
              </w:rPr>
              <w:t>根据采购文件中的采购内容与技术要求、评标细则，需要提供的其它文件和资料。</w:t>
            </w:r>
          </w:p>
        </w:tc>
        <w:tc>
          <w:tcPr>
            <w:tcW w:w="1099" w:type="dxa"/>
            <w:noWrap w:val="0"/>
            <w:vAlign w:val="center"/>
          </w:tcPr>
          <w:p>
            <w:pPr>
              <w:autoSpaceDE w:val="0"/>
              <w:autoSpaceDN w:val="0"/>
              <w:adjustRightInd w:val="0"/>
              <w:snapToGrid w:val="0"/>
              <w:spacing w:line="430" w:lineRule="atLeas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autoSpaceDE w:val="0"/>
              <w:autoSpaceDN w:val="0"/>
              <w:adjustRightInd w:val="0"/>
              <w:snapToGrid w:val="0"/>
              <w:spacing w:line="430" w:lineRule="atLeast"/>
              <w:jc w:val="center"/>
              <w:rPr>
                <w:rFonts w:ascii="宋体" w:hAnsi="宋体"/>
                <w:bCs/>
                <w:sz w:val="22"/>
              </w:rPr>
            </w:pPr>
            <w:r>
              <w:rPr>
                <w:rFonts w:hint="eastAsia" w:ascii="宋体" w:hAnsi="宋体"/>
                <w:bCs/>
                <w:sz w:val="22"/>
              </w:rPr>
              <w:t>13</w:t>
            </w:r>
          </w:p>
        </w:tc>
        <w:tc>
          <w:tcPr>
            <w:tcW w:w="8080" w:type="dxa"/>
            <w:noWrap w:val="0"/>
            <w:vAlign w:val="top"/>
          </w:tcPr>
          <w:p>
            <w:pPr>
              <w:autoSpaceDE w:val="0"/>
              <w:autoSpaceDN w:val="0"/>
              <w:adjustRightInd w:val="0"/>
              <w:snapToGrid w:val="0"/>
              <w:spacing w:line="430" w:lineRule="atLeast"/>
              <w:rPr>
                <w:rFonts w:ascii="宋体" w:hAnsi="宋体"/>
                <w:b/>
                <w:sz w:val="22"/>
              </w:rPr>
            </w:pPr>
            <w:r>
              <w:rPr>
                <w:rFonts w:hint="eastAsia" w:ascii="宋体" w:hAnsi="宋体"/>
                <w:sz w:val="22"/>
                <w:szCs w:val="22"/>
              </w:rPr>
              <w:t>其它供应商须说明的资料（如有则提供）</w:t>
            </w:r>
          </w:p>
        </w:tc>
        <w:tc>
          <w:tcPr>
            <w:tcW w:w="1099" w:type="dxa"/>
            <w:noWrap w:val="0"/>
            <w:vAlign w:val="top"/>
          </w:tcPr>
          <w:p>
            <w:pPr>
              <w:autoSpaceDE w:val="0"/>
              <w:autoSpaceDN w:val="0"/>
              <w:adjustRightInd w:val="0"/>
              <w:snapToGrid w:val="0"/>
              <w:spacing w:line="430" w:lineRule="atLeast"/>
              <w:jc w:val="center"/>
              <w:rPr>
                <w:rFonts w:ascii="宋体" w:hAnsi="宋体" w:cs="Arial"/>
                <w:sz w:val="22"/>
                <w:szCs w:val="22"/>
              </w:rPr>
            </w:pPr>
          </w:p>
        </w:tc>
      </w:tr>
    </w:tbl>
    <w:p>
      <w:pPr>
        <w:autoSpaceDE w:val="0"/>
        <w:autoSpaceDN w:val="0"/>
        <w:adjustRightInd w:val="0"/>
        <w:spacing w:line="360" w:lineRule="auto"/>
        <w:ind w:firstLine="440" w:firstLineChars="200"/>
        <w:textAlignment w:val="bottom"/>
        <w:rPr>
          <w:rFonts w:ascii="宋体" w:hAnsi="宋体"/>
          <w:sz w:val="22"/>
          <w:szCs w:val="22"/>
        </w:rPr>
      </w:pPr>
      <w:r>
        <w:rPr>
          <w:rFonts w:hint="eastAsia" w:ascii="宋体" w:hAnsi="宋体"/>
          <w:sz w:val="22"/>
          <w:szCs w:val="22"/>
        </w:rPr>
        <w:t>注：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autoSpaceDE w:val="0"/>
        <w:autoSpaceDN w:val="0"/>
        <w:adjustRightInd w:val="0"/>
        <w:spacing w:line="460" w:lineRule="atLeast"/>
        <w:ind w:firstLine="440" w:firstLineChars="200"/>
        <w:textAlignment w:val="bottom"/>
        <w:rPr>
          <w:rFonts w:ascii="宋体" w:hAnsi="宋体" w:cs="新宋体"/>
          <w:sz w:val="22"/>
          <w:szCs w:val="22"/>
        </w:rPr>
      </w:pPr>
      <w:r>
        <w:rPr>
          <w:rFonts w:hint="eastAsia" w:ascii="宋体" w:hAnsi="宋体" w:cs="新宋体"/>
          <w:sz w:val="22"/>
          <w:szCs w:val="22"/>
        </w:rPr>
        <w:t>3、投标文件编制</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3.1本项目通过“政采云平台（www.zcygov.cn）”实行在线投标响应（电子投标）。供应商应通过“政采云电子交易客户端”，并按照本采购文件和“政采云平台”的要求编制并加密投标文件。</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3.2投标人应当按照本章节 “投标文件组成”规定的内容及顺序在“政采云电子交易客户端”编制投标文件。其中 “技术资信文件”中不得出现本项目投标报价，如因投标人原因提前泄露投标报价，是投标人的责任。</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3.3本采购文件“投标文件格式”中有提供格式的，投标人须参照格式进行编制（格式中要求提供相关证明材料的还需后附相关证明材料），并按格式要求在指定位置根据要求进行签章，否则视为未提供；本文件“第六部分 投标文件格式”未提供格式的，请各投标单位自行拟定格式，并加盖单位公章并由法定代表人或其授权代表签署（签字或盖章），否则视为未提供。</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3.4投标文件内容不完整、编排混乱导致投标文件被误读、漏读或者查找不到相关内容的，是投标人的责任。</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3.5投标文件因字迹潦草或表达不清所引起的后果由投标人负责。</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3.6 投标人没有按照本章节 “投标文件组成”要求提供全部资料，或者没有仔细阅读采购文件，或者没有对采购文件在各方面的要求作出实质性响应是投标人的风险，由此造成的一切后果由投标人自行承担。</w:t>
      </w:r>
    </w:p>
    <w:p>
      <w:pPr>
        <w:autoSpaceDE w:val="0"/>
        <w:autoSpaceDN w:val="0"/>
        <w:adjustRightInd w:val="0"/>
        <w:spacing w:line="460" w:lineRule="atLeast"/>
        <w:ind w:firstLine="440" w:firstLineChars="200"/>
        <w:textAlignment w:val="bottom"/>
        <w:rPr>
          <w:rFonts w:ascii="宋体" w:hAnsi="宋体" w:cs="新宋体"/>
          <w:sz w:val="22"/>
          <w:szCs w:val="22"/>
        </w:rPr>
      </w:pPr>
      <w:r>
        <w:rPr>
          <w:rFonts w:hint="eastAsia" w:ascii="宋体" w:hAnsi="宋体" w:cs="新宋体"/>
          <w:sz w:val="22"/>
          <w:szCs w:val="22"/>
        </w:rPr>
        <w:t>4、投标文件的签章</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4.1投标文件的签章要求：投标人须知前附表；</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4.2投标文件应由投标人法定代表人或其授权代表签章（电子签章），并时加盖投标人公章（电子签章）。</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4.3电子签章操作指南详见采购公告附件《供应商项目采购-电子招投标操作指南》。</w:t>
      </w:r>
    </w:p>
    <w:p>
      <w:pPr>
        <w:autoSpaceDE w:val="0"/>
        <w:autoSpaceDN w:val="0"/>
        <w:adjustRightInd w:val="0"/>
        <w:spacing w:line="460" w:lineRule="atLeast"/>
        <w:ind w:firstLine="440" w:firstLineChars="200"/>
        <w:textAlignment w:val="bottom"/>
        <w:rPr>
          <w:rFonts w:ascii="宋体" w:hAnsi="宋体" w:cs="新宋体"/>
          <w:sz w:val="22"/>
          <w:szCs w:val="22"/>
        </w:rPr>
      </w:pPr>
      <w:r>
        <w:rPr>
          <w:rFonts w:hint="eastAsia" w:ascii="宋体" w:hAnsi="宋体" w:cs="新宋体"/>
          <w:sz w:val="22"/>
          <w:szCs w:val="22"/>
        </w:rPr>
        <w:t>5、投标文件的形式</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5.1投标文件的形式：见投标人须知前附表；</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5.2“电子加密投标文件”：“电子加密投标文件”是指通过“政采云电子交易客户端”完成投标文件编制后生成并加密的数据电文形式的投标文件。</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5.3“备份投标文件”：“备份投标文件”是指与“电子加密投标文件”同时生成的数据电文形式的电子文件（备份标书），其他方式编制的“备份投标文件”视为无效的“备份投标文件”。</w:t>
      </w:r>
    </w:p>
    <w:p>
      <w:pPr>
        <w:autoSpaceDE w:val="0"/>
        <w:autoSpaceDN w:val="0"/>
        <w:adjustRightInd w:val="0"/>
        <w:spacing w:line="460" w:lineRule="atLeast"/>
        <w:ind w:firstLine="440" w:firstLineChars="200"/>
        <w:textAlignment w:val="bottom"/>
        <w:rPr>
          <w:rFonts w:ascii="宋体" w:hAnsi="宋体" w:cs="新宋体"/>
          <w:sz w:val="22"/>
          <w:szCs w:val="22"/>
        </w:rPr>
      </w:pPr>
      <w:r>
        <w:rPr>
          <w:rFonts w:hint="eastAsia" w:ascii="宋体" w:hAnsi="宋体" w:cs="新宋体"/>
          <w:sz w:val="22"/>
          <w:szCs w:val="22"/>
        </w:rPr>
        <w:t>6、投标文件的份数</w:t>
      </w:r>
    </w:p>
    <w:p>
      <w:pPr>
        <w:autoSpaceDE w:val="0"/>
        <w:autoSpaceDN w:val="0"/>
        <w:adjustRightInd w:val="0"/>
        <w:spacing w:line="460" w:lineRule="atLeast"/>
        <w:ind w:firstLine="440" w:firstLineChars="200"/>
        <w:rPr>
          <w:rFonts w:ascii="宋体" w:hAnsi="宋体" w:cs="新宋体"/>
          <w:sz w:val="22"/>
          <w:szCs w:val="22"/>
        </w:rPr>
      </w:pPr>
      <w:r>
        <w:rPr>
          <w:rFonts w:hint="eastAsia" w:ascii="宋体" w:hAnsi="宋体" w:cs="新宋体"/>
          <w:sz w:val="22"/>
          <w:szCs w:val="22"/>
        </w:rPr>
        <w:t>6.1投标文件的份数：见投标人须知前附表。</w:t>
      </w:r>
    </w:p>
    <w:p>
      <w:pPr>
        <w:autoSpaceDE w:val="0"/>
        <w:autoSpaceDN w:val="0"/>
        <w:adjustRightInd w:val="0"/>
        <w:spacing w:line="460" w:lineRule="atLeast"/>
        <w:ind w:firstLine="440" w:firstLineChars="200"/>
        <w:textAlignment w:val="bottom"/>
        <w:rPr>
          <w:rFonts w:ascii="宋体" w:hAnsi="宋体" w:cs="新宋体"/>
          <w:bCs/>
          <w:sz w:val="22"/>
          <w:szCs w:val="22"/>
        </w:rPr>
      </w:pPr>
      <w:r>
        <w:rPr>
          <w:rFonts w:hint="eastAsia" w:ascii="宋体" w:hAnsi="宋体" w:cs="新宋体"/>
          <w:bCs/>
          <w:sz w:val="22"/>
          <w:szCs w:val="22"/>
        </w:rPr>
        <w:t>7、投标报价</w:t>
      </w:r>
      <w:bookmarkEnd w:id="20"/>
      <w:bookmarkEnd w:id="21"/>
    </w:p>
    <w:p>
      <w:pPr>
        <w:autoSpaceDE w:val="0"/>
        <w:autoSpaceDN w:val="0"/>
        <w:adjustRightInd w:val="0"/>
        <w:spacing w:line="460" w:lineRule="atLeast"/>
        <w:ind w:firstLine="440" w:firstLineChars="200"/>
        <w:textAlignment w:val="bottom"/>
        <w:rPr>
          <w:rFonts w:ascii="宋体" w:hAnsi="宋体" w:cs="新宋体"/>
          <w:bCs/>
          <w:sz w:val="22"/>
          <w:szCs w:val="22"/>
        </w:rPr>
      </w:pPr>
      <w:bookmarkStart w:id="30" w:name="_Toc132122116"/>
      <w:bookmarkStart w:id="31" w:name="_Toc132122413"/>
      <w:r>
        <w:rPr>
          <w:rFonts w:hint="eastAsia" w:ascii="宋体" w:hAnsi="宋体" w:cs="新宋体"/>
          <w:bCs/>
          <w:sz w:val="22"/>
          <w:szCs w:val="22"/>
        </w:rPr>
        <w:t>7.1、供应商应按招标文件中《开标一览表》及《投标分项报价表》填写投标总价及分项报价。</w:t>
      </w:r>
    </w:p>
    <w:p>
      <w:pPr>
        <w:autoSpaceDE w:val="0"/>
        <w:autoSpaceDN w:val="0"/>
        <w:adjustRightInd w:val="0"/>
        <w:spacing w:line="460" w:lineRule="atLeast"/>
        <w:ind w:firstLine="440" w:firstLineChars="200"/>
        <w:textAlignment w:val="bottom"/>
        <w:rPr>
          <w:rFonts w:ascii="宋体" w:hAnsi="宋体" w:cs="新宋体"/>
          <w:bCs/>
          <w:sz w:val="22"/>
          <w:szCs w:val="22"/>
        </w:rPr>
      </w:pPr>
      <w:r>
        <w:rPr>
          <w:rFonts w:hint="eastAsia" w:ascii="宋体" w:hAnsi="宋体" w:cs="新宋体"/>
          <w:bCs/>
          <w:sz w:val="22"/>
          <w:szCs w:val="22"/>
        </w:rPr>
        <w:t>7.2、本次招标只允许有一个报价，有选择的报价将不予接受。</w:t>
      </w:r>
    </w:p>
    <w:p>
      <w:pPr>
        <w:autoSpaceDE w:val="0"/>
        <w:autoSpaceDN w:val="0"/>
        <w:adjustRightInd w:val="0"/>
        <w:spacing w:line="460" w:lineRule="atLeast"/>
        <w:ind w:firstLine="440" w:firstLineChars="200"/>
        <w:textAlignment w:val="bottom"/>
        <w:rPr>
          <w:rFonts w:ascii="宋体" w:hAnsi="宋体" w:cs="新宋体"/>
          <w:bCs/>
          <w:sz w:val="22"/>
          <w:szCs w:val="22"/>
        </w:rPr>
      </w:pPr>
      <w:r>
        <w:rPr>
          <w:rFonts w:hint="eastAsia" w:ascii="宋体" w:hAnsi="宋体" w:cs="新宋体"/>
          <w:bCs/>
          <w:sz w:val="22"/>
          <w:szCs w:val="22"/>
        </w:rPr>
        <w:t>7.3、投标报价应按包含以下费用。</w:t>
      </w:r>
    </w:p>
    <w:p>
      <w:pPr>
        <w:autoSpaceDE w:val="0"/>
        <w:autoSpaceDN w:val="0"/>
        <w:adjustRightInd w:val="0"/>
        <w:spacing w:line="460" w:lineRule="atLeast"/>
        <w:ind w:firstLine="440" w:firstLineChars="200"/>
        <w:textAlignment w:val="bottom"/>
        <w:rPr>
          <w:rFonts w:ascii="宋体" w:hAnsi="宋体" w:cs="新宋体"/>
          <w:bCs/>
          <w:sz w:val="22"/>
          <w:szCs w:val="22"/>
        </w:rPr>
      </w:pPr>
      <w:r>
        <w:rPr>
          <w:rFonts w:hint="eastAsia" w:ascii="宋体" w:hAnsi="宋体" w:cs="新宋体"/>
          <w:sz w:val="22"/>
          <w:szCs w:val="22"/>
        </w:rPr>
        <w:t>包括服务期的设备的供货、安装、维护、人工费（含工人工资、奖金、房补、劳保福利、社保、意外保险、工伤费、教育培训费、暂住费及处理一切伤亡事故等费用）、工具材料费、安全文明作业装备费、企业应缴税金和应得利润、应急等完成合同所需的一切本身和不可或缺的所有工作开支、政策性文件规定计合同包含的所有风险、责任等各项全部费用并承担一切风险责任。</w:t>
      </w:r>
    </w:p>
    <w:p>
      <w:pPr>
        <w:autoSpaceDE w:val="0"/>
        <w:autoSpaceDN w:val="0"/>
        <w:adjustRightInd w:val="0"/>
        <w:spacing w:line="460" w:lineRule="atLeast"/>
        <w:ind w:firstLine="442" w:firstLineChars="200"/>
        <w:textAlignment w:val="bottom"/>
        <w:rPr>
          <w:rFonts w:ascii="宋体" w:hAnsi="宋体" w:cs="新宋体"/>
          <w:b/>
          <w:bCs/>
          <w:sz w:val="22"/>
          <w:szCs w:val="22"/>
          <w:u w:val="single"/>
        </w:rPr>
      </w:pPr>
      <w:r>
        <w:rPr>
          <w:rFonts w:hint="eastAsia" w:ascii="宋体" w:hAnsi="宋体" w:cs="新宋体"/>
          <w:b/>
          <w:bCs/>
          <w:sz w:val="22"/>
          <w:szCs w:val="22"/>
          <w:u w:val="single"/>
        </w:rPr>
        <w:t>供应商在投标报价中应充分考虑所有可能发生的费用，否则采购人将视投标总价中已包括所有费用。</w:t>
      </w:r>
    </w:p>
    <w:p>
      <w:pPr>
        <w:autoSpaceDE w:val="0"/>
        <w:autoSpaceDN w:val="0"/>
        <w:adjustRightInd w:val="0"/>
        <w:spacing w:line="460" w:lineRule="atLeast"/>
        <w:ind w:firstLine="442" w:firstLineChars="200"/>
        <w:textAlignment w:val="bottom"/>
        <w:rPr>
          <w:rFonts w:ascii="宋体" w:hAnsi="宋体" w:cs="新宋体"/>
          <w:bCs/>
          <w:sz w:val="22"/>
          <w:szCs w:val="22"/>
          <w:u w:val="single"/>
        </w:rPr>
      </w:pPr>
      <w:r>
        <w:rPr>
          <w:rFonts w:hint="eastAsia" w:ascii="宋体" w:hAnsi="宋体" w:cs="新宋体"/>
          <w:b/>
          <w:bCs/>
          <w:sz w:val="22"/>
          <w:szCs w:val="22"/>
          <w:u w:val="single"/>
        </w:rPr>
        <w:t>供应商对在合同执行中，除上述费用及招标文件规定的由中标供应商负责的工作范围以外需要采购人协调或提供便利的工作应当在投标文件中说明。</w:t>
      </w:r>
    </w:p>
    <w:p>
      <w:pPr>
        <w:autoSpaceDE w:val="0"/>
        <w:autoSpaceDN w:val="0"/>
        <w:adjustRightInd w:val="0"/>
        <w:spacing w:line="460" w:lineRule="atLeast"/>
        <w:ind w:firstLine="440" w:firstLineChars="200"/>
        <w:textAlignment w:val="bottom"/>
        <w:rPr>
          <w:rFonts w:ascii="宋体" w:hAnsi="宋体" w:cs="新宋体"/>
          <w:bCs/>
          <w:sz w:val="22"/>
          <w:szCs w:val="22"/>
        </w:rPr>
      </w:pPr>
      <w:r>
        <w:rPr>
          <w:rFonts w:hint="eastAsia" w:ascii="宋体" w:hAnsi="宋体" w:cs="新宋体"/>
          <w:bCs/>
          <w:sz w:val="22"/>
          <w:szCs w:val="22"/>
        </w:rPr>
        <w:t>填写报价表格时，各项费用应如实填写。</w:t>
      </w:r>
    </w:p>
    <w:p>
      <w:pPr>
        <w:autoSpaceDE w:val="0"/>
        <w:autoSpaceDN w:val="0"/>
        <w:adjustRightInd w:val="0"/>
        <w:spacing w:line="460" w:lineRule="atLeast"/>
        <w:ind w:firstLine="440" w:firstLineChars="200"/>
        <w:textAlignment w:val="bottom"/>
        <w:rPr>
          <w:rFonts w:ascii="宋体" w:hAnsi="宋体" w:cs="新宋体"/>
          <w:bCs/>
          <w:sz w:val="22"/>
          <w:szCs w:val="22"/>
        </w:rPr>
      </w:pPr>
      <w:r>
        <w:rPr>
          <w:rFonts w:hint="eastAsia" w:ascii="宋体" w:hAnsi="宋体" w:cs="新宋体"/>
          <w:bCs/>
          <w:sz w:val="22"/>
          <w:szCs w:val="22"/>
        </w:rPr>
        <w:t>8、采购人要求分类报价是为了方便评标，但在任何情况下不限制采购人以其认为最合适的条款签订合同的权利。</w:t>
      </w:r>
    </w:p>
    <w:bookmarkEnd w:id="30"/>
    <w:bookmarkEnd w:id="31"/>
    <w:p>
      <w:pPr>
        <w:autoSpaceDE w:val="0"/>
        <w:autoSpaceDN w:val="0"/>
        <w:adjustRightInd w:val="0"/>
        <w:spacing w:line="460" w:lineRule="atLeast"/>
        <w:ind w:firstLine="440" w:firstLineChars="200"/>
        <w:textAlignment w:val="bottom"/>
        <w:rPr>
          <w:rFonts w:ascii="宋体" w:hAnsi="宋体" w:cs="新宋体"/>
          <w:bCs/>
          <w:sz w:val="22"/>
          <w:szCs w:val="22"/>
        </w:rPr>
      </w:pPr>
      <w:bookmarkStart w:id="32" w:name="_Toc132122414"/>
      <w:bookmarkStart w:id="33" w:name="_Toc132122117"/>
      <w:bookmarkStart w:id="34" w:name="_Toc132125984"/>
      <w:bookmarkStart w:id="35" w:name="_Toc132123548"/>
      <w:bookmarkStart w:id="36" w:name="_Toc132123635"/>
      <w:bookmarkStart w:id="37" w:name="_Toc132655777"/>
      <w:bookmarkStart w:id="38" w:name="_Toc132122417"/>
      <w:bookmarkStart w:id="39" w:name="_Toc132126155"/>
      <w:bookmarkStart w:id="40" w:name="_Toc132122120"/>
      <w:bookmarkStart w:id="41" w:name="_Toc332809833"/>
      <w:bookmarkStart w:id="42" w:name="_Toc132125038"/>
      <w:bookmarkStart w:id="43" w:name="_Toc132123839"/>
      <w:bookmarkStart w:id="44" w:name="_Toc132125152"/>
      <w:bookmarkStart w:id="45" w:name="_Toc132123882"/>
      <w:bookmarkStart w:id="46" w:name="_Toc132124595"/>
      <w:bookmarkStart w:id="47" w:name="_Toc132125575"/>
      <w:bookmarkStart w:id="48" w:name="_Toc132123440"/>
      <w:bookmarkStart w:id="49" w:name="_Toc132125096"/>
      <w:r>
        <w:rPr>
          <w:rFonts w:hint="eastAsia" w:ascii="宋体" w:hAnsi="宋体" w:cs="新宋体"/>
          <w:bCs/>
          <w:sz w:val="22"/>
          <w:szCs w:val="22"/>
        </w:rPr>
        <w:t>9、投标文件的有效期</w:t>
      </w:r>
      <w:bookmarkEnd w:id="32"/>
      <w:bookmarkEnd w:id="33"/>
    </w:p>
    <w:p>
      <w:pPr>
        <w:autoSpaceDE w:val="0"/>
        <w:autoSpaceDN w:val="0"/>
        <w:adjustRightInd w:val="0"/>
        <w:spacing w:line="460" w:lineRule="atLeast"/>
        <w:ind w:firstLine="440" w:firstLineChars="200"/>
        <w:textAlignment w:val="bottom"/>
        <w:rPr>
          <w:rFonts w:ascii="宋体" w:hAnsi="宋体" w:cs="新宋体"/>
          <w:bCs/>
          <w:sz w:val="22"/>
          <w:szCs w:val="22"/>
        </w:rPr>
      </w:pPr>
      <w:r>
        <w:rPr>
          <w:rFonts w:hint="eastAsia" w:ascii="宋体" w:hAnsi="宋体" w:cs="新宋体"/>
          <w:bCs/>
          <w:sz w:val="22"/>
          <w:szCs w:val="22"/>
        </w:rPr>
        <w:t>9.1 自投标截止时间起90天内，投标文件应保持有效。有效期短于这个规定期限的投标将被拒绝。</w:t>
      </w:r>
    </w:p>
    <w:p>
      <w:pPr>
        <w:autoSpaceDE w:val="0"/>
        <w:autoSpaceDN w:val="0"/>
        <w:adjustRightInd w:val="0"/>
        <w:spacing w:line="460" w:lineRule="atLeast"/>
        <w:ind w:firstLine="440" w:firstLineChars="200"/>
        <w:textAlignment w:val="bottom"/>
        <w:rPr>
          <w:rFonts w:ascii="宋体" w:hAnsi="宋体" w:cs="新宋体"/>
          <w:bCs/>
          <w:sz w:val="22"/>
          <w:szCs w:val="22"/>
        </w:rPr>
      </w:pPr>
      <w:r>
        <w:rPr>
          <w:rFonts w:hint="eastAsia" w:ascii="宋体" w:hAnsi="宋体" w:cs="新宋体"/>
          <w:bCs/>
          <w:sz w:val="22"/>
          <w:szCs w:val="22"/>
        </w:rPr>
        <w:t>9.2 在特殊情况下，采购人可与供应商协商延长投标文件的有效期，这种要求和答复均应以书面形式进行。</w:t>
      </w:r>
    </w:p>
    <w:p>
      <w:pPr>
        <w:autoSpaceDE w:val="0"/>
        <w:autoSpaceDN w:val="0"/>
        <w:adjustRightInd w:val="0"/>
        <w:spacing w:line="460" w:lineRule="atLeast"/>
        <w:ind w:firstLine="440" w:firstLineChars="200"/>
        <w:textAlignment w:val="bottom"/>
        <w:rPr>
          <w:rFonts w:ascii="宋体" w:hAnsi="宋体" w:cs="新宋体"/>
          <w:bCs/>
          <w:sz w:val="22"/>
          <w:szCs w:val="22"/>
        </w:rPr>
      </w:pPr>
      <w:r>
        <w:rPr>
          <w:rFonts w:hint="eastAsia" w:ascii="宋体" w:hAnsi="宋体" w:cs="新宋体"/>
          <w:bCs/>
          <w:sz w:val="22"/>
          <w:szCs w:val="22"/>
        </w:rPr>
        <w:t>9.3 供应商可拒绝接受延期要求。同意延长有效期的供应商不能修改投标文件。</w:t>
      </w:r>
    </w:p>
    <w:p>
      <w:pPr>
        <w:autoSpaceDE w:val="0"/>
        <w:autoSpaceDN w:val="0"/>
        <w:adjustRightInd w:val="0"/>
        <w:spacing w:line="460" w:lineRule="atLeast"/>
        <w:ind w:firstLine="440" w:firstLineChars="200"/>
        <w:textAlignment w:val="bottom"/>
        <w:rPr>
          <w:rFonts w:ascii="宋体" w:hAnsi="宋体" w:cs="新宋体"/>
          <w:bCs/>
          <w:sz w:val="22"/>
          <w:szCs w:val="22"/>
        </w:rPr>
      </w:pPr>
      <w:r>
        <w:rPr>
          <w:rFonts w:hint="eastAsia" w:ascii="宋体" w:hAnsi="宋体" w:cs="新宋体"/>
          <w:bCs/>
          <w:sz w:val="22"/>
          <w:szCs w:val="22"/>
        </w:rPr>
        <w:t>10、投标人如发生下列情况之一，将上报同级政府采购监督管理部门，追究其责任：</w:t>
      </w:r>
    </w:p>
    <w:p>
      <w:pPr>
        <w:pStyle w:val="86"/>
        <w:numPr>
          <w:ilvl w:val="0"/>
          <w:numId w:val="6"/>
        </w:numPr>
        <w:autoSpaceDE w:val="0"/>
        <w:autoSpaceDN w:val="0"/>
        <w:adjustRightInd w:val="0"/>
        <w:spacing w:line="460" w:lineRule="atLeast"/>
        <w:ind w:firstLineChars="0"/>
        <w:textAlignment w:val="bottom"/>
        <w:rPr>
          <w:rFonts w:ascii="宋体" w:hAnsi="宋体" w:cs="新宋体"/>
          <w:bCs/>
          <w:sz w:val="22"/>
          <w:szCs w:val="22"/>
        </w:rPr>
      </w:pPr>
      <w:r>
        <w:rPr>
          <w:rFonts w:hint="eastAsia" w:ascii="宋体" w:hAnsi="宋体" w:cs="新宋体"/>
          <w:bCs/>
          <w:sz w:val="22"/>
          <w:szCs w:val="22"/>
        </w:rPr>
        <w:t>投标人在采购文件规定的投标有效期内撤回投标；</w:t>
      </w:r>
    </w:p>
    <w:p>
      <w:pPr>
        <w:pStyle w:val="86"/>
        <w:numPr>
          <w:ilvl w:val="0"/>
          <w:numId w:val="6"/>
        </w:numPr>
        <w:autoSpaceDE w:val="0"/>
        <w:autoSpaceDN w:val="0"/>
        <w:adjustRightInd w:val="0"/>
        <w:spacing w:line="460" w:lineRule="atLeast"/>
        <w:ind w:firstLineChars="0"/>
        <w:textAlignment w:val="bottom"/>
        <w:rPr>
          <w:rFonts w:ascii="宋体" w:hAnsi="宋体" w:cs="新宋体"/>
          <w:bCs/>
          <w:sz w:val="22"/>
          <w:szCs w:val="22"/>
        </w:rPr>
      </w:pPr>
      <w:r>
        <w:rPr>
          <w:rFonts w:hint="eastAsia" w:ascii="宋体" w:hAnsi="宋体" w:cs="新宋体"/>
          <w:bCs/>
          <w:sz w:val="22"/>
          <w:szCs w:val="22"/>
        </w:rPr>
        <w:t>中标人未按中标通知书中规定的时间与采购人签订合同；</w:t>
      </w:r>
    </w:p>
    <w:p>
      <w:pPr>
        <w:pStyle w:val="86"/>
        <w:numPr>
          <w:ilvl w:val="0"/>
          <w:numId w:val="6"/>
        </w:numPr>
        <w:autoSpaceDE w:val="0"/>
        <w:autoSpaceDN w:val="0"/>
        <w:adjustRightInd w:val="0"/>
        <w:spacing w:line="460" w:lineRule="atLeast"/>
        <w:ind w:firstLineChars="0"/>
        <w:textAlignment w:val="bottom"/>
        <w:rPr>
          <w:rFonts w:ascii="宋体" w:hAnsi="宋体" w:cs="新宋体"/>
          <w:bCs/>
          <w:sz w:val="22"/>
          <w:szCs w:val="22"/>
        </w:rPr>
      </w:pPr>
      <w:r>
        <w:rPr>
          <w:rFonts w:hint="eastAsia" w:ascii="宋体" w:hAnsi="宋体" w:cs="新宋体"/>
          <w:bCs/>
          <w:sz w:val="22"/>
          <w:szCs w:val="22"/>
        </w:rPr>
        <w:t>投标人在采购文件中提供虚假技术指标及参数，经评标委员会确认属实的。</w:t>
      </w:r>
    </w:p>
    <w:p>
      <w:pPr>
        <w:pStyle w:val="86"/>
        <w:numPr>
          <w:ilvl w:val="0"/>
          <w:numId w:val="6"/>
        </w:numPr>
        <w:autoSpaceDE w:val="0"/>
        <w:autoSpaceDN w:val="0"/>
        <w:adjustRightInd w:val="0"/>
        <w:spacing w:line="460" w:lineRule="atLeast"/>
        <w:ind w:firstLineChars="0"/>
        <w:textAlignment w:val="bottom"/>
        <w:rPr>
          <w:rFonts w:ascii="宋体" w:hAnsi="宋体" w:cs="新宋体"/>
          <w:bCs/>
          <w:sz w:val="22"/>
          <w:szCs w:val="22"/>
        </w:rPr>
      </w:pPr>
      <w:r>
        <w:rPr>
          <w:rFonts w:hint="eastAsia" w:ascii="宋体" w:hAnsi="宋体" w:cs="新宋体"/>
          <w:bCs/>
          <w:sz w:val="22"/>
          <w:szCs w:val="22"/>
        </w:rPr>
        <w:t>经同级政府采购监督管理部门审查认定投标人有违反《中华人民共和国政府采购法》等有关法律法规的行为。</w:t>
      </w:r>
    </w:p>
    <w:p>
      <w:pPr>
        <w:autoSpaceDE w:val="0"/>
        <w:autoSpaceDN w:val="0"/>
        <w:adjustRightInd w:val="0"/>
        <w:snapToGrid w:val="0"/>
        <w:spacing w:line="440" w:lineRule="exact"/>
        <w:ind w:firstLine="331" w:firstLineChars="150"/>
        <w:textAlignment w:val="bottom"/>
        <w:outlineLvl w:val="1"/>
        <w:rPr>
          <w:rFonts w:ascii="宋体" w:hAnsi="宋体" w:cs="Arial"/>
          <w:b/>
          <w:bCs/>
          <w:sz w:val="22"/>
          <w:szCs w:val="22"/>
        </w:rPr>
      </w:pPr>
      <w:bookmarkStart w:id="50" w:name="_Toc132125095"/>
      <w:bookmarkStart w:id="51" w:name="_Toc132123439"/>
      <w:bookmarkStart w:id="52" w:name="_Toc97033057"/>
      <w:bookmarkStart w:id="53" w:name="_Toc132125574"/>
      <w:bookmarkStart w:id="54" w:name="_Toc132124594"/>
      <w:bookmarkStart w:id="55" w:name="_Toc132125983"/>
      <w:bookmarkStart w:id="56" w:name="_Toc132125037"/>
      <w:bookmarkStart w:id="57" w:name="_Toc132655776"/>
      <w:bookmarkStart w:id="58" w:name="_Toc132123881"/>
      <w:bookmarkStart w:id="59" w:name="_Toc132122119"/>
      <w:bookmarkStart w:id="60" w:name="_Toc132122416"/>
      <w:bookmarkStart w:id="61" w:name="_Toc132125151"/>
      <w:bookmarkStart w:id="62" w:name="_Toc496116253"/>
      <w:bookmarkStart w:id="63" w:name="_Toc132126154"/>
      <w:bookmarkStart w:id="64" w:name="_Toc132123634"/>
      <w:bookmarkStart w:id="65" w:name="_Toc132123547"/>
      <w:bookmarkStart w:id="66" w:name="_Toc132123838"/>
      <w:r>
        <w:rPr>
          <w:rFonts w:hint="eastAsia" w:ascii="宋体" w:hAnsi="宋体" w:cs="Arial"/>
          <w:b/>
          <w:bCs/>
          <w:sz w:val="22"/>
          <w:szCs w:val="22"/>
        </w:rPr>
        <w:t>五、投标文件的密封</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autoSpaceDE w:val="0"/>
        <w:autoSpaceDN w:val="0"/>
        <w:adjustRightInd w:val="0"/>
        <w:spacing w:line="460" w:lineRule="atLeast"/>
        <w:ind w:firstLine="440" w:firstLineChars="200"/>
        <w:textAlignment w:val="bottom"/>
        <w:rPr>
          <w:rFonts w:ascii="宋体" w:hAnsi="宋体" w:cs="新宋体"/>
          <w:bCs/>
          <w:sz w:val="22"/>
          <w:szCs w:val="22"/>
        </w:rPr>
      </w:pPr>
      <w:r>
        <w:rPr>
          <w:rFonts w:hint="eastAsia" w:ascii="宋体" w:hAnsi="宋体" w:cs="新宋体"/>
          <w:bCs/>
          <w:sz w:val="22"/>
          <w:szCs w:val="22"/>
        </w:rPr>
        <w:t>1、投标文件的递交</w:t>
      </w:r>
    </w:p>
    <w:p>
      <w:pPr>
        <w:autoSpaceDE w:val="0"/>
        <w:autoSpaceDN w:val="0"/>
        <w:adjustRightInd w:val="0"/>
        <w:spacing w:line="460" w:lineRule="atLeast"/>
        <w:ind w:firstLine="440" w:firstLineChars="200"/>
        <w:textAlignment w:val="bottom"/>
        <w:rPr>
          <w:rFonts w:ascii="宋体" w:hAnsi="宋体" w:cs="新宋体"/>
          <w:bCs/>
          <w:kern w:val="0"/>
          <w:sz w:val="22"/>
          <w:szCs w:val="22"/>
        </w:rPr>
      </w:pPr>
      <w:r>
        <w:rPr>
          <w:rFonts w:hint="eastAsia" w:ascii="宋体" w:hAnsi="宋体" w:cs="新宋体"/>
          <w:bCs/>
          <w:sz w:val="22"/>
          <w:szCs w:val="22"/>
        </w:rPr>
        <w:t>1.1投标文件的上传、递交：见投标人须知前附表。</w:t>
      </w:r>
    </w:p>
    <w:p>
      <w:pPr>
        <w:autoSpaceDE w:val="0"/>
        <w:autoSpaceDN w:val="0"/>
        <w:adjustRightInd w:val="0"/>
        <w:spacing w:line="460" w:lineRule="atLeast"/>
        <w:ind w:firstLine="440" w:firstLineChars="200"/>
        <w:textAlignment w:val="bottom"/>
        <w:rPr>
          <w:rFonts w:ascii="宋体" w:hAnsi="宋体" w:cs="新宋体"/>
          <w:bCs/>
          <w:sz w:val="22"/>
          <w:szCs w:val="22"/>
        </w:rPr>
      </w:pPr>
      <w:r>
        <w:rPr>
          <w:rFonts w:hint="eastAsia" w:ascii="宋体" w:hAnsi="宋体" w:cs="新宋体"/>
          <w:bCs/>
          <w:sz w:val="22"/>
          <w:szCs w:val="22"/>
        </w:rPr>
        <w:t>2、 “电子加密投标文件”解密和异常情况处理。</w:t>
      </w:r>
    </w:p>
    <w:p>
      <w:pPr>
        <w:autoSpaceDE w:val="0"/>
        <w:autoSpaceDN w:val="0"/>
        <w:adjustRightInd w:val="0"/>
        <w:spacing w:line="460" w:lineRule="atLeast"/>
        <w:ind w:firstLine="440" w:firstLineChars="200"/>
        <w:textAlignment w:val="bottom"/>
        <w:rPr>
          <w:rFonts w:ascii="宋体" w:hAnsi="宋体" w:cs="新宋体"/>
          <w:bCs/>
          <w:sz w:val="22"/>
          <w:szCs w:val="22"/>
        </w:rPr>
      </w:pPr>
      <w:r>
        <w:rPr>
          <w:rFonts w:hint="eastAsia" w:ascii="宋体" w:hAnsi="宋体" w:cs="新宋体"/>
          <w:bCs/>
          <w:sz w:val="22"/>
          <w:szCs w:val="22"/>
        </w:rPr>
        <w:t>2.1“电子加密投标文件”解密：见投标人须知前附表。</w:t>
      </w:r>
    </w:p>
    <w:p>
      <w:pPr>
        <w:autoSpaceDE w:val="0"/>
        <w:autoSpaceDN w:val="0"/>
        <w:adjustRightInd w:val="0"/>
        <w:spacing w:line="460" w:lineRule="atLeast"/>
        <w:ind w:firstLine="442" w:firstLineChars="200"/>
        <w:textAlignment w:val="bottom"/>
        <w:rPr>
          <w:rFonts w:ascii="宋体" w:hAnsi="宋体" w:cs="新宋体"/>
          <w:b/>
          <w:bCs/>
          <w:kern w:val="0"/>
          <w:sz w:val="22"/>
          <w:szCs w:val="22"/>
        </w:rPr>
      </w:pPr>
      <w:r>
        <w:rPr>
          <w:rFonts w:hint="eastAsia" w:ascii="宋体" w:hAnsi="宋体" w:cs="新宋体"/>
          <w:b/>
          <w:bCs/>
          <w:kern w:val="0"/>
          <w:sz w:val="22"/>
          <w:szCs w:val="22"/>
        </w:rPr>
        <w:t>3、 投标文件的补充、修改或撤回</w:t>
      </w:r>
    </w:p>
    <w:p>
      <w:pPr>
        <w:autoSpaceDE w:val="0"/>
        <w:autoSpaceDN w:val="0"/>
        <w:adjustRightInd w:val="0"/>
        <w:spacing w:line="460" w:lineRule="atLeast"/>
        <w:ind w:firstLine="440" w:firstLineChars="200"/>
        <w:textAlignment w:val="bottom"/>
        <w:rPr>
          <w:rFonts w:ascii="宋体" w:hAnsi="宋体" w:cs="新宋体"/>
          <w:bCs/>
          <w:kern w:val="0"/>
          <w:sz w:val="22"/>
          <w:szCs w:val="22"/>
        </w:rPr>
      </w:pPr>
      <w:r>
        <w:rPr>
          <w:rFonts w:hint="eastAsia" w:ascii="宋体" w:hAnsi="宋体" w:cs="新宋体"/>
          <w:bCs/>
          <w:kern w:val="0"/>
          <w:sz w:val="22"/>
          <w:szCs w:val="22"/>
        </w:rPr>
        <w:t>3.1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autoSpaceDE w:val="0"/>
        <w:autoSpaceDN w:val="0"/>
        <w:adjustRightInd w:val="0"/>
        <w:spacing w:line="460" w:lineRule="atLeast"/>
        <w:ind w:firstLine="440" w:firstLineChars="200"/>
        <w:textAlignment w:val="bottom"/>
        <w:rPr>
          <w:rFonts w:ascii="宋体" w:hAnsi="宋体" w:cs="新宋体"/>
          <w:bCs/>
          <w:kern w:val="0"/>
          <w:sz w:val="22"/>
          <w:szCs w:val="22"/>
        </w:rPr>
      </w:pPr>
      <w:r>
        <w:rPr>
          <w:rFonts w:hint="eastAsia" w:ascii="宋体" w:hAnsi="宋体" w:cs="新宋体"/>
          <w:bCs/>
          <w:kern w:val="0"/>
          <w:sz w:val="22"/>
          <w:szCs w:val="22"/>
        </w:rPr>
        <w:t>3.2投标文件递交截止时间后，投标人不得撤回、修改投标文件。</w:t>
      </w:r>
    </w:p>
    <w:p>
      <w:pPr>
        <w:autoSpaceDE w:val="0"/>
        <w:autoSpaceDN w:val="0"/>
        <w:adjustRightInd w:val="0"/>
        <w:spacing w:line="460" w:lineRule="atLeast"/>
        <w:ind w:firstLine="442" w:firstLineChars="200"/>
        <w:textAlignment w:val="bottom"/>
        <w:rPr>
          <w:rFonts w:ascii="宋体" w:hAnsi="宋体" w:cs="新宋体"/>
          <w:bCs/>
          <w:kern w:val="0"/>
          <w:sz w:val="22"/>
          <w:szCs w:val="22"/>
        </w:rPr>
      </w:pPr>
      <w:r>
        <w:rPr>
          <w:rFonts w:hint="eastAsia" w:ascii="宋体" w:hAnsi="宋体" w:cs="新宋体"/>
          <w:b/>
          <w:bCs/>
          <w:kern w:val="0"/>
          <w:sz w:val="22"/>
          <w:szCs w:val="22"/>
        </w:rPr>
        <w:t>4、投标文件的备选方案</w:t>
      </w:r>
    </w:p>
    <w:p>
      <w:pPr>
        <w:autoSpaceDE w:val="0"/>
        <w:autoSpaceDN w:val="0"/>
        <w:adjustRightInd w:val="0"/>
        <w:spacing w:line="460" w:lineRule="atLeast"/>
        <w:ind w:firstLine="440" w:firstLineChars="200"/>
        <w:textAlignment w:val="bottom"/>
        <w:rPr>
          <w:rFonts w:ascii="宋体" w:hAnsi="宋体" w:cs="新宋体"/>
          <w:bCs/>
          <w:kern w:val="0"/>
          <w:sz w:val="22"/>
          <w:szCs w:val="22"/>
        </w:rPr>
      </w:pPr>
      <w:r>
        <w:rPr>
          <w:rFonts w:hint="eastAsia" w:ascii="宋体" w:hAnsi="宋体" w:cs="新宋体"/>
          <w:bCs/>
          <w:kern w:val="0"/>
          <w:sz w:val="22"/>
          <w:szCs w:val="22"/>
        </w:rPr>
        <w:t>4.1投标人不得递交任何的投标备选（替代）方案，否则其投标文件将作无效标处理。与“电子加密投标文件”同时生成的“备份投标文件”不是投标备选（替代）方案。</w:t>
      </w:r>
    </w:p>
    <w:p>
      <w:pPr>
        <w:autoSpaceDE w:val="0"/>
        <w:autoSpaceDN w:val="0"/>
        <w:adjustRightInd w:val="0"/>
        <w:snapToGrid w:val="0"/>
        <w:spacing w:line="440" w:lineRule="exact"/>
        <w:ind w:firstLine="331" w:firstLineChars="150"/>
        <w:textAlignment w:val="bottom"/>
        <w:outlineLvl w:val="1"/>
        <w:rPr>
          <w:rFonts w:ascii="宋体" w:hAnsi="宋体" w:cs="Arial"/>
          <w:b/>
          <w:bCs/>
          <w:sz w:val="22"/>
          <w:szCs w:val="22"/>
        </w:rPr>
      </w:pPr>
      <w:bookmarkStart w:id="67" w:name="_Toc97033058"/>
      <w:bookmarkStart w:id="68" w:name="_Toc496116254"/>
      <w:r>
        <w:rPr>
          <w:rFonts w:hint="eastAsia" w:ascii="宋体" w:hAnsi="宋体" w:cs="Arial"/>
          <w:b/>
          <w:bCs/>
          <w:sz w:val="22"/>
          <w:szCs w:val="22"/>
        </w:rPr>
        <w:t>六、开标和评标</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67"/>
      <w:bookmarkEnd w:id="68"/>
    </w:p>
    <w:p>
      <w:pPr>
        <w:autoSpaceDE w:val="0"/>
        <w:autoSpaceDN w:val="0"/>
        <w:adjustRightInd w:val="0"/>
        <w:spacing w:line="460" w:lineRule="atLeast"/>
        <w:ind w:firstLine="442" w:firstLineChars="200"/>
        <w:textAlignment w:val="bottom"/>
        <w:rPr>
          <w:rFonts w:ascii="宋体" w:hAnsi="宋体" w:cs="新宋体"/>
          <w:b/>
          <w:bCs/>
          <w:kern w:val="0"/>
          <w:sz w:val="22"/>
          <w:szCs w:val="22"/>
        </w:rPr>
      </w:pPr>
      <w:r>
        <w:rPr>
          <w:rFonts w:hint="eastAsia" w:ascii="宋体" w:hAnsi="宋体" w:cs="新宋体"/>
          <w:b/>
          <w:bCs/>
          <w:kern w:val="0"/>
          <w:sz w:val="22"/>
          <w:szCs w:val="22"/>
        </w:rPr>
        <w:t>1、开标形式</w:t>
      </w:r>
    </w:p>
    <w:p>
      <w:pPr>
        <w:autoSpaceDE w:val="0"/>
        <w:autoSpaceDN w:val="0"/>
        <w:adjustRightInd w:val="0"/>
        <w:spacing w:line="460" w:lineRule="atLeast"/>
        <w:ind w:firstLine="440" w:firstLineChars="200"/>
        <w:textAlignment w:val="bottom"/>
        <w:rPr>
          <w:rFonts w:ascii="宋体" w:hAnsi="宋体" w:cs="新宋体"/>
          <w:bCs/>
          <w:kern w:val="0"/>
          <w:sz w:val="22"/>
          <w:szCs w:val="22"/>
        </w:rPr>
      </w:pPr>
      <w:r>
        <w:rPr>
          <w:rFonts w:hint="eastAsia" w:ascii="宋体" w:hAnsi="宋体" w:cs="新宋体"/>
          <w:bCs/>
          <w:kern w:val="0"/>
          <w:sz w:val="22"/>
          <w:szCs w:val="22"/>
        </w:rPr>
        <w:t>1.1 采购组织机构将按照采购文件规定的时间通过“政采云平台”组织开标、开启投标文件，所有供应商均应当准时在线参加。</w:t>
      </w:r>
    </w:p>
    <w:p>
      <w:pPr>
        <w:autoSpaceDE w:val="0"/>
        <w:autoSpaceDN w:val="0"/>
        <w:adjustRightInd w:val="0"/>
        <w:spacing w:line="460" w:lineRule="atLeast"/>
        <w:ind w:firstLine="442" w:firstLineChars="200"/>
        <w:textAlignment w:val="bottom"/>
        <w:rPr>
          <w:rFonts w:ascii="宋体" w:hAnsi="宋体" w:cs="新宋体"/>
          <w:b/>
          <w:bCs/>
          <w:kern w:val="0"/>
          <w:sz w:val="22"/>
          <w:szCs w:val="22"/>
        </w:rPr>
      </w:pPr>
      <w:r>
        <w:rPr>
          <w:rFonts w:hint="eastAsia" w:ascii="宋体" w:hAnsi="宋体" w:cs="新宋体"/>
          <w:b/>
          <w:bCs/>
          <w:kern w:val="0"/>
          <w:sz w:val="22"/>
          <w:szCs w:val="22"/>
        </w:rPr>
        <w:t>2、 开标准备</w:t>
      </w:r>
    </w:p>
    <w:p>
      <w:pPr>
        <w:autoSpaceDE w:val="0"/>
        <w:autoSpaceDN w:val="0"/>
        <w:adjustRightInd w:val="0"/>
        <w:spacing w:line="460" w:lineRule="atLeast"/>
        <w:ind w:firstLine="440" w:firstLineChars="200"/>
        <w:textAlignment w:val="bottom"/>
        <w:rPr>
          <w:rFonts w:ascii="宋体" w:hAnsi="宋体" w:cs="新宋体"/>
          <w:bCs/>
          <w:kern w:val="0"/>
          <w:sz w:val="22"/>
          <w:szCs w:val="22"/>
        </w:rPr>
      </w:pPr>
      <w:r>
        <w:rPr>
          <w:rFonts w:hint="eastAsia" w:ascii="宋体" w:hAnsi="宋体" w:cs="新宋体"/>
          <w:bCs/>
          <w:kern w:val="0"/>
          <w:sz w:val="22"/>
          <w:szCs w:val="22"/>
        </w:rPr>
        <w:t>2.1开标的准备工作由采购组织机构负责落实。</w:t>
      </w:r>
    </w:p>
    <w:p>
      <w:pPr>
        <w:autoSpaceDE w:val="0"/>
        <w:autoSpaceDN w:val="0"/>
        <w:adjustRightInd w:val="0"/>
        <w:spacing w:line="460" w:lineRule="atLeast"/>
        <w:ind w:firstLine="440" w:firstLineChars="200"/>
        <w:textAlignment w:val="bottom"/>
        <w:rPr>
          <w:rFonts w:ascii="宋体" w:hAnsi="宋体" w:cs="新宋体"/>
          <w:bCs/>
          <w:kern w:val="0"/>
          <w:sz w:val="22"/>
          <w:szCs w:val="22"/>
        </w:rPr>
      </w:pPr>
      <w:r>
        <w:rPr>
          <w:rFonts w:hint="eastAsia" w:ascii="宋体" w:hAnsi="宋体" w:cs="新宋体"/>
          <w:bCs/>
          <w:kern w:val="0"/>
          <w:sz w:val="22"/>
          <w:szCs w:val="22"/>
        </w:rPr>
        <w:t>2.2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pPr>
        <w:autoSpaceDE w:val="0"/>
        <w:autoSpaceDN w:val="0"/>
        <w:adjustRightInd w:val="0"/>
        <w:spacing w:line="460" w:lineRule="atLeast"/>
        <w:ind w:firstLine="442" w:firstLineChars="200"/>
        <w:textAlignment w:val="bottom"/>
        <w:rPr>
          <w:rFonts w:ascii="宋体" w:hAnsi="宋体" w:cs="新宋体"/>
          <w:b/>
          <w:bCs/>
          <w:kern w:val="0"/>
          <w:sz w:val="22"/>
          <w:szCs w:val="22"/>
        </w:rPr>
      </w:pPr>
      <w:r>
        <w:rPr>
          <w:rFonts w:hint="eastAsia" w:ascii="宋体" w:hAnsi="宋体" w:cs="新宋体"/>
          <w:b/>
          <w:bCs/>
          <w:kern w:val="0"/>
          <w:sz w:val="22"/>
          <w:szCs w:val="22"/>
        </w:rPr>
        <w:t>3、开标流程（两阶段）</w:t>
      </w:r>
    </w:p>
    <w:p>
      <w:pPr>
        <w:autoSpaceDE w:val="0"/>
        <w:autoSpaceDN w:val="0"/>
        <w:adjustRightInd w:val="0"/>
        <w:spacing w:line="460" w:lineRule="atLeast"/>
        <w:ind w:firstLine="440" w:firstLineChars="200"/>
        <w:textAlignment w:val="bottom"/>
        <w:rPr>
          <w:rFonts w:ascii="宋体" w:hAnsi="宋体" w:cs="新宋体"/>
          <w:bCs/>
          <w:kern w:val="0"/>
          <w:sz w:val="22"/>
          <w:szCs w:val="22"/>
        </w:rPr>
      </w:pPr>
      <w:r>
        <w:rPr>
          <w:rFonts w:hint="eastAsia" w:ascii="宋体" w:hAnsi="宋体" w:cs="新宋体"/>
          <w:bCs/>
          <w:kern w:val="0"/>
          <w:sz w:val="22"/>
          <w:szCs w:val="22"/>
        </w:rPr>
        <w:t>3.1开标第一阶段</w:t>
      </w:r>
    </w:p>
    <w:p>
      <w:pPr>
        <w:tabs>
          <w:tab w:val="left" w:pos="540"/>
        </w:tabs>
        <w:spacing w:line="460" w:lineRule="exact"/>
        <w:ind w:firstLine="325" w:firstLineChars="147"/>
        <w:rPr>
          <w:rFonts w:ascii="宋体" w:hAnsi="宋体" w:cs="新宋体"/>
          <w:b/>
          <w:bCs/>
          <w:kern w:val="0"/>
          <w:sz w:val="22"/>
          <w:szCs w:val="22"/>
        </w:rPr>
      </w:pPr>
      <w:r>
        <w:rPr>
          <w:rFonts w:hint="eastAsia" w:ascii="宋体" w:hAnsi="宋体" w:cs="新宋体"/>
          <w:b/>
          <w:bCs/>
          <w:kern w:val="0"/>
          <w:sz w:val="22"/>
          <w:szCs w:val="22"/>
        </w:rPr>
        <w:t>（1）向各投标人发出电子加密投标文件【开始解密】通知，由供应商按采购文件规定的时间内自行进行投标文件解密。投标人在规定的时间内（开标时间起30分钟内）无法完成已递交的“电子加密投标文件”解密的，如已按规定递交了备份投标文件的，将由采购组织机构按“政采云平台”操作规范将备份投标文件上传至“政采云平台”，上传成功后，“电子加密投标文件”自动失效；</w:t>
      </w:r>
    </w:p>
    <w:p>
      <w:pPr>
        <w:tabs>
          <w:tab w:val="left" w:pos="540"/>
        </w:tabs>
        <w:spacing w:line="460" w:lineRule="exact"/>
        <w:ind w:firstLine="325" w:firstLineChars="147"/>
        <w:rPr>
          <w:rFonts w:ascii="宋体" w:hAnsi="宋体" w:cs="新宋体"/>
          <w:b/>
          <w:bCs/>
          <w:kern w:val="0"/>
          <w:sz w:val="22"/>
          <w:szCs w:val="22"/>
        </w:rPr>
      </w:pPr>
      <w:r>
        <w:rPr>
          <w:rFonts w:hint="eastAsia" w:ascii="宋体" w:hAnsi="宋体" w:cs="新宋体"/>
          <w:b/>
          <w:bCs/>
          <w:kern w:val="0"/>
          <w:sz w:val="22"/>
          <w:szCs w:val="22"/>
        </w:rPr>
        <w:t>（2）开启投标文件，进入资格审查；</w:t>
      </w:r>
    </w:p>
    <w:p>
      <w:pPr>
        <w:tabs>
          <w:tab w:val="left" w:pos="540"/>
        </w:tabs>
        <w:spacing w:line="460" w:lineRule="exact"/>
        <w:ind w:firstLine="325" w:firstLineChars="147"/>
        <w:rPr>
          <w:rFonts w:ascii="宋体" w:hAnsi="宋体" w:cs="新宋体"/>
          <w:b/>
          <w:bCs/>
          <w:kern w:val="0"/>
          <w:sz w:val="22"/>
          <w:szCs w:val="22"/>
        </w:rPr>
      </w:pPr>
      <w:r>
        <w:rPr>
          <w:rFonts w:hint="eastAsia" w:ascii="宋体" w:hAnsi="宋体" w:cs="新宋体"/>
          <w:b/>
          <w:bCs/>
          <w:kern w:val="0"/>
          <w:sz w:val="22"/>
          <w:szCs w:val="22"/>
        </w:rPr>
        <w:t>（3）资格审查通过的投标人的技术资信文件进入符合性审查、技术评审；</w:t>
      </w:r>
    </w:p>
    <w:p>
      <w:pPr>
        <w:tabs>
          <w:tab w:val="left" w:pos="540"/>
        </w:tabs>
        <w:spacing w:line="460" w:lineRule="exact"/>
        <w:ind w:firstLine="325" w:firstLineChars="147"/>
        <w:rPr>
          <w:rFonts w:ascii="宋体" w:hAnsi="宋体" w:cs="新宋体"/>
          <w:b/>
          <w:bCs/>
          <w:kern w:val="0"/>
          <w:sz w:val="22"/>
          <w:szCs w:val="22"/>
        </w:rPr>
      </w:pPr>
      <w:r>
        <w:rPr>
          <w:rFonts w:hint="eastAsia" w:ascii="宋体" w:hAnsi="宋体" w:cs="新宋体"/>
          <w:b/>
          <w:bCs/>
          <w:kern w:val="0"/>
          <w:sz w:val="22"/>
          <w:szCs w:val="22"/>
        </w:rPr>
        <w:t>（4）第一阶段开标结束。</w:t>
      </w:r>
    </w:p>
    <w:p>
      <w:pPr>
        <w:tabs>
          <w:tab w:val="left" w:pos="540"/>
        </w:tabs>
        <w:spacing w:line="460" w:lineRule="exact"/>
        <w:rPr>
          <w:rFonts w:ascii="宋体" w:hAnsi="宋体" w:cs="新宋体"/>
          <w:b/>
          <w:bCs/>
          <w:kern w:val="0"/>
          <w:sz w:val="22"/>
          <w:szCs w:val="22"/>
        </w:rPr>
      </w:pPr>
      <w:r>
        <w:rPr>
          <w:rFonts w:hint="eastAsia" w:ascii="宋体" w:hAnsi="宋体" w:cs="新宋体"/>
          <w:b/>
          <w:bCs/>
          <w:kern w:val="0"/>
          <w:sz w:val="22"/>
          <w:szCs w:val="22"/>
        </w:rPr>
        <w:t>备注：开标大会的第一阶段结束后，采购人或采购代理机构将对依法对投标人的资格进行审查，资格审查结束后进入符合性审查和技术资信文件的评审工作，具体见本章节“投标人资格审查”相关规定。</w:t>
      </w:r>
    </w:p>
    <w:p>
      <w:pPr>
        <w:autoSpaceDE w:val="0"/>
        <w:autoSpaceDN w:val="0"/>
        <w:adjustRightInd w:val="0"/>
        <w:spacing w:line="460" w:lineRule="atLeast"/>
        <w:ind w:firstLine="440" w:firstLineChars="200"/>
        <w:textAlignment w:val="bottom"/>
        <w:rPr>
          <w:rFonts w:ascii="宋体" w:hAnsi="宋体" w:cs="新宋体"/>
          <w:bCs/>
          <w:kern w:val="0"/>
          <w:sz w:val="22"/>
          <w:szCs w:val="22"/>
        </w:rPr>
      </w:pPr>
      <w:r>
        <w:rPr>
          <w:rFonts w:hint="eastAsia" w:ascii="宋体" w:hAnsi="宋体" w:cs="新宋体"/>
          <w:bCs/>
          <w:kern w:val="0"/>
          <w:sz w:val="22"/>
          <w:szCs w:val="22"/>
        </w:rPr>
        <w:t>3.2开标大会第二阶段</w:t>
      </w:r>
    </w:p>
    <w:p>
      <w:pPr>
        <w:tabs>
          <w:tab w:val="left" w:pos="540"/>
        </w:tabs>
        <w:spacing w:line="460" w:lineRule="exact"/>
        <w:ind w:firstLine="325" w:firstLineChars="147"/>
        <w:rPr>
          <w:rFonts w:ascii="宋体" w:hAnsi="宋体" w:cs="新宋体"/>
          <w:b/>
          <w:bCs/>
          <w:kern w:val="0"/>
          <w:sz w:val="22"/>
          <w:szCs w:val="22"/>
        </w:rPr>
      </w:pPr>
      <w:r>
        <w:rPr>
          <w:rFonts w:hint="eastAsia" w:ascii="宋体" w:hAnsi="宋体" w:cs="新宋体"/>
          <w:b/>
          <w:bCs/>
          <w:kern w:val="0"/>
          <w:sz w:val="22"/>
          <w:szCs w:val="22"/>
        </w:rPr>
        <w:t>（1）符合性审查、技术资信文件的评审结束后，举行开标大会第二阶段会议。首先在“政采云平台”系统平台上公布符合性审查、技术资信评审无效供应商名称及理由；公布经技术资信评审后有效投标人的名单，同时公布其技术资信部分得分情况。</w:t>
      </w:r>
    </w:p>
    <w:p>
      <w:pPr>
        <w:tabs>
          <w:tab w:val="left" w:pos="540"/>
        </w:tabs>
        <w:spacing w:line="460" w:lineRule="exact"/>
        <w:ind w:firstLine="325" w:firstLineChars="147"/>
        <w:rPr>
          <w:rFonts w:ascii="宋体" w:hAnsi="宋体" w:cs="新宋体"/>
          <w:b/>
          <w:bCs/>
          <w:kern w:val="0"/>
          <w:sz w:val="22"/>
          <w:szCs w:val="22"/>
        </w:rPr>
      </w:pPr>
      <w:r>
        <w:rPr>
          <w:rFonts w:hint="eastAsia" w:ascii="宋体" w:hAnsi="宋体" w:cs="新宋体"/>
          <w:b/>
          <w:bCs/>
          <w:kern w:val="0"/>
          <w:sz w:val="22"/>
          <w:szCs w:val="22"/>
        </w:rPr>
        <w:t>（2）开启通过符合性审查、技术资信文件评审有效投标人的商务（报价）文件，在“政采云平台”系统平台上公布开标一览表有关内容，同时当场制作开标记录。开标结束后，由评标委员会对报价的合理性、准确性等进行审查核实。</w:t>
      </w:r>
    </w:p>
    <w:p>
      <w:pPr>
        <w:tabs>
          <w:tab w:val="left" w:pos="540"/>
        </w:tabs>
        <w:spacing w:line="460" w:lineRule="exact"/>
        <w:ind w:firstLine="325" w:firstLineChars="147"/>
        <w:rPr>
          <w:rFonts w:ascii="宋体" w:hAnsi="宋体" w:cs="新宋体"/>
          <w:b/>
          <w:bCs/>
          <w:kern w:val="0"/>
          <w:sz w:val="22"/>
          <w:szCs w:val="22"/>
        </w:rPr>
      </w:pPr>
      <w:r>
        <w:rPr>
          <w:rFonts w:hint="eastAsia" w:ascii="宋体" w:hAnsi="宋体" w:cs="新宋体"/>
          <w:b/>
          <w:bCs/>
          <w:kern w:val="0"/>
          <w:sz w:val="22"/>
          <w:szCs w:val="22"/>
        </w:rPr>
        <w:t>（3）评审结束后，在“政采云平台”系统平台上公布中标（成交）候选供应商名单，及采购人最终确定中标或成交供应商名单的时间和公告方式等。</w:t>
      </w:r>
    </w:p>
    <w:p>
      <w:pPr>
        <w:tabs>
          <w:tab w:val="left" w:pos="540"/>
        </w:tabs>
        <w:spacing w:line="460" w:lineRule="exact"/>
        <w:rPr>
          <w:rFonts w:ascii="宋体" w:hAnsi="宋体" w:cs="新宋体"/>
          <w:b/>
          <w:bCs/>
          <w:kern w:val="0"/>
          <w:sz w:val="22"/>
          <w:szCs w:val="22"/>
        </w:rPr>
      </w:pPr>
      <w:r>
        <w:rPr>
          <w:rFonts w:hint="eastAsia" w:ascii="宋体" w:hAnsi="宋体" w:cs="新宋体"/>
          <w:b/>
          <w:bCs/>
          <w:kern w:val="0"/>
          <w:sz w:val="22"/>
          <w:szCs w:val="22"/>
        </w:rPr>
        <w:t>特别说明：如遇“政采云平台”电子化开标或评审程序调整的，按调整后程序执行。</w:t>
      </w:r>
    </w:p>
    <w:p>
      <w:pPr>
        <w:autoSpaceDE w:val="0"/>
        <w:autoSpaceDN w:val="0"/>
        <w:adjustRightInd w:val="0"/>
        <w:spacing w:line="460" w:lineRule="atLeast"/>
        <w:ind w:firstLine="442" w:firstLineChars="200"/>
        <w:textAlignment w:val="bottom"/>
        <w:rPr>
          <w:rFonts w:ascii="宋体" w:hAnsi="宋体" w:cs="新宋体"/>
          <w:b/>
          <w:bCs/>
          <w:kern w:val="0"/>
          <w:sz w:val="22"/>
          <w:szCs w:val="22"/>
        </w:rPr>
      </w:pPr>
      <w:bookmarkStart w:id="69" w:name="_Toc33194393"/>
      <w:bookmarkStart w:id="70" w:name="_Toc24550037"/>
      <w:r>
        <w:rPr>
          <w:rFonts w:hint="eastAsia" w:ascii="宋体" w:hAnsi="宋体" w:cs="新宋体"/>
          <w:b/>
          <w:bCs/>
          <w:kern w:val="0"/>
          <w:sz w:val="22"/>
          <w:szCs w:val="22"/>
        </w:rPr>
        <w:t>4、 投标人资格审查</w:t>
      </w:r>
      <w:bookmarkEnd w:id="69"/>
      <w:bookmarkEnd w:id="70"/>
    </w:p>
    <w:p>
      <w:pPr>
        <w:autoSpaceDE w:val="0"/>
        <w:autoSpaceDN w:val="0"/>
        <w:adjustRightInd w:val="0"/>
        <w:spacing w:line="460" w:lineRule="atLeast"/>
        <w:ind w:firstLine="440" w:firstLineChars="200"/>
        <w:textAlignment w:val="bottom"/>
        <w:rPr>
          <w:rFonts w:ascii="宋体" w:hAnsi="宋体" w:cs="新宋体"/>
          <w:bCs/>
          <w:kern w:val="0"/>
          <w:sz w:val="22"/>
          <w:szCs w:val="22"/>
        </w:rPr>
      </w:pPr>
      <w:r>
        <w:rPr>
          <w:rFonts w:hint="eastAsia" w:ascii="宋体" w:hAnsi="宋体" w:cs="新宋体"/>
          <w:bCs/>
          <w:kern w:val="0"/>
          <w:sz w:val="22"/>
          <w:szCs w:val="22"/>
        </w:rPr>
        <w:t>4.1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pPr>
        <w:autoSpaceDE w:val="0"/>
        <w:autoSpaceDN w:val="0"/>
        <w:adjustRightInd w:val="0"/>
        <w:spacing w:line="460" w:lineRule="atLeast"/>
        <w:ind w:firstLine="440" w:firstLineChars="200"/>
        <w:textAlignment w:val="bottom"/>
        <w:rPr>
          <w:rFonts w:ascii="宋体" w:hAnsi="宋体" w:cs="新宋体"/>
          <w:bCs/>
          <w:kern w:val="0"/>
          <w:sz w:val="22"/>
          <w:szCs w:val="22"/>
        </w:rPr>
      </w:pPr>
      <w:r>
        <w:rPr>
          <w:rFonts w:hint="eastAsia" w:ascii="宋体" w:hAnsi="宋体" w:cs="新宋体"/>
          <w:bCs/>
          <w:kern w:val="0"/>
          <w:sz w:val="22"/>
          <w:szCs w:val="22"/>
        </w:rPr>
        <w:t>4.2投标人提交的资格审查材料无法证明其符合采购文件规定的“投标人资格要求”的，采购人或采购代理机构将对其作资格审查不通过处理（无效投标），并不再将其投标提交评标委员会进行后续评审。</w:t>
      </w:r>
    </w:p>
    <w:p>
      <w:pPr>
        <w:autoSpaceDE w:val="0"/>
        <w:autoSpaceDN w:val="0"/>
        <w:adjustRightInd w:val="0"/>
        <w:spacing w:line="460" w:lineRule="atLeast"/>
        <w:ind w:firstLine="440" w:firstLineChars="200"/>
        <w:textAlignment w:val="bottom"/>
        <w:rPr>
          <w:rFonts w:ascii="宋体" w:hAnsi="宋体" w:cs="新宋体"/>
          <w:bCs/>
          <w:kern w:val="0"/>
          <w:sz w:val="22"/>
          <w:szCs w:val="22"/>
        </w:rPr>
      </w:pPr>
      <w:r>
        <w:rPr>
          <w:rFonts w:hint="eastAsia" w:ascii="宋体" w:hAnsi="宋体" w:cs="新宋体"/>
          <w:bCs/>
          <w:kern w:val="0"/>
          <w:sz w:val="22"/>
          <w:szCs w:val="22"/>
        </w:rPr>
        <w:t>4.3单位负责人为同一人或者存在直接控股、管理关系的不同供应商参加同一合同项下的政府采购活动的，相关投标人均作资格无效处理。</w:t>
      </w:r>
    </w:p>
    <w:p>
      <w:pPr>
        <w:pStyle w:val="24"/>
        <w:snapToGrid w:val="0"/>
        <w:spacing w:line="460" w:lineRule="atLeast"/>
        <w:ind w:firstLine="435" w:firstLineChars="197"/>
        <w:rPr>
          <w:rFonts w:hAnsi="宋体" w:cs="新宋体"/>
          <w:b/>
          <w:sz w:val="22"/>
          <w:szCs w:val="22"/>
        </w:rPr>
      </w:pPr>
      <w:r>
        <w:rPr>
          <w:rFonts w:hint="eastAsia" w:hAnsi="宋体" w:cs="新宋体"/>
          <w:b/>
          <w:sz w:val="22"/>
          <w:szCs w:val="22"/>
        </w:rPr>
        <w:t>5、评标</w:t>
      </w:r>
    </w:p>
    <w:p>
      <w:pPr>
        <w:pStyle w:val="24"/>
        <w:snapToGrid w:val="0"/>
        <w:spacing w:line="460" w:lineRule="atLeast"/>
        <w:ind w:firstLine="435" w:firstLineChars="197"/>
        <w:rPr>
          <w:rFonts w:hAnsi="宋体" w:cs="新宋体"/>
          <w:b/>
          <w:sz w:val="22"/>
          <w:szCs w:val="22"/>
        </w:rPr>
      </w:pPr>
      <w:r>
        <w:rPr>
          <w:rFonts w:hint="eastAsia" w:hAnsi="宋体" w:cs="新宋体"/>
          <w:b/>
          <w:sz w:val="22"/>
          <w:szCs w:val="22"/>
        </w:rPr>
        <w:t>5.1评标由采购人依法组建的评标委员会负责，并独立履行下列职责：</w:t>
      </w:r>
    </w:p>
    <w:p>
      <w:pPr>
        <w:snapToGrid w:val="0"/>
        <w:spacing w:line="460" w:lineRule="atLeast"/>
        <w:ind w:firstLine="433" w:firstLineChars="197"/>
        <w:rPr>
          <w:rFonts w:ascii="宋体" w:hAnsi="宋体" w:cs="新宋体"/>
          <w:sz w:val="22"/>
          <w:szCs w:val="22"/>
        </w:rPr>
      </w:pPr>
      <w:r>
        <w:rPr>
          <w:rFonts w:hint="eastAsia" w:ascii="宋体" w:hAnsi="宋体" w:cs="新宋体"/>
          <w:sz w:val="22"/>
          <w:szCs w:val="22"/>
        </w:rPr>
        <w:t>1）审查投标文件是否符合招标文件要求，并做出评价；</w:t>
      </w:r>
    </w:p>
    <w:p>
      <w:pPr>
        <w:snapToGrid w:val="0"/>
        <w:spacing w:line="460" w:lineRule="atLeast"/>
        <w:ind w:firstLine="433" w:firstLineChars="197"/>
        <w:rPr>
          <w:rFonts w:ascii="宋体" w:hAnsi="宋体" w:cs="新宋体"/>
          <w:sz w:val="22"/>
          <w:szCs w:val="22"/>
        </w:rPr>
      </w:pPr>
      <w:r>
        <w:rPr>
          <w:rFonts w:hint="eastAsia" w:ascii="宋体" w:hAnsi="宋体" w:cs="新宋体"/>
          <w:sz w:val="22"/>
          <w:szCs w:val="22"/>
        </w:rPr>
        <w:t>2）要求供应商对投标文件有关事项做出解释或者澄清；</w:t>
      </w:r>
    </w:p>
    <w:p>
      <w:pPr>
        <w:snapToGrid w:val="0"/>
        <w:spacing w:line="460" w:lineRule="atLeast"/>
        <w:ind w:firstLine="433" w:firstLineChars="197"/>
        <w:rPr>
          <w:rFonts w:ascii="宋体" w:hAnsi="宋体" w:cs="新宋体"/>
          <w:sz w:val="22"/>
          <w:szCs w:val="22"/>
        </w:rPr>
      </w:pPr>
      <w:r>
        <w:rPr>
          <w:rFonts w:hint="eastAsia" w:ascii="宋体" w:hAnsi="宋体" w:cs="新宋体"/>
          <w:sz w:val="22"/>
          <w:szCs w:val="22"/>
        </w:rPr>
        <w:t>3）按照招标文件确定的评标办法确定中标人，并对其排序；综合得分最高的供应商推荐为中标人；</w:t>
      </w:r>
    </w:p>
    <w:p>
      <w:pPr>
        <w:pStyle w:val="24"/>
        <w:snapToGrid w:val="0"/>
        <w:spacing w:line="460" w:lineRule="atLeast"/>
        <w:ind w:firstLine="433" w:firstLineChars="197"/>
        <w:rPr>
          <w:rFonts w:hAnsi="宋体" w:cs="新宋体"/>
          <w:sz w:val="22"/>
          <w:szCs w:val="22"/>
        </w:rPr>
      </w:pPr>
      <w:r>
        <w:rPr>
          <w:rFonts w:hint="eastAsia" w:hAnsi="宋体" w:cs="新宋体"/>
          <w:sz w:val="22"/>
          <w:szCs w:val="22"/>
        </w:rPr>
        <w:t>4）向采购人或者有关部门报告非法干预评标工作的行为。</w:t>
      </w:r>
    </w:p>
    <w:p>
      <w:pPr>
        <w:pStyle w:val="24"/>
        <w:snapToGrid w:val="0"/>
        <w:spacing w:line="460" w:lineRule="atLeast"/>
        <w:ind w:firstLine="433" w:firstLineChars="197"/>
        <w:rPr>
          <w:rFonts w:hAnsi="宋体" w:cs="新宋体"/>
          <w:sz w:val="22"/>
          <w:szCs w:val="22"/>
        </w:rPr>
      </w:pPr>
      <w:r>
        <w:rPr>
          <w:rFonts w:hint="eastAsia" w:hAnsi="宋体" w:cs="新宋体"/>
          <w:sz w:val="22"/>
          <w:szCs w:val="22"/>
        </w:rPr>
        <w:t>5）根据采购人的授权确定中标人名单；</w:t>
      </w:r>
    </w:p>
    <w:p>
      <w:pPr>
        <w:snapToGrid w:val="0"/>
        <w:spacing w:line="460" w:lineRule="atLeast"/>
        <w:ind w:firstLine="435" w:firstLineChars="197"/>
        <w:rPr>
          <w:rFonts w:ascii="宋体" w:hAnsi="宋体" w:cs="新宋体"/>
          <w:b/>
          <w:sz w:val="22"/>
          <w:szCs w:val="22"/>
        </w:rPr>
      </w:pPr>
      <w:r>
        <w:rPr>
          <w:rFonts w:hint="eastAsia" w:ascii="宋体" w:hAnsi="宋体" w:cs="新宋体"/>
          <w:b/>
          <w:sz w:val="22"/>
          <w:szCs w:val="22"/>
        </w:rPr>
        <w:t>5.2评标应当遵循下列工作程序：</w:t>
      </w:r>
    </w:p>
    <w:p>
      <w:pPr>
        <w:snapToGrid w:val="0"/>
        <w:spacing w:line="460" w:lineRule="atLeast"/>
        <w:ind w:firstLine="433" w:firstLineChars="197"/>
        <w:rPr>
          <w:rFonts w:ascii="宋体" w:hAnsi="宋体" w:cs="新宋体"/>
          <w:sz w:val="22"/>
          <w:szCs w:val="22"/>
        </w:rPr>
      </w:pPr>
      <w:r>
        <w:rPr>
          <w:rFonts w:hint="eastAsia" w:ascii="宋体" w:hAnsi="宋体" w:cs="新宋体"/>
          <w:sz w:val="22"/>
          <w:szCs w:val="22"/>
        </w:rPr>
        <w:t>1）投标文件初审。初审为符合性检查。</w:t>
      </w:r>
    </w:p>
    <w:p>
      <w:pPr>
        <w:snapToGrid w:val="0"/>
        <w:spacing w:line="460" w:lineRule="atLeast"/>
        <w:ind w:firstLine="323" w:firstLineChars="147"/>
        <w:rPr>
          <w:rFonts w:ascii="宋体" w:hAnsi="宋体" w:cs="新宋体"/>
          <w:sz w:val="22"/>
          <w:szCs w:val="22"/>
        </w:rPr>
      </w:pPr>
      <w:r>
        <w:rPr>
          <w:rFonts w:hint="eastAsia" w:ascii="宋体" w:hAnsi="宋体" w:cs="新宋体"/>
          <w:sz w:val="22"/>
          <w:szCs w:val="22"/>
        </w:rPr>
        <w:t>（1)符合性检查。依据招标文件的规定，从投标文件的有效性、完整性和对招标文件的响应程度进行审查，以确定是否对招标文件的实质性要求做出响应。</w:t>
      </w:r>
    </w:p>
    <w:p>
      <w:pPr>
        <w:snapToGrid w:val="0"/>
        <w:spacing w:line="460" w:lineRule="atLeast"/>
        <w:ind w:firstLine="433" w:firstLineChars="197"/>
        <w:rPr>
          <w:rFonts w:ascii="宋体" w:hAnsi="宋体" w:cs="新宋体"/>
          <w:sz w:val="22"/>
          <w:szCs w:val="22"/>
        </w:rPr>
      </w:pPr>
      <w:r>
        <w:rPr>
          <w:rFonts w:hint="eastAsia" w:ascii="宋体" w:hAnsi="宋体" w:cs="新宋体"/>
          <w:sz w:val="22"/>
          <w:szCs w:val="22"/>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adjustRightInd w:val="0"/>
        <w:snapToGrid w:val="0"/>
        <w:spacing w:line="460" w:lineRule="atLeast"/>
        <w:ind w:firstLine="435" w:firstLineChars="197"/>
        <w:rPr>
          <w:rFonts w:ascii="宋体" w:hAnsi="宋体" w:cs="新宋体"/>
          <w:b/>
          <w:sz w:val="22"/>
          <w:szCs w:val="22"/>
        </w:rPr>
      </w:pPr>
      <w:r>
        <w:rPr>
          <w:rFonts w:hint="eastAsia" w:ascii="宋体" w:hAnsi="宋体" w:cs="新宋体"/>
          <w:b/>
          <w:sz w:val="22"/>
          <w:szCs w:val="22"/>
        </w:rPr>
        <w:t>实质上没有响应招标文件要求的投标将被拒绝。供应商不得通过修正或撤消不合要求的偏离从而使其投标成为实质上响应的投标。</w:t>
      </w:r>
    </w:p>
    <w:p>
      <w:pPr>
        <w:snapToGrid w:val="0"/>
        <w:spacing w:line="460" w:lineRule="atLeast"/>
        <w:ind w:firstLine="435" w:firstLineChars="197"/>
        <w:rPr>
          <w:rFonts w:ascii="宋体" w:hAnsi="宋体" w:cs="新宋体"/>
          <w:b/>
          <w:sz w:val="22"/>
          <w:szCs w:val="22"/>
        </w:rPr>
      </w:pPr>
      <w:r>
        <w:rPr>
          <w:rFonts w:hint="eastAsia" w:ascii="宋体" w:hAnsi="宋体" w:cs="新宋体"/>
          <w:b/>
          <w:sz w:val="22"/>
          <w:szCs w:val="22"/>
        </w:rPr>
        <w:t>评标委员会对投标文件的判定，只依据投标文件内容本身，不依靠开标后的任何外来证明。</w:t>
      </w:r>
    </w:p>
    <w:p>
      <w:pPr>
        <w:pStyle w:val="24"/>
        <w:snapToGrid w:val="0"/>
        <w:spacing w:line="460" w:lineRule="atLeast"/>
        <w:ind w:firstLine="433" w:firstLineChars="197"/>
        <w:rPr>
          <w:rFonts w:hAnsi="宋体" w:cs="新宋体"/>
          <w:sz w:val="22"/>
          <w:szCs w:val="22"/>
        </w:rPr>
      </w:pPr>
      <w:r>
        <w:rPr>
          <w:rFonts w:hint="eastAsia" w:hAnsi="宋体" w:cs="新宋体"/>
          <w:sz w:val="22"/>
          <w:szCs w:val="22"/>
        </w:rPr>
        <w:t>3）比较与评价。按招标文件中规定的评标方法和标准，对资格性检查和符合性检查合格的投标文件进行商务和技术评估，综合比较与评价。</w:t>
      </w:r>
    </w:p>
    <w:p>
      <w:pPr>
        <w:pStyle w:val="24"/>
        <w:snapToGrid w:val="0"/>
        <w:spacing w:line="460" w:lineRule="atLeast"/>
        <w:ind w:firstLine="433" w:firstLineChars="197"/>
        <w:rPr>
          <w:rFonts w:hAnsi="宋体" w:cs="新宋体"/>
          <w:sz w:val="22"/>
          <w:szCs w:val="22"/>
        </w:rPr>
      </w:pPr>
      <w:r>
        <w:rPr>
          <w:rFonts w:hint="eastAsia" w:hAnsi="宋体" w:cs="新宋体"/>
          <w:sz w:val="22"/>
          <w:szCs w:val="22"/>
        </w:rPr>
        <w:t>4）推荐中标人候选人名单，并根据采购人的授权确定中标人。</w:t>
      </w:r>
    </w:p>
    <w:p>
      <w:pPr>
        <w:pStyle w:val="24"/>
        <w:snapToGrid w:val="0"/>
        <w:spacing w:line="460" w:lineRule="atLeast"/>
        <w:ind w:firstLine="435" w:firstLineChars="197"/>
        <w:rPr>
          <w:rFonts w:hAnsi="宋体" w:cs="新宋体"/>
          <w:b/>
          <w:sz w:val="22"/>
          <w:szCs w:val="22"/>
          <w:u w:val="single"/>
        </w:rPr>
      </w:pPr>
      <w:r>
        <w:rPr>
          <w:rFonts w:hint="eastAsia" w:hAnsi="宋体" w:cs="新宋体"/>
          <w:b/>
          <w:sz w:val="22"/>
          <w:szCs w:val="22"/>
        </w:rPr>
        <w:t xml:space="preserve">5.3 </w:t>
      </w:r>
      <w:r>
        <w:rPr>
          <w:rFonts w:hint="eastAsia" w:hAnsi="宋体" w:cs="新宋体"/>
          <w:b/>
          <w:sz w:val="22"/>
          <w:szCs w:val="22"/>
          <w:u w:val="single"/>
        </w:rPr>
        <w:t>▲投标人存在下列情况之一的，投标无效:</w:t>
      </w:r>
    </w:p>
    <w:p>
      <w:pPr>
        <w:pStyle w:val="24"/>
        <w:snapToGrid w:val="0"/>
        <w:spacing w:line="460" w:lineRule="atLeast"/>
        <w:ind w:firstLine="433" w:firstLineChars="197"/>
        <w:rPr>
          <w:rFonts w:hAnsi="宋体" w:cs="新宋体"/>
          <w:sz w:val="22"/>
          <w:szCs w:val="22"/>
        </w:rPr>
      </w:pPr>
      <w:r>
        <w:rPr>
          <w:rFonts w:hint="eastAsia" w:hAnsi="宋体" w:cs="新宋体"/>
          <w:sz w:val="22"/>
          <w:szCs w:val="22"/>
        </w:rPr>
        <w:t>1）投标文件正本未按招标文件要求签署、盖章的；</w:t>
      </w:r>
    </w:p>
    <w:p>
      <w:pPr>
        <w:pStyle w:val="24"/>
        <w:snapToGrid w:val="0"/>
        <w:spacing w:line="460" w:lineRule="atLeast"/>
        <w:ind w:firstLine="433" w:firstLineChars="197"/>
        <w:rPr>
          <w:rFonts w:hAnsi="宋体" w:cs="新宋体"/>
          <w:sz w:val="22"/>
          <w:szCs w:val="22"/>
        </w:rPr>
      </w:pPr>
      <w:r>
        <w:rPr>
          <w:rFonts w:hint="eastAsia" w:hAnsi="宋体" w:cs="新宋体"/>
          <w:sz w:val="22"/>
          <w:szCs w:val="22"/>
        </w:rPr>
        <w:t>2）不具备招标文件中规定的资格要求的；</w:t>
      </w:r>
    </w:p>
    <w:p>
      <w:pPr>
        <w:pStyle w:val="24"/>
        <w:snapToGrid w:val="0"/>
        <w:spacing w:line="460" w:lineRule="atLeast"/>
        <w:ind w:firstLine="433" w:firstLineChars="197"/>
        <w:rPr>
          <w:rFonts w:hAnsi="宋体" w:cs="新宋体"/>
          <w:sz w:val="22"/>
          <w:szCs w:val="22"/>
        </w:rPr>
      </w:pPr>
      <w:r>
        <w:rPr>
          <w:rFonts w:hint="eastAsia" w:hAnsi="宋体" w:cs="新宋体"/>
          <w:sz w:val="22"/>
          <w:szCs w:val="22"/>
        </w:rPr>
        <w:t>3）报价超过招标文件中规定的预算金额或者最高限价的；</w:t>
      </w:r>
    </w:p>
    <w:p>
      <w:pPr>
        <w:pStyle w:val="24"/>
        <w:snapToGrid w:val="0"/>
        <w:spacing w:line="460" w:lineRule="atLeast"/>
        <w:ind w:firstLine="433" w:firstLineChars="197"/>
        <w:rPr>
          <w:rFonts w:hAnsi="宋体" w:cs="新宋体"/>
          <w:strike/>
          <w:sz w:val="22"/>
          <w:szCs w:val="22"/>
        </w:rPr>
      </w:pPr>
      <w:r>
        <w:rPr>
          <w:rFonts w:hint="eastAsia" w:hAnsi="宋体" w:cs="新宋体"/>
          <w:sz w:val="22"/>
          <w:szCs w:val="22"/>
        </w:rPr>
        <w:t>4）投标文件含有采购人不能接受的附加条件的（包括招标文件中明确要求不得偏离的招标要求，存在负偏离的）;</w:t>
      </w:r>
    </w:p>
    <w:p>
      <w:pPr>
        <w:pStyle w:val="24"/>
        <w:snapToGrid w:val="0"/>
        <w:spacing w:line="460" w:lineRule="atLeast"/>
        <w:ind w:firstLine="433" w:firstLineChars="197"/>
        <w:rPr>
          <w:rFonts w:hAnsi="宋体" w:cs="新宋体"/>
          <w:sz w:val="22"/>
          <w:szCs w:val="22"/>
        </w:rPr>
      </w:pPr>
      <w:r>
        <w:rPr>
          <w:rFonts w:hint="eastAsia" w:hAnsi="宋体" w:cs="新宋体"/>
          <w:sz w:val="22"/>
          <w:szCs w:val="22"/>
        </w:rPr>
        <w:t>5）仅提交“备份投标文件”的；</w:t>
      </w:r>
    </w:p>
    <w:p>
      <w:pPr>
        <w:pStyle w:val="24"/>
        <w:snapToGrid w:val="0"/>
        <w:spacing w:line="460" w:lineRule="atLeast"/>
        <w:ind w:firstLine="433" w:firstLineChars="197"/>
        <w:rPr>
          <w:rFonts w:hAnsi="宋体" w:cs="新宋体"/>
          <w:sz w:val="22"/>
          <w:szCs w:val="22"/>
        </w:rPr>
      </w:pPr>
      <w:r>
        <w:rPr>
          <w:rFonts w:hint="eastAsia" w:hAnsi="宋体" w:cs="新宋体"/>
          <w:sz w:val="22"/>
          <w:szCs w:val="22"/>
        </w:rPr>
        <w:t>6）对关键条文的偏离、保留或反对，例如关于付款方式、完工期、免费质保期、适用法律法规、标准、税费等其他内容；</w:t>
      </w:r>
    </w:p>
    <w:p>
      <w:pPr>
        <w:pStyle w:val="24"/>
        <w:snapToGrid w:val="0"/>
        <w:spacing w:line="460" w:lineRule="atLeast"/>
        <w:ind w:firstLine="433" w:firstLineChars="197"/>
        <w:rPr>
          <w:rFonts w:hAnsi="宋体" w:cs="新宋体"/>
          <w:sz w:val="22"/>
          <w:szCs w:val="22"/>
        </w:rPr>
      </w:pPr>
      <w:r>
        <w:rPr>
          <w:rFonts w:hint="eastAsia" w:hAnsi="宋体" w:cs="新宋体"/>
          <w:sz w:val="22"/>
          <w:szCs w:val="22"/>
        </w:rPr>
        <w:t>7）存在串标、抬标或弄虚作假情况的；</w:t>
      </w:r>
    </w:p>
    <w:p>
      <w:pPr>
        <w:pStyle w:val="24"/>
        <w:snapToGrid w:val="0"/>
        <w:spacing w:line="460" w:lineRule="atLeast"/>
        <w:ind w:firstLine="433" w:firstLineChars="197"/>
        <w:rPr>
          <w:rFonts w:hAnsi="宋体" w:cs="新宋体"/>
          <w:sz w:val="22"/>
          <w:szCs w:val="22"/>
        </w:rPr>
      </w:pPr>
      <w:r>
        <w:rPr>
          <w:rFonts w:hint="eastAsia" w:hAnsi="宋体" w:cs="新宋体"/>
          <w:sz w:val="22"/>
          <w:szCs w:val="22"/>
        </w:rPr>
        <w:t>8）法律、法规和招标文件规定的其他无效情形（或出现重大偏差）。</w:t>
      </w:r>
    </w:p>
    <w:p>
      <w:pPr>
        <w:pStyle w:val="24"/>
        <w:snapToGrid w:val="0"/>
        <w:spacing w:line="460" w:lineRule="atLeast"/>
        <w:ind w:firstLine="435" w:firstLineChars="197"/>
        <w:rPr>
          <w:rFonts w:hAnsi="宋体" w:cs="新宋体"/>
          <w:b/>
          <w:sz w:val="22"/>
          <w:szCs w:val="22"/>
        </w:rPr>
      </w:pPr>
      <w:r>
        <w:rPr>
          <w:rFonts w:hint="eastAsia" w:hAnsi="宋体" w:cs="新宋体"/>
          <w:b/>
          <w:sz w:val="22"/>
          <w:szCs w:val="22"/>
        </w:rPr>
        <w:t>5.4 ▲</w:t>
      </w:r>
      <w:r>
        <w:rPr>
          <w:rFonts w:hint="eastAsia" w:hAnsi="宋体" w:cs="新宋体"/>
          <w:b/>
          <w:sz w:val="22"/>
          <w:szCs w:val="22"/>
          <w:u w:val="single"/>
        </w:rPr>
        <w:t>评标委员会发现投标文件有下列情形之一的属于重大偏差(评标委员会按少数服从多数原则认定),按照无效投标处理：</w:t>
      </w:r>
    </w:p>
    <w:p>
      <w:pPr>
        <w:pStyle w:val="24"/>
        <w:snapToGrid w:val="0"/>
        <w:spacing w:line="460" w:lineRule="atLeast"/>
        <w:ind w:firstLine="435" w:firstLineChars="197"/>
        <w:rPr>
          <w:rFonts w:hAnsi="宋体" w:cs="新宋体"/>
          <w:b/>
          <w:sz w:val="22"/>
          <w:szCs w:val="22"/>
        </w:rPr>
      </w:pPr>
      <w:r>
        <w:rPr>
          <w:rFonts w:hint="eastAsia" w:hAnsi="宋体" w:cs="新宋体"/>
          <w:b/>
          <w:sz w:val="22"/>
          <w:szCs w:val="22"/>
        </w:rPr>
        <w:t>1）未按招标文件要求编制或字迹模糊、辨认不清的投标文件；</w:t>
      </w:r>
    </w:p>
    <w:p>
      <w:pPr>
        <w:pStyle w:val="24"/>
        <w:snapToGrid w:val="0"/>
        <w:spacing w:line="460" w:lineRule="atLeast"/>
        <w:ind w:firstLine="435" w:firstLineChars="197"/>
        <w:rPr>
          <w:rFonts w:hAnsi="宋体" w:cs="新宋体"/>
          <w:b/>
          <w:sz w:val="22"/>
          <w:szCs w:val="22"/>
        </w:rPr>
      </w:pPr>
      <w:r>
        <w:rPr>
          <w:rFonts w:hint="eastAsia" w:hAnsi="宋体" w:cs="新宋体"/>
          <w:b/>
          <w:sz w:val="22"/>
          <w:szCs w:val="22"/>
        </w:rPr>
        <w:t>2）供应商技术资信投标文件中出现投标报价；</w:t>
      </w:r>
    </w:p>
    <w:p>
      <w:pPr>
        <w:pStyle w:val="24"/>
        <w:snapToGrid w:val="0"/>
        <w:spacing w:line="460" w:lineRule="atLeast"/>
        <w:ind w:firstLine="435" w:firstLineChars="197"/>
        <w:rPr>
          <w:rFonts w:hAnsi="宋体" w:cs="新宋体"/>
          <w:b/>
          <w:sz w:val="22"/>
          <w:szCs w:val="22"/>
        </w:rPr>
      </w:pPr>
      <w:r>
        <w:rPr>
          <w:rFonts w:hint="eastAsia" w:hAnsi="宋体" w:cs="新宋体"/>
          <w:b/>
          <w:sz w:val="22"/>
          <w:szCs w:val="22"/>
        </w:rPr>
        <w:t>3）除5.3条款以外，出现其它明显不符合技术规格、技术标准的要求或不满足招标文件技术规格书中的主要参数的投标文件；</w:t>
      </w:r>
    </w:p>
    <w:p>
      <w:pPr>
        <w:pStyle w:val="24"/>
        <w:snapToGrid w:val="0"/>
        <w:spacing w:line="460" w:lineRule="atLeast"/>
        <w:ind w:firstLine="435" w:firstLineChars="197"/>
        <w:rPr>
          <w:rFonts w:hAnsi="宋体" w:cs="新宋体"/>
          <w:b/>
          <w:sz w:val="22"/>
          <w:szCs w:val="22"/>
        </w:rPr>
      </w:pPr>
      <w:r>
        <w:rPr>
          <w:rFonts w:hint="eastAsia" w:hAnsi="宋体" w:cs="新宋体"/>
          <w:b/>
          <w:sz w:val="22"/>
          <w:szCs w:val="22"/>
        </w:rPr>
        <w:t>4）除5.3条款以外，出现投标服务内容与招标文件对比出现较大偏差；商务报价明细表计算错误，出现较大差错；</w:t>
      </w:r>
    </w:p>
    <w:p>
      <w:pPr>
        <w:pStyle w:val="24"/>
        <w:snapToGrid w:val="0"/>
        <w:spacing w:line="460" w:lineRule="atLeast"/>
        <w:ind w:firstLine="435" w:firstLineChars="197"/>
        <w:rPr>
          <w:rFonts w:hAnsi="宋体" w:cs="新宋体"/>
          <w:b/>
          <w:sz w:val="22"/>
          <w:szCs w:val="22"/>
        </w:rPr>
      </w:pPr>
      <w:r>
        <w:rPr>
          <w:rFonts w:hint="eastAsia" w:hAnsi="宋体" w:cs="新宋体"/>
          <w:b/>
          <w:sz w:val="22"/>
          <w:szCs w:val="22"/>
        </w:rPr>
        <w:t>5）除5.3条款以外，出现其它不符合招标文件中规定的实质性要求的投标文件，是否为偏离实质性要求由评标委员会认定。</w:t>
      </w:r>
    </w:p>
    <w:p>
      <w:pPr>
        <w:pStyle w:val="24"/>
        <w:snapToGrid w:val="0"/>
        <w:spacing w:line="460" w:lineRule="atLeast"/>
        <w:ind w:firstLine="435" w:firstLineChars="197"/>
        <w:rPr>
          <w:rFonts w:hAnsi="宋体" w:cs="新宋体"/>
          <w:b/>
          <w:sz w:val="22"/>
          <w:szCs w:val="22"/>
        </w:rPr>
      </w:pPr>
      <w:r>
        <w:rPr>
          <w:rFonts w:hint="eastAsia" w:hAnsi="宋体" w:cs="新宋体"/>
          <w:b/>
          <w:sz w:val="22"/>
          <w:szCs w:val="22"/>
        </w:rPr>
        <w:t>5.5 开启供应商商务报价文件后发现价格、数量有误，其投标价将按下述原则处理：</w:t>
      </w:r>
    </w:p>
    <w:p>
      <w:pPr>
        <w:adjustRightInd w:val="0"/>
        <w:snapToGrid w:val="0"/>
        <w:spacing w:line="460" w:lineRule="atLeast"/>
        <w:ind w:firstLine="433" w:firstLineChars="197"/>
        <w:rPr>
          <w:rFonts w:ascii="宋体" w:hAnsi="宋体" w:cs="新宋体"/>
          <w:sz w:val="22"/>
          <w:szCs w:val="22"/>
        </w:rPr>
      </w:pPr>
      <w:r>
        <w:rPr>
          <w:rFonts w:hint="eastAsia" w:ascii="宋体" w:hAnsi="宋体" w:cs="新宋体"/>
          <w:sz w:val="22"/>
          <w:szCs w:val="22"/>
        </w:rPr>
        <w:t>1) 任何有漏去一些小项货物或服务的投标将被视为其费用已包含在投标总价中，投标价格不予调整。如果供应商不接受上述处理方式，将作为无效投标。</w:t>
      </w:r>
    </w:p>
    <w:p>
      <w:pPr>
        <w:adjustRightInd w:val="0"/>
        <w:snapToGrid w:val="0"/>
        <w:spacing w:line="460" w:lineRule="atLeast"/>
        <w:ind w:firstLine="433" w:firstLineChars="197"/>
        <w:rPr>
          <w:rFonts w:ascii="宋体" w:hAnsi="宋体" w:cs="新宋体"/>
          <w:sz w:val="22"/>
          <w:szCs w:val="22"/>
        </w:rPr>
      </w:pPr>
      <w:r>
        <w:rPr>
          <w:rFonts w:hint="eastAsia" w:ascii="宋体" w:hAnsi="宋体" w:cs="新宋体"/>
          <w:sz w:val="22"/>
          <w:szCs w:val="22"/>
        </w:rPr>
        <w:t>2) 任何有多报一些小项工程或服务的投标其投标价不予调整，如果该供应商中标，则合同价格必须为核减掉多报的一些小项工程或服务后的价格。如果供应商不接受上述处理方式，将作为无效投标。</w:t>
      </w:r>
    </w:p>
    <w:p>
      <w:pPr>
        <w:adjustRightInd w:val="0"/>
        <w:snapToGrid w:val="0"/>
        <w:spacing w:line="460" w:lineRule="atLeast"/>
        <w:ind w:firstLine="433" w:firstLineChars="197"/>
        <w:rPr>
          <w:rFonts w:ascii="宋体" w:hAnsi="宋体" w:cs="新宋体"/>
          <w:sz w:val="22"/>
          <w:szCs w:val="22"/>
        </w:rPr>
      </w:pPr>
      <w:r>
        <w:rPr>
          <w:rFonts w:hint="eastAsia" w:ascii="宋体" w:hAnsi="宋体" w:cs="新宋体"/>
          <w:sz w:val="22"/>
          <w:szCs w:val="22"/>
        </w:rPr>
        <w:t>3）对于计算错误的其投标价不予调整，如果该供应商中标，如其投标价格计算错误导致多报者合同价格予以据实核减，少报者合同价格不予调整。如果供应商不接受上述处理方式，将作为无效投标。</w:t>
      </w:r>
    </w:p>
    <w:p>
      <w:pPr>
        <w:adjustRightInd w:val="0"/>
        <w:snapToGrid w:val="0"/>
        <w:spacing w:line="460" w:lineRule="atLeast"/>
        <w:ind w:firstLine="433" w:firstLineChars="197"/>
        <w:rPr>
          <w:rFonts w:ascii="宋体" w:hAnsi="宋体" w:cs="新宋体"/>
          <w:sz w:val="22"/>
          <w:szCs w:val="22"/>
          <w:u w:val="single"/>
        </w:rPr>
      </w:pPr>
      <w:r>
        <w:rPr>
          <w:rFonts w:hint="eastAsia" w:ascii="宋体" w:hAnsi="宋体" w:cs="新宋体"/>
          <w:sz w:val="22"/>
          <w:szCs w:val="22"/>
          <w:u w:val="single"/>
        </w:rPr>
        <w:t>4）对于计算错误，多报或漏报的一些小项工程或服务的仅仅为非实质性重大偏差范围内的偏离，并经过评标委员会按少数服从多数原则认定为细微偏差，评审时其投标价不予调整。</w:t>
      </w:r>
      <w:r>
        <w:rPr>
          <w:rFonts w:hint="eastAsia" w:ascii="宋体" w:hAnsi="宋体" w:cs="新宋体"/>
          <w:b/>
          <w:sz w:val="22"/>
          <w:szCs w:val="22"/>
          <w:u w:val="single"/>
        </w:rPr>
        <w:t>如认定为重大偏差的，做无效投标处理。</w:t>
      </w:r>
    </w:p>
    <w:p>
      <w:pPr>
        <w:adjustRightInd w:val="0"/>
        <w:snapToGrid w:val="0"/>
        <w:spacing w:line="460" w:lineRule="atLeast"/>
        <w:ind w:firstLine="435" w:firstLineChars="197"/>
        <w:rPr>
          <w:rFonts w:ascii="宋体" w:hAnsi="宋体" w:cs="新宋体"/>
          <w:b/>
          <w:sz w:val="22"/>
          <w:szCs w:val="22"/>
          <w:u w:val="single"/>
        </w:rPr>
      </w:pPr>
      <w:r>
        <w:rPr>
          <w:rFonts w:hint="eastAsia" w:ascii="宋体" w:hAnsi="宋体" w:cs="新宋体"/>
          <w:b/>
          <w:sz w:val="22"/>
          <w:szCs w:val="22"/>
          <w:u w:val="single"/>
        </w:rPr>
        <w:t>5.6▲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p>
    <w:p>
      <w:pPr>
        <w:adjustRightInd w:val="0"/>
        <w:snapToGrid w:val="0"/>
        <w:spacing w:line="460" w:lineRule="atLeast"/>
        <w:ind w:firstLine="435" w:firstLineChars="197"/>
        <w:rPr>
          <w:rFonts w:ascii="宋体" w:hAnsi="宋体" w:cs="新宋体"/>
          <w:b/>
          <w:sz w:val="22"/>
          <w:szCs w:val="22"/>
        </w:rPr>
      </w:pPr>
      <w:r>
        <w:rPr>
          <w:rFonts w:hint="eastAsia" w:ascii="宋体" w:hAnsi="宋体" w:cs="新宋体"/>
          <w:b/>
          <w:sz w:val="22"/>
          <w:szCs w:val="22"/>
          <w:u w:val="single"/>
        </w:rPr>
        <w:t>5.7如果投标人代表拒绝按评标委员会要求在“政采云平台”作出在线回复且无其他有效回复方式的，评标委员会可以对其作出否决投标处理。</w:t>
      </w:r>
    </w:p>
    <w:p>
      <w:pPr>
        <w:pStyle w:val="24"/>
        <w:snapToGrid w:val="0"/>
        <w:spacing w:line="460" w:lineRule="atLeast"/>
        <w:ind w:firstLine="433" w:firstLineChars="197"/>
        <w:rPr>
          <w:rFonts w:hAnsi="宋体" w:cs="新宋体"/>
          <w:sz w:val="22"/>
          <w:szCs w:val="22"/>
        </w:rPr>
      </w:pPr>
      <w:r>
        <w:rPr>
          <w:rFonts w:hint="eastAsia" w:hAnsi="宋体" w:cs="新宋体"/>
          <w:sz w:val="22"/>
          <w:szCs w:val="22"/>
        </w:rPr>
        <w:t>5.8 经澄清后，若偏差仍存在，且不可接受，则投标文件将被认定为“没有实质性响应采购文件要求”，按无效投标处理，不再进入下一步评审。评标委员会在评标中，不得改变招标文件中规定的评标标准、方法和中标条件。</w:t>
      </w:r>
    </w:p>
    <w:p>
      <w:pPr>
        <w:pStyle w:val="24"/>
        <w:snapToGrid w:val="0"/>
        <w:spacing w:line="460" w:lineRule="atLeast"/>
        <w:ind w:firstLine="433" w:firstLineChars="197"/>
        <w:rPr>
          <w:rFonts w:hAnsi="宋体" w:cs="新宋体"/>
          <w:sz w:val="22"/>
          <w:szCs w:val="22"/>
        </w:rPr>
      </w:pPr>
      <w:r>
        <w:rPr>
          <w:rFonts w:hint="eastAsia" w:hAnsi="宋体" w:cs="新宋体"/>
          <w:sz w:val="22"/>
          <w:szCs w:val="22"/>
        </w:rPr>
        <w:t>5.9 评标时如遇到招标文件未规定的特殊情况，由评标委员会按少数服从多数原则集体决定处理。</w:t>
      </w:r>
    </w:p>
    <w:p>
      <w:pPr>
        <w:pStyle w:val="24"/>
        <w:snapToGrid w:val="0"/>
        <w:spacing w:line="460" w:lineRule="atLeast"/>
        <w:ind w:firstLine="435" w:firstLineChars="197"/>
        <w:rPr>
          <w:rFonts w:hAnsi="宋体" w:cs="新宋体"/>
          <w:b/>
          <w:sz w:val="22"/>
          <w:szCs w:val="22"/>
          <w:u w:val="single"/>
        </w:rPr>
      </w:pPr>
      <w:r>
        <w:rPr>
          <w:rFonts w:hint="eastAsia" w:hAnsi="宋体" w:cs="新宋体"/>
          <w:b/>
          <w:sz w:val="22"/>
          <w:szCs w:val="22"/>
          <w:u w:val="single"/>
        </w:rPr>
        <w:t>5.10评标委员会对未中标的供应商不作解释。同时根据政府采购法实施条例第四十条规定，本项目不对供应商公布详细的评审情况，不公布具体评标细则中小项得分。</w:t>
      </w:r>
    </w:p>
    <w:p>
      <w:pPr>
        <w:pStyle w:val="24"/>
        <w:snapToGrid w:val="0"/>
        <w:spacing w:line="460" w:lineRule="atLeast"/>
        <w:ind w:firstLine="433" w:firstLineChars="197"/>
        <w:rPr>
          <w:rFonts w:hAnsi="宋体" w:cs="新宋体"/>
          <w:sz w:val="22"/>
          <w:szCs w:val="22"/>
        </w:rPr>
      </w:pPr>
      <w:r>
        <w:rPr>
          <w:rFonts w:hint="eastAsia" w:hAnsi="宋体" w:cs="新宋体"/>
          <w:sz w:val="22"/>
          <w:szCs w:val="22"/>
        </w:rPr>
        <w:t>6、投标文件的澄清</w:t>
      </w:r>
    </w:p>
    <w:p>
      <w:pPr>
        <w:adjustRightInd w:val="0"/>
        <w:snapToGrid w:val="0"/>
        <w:spacing w:line="460" w:lineRule="atLeast"/>
        <w:ind w:firstLine="433" w:firstLineChars="197"/>
        <w:rPr>
          <w:rFonts w:ascii="宋体" w:hAnsi="宋体" w:cs="新宋体"/>
          <w:sz w:val="22"/>
          <w:szCs w:val="22"/>
        </w:rPr>
      </w:pPr>
      <w:r>
        <w:rPr>
          <w:rFonts w:hint="eastAsia" w:ascii="宋体" w:hAnsi="宋体" w:cs="新宋体"/>
          <w:sz w:val="22"/>
          <w:szCs w:val="22"/>
        </w:rPr>
        <w:t xml:space="preserve">6.1 </w:t>
      </w:r>
      <w:r>
        <w:rPr>
          <w:rFonts w:hint="eastAsia" w:ascii="宋体" w:hAnsi="宋体" w:cs="宋体"/>
          <w:b/>
          <w:bCs/>
          <w:sz w:val="22"/>
          <w:szCs w:val="22"/>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Pr>
          <w:rFonts w:hint="eastAsia" w:ascii="宋体" w:hAnsi="宋体" w:cs="新宋体"/>
          <w:sz w:val="22"/>
          <w:szCs w:val="22"/>
        </w:rPr>
        <w:t>。</w:t>
      </w:r>
    </w:p>
    <w:p>
      <w:pPr>
        <w:adjustRightInd w:val="0"/>
        <w:snapToGrid w:val="0"/>
        <w:spacing w:line="460" w:lineRule="atLeast"/>
        <w:ind w:firstLine="433" w:firstLineChars="197"/>
        <w:rPr>
          <w:rFonts w:ascii="宋体" w:hAnsi="宋体" w:cs="新宋体"/>
          <w:sz w:val="22"/>
          <w:szCs w:val="22"/>
        </w:rPr>
      </w:pPr>
      <w:r>
        <w:rPr>
          <w:rFonts w:hint="eastAsia" w:ascii="宋体" w:hAnsi="宋体" w:cs="新宋体"/>
          <w:sz w:val="22"/>
          <w:szCs w:val="22"/>
        </w:rPr>
        <w:t>6.2 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pPr>
        <w:adjustRightInd w:val="0"/>
        <w:snapToGrid w:val="0"/>
        <w:spacing w:line="460" w:lineRule="atLeast"/>
        <w:ind w:firstLine="433" w:firstLineChars="197"/>
        <w:rPr>
          <w:rFonts w:ascii="宋体" w:hAnsi="宋体" w:cs="新宋体"/>
          <w:sz w:val="22"/>
          <w:szCs w:val="22"/>
        </w:rPr>
      </w:pPr>
      <w:r>
        <w:rPr>
          <w:rFonts w:hint="eastAsia" w:ascii="宋体" w:hAnsi="宋体" w:cs="新宋体"/>
          <w:sz w:val="22"/>
          <w:szCs w:val="22"/>
        </w:rPr>
        <w:t xml:space="preserve">6.3 供应商对投标文件的澄清不得寻求、提供或允许改变投标价格等实质性内容。 </w:t>
      </w:r>
    </w:p>
    <w:p>
      <w:pPr>
        <w:adjustRightInd w:val="0"/>
        <w:snapToGrid w:val="0"/>
        <w:spacing w:line="460" w:lineRule="atLeast"/>
        <w:ind w:left="414" w:leftChars="197"/>
        <w:rPr>
          <w:rFonts w:ascii="宋体" w:hAnsi="宋体" w:cs="新宋体"/>
          <w:sz w:val="22"/>
          <w:szCs w:val="22"/>
        </w:rPr>
      </w:pPr>
      <w:r>
        <w:rPr>
          <w:rFonts w:hint="eastAsia" w:ascii="宋体" w:hAnsi="宋体" w:cs="新宋体"/>
          <w:sz w:val="22"/>
          <w:szCs w:val="22"/>
        </w:rPr>
        <w:t>7、禁止供应商相互串通投标。</w:t>
      </w:r>
    </w:p>
    <w:p>
      <w:pPr>
        <w:adjustRightInd w:val="0"/>
        <w:snapToGrid w:val="0"/>
        <w:spacing w:line="460" w:lineRule="atLeast"/>
        <w:ind w:left="414" w:leftChars="197"/>
        <w:rPr>
          <w:rFonts w:ascii="宋体" w:hAnsi="宋体" w:cs="新宋体"/>
          <w:sz w:val="22"/>
          <w:szCs w:val="22"/>
        </w:rPr>
      </w:pPr>
      <w:r>
        <w:rPr>
          <w:rFonts w:hint="eastAsia" w:ascii="宋体" w:hAnsi="宋体" w:cs="新宋体"/>
          <w:sz w:val="22"/>
          <w:szCs w:val="22"/>
        </w:rPr>
        <w:t>7.1、有下列情形之一的，视为供应商相互串通投标：</w:t>
      </w:r>
    </w:p>
    <w:p>
      <w:pPr>
        <w:adjustRightInd w:val="0"/>
        <w:snapToGrid w:val="0"/>
        <w:spacing w:line="460" w:lineRule="atLeast"/>
        <w:ind w:left="414" w:leftChars="197"/>
        <w:rPr>
          <w:rFonts w:ascii="宋体" w:hAnsi="宋体" w:cs="新宋体"/>
          <w:sz w:val="22"/>
          <w:szCs w:val="22"/>
        </w:rPr>
      </w:pPr>
      <w:r>
        <w:rPr>
          <w:rFonts w:hint="eastAsia" w:ascii="宋体" w:hAnsi="宋体" w:cs="新宋体"/>
          <w:sz w:val="22"/>
          <w:szCs w:val="22"/>
        </w:rPr>
        <w:t>（一）不同供应商的投标文件由同一单位或者个人编制；</w:t>
      </w:r>
    </w:p>
    <w:p>
      <w:pPr>
        <w:adjustRightInd w:val="0"/>
        <w:snapToGrid w:val="0"/>
        <w:spacing w:line="460" w:lineRule="atLeast"/>
        <w:ind w:left="414" w:leftChars="197"/>
        <w:rPr>
          <w:rFonts w:ascii="宋体" w:hAnsi="宋体" w:cs="新宋体"/>
          <w:sz w:val="22"/>
          <w:szCs w:val="22"/>
        </w:rPr>
      </w:pPr>
      <w:r>
        <w:rPr>
          <w:rFonts w:hint="eastAsia" w:ascii="宋体" w:hAnsi="宋体" w:cs="新宋体"/>
          <w:sz w:val="22"/>
          <w:szCs w:val="22"/>
        </w:rPr>
        <w:t>（二）不同供应商委托同一单位或者个人办理投标事宜；</w:t>
      </w:r>
    </w:p>
    <w:p>
      <w:pPr>
        <w:adjustRightInd w:val="0"/>
        <w:snapToGrid w:val="0"/>
        <w:spacing w:line="460" w:lineRule="atLeast"/>
        <w:ind w:left="414" w:leftChars="197"/>
        <w:rPr>
          <w:rFonts w:ascii="宋体" w:hAnsi="宋体" w:cs="新宋体"/>
          <w:sz w:val="22"/>
          <w:szCs w:val="22"/>
        </w:rPr>
      </w:pPr>
      <w:r>
        <w:rPr>
          <w:rFonts w:hint="eastAsia" w:ascii="宋体" w:hAnsi="宋体" w:cs="新宋体"/>
          <w:sz w:val="22"/>
          <w:szCs w:val="22"/>
        </w:rPr>
        <w:t>（三）不同供应商的投标文件载明的项目管理成员为同一人；</w:t>
      </w:r>
    </w:p>
    <w:p>
      <w:pPr>
        <w:adjustRightInd w:val="0"/>
        <w:snapToGrid w:val="0"/>
        <w:spacing w:line="460" w:lineRule="atLeast"/>
        <w:ind w:left="414" w:leftChars="197"/>
        <w:rPr>
          <w:rFonts w:ascii="宋体" w:hAnsi="宋体" w:cs="新宋体"/>
          <w:sz w:val="22"/>
          <w:szCs w:val="22"/>
        </w:rPr>
      </w:pPr>
      <w:r>
        <w:rPr>
          <w:rFonts w:hint="eastAsia" w:ascii="宋体" w:hAnsi="宋体" w:cs="新宋体"/>
          <w:sz w:val="22"/>
          <w:szCs w:val="22"/>
        </w:rPr>
        <w:t>（四）不同供应商的投标文件异常一致或者投标报价呈规律性差异；</w:t>
      </w:r>
    </w:p>
    <w:p>
      <w:pPr>
        <w:adjustRightInd w:val="0"/>
        <w:snapToGrid w:val="0"/>
        <w:spacing w:line="460" w:lineRule="atLeast"/>
        <w:ind w:left="414" w:leftChars="197"/>
        <w:rPr>
          <w:rFonts w:ascii="宋体" w:hAnsi="宋体" w:cs="新宋体"/>
          <w:sz w:val="22"/>
          <w:szCs w:val="22"/>
        </w:rPr>
      </w:pPr>
      <w:r>
        <w:rPr>
          <w:rFonts w:hint="eastAsia" w:ascii="宋体" w:hAnsi="宋体" w:cs="新宋体"/>
          <w:sz w:val="22"/>
          <w:szCs w:val="22"/>
        </w:rPr>
        <w:t>（五）不同供应商的投标文件相互混装；</w:t>
      </w:r>
    </w:p>
    <w:p>
      <w:pPr>
        <w:adjustRightInd w:val="0"/>
        <w:snapToGrid w:val="0"/>
        <w:spacing w:line="460" w:lineRule="atLeast"/>
        <w:ind w:left="414" w:leftChars="197"/>
        <w:rPr>
          <w:rFonts w:ascii="宋体" w:hAnsi="宋体" w:cs="新宋体"/>
          <w:b/>
          <w:sz w:val="22"/>
          <w:szCs w:val="22"/>
        </w:rPr>
      </w:pPr>
      <w:r>
        <w:rPr>
          <w:rFonts w:hint="eastAsia" w:ascii="宋体" w:hAnsi="宋体" w:cs="新宋体"/>
          <w:b/>
          <w:sz w:val="22"/>
          <w:szCs w:val="22"/>
        </w:rPr>
        <w:t>7.2、经评标委员会认定供应商进行串通投标的，评标委员会可以对相关供应商做出无效投标处理，并上报政府采购管理部门进行进一步处理。</w:t>
      </w:r>
    </w:p>
    <w:p>
      <w:pPr>
        <w:pStyle w:val="24"/>
        <w:snapToGrid w:val="0"/>
        <w:spacing w:line="460" w:lineRule="atLeast"/>
        <w:ind w:firstLine="433" w:firstLineChars="197"/>
        <w:rPr>
          <w:rFonts w:hAnsi="宋体" w:cs="新宋体"/>
          <w:sz w:val="22"/>
          <w:szCs w:val="22"/>
        </w:rPr>
      </w:pPr>
      <w:r>
        <w:rPr>
          <w:rFonts w:hint="eastAsia" w:hAnsi="宋体" w:cs="新宋体"/>
          <w:sz w:val="22"/>
          <w:szCs w:val="22"/>
        </w:rPr>
        <w:t>8、评标原则</w:t>
      </w:r>
    </w:p>
    <w:p>
      <w:pPr>
        <w:pStyle w:val="24"/>
        <w:snapToGrid w:val="0"/>
        <w:spacing w:line="460" w:lineRule="atLeast"/>
        <w:ind w:firstLine="435" w:firstLineChars="197"/>
        <w:rPr>
          <w:rFonts w:hAnsi="宋体" w:cs="新宋体"/>
          <w:b/>
          <w:sz w:val="22"/>
          <w:szCs w:val="22"/>
        </w:rPr>
      </w:pPr>
      <w:r>
        <w:rPr>
          <w:rFonts w:hint="eastAsia" w:hAnsi="宋体" w:cs="新宋体"/>
          <w:b/>
          <w:sz w:val="22"/>
          <w:szCs w:val="22"/>
        </w:rPr>
        <w:t>8.1 ▲</w:t>
      </w:r>
      <w:r>
        <w:rPr>
          <w:rFonts w:hint="eastAsia" w:hAnsi="宋体" w:cs="新宋体"/>
          <w:b/>
          <w:sz w:val="22"/>
          <w:szCs w:val="22"/>
          <w:u w:val="single"/>
        </w:rPr>
        <w:t>投标截止时或评审过程中有效投标供应商不足三家的，不予开标或评标。</w:t>
      </w:r>
    </w:p>
    <w:p>
      <w:pPr>
        <w:pStyle w:val="24"/>
        <w:snapToGrid w:val="0"/>
        <w:spacing w:line="460" w:lineRule="atLeast"/>
        <w:ind w:firstLine="433" w:firstLineChars="197"/>
        <w:rPr>
          <w:rFonts w:hAnsi="宋体" w:cs="新宋体"/>
          <w:sz w:val="22"/>
          <w:szCs w:val="22"/>
        </w:rPr>
      </w:pPr>
      <w:r>
        <w:rPr>
          <w:rFonts w:hint="eastAsia" w:hAnsi="宋体" w:cs="新宋体"/>
          <w:sz w:val="22"/>
          <w:szCs w:val="22"/>
        </w:rPr>
        <w:t>9、确定中标候选人</w:t>
      </w:r>
    </w:p>
    <w:p>
      <w:pPr>
        <w:adjustRightInd w:val="0"/>
        <w:snapToGrid w:val="0"/>
        <w:spacing w:line="460" w:lineRule="atLeast"/>
        <w:ind w:left="414" w:leftChars="197"/>
        <w:rPr>
          <w:rFonts w:ascii="宋体" w:hAnsi="宋体" w:cs="新宋体"/>
          <w:sz w:val="22"/>
          <w:szCs w:val="22"/>
        </w:rPr>
      </w:pPr>
      <w:r>
        <w:rPr>
          <w:rFonts w:hint="eastAsia" w:ascii="宋体" w:hAnsi="宋体" w:cs="新宋体"/>
          <w:sz w:val="22"/>
          <w:szCs w:val="22"/>
        </w:rPr>
        <w:t>9.1本次招标由评标委员会推荐中标候选人，采购人根据评标委员会的推荐结果进行最终确认。</w:t>
      </w:r>
    </w:p>
    <w:p>
      <w:pPr>
        <w:adjustRightInd w:val="0"/>
        <w:snapToGrid w:val="0"/>
        <w:spacing w:line="460" w:lineRule="atLeast"/>
        <w:ind w:left="414" w:leftChars="197"/>
        <w:rPr>
          <w:rFonts w:ascii="宋体" w:hAnsi="宋体" w:cs="新宋体"/>
          <w:sz w:val="22"/>
          <w:szCs w:val="22"/>
        </w:rPr>
      </w:pPr>
      <w:r>
        <w:rPr>
          <w:rFonts w:hint="eastAsia" w:ascii="宋体" w:hAnsi="宋体" w:cs="新宋体"/>
          <w:sz w:val="22"/>
          <w:szCs w:val="22"/>
        </w:rPr>
        <w:t>9.2评标委员会依据法律、法规及采购文件有关规定在有效标中按投标人的最终得分（即技术分与商务分之和）高低进行排序，得分前二名的投标人推荐为中标候选人与备选中标人（得分相同投标报价低的排序第一；得分且投标报价相同的，由评标委员会成员抽签决定排序）。</w:t>
      </w:r>
    </w:p>
    <w:p>
      <w:pPr>
        <w:adjustRightInd w:val="0"/>
        <w:snapToGrid w:val="0"/>
        <w:spacing w:line="460" w:lineRule="atLeast"/>
        <w:ind w:left="414" w:leftChars="197"/>
        <w:rPr>
          <w:rFonts w:ascii="宋体" w:hAnsi="宋体" w:cs="新宋体"/>
          <w:sz w:val="22"/>
          <w:szCs w:val="22"/>
        </w:rPr>
      </w:pPr>
      <w:r>
        <w:rPr>
          <w:rFonts w:hint="eastAsia" w:ascii="宋体" w:hAnsi="宋体" w:cs="新宋体"/>
          <w:sz w:val="22"/>
          <w:szCs w:val="22"/>
        </w:rPr>
        <w:t>9.3若出现以下情形之一，采购人可视具体情况确定是否由备选中标人为中标人或重新组织招标：</w:t>
      </w:r>
    </w:p>
    <w:p>
      <w:pPr>
        <w:spacing w:line="460" w:lineRule="exact"/>
        <w:ind w:firstLine="418" w:firstLineChars="190"/>
        <w:rPr>
          <w:rFonts w:ascii="宋体" w:hAnsi="宋体" w:cs="新宋体"/>
          <w:kern w:val="0"/>
          <w:sz w:val="22"/>
          <w:szCs w:val="22"/>
        </w:rPr>
      </w:pPr>
      <w:r>
        <w:rPr>
          <w:rFonts w:hint="eastAsia" w:ascii="宋体" w:hAnsi="宋体" w:cs="新宋体"/>
          <w:kern w:val="0"/>
          <w:sz w:val="22"/>
          <w:szCs w:val="22"/>
        </w:rPr>
        <w:t>1）中标候选人放弃中标资格；</w:t>
      </w:r>
    </w:p>
    <w:p>
      <w:pPr>
        <w:spacing w:line="460" w:lineRule="exact"/>
        <w:ind w:firstLine="418" w:firstLineChars="190"/>
        <w:rPr>
          <w:rFonts w:ascii="宋体" w:hAnsi="宋体" w:cs="新宋体"/>
          <w:kern w:val="0"/>
          <w:sz w:val="22"/>
          <w:szCs w:val="22"/>
        </w:rPr>
      </w:pPr>
      <w:r>
        <w:rPr>
          <w:rFonts w:hint="eastAsia" w:ascii="宋体" w:hAnsi="宋体" w:cs="新宋体"/>
          <w:kern w:val="0"/>
          <w:sz w:val="22"/>
          <w:szCs w:val="22"/>
        </w:rPr>
        <w:t>2）中标候选人因不可抗力提出不能履行合同；</w:t>
      </w:r>
    </w:p>
    <w:p>
      <w:pPr>
        <w:spacing w:line="460" w:lineRule="exact"/>
        <w:ind w:firstLine="418" w:firstLineChars="190"/>
        <w:rPr>
          <w:rFonts w:ascii="宋体" w:hAnsi="宋体" w:cs="新宋体"/>
          <w:kern w:val="0"/>
          <w:sz w:val="22"/>
          <w:szCs w:val="22"/>
        </w:rPr>
      </w:pPr>
      <w:r>
        <w:rPr>
          <w:rFonts w:hint="eastAsia" w:ascii="宋体" w:hAnsi="宋体" w:cs="新宋体"/>
          <w:kern w:val="0"/>
          <w:sz w:val="22"/>
          <w:szCs w:val="22"/>
        </w:rPr>
        <w:t>3）中标候选人未能在规定时间内与采购单位签订合同；</w:t>
      </w:r>
    </w:p>
    <w:p>
      <w:pPr>
        <w:spacing w:line="460" w:lineRule="exact"/>
        <w:ind w:firstLine="418" w:firstLineChars="190"/>
        <w:rPr>
          <w:rFonts w:ascii="宋体" w:hAnsi="宋体" w:cs="新宋体"/>
          <w:kern w:val="0"/>
          <w:sz w:val="22"/>
          <w:szCs w:val="22"/>
        </w:rPr>
      </w:pPr>
      <w:r>
        <w:rPr>
          <w:rFonts w:hint="eastAsia" w:ascii="宋体" w:hAnsi="宋体" w:cs="新宋体"/>
          <w:kern w:val="0"/>
          <w:sz w:val="22"/>
          <w:szCs w:val="22"/>
        </w:rPr>
        <w:t>4）经质疑，采购人审查后，中标候选人确实在本次采购活动中存在违法违规行为或其他原因使质疑成立的。</w:t>
      </w:r>
    </w:p>
    <w:p>
      <w:pPr>
        <w:adjustRightInd w:val="0"/>
        <w:snapToGrid w:val="0"/>
        <w:spacing w:line="460" w:lineRule="atLeast"/>
        <w:ind w:left="414" w:leftChars="197"/>
        <w:rPr>
          <w:rFonts w:ascii="宋体" w:hAnsi="宋体" w:cs="新宋体"/>
          <w:sz w:val="22"/>
          <w:szCs w:val="22"/>
        </w:rPr>
      </w:pPr>
      <w:r>
        <w:rPr>
          <w:rFonts w:hint="eastAsia" w:ascii="宋体" w:hAnsi="宋体" w:cs="新宋体"/>
          <w:sz w:val="22"/>
          <w:szCs w:val="22"/>
        </w:rPr>
        <w:t>9.4采购人、采购代理机构及评标委员会对未中标的供应商不作解释。同时根据政府采购法实施条例第四十条规定，本项目不对供应商公布详细的评审情况，不公布具体评标细则中小项得分。</w:t>
      </w:r>
    </w:p>
    <w:p>
      <w:pPr>
        <w:adjustRightInd w:val="0"/>
        <w:snapToGrid w:val="0"/>
        <w:spacing w:line="460" w:lineRule="atLeast"/>
        <w:ind w:left="414" w:leftChars="197"/>
        <w:rPr>
          <w:rFonts w:ascii="宋体" w:hAnsi="宋体" w:cs="新宋体"/>
          <w:sz w:val="22"/>
          <w:szCs w:val="22"/>
        </w:rPr>
      </w:pPr>
      <w:r>
        <w:rPr>
          <w:rFonts w:hint="eastAsia" w:ascii="宋体" w:hAnsi="宋体" w:cs="新宋体"/>
          <w:sz w:val="22"/>
          <w:szCs w:val="22"/>
        </w:rPr>
        <w:t>10、评标细则详见“评标原则及方法”。</w:t>
      </w:r>
    </w:p>
    <w:p>
      <w:pPr>
        <w:adjustRightInd w:val="0"/>
        <w:snapToGrid w:val="0"/>
        <w:spacing w:line="460" w:lineRule="atLeast"/>
        <w:ind w:left="414" w:leftChars="197"/>
        <w:rPr>
          <w:rFonts w:ascii="宋体" w:hAnsi="宋体" w:cs="新宋体"/>
          <w:sz w:val="22"/>
          <w:szCs w:val="22"/>
        </w:rPr>
      </w:pPr>
      <w:r>
        <w:rPr>
          <w:rFonts w:hint="eastAsia" w:ascii="宋体" w:hAnsi="宋体" w:cs="新宋体"/>
          <w:sz w:val="22"/>
          <w:szCs w:val="22"/>
        </w:rPr>
        <w:t>11、 可中止电子交易活动的情形</w:t>
      </w:r>
    </w:p>
    <w:p>
      <w:pPr>
        <w:adjustRightInd w:val="0"/>
        <w:snapToGrid w:val="0"/>
        <w:spacing w:line="460" w:lineRule="atLeast"/>
        <w:ind w:left="414" w:leftChars="197"/>
        <w:rPr>
          <w:rFonts w:ascii="宋体" w:hAnsi="宋体" w:cs="新宋体"/>
          <w:sz w:val="22"/>
          <w:szCs w:val="22"/>
        </w:rPr>
      </w:pPr>
      <w:r>
        <w:rPr>
          <w:rFonts w:hint="eastAsia" w:ascii="宋体" w:hAnsi="宋体" w:cs="新宋体"/>
          <w:sz w:val="22"/>
          <w:szCs w:val="22"/>
        </w:rPr>
        <w:t>11.1采购过程中出现以下情形，导致电子交易平台无法正常运行，或者无法保证电子交易的公平、公正和安全时，采购组织机构可中止电子交易活动：</w:t>
      </w:r>
    </w:p>
    <w:p>
      <w:pPr>
        <w:numPr>
          <w:ilvl w:val="2"/>
          <w:numId w:val="7"/>
        </w:numPr>
        <w:tabs>
          <w:tab w:val="left" w:pos="993"/>
        </w:tabs>
        <w:spacing w:line="460" w:lineRule="exact"/>
        <w:ind w:left="993" w:hanging="426"/>
        <w:rPr>
          <w:rFonts w:ascii="宋体" w:hAnsi="宋体" w:cs="新宋体"/>
          <w:kern w:val="0"/>
          <w:sz w:val="22"/>
          <w:szCs w:val="22"/>
        </w:rPr>
      </w:pPr>
      <w:r>
        <w:rPr>
          <w:rFonts w:hint="eastAsia" w:ascii="宋体" w:hAnsi="宋体" w:cs="新宋体"/>
          <w:kern w:val="0"/>
          <w:sz w:val="22"/>
          <w:szCs w:val="22"/>
        </w:rPr>
        <w:t>电子交易平台发生故障而无法登录访问的；</w:t>
      </w:r>
    </w:p>
    <w:p>
      <w:pPr>
        <w:numPr>
          <w:ilvl w:val="2"/>
          <w:numId w:val="7"/>
        </w:numPr>
        <w:tabs>
          <w:tab w:val="left" w:pos="993"/>
        </w:tabs>
        <w:spacing w:line="460" w:lineRule="exact"/>
        <w:ind w:left="993" w:hanging="426"/>
        <w:rPr>
          <w:rFonts w:ascii="宋体" w:hAnsi="宋体" w:cs="新宋体"/>
          <w:kern w:val="0"/>
          <w:sz w:val="22"/>
          <w:szCs w:val="22"/>
        </w:rPr>
      </w:pPr>
      <w:r>
        <w:rPr>
          <w:rFonts w:hint="eastAsia" w:ascii="宋体" w:hAnsi="宋体" w:cs="新宋体"/>
          <w:kern w:val="0"/>
          <w:sz w:val="22"/>
          <w:szCs w:val="22"/>
        </w:rPr>
        <w:t>电子交易平台应用或数据库出现错误，不能进行正常操作的；</w:t>
      </w:r>
    </w:p>
    <w:p>
      <w:pPr>
        <w:numPr>
          <w:ilvl w:val="2"/>
          <w:numId w:val="7"/>
        </w:numPr>
        <w:tabs>
          <w:tab w:val="left" w:pos="993"/>
        </w:tabs>
        <w:spacing w:line="460" w:lineRule="exact"/>
        <w:ind w:left="993" w:hanging="426"/>
        <w:rPr>
          <w:rFonts w:ascii="宋体" w:hAnsi="宋体" w:cs="新宋体"/>
          <w:kern w:val="0"/>
          <w:sz w:val="22"/>
          <w:szCs w:val="22"/>
        </w:rPr>
      </w:pPr>
      <w:r>
        <w:rPr>
          <w:rFonts w:hint="eastAsia" w:ascii="宋体" w:hAnsi="宋体" w:cs="新宋体"/>
          <w:kern w:val="0"/>
          <w:sz w:val="22"/>
          <w:szCs w:val="22"/>
        </w:rPr>
        <w:t>电子交易平台发现严重安全漏洞，有潜在泄密危险的；</w:t>
      </w:r>
    </w:p>
    <w:p>
      <w:pPr>
        <w:numPr>
          <w:ilvl w:val="2"/>
          <w:numId w:val="7"/>
        </w:numPr>
        <w:tabs>
          <w:tab w:val="left" w:pos="993"/>
        </w:tabs>
        <w:spacing w:line="460" w:lineRule="exact"/>
        <w:ind w:left="993" w:hanging="426"/>
        <w:rPr>
          <w:rFonts w:ascii="宋体" w:hAnsi="宋体" w:cs="新宋体"/>
          <w:kern w:val="0"/>
          <w:sz w:val="22"/>
          <w:szCs w:val="22"/>
        </w:rPr>
      </w:pPr>
      <w:r>
        <w:rPr>
          <w:rFonts w:hint="eastAsia" w:ascii="宋体" w:hAnsi="宋体" w:cs="新宋体"/>
          <w:kern w:val="0"/>
          <w:sz w:val="22"/>
          <w:szCs w:val="22"/>
        </w:rPr>
        <w:t>病毒发作导致不能进行正常操作的；</w:t>
      </w:r>
    </w:p>
    <w:p>
      <w:pPr>
        <w:numPr>
          <w:ilvl w:val="2"/>
          <w:numId w:val="7"/>
        </w:numPr>
        <w:tabs>
          <w:tab w:val="left" w:pos="993"/>
        </w:tabs>
        <w:spacing w:line="460" w:lineRule="exact"/>
        <w:ind w:left="993" w:hanging="426"/>
        <w:rPr>
          <w:rFonts w:ascii="宋体" w:hAnsi="宋体" w:cs="新宋体"/>
          <w:kern w:val="0"/>
          <w:sz w:val="22"/>
          <w:szCs w:val="22"/>
        </w:rPr>
      </w:pPr>
      <w:r>
        <w:rPr>
          <w:rFonts w:hint="eastAsia" w:ascii="宋体" w:hAnsi="宋体" w:cs="新宋体"/>
          <w:kern w:val="0"/>
          <w:sz w:val="22"/>
          <w:szCs w:val="22"/>
        </w:rPr>
        <w:t>其他无法保证电子交易的公平、公正和安全的情况。</w:t>
      </w:r>
    </w:p>
    <w:p>
      <w:pPr>
        <w:adjustRightInd w:val="0"/>
        <w:snapToGrid w:val="0"/>
        <w:spacing w:line="460" w:lineRule="atLeast"/>
        <w:ind w:left="414" w:leftChars="197"/>
        <w:rPr>
          <w:rFonts w:ascii="宋体" w:hAnsi="宋体" w:cs="新宋体"/>
          <w:sz w:val="22"/>
          <w:szCs w:val="22"/>
        </w:rPr>
      </w:pPr>
      <w:r>
        <w:rPr>
          <w:rFonts w:hint="eastAsia" w:ascii="宋体" w:hAnsi="宋体" w:cs="新宋体"/>
          <w:sz w:val="22"/>
          <w:szCs w:val="22"/>
        </w:rPr>
        <w:t>11.2出现前款规定情形，不影响采购公平、公正性的，采购组织机构可以待上述情形消除后继续组织电子交易活动；影响或可能影响采购公平、公正性的，应当重新采购。</w:t>
      </w:r>
    </w:p>
    <w:p>
      <w:pPr>
        <w:autoSpaceDE w:val="0"/>
        <w:autoSpaceDN w:val="0"/>
        <w:adjustRightInd w:val="0"/>
        <w:snapToGrid w:val="0"/>
        <w:spacing w:line="440" w:lineRule="exact"/>
        <w:ind w:firstLine="331" w:firstLineChars="150"/>
        <w:textAlignment w:val="bottom"/>
        <w:outlineLvl w:val="1"/>
        <w:rPr>
          <w:rFonts w:ascii="宋体" w:hAnsi="宋体" w:cs="Arial"/>
          <w:b/>
          <w:bCs/>
          <w:sz w:val="22"/>
          <w:szCs w:val="22"/>
        </w:rPr>
      </w:pPr>
      <w:bookmarkStart w:id="71" w:name="_Toc97033059"/>
      <w:bookmarkStart w:id="72" w:name="_Toc496116255"/>
      <w:r>
        <w:rPr>
          <w:rFonts w:hint="eastAsia" w:ascii="宋体" w:hAnsi="宋体" w:cs="Arial"/>
          <w:b/>
          <w:bCs/>
          <w:sz w:val="22"/>
          <w:szCs w:val="22"/>
        </w:rPr>
        <w:t>七、授予合同</w:t>
      </w:r>
      <w:bookmarkEnd w:id="71"/>
      <w:bookmarkEnd w:id="72"/>
    </w:p>
    <w:p>
      <w:pPr>
        <w:pStyle w:val="24"/>
        <w:snapToGrid w:val="0"/>
        <w:spacing w:line="460" w:lineRule="atLeast"/>
        <w:ind w:firstLine="433" w:firstLineChars="197"/>
        <w:rPr>
          <w:rFonts w:hAnsi="宋体" w:cs="新宋体"/>
          <w:sz w:val="22"/>
          <w:szCs w:val="22"/>
        </w:rPr>
      </w:pPr>
      <w:r>
        <w:rPr>
          <w:rFonts w:hint="eastAsia" w:hAnsi="宋体" w:cs="新宋体"/>
          <w:sz w:val="22"/>
          <w:szCs w:val="22"/>
        </w:rPr>
        <w:t>1、决标</w:t>
      </w:r>
    </w:p>
    <w:p>
      <w:pPr>
        <w:pStyle w:val="24"/>
        <w:snapToGrid w:val="0"/>
        <w:spacing w:line="460" w:lineRule="atLeast"/>
        <w:ind w:firstLine="433" w:firstLineChars="197"/>
        <w:rPr>
          <w:rFonts w:hAnsi="宋体" w:cs="新宋体"/>
          <w:sz w:val="22"/>
          <w:szCs w:val="22"/>
        </w:rPr>
      </w:pPr>
      <w:r>
        <w:rPr>
          <w:rFonts w:hint="eastAsia" w:hAnsi="宋体" w:cs="新宋体"/>
          <w:sz w:val="22"/>
          <w:szCs w:val="22"/>
        </w:rPr>
        <w:t>1.1、评标结束后，评标委员会按照招标文件确定的评标办法推荐中标供应商。</w:t>
      </w:r>
    </w:p>
    <w:p>
      <w:pPr>
        <w:pStyle w:val="24"/>
        <w:snapToGrid w:val="0"/>
        <w:spacing w:line="460" w:lineRule="atLeast"/>
        <w:ind w:firstLine="433" w:firstLineChars="197"/>
        <w:rPr>
          <w:rFonts w:hAnsi="宋体" w:cs="新宋体"/>
          <w:sz w:val="22"/>
          <w:szCs w:val="22"/>
        </w:rPr>
      </w:pPr>
      <w:r>
        <w:rPr>
          <w:rFonts w:hint="eastAsia" w:hAnsi="宋体" w:cs="新宋体"/>
          <w:sz w:val="22"/>
          <w:szCs w:val="22"/>
        </w:rPr>
        <w:t>2、中标通知书</w:t>
      </w:r>
    </w:p>
    <w:p>
      <w:pPr>
        <w:spacing w:line="460" w:lineRule="atLeast"/>
        <w:ind w:firstLine="435" w:firstLineChars="197"/>
        <w:rPr>
          <w:rFonts w:ascii="宋体" w:hAnsi="宋体" w:cs="新宋体"/>
          <w:b/>
          <w:sz w:val="22"/>
          <w:szCs w:val="22"/>
        </w:rPr>
      </w:pPr>
      <w:r>
        <w:rPr>
          <w:rFonts w:hint="eastAsia" w:ascii="宋体" w:hAnsi="宋体" w:cs="新宋体"/>
          <w:b/>
          <w:sz w:val="22"/>
          <w:szCs w:val="22"/>
        </w:rPr>
        <w:t>2.1、采购人依法确认中标供应商后，代理机构在浙江省政府采购网上公告中标结果，公告期限为1个工作日。同时向中标供应商发出中标通知书。</w:t>
      </w:r>
    </w:p>
    <w:p>
      <w:pPr>
        <w:adjustRightInd w:val="0"/>
        <w:snapToGrid w:val="0"/>
        <w:spacing w:line="460" w:lineRule="atLeast"/>
        <w:ind w:firstLine="433" w:firstLineChars="197"/>
        <w:rPr>
          <w:rFonts w:ascii="宋体" w:hAnsi="宋体" w:cs="新宋体"/>
          <w:sz w:val="22"/>
          <w:szCs w:val="22"/>
        </w:rPr>
      </w:pPr>
      <w:r>
        <w:rPr>
          <w:rFonts w:hint="eastAsia" w:ascii="宋体" w:hAnsi="宋体" w:cs="新宋体"/>
          <w:sz w:val="22"/>
          <w:szCs w:val="22"/>
        </w:rPr>
        <w:t>2.2、中标通知书对采购人和中标人具有法律约束力。中标通知书发出后，采购人改变中标结果或者中标人放弃中标的，应当承担法律责任。</w:t>
      </w:r>
    </w:p>
    <w:p>
      <w:pPr>
        <w:adjustRightInd w:val="0"/>
        <w:snapToGrid w:val="0"/>
        <w:spacing w:line="460" w:lineRule="atLeast"/>
        <w:ind w:firstLine="435" w:firstLineChars="197"/>
        <w:rPr>
          <w:rFonts w:ascii="宋体" w:hAnsi="宋体" w:cs="新宋体"/>
          <w:b/>
          <w:sz w:val="22"/>
          <w:szCs w:val="22"/>
        </w:rPr>
      </w:pPr>
      <w:r>
        <w:rPr>
          <w:rFonts w:hint="eastAsia" w:ascii="宋体" w:hAnsi="宋体" w:cs="新宋体"/>
          <w:b/>
          <w:sz w:val="22"/>
          <w:szCs w:val="22"/>
        </w:rPr>
        <w:t>2.3、中标无效</w:t>
      </w:r>
    </w:p>
    <w:p>
      <w:pPr>
        <w:adjustRightInd w:val="0"/>
        <w:snapToGrid w:val="0"/>
        <w:spacing w:line="460" w:lineRule="atLeast"/>
        <w:ind w:firstLine="433" w:firstLineChars="197"/>
        <w:rPr>
          <w:rFonts w:ascii="宋体" w:hAnsi="宋体" w:cs="新宋体"/>
          <w:sz w:val="22"/>
          <w:szCs w:val="22"/>
          <w:u w:val="single"/>
        </w:rPr>
      </w:pPr>
      <w:r>
        <w:rPr>
          <w:rFonts w:hint="eastAsia" w:ascii="宋体" w:hAnsi="宋体" w:cs="新宋体"/>
          <w:sz w:val="22"/>
          <w:szCs w:val="22"/>
          <w:u w:val="single"/>
        </w:rPr>
        <w:t>1）发现中标供应商资格无效或中标供应商放弃中标或拒绝与采购人签订合同的,采购人可以按照评审报告推荐的中标候选人名单排序，确定下一候选人为中标供应商，也可以重新开展政府采购活动。</w:t>
      </w:r>
    </w:p>
    <w:p>
      <w:pPr>
        <w:adjustRightInd w:val="0"/>
        <w:snapToGrid w:val="0"/>
        <w:spacing w:line="460" w:lineRule="atLeast"/>
        <w:ind w:firstLine="433" w:firstLineChars="197"/>
        <w:rPr>
          <w:rFonts w:ascii="宋体" w:hAnsi="宋体" w:cs="新宋体"/>
          <w:sz w:val="22"/>
          <w:szCs w:val="22"/>
        </w:rPr>
      </w:pPr>
      <w:r>
        <w:rPr>
          <w:rFonts w:hint="eastAsia" w:ascii="宋体" w:hAnsi="宋体" w:cs="新宋体"/>
          <w:sz w:val="22"/>
          <w:szCs w:val="22"/>
        </w:rPr>
        <w:t xml:space="preserve">    2）有《中华人民共和国政府采购法实施条例》第七十一条、第七十二条、第七十三条、第七十四条规定的违法行为之一，由政府采购监管部门依法处理。</w:t>
      </w:r>
    </w:p>
    <w:p>
      <w:pPr>
        <w:adjustRightInd w:val="0"/>
        <w:snapToGrid w:val="0"/>
        <w:spacing w:line="460" w:lineRule="atLeast"/>
        <w:ind w:firstLine="433" w:firstLineChars="197"/>
        <w:rPr>
          <w:rFonts w:ascii="宋体" w:hAnsi="宋体" w:cs="新宋体"/>
          <w:sz w:val="22"/>
          <w:szCs w:val="22"/>
        </w:rPr>
      </w:pPr>
      <w:r>
        <w:rPr>
          <w:rFonts w:hint="eastAsia" w:ascii="宋体" w:hAnsi="宋体" w:cs="新宋体"/>
          <w:sz w:val="22"/>
          <w:szCs w:val="22"/>
        </w:rPr>
        <w:t>4、签订合同</w:t>
      </w:r>
    </w:p>
    <w:p>
      <w:pPr>
        <w:pStyle w:val="24"/>
        <w:snapToGrid w:val="0"/>
        <w:spacing w:line="460" w:lineRule="atLeast"/>
        <w:ind w:firstLine="433" w:firstLineChars="197"/>
        <w:rPr>
          <w:rFonts w:hAnsi="宋体" w:cs="新宋体"/>
          <w:sz w:val="22"/>
          <w:szCs w:val="22"/>
        </w:rPr>
      </w:pPr>
      <w:r>
        <w:rPr>
          <w:rFonts w:hint="eastAsia" w:hAnsi="宋体" w:cs="新宋体"/>
          <w:sz w:val="22"/>
          <w:szCs w:val="22"/>
        </w:rPr>
        <w:t>4.1 中标供应商须主动联系采购人或采购代理机构领取中标通知书。中标供应商应当在中标通知书发出之日起30日历天内与采购人签订合同。中标供应商未经采购人许可，在规定时间内未到采购人处与采购人签订合同，则视为拒签合同。</w:t>
      </w:r>
    </w:p>
    <w:p>
      <w:pPr>
        <w:adjustRightInd w:val="0"/>
        <w:snapToGrid w:val="0"/>
        <w:spacing w:line="460" w:lineRule="atLeast"/>
        <w:ind w:firstLine="433" w:firstLineChars="197"/>
        <w:rPr>
          <w:rFonts w:ascii="宋体" w:hAnsi="宋体" w:cs="新宋体"/>
          <w:sz w:val="22"/>
          <w:szCs w:val="22"/>
        </w:rPr>
      </w:pPr>
      <w:r>
        <w:rPr>
          <w:rFonts w:hint="eastAsia" w:ascii="宋体" w:hAnsi="宋体" w:cs="新宋体"/>
          <w:sz w:val="22"/>
          <w:szCs w:val="22"/>
        </w:rPr>
        <w:t>4.2 招标文件、中标供应商的投标文件及投标修改文件、评标过程中有关澄清文件及经双方签字的询标纪要（承诺）和中标通知书均作为合同附件。</w:t>
      </w:r>
    </w:p>
    <w:p>
      <w:pPr>
        <w:adjustRightInd w:val="0"/>
        <w:snapToGrid w:val="0"/>
        <w:spacing w:line="460" w:lineRule="atLeast"/>
        <w:ind w:firstLine="433" w:firstLineChars="197"/>
        <w:rPr>
          <w:rFonts w:ascii="宋体" w:hAnsi="宋体" w:cs="新宋体"/>
          <w:sz w:val="22"/>
          <w:szCs w:val="22"/>
        </w:rPr>
      </w:pPr>
      <w:r>
        <w:rPr>
          <w:rFonts w:hint="eastAsia" w:ascii="宋体" w:hAnsi="宋体" w:cs="新宋体"/>
          <w:sz w:val="22"/>
          <w:szCs w:val="22"/>
        </w:rPr>
        <w:t>4.3 拒签合同的责任</w:t>
      </w:r>
    </w:p>
    <w:p>
      <w:pPr>
        <w:pStyle w:val="24"/>
        <w:snapToGrid w:val="0"/>
        <w:spacing w:line="460" w:lineRule="atLeast"/>
        <w:ind w:firstLine="433" w:firstLineChars="197"/>
        <w:rPr>
          <w:rFonts w:hAnsi="宋体" w:cs="新宋体"/>
          <w:sz w:val="22"/>
          <w:szCs w:val="22"/>
        </w:rPr>
      </w:pPr>
      <w:r>
        <w:rPr>
          <w:rFonts w:hint="eastAsia" w:hAnsi="宋体" w:cs="新宋体"/>
          <w:sz w:val="22"/>
          <w:szCs w:val="22"/>
        </w:rPr>
        <w:t>中标供应商在规定时间内（30日历天）借故否认已经承诺的条件、拒签合同或拒交履约保证金者，以投标违约处理，赔偿采购人由此造成的直接经济损失；采购人重新组织招标的，所需费用由原中标供应商承担。</w:t>
      </w:r>
    </w:p>
    <w:p>
      <w:pPr>
        <w:pStyle w:val="24"/>
        <w:snapToGrid w:val="0"/>
        <w:spacing w:line="460" w:lineRule="atLeast"/>
        <w:ind w:firstLine="433" w:firstLineChars="197"/>
        <w:rPr>
          <w:rFonts w:hAnsi="宋体" w:cs="新宋体"/>
          <w:sz w:val="22"/>
          <w:szCs w:val="22"/>
        </w:rPr>
      </w:pPr>
      <w:r>
        <w:rPr>
          <w:rFonts w:hint="eastAsia" w:hAnsi="宋体" w:cs="新宋体"/>
          <w:sz w:val="22"/>
          <w:szCs w:val="22"/>
        </w:rPr>
        <w:t>4.4 采购人在授予合同时有权对采购的服务予以增加或减少，但不得对单价或其他的条款和条件做任何改变。</w:t>
      </w:r>
    </w:p>
    <w:p>
      <w:pPr>
        <w:pStyle w:val="24"/>
        <w:snapToGrid w:val="0"/>
        <w:spacing w:line="460" w:lineRule="atLeast"/>
        <w:ind w:firstLine="435" w:firstLineChars="197"/>
        <w:rPr>
          <w:rFonts w:hAnsi="宋体" w:cs="新宋体"/>
          <w:b/>
          <w:sz w:val="22"/>
          <w:szCs w:val="22"/>
        </w:rPr>
      </w:pPr>
      <w:r>
        <w:rPr>
          <w:rFonts w:hint="eastAsia" w:hAnsi="宋体" w:cs="新宋体"/>
          <w:b/>
          <w:sz w:val="22"/>
          <w:szCs w:val="22"/>
        </w:rPr>
        <w:t>5、履约保证金</w:t>
      </w:r>
    </w:p>
    <w:p>
      <w:pPr>
        <w:autoSpaceDE w:val="0"/>
        <w:autoSpaceDN w:val="0"/>
        <w:adjustRightInd w:val="0"/>
        <w:snapToGrid w:val="0"/>
        <w:spacing w:line="460" w:lineRule="atLeast"/>
        <w:ind w:firstLine="433" w:firstLineChars="197"/>
        <w:textAlignment w:val="bottom"/>
        <w:rPr>
          <w:rFonts w:ascii="宋体" w:hAnsi="宋体" w:cs="新宋体"/>
          <w:sz w:val="22"/>
          <w:szCs w:val="22"/>
          <w:u w:val="single"/>
        </w:rPr>
      </w:pPr>
      <w:r>
        <w:rPr>
          <w:rFonts w:hint="eastAsia" w:ascii="宋体" w:hAnsi="宋体" w:cs="新宋体"/>
          <w:sz w:val="22"/>
          <w:szCs w:val="22"/>
          <w:u w:val="single"/>
        </w:rPr>
        <w:t>履约保证金按招标文件规定，在中标人与采购人签订合同后递交。</w:t>
      </w:r>
    </w:p>
    <w:p>
      <w:pPr>
        <w:spacing w:line="360" w:lineRule="auto"/>
        <w:ind w:left="480" w:hanging="480" w:hangingChars="200"/>
        <w:rPr>
          <w:rFonts w:ascii="宋体" w:hAnsi="宋体" w:cs="新宋体"/>
          <w:sz w:val="24"/>
        </w:rPr>
      </w:pPr>
      <w:bookmarkStart w:id="73" w:name="_Toc293038718"/>
    </w:p>
    <w:bookmarkEnd w:id="73"/>
    <w:p>
      <w:pPr>
        <w:spacing w:line="360" w:lineRule="auto"/>
        <w:ind w:left="480" w:hanging="480" w:hangingChars="200"/>
        <w:rPr>
          <w:rFonts w:ascii="宋体" w:hAnsi="宋体" w:cs="新宋体"/>
          <w:sz w:val="24"/>
        </w:rPr>
        <w:sectPr>
          <w:footerReference r:id="rId10" w:type="first"/>
          <w:footerReference r:id="rId9" w:type="default"/>
          <w:pgSz w:w="11906" w:h="16838"/>
          <w:pgMar w:top="1134" w:right="1134" w:bottom="1134" w:left="1134" w:header="851" w:footer="850" w:gutter="0"/>
          <w:pgNumType w:start="1"/>
          <w:cols w:space="720" w:num="1"/>
          <w:titlePg/>
          <w:docGrid w:type="lines" w:linePitch="312" w:charSpace="0"/>
        </w:sectPr>
      </w:pPr>
    </w:p>
    <w:p>
      <w:pPr>
        <w:pStyle w:val="39"/>
        <w:rPr>
          <w:rFonts w:ascii="宋体" w:hAnsi="宋体" w:cs="宋体"/>
          <w:sz w:val="30"/>
          <w:szCs w:val="30"/>
        </w:rPr>
      </w:pPr>
      <w:bookmarkStart w:id="74" w:name="_Toc97033060"/>
      <w:bookmarkStart w:id="75" w:name="_Toc498343170"/>
      <w:bookmarkStart w:id="76" w:name="_Toc293038719"/>
      <w:r>
        <w:rPr>
          <w:rFonts w:hint="eastAsia" w:ascii="宋体" w:hAnsi="宋体" w:cs="新宋体"/>
          <w:sz w:val="30"/>
          <w:szCs w:val="30"/>
        </w:rPr>
        <w:t>第四部分</w:t>
      </w:r>
      <w:r>
        <w:rPr>
          <w:rFonts w:hint="eastAsia" w:ascii="宋体" w:hAnsi="宋体" w:cs="宋体"/>
          <w:sz w:val="30"/>
          <w:szCs w:val="30"/>
        </w:rPr>
        <w:t xml:space="preserve">  政府采购政策功能相关说明</w:t>
      </w:r>
      <w:bookmarkEnd w:id="74"/>
    </w:p>
    <w:p>
      <w:pPr>
        <w:jc w:val="left"/>
        <w:rPr>
          <w:rFonts w:ascii="宋体" w:hAnsi="宋体" w:cs="宋体"/>
          <w:sz w:val="22"/>
          <w:szCs w:val="22"/>
        </w:rPr>
      </w:pPr>
      <w:r>
        <w:rPr>
          <w:rFonts w:hint="eastAsia" w:ascii="宋体" w:hAnsi="宋体" w:cs="宋体"/>
          <w:sz w:val="22"/>
          <w:szCs w:val="22"/>
        </w:rPr>
        <w:t>一、小、微企业（含监狱企业、残疾人福利性单位）扶持政策说明</w:t>
      </w:r>
    </w:p>
    <w:p>
      <w:pPr>
        <w:spacing w:line="440" w:lineRule="atLeast"/>
        <w:jc w:val="left"/>
        <w:rPr>
          <w:rFonts w:ascii="宋体" w:hAnsi="宋体" w:cs="宋体"/>
          <w:sz w:val="22"/>
          <w:szCs w:val="22"/>
        </w:rPr>
      </w:pPr>
      <w:r>
        <w:rPr>
          <w:rFonts w:hint="eastAsia" w:ascii="宋体" w:hAnsi="宋体" w:cs="宋体"/>
          <w:sz w:val="22"/>
          <w:szCs w:val="22"/>
        </w:rPr>
        <w:t>1、文件依据</w:t>
      </w:r>
    </w:p>
    <w:p>
      <w:pPr>
        <w:spacing w:line="440" w:lineRule="atLeast"/>
        <w:jc w:val="left"/>
        <w:rPr>
          <w:rFonts w:ascii="宋体" w:hAnsi="宋体" w:cs="宋体"/>
          <w:sz w:val="22"/>
          <w:szCs w:val="22"/>
        </w:rPr>
      </w:pPr>
      <w:r>
        <w:rPr>
          <w:rFonts w:hint="eastAsia" w:ascii="宋体" w:hAnsi="宋体" w:cs="宋体"/>
          <w:sz w:val="22"/>
          <w:szCs w:val="22"/>
        </w:rPr>
        <w:t>（1）关于印发《政府采购促进中小企业发展管理办法》的通知（财库〔2020〕46号）</w:t>
      </w:r>
    </w:p>
    <w:p>
      <w:pPr>
        <w:spacing w:line="440" w:lineRule="atLeast"/>
        <w:jc w:val="left"/>
        <w:rPr>
          <w:rFonts w:ascii="宋体" w:hAnsi="宋体" w:cs="宋体"/>
          <w:sz w:val="22"/>
          <w:szCs w:val="22"/>
        </w:rPr>
      </w:pPr>
      <w:r>
        <w:rPr>
          <w:rFonts w:hint="eastAsia" w:ascii="宋体" w:hAnsi="宋体" w:cs="宋体"/>
          <w:sz w:val="22"/>
          <w:szCs w:val="22"/>
        </w:rPr>
        <w:t>（2）浙江省省财政厅《关于开展政府采购投标人网上注册登记和诚信管理工作的通知》（浙财采监〔2010〕8号)</w:t>
      </w:r>
    </w:p>
    <w:p>
      <w:pPr>
        <w:spacing w:line="440" w:lineRule="atLeast"/>
        <w:jc w:val="left"/>
        <w:rPr>
          <w:rFonts w:ascii="宋体" w:hAnsi="宋体" w:cs="宋体"/>
          <w:sz w:val="22"/>
          <w:szCs w:val="22"/>
        </w:rPr>
      </w:pPr>
      <w:r>
        <w:rPr>
          <w:rFonts w:hint="eastAsia" w:ascii="宋体" w:hAnsi="宋体" w:cs="宋体"/>
          <w:sz w:val="22"/>
          <w:szCs w:val="22"/>
        </w:rPr>
        <w:t>（3）《工业和信息化部、国家统计局、国家发展和改革委员会、财政部关于印发中小企业划型标准规定的通知》（工信部联企业[2011]300号）</w:t>
      </w:r>
    </w:p>
    <w:p>
      <w:pPr>
        <w:spacing w:line="440" w:lineRule="atLeast"/>
        <w:jc w:val="left"/>
        <w:rPr>
          <w:rFonts w:ascii="宋体" w:hAnsi="宋体" w:cs="宋体"/>
          <w:sz w:val="22"/>
          <w:szCs w:val="22"/>
        </w:rPr>
      </w:pPr>
      <w:r>
        <w:rPr>
          <w:rFonts w:hint="eastAsia" w:ascii="宋体" w:hAnsi="宋体" w:cs="宋体"/>
          <w:sz w:val="22"/>
          <w:szCs w:val="22"/>
        </w:rPr>
        <w:t>（4）财政部、司法部《关于政府采购支持监狱企业发展有关问题的通知》（财库〔2014〕68号）</w:t>
      </w:r>
    </w:p>
    <w:p>
      <w:pPr>
        <w:spacing w:line="440" w:lineRule="atLeast"/>
        <w:jc w:val="left"/>
        <w:rPr>
          <w:rFonts w:ascii="宋体" w:hAnsi="宋体" w:cs="宋体"/>
          <w:sz w:val="22"/>
          <w:szCs w:val="22"/>
        </w:rPr>
      </w:pPr>
      <w:r>
        <w:rPr>
          <w:rFonts w:hint="eastAsia" w:ascii="宋体" w:hAnsi="宋体" w:cs="宋体"/>
          <w:sz w:val="22"/>
          <w:szCs w:val="22"/>
        </w:rPr>
        <w:t>（5）《财政部 民政部 中国残疾人联合会关于促进残疾人就业政府采购政策的通知》（财库〔2017〕 141号）</w:t>
      </w:r>
    </w:p>
    <w:p>
      <w:pPr>
        <w:spacing w:line="440" w:lineRule="atLeast"/>
        <w:jc w:val="left"/>
        <w:rPr>
          <w:rFonts w:ascii="宋体" w:hAnsi="宋体" w:cs="宋体"/>
          <w:sz w:val="22"/>
          <w:szCs w:val="22"/>
        </w:rPr>
      </w:pPr>
      <w:r>
        <w:rPr>
          <w:rFonts w:hint="eastAsia" w:ascii="宋体" w:hAnsi="宋体" w:cs="宋体"/>
          <w:sz w:val="22"/>
          <w:szCs w:val="22"/>
        </w:rPr>
        <w:t>（6）《浙江省财政厅  浙江省经济和信息化委员会关于简化中小企业类别确认流程有关事项的通知》（浙财采监〔2018〕2号)</w:t>
      </w:r>
    </w:p>
    <w:p>
      <w:pPr>
        <w:spacing w:line="440" w:lineRule="atLeast"/>
        <w:jc w:val="left"/>
        <w:rPr>
          <w:rFonts w:ascii="宋体" w:hAnsi="宋体" w:cs="宋体"/>
          <w:sz w:val="22"/>
          <w:szCs w:val="22"/>
        </w:rPr>
      </w:pPr>
      <w:r>
        <w:rPr>
          <w:rFonts w:hint="eastAsia" w:ascii="宋体" w:hAnsi="宋体" w:cs="宋体"/>
          <w:sz w:val="22"/>
          <w:szCs w:val="22"/>
        </w:rPr>
        <w:t>2、享受小微企业价格折扣应具备的条件与价格折扣比例</w:t>
      </w:r>
    </w:p>
    <w:p>
      <w:pPr>
        <w:spacing w:line="440" w:lineRule="atLeast"/>
        <w:jc w:val="left"/>
        <w:rPr>
          <w:rFonts w:ascii="宋体" w:hAnsi="宋体" w:cs="宋体"/>
          <w:sz w:val="22"/>
          <w:szCs w:val="22"/>
        </w:rPr>
      </w:pPr>
      <w:r>
        <w:rPr>
          <w:rFonts w:hint="eastAsia" w:ascii="宋体" w:hAnsi="宋体" w:cs="宋体"/>
          <w:sz w:val="22"/>
          <w:szCs w:val="22"/>
        </w:rPr>
        <w:t>（1）在货物采购项目中，货物由中小企业制造，即货物由中小企业生产且使用该中小企业商号或者注册商标；</w:t>
      </w:r>
    </w:p>
    <w:p>
      <w:pPr>
        <w:spacing w:line="440" w:lineRule="atLeast"/>
        <w:jc w:val="left"/>
        <w:rPr>
          <w:rFonts w:ascii="宋体" w:hAnsi="宋体" w:cs="宋体"/>
          <w:sz w:val="22"/>
          <w:szCs w:val="22"/>
        </w:rPr>
      </w:pPr>
      <w:r>
        <w:rPr>
          <w:rFonts w:hint="eastAsia" w:ascii="宋体" w:hAnsi="宋体" w:cs="宋体"/>
          <w:sz w:val="22"/>
          <w:szCs w:val="22"/>
        </w:rPr>
        <w:t>（2）在工程采购项目中，工程由中小企业承建，即工程施工单位为中小企业；</w:t>
      </w:r>
    </w:p>
    <w:p>
      <w:pPr>
        <w:spacing w:line="440" w:lineRule="atLeast"/>
        <w:jc w:val="left"/>
        <w:rPr>
          <w:rFonts w:ascii="宋体" w:hAnsi="宋体" w:cs="宋体"/>
          <w:sz w:val="22"/>
          <w:szCs w:val="22"/>
        </w:rPr>
      </w:pPr>
      <w:r>
        <w:rPr>
          <w:rFonts w:hint="eastAsia" w:ascii="宋体" w:hAnsi="宋体" w:cs="宋体"/>
          <w:sz w:val="22"/>
          <w:szCs w:val="22"/>
        </w:rPr>
        <w:t>（3）在服务采购项目中，服务由中小企业承接，即提供服务的人员为中小企业依照《中华人民共和国劳动合同法》订立劳动合同的从业人员。</w:t>
      </w:r>
    </w:p>
    <w:p>
      <w:pPr>
        <w:spacing w:line="440" w:lineRule="atLeast"/>
        <w:jc w:val="left"/>
        <w:rPr>
          <w:rFonts w:ascii="宋体" w:hAnsi="宋体" w:cs="宋体"/>
          <w:sz w:val="22"/>
          <w:szCs w:val="22"/>
        </w:rPr>
      </w:pPr>
      <w:r>
        <w:rPr>
          <w:rFonts w:hint="eastAsia" w:ascii="宋体" w:hAnsi="宋体" w:cs="宋体"/>
          <w:sz w:val="22"/>
          <w:szCs w:val="22"/>
        </w:rPr>
        <w:t>在货物采购项目中，供应商提供的货物既有中小企业制造货物，也有大型企业制造货物的，不享受本办法规定的中小企业扶持政策。</w:t>
      </w:r>
    </w:p>
    <w:p>
      <w:pPr>
        <w:spacing w:line="440" w:lineRule="atLeast"/>
        <w:jc w:val="left"/>
        <w:rPr>
          <w:rFonts w:ascii="宋体" w:hAnsi="宋体" w:cs="宋体"/>
          <w:sz w:val="22"/>
          <w:szCs w:val="22"/>
        </w:rPr>
      </w:pPr>
      <w:r>
        <w:rPr>
          <w:rFonts w:hint="eastAsia" w:ascii="宋体" w:hAnsi="宋体" w:cs="宋体"/>
          <w:sz w:val="22"/>
          <w:szCs w:val="22"/>
        </w:rPr>
        <w:t>以联合体形式参加政府采购活动，联合体各方均为中小企业的，联合体视同中小企业。其中，联合体各方均为小微企业的，联合体视同小微企业。</w:t>
      </w:r>
    </w:p>
    <w:p>
      <w:pPr>
        <w:spacing w:line="440" w:lineRule="atLeast"/>
        <w:jc w:val="left"/>
        <w:rPr>
          <w:rFonts w:ascii="宋体" w:hAnsi="宋体" w:cs="宋体"/>
          <w:sz w:val="22"/>
          <w:szCs w:val="22"/>
        </w:rPr>
      </w:pPr>
      <w:r>
        <w:rPr>
          <w:rFonts w:hint="eastAsia" w:ascii="宋体" w:hAnsi="宋体" w:cs="宋体"/>
          <w:sz w:val="22"/>
          <w:szCs w:val="22"/>
        </w:rPr>
        <w:t>(4)本项目对小型和微型企业产品的价格给予20%的扣除，用扣除后的价格参与评审。</w:t>
      </w:r>
    </w:p>
    <w:p>
      <w:pPr>
        <w:spacing w:line="440" w:lineRule="atLeast"/>
        <w:jc w:val="left"/>
        <w:rPr>
          <w:rFonts w:ascii="宋体" w:hAnsi="宋体" w:cs="宋体"/>
          <w:sz w:val="22"/>
          <w:szCs w:val="22"/>
        </w:rPr>
      </w:pPr>
      <w:r>
        <w:rPr>
          <w:rFonts w:hint="eastAsia" w:ascii="宋体" w:hAnsi="宋体" w:cs="宋体"/>
          <w:sz w:val="22"/>
          <w:szCs w:val="22"/>
          <w:u w:val="single"/>
        </w:rPr>
        <w:t>3、享受小微企业价格折扣应提供以下证明材料</w:t>
      </w:r>
      <w:r>
        <w:rPr>
          <w:rFonts w:hint="eastAsia" w:ascii="宋体" w:hAnsi="宋体" w:cs="宋体"/>
          <w:sz w:val="22"/>
          <w:szCs w:val="22"/>
        </w:rPr>
        <w:t>：</w:t>
      </w:r>
    </w:p>
    <w:p>
      <w:pPr>
        <w:spacing w:line="440" w:lineRule="atLeast"/>
        <w:jc w:val="left"/>
        <w:rPr>
          <w:rFonts w:ascii="宋体" w:hAnsi="宋体" w:cs="宋体"/>
          <w:sz w:val="22"/>
          <w:szCs w:val="22"/>
        </w:rPr>
      </w:pPr>
      <w:r>
        <w:rPr>
          <w:rFonts w:hint="eastAsia" w:ascii="宋体" w:hAnsi="宋体" w:cs="宋体"/>
          <w:sz w:val="22"/>
          <w:szCs w:val="22"/>
        </w:rPr>
        <w:t>（1）《中小企业声明函》（原件，加盖投标人公章，格式见附件1）</w:t>
      </w:r>
    </w:p>
    <w:p>
      <w:pPr>
        <w:spacing w:line="440" w:lineRule="atLeast"/>
        <w:jc w:val="left"/>
        <w:rPr>
          <w:rFonts w:ascii="宋体" w:hAnsi="宋体" w:cs="宋体"/>
          <w:sz w:val="22"/>
          <w:szCs w:val="22"/>
        </w:rPr>
      </w:pPr>
      <w:r>
        <w:rPr>
          <w:rFonts w:hint="eastAsia" w:ascii="宋体" w:hAnsi="宋体" w:cs="宋体"/>
          <w:sz w:val="22"/>
          <w:szCs w:val="22"/>
        </w:rPr>
        <w:t>4、</w:t>
      </w:r>
      <w:r>
        <w:rPr>
          <w:rFonts w:hint="eastAsia" w:ascii="宋体" w:hAnsi="宋体" w:cs="宋体"/>
          <w:sz w:val="22"/>
          <w:szCs w:val="22"/>
          <w:u w:val="single"/>
        </w:rPr>
        <w:t>享受监狱企业价格折扣应提供以下证明材料（投标文件商务（报价）标中，不提供的不享受价格折扣）</w:t>
      </w:r>
      <w:r>
        <w:rPr>
          <w:rFonts w:hint="eastAsia" w:ascii="宋体" w:hAnsi="宋体" w:cs="宋体"/>
          <w:sz w:val="22"/>
          <w:szCs w:val="22"/>
        </w:rPr>
        <w:t>：</w:t>
      </w:r>
    </w:p>
    <w:p>
      <w:pPr>
        <w:spacing w:line="440" w:lineRule="atLeast"/>
        <w:jc w:val="left"/>
        <w:rPr>
          <w:rFonts w:ascii="宋体" w:hAnsi="宋体" w:cs="宋体"/>
          <w:sz w:val="22"/>
          <w:szCs w:val="22"/>
        </w:rPr>
      </w:pPr>
      <w:r>
        <w:rPr>
          <w:rFonts w:hint="eastAsia" w:ascii="宋体" w:hAnsi="宋体" w:cs="宋体"/>
          <w:sz w:val="22"/>
          <w:szCs w:val="22"/>
        </w:rPr>
        <w:t>（1）监狱企业参加政府采购活动时，应当提供由省级以上监狱管理局、戒毒管理局(含新疆生产建设兵团)出具的属于监狱企业的证明文件（原件或扫描件加盖公章）。在政府采购活动中，监狱企业视同小型、微型企业，享受评审中价格扣除政策。</w:t>
      </w:r>
    </w:p>
    <w:p>
      <w:pPr>
        <w:spacing w:line="440" w:lineRule="atLeast"/>
        <w:jc w:val="left"/>
        <w:rPr>
          <w:rFonts w:ascii="宋体" w:hAnsi="宋体" w:cs="宋体"/>
          <w:sz w:val="22"/>
          <w:szCs w:val="22"/>
        </w:rPr>
      </w:pPr>
      <w:r>
        <w:rPr>
          <w:rFonts w:hint="eastAsia" w:ascii="宋体" w:hAnsi="宋体" w:cs="宋体"/>
          <w:sz w:val="22"/>
          <w:szCs w:val="22"/>
        </w:rPr>
        <w:t>5、</w:t>
      </w:r>
      <w:r>
        <w:rPr>
          <w:rFonts w:hint="eastAsia" w:ascii="宋体" w:hAnsi="宋体" w:cs="宋体"/>
          <w:sz w:val="22"/>
          <w:szCs w:val="22"/>
          <w:u w:val="single"/>
        </w:rPr>
        <w:t>享受残疾人福利性单位格折扣应提供以下证明材料（投标文件技术资信标中，不提供的不享受价格折扣）</w:t>
      </w:r>
      <w:r>
        <w:rPr>
          <w:rFonts w:hint="eastAsia" w:ascii="宋体" w:hAnsi="宋体" w:cs="宋体"/>
          <w:sz w:val="22"/>
          <w:szCs w:val="22"/>
        </w:rPr>
        <w:t>：</w:t>
      </w:r>
    </w:p>
    <w:p>
      <w:pPr>
        <w:spacing w:line="440" w:lineRule="atLeast"/>
        <w:jc w:val="left"/>
        <w:rPr>
          <w:rFonts w:ascii="宋体" w:hAnsi="宋体" w:cs="宋体"/>
          <w:sz w:val="22"/>
          <w:szCs w:val="22"/>
        </w:rPr>
      </w:pPr>
      <w:r>
        <w:rPr>
          <w:rFonts w:hint="eastAsia" w:ascii="宋体" w:hAnsi="宋体" w:cs="宋体"/>
          <w:sz w:val="22"/>
          <w:szCs w:val="22"/>
        </w:rPr>
        <w:t>（1）残疾人福利性单位声明函（附件2）；</w:t>
      </w:r>
    </w:p>
    <w:p>
      <w:pPr>
        <w:spacing w:line="440" w:lineRule="atLeast"/>
        <w:jc w:val="left"/>
        <w:rPr>
          <w:rFonts w:ascii="宋体" w:hAnsi="宋体" w:cs="宋体"/>
          <w:sz w:val="22"/>
          <w:szCs w:val="22"/>
        </w:rPr>
      </w:pPr>
      <w:r>
        <w:rPr>
          <w:rFonts w:hint="eastAsia" w:ascii="宋体" w:hAnsi="宋体" w:cs="宋体"/>
          <w:sz w:val="22"/>
          <w:szCs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widowControl/>
        <w:spacing w:before="100" w:beforeAutospacing="1" w:after="100" w:afterAutospacing="1" w:line="440" w:lineRule="atLeast"/>
        <w:jc w:val="left"/>
        <w:rPr>
          <w:rFonts w:ascii="宋体" w:hAnsi="宋体" w:cs="宋体"/>
          <w:b/>
          <w:bCs/>
          <w:sz w:val="24"/>
        </w:rPr>
      </w:pPr>
    </w:p>
    <w:p>
      <w:pPr>
        <w:rPr>
          <w:rFonts w:ascii="宋体" w:hAnsi="宋体" w:cs="宋体"/>
          <w:b/>
          <w:bCs/>
          <w:sz w:val="24"/>
        </w:rPr>
      </w:pPr>
      <w:r>
        <w:rPr>
          <w:rFonts w:hint="eastAsia" w:ascii="宋体" w:hAnsi="宋体" w:cs="宋体"/>
          <w:b/>
          <w:bCs/>
          <w:sz w:val="24"/>
        </w:rPr>
        <w:br w:type="page"/>
      </w:r>
    </w:p>
    <w:p>
      <w:pPr>
        <w:widowControl/>
        <w:spacing w:before="100" w:beforeAutospacing="1" w:after="100" w:afterAutospacing="1" w:line="440" w:lineRule="atLeast"/>
        <w:jc w:val="left"/>
        <w:rPr>
          <w:rFonts w:ascii="宋体" w:hAnsi="宋体" w:cs="宋体"/>
          <w:b/>
          <w:bCs/>
          <w:sz w:val="24"/>
        </w:rPr>
      </w:pPr>
      <w:r>
        <w:rPr>
          <w:rFonts w:hint="eastAsia" w:ascii="宋体" w:hAnsi="宋体" w:cs="宋体"/>
          <w:b/>
          <w:bCs/>
          <w:sz w:val="24"/>
        </w:rPr>
        <w:t>附件1：</w:t>
      </w:r>
    </w:p>
    <w:p>
      <w:pPr>
        <w:widowControl/>
        <w:spacing w:before="100" w:beforeAutospacing="1" w:after="100" w:afterAutospacing="1" w:line="440" w:lineRule="atLeast"/>
        <w:jc w:val="center"/>
        <w:rPr>
          <w:rFonts w:ascii="宋体" w:hAnsi="宋体" w:cs="宋体"/>
          <w:b/>
          <w:bCs/>
          <w:sz w:val="24"/>
        </w:rPr>
      </w:pPr>
      <w:r>
        <w:rPr>
          <w:rFonts w:hint="eastAsia" w:ascii="宋体" w:hAnsi="宋体" w:cs="宋体"/>
          <w:b/>
          <w:bCs/>
          <w:sz w:val="24"/>
        </w:rPr>
        <w:t>中小企业声明函（货物）</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本公司（联合体）郑重声明，根据《政府采购促进中小企业发展管理办法》（财库﹝2020﹞46 号）的规定，本公司（联合体）参加</w:t>
      </w:r>
      <w:r>
        <w:rPr>
          <w:rFonts w:hint="eastAsia" w:ascii="宋体" w:hAnsi="宋体" w:cs="宋体"/>
          <w:sz w:val="22"/>
          <w:szCs w:val="22"/>
          <w:u w:val="single"/>
        </w:rPr>
        <w:t xml:space="preserve"> （单位名称）</w:t>
      </w:r>
      <w:r>
        <w:rPr>
          <w:rFonts w:hint="eastAsia" w:ascii="宋体" w:hAnsi="宋体" w:cs="宋体"/>
          <w:sz w:val="22"/>
          <w:szCs w:val="22"/>
        </w:rPr>
        <w:t xml:space="preserve"> 的 </w:t>
      </w:r>
      <w:r>
        <w:rPr>
          <w:rFonts w:hint="eastAsia" w:ascii="宋体" w:hAnsi="宋体" w:cs="宋体"/>
          <w:sz w:val="22"/>
          <w:szCs w:val="22"/>
          <w:u w:val="single"/>
        </w:rPr>
        <w:t>（项目名称）</w:t>
      </w:r>
      <w:r>
        <w:rPr>
          <w:rFonts w:hint="eastAsia" w:ascii="宋体" w:hAnsi="宋体" w:cs="宋体"/>
          <w:sz w:val="22"/>
          <w:szCs w:val="22"/>
        </w:rPr>
        <w:t xml:space="preserve"> 采购活动，提供的货物全部由符合政策要求的中小企业制造。相关企业（含联合体中的中小企业、签订分包意向协议的中小企业）的具体情况如下：</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 xml:space="preserve">1. </w:t>
      </w:r>
      <w:r>
        <w:rPr>
          <w:rFonts w:hint="eastAsia" w:ascii="宋体" w:hAnsi="宋体" w:cs="宋体"/>
          <w:sz w:val="22"/>
          <w:szCs w:val="22"/>
          <w:u w:val="single"/>
        </w:rPr>
        <w:t xml:space="preserve">（标的名称） </w:t>
      </w:r>
      <w:r>
        <w:rPr>
          <w:rFonts w:hint="eastAsia" w:ascii="宋体" w:hAnsi="宋体" w:cs="宋体"/>
          <w:sz w:val="22"/>
          <w:szCs w:val="22"/>
        </w:rPr>
        <w:t xml:space="preserve">，属于行业 ；制造商为 </w:t>
      </w:r>
      <w:r>
        <w:rPr>
          <w:rFonts w:hint="eastAsia" w:ascii="宋体" w:hAnsi="宋体" w:cs="宋体"/>
          <w:sz w:val="22"/>
          <w:szCs w:val="22"/>
          <w:u w:val="single"/>
        </w:rPr>
        <w:t>（企业名称）</w:t>
      </w:r>
      <w:r>
        <w:rPr>
          <w:rFonts w:hint="eastAsia" w:ascii="宋体" w:hAnsi="宋体" w:cs="宋体"/>
          <w:sz w:val="22"/>
          <w:szCs w:val="22"/>
        </w:rPr>
        <w:t xml:space="preserve"> ，从业人员人，营业收入为万元，资产总额为万元 ，属于 </w:t>
      </w:r>
      <w:r>
        <w:rPr>
          <w:rFonts w:hint="eastAsia" w:ascii="宋体" w:hAnsi="宋体" w:cs="宋体"/>
          <w:sz w:val="22"/>
          <w:szCs w:val="22"/>
          <w:u w:val="single"/>
        </w:rPr>
        <w:t xml:space="preserve">（中型企业、小型企业、微型企业） </w:t>
      </w:r>
      <w:r>
        <w:rPr>
          <w:rFonts w:hint="eastAsia" w:ascii="宋体" w:hAnsi="宋体" w:cs="宋体"/>
          <w:sz w:val="22"/>
          <w:szCs w:val="22"/>
        </w:rPr>
        <w:t>；</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 xml:space="preserve">2. </w:t>
      </w:r>
      <w:r>
        <w:rPr>
          <w:rFonts w:hint="eastAsia" w:ascii="宋体" w:hAnsi="宋体" w:cs="宋体"/>
          <w:sz w:val="22"/>
          <w:szCs w:val="22"/>
          <w:u w:val="single"/>
        </w:rPr>
        <w:t>（标的名称）</w:t>
      </w:r>
      <w:r>
        <w:rPr>
          <w:rFonts w:hint="eastAsia" w:ascii="宋体" w:hAnsi="宋体" w:cs="宋体"/>
          <w:sz w:val="22"/>
          <w:szCs w:val="22"/>
        </w:rPr>
        <w:t xml:space="preserve"> ，属于行业 ；制造商为</w:t>
      </w:r>
      <w:r>
        <w:rPr>
          <w:rFonts w:hint="eastAsia" w:ascii="宋体" w:hAnsi="宋体" w:cs="宋体"/>
          <w:sz w:val="22"/>
          <w:szCs w:val="22"/>
          <w:u w:val="single"/>
        </w:rPr>
        <w:t xml:space="preserve"> （企业名称）</w:t>
      </w:r>
      <w:r>
        <w:rPr>
          <w:rFonts w:hint="eastAsia" w:ascii="宋体" w:hAnsi="宋体" w:cs="宋体"/>
          <w:sz w:val="22"/>
          <w:szCs w:val="22"/>
        </w:rPr>
        <w:t xml:space="preserve"> ，从业人员人，营业收入为万元，资产总额为万元，属于 </w:t>
      </w:r>
      <w:r>
        <w:rPr>
          <w:rFonts w:hint="eastAsia" w:ascii="宋体" w:hAnsi="宋体" w:cs="宋体"/>
          <w:sz w:val="22"/>
          <w:szCs w:val="22"/>
          <w:u w:val="single"/>
        </w:rPr>
        <w:t xml:space="preserve">（中型企业、小型企业、微型企业） </w:t>
      </w:r>
      <w:r>
        <w:rPr>
          <w:rFonts w:hint="eastAsia" w:ascii="宋体" w:hAnsi="宋体" w:cs="宋体"/>
          <w:sz w:val="22"/>
          <w:szCs w:val="22"/>
        </w:rPr>
        <w:t>；</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以上企业，不属于大企业的分支机构，不存在控股股东为大企业的情形，也不存在与大企业的负责人为同一人的情形。</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本企业对上述声明内容的真实性负责。如有虚假，将依法承担相应责任。</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企业名称（盖章）：</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日 期：</w:t>
      </w:r>
    </w:p>
    <w:p>
      <w:pPr>
        <w:widowControl/>
        <w:jc w:val="left"/>
        <w:rPr>
          <w:rFonts w:ascii="宋体" w:hAnsi="宋体" w:cs="宋体"/>
          <w:sz w:val="22"/>
          <w:szCs w:val="22"/>
        </w:rPr>
      </w:pPr>
      <w:r>
        <w:rPr>
          <w:rFonts w:hint="eastAsia" w:ascii="宋体" w:hAnsi="宋体" w:cs="宋体"/>
          <w:sz w:val="22"/>
          <w:szCs w:val="22"/>
        </w:rPr>
        <w:br w:type="page"/>
      </w:r>
    </w:p>
    <w:p>
      <w:pPr>
        <w:widowControl/>
        <w:spacing w:before="100" w:beforeAutospacing="1" w:after="100" w:afterAutospacing="1" w:line="440" w:lineRule="atLeast"/>
        <w:jc w:val="center"/>
        <w:rPr>
          <w:rFonts w:ascii="宋体" w:hAnsi="宋体" w:cs="宋体"/>
          <w:b/>
          <w:bCs/>
          <w:sz w:val="24"/>
        </w:rPr>
      </w:pPr>
      <w:r>
        <w:rPr>
          <w:rFonts w:hint="eastAsia" w:ascii="宋体" w:hAnsi="宋体" w:cs="宋体"/>
          <w:b/>
          <w:bCs/>
          <w:sz w:val="24"/>
        </w:rPr>
        <w:t>中小企业声明函（工程、服务）</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本公司（联合体）郑重声明，根据《政府采购促进中小企业发展管理办法》（财库﹝2020﹞46 号）的规定，本公司（联合体）参加</w:t>
      </w:r>
      <w:r>
        <w:rPr>
          <w:rFonts w:hint="eastAsia" w:ascii="宋体" w:hAnsi="宋体" w:cs="宋体"/>
          <w:sz w:val="22"/>
          <w:szCs w:val="22"/>
          <w:u w:val="single"/>
        </w:rPr>
        <w:t xml:space="preserve"> （单位名称）</w:t>
      </w:r>
      <w:r>
        <w:rPr>
          <w:rFonts w:hint="eastAsia" w:ascii="宋体" w:hAnsi="宋体" w:cs="宋体"/>
          <w:sz w:val="22"/>
          <w:szCs w:val="22"/>
        </w:rPr>
        <w:t xml:space="preserve"> 的 </w:t>
      </w:r>
      <w:r>
        <w:rPr>
          <w:rFonts w:hint="eastAsia" w:ascii="宋体" w:hAnsi="宋体" w:cs="宋体"/>
          <w:sz w:val="22"/>
          <w:szCs w:val="22"/>
          <w:u w:val="single"/>
        </w:rPr>
        <w:t>（项目名称）</w:t>
      </w:r>
      <w:r>
        <w:rPr>
          <w:rFonts w:hint="eastAsia" w:ascii="宋体" w:hAnsi="宋体" w:cs="宋体"/>
          <w:sz w:val="22"/>
          <w:szCs w:val="22"/>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 xml:space="preserve">1. </w:t>
      </w:r>
      <w:r>
        <w:rPr>
          <w:rFonts w:hint="eastAsia" w:ascii="宋体" w:hAnsi="宋体" w:cs="宋体"/>
          <w:sz w:val="22"/>
          <w:szCs w:val="22"/>
          <w:u w:val="single"/>
        </w:rPr>
        <w:t xml:space="preserve">（标的名称） </w:t>
      </w:r>
      <w:r>
        <w:rPr>
          <w:rFonts w:hint="eastAsia" w:ascii="宋体" w:hAnsi="宋体" w:cs="宋体"/>
          <w:sz w:val="22"/>
          <w:szCs w:val="22"/>
        </w:rPr>
        <w:t>，属于</w:t>
      </w:r>
      <w:r>
        <w:rPr>
          <w:rFonts w:hint="eastAsia" w:ascii="宋体" w:hAnsi="宋体" w:cs="宋体"/>
          <w:sz w:val="22"/>
          <w:szCs w:val="22"/>
          <w:u w:val="single"/>
        </w:rPr>
        <w:t xml:space="preserve">     行业</w:t>
      </w:r>
      <w:r>
        <w:rPr>
          <w:rFonts w:hint="eastAsia" w:ascii="宋体" w:hAnsi="宋体" w:cs="宋体"/>
          <w:sz w:val="22"/>
          <w:szCs w:val="22"/>
        </w:rPr>
        <w:t xml:space="preserve"> ；承建（承接）企业为 </w:t>
      </w:r>
      <w:r>
        <w:rPr>
          <w:rFonts w:hint="eastAsia" w:ascii="宋体" w:hAnsi="宋体" w:cs="宋体"/>
          <w:sz w:val="22"/>
          <w:szCs w:val="22"/>
          <w:u w:val="single"/>
        </w:rPr>
        <w:t xml:space="preserve">（企业名称） </w:t>
      </w:r>
      <w:r>
        <w:rPr>
          <w:rFonts w:hint="eastAsia" w:ascii="宋体" w:hAnsi="宋体" w:cs="宋体"/>
          <w:sz w:val="22"/>
          <w:szCs w:val="22"/>
        </w:rPr>
        <w:t>，从业人员人，营业收入为万元，资产总额为万元 ，属于</w:t>
      </w:r>
      <w:r>
        <w:rPr>
          <w:rFonts w:hint="eastAsia" w:ascii="宋体" w:hAnsi="宋体" w:cs="宋体"/>
          <w:sz w:val="22"/>
          <w:szCs w:val="22"/>
          <w:u w:val="single"/>
        </w:rPr>
        <w:t xml:space="preserve"> （中型企业、小型企业、微型企业） </w:t>
      </w:r>
      <w:r>
        <w:rPr>
          <w:rFonts w:hint="eastAsia" w:ascii="宋体" w:hAnsi="宋体" w:cs="宋体"/>
          <w:sz w:val="22"/>
          <w:szCs w:val="22"/>
        </w:rPr>
        <w:t>；</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 xml:space="preserve">2. </w:t>
      </w:r>
      <w:r>
        <w:rPr>
          <w:rFonts w:hint="eastAsia" w:ascii="宋体" w:hAnsi="宋体" w:cs="宋体"/>
          <w:sz w:val="22"/>
          <w:szCs w:val="22"/>
          <w:u w:val="single"/>
        </w:rPr>
        <w:t>（标的名称）</w:t>
      </w:r>
      <w:r>
        <w:rPr>
          <w:rFonts w:hint="eastAsia" w:ascii="宋体" w:hAnsi="宋体" w:cs="宋体"/>
          <w:sz w:val="22"/>
          <w:szCs w:val="22"/>
        </w:rPr>
        <w:t xml:space="preserve"> ，属于</w:t>
      </w:r>
      <w:r>
        <w:rPr>
          <w:rFonts w:hint="eastAsia" w:ascii="宋体" w:hAnsi="宋体" w:cs="宋体"/>
          <w:sz w:val="22"/>
          <w:szCs w:val="22"/>
          <w:u w:val="single"/>
        </w:rPr>
        <w:t xml:space="preserve">      行业</w:t>
      </w:r>
      <w:r>
        <w:rPr>
          <w:rFonts w:hint="eastAsia" w:ascii="宋体" w:hAnsi="宋体" w:cs="宋体"/>
          <w:sz w:val="22"/>
          <w:szCs w:val="22"/>
        </w:rPr>
        <w:t>；承建（承接）企业为</w:t>
      </w:r>
      <w:r>
        <w:rPr>
          <w:rFonts w:hint="eastAsia" w:ascii="宋体" w:hAnsi="宋体" w:cs="宋体"/>
          <w:sz w:val="22"/>
          <w:szCs w:val="22"/>
          <w:u w:val="single"/>
        </w:rPr>
        <w:t xml:space="preserve"> （企业名称）</w:t>
      </w:r>
      <w:r>
        <w:rPr>
          <w:rFonts w:hint="eastAsia" w:ascii="宋体" w:hAnsi="宋体" w:cs="宋体"/>
          <w:sz w:val="22"/>
          <w:szCs w:val="22"/>
        </w:rPr>
        <w:t xml:space="preserve"> ，从业人员人，营业收入为万元，资产总额为万元，属于 </w:t>
      </w:r>
      <w:r>
        <w:rPr>
          <w:rFonts w:hint="eastAsia" w:ascii="宋体" w:hAnsi="宋体" w:cs="宋体"/>
          <w:sz w:val="22"/>
          <w:szCs w:val="22"/>
          <w:u w:val="single"/>
        </w:rPr>
        <w:t>（中型企业、小型企业、微型企业）</w:t>
      </w:r>
      <w:r>
        <w:rPr>
          <w:rFonts w:hint="eastAsia" w:ascii="宋体" w:hAnsi="宋体" w:cs="宋体"/>
          <w:sz w:val="22"/>
          <w:szCs w:val="22"/>
        </w:rPr>
        <w:t xml:space="preserve"> ；</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以上企业，不属于大企业的分支机构，不存在控股股东为大企业的情形，也不存在与大企业的负责人为同一人的情形。</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本企业对上述声明内容的真实性负责。如有虚假，将依法承担相应责任。</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企业名称（盖章）：</w:t>
      </w:r>
    </w:p>
    <w:p>
      <w:pPr>
        <w:widowControl/>
        <w:spacing w:before="100" w:beforeAutospacing="1" w:after="100" w:afterAutospacing="1" w:line="440" w:lineRule="atLeast"/>
        <w:ind w:firstLine="440" w:firstLineChars="200"/>
        <w:jc w:val="left"/>
        <w:rPr>
          <w:rFonts w:ascii="宋体" w:hAnsi="宋体" w:cs="宋体"/>
          <w:b/>
          <w:bCs/>
          <w:sz w:val="24"/>
        </w:rPr>
      </w:pPr>
      <w:r>
        <w:rPr>
          <w:rFonts w:hint="eastAsia" w:ascii="宋体" w:hAnsi="宋体" w:cs="宋体"/>
          <w:sz w:val="22"/>
          <w:szCs w:val="22"/>
        </w:rPr>
        <w:t>日 期：            　　　　</w:t>
      </w:r>
      <w:r>
        <w:rPr>
          <w:rFonts w:hint="eastAsia" w:ascii="宋体" w:hAnsi="宋体" w:cs="宋体"/>
          <w:b/>
          <w:bCs/>
          <w:sz w:val="24"/>
        </w:rPr>
        <w:t>　</w:t>
      </w:r>
    </w:p>
    <w:p>
      <w:pPr>
        <w:spacing w:line="440" w:lineRule="atLeast"/>
        <w:rPr>
          <w:rFonts w:ascii="宋体" w:hAnsi="宋体" w:cs="宋体"/>
          <w:b/>
          <w:bCs/>
          <w:sz w:val="24"/>
        </w:rPr>
      </w:pPr>
    </w:p>
    <w:p>
      <w:pPr>
        <w:widowControl/>
        <w:spacing w:before="100" w:beforeAutospacing="1" w:after="100" w:afterAutospacing="1" w:line="440" w:lineRule="atLeast"/>
        <w:jc w:val="left"/>
        <w:rPr>
          <w:rFonts w:ascii="宋体" w:hAnsi="宋体" w:cs="宋体"/>
          <w:b/>
          <w:bCs/>
          <w:sz w:val="24"/>
        </w:rPr>
      </w:pPr>
      <w:r>
        <w:rPr>
          <w:rFonts w:hint="eastAsia" w:ascii="宋体" w:hAnsi="宋体" w:cs="宋体"/>
          <w:b/>
          <w:bCs/>
          <w:sz w:val="24"/>
        </w:rPr>
        <w:t>注：1 从业人员、营业收入、资产总额填报上一年度数据，无上一年度数据的新成立企业可不填报。</w:t>
      </w:r>
      <w:r>
        <w:rPr>
          <w:rFonts w:hint="eastAsia" w:ascii="宋体" w:hAnsi="宋体" w:cs="宋体"/>
          <w:sz w:val="22"/>
          <w:szCs w:val="22"/>
        </w:rPr>
        <w:t>                  　　　　</w:t>
      </w:r>
      <w:r>
        <w:rPr>
          <w:rFonts w:hint="eastAsia" w:ascii="宋体" w:hAnsi="宋体" w:cs="宋体"/>
          <w:b/>
          <w:bCs/>
          <w:sz w:val="24"/>
        </w:rPr>
        <w:t>　</w:t>
      </w:r>
    </w:p>
    <w:p>
      <w:pPr>
        <w:spacing w:line="440" w:lineRule="atLeast"/>
        <w:rPr>
          <w:rFonts w:ascii="宋体" w:hAnsi="宋体" w:cs="宋体"/>
          <w:b/>
          <w:bCs/>
          <w:sz w:val="24"/>
        </w:rPr>
      </w:pPr>
    </w:p>
    <w:p>
      <w:pPr>
        <w:widowControl/>
        <w:spacing w:before="100" w:beforeAutospacing="1" w:after="100" w:afterAutospacing="1" w:line="440" w:lineRule="atLeast"/>
        <w:jc w:val="left"/>
        <w:rPr>
          <w:rFonts w:ascii="宋体" w:hAnsi="宋体" w:cs="宋体"/>
          <w:b/>
          <w:bCs/>
          <w:sz w:val="24"/>
        </w:rPr>
      </w:pPr>
    </w:p>
    <w:p>
      <w:pPr>
        <w:widowControl/>
        <w:spacing w:before="100" w:beforeAutospacing="1" w:after="100" w:afterAutospacing="1" w:line="440" w:lineRule="atLeast"/>
        <w:jc w:val="left"/>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附件2</w:t>
      </w:r>
    </w:p>
    <w:p>
      <w:pPr>
        <w:widowControl/>
        <w:spacing w:before="100" w:beforeAutospacing="1" w:after="100" w:afterAutospacing="1" w:line="440" w:lineRule="atLeast"/>
        <w:jc w:val="center"/>
        <w:rPr>
          <w:rFonts w:ascii="宋体" w:hAnsi="宋体" w:cs="宋体"/>
          <w:b/>
          <w:bCs/>
          <w:sz w:val="24"/>
        </w:rPr>
      </w:pPr>
      <w:bookmarkStart w:id="77" w:name="OLE_LINK14"/>
      <w:bookmarkStart w:id="78" w:name="OLE_LINK13"/>
      <w:r>
        <w:rPr>
          <w:rFonts w:hint="eastAsia" w:ascii="宋体" w:hAnsi="宋体" w:cs="宋体"/>
          <w:b/>
          <w:bCs/>
          <w:sz w:val="24"/>
        </w:rPr>
        <w:t>残疾人福利性单位声明函</w:t>
      </w:r>
    </w:p>
    <w:bookmarkEnd w:id="77"/>
    <w:bookmarkEnd w:id="78"/>
    <w:p>
      <w:pPr>
        <w:spacing w:line="588" w:lineRule="exact"/>
        <w:rPr>
          <w:rFonts w:ascii="宋体" w:hAnsi="宋体" w:cs="宋体"/>
          <w:b/>
          <w:bCs/>
          <w:spacing w:val="6"/>
          <w:sz w:val="30"/>
          <w:szCs w:val="30"/>
        </w:rPr>
      </w:pPr>
    </w:p>
    <w:p>
      <w:pPr>
        <w:spacing w:line="588" w:lineRule="exact"/>
        <w:ind w:firstLine="464" w:firstLineChars="200"/>
        <w:rPr>
          <w:rFonts w:ascii="宋体" w:hAnsi="宋体" w:cs="宋体"/>
          <w:spacing w:val="6"/>
          <w:sz w:val="22"/>
          <w:szCs w:val="22"/>
        </w:rPr>
      </w:pPr>
      <w:r>
        <w:rPr>
          <w:rFonts w:hint="eastAsia" w:ascii="宋体" w:hAnsi="宋体" w:cs="宋体"/>
          <w:spacing w:val="6"/>
          <w:sz w:val="22"/>
          <w:szCs w:val="22"/>
        </w:rPr>
        <w:t>本单位郑重声明，根据《财政部 民政部 中国残疾人联合会关于促进残疾人就业政府采购政策的通知》（财库</w:t>
      </w:r>
      <w:r>
        <w:rPr>
          <w:rFonts w:hint="eastAsia" w:ascii="宋体" w:hAnsi="宋体" w:cs="宋体"/>
          <w:sz w:val="22"/>
          <w:szCs w:val="22"/>
        </w:rPr>
        <w:t>〔2017〕 141</w:t>
      </w:r>
      <w:r>
        <w:rPr>
          <w:rFonts w:hint="eastAsia" w:ascii="宋体" w:hAnsi="宋体" w:cs="宋体"/>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ascii="宋体" w:hAnsi="宋体" w:cs="宋体"/>
          <w:spacing w:val="6"/>
          <w:sz w:val="22"/>
          <w:szCs w:val="22"/>
        </w:rPr>
      </w:pPr>
      <w:r>
        <w:rPr>
          <w:rFonts w:hint="eastAsia" w:ascii="宋体" w:hAnsi="宋体" w:cs="宋体"/>
          <w:spacing w:val="6"/>
          <w:sz w:val="22"/>
          <w:szCs w:val="22"/>
        </w:rPr>
        <w:t>本单位对上述声明的真实性负责。如有虚假，将依法承担相应责任。</w:t>
      </w:r>
    </w:p>
    <w:p>
      <w:pPr>
        <w:spacing w:line="588" w:lineRule="exact"/>
        <w:ind w:firstLine="464" w:firstLineChars="200"/>
        <w:rPr>
          <w:rFonts w:ascii="宋体" w:hAnsi="宋体" w:cs="宋体"/>
          <w:spacing w:val="6"/>
          <w:sz w:val="22"/>
          <w:szCs w:val="22"/>
        </w:rPr>
      </w:pPr>
    </w:p>
    <w:p>
      <w:pPr>
        <w:tabs>
          <w:tab w:val="left" w:pos="4860"/>
        </w:tabs>
        <w:spacing w:line="588" w:lineRule="exact"/>
        <w:ind w:right="1560" w:firstLine="464" w:firstLineChars="200"/>
        <w:rPr>
          <w:rFonts w:ascii="宋体" w:hAnsi="宋体" w:cs="宋体"/>
          <w:spacing w:val="6"/>
          <w:sz w:val="22"/>
          <w:szCs w:val="22"/>
        </w:rPr>
      </w:pPr>
    </w:p>
    <w:p>
      <w:pPr>
        <w:tabs>
          <w:tab w:val="left" w:pos="4860"/>
        </w:tabs>
        <w:spacing w:line="588" w:lineRule="exact"/>
        <w:ind w:right="1560" w:firstLine="464" w:firstLineChars="200"/>
        <w:rPr>
          <w:rFonts w:ascii="宋体" w:hAnsi="宋体" w:cs="宋体"/>
          <w:spacing w:val="6"/>
          <w:sz w:val="22"/>
          <w:szCs w:val="22"/>
        </w:rPr>
      </w:pPr>
      <w:r>
        <w:rPr>
          <w:rFonts w:hint="eastAsia" w:ascii="宋体" w:hAnsi="宋体" w:cs="宋体"/>
          <w:spacing w:val="6"/>
          <w:sz w:val="22"/>
          <w:szCs w:val="22"/>
        </w:rPr>
        <w:t>投标人全称（盖章）：</w:t>
      </w:r>
    </w:p>
    <w:p>
      <w:pPr>
        <w:tabs>
          <w:tab w:val="left" w:pos="4860"/>
        </w:tabs>
        <w:spacing w:line="588" w:lineRule="exact"/>
        <w:ind w:right="1560" w:firstLine="464" w:firstLineChars="200"/>
        <w:rPr>
          <w:rFonts w:ascii="宋体" w:hAnsi="宋体" w:cs="宋体"/>
          <w:spacing w:val="6"/>
          <w:sz w:val="22"/>
          <w:szCs w:val="22"/>
        </w:rPr>
      </w:pPr>
      <w:r>
        <w:rPr>
          <w:rFonts w:hint="eastAsia" w:ascii="宋体" w:hAnsi="宋体" w:cs="宋体"/>
          <w:spacing w:val="6"/>
          <w:sz w:val="22"/>
          <w:szCs w:val="22"/>
        </w:rPr>
        <w:t>日  期：</w:t>
      </w:r>
    </w:p>
    <w:p>
      <w:pPr>
        <w:tabs>
          <w:tab w:val="left" w:pos="4860"/>
        </w:tabs>
        <w:spacing w:line="588" w:lineRule="exact"/>
        <w:ind w:right="1560" w:firstLine="464" w:firstLineChars="200"/>
        <w:jc w:val="center"/>
        <w:rPr>
          <w:rFonts w:ascii="宋体" w:hAnsi="宋体" w:cs="宋体"/>
          <w:spacing w:val="6"/>
          <w:sz w:val="22"/>
          <w:szCs w:val="22"/>
        </w:rPr>
      </w:pPr>
    </w:p>
    <w:p>
      <w:pPr>
        <w:tabs>
          <w:tab w:val="left" w:pos="4860"/>
        </w:tabs>
        <w:spacing w:line="588" w:lineRule="exact"/>
        <w:ind w:right="1560" w:firstLine="464" w:firstLineChars="200"/>
        <w:jc w:val="center"/>
        <w:rPr>
          <w:rFonts w:ascii="宋体" w:hAnsi="宋体" w:cs="宋体"/>
          <w:spacing w:val="6"/>
          <w:sz w:val="22"/>
          <w:szCs w:val="22"/>
        </w:rPr>
      </w:pPr>
    </w:p>
    <w:p>
      <w:pPr>
        <w:tabs>
          <w:tab w:val="left" w:pos="4860"/>
        </w:tabs>
        <w:spacing w:line="588" w:lineRule="exact"/>
        <w:ind w:right="1560"/>
        <w:jc w:val="left"/>
        <w:rPr>
          <w:rFonts w:ascii="宋体" w:hAnsi="宋体" w:cs="宋体"/>
          <w:b/>
          <w:bCs/>
          <w:sz w:val="22"/>
          <w:szCs w:val="22"/>
        </w:rPr>
      </w:pPr>
      <w:r>
        <w:rPr>
          <w:rFonts w:hint="eastAsia" w:ascii="宋体" w:hAnsi="宋体" w:cs="宋体"/>
          <w:b/>
          <w:bCs/>
          <w:sz w:val="22"/>
          <w:szCs w:val="22"/>
        </w:rPr>
        <w:t>备注说明：</w:t>
      </w:r>
    </w:p>
    <w:p>
      <w:pPr>
        <w:tabs>
          <w:tab w:val="left" w:pos="4860"/>
        </w:tabs>
        <w:spacing w:line="588" w:lineRule="exact"/>
        <w:ind w:right="1560"/>
        <w:jc w:val="left"/>
        <w:rPr>
          <w:rFonts w:ascii="宋体" w:hAnsi="宋体" w:cs="宋体"/>
          <w:b/>
          <w:bCs/>
          <w:sz w:val="22"/>
          <w:szCs w:val="22"/>
        </w:rPr>
      </w:pPr>
      <w:r>
        <w:rPr>
          <w:rFonts w:hint="eastAsia" w:ascii="宋体" w:hAnsi="宋体" w:cs="宋体"/>
          <w:b/>
          <w:bCs/>
          <w:sz w:val="22"/>
          <w:szCs w:val="22"/>
        </w:rPr>
        <w:t>1、如中标，将在中标公示中将此声明函予以公示，接受社会监督；</w:t>
      </w:r>
    </w:p>
    <w:p>
      <w:pPr>
        <w:autoSpaceDE w:val="0"/>
        <w:autoSpaceDN w:val="0"/>
        <w:adjustRightInd w:val="0"/>
        <w:spacing w:line="460" w:lineRule="atLeast"/>
        <w:textAlignment w:val="bottom"/>
        <w:rPr>
          <w:rFonts w:ascii="宋体" w:hAnsi="宋体" w:cs="宋体"/>
          <w:sz w:val="22"/>
          <w:szCs w:val="22"/>
        </w:rPr>
      </w:pPr>
      <w:r>
        <w:rPr>
          <w:rFonts w:hint="eastAsia" w:ascii="宋体" w:hAnsi="宋体" w:cs="宋体"/>
          <w:b/>
          <w:bCs/>
          <w:sz w:val="22"/>
          <w:szCs w:val="22"/>
        </w:rPr>
        <w:t>2、投标人提供的《残疾人福利性单位声明函》与事实不符的，依照《政府采购法》第七十七条第一款的规定追究法律责任。</w:t>
      </w:r>
    </w:p>
    <w:p>
      <w:pPr>
        <w:spacing w:line="360" w:lineRule="auto"/>
        <w:outlineLvl w:val="0"/>
        <w:rPr>
          <w:rFonts w:ascii="宋体" w:hAnsi="宋体" w:cs="宋体"/>
          <w:b/>
          <w:bCs/>
          <w:sz w:val="28"/>
          <w:szCs w:val="28"/>
        </w:rPr>
      </w:pPr>
    </w:p>
    <w:p>
      <w:pPr>
        <w:pStyle w:val="39"/>
        <w:rPr>
          <w:rFonts w:ascii="宋体" w:hAnsi="宋体" w:cs="宋体"/>
          <w:sz w:val="30"/>
          <w:szCs w:val="30"/>
        </w:rPr>
      </w:pPr>
    </w:p>
    <w:p>
      <w:pPr>
        <w:widowControl/>
        <w:jc w:val="left"/>
        <w:rPr>
          <w:rFonts w:ascii="宋体" w:hAnsi="宋体" w:cs="新宋体"/>
          <w:b/>
          <w:bCs/>
          <w:sz w:val="30"/>
          <w:szCs w:val="30"/>
        </w:rPr>
      </w:pPr>
      <w:r>
        <w:rPr>
          <w:rFonts w:ascii="宋体" w:hAnsi="宋体" w:cs="新宋体"/>
          <w:sz w:val="30"/>
          <w:szCs w:val="30"/>
        </w:rPr>
        <w:br w:type="page"/>
      </w:r>
    </w:p>
    <w:p>
      <w:pPr>
        <w:pStyle w:val="39"/>
        <w:rPr>
          <w:rFonts w:ascii="宋体" w:hAnsi="宋体" w:cs="新宋体"/>
          <w:sz w:val="30"/>
          <w:szCs w:val="30"/>
        </w:rPr>
      </w:pPr>
      <w:bookmarkStart w:id="79" w:name="_Toc97033061"/>
      <w:r>
        <w:rPr>
          <w:rFonts w:hint="eastAsia" w:ascii="宋体" w:hAnsi="宋体" w:cs="新宋体"/>
          <w:sz w:val="30"/>
          <w:szCs w:val="30"/>
        </w:rPr>
        <w:t>第五部分  合同</w:t>
      </w:r>
      <w:bookmarkEnd w:id="75"/>
      <w:bookmarkEnd w:id="76"/>
      <w:r>
        <w:rPr>
          <w:rFonts w:hint="eastAsia" w:ascii="宋体" w:hAnsi="宋体" w:cs="新宋体"/>
          <w:sz w:val="30"/>
          <w:szCs w:val="30"/>
        </w:rPr>
        <w:t>格式</w:t>
      </w:r>
      <w:bookmarkEnd w:id="79"/>
    </w:p>
    <w:p>
      <w:pPr>
        <w:autoSpaceDE w:val="0"/>
        <w:autoSpaceDN w:val="0"/>
        <w:adjustRightInd w:val="0"/>
        <w:snapToGrid w:val="0"/>
        <w:spacing w:line="460" w:lineRule="atLeast"/>
        <w:jc w:val="center"/>
        <w:rPr>
          <w:rFonts w:ascii="宋体"/>
          <w:b/>
          <w:sz w:val="22"/>
          <w:szCs w:val="22"/>
          <w:lang w:val="zh-CN"/>
        </w:rPr>
      </w:pPr>
      <w:r>
        <w:rPr>
          <w:rFonts w:hint="eastAsia" w:ascii="宋体"/>
          <w:b/>
          <w:sz w:val="22"/>
          <w:szCs w:val="22"/>
          <w:lang w:val="zh-CN"/>
        </w:rPr>
        <w:t>（注：该合同样本仅做参考，中标后，以采购人与供应商签订的正式合同为准。）</w:t>
      </w:r>
    </w:p>
    <w:p>
      <w:pPr>
        <w:spacing w:line="440" w:lineRule="exact"/>
        <w:ind w:firstLine="440" w:firstLineChars="200"/>
        <w:rPr>
          <w:rFonts w:ascii="宋体"/>
          <w:sz w:val="22"/>
          <w:szCs w:val="22"/>
        </w:rPr>
      </w:pPr>
      <w:r>
        <w:rPr>
          <w:rFonts w:hint="eastAsia" w:ascii="宋体"/>
          <w:sz w:val="22"/>
          <w:szCs w:val="22"/>
        </w:rPr>
        <w:t>说明：如甲、乙双方同意，合同格式也可以按照其他形式。但合同条款的基本内容应与《中标合同》要求的内容相一致。</w:t>
      </w:r>
    </w:p>
    <w:p>
      <w:pPr>
        <w:autoSpaceDE w:val="0"/>
        <w:autoSpaceDN w:val="0"/>
        <w:spacing w:line="440" w:lineRule="exact"/>
        <w:textAlignment w:val="bottom"/>
        <w:rPr>
          <w:rFonts w:ascii="宋体" w:cs="Arial"/>
          <w:sz w:val="22"/>
          <w:szCs w:val="22"/>
        </w:rPr>
      </w:pPr>
    </w:p>
    <w:p>
      <w:pPr>
        <w:autoSpaceDE w:val="0"/>
        <w:autoSpaceDN w:val="0"/>
        <w:spacing w:line="440" w:lineRule="exact"/>
        <w:jc w:val="center"/>
        <w:textAlignment w:val="bottom"/>
        <w:rPr>
          <w:rFonts w:ascii="宋体" w:cs="Arial"/>
          <w:sz w:val="22"/>
          <w:szCs w:val="22"/>
        </w:rPr>
      </w:pPr>
    </w:p>
    <w:p>
      <w:pPr>
        <w:autoSpaceDE w:val="0"/>
        <w:autoSpaceDN w:val="0"/>
        <w:spacing w:line="500" w:lineRule="atLeast"/>
        <w:jc w:val="center"/>
        <w:textAlignment w:val="bottom"/>
        <w:rPr>
          <w:rFonts w:ascii="宋体" w:cs="Arial"/>
          <w:sz w:val="22"/>
          <w:szCs w:val="22"/>
        </w:rPr>
      </w:pPr>
      <w:r>
        <w:rPr>
          <w:rFonts w:hint="eastAsia" w:ascii="宋体" w:cs="Arial"/>
          <w:sz w:val="22"/>
          <w:szCs w:val="22"/>
        </w:rPr>
        <w:t>中标合同</w:t>
      </w:r>
    </w:p>
    <w:p>
      <w:pPr>
        <w:autoSpaceDE w:val="0"/>
        <w:autoSpaceDN w:val="0"/>
        <w:spacing w:line="500" w:lineRule="atLeast"/>
        <w:jc w:val="center"/>
        <w:textAlignment w:val="bottom"/>
        <w:rPr>
          <w:rFonts w:ascii="宋体" w:cs="Arial"/>
          <w:sz w:val="22"/>
          <w:szCs w:val="22"/>
        </w:rPr>
      </w:pPr>
    </w:p>
    <w:p>
      <w:pPr>
        <w:autoSpaceDE w:val="0"/>
        <w:autoSpaceDN w:val="0"/>
        <w:spacing w:line="580" w:lineRule="atLeast"/>
        <w:textAlignment w:val="bottom"/>
        <w:rPr>
          <w:rFonts w:ascii="宋体" w:cs="Arial"/>
          <w:sz w:val="22"/>
          <w:szCs w:val="22"/>
          <w:u w:val="single"/>
        </w:rPr>
      </w:pPr>
      <w:r>
        <w:rPr>
          <w:rFonts w:hint="eastAsia" w:ascii="宋体" w:cs="Arial"/>
          <w:sz w:val="22"/>
          <w:szCs w:val="22"/>
        </w:rPr>
        <w:tab/>
      </w:r>
      <w:r>
        <w:rPr>
          <w:rFonts w:hint="eastAsia" w:ascii="宋体" w:cs="Arial"/>
          <w:sz w:val="22"/>
          <w:szCs w:val="22"/>
        </w:rPr>
        <w:tab/>
      </w:r>
      <w:r>
        <w:rPr>
          <w:rFonts w:hint="eastAsia" w:ascii="宋体" w:cs="Arial"/>
          <w:sz w:val="22"/>
          <w:szCs w:val="22"/>
        </w:rPr>
        <w:tab/>
      </w:r>
      <w:r>
        <w:rPr>
          <w:rFonts w:hint="eastAsia" w:ascii="宋体" w:cs="Arial"/>
          <w:sz w:val="22"/>
          <w:szCs w:val="22"/>
        </w:rPr>
        <w:tab/>
      </w:r>
      <w:r>
        <w:rPr>
          <w:rFonts w:hint="eastAsia" w:ascii="宋体" w:cs="Arial"/>
          <w:sz w:val="22"/>
          <w:szCs w:val="22"/>
        </w:rPr>
        <w:t>项目名称：</w:t>
      </w:r>
      <w:r>
        <w:rPr>
          <w:rFonts w:hint="eastAsia" w:ascii="宋体" w:cs="Arial"/>
          <w:sz w:val="22"/>
          <w:szCs w:val="22"/>
          <w:u w:val="single"/>
        </w:rPr>
        <w:t xml:space="preserve">                                 </w:t>
      </w:r>
    </w:p>
    <w:p>
      <w:pPr>
        <w:autoSpaceDE w:val="0"/>
        <w:autoSpaceDN w:val="0"/>
        <w:spacing w:line="580" w:lineRule="atLeast"/>
        <w:textAlignment w:val="bottom"/>
        <w:rPr>
          <w:rFonts w:ascii="宋体" w:cs="Arial"/>
          <w:sz w:val="22"/>
          <w:szCs w:val="22"/>
        </w:rPr>
      </w:pPr>
      <w:r>
        <w:rPr>
          <w:rFonts w:hint="eastAsia" w:ascii="宋体" w:cs="Arial"/>
          <w:sz w:val="22"/>
          <w:szCs w:val="22"/>
        </w:rPr>
        <w:tab/>
      </w:r>
      <w:r>
        <w:rPr>
          <w:rFonts w:hint="eastAsia" w:ascii="宋体" w:cs="Arial"/>
          <w:sz w:val="22"/>
          <w:szCs w:val="22"/>
        </w:rPr>
        <w:tab/>
      </w:r>
      <w:r>
        <w:rPr>
          <w:rFonts w:hint="eastAsia" w:ascii="宋体" w:cs="Arial"/>
          <w:sz w:val="22"/>
          <w:szCs w:val="22"/>
        </w:rPr>
        <w:tab/>
      </w:r>
      <w:r>
        <w:rPr>
          <w:rFonts w:hint="eastAsia" w:ascii="宋体" w:cs="Arial"/>
          <w:sz w:val="22"/>
          <w:szCs w:val="22"/>
        </w:rPr>
        <w:tab/>
      </w:r>
      <w:r>
        <w:rPr>
          <w:rFonts w:hint="eastAsia" w:ascii="宋体" w:cs="Arial"/>
          <w:sz w:val="22"/>
          <w:szCs w:val="22"/>
        </w:rPr>
        <w:t>设备名称：</w:t>
      </w:r>
      <w:r>
        <w:rPr>
          <w:rFonts w:hint="eastAsia" w:ascii="宋体" w:cs="Arial"/>
          <w:sz w:val="22"/>
          <w:szCs w:val="22"/>
          <w:u w:val="single"/>
        </w:rPr>
        <w:t xml:space="preserve">                                 </w:t>
      </w:r>
    </w:p>
    <w:p>
      <w:pPr>
        <w:autoSpaceDE w:val="0"/>
        <w:autoSpaceDN w:val="0"/>
        <w:spacing w:line="580" w:lineRule="atLeast"/>
        <w:textAlignment w:val="bottom"/>
        <w:rPr>
          <w:rFonts w:ascii="宋体" w:cs="Arial"/>
          <w:sz w:val="22"/>
          <w:szCs w:val="22"/>
        </w:rPr>
      </w:pPr>
      <w:r>
        <w:rPr>
          <w:rFonts w:hint="eastAsia" w:ascii="宋体" w:cs="Arial"/>
          <w:sz w:val="22"/>
          <w:szCs w:val="22"/>
        </w:rPr>
        <w:tab/>
      </w:r>
      <w:r>
        <w:rPr>
          <w:rFonts w:hint="eastAsia" w:ascii="宋体" w:cs="Arial"/>
          <w:sz w:val="22"/>
          <w:szCs w:val="22"/>
        </w:rPr>
        <w:tab/>
      </w:r>
      <w:r>
        <w:rPr>
          <w:rFonts w:hint="eastAsia" w:ascii="宋体" w:cs="Arial"/>
          <w:sz w:val="22"/>
          <w:szCs w:val="22"/>
        </w:rPr>
        <w:tab/>
      </w:r>
      <w:r>
        <w:rPr>
          <w:rFonts w:hint="eastAsia" w:ascii="宋体" w:cs="Arial"/>
          <w:sz w:val="22"/>
          <w:szCs w:val="22"/>
        </w:rPr>
        <w:tab/>
      </w:r>
      <w:r>
        <w:rPr>
          <w:rFonts w:hint="eastAsia" w:ascii="宋体" w:cs="Arial"/>
          <w:sz w:val="22"/>
          <w:szCs w:val="22"/>
        </w:rPr>
        <w:t>合同编号：</w:t>
      </w:r>
      <w:r>
        <w:rPr>
          <w:rFonts w:hint="eastAsia" w:ascii="宋体" w:cs="Arial"/>
          <w:sz w:val="22"/>
          <w:szCs w:val="22"/>
          <w:u w:val="single"/>
        </w:rPr>
        <w:t xml:space="preserve">                                 </w:t>
      </w:r>
    </w:p>
    <w:p>
      <w:pPr>
        <w:autoSpaceDE w:val="0"/>
        <w:autoSpaceDN w:val="0"/>
        <w:spacing w:line="580" w:lineRule="atLeast"/>
        <w:textAlignment w:val="bottom"/>
        <w:rPr>
          <w:rFonts w:ascii="宋体" w:cs="Arial"/>
          <w:sz w:val="22"/>
          <w:szCs w:val="22"/>
        </w:rPr>
      </w:pPr>
    </w:p>
    <w:p>
      <w:pPr>
        <w:autoSpaceDE w:val="0"/>
        <w:autoSpaceDN w:val="0"/>
        <w:spacing w:line="580" w:lineRule="atLeast"/>
        <w:textAlignment w:val="bottom"/>
        <w:rPr>
          <w:rFonts w:ascii="宋体" w:cs="Arial"/>
          <w:sz w:val="22"/>
          <w:szCs w:val="22"/>
        </w:rPr>
      </w:pPr>
    </w:p>
    <w:p>
      <w:pPr>
        <w:autoSpaceDE w:val="0"/>
        <w:autoSpaceDN w:val="0"/>
        <w:spacing w:line="580" w:lineRule="atLeast"/>
        <w:textAlignment w:val="bottom"/>
        <w:rPr>
          <w:rFonts w:ascii="宋体" w:cs="Arial"/>
          <w:sz w:val="22"/>
          <w:szCs w:val="22"/>
        </w:rPr>
      </w:pPr>
    </w:p>
    <w:p>
      <w:pPr>
        <w:autoSpaceDE w:val="0"/>
        <w:autoSpaceDN w:val="0"/>
        <w:spacing w:line="580" w:lineRule="atLeast"/>
        <w:textAlignment w:val="bottom"/>
        <w:rPr>
          <w:rFonts w:ascii="宋体" w:cs="Arial"/>
          <w:sz w:val="22"/>
          <w:szCs w:val="22"/>
        </w:rPr>
      </w:pPr>
    </w:p>
    <w:p>
      <w:pPr>
        <w:autoSpaceDE w:val="0"/>
        <w:autoSpaceDN w:val="0"/>
        <w:spacing w:line="580" w:lineRule="atLeast"/>
        <w:textAlignment w:val="bottom"/>
        <w:rPr>
          <w:rFonts w:ascii="宋体" w:cs="Arial"/>
          <w:sz w:val="22"/>
          <w:szCs w:val="22"/>
          <w:u w:val="single"/>
        </w:rPr>
      </w:pPr>
      <w:r>
        <w:rPr>
          <w:rFonts w:hint="eastAsia" w:ascii="宋体" w:cs="Arial"/>
          <w:sz w:val="22"/>
          <w:szCs w:val="22"/>
        </w:rPr>
        <w:tab/>
      </w:r>
      <w:r>
        <w:rPr>
          <w:rFonts w:hint="eastAsia" w:ascii="宋体" w:cs="Arial"/>
          <w:sz w:val="22"/>
          <w:szCs w:val="22"/>
        </w:rPr>
        <w:tab/>
      </w:r>
      <w:r>
        <w:rPr>
          <w:rFonts w:hint="eastAsia" w:ascii="宋体" w:cs="Arial"/>
          <w:sz w:val="22"/>
          <w:szCs w:val="22"/>
        </w:rPr>
        <w:tab/>
      </w:r>
      <w:r>
        <w:rPr>
          <w:rFonts w:hint="eastAsia" w:ascii="宋体" w:cs="Arial"/>
          <w:sz w:val="22"/>
          <w:szCs w:val="22"/>
        </w:rPr>
        <w:tab/>
      </w:r>
      <w:r>
        <w:rPr>
          <w:rFonts w:hint="eastAsia" w:ascii="宋体" w:cs="Arial"/>
          <w:sz w:val="22"/>
          <w:szCs w:val="22"/>
        </w:rPr>
        <w:t>甲    方：</w:t>
      </w:r>
      <w:r>
        <w:rPr>
          <w:rFonts w:hint="eastAsia" w:ascii="宋体" w:cs="Arial"/>
          <w:sz w:val="22"/>
          <w:szCs w:val="22"/>
          <w:u w:val="single"/>
        </w:rPr>
        <w:t xml:space="preserve">                                 </w:t>
      </w:r>
    </w:p>
    <w:p>
      <w:pPr>
        <w:autoSpaceDE w:val="0"/>
        <w:autoSpaceDN w:val="0"/>
        <w:spacing w:line="580" w:lineRule="atLeast"/>
        <w:textAlignment w:val="bottom"/>
        <w:rPr>
          <w:rFonts w:ascii="宋体" w:cs="Arial"/>
          <w:sz w:val="22"/>
          <w:szCs w:val="22"/>
        </w:rPr>
      </w:pPr>
      <w:r>
        <w:rPr>
          <w:rFonts w:hint="eastAsia" w:ascii="宋体" w:cs="Arial"/>
          <w:sz w:val="22"/>
          <w:szCs w:val="22"/>
        </w:rPr>
        <w:tab/>
      </w:r>
      <w:r>
        <w:rPr>
          <w:rFonts w:hint="eastAsia" w:ascii="宋体" w:cs="Arial"/>
          <w:sz w:val="22"/>
          <w:szCs w:val="22"/>
        </w:rPr>
        <w:tab/>
      </w:r>
      <w:r>
        <w:rPr>
          <w:rFonts w:hint="eastAsia" w:ascii="宋体" w:cs="Arial"/>
          <w:sz w:val="22"/>
          <w:szCs w:val="22"/>
        </w:rPr>
        <w:tab/>
      </w:r>
      <w:r>
        <w:rPr>
          <w:rFonts w:hint="eastAsia" w:ascii="宋体" w:cs="Arial"/>
          <w:sz w:val="22"/>
          <w:szCs w:val="22"/>
        </w:rPr>
        <w:tab/>
      </w:r>
      <w:r>
        <w:rPr>
          <w:rFonts w:hint="eastAsia" w:ascii="宋体" w:cs="Arial"/>
          <w:sz w:val="22"/>
          <w:szCs w:val="22"/>
        </w:rPr>
        <w:t>乙    方：</w:t>
      </w:r>
      <w:r>
        <w:rPr>
          <w:rFonts w:hint="eastAsia" w:ascii="宋体" w:cs="Arial"/>
          <w:sz w:val="22"/>
          <w:szCs w:val="22"/>
          <w:u w:val="single"/>
        </w:rPr>
        <w:t xml:space="preserve">                                 </w:t>
      </w:r>
    </w:p>
    <w:p>
      <w:pPr>
        <w:spacing w:line="460" w:lineRule="exact"/>
        <w:rPr>
          <w:rFonts w:ascii="宋体" w:cs="Arial"/>
          <w:sz w:val="22"/>
          <w:szCs w:val="22"/>
          <w:u w:val="single"/>
        </w:rPr>
      </w:pPr>
      <w:r>
        <w:rPr>
          <w:rFonts w:hint="eastAsia" w:ascii="宋体" w:cs="Arial"/>
          <w:sz w:val="22"/>
          <w:szCs w:val="22"/>
        </w:rPr>
        <w:tab/>
      </w:r>
      <w:r>
        <w:rPr>
          <w:rFonts w:hint="eastAsia" w:ascii="宋体" w:cs="Arial"/>
          <w:sz w:val="22"/>
          <w:szCs w:val="22"/>
        </w:rPr>
        <w:tab/>
      </w:r>
      <w:r>
        <w:rPr>
          <w:rFonts w:hint="eastAsia" w:ascii="宋体" w:cs="Arial"/>
          <w:sz w:val="22"/>
          <w:szCs w:val="22"/>
        </w:rPr>
        <w:tab/>
      </w:r>
      <w:r>
        <w:rPr>
          <w:rFonts w:hint="eastAsia" w:ascii="宋体" w:cs="Arial"/>
          <w:sz w:val="22"/>
          <w:szCs w:val="22"/>
        </w:rPr>
        <w:tab/>
      </w:r>
      <w:r>
        <w:rPr>
          <w:rFonts w:hint="eastAsia" w:ascii="宋体" w:cs="Arial"/>
          <w:sz w:val="22"/>
          <w:szCs w:val="22"/>
        </w:rPr>
        <w:t>签署日期：</w:t>
      </w:r>
      <w:r>
        <w:rPr>
          <w:rFonts w:hint="eastAsia" w:ascii="宋体" w:cs="Arial"/>
          <w:sz w:val="22"/>
          <w:szCs w:val="22"/>
          <w:u w:val="single"/>
        </w:rPr>
        <w:t xml:space="preserve">                                 </w:t>
      </w:r>
    </w:p>
    <w:p>
      <w:pPr>
        <w:pStyle w:val="39"/>
        <w:rPr>
          <w:rFonts w:ascii="宋体" w:hAnsi="宋体"/>
          <w:b w:val="0"/>
          <w:sz w:val="22"/>
          <w:szCs w:val="22"/>
        </w:rPr>
      </w:pPr>
    </w:p>
    <w:p>
      <w:pPr>
        <w:pStyle w:val="39"/>
        <w:rPr>
          <w:rFonts w:ascii="宋体" w:hAnsi="宋体"/>
          <w:b w:val="0"/>
          <w:sz w:val="22"/>
          <w:szCs w:val="22"/>
        </w:rPr>
      </w:pPr>
    </w:p>
    <w:p>
      <w:pPr>
        <w:pStyle w:val="39"/>
        <w:rPr>
          <w:rFonts w:ascii="宋体" w:hAnsi="宋体"/>
          <w:b w:val="0"/>
          <w:sz w:val="22"/>
          <w:szCs w:val="22"/>
        </w:rPr>
      </w:pPr>
      <w:bookmarkStart w:id="80" w:name="_Toc21593329"/>
      <w:bookmarkStart w:id="81" w:name="_Toc21593500"/>
      <w:r>
        <w:rPr>
          <w:rFonts w:ascii="宋体" w:hAnsi="宋体"/>
          <w:b w:val="0"/>
          <w:sz w:val="22"/>
          <w:szCs w:val="22"/>
        </w:rPr>
        <w:br w:type="page"/>
      </w:r>
      <w:bookmarkStart w:id="82" w:name="_Toc97033062"/>
      <w:bookmarkStart w:id="83" w:name="_Toc65590088"/>
      <w:bookmarkStart w:id="84" w:name="_Toc65830016"/>
      <w:bookmarkStart w:id="85" w:name="_Toc61444207"/>
      <w:bookmarkStart w:id="86" w:name="_Toc22892521"/>
      <w:r>
        <w:rPr>
          <w:rFonts w:hint="eastAsia" w:ascii="宋体" w:hAnsi="宋体" w:cs="新宋体"/>
          <w:sz w:val="30"/>
          <w:szCs w:val="30"/>
        </w:rPr>
        <w:t>合同主要条款</w:t>
      </w:r>
      <w:bookmarkEnd w:id="80"/>
      <w:bookmarkEnd w:id="81"/>
      <w:bookmarkEnd w:id="82"/>
      <w:bookmarkEnd w:id="83"/>
      <w:bookmarkEnd w:id="84"/>
      <w:bookmarkEnd w:id="85"/>
      <w:bookmarkEnd w:id="86"/>
    </w:p>
    <w:p>
      <w:pPr>
        <w:spacing w:line="460" w:lineRule="exact"/>
        <w:ind w:firstLine="330" w:firstLineChars="150"/>
        <w:rPr>
          <w:rFonts w:ascii="宋体" w:hAnsi="宋体" w:cs="Arial"/>
          <w:sz w:val="22"/>
        </w:rPr>
      </w:pPr>
      <w:r>
        <w:rPr>
          <w:rFonts w:hint="eastAsia" w:ascii="宋体" w:hAnsi="宋体" w:cs="Arial"/>
          <w:sz w:val="22"/>
        </w:rPr>
        <w:t>本条款为甲乙双方必须遵守的基本条款，甲乙双方也可根据实际情况另签合同条款，正式合同以双方签字盖章的文本为准。</w:t>
      </w:r>
    </w:p>
    <w:p>
      <w:pPr>
        <w:spacing w:line="460" w:lineRule="exact"/>
        <w:rPr>
          <w:rFonts w:ascii="宋体" w:hAnsi="宋体" w:cs="Arial"/>
          <w:sz w:val="22"/>
        </w:rPr>
      </w:pPr>
      <w:r>
        <w:rPr>
          <w:rFonts w:hint="eastAsia" w:ascii="宋体" w:hAnsi="宋体" w:cs="Arial"/>
          <w:sz w:val="22"/>
        </w:rPr>
        <w:t xml:space="preserve">         甲方：永嘉县公安局</w:t>
      </w:r>
    </w:p>
    <w:p>
      <w:pPr>
        <w:spacing w:line="460" w:lineRule="exact"/>
        <w:rPr>
          <w:rFonts w:ascii="宋体" w:hAnsi="宋体" w:cs="Arial"/>
          <w:sz w:val="22"/>
        </w:rPr>
      </w:pPr>
      <w:r>
        <w:rPr>
          <w:rFonts w:hint="eastAsia" w:ascii="宋体" w:hAnsi="宋体" w:cs="Arial"/>
          <w:sz w:val="22"/>
        </w:rPr>
        <w:t xml:space="preserve">         乙方：</w:t>
      </w:r>
    </w:p>
    <w:p>
      <w:pPr>
        <w:spacing w:line="460" w:lineRule="exact"/>
        <w:rPr>
          <w:rFonts w:ascii="宋体" w:hAnsi="宋体" w:cs="Arial"/>
          <w:sz w:val="22"/>
        </w:rPr>
      </w:pPr>
      <w:r>
        <w:rPr>
          <w:rFonts w:hint="eastAsia" w:ascii="宋体" w:hAnsi="宋体" w:cs="Arial"/>
          <w:sz w:val="22"/>
        </w:rPr>
        <w:t xml:space="preserve">    鉴于甲方于2022年  月  日接受乙方对的投标，双方根据《中华人民共和国民法典》和本项目的招标文件、投标文件及其投标中的承诺，经双方协商，同意签订本合同，共同遵守：</w:t>
      </w:r>
    </w:p>
    <w:p>
      <w:pPr>
        <w:spacing w:line="460" w:lineRule="exact"/>
        <w:rPr>
          <w:rFonts w:ascii="宋体" w:hAnsi="宋体" w:cs="Arial"/>
          <w:sz w:val="22"/>
        </w:rPr>
      </w:pPr>
      <w:r>
        <w:rPr>
          <w:rFonts w:hint="eastAsia" w:ascii="宋体" w:hAnsi="宋体" w:cs="Arial"/>
          <w:b/>
          <w:sz w:val="22"/>
        </w:rPr>
        <w:t>1.合同内容</w:t>
      </w:r>
      <w:r>
        <w:rPr>
          <w:rFonts w:hint="eastAsia" w:ascii="宋体" w:hAnsi="宋体" w:cs="Arial"/>
          <w:sz w:val="22"/>
        </w:rPr>
        <w:t>：依据招标文件及</w:t>
      </w:r>
      <w:r>
        <w:rPr>
          <w:rFonts w:hint="eastAsia" w:ascii="宋体" w:hAnsi="宋体" w:cs="Arial"/>
          <w:kern w:val="0"/>
          <w:sz w:val="22"/>
          <w:szCs w:val="22"/>
          <w:lang w:val="zh-CN"/>
        </w:rPr>
        <w:t>招标人</w:t>
      </w:r>
      <w:r>
        <w:rPr>
          <w:rFonts w:hint="eastAsia" w:ascii="宋体" w:hAnsi="宋体" w:cs="Arial"/>
          <w:sz w:val="22"/>
        </w:rPr>
        <w:t>规定的服务内容。</w:t>
      </w:r>
    </w:p>
    <w:p>
      <w:pPr>
        <w:spacing w:line="460" w:lineRule="exact"/>
        <w:rPr>
          <w:rFonts w:ascii="宋体" w:hAnsi="宋体" w:cs="Arial"/>
          <w:b/>
          <w:sz w:val="22"/>
        </w:rPr>
      </w:pPr>
      <w:r>
        <w:rPr>
          <w:rFonts w:hint="eastAsia" w:ascii="宋体" w:hAnsi="宋体" w:cs="Arial"/>
          <w:b/>
          <w:sz w:val="22"/>
        </w:rPr>
        <w:t>2.合同价格</w:t>
      </w:r>
    </w:p>
    <w:p>
      <w:pPr>
        <w:spacing w:line="460" w:lineRule="exact"/>
        <w:ind w:left="105" w:leftChars="50" w:firstLine="220" w:firstLineChars="100"/>
        <w:rPr>
          <w:rFonts w:ascii="宋体" w:hAnsi="宋体" w:cs="Arial"/>
          <w:sz w:val="22"/>
        </w:rPr>
      </w:pPr>
      <w:r>
        <w:rPr>
          <w:rFonts w:hint="eastAsia" w:ascii="宋体" w:hAnsi="宋体" w:cs="Arial"/>
          <w:sz w:val="22"/>
        </w:rPr>
        <w:t>本合同总价为人民币万元。</w:t>
      </w:r>
    </w:p>
    <w:p>
      <w:pPr>
        <w:spacing w:line="460" w:lineRule="exact"/>
        <w:ind w:left="105" w:leftChars="50" w:firstLine="221" w:firstLineChars="100"/>
        <w:rPr>
          <w:rFonts w:hint="eastAsia" w:ascii="宋体" w:hAnsi="宋体" w:cs="Arial"/>
          <w:sz w:val="22"/>
        </w:rPr>
      </w:pPr>
      <w:r>
        <w:rPr>
          <w:rFonts w:hint="eastAsia" w:ascii="宋体" w:hAnsi="宋体" w:cs="Arial"/>
          <w:b/>
          <w:sz w:val="22"/>
        </w:rPr>
        <w:t>3、</w:t>
      </w:r>
      <w:r>
        <w:rPr>
          <w:rFonts w:hint="eastAsia" w:ascii="宋体" w:hAnsi="宋体" w:cs="Arial"/>
          <w:sz w:val="22"/>
        </w:rPr>
        <w:t xml:space="preserve">项目实施时间： </w:t>
      </w:r>
    </w:p>
    <w:p>
      <w:pPr>
        <w:spacing w:line="460" w:lineRule="exact"/>
        <w:ind w:left="105" w:leftChars="50" w:firstLine="220" w:firstLineChars="100"/>
        <w:rPr>
          <w:rFonts w:hint="eastAsia" w:ascii="宋体" w:hAnsi="宋体" w:cs="Arial"/>
          <w:sz w:val="22"/>
        </w:rPr>
      </w:pPr>
      <w:r>
        <w:rPr>
          <w:rFonts w:hint="eastAsia" w:ascii="宋体" w:hAnsi="宋体" w:cs="Arial"/>
          <w:sz w:val="22"/>
        </w:rPr>
        <w:t>软件开发、调试、测试、上线试运行自合同签订起不得超过90天。</w:t>
      </w:r>
    </w:p>
    <w:p>
      <w:pPr>
        <w:spacing w:line="460" w:lineRule="exact"/>
        <w:rPr>
          <w:rFonts w:ascii="宋体" w:hAnsi="宋体" w:cs="Arial"/>
          <w:b/>
          <w:sz w:val="22"/>
        </w:rPr>
      </w:pPr>
      <w:r>
        <w:rPr>
          <w:rFonts w:hint="eastAsia" w:ascii="宋体" w:hAnsi="宋体" w:cs="Arial"/>
          <w:b/>
          <w:sz w:val="22"/>
        </w:rPr>
        <w:t>4. 合同说明</w:t>
      </w:r>
    </w:p>
    <w:p>
      <w:pPr>
        <w:spacing w:line="460" w:lineRule="exact"/>
        <w:ind w:firstLine="330" w:firstLineChars="150"/>
        <w:rPr>
          <w:rFonts w:ascii="宋体" w:hAnsi="宋体" w:cs="Arial"/>
          <w:sz w:val="22"/>
        </w:rPr>
      </w:pPr>
      <w:r>
        <w:rPr>
          <w:rFonts w:hint="eastAsia" w:ascii="宋体" w:hAnsi="宋体" w:cs="Arial"/>
          <w:sz w:val="22"/>
        </w:rPr>
        <w:t>甲、乙双方经过协商，就甲方希望获得乙方开发、生产的软件的使用许可达成以下合同。</w:t>
      </w:r>
    </w:p>
    <w:p>
      <w:pPr>
        <w:spacing w:line="460" w:lineRule="exact"/>
        <w:rPr>
          <w:rFonts w:ascii="宋体" w:hAnsi="宋体" w:cs="Arial"/>
          <w:sz w:val="22"/>
        </w:rPr>
      </w:pPr>
      <w:r>
        <w:rPr>
          <w:rFonts w:hint="eastAsia" w:ascii="宋体" w:hAnsi="宋体" w:cs="Arial"/>
          <w:b/>
          <w:sz w:val="22"/>
        </w:rPr>
        <w:t>5.许可软件清单、费用支付及许可范围</w:t>
      </w:r>
    </w:p>
    <w:p>
      <w:pPr>
        <w:spacing w:line="460" w:lineRule="exact"/>
        <w:ind w:left="440" w:hanging="440" w:hangingChars="200"/>
        <w:rPr>
          <w:rFonts w:ascii="宋体" w:hAnsi="宋体" w:cs="Arial"/>
          <w:sz w:val="22"/>
        </w:rPr>
      </w:pPr>
      <w:r>
        <w:rPr>
          <w:rFonts w:hint="eastAsia" w:ascii="宋体" w:hAnsi="宋体" w:cs="Arial"/>
          <w:sz w:val="22"/>
        </w:rPr>
        <w:t>5.1许可软件清单。根据本合同约定的条款及条件，乙方同意授予、甲方同意接受下表所列许可证软件的使用许可。</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2464"/>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noWrap w:val="0"/>
            <w:vAlign w:val="center"/>
          </w:tcPr>
          <w:p>
            <w:pPr>
              <w:spacing w:line="460" w:lineRule="exact"/>
              <w:ind w:firstLine="330" w:firstLineChars="150"/>
              <w:jc w:val="center"/>
              <w:rPr>
                <w:rFonts w:ascii="宋体" w:hAnsi="宋体" w:cs="Arial"/>
                <w:sz w:val="22"/>
              </w:rPr>
            </w:pPr>
            <w:r>
              <w:rPr>
                <w:rFonts w:hint="eastAsia" w:ascii="宋体" w:hAnsi="宋体" w:cs="Arial"/>
                <w:sz w:val="22"/>
              </w:rPr>
              <w:t>序号</w:t>
            </w:r>
          </w:p>
        </w:tc>
        <w:tc>
          <w:tcPr>
            <w:tcW w:w="2464" w:type="dxa"/>
            <w:noWrap w:val="0"/>
            <w:vAlign w:val="center"/>
          </w:tcPr>
          <w:p>
            <w:pPr>
              <w:spacing w:line="460" w:lineRule="exact"/>
              <w:ind w:firstLine="330" w:firstLineChars="150"/>
              <w:jc w:val="center"/>
              <w:rPr>
                <w:rFonts w:ascii="宋体" w:hAnsi="宋体" w:cs="Arial"/>
                <w:sz w:val="22"/>
              </w:rPr>
            </w:pPr>
            <w:r>
              <w:rPr>
                <w:rFonts w:hint="eastAsia" w:ascii="宋体" w:hAnsi="宋体" w:cs="Arial"/>
                <w:sz w:val="22"/>
              </w:rPr>
              <w:t>软件名称</w:t>
            </w:r>
          </w:p>
        </w:tc>
        <w:tc>
          <w:tcPr>
            <w:tcW w:w="2464" w:type="dxa"/>
            <w:noWrap w:val="0"/>
            <w:vAlign w:val="center"/>
          </w:tcPr>
          <w:p>
            <w:pPr>
              <w:spacing w:line="460" w:lineRule="exact"/>
              <w:ind w:firstLine="330" w:firstLineChars="150"/>
              <w:jc w:val="center"/>
              <w:rPr>
                <w:rFonts w:ascii="宋体" w:hAnsi="宋体" w:cs="Arial"/>
                <w:sz w:val="22"/>
              </w:rPr>
            </w:pPr>
            <w:r>
              <w:rPr>
                <w:rFonts w:hint="eastAsia" w:ascii="宋体" w:hAnsi="宋体" w:cs="Arial"/>
                <w:sz w:val="22"/>
              </w:rPr>
              <w:t>版本号</w:t>
            </w:r>
          </w:p>
        </w:tc>
        <w:tc>
          <w:tcPr>
            <w:tcW w:w="2464" w:type="dxa"/>
            <w:noWrap w:val="0"/>
            <w:vAlign w:val="center"/>
          </w:tcPr>
          <w:p>
            <w:pPr>
              <w:spacing w:line="460" w:lineRule="exact"/>
              <w:ind w:firstLine="330" w:firstLineChars="150"/>
              <w:jc w:val="center"/>
              <w:rPr>
                <w:rFonts w:ascii="宋体" w:hAnsi="宋体" w:cs="Arial"/>
                <w:sz w:val="22"/>
              </w:rPr>
            </w:pPr>
            <w:r>
              <w:rPr>
                <w:rFonts w:hint="eastAsia" w:ascii="宋体" w:hAnsi="宋体" w:cs="Arial"/>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noWrap w:val="0"/>
            <w:vAlign w:val="top"/>
          </w:tcPr>
          <w:p>
            <w:pPr>
              <w:spacing w:line="460" w:lineRule="exact"/>
              <w:ind w:firstLine="330" w:firstLineChars="150"/>
              <w:rPr>
                <w:rFonts w:ascii="宋体" w:hAnsi="宋体" w:cs="Arial"/>
                <w:sz w:val="22"/>
              </w:rPr>
            </w:pPr>
          </w:p>
        </w:tc>
        <w:tc>
          <w:tcPr>
            <w:tcW w:w="2464" w:type="dxa"/>
            <w:noWrap w:val="0"/>
            <w:vAlign w:val="top"/>
          </w:tcPr>
          <w:p>
            <w:pPr>
              <w:spacing w:line="460" w:lineRule="exact"/>
              <w:ind w:firstLine="330" w:firstLineChars="150"/>
              <w:rPr>
                <w:rFonts w:ascii="宋体" w:hAnsi="宋体" w:cs="Arial"/>
                <w:sz w:val="22"/>
              </w:rPr>
            </w:pPr>
          </w:p>
        </w:tc>
        <w:tc>
          <w:tcPr>
            <w:tcW w:w="2464" w:type="dxa"/>
            <w:noWrap w:val="0"/>
            <w:vAlign w:val="top"/>
          </w:tcPr>
          <w:p>
            <w:pPr>
              <w:spacing w:line="460" w:lineRule="exact"/>
              <w:ind w:firstLine="330" w:firstLineChars="150"/>
              <w:rPr>
                <w:rFonts w:ascii="宋体" w:hAnsi="宋体" w:cs="Arial"/>
                <w:sz w:val="22"/>
              </w:rPr>
            </w:pPr>
          </w:p>
        </w:tc>
        <w:tc>
          <w:tcPr>
            <w:tcW w:w="2464" w:type="dxa"/>
            <w:noWrap w:val="0"/>
            <w:vAlign w:val="top"/>
          </w:tcPr>
          <w:p>
            <w:pPr>
              <w:spacing w:line="460" w:lineRule="exact"/>
              <w:ind w:firstLine="330" w:firstLineChars="150"/>
              <w:rPr>
                <w:rFonts w:ascii="宋体" w:hAnsi="宋体" w:cs="Arial"/>
                <w:sz w:val="22"/>
              </w:rPr>
            </w:pPr>
          </w:p>
        </w:tc>
      </w:tr>
    </w:tbl>
    <w:p>
      <w:pPr>
        <w:spacing w:line="460" w:lineRule="exact"/>
        <w:rPr>
          <w:rFonts w:ascii="宋体" w:hAnsi="宋体" w:cs="Arial"/>
          <w:sz w:val="22"/>
        </w:rPr>
      </w:pPr>
      <w:r>
        <w:rPr>
          <w:rFonts w:hint="eastAsia" w:ascii="宋体" w:hAnsi="宋体" w:cs="Arial"/>
          <w:sz w:val="22"/>
        </w:rPr>
        <w:t>5.2 费用支付。</w:t>
      </w:r>
    </w:p>
    <w:p>
      <w:pPr>
        <w:adjustRightInd w:val="0"/>
        <w:snapToGrid w:val="0"/>
        <w:spacing w:line="360" w:lineRule="auto"/>
        <w:ind w:firstLine="440" w:firstLineChars="200"/>
        <w:rPr>
          <w:rFonts w:ascii="宋体" w:hAnsi="宋体"/>
          <w:sz w:val="22"/>
          <w:szCs w:val="22"/>
        </w:rPr>
      </w:pPr>
      <w:r>
        <w:rPr>
          <w:rFonts w:hint="eastAsia" w:ascii="宋体" w:hAnsi="宋体"/>
          <w:sz w:val="22"/>
          <w:szCs w:val="22"/>
        </w:rPr>
        <w:t>1、</w:t>
      </w:r>
      <w:r>
        <w:rPr>
          <w:rFonts w:hint="eastAsia" w:ascii="宋体" w:hAnsi="宋体" w:cs="宋体"/>
          <w:sz w:val="22"/>
          <w:szCs w:val="22"/>
        </w:rPr>
        <w:t>签订合同</w:t>
      </w:r>
      <w:r>
        <w:rPr>
          <w:rFonts w:hint="eastAsia" w:hAnsi="宋体" w:cs="宋体"/>
          <w:sz w:val="22"/>
          <w:szCs w:val="22"/>
        </w:rPr>
        <w:t>7</w:t>
      </w:r>
      <w:r>
        <w:rPr>
          <w:rFonts w:hint="eastAsia" w:ascii="宋体" w:hAnsi="宋体" w:cs="宋体"/>
          <w:sz w:val="22"/>
          <w:szCs w:val="22"/>
        </w:rPr>
        <w:t>个工作日内向中标供应商支付合同总价的40%预付款（具体以财政部门资金拨付情况而定）</w:t>
      </w:r>
      <w:r>
        <w:rPr>
          <w:rFonts w:hint="eastAsia" w:ascii="宋体" w:hAnsi="宋体"/>
          <w:sz w:val="22"/>
          <w:szCs w:val="22"/>
        </w:rPr>
        <w:t>；</w:t>
      </w:r>
    </w:p>
    <w:p>
      <w:pPr>
        <w:adjustRightInd w:val="0"/>
        <w:snapToGrid w:val="0"/>
        <w:spacing w:line="360" w:lineRule="auto"/>
        <w:ind w:firstLine="440" w:firstLineChars="200"/>
        <w:rPr>
          <w:rFonts w:ascii="宋体" w:hAnsi="宋体"/>
          <w:sz w:val="22"/>
          <w:szCs w:val="22"/>
        </w:rPr>
      </w:pPr>
      <w:r>
        <w:rPr>
          <w:rFonts w:hint="eastAsia" w:ascii="宋体" w:hAnsi="宋体"/>
          <w:sz w:val="22"/>
          <w:szCs w:val="22"/>
        </w:rPr>
        <w:t>2、所有项目经相关部门初步验收合格，自正式上线试运行之日起</w:t>
      </w:r>
      <w:r>
        <w:rPr>
          <w:rFonts w:ascii="宋体" w:hAnsi="宋体"/>
          <w:sz w:val="22"/>
          <w:szCs w:val="22"/>
        </w:rPr>
        <w:t>日内</w:t>
      </w:r>
      <w:r>
        <w:rPr>
          <w:rFonts w:hint="eastAsia" w:ascii="宋体" w:hAnsi="宋体"/>
          <w:sz w:val="22"/>
          <w:szCs w:val="22"/>
        </w:rPr>
        <w:t>，甲方向乙方支付至合同总额的90%；</w:t>
      </w:r>
    </w:p>
    <w:p>
      <w:pPr>
        <w:adjustRightInd w:val="0"/>
        <w:snapToGrid w:val="0"/>
        <w:spacing w:line="360" w:lineRule="auto"/>
        <w:ind w:firstLine="440" w:firstLineChars="200"/>
        <w:rPr>
          <w:rFonts w:ascii="宋体" w:hAnsi="宋体" w:cs="Arial"/>
          <w:b/>
          <w:sz w:val="22"/>
        </w:rPr>
      </w:pPr>
      <w:r>
        <w:rPr>
          <w:rFonts w:hint="eastAsia" w:ascii="宋体" w:hAnsi="宋体"/>
          <w:sz w:val="22"/>
          <w:szCs w:val="22"/>
        </w:rPr>
        <w:t>3、所有项目通过最终验收后日内，甲方向乙方无息支剩余合同总额的10%。</w:t>
      </w:r>
    </w:p>
    <w:p>
      <w:pPr>
        <w:pStyle w:val="24"/>
        <w:widowControl w:val="0"/>
        <w:overflowPunct/>
        <w:autoSpaceDE/>
        <w:autoSpaceDN/>
        <w:adjustRightInd/>
        <w:spacing w:before="10" w:after="10" w:line="360" w:lineRule="auto"/>
        <w:ind w:firstLine="660" w:firstLineChars="300"/>
        <w:textAlignment w:val="auto"/>
        <w:rPr>
          <w:rFonts w:hAnsi="宋体" w:cs="宋体"/>
          <w:kern w:val="2"/>
          <w:sz w:val="22"/>
          <w:szCs w:val="22"/>
        </w:rPr>
      </w:pPr>
      <w:r>
        <w:rPr>
          <w:rFonts w:hint="eastAsia" w:hAnsi="宋体" w:cs="宋体"/>
          <w:kern w:val="2"/>
          <w:sz w:val="22"/>
          <w:szCs w:val="22"/>
        </w:rPr>
        <w:t>注：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根据《浙江省财政厅关于进一步发挥政府采购政策功能全力推动经济稳进提质的通知》（浙财采监[2022]3号）的规定，双方协商决定付款比例，具体每笔款项支付视财政部门资金拨付情况而定。）</w:t>
      </w:r>
    </w:p>
    <w:p>
      <w:pPr>
        <w:spacing w:line="460" w:lineRule="exact"/>
        <w:rPr>
          <w:rFonts w:ascii="宋体" w:hAnsi="宋体" w:cs="Arial"/>
          <w:b/>
          <w:sz w:val="22"/>
        </w:rPr>
      </w:pPr>
      <w:r>
        <w:rPr>
          <w:rFonts w:hint="eastAsia" w:ascii="宋体" w:hAnsi="宋体" w:cs="Arial"/>
          <w:b/>
          <w:sz w:val="22"/>
        </w:rPr>
        <w:t>6. 相关服务</w:t>
      </w:r>
    </w:p>
    <w:p>
      <w:pPr>
        <w:spacing w:line="460" w:lineRule="exact"/>
        <w:ind w:left="755" w:leftChars="150" w:hanging="440" w:hangingChars="200"/>
        <w:rPr>
          <w:rFonts w:ascii="宋体" w:hAnsi="宋体" w:cs="Arial"/>
          <w:sz w:val="22"/>
        </w:rPr>
      </w:pPr>
      <w:r>
        <w:rPr>
          <w:rFonts w:hint="eastAsia" w:ascii="宋体" w:hAnsi="宋体" w:cs="Arial"/>
          <w:sz w:val="22"/>
        </w:rPr>
        <w:t>乙方为甲方提供如下免费服务：</w:t>
      </w:r>
    </w:p>
    <w:p>
      <w:pPr>
        <w:spacing w:line="460" w:lineRule="exact"/>
        <w:ind w:firstLine="330" w:firstLineChars="150"/>
        <w:rPr>
          <w:rFonts w:ascii="宋体" w:hAnsi="宋体" w:cs="Arial"/>
          <w:sz w:val="22"/>
        </w:rPr>
      </w:pPr>
      <w:r>
        <w:rPr>
          <w:rFonts w:hint="eastAsia" w:ascii="宋体" w:hAnsi="宋体" w:cs="Arial"/>
          <w:sz w:val="22"/>
        </w:rPr>
        <w:t>6.1乙方为甲方提供三年（3</w:t>
      </w:r>
      <w:r>
        <w:rPr>
          <w:rFonts w:ascii="宋体" w:hAnsi="宋体" w:cs="Arial"/>
          <w:sz w:val="22"/>
        </w:rPr>
        <w:t>6</w:t>
      </w:r>
      <w:r>
        <w:rPr>
          <w:rFonts w:hint="eastAsia" w:ascii="宋体" w:hAnsi="宋体" w:cs="Arial"/>
          <w:sz w:val="22"/>
        </w:rPr>
        <w:t>个月）的软件免费升级技术升级与支持服务。</w:t>
      </w:r>
    </w:p>
    <w:p>
      <w:pPr>
        <w:spacing w:line="460" w:lineRule="exact"/>
        <w:ind w:firstLine="330" w:firstLineChars="150"/>
        <w:rPr>
          <w:rFonts w:ascii="宋体" w:hAnsi="宋体" w:cs="Arial"/>
          <w:sz w:val="22"/>
        </w:rPr>
      </w:pPr>
      <w:r>
        <w:rPr>
          <w:rFonts w:hint="eastAsia" w:ascii="宋体" w:hAnsi="宋体" w:cs="Arial"/>
          <w:sz w:val="22"/>
        </w:rPr>
        <w:t xml:space="preserve">6.2上述许可软件的安装、调试及相关实施服务。 </w:t>
      </w:r>
    </w:p>
    <w:p>
      <w:pPr>
        <w:spacing w:line="460" w:lineRule="exact"/>
        <w:ind w:firstLine="330" w:firstLineChars="150"/>
        <w:rPr>
          <w:rFonts w:ascii="宋体" w:hAnsi="宋体" w:cs="Arial"/>
          <w:sz w:val="22"/>
        </w:rPr>
      </w:pPr>
      <w:r>
        <w:rPr>
          <w:rFonts w:hint="eastAsia" w:ascii="宋体" w:hAnsi="宋体" w:cs="Arial"/>
          <w:sz w:val="22"/>
        </w:rPr>
        <w:t>6.3三年的免费技术支持服务时间从企业推广完成经企业确认后起计算；</w:t>
      </w:r>
    </w:p>
    <w:p>
      <w:pPr>
        <w:spacing w:line="460" w:lineRule="exact"/>
        <w:ind w:firstLine="330" w:firstLineChars="150"/>
        <w:rPr>
          <w:rFonts w:ascii="宋体" w:hAnsi="宋体" w:cs="Arial"/>
          <w:sz w:val="22"/>
        </w:rPr>
      </w:pPr>
      <w:r>
        <w:rPr>
          <w:rFonts w:hint="eastAsia" w:ascii="宋体" w:hAnsi="宋体" w:cs="Arial"/>
          <w:sz w:val="22"/>
        </w:rPr>
        <w:t>6.4在产品的生命期内，提供免费电话技术，但因程序本身的问题，而导致功能与说明书上不符、或程序运行错误等，乙方需提供免费完善其功能或修正其错误的技术支持；</w:t>
      </w:r>
    </w:p>
    <w:p>
      <w:pPr>
        <w:spacing w:line="460" w:lineRule="exact"/>
        <w:ind w:firstLine="330" w:firstLineChars="150"/>
        <w:rPr>
          <w:rFonts w:ascii="宋体" w:hAnsi="宋体" w:cs="Arial"/>
          <w:sz w:val="22"/>
        </w:rPr>
      </w:pPr>
      <w:r>
        <w:rPr>
          <w:rFonts w:hint="eastAsia" w:ascii="宋体" w:hAnsi="宋体" w:cs="Arial"/>
          <w:sz w:val="22"/>
        </w:rPr>
        <w:t>6.5双方可就该软件系统三年免费维护期满后的维护与技术支持服务等内容另外签署服务合同。服务内容与合同规定的三年期免费服务标准内容一致。</w:t>
      </w:r>
    </w:p>
    <w:p>
      <w:pPr>
        <w:spacing w:line="460" w:lineRule="exact"/>
        <w:rPr>
          <w:rFonts w:ascii="宋体" w:hAnsi="宋体" w:cs="Arial"/>
          <w:sz w:val="22"/>
        </w:rPr>
      </w:pPr>
      <w:r>
        <w:rPr>
          <w:rFonts w:hint="eastAsia" w:ascii="宋体" w:hAnsi="宋体" w:cs="Arial"/>
          <w:b/>
          <w:sz w:val="22"/>
        </w:rPr>
        <w:t>7.产品保证</w:t>
      </w:r>
    </w:p>
    <w:p>
      <w:pPr>
        <w:spacing w:line="460" w:lineRule="exact"/>
        <w:ind w:left="567" w:leftChars="270"/>
        <w:rPr>
          <w:rFonts w:ascii="宋体" w:hAnsi="宋体" w:cs="Arial"/>
          <w:sz w:val="22"/>
        </w:rPr>
      </w:pPr>
      <w:r>
        <w:rPr>
          <w:rFonts w:hint="eastAsia" w:ascii="宋体" w:hAnsi="宋体" w:cs="Arial"/>
          <w:sz w:val="22"/>
        </w:rPr>
        <w:t>7.1乙方保证交付的软件均符合说明书或使用手册所述功能，并由软件验收测试的成功完成予以证明。验收测试的成功完成应被视为该许可软件能达到说明或使用手册所述功能的决定性证据。但本保证不适用于：</w:t>
      </w:r>
    </w:p>
    <w:p>
      <w:pPr>
        <w:spacing w:line="460" w:lineRule="exact"/>
        <w:ind w:left="753" w:leftChars="254" w:hanging="220" w:hangingChars="100"/>
        <w:rPr>
          <w:rFonts w:ascii="宋体" w:hAnsi="宋体" w:cs="Arial"/>
          <w:sz w:val="22"/>
        </w:rPr>
      </w:pPr>
      <w:r>
        <w:rPr>
          <w:rFonts w:hint="eastAsia" w:ascii="宋体" w:hAnsi="宋体" w:cs="Arial"/>
          <w:sz w:val="22"/>
        </w:rPr>
        <w:t>7.1.1乙方之外的任何人对该许可软件作任何方式的修改；</w:t>
      </w:r>
    </w:p>
    <w:p>
      <w:pPr>
        <w:spacing w:line="460" w:lineRule="exact"/>
        <w:ind w:left="753" w:leftChars="254" w:hanging="220" w:hangingChars="100"/>
        <w:rPr>
          <w:rFonts w:ascii="宋体" w:hAnsi="宋体" w:cs="Arial"/>
          <w:sz w:val="22"/>
        </w:rPr>
      </w:pPr>
      <w:r>
        <w:rPr>
          <w:rFonts w:hint="eastAsia" w:ascii="宋体" w:hAnsi="宋体" w:cs="Arial"/>
          <w:sz w:val="22"/>
        </w:rPr>
        <w:t>7.1.2甲方未按许可软件所附说明书或用户手册的规定使用软件；</w:t>
      </w:r>
    </w:p>
    <w:p>
      <w:pPr>
        <w:spacing w:line="460" w:lineRule="exact"/>
        <w:ind w:left="753" w:leftChars="254" w:hanging="220" w:hangingChars="100"/>
        <w:rPr>
          <w:rFonts w:ascii="宋体" w:hAnsi="宋体" w:cs="Arial"/>
          <w:sz w:val="22"/>
        </w:rPr>
      </w:pPr>
      <w:r>
        <w:rPr>
          <w:rFonts w:hint="eastAsia" w:ascii="宋体" w:hAnsi="宋体" w:cs="Arial"/>
          <w:sz w:val="22"/>
        </w:rPr>
        <w:t>7.1.3由于甲方原因或第三方产品的故障、网络故障等使软件无法正常运行。</w:t>
      </w:r>
    </w:p>
    <w:p>
      <w:pPr>
        <w:spacing w:line="460" w:lineRule="exact"/>
        <w:ind w:left="1121" w:leftChars="534"/>
        <w:rPr>
          <w:rFonts w:ascii="宋体" w:hAnsi="宋体" w:cs="Arial"/>
          <w:sz w:val="22"/>
        </w:rPr>
      </w:pPr>
      <w:r>
        <w:rPr>
          <w:rFonts w:hint="eastAsia" w:ascii="宋体" w:hAnsi="宋体" w:cs="Arial"/>
          <w:sz w:val="22"/>
        </w:rPr>
        <w:t>如果许可软件未能按照说明书或使用手册的功能运行，乙方应负责对许可软件进行修正或者在修正不能的情况下，免费为甲方更换符合规定的许可软件。如果上述二种方法均不可行，甲方有权终止许可软件不符合规定部分的使用许可，并由乙方返还甲方已经支付该部分的使用许可费。</w:t>
      </w:r>
    </w:p>
    <w:p>
      <w:pPr>
        <w:spacing w:line="460" w:lineRule="exact"/>
        <w:ind w:firstLine="440" w:firstLineChars="200"/>
        <w:rPr>
          <w:rFonts w:ascii="宋体" w:hAnsi="宋体" w:cs="Arial"/>
          <w:sz w:val="22"/>
        </w:rPr>
      </w:pPr>
      <w:r>
        <w:rPr>
          <w:rFonts w:hint="eastAsia" w:ascii="宋体" w:hAnsi="宋体" w:cs="Arial"/>
          <w:sz w:val="22"/>
        </w:rPr>
        <w:t>7.2从本项目软件系统终验合格，正式交付使用之日起一年内，许可软件的储存载体、加密附件出现非人为的物理损坏、乙方应根据甲方的书面要求给予免费修正更换，对人为损坏或遗失则需适当收费。</w:t>
      </w:r>
    </w:p>
    <w:p>
      <w:pPr>
        <w:tabs>
          <w:tab w:val="left" w:pos="1260"/>
        </w:tabs>
        <w:spacing w:line="460" w:lineRule="exact"/>
        <w:rPr>
          <w:rFonts w:ascii="宋体" w:hAnsi="宋体" w:cs="Arial"/>
          <w:b/>
          <w:sz w:val="22"/>
        </w:rPr>
      </w:pPr>
      <w:r>
        <w:rPr>
          <w:rFonts w:hint="eastAsia" w:ascii="宋体" w:hAnsi="宋体" w:cs="Arial"/>
          <w:b/>
          <w:sz w:val="22"/>
        </w:rPr>
        <w:t>8.产品验收</w:t>
      </w:r>
    </w:p>
    <w:p>
      <w:pPr>
        <w:spacing w:line="460" w:lineRule="exact"/>
        <w:ind w:firstLine="220" w:firstLineChars="100"/>
        <w:rPr>
          <w:rFonts w:ascii="宋体" w:hAnsi="宋体" w:cs="Arial"/>
          <w:sz w:val="22"/>
        </w:rPr>
      </w:pPr>
      <w:r>
        <w:rPr>
          <w:rFonts w:hint="eastAsia" w:ascii="宋体" w:hAnsi="宋体" w:cs="Arial"/>
          <w:sz w:val="22"/>
        </w:rPr>
        <w:t>8.1甲方对产品外部瑕疵的异议，应在收到该许可软件之日当面提出。</w:t>
      </w:r>
    </w:p>
    <w:p>
      <w:pPr>
        <w:spacing w:line="460" w:lineRule="exact"/>
        <w:ind w:left="658" w:leftChars="104" w:hanging="440" w:hangingChars="200"/>
        <w:rPr>
          <w:rFonts w:hint="eastAsia" w:ascii="宋体" w:hAnsi="宋体" w:cs="Arial"/>
          <w:sz w:val="22"/>
        </w:rPr>
      </w:pPr>
      <w:r>
        <w:rPr>
          <w:rFonts w:hint="eastAsia" w:ascii="宋体" w:hAnsi="宋体" w:cs="Arial"/>
          <w:sz w:val="22"/>
        </w:rPr>
        <w:t>8.2乙方在甲方指定场所完成许可软件的安装和调试工作（包括个性化改造及适应性修改部份），并与甲方一起按许可软件的说明书或使用手册规定的技术指标和参数对该软件进行验收测试，验收测试合格后，甲方和乙方代表共同在验收合格证明书上签字。</w:t>
      </w:r>
    </w:p>
    <w:p>
      <w:pPr>
        <w:spacing w:line="460" w:lineRule="exact"/>
        <w:ind w:left="658" w:leftChars="104" w:hanging="440" w:hangingChars="200"/>
        <w:rPr>
          <w:rFonts w:ascii="宋体" w:hAnsi="宋体" w:cs="Arial"/>
          <w:sz w:val="22"/>
        </w:rPr>
      </w:pPr>
      <w:r>
        <w:rPr>
          <w:rFonts w:hint="eastAsia" w:ascii="宋体" w:hAnsi="宋体" w:cs="Arial"/>
          <w:sz w:val="22"/>
        </w:rPr>
        <w:t>8.3验收后，乙方须提供本项目所开发软件的源代码和数据结构等文档资料交予甲方。</w:t>
      </w:r>
    </w:p>
    <w:p>
      <w:pPr>
        <w:spacing w:line="460" w:lineRule="exact"/>
        <w:rPr>
          <w:rFonts w:ascii="宋体" w:hAnsi="宋体" w:cs="Arial"/>
          <w:sz w:val="22"/>
        </w:rPr>
      </w:pPr>
      <w:r>
        <w:rPr>
          <w:rFonts w:hint="eastAsia" w:ascii="宋体" w:hAnsi="宋体" w:cs="Arial"/>
          <w:b/>
          <w:sz w:val="22"/>
        </w:rPr>
        <w:t>9.免责条款</w:t>
      </w:r>
    </w:p>
    <w:p>
      <w:pPr>
        <w:spacing w:line="460" w:lineRule="exact"/>
        <w:ind w:left="328" w:leftChars="156"/>
        <w:rPr>
          <w:rFonts w:ascii="宋体" w:hAnsi="宋体" w:cs="Arial"/>
          <w:sz w:val="22"/>
        </w:rPr>
      </w:pPr>
      <w:r>
        <w:rPr>
          <w:rFonts w:hint="eastAsia" w:ascii="宋体" w:hAnsi="宋体" w:cs="Arial"/>
          <w:sz w:val="22"/>
        </w:rPr>
        <w:t>乙方对甲方因许可软件遗失、被盗、被误用或被擅自修改、计算机设备故障、操作失误等情况造成的损失不负责任。</w:t>
      </w:r>
    </w:p>
    <w:p>
      <w:pPr>
        <w:tabs>
          <w:tab w:val="left" w:pos="1260"/>
        </w:tabs>
        <w:spacing w:line="460" w:lineRule="exact"/>
        <w:rPr>
          <w:rFonts w:ascii="宋体" w:hAnsi="宋体" w:cs="Arial"/>
          <w:b/>
          <w:sz w:val="22"/>
        </w:rPr>
      </w:pPr>
      <w:r>
        <w:rPr>
          <w:rFonts w:hint="eastAsia" w:ascii="宋体" w:hAnsi="宋体" w:cs="Arial"/>
          <w:b/>
          <w:sz w:val="22"/>
        </w:rPr>
        <w:t>10.软件著作权</w:t>
      </w:r>
    </w:p>
    <w:p>
      <w:pPr>
        <w:spacing w:line="460" w:lineRule="exact"/>
        <w:ind w:firstLine="330" w:firstLineChars="150"/>
        <w:rPr>
          <w:rFonts w:ascii="宋体" w:hAnsi="宋体" w:cs="Arial"/>
          <w:sz w:val="22"/>
        </w:rPr>
      </w:pPr>
      <w:r>
        <w:rPr>
          <w:rFonts w:hint="eastAsia" w:ascii="宋体" w:hAnsi="宋体" w:cs="Arial"/>
          <w:sz w:val="22"/>
        </w:rPr>
        <w:t>许可软件的著作权归</w:t>
      </w:r>
      <w:r>
        <w:rPr>
          <w:rFonts w:hint="eastAsia" w:ascii="宋体" w:hAnsi="宋体" w:cs="Arial"/>
          <w:sz w:val="22"/>
          <w:u w:val="single"/>
        </w:rPr>
        <w:t xml:space="preserve">         （甲</w:t>
      </w:r>
      <w:r>
        <w:rPr>
          <w:rFonts w:hint="eastAsia" w:ascii="宋体" w:hAnsi="宋体" w:cs="Arial"/>
          <w:sz w:val="22"/>
        </w:rPr>
        <w:t>乙方）共有。</w:t>
      </w:r>
    </w:p>
    <w:p>
      <w:pPr>
        <w:spacing w:line="460" w:lineRule="exact"/>
        <w:ind w:left="328" w:leftChars="156"/>
        <w:rPr>
          <w:rFonts w:ascii="宋体" w:hAnsi="宋体" w:cs="Arial"/>
          <w:sz w:val="22"/>
        </w:rPr>
      </w:pPr>
      <w:r>
        <w:rPr>
          <w:rFonts w:hint="eastAsia" w:ascii="宋体" w:hAnsi="宋体" w:cs="Arial"/>
          <w:sz w:val="22"/>
        </w:rPr>
        <w:t>乙方承诺：本合同规定的软件系统（包括个性化改造及适应性修改部份）是独立、可稳定运行的系统，不需要另外依靠第三方软件的支持；本软件如与甲方在用其它第三方软件冲突，由乙方负责解决；乙方已依法进行了计算机软件著作权登记，或已经通过由有关部门组织的验收，准予在甲方所处行业或部门推广应用；甲方在使用过程中，不会遭遇知识产权方面的阻碍。</w:t>
      </w:r>
    </w:p>
    <w:p>
      <w:pPr>
        <w:spacing w:line="460" w:lineRule="exact"/>
        <w:rPr>
          <w:rFonts w:ascii="宋体" w:hAnsi="宋体" w:cs="Arial"/>
          <w:b/>
          <w:sz w:val="22"/>
        </w:rPr>
      </w:pPr>
      <w:r>
        <w:rPr>
          <w:rFonts w:hint="eastAsia" w:ascii="宋体" w:hAnsi="宋体" w:cs="Arial"/>
          <w:b/>
          <w:sz w:val="22"/>
        </w:rPr>
        <w:t>11.保证金</w:t>
      </w:r>
    </w:p>
    <w:p>
      <w:pPr>
        <w:spacing w:line="460" w:lineRule="exact"/>
        <w:ind w:left="328" w:leftChars="156"/>
        <w:rPr>
          <w:rFonts w:ascii="宋体" w:hAnsi="宋体" w:cs="Arial"/>
          <w:sz w:val="22"/>
        </w:rPr>
      </w:pPr>
      <w:r>
        <w:rPr>
          <w:rFonts w:hint="eastAsia" w:ascii="宋体" w:hAnsi="宋体" w:cs="Arial"/>
          <w:sz w:val="22"/>
        </w:rPr>
        <w:t>乙方在合同签订后，向甲方递交本次合同金额1%的履约及免费技术支持保证金，从本项目软件系统终验合格，正式交付使用之日起三年内，软件系统运行正常，技术支持良好，无质量和服务问题，维护期满后7天内原额（无息）退还保证金。</w:t>
      </w:r>
    </w:p>
    <w:p>
      <w:pPr>
        <w:spacing w:line="460" w:lineRule="exact"/>
        <w:rPr>
          <w:rFonts w:ascii="宋体" w:hAnsi="宋体" w:cs="Arial"/>
          <w:sz w:val="22"/>
        </w:rPr>
      </w:pPr>
      <w:r>
        <w:rPr>
          <w:rFonts w:hint="eastAsia" w:ascii="宋体" w:hAnsi="宋体" w:cs="Arial"/>
          <w:b/>
          <w:sz w:val="22"/>
        </w:rPr>
        <w:t>12. 违约责任</w:t>
      </w:r>
    </w:p>
    <w:p>
      <w:pPr>
        <w:tabs>
          <w:tab w:val="left" w:pos="1080"/>
        </w:tabs>
        <w:spacing w:line="460" w:lineRule="exact"/>
        <w:ind w:left="439" w:leftChars="209"/>
        <w:rPr>
          <w:rFonts w:ascii="宋体" w:hAnsi="宋体" w:cs="Arial"/>
          <w:sz w:val="22"/>
        </w:rPr>
      </w:pPr>
      <w:r>
        <w:rPr>
          <w:rFonts w:hint="eastAsia" w:ascii="宋体" w:hAnsi="宋体" w:cs="Arial"/>
          <w:sz w:val="22"/>
        </w:rPr>
        <w:t>本合同签订生效即具有法律效力，双方必须严格遵守，如有一方违约，其必须承担违约责任并赔偿对方因此而遭受的全部损失。具体如下：</w:t>
      </w:r>
    </w:p>
    <w:p>
      <w:pPr>
        <w:tabs>
          <w:tab w:val="left" w:pos="900"/>
        </w:tabs>
        <w:spacing w:line="460" w:lineRule="exact"/>
        <w:ind w:left="826" w:leftChars="184" w:hanging="440" w:hangingChars="200"/>
        <w:rPr>
          <w:rFonts w:ascii="宋体" w:hAnsi="宋体" w:cs="Arial"/>
          <w:sz w:val="22"/>
        </w:rPr>
      </w:pPr>
      <w:r>
        <w:rPr>
          <w:rFonts w:hint="eastAsia" w:ascii="宋体" w:hAnsi="宋体" w:cs="Arial"/>
          <w:sz w:val="22"/>
        </w:rPr>
        <w:t>（1）乙方未按时交货（包括个性化改造），并在规定时间内完成安装、调试，或所提交的软件系统商品达不到合同规定的指标，乙方应当承担违约方式和违约金额如下：每超期10天，扣合同金额的</w:t>
      </w:r>
      <w:r>
        <w:rPr>
          <w:rFonts w:hint="eastAsia" w:ascii="宋体" w:hAnsi="宋体" w:cs="Arial"/>
          <w:b/>
          <w:sz w:val="22"/>
          <w:u w:val="single"/>
        </w:rPr>
        <w:t xml:space="preserve">0.5 </w:t>
      </w:r>
      <w:r>
        <w:rPr>
          <w:rFonts w:hint="eastAsia" w:ascii="宋体" w:hAnsi="宋体" w:cs="Arial"/>
          <w:b/>
          <w:sz w:val="22"/>
        </w:rPr>
        <w:t>%</w:t>
      </w:r>
      <w:r>
        <w:rPr>
          <w:rFonts w:hint="eastAsia" w:ascii="宋体" w:hAnsi="宋体" w:cs="Arial"/>
          <w:sz w:val="22"/>
        </w:rPr>
        <w:t>；累计超期30天，甲方有权终止执行合同，并没收履约保证金。</w:t>
      </w:r>
    </w:p>
    <w:p>
      <w:pPr>
        <w:tabs>
          <w:tab w:val="left" w:pos="1080"/>
        </w:tabs>
        <w:spacing w:line="460" w:lineRule="exact"/>
        <w:ind w:left="841" w:leftChars="191" w:hanging="440" w:hangingChars="200"/>
        <w:rPr>
          <w:rFonts w:ascii="宋体" w:hAnsi="宋体" w:cs="Arial"/>
          <w:sz w:val="22"/>
        </w:rPr>
      </w:pPr>
      <w:r>
        <w:rPr>
          <w:rFonts w:hint="eastAsia" w:ascii="宋体" w:hAnsi="宋体" w:cs="Arial"/>
          <w:sz w:val="22"/>
        </w:rPr>
        <w:t>（2）甲方逾期支付货款的，自逾期之日起，向乙方每日偿付合同总价</w:t>
      </w:r>
      <w:r>
        <w:rPr>
          <w:rFonts w:hint="eastAsia" w:ascii="宋体" w:hAnsi="宋体" w:cs="Arial"/>
          <w:b/>
          <w:sz w:val="22"/>
          <w:u w:val="single"/>
        </w:rPr>
        <w:t xml:space="preserve">0.5 </w:t>
      </w:r>
      <w:r>
        <w:rPr>
          <w:rFonts w:hint="eastAsia" w:ascii="宋体" w:hAnsi="宋体" w:cs="Arial"/>
          <w:b/>
          <w:sz w:val="22"/>
        </w:rPr>
        <w:t>%</w:t>
      </w:r>
      <w:r>
        <w:rPr>
          <w:rFonts w:hint="eastAsia" w:ascii="宋体" w:hAnsi="宋体" w:cs="Arial"/>
          <w:sz w:val="22"/>
        </w:rPr>
        <w:t>的违约金；</w:t>
      </w:r>
      <w:r>
        <w:rPr>
          <w:rFonts w:hint="eastAsia" w:ascii="宋体" w:hAnsi="宋体" w:cs="Arial"/>
          <w:sz w:val="22"/>
          <w:lang w:eastAsia="zh-CN"/>
        </w:rPr>
        <w:t>甲</w:t>
      </w:r>
      <w:r>
        <w:rPr>
          <w:rFonts w:hint="eastAsia" w:ascii="宋体" w:hAnsi="宋体" w:cs="Arial"/>
          <w:sz w:val="22"/>
        </w:rPr>
        <w:t>方无正当理由拒绝付货款的，应向乙</w:t>
      </w:r>
      <w:r>
        <w:rPr>
          <w:rFonts w:hint="eastAsia" w:ascii="宋体" w:hAnsi="宋体" w:cs="Arial"/>
          <w:sz w:val="22"/>
          <w:lang w:eastAsia="zh-CN"/>
        </w:rPr>
        <w:t>方</w:t>
      </w:r>
      <w:r>
        <w:rPr>
          <w:rFonts w:hint="eastAsia" w:ascii="宋体" w:hAnsi="宋体" w:cs="Arial"/>
          <w:sz w:val="22"/>
        </w:rPr>
        <w:t>偿付合同总价</w:t>
      </w:r>
      <w:r>
        <w:rPr>
          <w:rFonts w:hint="eastAsia" w:ascii="宋体" w:hAnsi="宋体" w:cs="Arial"/>
          <w:b/>
          <w:sz w:val="22"/>
          <w:u w:val="single"/>
        </w:rPr>
        <w:t xml:space="preserve"> 5 </w:t>
      </w:r>
      <w:r>
        <w:rPr>
          <w:rFonts w:hint="eastAsia" w:ascii="宋体" w:hAnsi="宋体" w:cs="Arial"/>
          <w:b/>
          <w:sz w:val="22"/>
        </w:rPr>
        <w:t>%</w:t>
      </w:r>
      <w:r>
        <w:rPr>
          <w:rFonts w:hint="eastAsia" w:ascii="宋体" w:hAnsi="宋体" w:cs="Arial"/>
          <w:sz w:val="22"/>
        </w:rPr>
        <w:t>的违约金。</w:t>
      </w:r>
    </w:p>
    <w:p>
      <w:pPr>
        <w:tabs>
          <w:tab w:val="left" w:pos="1080"/>
        </w:tabs>
        <w:spacing w:line="460" w:lineRule="exact"/>
        <w:rPr>
          <w:rFonts w:ascii="宋体" w:hAnsi="宋体" w:cs="Arial"/>
          <w:b/>
          <w:sz w:val="22"/>
        </w:rPr>
      </w:pPr>
      <w:r>
        <w:rPr>
          <w:rFonts w:hint="eastAsia" w:ascii="宋体" w:hAnsi="宋体" w:cs="Arial"/>
          <w:b/>
          <w:sz w:val="22"/>
        </w:rPr>
        <w:t>13.争议解决</w:t>
      </w:r>
    </w:p>
    <w:p>
      <w:pPr>
        <w:tabs>
          <w:tab w:val="left" w:pos="1080"/>
        </w:tabs>
        <w:spacing w:line="460" w:lineRule="exact"/>
        <w:ind w:left="328" w:leftChars="156"/>
        <w:rPr>
          <w:rFonts w:ascii="宋体" w:hAnsi="宋体" w:cs="Arial"/>
          <w:sz w:val="22"/>
        </w:rPr>
      </w:pPr>
      <w:r>
        <w:rPr>
          <w:rFonts w:hint="eastAsia" w:ascii="宋体" w:hAnsi="宋体" w:cs="Arial"/>
          <w:sz w:val="22"/>
        </w:rPr>
        <w:t>凡由本合同引起的或与解释或执行本合同有关的任何争议，双方应首先通过友好协商或调解解决。若协商或调解不成，双方约定：向甲方所在地的仲裁，仲裁应依据该委员会当时的仲裁规则进行；仲裁裁决是终局的，对双方都有约束力；仲裁费用应由败诉方承担，除非仲裁裁决另有裁定。</w:t>
      </w:r>
    </w:p>
    <w:p>
      <w:pPr>
        <w:spacing w:line="460" w:lineRule="exact"/>
        <w:rPr>
          <w:rFonts w:ascii="宋体" w:hAnsi="宋体" w:cs="Arial"/>
          <w:b/>
          <w:sz w:val="22"/>
        </w:rPr>
      </w:pPr>
      <w:r>
        <w:rPr>
          <w:rFonts w:hint="eastAsia" w:ascii="宋体" w:hAnsi="宋体" w:cs="Arial"/>
          <w:b/>
          <w:sz w:val="22"/>
        </w:rPr>
        <w:t>14．合同生效及其他</w:t>
      </w:r>
    </w:p>
    <w:p>
      <w:pPr>
        <w:tabs>
          <w:tab w:val="left" w:pos="900"/>
        </w:tabs>
        <w:spacing w:line="460" w:lineRule="exact"/>
        <w:ind w:firstLine="110" w:firstLineChars="50"/>
        <w:rPr>
          <w:rFonts w:ascii="宋体" w:hAnsi="宋体" w:cs="Arial"/>
          <w:sz w:val="22"/>
        </w:rPr>
      </w:pPr>
      <w:r>
        <w:rPr>
          <w:rFonts w:hint="eastAsia" w:ascii="宋体" w:hAnsi="宋体" w:cs="Arial"/>
          <w:sz w:val="22"/>
        </w:rPr>
        <w:t>14.1 合同应在双方签字盖章并在甲方收到乙方提供的履约保证金后开始生效。</w:t>
      </w:r>
    </w:p>
    <w:p>
      <w:pPr>
        <w:tabs>
          <w:tab w:val="left" w:pos="900"/>
        </w:tabs>
        <w:spacing w:line="460" w:lineRule="exact"/>
        <w:ind w:firstLine="110" w:firstLineChars="50"/>
        <w:rPr>
          <w:rFonts w:ascii="宋体" w:hAnsi="宋体" w:cs="Arial"/>
          <w:sz w:val="22"/>
        </w:rPr>
      </w:pPr>
      <w:r>
        <w:rPr>
          <w:rFonts w:hint="eastAsia" w:ascii="宋体" w:hAnsi="宋体" w:cs="Arial"/>
          <w:sz w:val="22"/>
        </w:rPr>
        <w:t>14.2 本合同一式柒份，双方各执叁份，采购代理机构执一份，具有同等法律效力。</w:t>
      </w:r>
    </w:p>
    <w:p>
      <w:pPr>
        <w:tabs>
          <w:tab w:val="left" w:pos="900"/>
        </w:tabs>
        <w:spacing w:line="460" w:lineRule="exact"/>
        <w:ind w:firstLine="110" w:firstLineChars="50"/>
        <w:rPr>
          <w:rFonts w:ascii="宋体" w:hAnsi="宋体" w:cs="Arial"/>
          <w:sz w:val="22"/>
        </w:rPr>
      </w:pPr>
      <w:r>
        <w:rPr>
          <w:rFonts w:hint="eastAsia" w:ascii="宋体" w:hAnsi="宋体" w:cs="Arial"/>
          <w:sz w:val="22"/>
        </w:rPr>
        <w:t>14.3下列文件构成本合同的组成部分：</w:t>
      </w:r>
    </w:p>
    <w:p>
      <w:pPr>
        <w:spacing w:line="440" w:lineRule="exact"/>
        <w:ind w:firstLine="440" w:firstLineChars="200"/>
        <w:rPr>
          <w:rFonts w:ascii="宋体" w:hAnsi="宋体"/>
          <w:sz w:val="22"/>
        </w:rPr>
      </w:pPr>
      <w:r>
        <w:rPr>
          <w:rFonts w:hint="eastAsia" w:ascii="宋体" w:hAnsi="宋体"/>
          <w:sz w:val="22"/>
        </w:rPr>
        <w:t xml:space="preserve">  （1）合同主要条款                （2）合同的特殊条款</w:t>
      </w:r>
    </w:p>
    <w:p>
      <w:pPr>
        <w:spacing w:line="440" w:lineRule="exact"/>
        <w:ind w:firstLine="440" w:firstLineChars="200"/>
        <w:rPr>
          <w:rFonts w:ascii="宋体" w:hAnsi="宋体"/>
          <w:sz w:val="22"/>
        </w:rPr>
      </w:pPr>
      <w:r>
        <w:rPr>
          <w:rFonts w:hint="eastAsia" w:ascii="宋体" w:hAnsi="宋体"/>
          <w:sz w:val="22"/>
        </w:rPr>
        <w:t xml:space="preserve">  （3）售后服务条款                （4）中标通知书</w:t>
      </w:r>
    </w:p>
    <w:p>
      <w:pPr>
        <w:spacing w:line="440" w:lineRule="exact"/>
        <w:ind w:firstLine="440" w:firstLineChars="200"/>
        <w:rPr>
          <w:rFonts w:ascii="宋体" w:hAnsi="宋体"/>
          <w:sz w:val="22"/>
        </w:rPr>
      </w:pPr>
      <w:r>
        <w:rPr>
          <w:rFonts w:hint="eastAsia" w:ascii="宋体" w:hAnsi="宋体"/>
          <w:sz w:val="22"/>
        </w:rPr>
        <w:t xml:space="preserve">   (5) 投标分项报价表               (6) 技术规格、商务条款偏离表</w:t>
      </w:r>
    </w:p>
    <w:p>
      <w:pPr>
        <w:spacing w:line="440" w:lineRule="exact"/>
        <w:ind w:firstLine="440" w:firstLineChars="200"/>
        <w:rPr>
          <w:rFonts w:ascii="宋体" w:hAnsi="宋体"/>
          <w:sz w:val="22"/>
        </w:rPr>
      </w:pPr>
      <w:r>
        <w:rPr>
          <w:rFonts w:hint="eastAsia" w:ascii="宋体" w:hAnsi="宋体"/>
          <w:sz w:val="22"/>
        </w:rPr>
        <w:t xml:space="preserve">   (7) 招标内容及要求              （8）合同补充条款或说明（如有的话）</w:t>
      </w:r>
    </w:p>
    <w:p>
      <w:pPr>
        <w:spacing w:line="440" w:lineRule="exact"/>
        <w:ind w:firstLine="440" w:firstLineChars="200"/>
        <w:rPr>
          <w:rFonts w:ascii="宋体" w:hAnsi="宋体"/>
          <w:sz w:val="22"/>
        </w:rPr>
      </w:pPr>
      <w:r>
        <w:rPr>
          <w:rFonts w:hint="eastAsia" w:ascii="宋体" w:hAnsi="宋体"/>
          <w:sz w:val="22"/>
        </w:rPr>
        <w:t xml:space="preserve">   (9)履约保证金                    (10) 承诺书      （含询标记录和优惠条件）</w:t>
      </w:r>
    </w:p>
    <w:p>
      <w:pPr>
        <w:tabs>
          <w:tab w:val="left" w:pos="900"/>
        </w:tabs>
        <w:spacing w:line="460" w:lineRule="exact"/>
        <w:ind w:firstLine="110" w:firstLineChars="50"/>
        <w:rPr>
          <w:rFonts w:ascii="宋体" w:hAnsi="宋体" w:cs="Arial"/>
          <w:sz w:val="22"/>
        </w:rPr>
      </w:pPr>
      <w:r>
        <w:rPr>
          <w:rFonts w:hint="eastAsia" w:ascii="宋体" w:hAnsi="宋体" w:cs="Arial"/>
          <w:sz w:val="22"/>
        </w:rPr>
        <w:t>14.4如需修改或补充合同内容，经协商，双方应签署书面修改或补充协议，该协议将作为本合同的一个组成部分。</w:t>
      </w:r>
    </w:p>
    <w:p>
      <w:pPr>
        <w:widowControl/>
        <w:autoSpaceDE w:val="0"/>
        <w:autoSpaceDN w:val="0"/>
        <w:spacing w:line="400" w:lineRule="exact"/>
        <w:ind w:right="442" w:firstLine="420"/>
        <w:textAlignment w:val="bottom"/>
        <w:rPr>
          <w:rFonts w:ascii="宋体" w:hAnsi="宋体" w:cs="宋体"/>
          <w:sz w:val="22"/>
        </w:rPr>
      </w:pPr>
    </w:p>
    <w:p>
      <w:pPr>
        <w:spacing w:line="500" w:lineRule="exact"/>
        <w:ind w:firstLine="880" w:firstLineChars="400"/>
        <w:rPr>
          <w:rFonts w:ascii="宋体" w:hAnsi="宋体" w:cs="宋体"/>
          <w:sz w:val="22"/>
          <w:szCs w:val="22"/>
        </w:rPr>
      </w:pPr>
    </w:p>
    <w:p>
      <w:pPr>
        <w:spacing w:line="360" w:lineRule="auto"/>
        <w:ind w:firstLine="1215" w:firstLineChars="550"/>
        <w:rPr>
          <w:rFonts w:ascii="宋体" w:hAnsi="宋体" w:cs="宋体"/>
          <w:b/>
          <w:sz w:val="22"/>
          <w:szCs w:val="22"/>
        </w:rPr>
      </w:pPr>
    </w:p>
    <w:p>
      <w:pPr>
        <w:spacing w:line="420" w:lineRule="exact"/>
        <w:ind w:firstLine="1155" w:firstLineChars="550"/>
        <w:rPr>
          <w:rFonts w:ascii="宋体" w:hAnsi="宋体" w:cs="宋体"/>
        </w:rPr>
      </w:pPr>
      <w:r>
        <w:rPr>
          <w:rFonts w:hint="eastAsia" w:ascii="宋体" w:hAnsi="宋体" w:cs="宋体"/>
        </w:rPr>
        <w:t>甲方：（印章）                        乙方：（印章）</w:t>
      </w:r>
    </w:p>
    <w:p>
      <w:pPr>
        <w:spacing w:line="420" w:lineRule="exact"/>
        <w:ind w:firstLine="1155" w:firstLineChars="550"/>
        <w:rPr>
          <w:rFonts w:ascii="宋体" w:hAnsi="宋体" w:cs="宋体"/>
        </w:rPr>
      </w:pPr>
      <w:r>
        <w:rPr>
          <w:rFonts w:hint="eastAsia" w:ascii="宋体" w:hAnsi="宋体" w:cs="宋体"/>
        </w:rPr>
        <w:t>全权代表:（签字）                    全权代表:（签字）</w:t>
      </w:r>
    </w:p>
    <w:p>
      <w:pPr>
        <w:spacing w:line="420" w:lineRule="exact"/>
        <w:ind w:firstLine="1155" w:firstLineChars="550"/>
        <w:rPr>
          <w:rFonts w:ascii="宋体" w:hAnsi="宋体" w:cs="宋体"/>
        </w:rPr>
      </w:pPr>
      <w:r>
        <w:rPr>
          <w:rFonts w:hint="eastAsia" w:ascii="宋体" w:hAnsi="宋体" w:cs="宋体"/>
        </w:rPr>
        <w:t>地址：                               地址：</w:t>
      </w:r>
    </w:p>
    <w:p>
      <w:pPr>
        <w:spacing w:line="420" w:lineRule="exact"/>
        <w:ind w:firstLine="1155" w:firstLineChars="550"/>
        <w:rPr>
          <w:rFonts w:ascii="宋体" w:hAnsi="宋体" w:cs="宋体"/>
        </w:rPr>
      </w:pPr>
      <w:r>
        <w:rPr>
          <w:rFonts w:hint="eastAsia" w:ascii="宋体" w:hAnsi="宋体" w:cs="宋体"/>
        </w:rPr>
        <w:t>邮政编码：                           邮政编码：</w:t>
      </w:r>
    </w:p>
    <w:p>
      <w:pPr>
        <w:spacing w:line="420" w:lineRule="exact"/>
        <w:ind w:firstLine="1155" w:firstLineChars="550"/>
        <w:rPr>
          <w:rFonts w:ascii="宋体" w:hAnsi="宋体" w:cs="宋体"/>
        </w:rPr>
      </w:pPr>
      <w:r>
        <w:rPr>
          <w:rFonts w:hint="eastAsia" w:ascii="宋体" w:hAnsi="宋体" w:cs="宋体"/>
        </w:rPr>
        <w:t>电话：                               电话：</w:t>
      </w:r>
    </w:p>
    <w:p>
      <w:pPr>
        <w:spacing w:line="420" w:lineRule="exact"/>
        <w:ind w:firstLine="1155" w:firstLineChars="550"/>
        <w:rPr>
          <w:rFonts w:ascii="宋体" w:hAnsi="宋体" w:cs="宋体"/>
        </w:rPr>
      </w:pPr>
      <w:r>
        <w:rPr>
          <w:rFonts w:hint="eastAsia" w:ascii="宋体" w:hAnsi="宋体" w:cs="宋体"/>
        </w:rPr>
        <w:t>传真：                               传真：</w:t>
      </w:r>
    </w:p>
    <w:p>
      <w:pPr>
        <w:spacing w:line="420" w:lineRule="exact"/>
        <w:ind w:firstLine="1155" w:firstLineChars="550"/>
        <w:rPr>
          <w:rFonts w:ascii="宋体" w:hAnsi="宋体" w:cs="宋体"/>
        </w:rPr>
      </w:pPr>
      <w:r>
        <w:rPr>
          <w:rFonts w:hint="eastAsia" w:ascii="宋体" w:hAnsi="宋体" w:cs="宋体"/>
        </w:rPr>
        <w:t>开户银行：                           开户银行：</w:t>
      </w:r>
    </w:p>
    <w:p>
      <w:pPr>
        <w:autoSpaceDE w:val="0"/>
        <w:autoSpaceDN w:val="0"/>
        <w:adjustRightInd w:val="0"/>
        <w:spacing w:line="360" w:lineRule="auto"/>
        <w:ind w:firstLine="1155" w:firstLineChars="550"/>
        <w:rPr>
          <w:rFonts w:ascii="宋体" w:hAnsi="宋体" w:cs="宋体"/>
        </w:rPr>
      </w:pPr>
      <w:r>
        <w:rPr>
          <w:rFonts w:hint="eastAsia" w:ascii="宋体" w:hAnsi="宋体" w:cs="宋体"/>
        </w:rPr>
        <w:t>帐号：                               帐号：</w:t>
      </w:r>
    </w:p>
    <w:p>
      <w:pPr>
        <w:snapToGrid w:val="0"/>
        <w:spacing w:line="360" w:lineRule="auto"/>
        <w:ind w:left="660" w:hanging="660" w:hangingChars="300"/>
        <w:rPr>
          <w:rFonts w:ascii="宋体" w:cs="Arial"/>
          <w:sz w:val="22"/>
          <w:szCs w:val="22"/>
        </w:rPr>
      </w:pPr>
    </w:p>
    <w:p>
      <w:pPr>
        <w:snapToGrid w:val="0"/>
        <w:spacing w:line="360" w:lineRule="auto"/>
        <w:ind w:left="663" w:hanging="663" w:hangingChars="300"/>
        <w:rPr>
          <w:rFonts w:ascii="宋体" w:cs="Arial"/>
          <w:b/>
          <w:sz w:val="22"/>
          <w:szCs w:val="22"/>
        </w:rPr>
      </w:pPr>
    </w:p>
    <w:p>
      <w:pPr>
        <w:pStyle w:val="24"/>
        <w:snapToGrid w:val="0"/>
        <w:spacing w:line="360" w:lineRule="auto"/>
        <w:ind w:firstLine="420"/>
        <w:rPr>
          <w:rFonts w:hAnsi="宋体" w:cs="新宋体"/>
          <w:b/>
          <w:sz w:val="22"/>
          <w:szCs w:val="22"/>
        </w:rPr>
      </w:pPr>
    </w:p>
    <w:p>
      <w:pPr>
        <w:spacing w:line="360" w:lineRule="auto"/>
        <w:ind w:left="688" w:leftChars="275" w:hanging="110" w:hangingChars="50"/>
        <w:rPr>
          <w:rFonts w:ascii="宋体" w:hAnsi="宋体" w:cs="新宋体"/>
          <w:sz w:val="22"/>
          <w:szCs w:val="22"/>
        </w:rPr>
      </w:pPr>
      <w:r>
        <w:rPr>
          <w:rFonts w:hint="eastAsia" w:ascii="宋体" w:hAnsi="宋体" w:cs="新宋体"/>
          <w:sz w:val="22"/>
          <w:szCs w:val="22"/>
        </w:rPr>
        <w:t xml:space="preserve">_________年____月____日         </w:t>
      </w:r>
      <w:r>
        <w:rPr>
          <w:rFonts w:hint="eastAsia" w:ascii="宋体" w:hAnsi="宋体" w:cs="新宋体"/>
          <w:sz w:val="22"/>
          <w:szCs w:val="22"/>
        </w:rPr>
        <w:tab/>
      </w:r>
      <w:r>
        <w:rPr>
          <w:rFonts w:hint="eastAsia" w:ascii="宋体" w:hAnsi="宋体" w:cs="新宋体"/>
          <w:sz w:val="22"/>
          <w:szCs w:val="22"/>
        </w:rPr>
        <w:t xml:space="preserve">         _______年____月____日</w:t>
      </w:r>
    </w:p>
    <w:p>
      <w:pPr>
        <w:widowControl/>
        <w:jc w:val="left"/>
        <w:rPr>
          <w:rFonts w:ascii="宋体" w:hAnsi="宋体"/>
        </w:rPr>
        <w:sectPr>
          <w:pgSz w:w="11906" w:h="16838"/>
          <w:pgMar w:top="1134" w:right="1134" w:bottom="1134" w:left="1134" w:header="851" w:footer="850" w:gutter="0"/>
          <w:cols w:space="720" w:num="1"/>
          <w:titlePg/>
          <w:docGrid w:type="lines" w:linePitch="312" w:charSpace="0"/>
        </w:sectPr>
      </w:pPr>
    </w:p>
    <w:p>
      <w:pPr>
        <w:pStyle w:val="39"/>
        <w:rPr>
          <w:rFonts w:ascii="宋体" w:hAnsi="宋体" w:cs="新宋体"/>
          <w:sz w:val="30"/>
          <w:szCs w:val="30"/>
        </w:rPr>
      </w:pPr>
      <w:bookmarkStart w:id="87" w:name="_Toc496116263"/>
      <w:bookmarkStart w:id="88" w:name="_Toc498343172"/>
      <w:bookmarkStart w:id="89" w:name="_Toc97033063"/>
      <w:bookmarkStart w:id="90" w:name="_Toc293038721"/>
      <w:r>
        <w:rPr>
          <w:rFonts w:hint="eastAsia" w:ascii="宋体" w:hAnsi="宋体" w:cs="新宋体"/>
          <w:sz w:val="30"/>
          <w:szCs w:val="30"/>
        </w:rPr>
        <w:t>第六部分 投标文件格式</w:t>
      </w:r>
      <w:bookmarkEnd w:id="87"/>
      <w:bookmarkEnd w:id="88"/>
      <w:bookmarkEnd w:id="89"/>
    </w:p>
    <w:bookmarkEnd w:id="90"/>
    <w:p>
      <w:pPr>
        <w:widowControl/>
        <w:spacing w:line="460" w:lineRule="atLeast"/>
        <w:jc w:val="center"/>
        <w:rPr>
          <w:rFonts w:ascii="宋体" w:hAnsi="宋体"/>
          <w:b/>
          <w:bCs/>
          <w:sz w:val="32"/>
          <w:szCs w:val="32"/>
        </w:rPr>
      </w:pPr>
      <w:bookmarkStart w:id="91" w:name="_Toc161563051"/>
      <w:bookmarkStart w:id="92" w:name="_Toc498343176"/>
      <w:bookmarkStart w:id="93" w:name="_Toc496116282"/>
      <w:bookmarkStart w:id="94" w:name="_Toc293038733"/>
    </w:p>
    <w:p>
      <w:pPr>
        <w:pStyle w:val="39"/>
        <w:rPr>
          <w:rFonts w:ascii="宋体" w:hAnsi="宋体"/>
        </w:rPr>
      </w:pPr>
      <w:bookmarkStart w:id="95" w:name="_Toc42678689"/>
      <w:bookmarkStart w:id="96" w:name="_Toc97033064"/>
      <w:bookmarkStart w:id="97" w:name="_Toc96970922"/>
      <w:bookmarkStart w:id="98" w:name="_Toc65590090"/>
      <w:bookmarkStart w:id="99" w:name="_Toc65830018"/>
      <w:r>
        <w:rPr>
          <w:rFonts w:hint="eastAsia" w:ascii="宋体" w:hAnsi="宋体"/>
        </w:rPr>
        <w:t>一、资格文件部分格式</w:t>
      </w:r>
      <w:bookmarkEnd w:id="95"/>
      <w:bookmarkEnd w:id="96"/>
      <w:bookmarkEnd w:id="97"/>
      <w:bookmarkEnd w:id="98"/>
      <w:bookmarkEnd w:id="99"/>
    </w:p>
    <w:p>
      <w:pPr>
        <w:widowControl/>
        <w:spacing w:line="460" w:lineRule="atLeast"/>
        <w:jc w:val="left"/>
        <w:rPr>
          <w:rFonts w:ascii="宋体" w:hAnsi="宋体"/>
          <w:b/>
          <w:bCs/>
          <w:sz w:val="22"/>
          <w:szCs w:val="22"/>
        </w:rPr>
      </w:pPr>
      <w:r>
        <w:rPr>
          <w:rFonts w:hint="eastAsia" w:ascii="宋体" w:hAnsi="宋体"/>
          <w:b/>
          <w:sz w:val="22"/>
          <w:szCs w:val="22"/>
        </w:rPr>
        <w:t>附件一</w:t>
      </w:r>
    </w:p>
    <w:p>
      <w:pPr>
        <w:pStyle w:val="39"/>
        <w:rPr>
          <w:rFonts w:ascii="宋体" w:hAnsi="宋体"/>
          <w:lang w:val="zh-CN"/>
        </w:rPr>
      </w:pPr>
      <w:bookmarkStart w:id="100" w:name="_Toc61444210"/>
      <w:bookmarkStart w:id="101" w:name="_Toc97033065"/>
      <w:bookmarkStart w:id="102" w:name="_Toc15574"/>
      <w:bookmarkStart w:id="103" w:name="_Toc96970923"/>
      <w:bookmarkStart w:id="104" w:name="_Toc42678024"/>
      <w:bookmarkStart w:id="105" w:name="_Toc68188786"/>
      <w:bookmarkStart w:id="106" w:name="_Toc87518411"/>
      <w:bookmarkStart w:id="107" w:name="_Toc65830019"/>
      <w:bookmarkStart w:id="108" w:name="_Toc42678690"/>
      <w:bookmarkStart w:id="109" w:name="_Toc68189100"/>
      <w:bookmarkStart w:id="110" w:name="_Toc68187550"/>
      <w:bookmarkStart w:id="111" w:name="_Toc65590091"/>
      <w:bookmarkStart w:id="112" w:name="_Toc87518588"/>
      <w:bookmarkStart w:id="113" w:name="_Toc42243282"/>
      <w:bookmarkStart w:id="114" w:name="_Toc42678179"/>
      <w:bookmarkStart w:id="115" w:name="_Toc735"/>
      <w:r>
        <w:rPr>
          <w:rFonts w:hint="eastAsia" w:ascii="宋体" w:hAnsi="宋体"/>
          <w:lang w:val="zh-CN"/>
        </w:rPr>
        <w:t>具有履行合同所必需的设备和专业技术能力的承诺函</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spacing w:line="460" w:lineRule="exact"/>
        <w:rPr>
          <w:rFonts w:ascii="宋体" w:hAnsi="宋体" w:cs="黑体"/>
          <w:b/>
          <w:sz w:val="22"/>
          <w:szCs w:val="22"/>
          <w:u w:val="single"/>
        </w:rPr>
      </w:pPr>
    </w:p>
    <w:p>
      <w:pPr>
        <w:spacing w:line="460" w:lineRule="exact"/>
        <w:rPr>
          <w:rFonts w:ascii="宋体" w:hAnsi="宋体" w:cs="黑体"/>
          <w:b/>
          <w:sz w:val="22"/>
          <w:szCs w:val="22"/>
          <w:u w:val="single"/>
        </w:rPr>
      </w:pPr>
      <w:r>
        <w:rPr>
          <w:rFonts w:hint="eastAsia" w:ascii="宋体" w:hAnsi="宋体" w:cs="黑体"/>
          <w:b/>
          <w:sz w:val="22"/>
          <w:szCs w:val="22"/>
          <w:u w:val="single"/>
        </w:rPr>
        <w:t>永嘉县公安局：</w:t>
      </w:r>
    </w:p>
    <w:p>
      <w:pPr>
        <w:spacing w:line="460" w:lineRule="exact"/>
        <w:rPr>
          <w:rFonts w:ascii="宋体" w:hAnsi="宋体" w:cs="黑体"/>
          <w:b/>
          <w:sz w:val="22"/>
          <w:szCs w:val="22"/>
          <w:u w:val="single"/>
        </w:rPr>
      </w:pPr>
      <w:r>
        <w:rPr>
          <w:rFonts w:hint="eastAsia" w:ascii="宋体" w:hAnsi="宋体" w:cs="黑体"/>
          <w:b/>
          <w:sz w:val="22"/>
          <w:szCs w:val="22"/>
          <w:u w:val="single"/>
        </w:rPr>
        <w:t>温州市中概工程管理咨询有限公司：</w:t>
      </w:r>
    </w:p>
    <w:p>
      <w:pPr>
        <w:widowControl/>
        <w:snapToGrid w:val="0"/>
        <w:spacing w:line="460" w:lineRule="exact"/>
        <w:ind w:firstLine="442" w:firstLineChars="200"/>
        <w:jc w:val="left"/>
        <w:rPr>
          <w:rFonts w:ascii="宋体" w:hAnsi="宋体" w:cs="Courier New"/>
          <w:b/>
          <w:sz w:val="22"/>
          <w:szCs w:val="22"/>
        </w:rPr>
      </w:pPr>
    </w:p>
    <w:p>
      <w:pPr>
        <w:widowControl/>
        <w:snapToGrid w:val="0"/>
        <w:spacing w:line="460" w:lineRule="exact"/>
        <w:ind w:firstLine="440" w:firstLineChars="200"/>
        <w:jc w:val="left"/>
        <w:rPr>
          <w:rFonts w:hint="eastAsia" w:ascii="宋体"/>
          <w:sz w:val="22"/>
          <w:szCs w:val="22"/>
        </w:rPr>
      </w:pPr>
      <w:r>
        <w:rPr>
          <w:rFonts w:hint="eastAsia" w:ascii="宋体"/>
          <w:sz w:val="22"/>
          <w:szCs w:val="22"/>
        </w:rPr>
        <w:t>我公司郑重声明:</w:t>
      </w:r>
    </w:p>
    <w:p>
      <w:pPr>
        <w:widowControl/>
        <w:snapToGrid w:val="0"/>
        <w:spacing w:line="460" w:lineRule="exact"/>
        <w:ind w:firstLine="440" w:firstLineChars="200"/>
        <w:jc w:val="left"/>
        <w:rPr>
          <w:rFonts w:hint="eastAsia" w:ascii="宋体"/>
          <w:sz w:val="22"/>
          <w:szCs w:val="22"/>
        </w:rPr>
      </w:pPr>
      <w:r>
        <w:rPr>
          <w:rFonts w:hint="eastAsia" w:ascii="宋体"/>
          <w:sz w:val="22"/>
          <w:szCs w:val="22"/>
        </w:rPr>
        <w:t>1、具有良好的商业信誉和健全的财务会计制度；</w:t>
      </w:r>
    </w:p>
    <w:p>
      <w:pPr>
        <w:widowControl/>
        <w:snapToGrid w:val="0"/>
        <w:spacing w:line="460" w:lineRule="exact"/>
        <w:ind w:firstLine="440" w:firstLineChars="200"/>
        <w:jc w:val="left"/>
        <w:rPr>
          <w:rFonts w:ascii="宋体"/>
          <w:sz w:val="22"/>
          <w:szCs w:val="22"/>
        </w:rPr>
      </w:pPr>
      <w:r>
        <w:rPr>
          <w:rFonts w:hint="eastAsia" w:ascii="宋体"/>
          <w:sz w:val="22"/>
          <w:szCs w:val="22"/>
        </w:rPr>
        <w:t>2、承诺具有履行合同所必需的设备和专业技术能力。如有虚假，采购人可取消我方任何资格（投标/中标/签订合同），我方对此无任何异议。</w:t>
      </w:r>
    </w:p>
    <w:p>
      <w:pPr>
        <w:widowControl/>
        <w:snapToGrid w:val="0"/>
        <w:spacing w:line="460" w:lineRule="exact"/>
        <w:ind w:firstLine="440" w:firstLineChars="200"/>
        <w:jc w:val="left"/>
        <w:rPr>
          <w:rFonts w:hint="eastAsia" w:ascii="宋体"/>
          <w:sz w:val="22"/>
          <w:szCs w:val="22"/>
        </w:rPr>
      </w:pPr>
      <w:r>
        <w:rPr>
          <w:rFonts w:hint="eastAsia" w:ascii="宋体"/>
          <w:sz w:val="22"/>
          <w:szCs w:val="22"/>
        </w:rPr>
        <w:t>3、严格依法缴纳税收和社会保障资金，本文件中所提供的相关材料均真实有效，不存在虚假、造假行为。如有违反，愿承担一切责任。</w:t>
      </w:r>
    </w:p>
    <w:p>
      <w:pPr>
        <w:widowControl/>
        <w:snapToGrid w:val="0"/>
        <w:spacing w:line="460" w:lineRule="exact"/>
        <w:ind w:firstLine="440" w:firstLineChars="200"/>
        <w:jc w:val="left"/>
        <w:rPr>
          <w:rFonts w:hint="eastAsia"/>
        </w:rPr>
      </w:pPr>
      <w:r>
        <w:rPr>
          <w:rFonts w:hint="eastAsia" w:ascii="宋体"/>
          <w:sz w:val="22"/>
          <w:szCs w:val="22"/>
        </w:rPr>
        <w:t>4、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0" w:firstLineChars="200"/>
        <w:jc w:val="left"/>
        <w:rPr>
          <w:rFonts w:hint="eastAsia" w:ascii="宋体"/>
          <w:sz w:val="22"/>
          <w:szCs w:val="22"/>
        </w:rPr>
      </w:pPr>
    </w:p>
    <w:p>
      <w:pPr>
        <w:widowControl/>
        <w:snapToGrid w:val="0"/>
        <w:spacing w:line="460" w:lineRule="exact"/>
        <w:ind w:firstLine="440" w:firstLineChars="200"/>
        <w:jc w:val="left"/>
        <w:rPr>
          <w:rFonts w:ascii="宋体"/>
          <w:sz w:val="22"/>
          <w:szCs w:val="22"/>
        </w:rPr>
      </w:pPr>
      <w:r>
        <w:rPr>
          <w:rFonts w:hint="eastAsia" w:ascii="宋体"/>
          <w:sz w:val="22"/>
          <w:szCs w:val="22"/>
        </w:rPr>
        <w:t>特此承诺！</w:t>
      </w:r>
    </w:p>
    <w:p>
      <w:pPr>
        <w:widowControl/>
        <w:snapToGrid w:val="0"/>
        <w:spacing w:line="460" w:lineRule="exact"/>
        <w:ind w:firstLine="440" w:firstLineChars="200"/>
        <w:jc w:val="left"/>
        <w:rPr>
          <w:rFonts w:ascii="宋体"/>
          <w:sz w:val="22"/>
          <w:szCs w:val="22"/>
        </w:rPr>
      </w:pPr>
    </w:p>
    <w:p>
      <w:pPr>
        <w:widowControl/>
        <w:snapToGrid w:val="0"/>
        <w:spacing w:line="460" w:lineRule="exact"/>
        <w:ind w:firstLine="440" w:firstLineChars="200"/>
        <w:jc w:val="left"/>
        <w:rPr>
          <w:rFonts w:ascii="宋体"/>
          <w:sz w:val="22"/>
          <w:szCs w:val="22"/>
        </w:rPr>
      </w:pPr>
      <w:r>
        <w:rPr>
          <w:rFonts w:hint="eastAsia" w:ascii="宋体"/>
          <w:sz w:val="22"/>
          <w:szCs w:val="22"/>
        </w:rPr>
        <w:t>投标供应商（盖章） ：</w:t>
      </w:r>
    </w:p>
    <w:p>
      <w:pPr>
        <w:widowControl/>
        <w:snapToGrid w:val="0"/>
        <w:spacing w:line="460" w:lineRule="exact"/>
        <w:ind w:firstLine="440" w:firstLineChars="200"/>
        <w:jc w:val="left"/>
        <w:rPr>
          <w:rFonts w:ascii="宋体"/>
          <w:sz w:val="22"/>
          <w:szCs w:val="22"/>
        </w:rPr>
      </w:pPr>
      <w:r>
        <w:rPr>
          <w:rFonts w:hint="eastAsia" w:ascii="宋体"/>
          <w:sz w:val="22"/>
          <w:szCs w:val="22"/>
        </w:rPr>
        <w:t>法定代表人或授权代表（签字或盖章）：</w:t>
      </w:r>
    </w:p>
    <w:p>
      <w:pPr>
        <w:widowControl/>
        <w:snapToGrid w:val="0"/>
        <w:spacing w:line="460" w:lineRule="exact"/>
        <w:ind w:firstLine="440" w:firstLineChars="200"/>
        <w:jc w:val="left"/>
        <w:rPr>
          <w:rFonts w:ascii="宋体"/>
          <w:sz w:val="22"/>
          <w:szCs w:val="22"/>
        </w:rPr>
      </w:pPr>
      <w:r>
        <w:rPr>
          <w:rFonts w:hint="eastAsia" w:ascii="宋体"/>
          <w:sz w:val="22"/>
          <w:szCs w:val="22"/>
        </w:rPr>
        <w:t>日期：</w:t>
      </w:r>
    </w:p>
    <w:p/>
    <w:p>
      <w:pPr>
        <w:widowControl/>
        <w:jc w:val="left"/>
        <w:rPr>
          <w:rFonts w:hint="eastAsia" w:ascii="宋体" w:hAnsi="宋体"/>
          <w:b/>
          <w:bCs/>
          <w:sz w:val="22"/>
          <w:szCs w:val="22"/>
        </w:rPr>
      </w:pPr>
      <w:r>
        <w:rPr>
          <w:rFonts w:hint="eastAsia" w:ascii="宋体" w:hAnsi="宋体" w:cs="Arial"/>
          <w:sz w:val="30"/>
          <w:szCs w:val="32"/>
          <w:lang w:val="zh-CN"/>
        </w:rPr>
        <w:br w:type="page"/>
      </w:r>
      <w:bookmarkStart w:id="116" w:name="_Toc56004404"/>
      <w:bookmarkStart w:id="117" w:name="_Toc61444213"/>
      <w:r>
        <w:rPr>
          <w:rFonts w:hint="eastAsia" w:ascii="宋体" w:hAnsi="宋体"/>
          <w:b/>
          <w:sz w:val="22"/>
          <w:szCs w:val="22"/>
        </w:rPr>
        <w:t>附件二</w:t>
      </w:r>
    </w:p>
    <w:p>
      <w:pPr>
        <w:pStyle w:val="15"/>
        <w:spacing w:before="240" w:after="60"/>
        <w:jc w:val="center"/>
        <w:outlineLvl w:val="0"/>
        <w:rPr>
          <w:rFonts w:ascii="宋体" w:hAnsi="宋体" w:eastAsia="宋体" w:cs="宋体"/>
          <w:b/>
          <w:color w:val="auto"/>
          <w:kern w:val="0"/>
          <w:sz w:val="32"/>
          <w:szCs w:val="32"/>
          <w:lang w:val="zh-CN"/>
        </w:rPr>
      </w:pPr>
      <w:bookmarkStart w:id="118" w:name="_Toc87518591"/>
      <w:bookmarkStart w:id="119" w:name="_Toc68187553"/>
      <w:bookmarkStart w:id="120" w:name="_Toc11018"/>
      <w:bookmarkStart w:id="121" w:name="_Toc96970926"/>
      <w:bookmarkStart w:id="122" w:name="_Toc97033068"/>
      <w:bookmarkStart w:id="123" w:name="_Toc87518414"/>
      <w:bookmarkStart w:id="124" w:name="_Toc65830022"/>
      <w:bookmarkStart w:id="125" w:name="_Toc14892"/>
      <w:bookmarkStart w:id="126" w:name="_Toc68188789"/>
      <w:bookmarkStart w:id="127" w:name="_Toc68189103"/>
      <w:bookmarkStart w:id="128" w:name="_Toc65590094"/>
    </w:p>
    <w:p>
      <w:pPr>
        <w:pStyle w:val="15"/>
        <w:spacing w:before="240" w:after="60"/>
        <w:jc w:val="center"/>
        <w:outlineLvl w:val="0"/>
        <w:rPr>
          <w:rFonts w:ascii="宋体" w:hAnsi="宋体" w:eastAsia="宋体" w:cs="宋体"/>
          <w:b/>
          <w:color w:val="auto"/>
          <w:kern w:val="0"/>
          <w:sz w:val="32"/>
          <w:szCs w:val="32"/>
          <w:lang w:val="zh-CN"/>
        </w:rPr>
      </w:pPr>
      <w:r>
        <w:rPr>
          <w:rFonts w:ascii="宋体" w:hAnsi="宋体" w:eastAsia="宋体" w:cs="宋体"/>
          <w:b/>
          <w:color w:val="auto"/>
          <w:kern w:val="0"/>
          <w:sz w:val="32"/>
          <w:szCs w:val="32"/>
          <w:lang w:val="zh-CN"/>
        </w:rPr>
        <w:t>与参加本次项目同一合同项下政府采购活动的其他供应商不存在单位负责人为同一人或者直接控股、管理关系的承诺函</w:t>
      </w:r>
      <w:bookmarkEnd w:id="116"/>
      <w:bookmarkEnd w:id="117"/>
      <w:bookmarkEnd w:id="118"/>
      <w:bookmarkEnd w:id="119"/>
      <w:bookmarkEnd w:id="120"/>
      <w:bookmarkEnd w:id="121"/>
      <w:bookmarkEnd w:id="122"/>
      <w:bookmarkEnd w:id="123"/>
      <w:bookmarkEnd w:id="124"/>
      <w:bookmarkEnd w:id="125"/>
      <w:bookmarkEnd w:id="126"/>
      <w:bookmarkEnd w:id="127"/>
      <w:bookmarkEnd w:id="128"/>
    </w:p>
    <w:p>
      <w:pPr>
        <w:spacing w:line="460" w:lineRule="exact"/>
        <w:rPr>
          <w:rFonts w:ascii="宋体" w:hAnsi="宋体" w:cs="黑体"/>
          <w:b/>
          <w:sz w:val="22"/>
          <w:szCs w:val="22"/>
          <w:u w:val="single"/>
        </w:rPr>
      </w:pPr>
    </w:p>
    <w:p>
      <w:pPr>
        <w:spacing w:line="460" w:lineRule="exact"/>
        <w:jc w:val="left"/>
        <w:rPr>
          <w:rFonts w:ascii="宋体" w:hAnsi="宋体" w:cs="黑体"/>
          <w:b/>
          <w:sz w:val="22"/>
          <w:szCs w:val="22"/>
          <w:u w:val="single"/>
        </w:rPr>
      </w:pPr>
      <w:r>
        <w:rPr>
          <w:rFonts w:hint="eastAsia" w:ascii="宋体" w:hAnsi="宋体" w:cs="黑体"/>
          <w:b/>
          <w:sz w:val="22"/>
          <w:szCs w:val="22"/>
          <w:u w:val="single"/>
        </w:rPr>
        <w:t>永嘉县公安局：</w:t>
      </w:r>
    </w:p>
    <w:p>
      <w:pPr>
        <w:spacing w:line="460" w:lineRule="exact"/>
        <w:jc w:val="left"/>
        <w:rPr>
          <w:rFonts w:ascii="宋体" w:hAnsi="宋体" w:cs="黑体"/>
          <w:b/>
          <w:sz w:val="22"/>
          <w:szCs w:val="22"/>
          <w:u w:val="single"/>
        </w:rPr>
      </w:pPr>
      <w:r>
        <w:rPr>
          <w:rFonts w:hint="eastAsia" w:ascii="宋体" w:hAnsi="宋体" w:cs="黑体"/>
          <w:b/>
          <w:sz w:val="22"/>
          <w:szCs w:val="22"/>
          <w:u w:val="single"/>
        </w:rPr>
        <w:t>温州市中概工程管理咨询有限公司：</w:t>
      </w:r>
    </w:p>
    <w:p>
      <w:pPr>
        <w:widowControl/>
        <w:spacing w:line="460" w:lineRule="exact"/>
        <w:ind w:firstLine="440"/>
        <w:jc w:val="left"/>
        <w:rPr>
          <w:rFonts w:ascii="宋体" w:hAnsi="宋体" w:cs="Courier New"/>
          <w:sz w:val="22"/>
          <w:szCs w:val="22"/>
        </w:rPr>
      </w:pPr>
      <w:r>
        <w:rPr>
          <w:rFonts w:ascii="宋体" w:hAnsi="宋体" w:cs="Courier New"/>
          <w:sz w:val="22"/>
          <w:szCs w:val="22"/>
        </w:rPr>
        <w:t>我方郑重承诺，我方此次参加</w:t>
      </w:r>
      <w:r>
        <w:rPr>
          <w:rFonts w:hint="eastAsia" w:ascii="宋体" w:hAnsi="宋体" w:cs="Courier New"/>
          <w:sz w:val="22"/>
          <w:szCs w:val="22"/>
        </w:rPr>
        <w:t>本</w:t>
      </w:r>
      <w:r>
        <w:rPr>
          <w:rFonts w:ascii="宋体" w:hAnsi="宋体" w:cs="Courier New"/>
          <w:sz w:val="22"/>
          <w:szCs w:val="22"/>
        </w:rPr>
        <w:t>项目的投标，与参加本次项目同一合同项下政府采购活动的其他供应商不存在单位负责人为同一人或者直接控股、管理关系。如有虚假或隐瞒，愿意承担一切后果。</w:t>
      </w:r>
    </w:p>
    <w:p>
      <w:pPr>
        <w:pStyle w:val="3"/>
        <w:ind w:firstLine="210"/>
        <w:rPr>
          <w:rFonts w:ascii="宋体" w:hAnsi="宋体"/>
        </w:rPr>
      </w:pPr>
    </w:p>
    <w:p>
      <w:pPr>
        <w:widowControl/>
        <w:spacing w:line="460" w:lineRule="exact"/>
        <w:ind w:firstLine="440"/>
        <w:jc w:val="left"/>
        <w:rPr>
          <w:rFonts w:ascii="宋体" w:hAnsi="宋体" w:cs="Courier New"/>
          <w:sz w:val="22"/>
          <w:szCs w:val="22"/>
        </w:rPr>
      </w:pPr>
      <w:r>
        <w:rPr>
          <w:rFonts w:ascii="宋体" w:hAnsi="宋体" w:cs="Courier New"/>
          <w:sz w:val="22"/>
          <w:szCs w:val="22"/>
        </w:rPr>
        <w:t>特此承诺！</w:t>
      </w:r>
    </w:p>
    <w:p>
      <w:pPr>
        <w:widowControl/>
        <w:spacing w:line="460" w:lineRule="exact"/>
        <w:ind w:firstLine="440"/>
        <w:jc w:val="left"/>
        <w:rPr>
          <w:rFonts w:ascii="宋体" w:hAnsi="宋体" w:cs="Courier New"/>
          <w:sz w:val="22"/>
          <w:szCs w:val="22"/>
        </w:rPr>
      </w:pPr>
    </w:p>
    <w:p>
      <w:pPr>
        <w:widowControl/>
        <w:spacing w:line="460" w:lineRule="exact"/>
        <w:ind w:firstLine="440"/>
        <w:jc w:val="left"/>
        <w:rPr>
          <w:rFonts w:ascii="宋体" w:hAnsi="宋体" w:cs="Courier New"/>
          <w:sz w:val="22"/>
          <w:szCs w:val="22"/>
        </w:rPr>
      </w:pPr>
      <w:r>
        <w:rPr>
          <w:rFonts w:ascii="宋体" w:hAnsi="宋体" w:cs="Courier New"/>
          <w:sz w:val="22"/>
          <w:szCs w:val="22"/>
        </w:rPr>
        <w:t>投标供应商（盖章） ：</w:t>
      </w:r>
    </w:p>
    <w:p>
      <w:pPr>
        <w:widowControl/>
        <w:spacing w:line="460" w:lineRule="exact"/>
        <w:ind w:firstLine="440"/>
        <w:jc w:val="left"/>
        <w:rPr>
          <w:rFonts w:ascii="宋体" w:hAnsi="宋体" w:cs="Courier New"/>
          <w:sz w:val="22"/>
          <w:szCs w:val="22"/>
        </w:rPr>
      </w:pPr>
      <w:r>
        <w:rPr>
          <w:rFonts w:hint="eastAsia" w:ascii="宋体" w:hAnsi="宋体" w:cs="Courier New"/>
          <w:sz w:val="22"/>
          <w:szCs w:val="22"/>
        </w:rPr>
        <w:t>法定代表人或授权代表（签字或盖章）：</w:t>
      </w:r>
    </w:p>
    <w:p>
      <w:pPr>
        <w:spacing w:line="460" w:lineRule="atLeast"/>
        <w:ind w:firstLine="440"/>
        <w:rPr>
          <w:rFonts w:ascii="宋体" w:hAnsi="宋体"/>
          <w:sz w:val="36"/>
        </w:rPr>
      </w:pPr>
      <w:r>
        <w:rPr>
          <w:rFonts w:ascii="宋体" w:hAnsi="宋体" w:cs="Courier New"/>
          <w:sz w:val="22"/>
          <w:szCs w:val="22"/>
        </w:rPr>
        <w:t>日期：</w:t>
      </w:r>
    </w:p>
    <w:p>
      <w:pPr>
        <w:widowControl/>
        <w:snapToGrid w:val="0"/>
        <w:spacing w:line="460" w:lineRule="exact"/>
        <w:ind w:firstLine="440" w:firstLineChars="200"/>
        <w:jc w:val="left"/>
        <w:rPr>
          <w:rFonts w:ascii="宋体" w:hAnsi="宋体" w:cs="Courier New"/>
          <w:sz w:val="22"/>
          <w:szCs w:val="22"/>
        </w:rPr>
      </w:pPr>
    </w:p>
    <w:p>
      <w:pPr>
        <w:widowControl/>
        <w:spacing w:line="460" w:lineRule="atLeast"/>
        <w:jc w:val="left"/>
        <w:rPr>
          <w:rFonts w:hint="eastAsia" w:ascii="宋体" w:hAnsi="宋体"/>
          <w:b/>
          <w:bCs/>
          <w:sz w:val="22"/>
          <w:szCs w:val="22"/>
        </w:rPr>
      </w:pPr>
      <w:bookmarkStart w:id="129" w:name="_Toc509485354"/>
      <w:r>
        <w:rPr>
          <w:rFonts w:ascii="宋体" w:hAnsi="宋体"/>
          <w:sz w:val="22"/>
          <w:szCs w:val="22"/>
        </w:rPr>
        <w:br w:type="page"/>
      </w:r>
      <w:r>
        <w:rPr>
          <w:rFonts w:hint="eastAsia" w:ascii="宋体" w:hAnsi="宋体"/>
          <w:b/>
          <w:sz w:val="22"/>
          <w:szCs w:val="22"/>
        </w:rPr>
        <w:t>附件</w:t>
      </w:r>
      <w:bookmarkEnd w:id="129"/>
      <w:r>
        <w:rPr>
          <w:rFonts w:hint="eastAsia" w:ascii="宋体" w:hAnsi="宋体"/>
          <w:b/>
          <w:sz w:val="22"/>
          <w:szCs w:val="22"/>
        </w:rPr>
        <w:t>三</w:t>
      </w:r>
    </w:p>
    <w:p>
      <w:pPr>
        <w:tabs>
          <w:tab w:val="left" w:pos="1080"/>
        </w:tabs>
        <w:autoSpaceDE w:val="0"/>
        <w:autoSpaceDN w:val="0"/>
        <w:adjustRightInd w:val="0"/>
        <w:spacing w:line="440" w:lineRule="atLeast"/>
        <w:jc w:val="center"/>
        <w:rPr>
          <w:rFonts w:ascii="宋体" w:hAnsi="宋体"/>
          <w:b/>
          <w:sz w:val="32"/>
          <w:lang w:val="zh-CN"/>
        </w:rPr>
      </w:pPr>
      <w:r>
        <w:rPr>
          <w:rFonts w:hint="eastAsia" w:ascii="宋体" w:hAnsi="宋体" w:cs="仿宋_GB2312"/>
          <w:b/>
          <w:sz w:val="32"/>
          <w:szCs w:val="32"/>
          <w:lang w:val="zh-CN"/>
        </w:rPr>
        <w:t>供应商参与政府采购活动投标资格声明函</w:t>
      </w:r>
    </w:p>
    <w:tbl>
      <w:tblPr>
        <w:tblStyle w:val="41"/>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7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30" w:type="dxa"/>
            <w:noWrap w:val="0"/>
            <w:vAlign w:val="top"/>
          </w:tcPr>
          <w:p>
            <w:pPr>
              <w:pStyle w:val="24"/>
              <w:snapToGrid w:val="0"/>
              <w:spacing w:line="400" w:lineRule="exact"/>
              <w:rPr>
                <w:rFonts w:hAnsi="宋体"/>
                <w:b/>
                <w:bCs/>
              </w:rPr>
            </w:pPr>
            <w:r>
              <w:rPr>
                <w:rFonts w:hint="eastAsia" w:hAnsi="宋体"/>
                <w:b/>
              </w:rPr>
              <w:t>项目名称</w:t>
            </w:r>
          </w:p>
        </w:tc>
        <w:tc>
          <w:tcPr>
            <w:tcW w:w="7872" w:type="dxa"/>
            <w:noWrap w:val="0"/>
            <w:vAlign w:val="top"/>
          </w:tcPr>
          <w:p>
            <w:pPr>
              <w:pStyle w:val="24"/>
              <w:snapToGrid w:val="0"/>
              <w:spacing w:line="400" w:lineRule="exact"/>
              <w:ind w:left="422" w:firstLine="331"/>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30" w:type="dxa"/>
            <w:noWrap w:val="0"/>
            <w:vAlign w:val="top"/>
          </w:tcPr>
          <w:p>
            <w:pPr>
              <w:pStyle w:val="24"/>
              <w:snapToGrid w:val="0"/>
              <w:spacing w:line="400" w:lineRule="exact"/>
              <w:rPr>
                <w:rFonts w:hAnsi="宋体"/>
                <w:b/>
                <w:bCs/>
              </w:rPr>
            </w:pPr>
            <w:r>
              <w:rPr>
                <w:rFonts w:hint="eastAsia" w:hAnsi="宋体"/>
                <w:b/>
              </w:rPr>
              <w:t>项目采购编号</w:t>
            </w:r>
          </w:p>
        </w:tc>
        <w:tc>
          <w:tcPr>
            <w:tcW w:w="7872" w:type="dxa"/>
            <w:noWrap w:val="0"/>
            <w:vAlign w:val="top"/>
          </w:tcPr>
          <w:p>
            <w:pPr>
              <w:pStyle w:val="24"/>
              <w:snapToGrid w:val="0"/>
              <w:spacing w:line="400" w:lineRule="exact"/>
              <w:ind w:left="422" w:firstLine="361"/>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30" w:type="dxa"/>
            <w:noWrap w:val="0"/>
            <w:vAlign w:val="top"/>
          </w:tcPr>
          <w:p>
            <w:pPr>
              <w:pStyle w:val="24"/>
              <w:snapToGrid w:val="0"/>
              <w:spacing w:line="400" w:lineRule="exact"/>
              <w:rPr>
                <w:rFonts w:hAnsi="宋体"/>
                <w:b/>
                <w:bCs/>
              </w:rPr>
            </w:pPr>
            <w:r>
              <w:rPr>
                <w:rFonts w:hint="eastAsia" w:hAnsi="宋体"/>
                <w:b/>
              </w:rPr>
              <w:t>投标截止时间：</w:t>
            </w:r>
          </w:p>
        </w:tc>
        <w:tc>
          <w:tcPr>
            <w:tcW w:w="7872" w:type="dxa"/>
            <w:noWrap w:val="0"/>
            <w:vAlign w:val="top"/>
          </w:tcPr>
          <w:p>
            <w:pPr>
              <w:pStyle w:val="24"/>
              <w:snapToGrid w:val="0"/>
              <w:spacing w:line="400" w:lineRule="exact"/>
              <w:rPr>
                <w:rFonts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0" w:hRule="atLeast"/>
          <w:jc w:val="center"/>
        </w:trPr>
        <w:tc>
          <w:tcPr>
            <w:tcW w:w="9602" w:type="dxa"/>
            <w:gridSpan w:val="2"/>
            <w:noWrap w:val="0"/>
            <w:vAlign w:val="top"/>
          </w:tcPr>
          <w:p>
            <w:pPr>
              <w:pStyle w:val="24"/>
              <w:snapToGrid w:val="0"/>
              <w:spacing w:line="400" w:lineRule="exact"/>
              <w:ind w:firstLine="450"/>
              <w:rPr>
                <w:rFonts w:hAnsi="宋体"/>
              </w:rPr>
            </w:pPr>
            <w:r>
              <w:rPr>
                <w:rFonts w:hint="eastAsia" w:hAnsi="宋体"/>
              </w:rPr>
              <w:t>1、根据政府采购法第二十二条规定，我单位满足以下条件，并已经在技术资信部分投标文件中提供了相应的证明材料：</w:t>
            </w:r>
          </w:p>
          <w:p>
            <w:pPr>
              <w:pStyle w:val="24"/>
              <w:snapToGrid w:val="0"/>
              <w:spacing w:line="400" w:lineRule="exact"/>
              <w:ind w:firstLine="869" w:firstLineChars="414"/>
              <w:rPr>
                <w:rFonts w:hAnsi="宋体"/>
              </w:rPr>
            </w:pPr>
            <w:r>
              <w:rPr>
                <w:rFonts w:hint="eastAsia" w:hAnsi="宋体"/>
              </w:rPr>
              <w:t xml:space="preserve">（一）具有独立承担民事责任的能力； </w:t>
            </w:r>
          </w:p>
          <w:p>
            <w:pPr>
              <w:pStyle w:val="24"/>
              <w:snapToGrid w:val="0"/>
              <w:spacing w:line="400" w:lineRule="exact"/>
              <w:ind w:firstLine="450"/>
              <w:rPr>
                <w:rFonts w:hAnsi="宋体"/>
              </w:rPr>
            </w:pPr>
            <w:r>
              <w:rPr>
                <w:rFonts w:hint="eastAsia" w:hAnsi="宋体"/>
              </w:rPr>
              <w:t xml:space="preserve">　　（二）具有良好的商业信誉和健全的财务会计制度； </w:t>
            </w:r>
          </w:p>
          <w:p>
            <w:pPr>
              <w:pStyle w:val="24"/>
              <w:snapToGrid w:val="0"/>
              <w:spacing w:line="400" w:lineRule="exact"/>
              <w:ind w:firstLine="450"/>
              <w:rPr>
                <w:rFonts w:hAnsi="宋体"/>
              </w:rPr>
            </w:pPr>
            <w:r>
              <w:rPr>
                <w:rFonts w:hint="eastAsia" w:hAnsi="宋体"/>
              </w:rPr>
              <w:t xml:space="preserve">　　（三）具有履行合同所必需的设备和专业技术能力； </w:t>
            </w:r>
          </w:p>
          <w:p>
            <w:pPr>
              <w:pStyle w:val="24"/>
              <w:snapToGrid w:val="0"/>
              <w:spacing w:line="400" w:lineRule="exact"/>
              <w:ind w:firstLine="450"/>
              <w:rPr>
                <w:rFonts w:hAnsi="宋体"/>
              </w:rPr>
            </w:pPr>
            <w:r>
              <w:rPr>
                <w:rFonts w:hint="eastAsia" w:hAnsi="宋体"/>
              </w:rPr>
              <w:t xml:space="preserve">　　（四）有依法缴纳税收和社会保障资金的良好记录； </w:t>
            </w:r>
          </w:p>
          <w:p>
            <w:pPr>
              <w:pStyle w:val="24"/>
              <w:snapToGrid w:val="0"/>
              <w:spacing w:line="400" w:lineRule="exact"/>
              <w:ind w:firstLine="450"/>
              <w:rPr>
                <w:rFonts w:hAnsi="宋体"/>
              </w:rPr>
            </w:pPr>
            <w:r>
              <w:rPr>
                <w:rFonts w:hint="eastAsia" w:hAnsi="宋体"/>
              </w:rPr>
              <w:t xml:space="preserve">　　（五）参加政府采购活动前三年内，在经营活动中没有重大违法记录； </w:t>
            </w:r>
          </w:p>
          <w:p>
            <w:pPr>
              <w:pStyle w:val="24"/>
              <w:snapToGrid w:val="0"/>
              <w:spacing w:line="400" w:lineRule="exact"/>
              <w:ind w:firstLine="450"/>
              <w:rPr>
                <w:rFonts w:hAnsi="宋体"/>
              </w:rPr>
            </w:pPr>
            <w:r>
              <w:rPr>
                <w:rFonts w:hint="eastAsia" w:hAnsi="宋体"/>
              </w:rPr>
              <w:t xml:space="preserve">　　（六）法律、行政法规规定的其他条件。 </w:t>
            </w:r>
          </w:p>
          <w:p>
            <w:pPr>
              <w:pStyle w:val="24"/>
              <w:snapToGrid w:val="0"/>
              <w:spacing w:line="400" w:lineRule="exact"/>
              <w:ind w:firstLine="450"/>
              <w:rPr>
                <w:rFonts w:hAnsi="宋体"/>
                <w:b/>
              </w:rPr>
            </w:pPr>
            <w:r>
              <w:rPr>
                <w:rFonts w:hAnsi="宋体"/>
                <w:b/>
              </w:rPr>
              <w:t>2</w:t>
            </w:r>
            <w:r>
              <w:rPr>
                <w:rFonts w:hint="eastAsia" w:hAnsi="宋体"/>
                <w:b/>
              </w:rPr>
              <w:t>、根据</w:t>
            </w:r>
            <w:r>
              <w:rPr>
                <w:rFonts w:hAnsi="宋体"/>
                <w:b/>
              </w:rPr>
              <w:t>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b/>
              </w:rPr>
              <w:t>我单位不存在上述文件规定依法限制参与政府采购的情况，并提供“信用中国”、 “中国政府采购网”查询网页截图（公告发布之日至投标截止时间）。</w:t>
            </w:r>
          </w:p>
          <w:p>
            <w:pPr>
              <w:pStyle w:val="24"/>
              <w:snapToGrid w:val="0"/>
              <w:spacing w:line="400" w:lineRule="exact"/>
              <w:ind w:firstLine="450"/>
              <w:rPr>
                <w:rFonts w:hAnsi="宋体"/>
                <w:bCs/>
              </w:rPr>
            </w:pPr>
            <w:r>
              <w:rPr>
                <w:rFonts w:hint="eastAsia" w:hAnsi="宋体"/>
              </w:rPr>
              <w:t>3、我单位没有</w:t>
            </w:r>
            <w:r>
              <w:rPr>
                <w:rFonts w:hAnsi="宋体"/>
              </w:rPr>
              <w:t>被</w:t>
            </w:r>
            <w:r>
              <w:rPr>
                <w:rFonts w:hint="eastAsia" w:hAnsi="宋体"/>
              </w:rPr>
              <w:t>各地、</w:t>
            </w:r>
            <w:r>
              <w:rPr>
                <w:rFonts w:hAnsi="宋体"/>
              </w:rPr>
              <w:t>各级财政部门</w:t>
            </w:r>
            <w:r>
              <w:rPr>
                <w:rFonts w:hint="eastAsia" w:hAnsi="宋体"/>
              </w:rPr>
              <w:t>限制</w:t>
            </w:r>
            <w:r>
              <w:rPr>
                <w:rFonts w:hAnsi="宋体"/>
              </w:rPr>
              <w:t>参加政府采购</w:t>
            </w:r>
            <w:r>
              <w:rPr>
                <w:rFonts w:hint="eastAsia" w:hAnsi="宋体"/>
              </w:rPr>
              <w:t>活动，且在限制期内：</w:t>
            </w:r>
          </w:p>
          <w:p>
            <w:pPr>
              <w:tabs>
                <w:tab w:val="center" w:pos="4483"/>
              </w:tabs>
              <w:adjustRightInd w:val="0"/>
              <w:spacing w:line="360" w:lineRule="auto"/>
              <w:ind w:firstLine="400"/>
              <w:rPr>
                <w:rFonts w:ascii="宋体" w:hAnsi="宋体"/>
                <w:bCs/>
              </w:rPr>
            </w:pPr>
            <w:r>
              <w:rPr>
                <w:rFonts w:ascii="宋体" w:hAnsi="宋体"/>
              </w:rPr>
              <w:t>4</w:t>
            </w:r>
            <w:r>
              <w:rPr>
                <w:rFonts w:hint="eastAsia" w:ascii="宋体" w:hAnsi="宋体"/>
              </w:rPr>
              <w:t>、清楚知道参加本项目采购活动的其他所有供应商名称，本单位与其他所有供应商之间均不存在利害关系。</w:t>
            </w:r>
          </w:p>
          <w:p>
            <w:pPr>
              <w:tabs>
                <w:tab w:val="center" w:pos="4483"/>
              </w:tabs>
              <w:adjustRightInd w:val="0"/>
              <w:spacing w:line="360" w:lineRule="auto"/>
              <w:ind w:firstLine="400"/>
              <w:rPr>
                <w:rFonts w:ascii="宋体" w:hAnsi="宋体"/>
                <w:b/>
              </w:rPr>
            </w:pPr>
            <w:r>
              <w:rPr>
                <w:rFonts w:hint="eastAsia" w:ascii="宋体" w:hAnsi="宋体"/>
                <w:b/>
              </w:rPr>
              <w:t>5、我单位参与本项目政府采购活动3年内其它重大违法记录（重大违法记录，是指供应商因违法经营受到刑事处罚或者责令停产停业、吊销许可证或者执照、较大数额罚款等行政处罚）情况声明：</w:t>
            </w:r>
          </w:p>
          <w:p>
            <w:pPr>
              <w:tabs>
                <w:tab w:val="center" w:pos="4483"/>
              </w:tabs>
              <w:adjustRightInd w:val="0"/>
              <w:spacing w:line="360" w:lineRule="auto"/>
              <w:ind w:firstLine="400"/>
              <w:rPr>
                <w:rFonts w:ascii="宋体" w:hAnsi="宋体"/>
                <w:b/>
              </w:rPr>
            </w:pPr>
            <w:r>
              <w:rPr>
                <w:rFonts w:hint="eastAsia" w:ascii="宋体" w:hAnsi="宋体"/>
                <w:b/>
                <w:u w:val="single"/>
              </w:rPr>
              <w:t>6、我单位符合本项目特定资格条件：                         的要求，并在</w:t>
            </w:r>
            <w:r>
              <w:rPr>
                <w:rFonts w:hint="eastAsia" w:ascii="宋体" w:hAnsi="宋体"/>
                <w:b/>
              </w:rPr>
              <w:t>技术资信部分投标文件中提供了相应的证明材料</w:t>
            </w:r>
            <w:r>
              <w:rPr>
                <w:rFonts w:hint="eastAsia" w:ascii="宋体" w:hAnsi="宋体"/>
                <w:b/>
                <w:u w:val="single"/>
              </w:rPr>
              <w:t>（招标文件没有要求特定资格条件的，本条款空格处可以空白）</w:t>
            </w:r>
          </w:p>
          <w:p>
            <w:pPr>
              <w:tabs>
                <w:tab w:val="center" w:pos="4483"/>
              </w:tabs>
              <w:adjustRightInd w:val="0"/>
              <w:spacing w:line="360" w:lineRule="auto"/>
              <w:ind w:firstLine="420" w:firstLineChars="200"/>
              <w:rPr>
                <w:rFonts w:ascii="宋体" w:hAnsi="宋体"/>
                <w:bCs/>
              </w:rPr>
            </w:pPr>
            <w:r>
              <w:rPr>
                <w:rFonts w:hint="eastAsia" w:ascii="宋体" w:hAnsi="宋体"/>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602" w:type="dxa"/>
            <w:gridSpan w:val="2"/>
            <w:noWrap w:val="0"/>
            <w:vAlign w:val="center"/>
          </w:tcPr>
          <w:p>
            <w:pPr>
              <w:pStyle w:val="24"/>
              <w:snapToGrid w:val="0"/>
              <w:spacing w:line="400" w:lineRule="exact"/>
              <w:ind w:left="422" w:firstLine="331"/>
              <w:rPr>
                <w:rFonts w:hAnsi="宋体"/>
                <w:bCs/>
              </w:rPr>
            </w:pPr>
            <w:r>
              <w:rPr>
                <w:rFonts w:hint="eastAsia" w:hAnsi="宋体"/>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602" w:type="dxa"/>
            <w:gridSpan w:val="2"/>
            <w:noWrap w:val="0"/>
            <w:vAlign w:val="center"/>
          </w:tcPr>
          <w:p>
            <w:pPr>
              <w:pStyle w:val="24"/>
              <w:snapToGrid w:val="0"/>
              <w:spacing w:line="400" w:lineRule="exact"/>
              <w:ind w:left="422" w:firstLine="316"/>
              <w:rPr>
                <w:rFonts w:hAnsi="宋体"/>
                <w:bCs/>
              </w:rPr>
            </w:pPr>
            <w:r>
              <w:rPr>
                <w:rFonts w:hint="eastAsia" w:hAnsi="宋体"/>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602" w:type="dxa"/>
            <w:gridSpan w:val="2"/>
            <w:noWrap w:val="0"/>
            <w:vAlign w:val="center"/>
          </w:tcPr>
          <w:p>
            <w:pPr>
              <w:pStyle w:val="24"/>
              <w:snapToGrid w:val="0"/>
              <w:spacing w:line="400" w:lineRule="exact"/>
              <w:ind w:left="422" w:firstLine="331"/>
              <w:rPr>
                <w:rFonts w:hAnsi="宋体"/>
                <w:bCs/>
              </w:rPr>
            </w:pPr>
            <w:r>
              <w:rPr>
                <w:rFonts w:hint="eastAsia" w:hAnsi="宋体"/>
              </w:rPr>
              <w:t>签署日期：</w:t>
            </w:r>
          </w:p>
        </w:tc>
      </w:tr>
    </w:tbl>
    <w:p>
      <w:pPr>
        <w:autoSpaceDE w:val="0"/>
        <w:autoSpaceDN w:val="0"/>
        <w:adjustRightInd w:val="0"/>
        <w:snapToGrid w:val="0"/>
        <w:spacing w:line="360" w:lineRule="auto"/>
        <w:textAlignment w:val="bottom"/>
        <w:rPr>
          <w:rFonts w:ascii="宋体" w:hAnsi="宋体"/>
          <w:b/>
          <w:bCs/>
          <w:sz w:val="22"/>
          <w:u w:val="single"/>
        </w:rPr>
      </w:pPr>
      <w:r>
        <w:rPr>
          <w:rFonts w:hint="eastAsia" w:ascii="宋体" w:hAnsi="宋体"/>
          <w:b/>
          <w:sz w:val="22"/>
          <w:u w:val="single"/>
        </w:rPr>
        <w:t>备注：▲投标供应商必须提供本声明，不提供按无效投标处理。</w:t>
      </w:r>
    </w:p>
    <w:p>
      <w:pPr>
        <w:pStyle w:val="39"/>
        <w:jc w:val="both"/>
        <w:rPr>
          <w:rFonts w:hint="eastAsia" w:ascii="宋体" w:hAnsi="宋体"/>
          <w:b w:val="0"/>
          <w:sz w:val="22"/>
          <w:szCs w:val="22"/>
        </w:rPr>
      </w:pPr>
      <w:r>
        <w:rPr>
          <w:rFonts w:ascii="宋体" w:hAnsi="宋体"/>
        </w:rPr>
        <w:br w:type="page"/>
      </w:r>
      <w:bookmarkStart w:id="130" w:name="_Toc97033069"/>
      <w:bookmarkStart w:id="131" w:name="_Toc96970927"/>
      <w:bookmarkStart w:id="132" w:name="_Toc65590095"/>
      <w:bookmarkStart w:id="133" w:name="_Toc42678693"/>
      <w:bookmarkStart w:id="134" w:name="_Toc65830023"/>
      <w:bookmarkStart w:id="135" w:name="_Toc42243285"/>
      <w:r>
        <w:rPr>
          <w:rFonts w:hint="eastAsia" w:ascii="宋体" w:hAnsi="宋体"/>
          <w:sz w:val="22"/>
          <w:szCs w:val="22"/>
        </w:rPr>
        <w:t>附件</w:t>
      </w:r>
      <w:bookmarkEnd w:id="130"/>
      <w:bookmarkEnd w:id="131"/>
      <w:r>
        <w:rPr>
          <w:rFonts w:hint="eastAsia" w:ascii="宋体" w:hAnsi="宋体"/>
          <w:sz w:val="22"/>
          <w:szCs w:val="22"/>
        </w:rPr>
        <w:t>四</w:t>
      </w:r>
    </w:p>
    <w:p>
      <w:pPr>
        <w:pStyle w:val="39"/>
        <w:rPr>
          <w:rFonts w:ascii="宋体" w:hAnsi="宋体"/>
        </w:rPr>
      </w:pPr>
      <w:bookmarkStart w:id="136" w:name="_Toc518512536"/>
      <w:bookmarkStart w:id="137" w:name="_Toc42678618"/>
      <w:bookmarkStart w:id="138" w:name="_Toc87518415"/>
      <w:bookmarkStart w:id="139" w:name="_Toc15893"/>
      <w:bookmarkStart w:id="140" w:name="_Toc42678697"/>
      <w:bookmarkStart w:id="141" w:name="_Toc61444218"/>
      <w:bookmarkStart w:id="142" w:name="_Toc402360964"/>
      <w:bookmarkStart w:id="143" w:name="_Toc65830027"/>
      <w:bookmarkStart w:id="144" w:name="_Toc87518592"/>
      <w:bookmarkStart w:id="145" w:name="_Toc68188794"/>
      <w:bookmarkStart w:id="146" w:name="_Toc438150553"/>
      <w:bookmarkStart w:id="147" w:name="_Toc42678186"/>
      <w:bookmarkStart w:id="148" w:name="_Toc65590099"/>
      <w:bookmarkStart w:id="149" w:name="_Toc491606420"/>
      <w:bookmarkStart w:id="150" w:name="_Toc402361081"/>
      <w:bookmarkStart w:id="151" w:name="_Toc511045483"/>
      <w:bookmarkStart w:id="152" w:name="_Toc459361857"/>
      <w:bookmarkStart w:id="153" w:name="_Toc42678031"/>
      <w:bookmarkStart w:id="154" w:name="_Toc496618934"/>
      <w:bookmarkStart w:id="155" w:name="_Toc68187558"/>
      <w:bookmarkStart w:id="156" w:name="_Toc522469121"/>
      <w:bookmarkStart w:id="157" w:name="_Toc42243289"/>
      <w:bookmarkStart w:id="158" w:name="_Toc427581337"/>
      <w:bookmarkStart w:id="159" w:name="_Toc430717503"/>
      <w:bookmarkStart w:id="160" w:name="_Toc26971"/>
      <w:bookmarkStart w:id="161" w:name="_Toc97033070"/>
      <w:bookmarkStart w:id="162" w:name="_Toc459450868"/>
      <w:bookmarkStart w:id="163" w:name="_Toc96970928"/>
      <w:bookmarkStart w:id="164" w:name="_Toc410055446"/>
      <w:bookmarkStart w:id="165" w:name="_Toc68189108"/>
      <w:bookmarkStart w:id="166" w:name="_Toc9334951"/>
      <w:bookmarkStart w:id="167" w:name="_Toc404262445"/>
      <w:bookmarkStart w:id="168" w:name="_Toc19204522"/>
      <w:r>
        <w:rPr>
          <w:rFonts w:hint="eastAsia" w:ascii="宋体" w:hAnsi="宋体"/>
        </w:rPr>
        <w:t>法定代表人授权书</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spacing w:line="480" w:lineRule="auto"/>
        <w:rPr>
          <w:rFonts w:ascii="宋体" w:hAnsi="宋体"/>
          <w:b/>
          <w:sz w:val="22"/>
          <w:szCs w:val="22"/>
        </w:rPr>
      </w:pPr>
      <w:r>
        <w:rPr>
          <w:rFonts w:hint="eastAsia" w:ascii="宋体" w:hAnsi="宋体"/>
          <w:b/>
          <w:sz w:val="22"/>
          <w:szCs w:val="22"/>
          <w:u w:val="single"/>
        </w:rPr>
        <w:t>（采购人名称）</w:t>
      </w:r>
      <w:r>
        <w:rPr>
          <w:rFonts w:hint="eastAsia" w:ascii="宋体" w:hAnsi="宋体"/>
          <w:b/>
          <w:sz w:val="22"/>
          <w:szCs w:val="22"/>
          <w:lang w:val="zh-CN"/>
        </w:rPr>
        <w:t>：</w:t>
      </w:r>
    </w:p>
    <w:p>
      <w:pPr>
        <w:spacing w:line="480" w:lineRule="auto"/>
        <w:ind w:firstLine="440" w:firstLineChars="200"/>
        <w:rPr>
          <w:rFonts w:ascii="宋体" w:hAnsi="宋体"/>
          <w:sz w:val="22"/>
          <w:szCs w:val="22"/>
        </w:rPr>
      </w:pPr>
      <w:r>
        <w:rPr>
          <w:rFonts w:hint="eastAsia" w:ascii="宋体" w:hAnsi="宋体"/>
          <w:sz w:val="22"/>
          <w:szCs w:val="22"/>
        </w:rPr>
        <w:t>本授权委托书声明：我</w:t>
      </w:r>
      <w:r>
        <w:rPr>
          <w:rFonts w:hint="eastAsia" w:ascii="宋体" w:hAnsi="宋体"/>
          <w:sz w:val="22"/>
          <w:szCs w:val="22"/>
          <w:u w:val="single"/>
        </w:rPr>
        <w:t xml:space="preserve">   （法定代表人姓名）   </w:t>
      </w:r>
      <w:r>
        <w:rPr>
          <w:rFonts w:hint="eastAsia" w:ascii="宋体" w:hAnsi="宋体"/>
          <w:sz w:val="22"/>
          <w:szCs w:val="22"/>
        </w:rPr>
        <w:t>系</w:t>
      </w:r>
      <w:r>
        <w:rPr>
          <w:rFonts w:hint="eastAsia" w:ascii="宋体" w:hAnsi="宋体"/>
          <w:sz w:val="22"/>
          <w:szCs w:val="22"/>
          <w:u w:val="single"/>
        </w:rPr>
        <w:t xml:space="preserve">   （供 应 商 名 称）  </w:t>
      </w:r>
      <w:r>
        <w:rPr>
          <w:rFonts w:hint="eastAsia" w:ascii="宋体" w:hAnsi="宋体"/>
          <w:sz w:val="22"/>
          <w:szCs w:val="22"/>
        </w:rPr>
        <w:t>的法定代表人，现授权委托</w:t>
      </w:r>
      <w:r>
        <w:rPr>
          <w:rFonts w:hint="eastAsia" w:ascii="宋体" w:hAnsi="宋体"/>
          <w:sz w:val="22"/>
          <w:szCs w:val="22"/>
          <w:u w:val="single"/>
        </w:rPr>
        <w:t xml:space="preserve">  （单 位 名 称）   </w:t>
      </w:r>
      <w:r>
        <w:rPr>
          <w:rFonts w:hint="eastAsia" w:ascii="宋体" w:hAnsi="宋体"/>
          <w:sz w:val="22"/>
          <w:szCs w:val="22"/>
        </w:rPr>
        <w:t>的</w:t>
      </w:r>
      <w:r>
        <w:rPr>
          <w:rFonts w:hint="eastAsia" w:ascii="宋体" w:hAnsi="宋体"/>
          <w:sz w:val="22"/>
          <w:szCs w:val="22"/>
          <w:u w:val="single"/>
        </w:rPr>
        <w:t xml:space="preserve">  （授权代表姓名）  </w:t>
      </w:r>
      <w:r>
        <w:rPr>
          <w:rFonts w:hint="eastAsia" w:ascii="宋体" w:hAnsi="宋体"/>
          <w:sz w:val="22"/>
          <w:szCs w:val="22"/>
        </w:rPr>
        <w:t>为我公司法定代表人授权代表，参加贵处组织的</w:t>
      </w:r>
      <w:r>
        <w:rPr>
          <w:rFonts w:hint="eastAsia" w:ascii="宋体" w:hAnsi="宋体"/>
          <w:sz w:val="22"/>
          <w:szCs w:val="22"/>
          <w:u w:val="single"/>
        </w:rPr>
        <w:t xml:space="preserve">  （招标项目名称，括号中填写项目编号）  </w:t>
      </w:r>
      <w:r>
        <w:rPr>
          <w:rFonts w:hint="eastAsia" w:ascii="宋体" w:hAnsi="宋体"/>
          <w:sz w:val="22"/>
          <w:szCs w:val="22"/>
        </w:rPr>
        <w:t>项目投标，全权处理本次招投标活动中的一切事宜，我承认授权代表全权代表我所签署的本项目的投标文件的内容。</w:t>
      </w:r>
    </w:p>
    <w:p>
      <w:pPr>
        <w:spacing w:line="480" w:lineRule="auto"/>
        <w:ind w:firstLine="440" w:firstLineChars="200"/>
        <w:rPr>
          <w:rFonts w:ascii="宋体" w:hAnsi="宋体"/>
          <w:sz w:val="22"/>
          <w:szCs w:val="22"/>
        </w:rPr>
      </w:pPr>
      <w:r>
        <w:rPr>
          <w:rFonts w:hint="eastAsia" w:ascii="宋体" w:hAnsi="宋体"/>
          <w:sz w:val="22"/>
          <w:szCs w:val="22"/>
        </w:rPr>
        <w:t>授权代表无转授权，特此授权</w:t>
      </w:r>
    </w:p>
    <w:p>
      <w:pPr>
        <w:spacing w:line="360" w:lineRule="auto"/>
        <w:ind w:left="1260"/>
        <w:rPr>
          <w:rFonts w:ascii="宋体" w:hAnsi="宋体"/>
          <w:sz w:val="22"/>
          <w:szCs w:val="22"/>
        </w:rPr>
      </w:pPr>
    </w:p>
    <w:p>
      <w:pPr>
        <w:spacing w:line="480" w:lineRule="auto"/>
        <w:ind w:left="2100" w:leftChars="1000" w:firstLine="440" w:firstLineChars="200"/>
        <w:rPr>
          <w:rFonts w:ascii="宋体" w:hAnsi="宋体"/>
          <w:sz w:val="22"/>
          <w:szCs w:val="22"/>
          <w:u w:val="single"/>
        </w:rPr>
      </w:pPr>
      <w:r>
        <w:rPr>
          <w:rFonts w:hint="eastAsia" w:ascii="宋体" w:hAnsi="宋体"/>
          <w:sz w:val="22"/>
          <w:szCs w:val="22"/>
        </w:rPr>
        <w:t>授权代表： 性别 ：</w:t>
      </w:r>
    </w:p>
    <w:p>
      <w:pPr>
        <w:spacing w:line="480" w:lineRule="auto"/>
        <w:ind w:left="2100" w:leftChars="1000" w:firstLine="440" w:firstLineChars="200"/>
        <w:rPr>
          <w:rFonts w:ascii="宋体" w:hAnsi="宋体"/>
          <w:sz w:val="22"/>
          <w:szCs w:val="22"/>
          <w:u w:val="single"/>
        </w:rPr>
      </w:pPr>
      <w:r>
        <w:rPr>
          <w:rFonts w:hint="eastAsia" w:ascii="宋体" w:hAnsi="宋体"/>
          <w:sz w:val="22"/>
          <w:szCs w:val="22"/>
        </w:rPr>
        <w:t>职务：年龄：</w:t>
      </w:r>
    </w:p>
    <w:p>
      <w:pPr>
        <w:spacing w:line="480" w:lineRule="auto"/>
        <w:ind w:left="2100" w:leftChars="1000" w:firstLine="440" w:firstLineChars="200"/>
        <w:rPr>
          <w:rFonts w:ascii="宋体" w:hAnsi="宋体"/>
          <w:sz w:val="22"/>
          <w:szCs w:val="22"/>
          <w:u w:val="single"/>
        </w:rPr>
      </w:pPr>
      <w:r>
        <w:rPr>
          <w:rFonts w:hint="eastAsia" w:ascii="宋体" w:hAnsi="宋体"/>
          <w:sz w:val="22"/>
          <w:szCs w:val="22"/>
        </w:rPr>
        <w:t>详细通讯地址： 邮政编码：</w:t>
      </w:r>
    </w:p>
    <w:p>
      <w:pPr>
        <w:spacing w:line="480" w:lineRule="auto"/>
        <w:ind w:left="1" w:firstLine="2510" w:firstLineChars="1141"/>
        <w:rPr>
          <w:rFonts w:ascii="宋体" w:hAnsi="宋体"/>
          <w:sz w:val="22"/>
          <w:szCs w:val="22"/>
          <w:u w:val="single"/>
        </w:rPr>
      </w:pPr>
      <w:r>
        <w:rPr>
          <w:rFonts w:hint="eastAsia" w:ascii="宋体" w:hAnsi="宋体"/>
          <w:sz w:val="22"/>
          <w:szCs w:val="22"/>
        </w:rPr>
        <w:t>电话： 传真：</w:t>
      </w:r>
    </w:p>
    <w:p>
      <w:pPr>
        <w:spacing w:line="480" w:lineRule="auto"/>
        <w:ind w:left="1" w:firstLine="422" w:firstLineChars="192"/>
        <w:rPr>
          <w:rFonts w:ascii="宋体" w:hAnsi="宋体"/>
          <w:sz w:val="22"/>
          <w:szCs w:val="22"/>
        </w:rPr>
      </w:pPr>
      <w:r>
        <w:rPr>
          <w:rFonts w:hint="eastAsia" w:ascii="宋体" w:hAnsi="宋体"/>
          <w:sz w:val="22"/>
          <w:szCs w:val="22"/>
        </w:rPr>
        <w:t xml:space="preserve">                   投标人：</w:t>
      </w:r>
      <w:r>
        <w:rPr>
          <w:rFonts w:hint="eastAsia" w:ascii="宋体" w:hAnsi="宋体"/>
          <w:sz w:val="22"/>
          <w:szCs w:val="22"/>
          <w:u w:val="single"/>
        </w:rPr>
        <w:t xml:space="preserve">                                      （盖章）</w:t>
      </w:r>
    </w:p>
    <w:p>
      <w:pPr>
        <w:spacing w:line="480" w:lineRule="auto"/>
        <w:ind w:left="2100" w:right="440"/>
        <w:jc w:val="center"/>
        <w:rPr>
          <w:rFonts w:ascii="宋体" w:hAnsi="宋体"/>
          <w:sz w:val="22"/>
          <w:szCs w:val="22"/>
        </w:rPr>
      </w:pPr>
      <w:r>
        <w:rPr>
          <w:rFonts w:hint="eastAsia" w:ascii="宋体" w:hAnsi="宋体"/>
          <w:sz w:val="22"/>
          <w:szCs w:val="22"/>
        </w:rPr>
        <w:t xml:space="preserve">   法定代表人：</w:t>
      </w:r>
      <w:r>
        <w:rPr>
          <w:rFonts w:hint="eastAsia" w:ascii="宋体" w:hAnsi="宋体"/>
          <w:sz w:val="22"/>
          <w:szCs w:val="22"/>
          <w:u w:val="single"/>
        </w:rPr>
        <w:t xml:space="preserve">                        （签字或盖章）</w:t>
      </w:r>
    </w:p>
    <w:p>
      <w:pPr>
        <w:spacing w:line="480" w:lineRule="auto"/>
        <w:ind w:right="440" w:firstLine="3300" w:firstLineChars="1500"/>
        <w:jc w:val="right"/>
        <w:rPr>
          <w:rFonts w:ascii="宋体" w:hAnsi="宋体"/>
          <w:sz w:val="22"/>
          <w:szCs w:val="22"/>
        </w:rPr>
      </w:pPr>
      <w:r>
        <w:rPr>
          <w:rFonts w:hint="eastAsia" w:ascii="宋体" w:hAnsi="宋体"/>
          <w:sz w:val="22"/>
          <w:szCs w:val="22"/>
        </w:rPr>
        <w:t>授权委托日期：年 月日</w:t>
      </w:r>
    </w:p>
    <w:tbl>
      <w:tblPr>
        <w:tblStyle w:val="41"/>
        <w:tblW w:w="7720"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7720" w:type="dxa"/>
            <w:noWrap w:val="0"/>
            <w:vAlign w:val="top"/>
          </w:tcPr>
          <w:p>
            <w:pPr>
              <w:pStyle w:val="24"/>
              <w:spacing w:line="440" w:lineRule="atLeast"/>
              <w:rPr>
                <w:rFonts w:hAnsi="宋体"/>
                <w:b/>
                <w:sz w:val="36"/>
              </w:rPr>
            </w:pPr>
          </w:p>
          <w:p>
            <w:pPr>
              <w:pStyle w:val="24"/>
              <w:spacing w:line="440" w:lineRule="atLeast"/>
              <w:jc w:val="center"/>
              <w:rPr>
                <w:rFonts w:hAnsi="宋体"/>
                <w:b/>
                <w:sz w:val="36"/>
              </w:rPr>
            </w:pPr>
          </w:p>
          <w:p>
            <w:pPr>
              <w:pStyle w:val="24"/>
              <w:spacing w:line="440" w:lineRule="atLeast"/>
              <w:jc w:val="center"/>
              <w:rPr>
                <w:rFonts w:hAnsi="宋体"/>
                <w:b/>
                <w:sz w:val="36"/>
              </w:rPr>
            </w:pPr>
          </w:p>
          <w:p>
            <w:pPr>
              <w:pStyle w:val="24"/>
              <w:spacing w:line="440" w:lineRule="atLeast"/>
              <w:jc w:val="center"/>
              <w:rPr>
                <w:rFonts w:hAnsi="宋体"/>
                <w:b/>
                <w:sz w:val="36"/>
              </w:rPr>
            </w:pPr>
          </w:p>
          <w:p>
            <w:pPr>
              <w:pStyle w:val="24"/>
              <w:spacing w:line="440" w:lineRule="atLeast"/>
              <w:jc w:val="center"/>
              <w:rPr>
                <w:rFonts w:hAnsi="宋体"/>
                <w:b/>
                <w:sz w:val="36"/>
              </w:rPr>
            </w:pPr>
            <w:r>
              <w:rPr>
                <w:rFonts w:hint="eastAsia" w:hAnsi="宋体"/>
                <w:sz w:val="36"/>
              </w:rPr>
              <w:t>（授权代表身份证复印件或影印件）</w:t>
            </w:r>
          </w:p>
          <w:p>
            <w:pPr>
              <w:pStyle w:val="24"/>
              <w:spacing w:line="440" w:lineRule="atLeast"/>
              <w:ind w:left="5271" w:firstLine="1084" w:firstLineChars="300"/>
              <w:rPr>
                <w:rFonts w:hAnsi="宋体"/>
                <w:b/>
                <w:sz w:val="36"/>
              </w:rPr>
            </w:pPr>
          </w:p>
        </w:tc>
      </w:tr>
    </w:tbl>
    <w:p>
      <w:pPr>
        <w:pStyle w:val="39"/>
        <w:rPr>
          <w:rFonts w:ascii="宋体" w:hAnsi="宋体"/>
        </w:rPr>
      </w:pPr>
      <w:bookmarkStart w:id="169" w:name="_Toc97033071"/>
      <w:r>
        <w:rPr>
          <w:rFonts w:hint="eastAsia" w:ascii="宋体" w:hAnsi="宋体"/>
        </w:rPr>
        <w:t>二、报价文件部分格式</w:t>
      </w:r>
      <w:bookmarkEnd w:id="132"/>
      <w:bookmarkEnd w:id="133"/>
      <w:bookmarkEnd w:id="134"/>
      <w:bookmarkEnd w:id="135"/>
      <w:bookmarkEnd w:id="169"/>
    </w:p>
    <w:p>
      <w:pPr>
        <w:widowControl/>
        <w:spacing w:line="460" w:lineRule="atLeast"/>
        <w:jc w:val="left"/>
        <w:rPr>
          <w:rFonts w:hint="eastAsia" w:ascii="宋体" w:hAnsi="宋体"/>
          <w:b/>
          <w:bCs/>
          <w:sz w:val="22"/>
          <w:szCs w:val="22"/>
        </w:rPr>
      </w:pPr>
      <w:r>
        <w:rPr>
          <w:rFonts w:hint="eastAsia" w:ascii="宋体" w:hAnsi="宋体"/>
          <w:b/>
          <w:sz w:val="22"/>
          <w:szCs w:val="22"/>
        </w:rPr>
        <w:t>附</w:t>
      </w:r>
      <w:bookmarkStart w:id="170" w:name="_Toc413747701"/>
      <w:r>
        <w:rPr>
          <w:rFonts w:hint="eastAsia" w:ascii="宋体" w:hAnsi="宋体"/>
          <w:b/>
          <w:sz w:val="22"/>
          <w:szCs w:val="22"/>
        </w:rPr>
        <w:t>件</w:t>
      </w:r>
      <w:bookmarkEnd w:id="170"/>
      <w:r>
        <w:rPr>
          <w:rFonts w:hint="eastAsia" w:ascii="宋体" w:hAnsi="宋体"/>
          <w:b/>
          <w:sz w:val="22"/>
          <w:szCs w:val="22"/>
        </w:rPr>
        <w:t>五</w:t>
      </w:r>
    </w:p>
    <w:p>
      <w:pPr>
        <w:pStyle w:val="39"/>
        <w:rPr>
          <w:rFonts w:ascii="宋体" w:hAnsi="宋体"/>
        </w:rPr>
      </w:pPr>
      <w:bookmarkStart w:id="171" w:name="_Toc42678183"/>
      <w:bookmarkStart w:id="172" w:name="_Toc68188791"/>
      <w:bookmarkStart w:id="173" w:name="_Toc87518417"/>
      <w:bookmarkStart w:id="174" w:name="_Toc42678615"/>
      <w:bookmarkStart w:id="175" w:name="_Toc9334945"/>
      <w:bookmarkStart w:id="176" w:name="_Toc96970930"/>
      <w:bookmarkStart w:id="177" w:name="_Toc65590096"/>
      <w:bookmarkStart w:id="178" w:name="_Toc87518594"/>
      <w:bookmarkStart w:id="179" w:name="_Toc10399"/>
      <w:bookmarkStart w:id="180" w:name="_Toc68189105"/>
      <w:bookmarkStart w:id="181" w:name="_Toc97033072"/>
      <w:bookmarkStart w:id="182" w:name="_Toc42243286"/>
      <w:bookmarkStart w:id="183" w:name="_Toc496618930"/>
      <w:bookmarkStart w:id="184" w:name="_Toc511045476"/>
      <w:bookmarkStart w:id="185" w:name="_Toc518512529"/>
      <w:bookmarkStart w:id="186" w:name="_Toc42678028"/>
      <w:bookmarkStart w:id="187" w:name="_Toc22422"/>
      <w:bookmarkStart w:id="188" w:name="_Toc65830024"/>
      <w:bookmarkStart w:id="189" w:name="_Toc68187555"/>
      <w:bookmarkStart w:id="190" w:name="_Toc19204519"/>
      <w:bookmarkStart w:id="191" w:name="_Toc42678694"/>
      <w:bookmarkStart w:id="192" w:name="_Toc61444215"/>
      <w:bookmarkStart w:id="193" w:name="_Toc522469114"/>
      <w:r>
        <w:rPr>
          <w:rFonts w:hint="eastAsia" w:ascii="宋体" w:hAnsi="宋体"/>
        </w:rPr>
        <w:t>报价一览表</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autoSpaceDE w:val="0"/>
        <w:autoSpaceDN w:val="0"/>
        <w:adjustRightInd w:val="0"/>
        <w:rPr>
          <w:rFonts w:ascii="宋体" w:hAnsi="宋体"/>
          <w:sz w:val="22"/>
          <w:szCs w:val="22"/>
          <w:u w:val="single"/>
          <w:lang w:val="zh-CN"/>
        </w:rPr>
      </w:pPr>
      <w:r>
        <w:rPr>
          <w:rFonts w:hint="eastAsia" w:ascii="宋体" w:hAnsi="宋体"/>
          <w:sz w:val="22"/>
          <w:szCs w:val="22"/>
          <w:lang w:val="zh-CN"/>
        </w:rPr>
        <w:t>投标人名称：采购编号：  报价单位：</w:t>
      </w:r>
      <w:r>
        <w:rPr>
          <w:rFonts w:hint="eastAsia" w:ascii="宋体" w:hAnsi="宋体"/>
          <w:sz w:val="22"/>
          <w:szCs w:val="22"/>
          <w:u w:val="single"/>
          <w:lang w:val="zh-CN"/>
        </w:rPr>
        <w:t>人民币元</w:t>
      </w:r>
    </w:p>
    <w:tbl>
      <w:tblPr>
        <w:tblStyle w:val="41"/>
        <w:tblW w:w="829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68"/>
        <w:gridCol w:w="4539"/>
        <w:gridCol w:w="10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00" w:hRule="atLeast"/>
        </w:trPr>
        <w:tc>
          <w:tcPr>
            <w:tcW w:w="2668" w:type="dxa"/>
            <w:tcBorders>
              <w:right w:val="single" w:color="auto" w:sz="4" w:space="0"/>
            </w:tcBorders>
            <w:noWrap w:val="0"/>
            <w:vAlign w:val="center"/>
          </w:tcPr>
          <w:p>
            <w:pPr>
              <w:pStyle w:val="24"/>
              <w:jc w:val="center"/>
              <w:rPr>
                <w:rFonts w:hAnsi="宋体"/>
                <w:sz w:val="22"/>
              </w:rPr>
            </w:pPr>
            <w:r>
              <w:rPr>
                <w:rFonts w:hint="eastAsia" w:hAnsi="宋体"/>
                <w:sz w:val="22"/>
                <w:szCs w:val="22"/>
              </w:rPr>
              <w:t>项目名称</w:t>
            </w:r>
          </w:p>
        </w:tc>
        <w:tc>
          <w:tcPr>
            <w:tcW w:w="4539" w:type="dxa"/>
            <w:tcBorders>
              <w:left w:val="single" w:color="auto" w:sz="4" w:space="0"/>
            </w:tcBorders>
            <w:noWrap w:val="0"/>
            <w:vAlign w:val="center"/>
          </w:tcPr>
          <w:p>
            <w:pPr>
              <w:pStyle w:val="24"/>
              <w:jc w:val="center"/>
              <w:rPr>
                <w:rFonts w:hint="eastAsia" w:hAnsi="宋体"/>
                <w:sz w:val="22"/>
              </w:rPr>
            </w:pPr>
            <w:r>
              <w:rPr>
                <w:rFonts w:hint="eastAsia" w:hAnsi="宋体"/>
                <w:sz w:val="22"/>
              </w:rPr>
              <w:t>投标报价（元）</w:t>
            </w:r>
          </w:p>
        </w:tc>
        <w:tc>
          <w:tcPr>
            <w:tcW w:w="1091" w:type="dxa"/>
            <w:tcBorders>
              <w:left w:val="single" w:color="auto" w:sz="4" w:space="0"/>
            </w:tcBorders>
            <w:noWrap w:val="0"/>
            <w:vAlign w:val="center"/>
          </w:tcPr>
          <w:p>
            <w:pPr>
              <w:pStyle w:val="24"/>
              <w:jc w:val="center"/>
              <w:rPr>
                <w:rFonts w:hAnsi="宋体"/>
                <w:sz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32" w:hRule="atLeast"/>
        </w:trPr>
        <w:tc>
          <w:tcPr>
            <w:tcW w:w="2668" w:type="dxa"/>
            <w:tcBorders>
              <w:right w:val="single" w:color="auto" w:sz="4" w:space="0"/>
            </w:tcBorders>
            <w:noWrap w:val="0"/>
            <w:vAlign w:val="center"/>
          </w:tcPr>
          <w:p>
            <w:pPr>
              <w:pStyle w:val="24"/>
              <w:jc w:val="center"/>
              <w:rPr>
                <w:rFonts w:hAnsi="宋体"/>
                <w:sz w:val="22"/>
              </w:rPr>
            </w:pPr>
          </w:p>
        </w:tc>
        <w:tc>
          <w:tcPr>
            <w:tcW w:w="4539" w:type="dxa"/>
            <w:tcBorders>
              <w:left w:val="single" w:color="auto" w:sz="4" w:space="0"/>
            </w:tcBorders>
            <w:noWrap w:val="0"/>
            <w:vAlign w:val="center"/>
          </w:tcPr>
          <w:p>
            <w:pPr>
              <w:pStyle w:val="76"/>
              <w:rPr>
                <w:rFonts w:ascii="宋体" w:hAnsi="宋体"/>
                <w:b/>
                <w:bCs/>
                <w:sz w:val="22"/>
              </w:rPr>
            </w:pPr>
            <w:r>
              <w:rPr>
                <w:rFonts w:hint="eastAsia"/>
                <w:b/>
                <w:bCs/>
              </w:rPr>
              <w:t>大</w:t>
            </w:r>
            <w:r>
              <w:rPr>
                <w:rFonts w:hint="eastAsia" w:ascii="宋体" w:hAnsi="宋体"/>
                <w:b/>
                <w:bCs/>
                <w:sz w:val="22"/>
              </w:rPr>
              <w:t>写：</w:t>
            </w:r>
          </w:p>
          <w:p>
            <w:pPr>
              <w:pStyle w:val="76"/>
            </w:pPr>
            <w:r>
              <w:rPr>
                <w:rFonts w:hint="eastAsia" w:ascii="宋体" w:hAnsi="宋体"/>
                <w:b/>
                <w:bCs/>
                <w:sz w:val="22"/>
              </w:rPr>
              <w:t>小写：</w:t>
            </w:r>
          </w:p>
        </w:tc>
        <w:tc>
          <w:tcPr>
            <w:tcW w:w="1091" w:type="dxa"/>
            <w:tcBorders>
              <w:left w:val="single" w:color="auto" w:sz="4" w:space="0"/>
            </w:tcBorders>
            <w:noWrap w:val="0"/>
            <w:vAlign w:val="center"/>
          </w:tcPr>
          <w:p>
            <w:pPr>
              <w:pStyle w:val="76"/>
              <w:rPr>
                <w:rFonts w:hint="eastAsia" w:ascii="宋体" w:hAnsi="宋体"/>
                <w:b/>
                <w:bCs/>
                <w:sz w:val="22"/>
              </w:rPr>
            </w:pPr>
          </w:p>
        </w:tc>
      </w:tr>
    </w:tbl>
    <w:p>
      <w:pPr>
        <w:tabs>
          <w:tab w:val="left" w:pos="540"/>
        </w:tabs>
        <w:spacing w:line="460" w:lineRule="exact"/>
        <w:rPr>
          <w:rFonts w:ascii="宋体" w:hAnsi="宋体" w:cs="宋体"/>
          <w:sz w:val="22"/>
          <w:szCs w:val="22"/>
        </w:rPr>
      </w:pPr>
      <w:r>
        <w:rPr>
          <w:rFonts w:hint="eastAsia" w:ascii="宋体" w:hAnsi="宋体" w:cs="宋体"/>
          <w:sz w:val="22"/>
          <w:szCs w:val="22"/>
        </w:rPr>
        <w:t>说明：</w:t>
      </w:r>
    </w:p>
    <w:p>
      <w:pPr>
        <w:numPr>
          <w:ilvl w:val="0"/>
          <w:numId w:val="8"/>
        </w:numPr>
        <w:autoSpaceDE w:val="0"/>
        <w:autoSpaceDN w:val="0"/>
        <w:adjustRightInd w:val="0"/>
        <w:spacing w:line="400" w:lineRule="atLeast"/>
        <w:rPr>
          <w:rFonts w:ascii="宋体" w:hAnsi="宋体" w:cs="宋体"/>
          <w:b/>
          <w:sz w:val="22"/>
          <w:szCs w:val="22"/>
          <w:u w:val="single"/>
          <w:lang w:val="zh-CN"/>
        </w:rPr>
      </w:pPr>
      <w:r>
        <w:rPr>
          <w:rFonts w:hint="eastAsia" w:ascii="宋体" w:hAnsi="宋体" w:cs="宋体"/>
          <w:b/>
          <w:sz w:val="22"/>
          <w:szCs w:val="22"/>
          <w:u w:val="single"/>
        </w:rPr>
        <w:t>▲开标一览表中投标报价为符合招标文件要求的总报价。</w:t>
      </w:r>
    </w:p>
    <w:p>
      <w:pPr>
        <w:numPr>
          <w:ilvl w:val="0"/>
          <w:numId w:val="8"/>
        </w:numPr>
        <w:autoSpaceDE w:val="0"/>
        <w:autoSpaceDN w:val="0"/>
        <w:adjustRightInd w:val="0"/>
        <w:spacing w:line="400" w:lineRule="atLeast"/>
        <w:rPr>
          <w:rFonts w:ascii="宋体" w:hAnsi="宋体" w:cs="宋体"/>
          <w:b/>
          <w:bCs/>
          <w:kern w:val="0"/>
          <w:sz w:val="22"/>
          <w:szCs w:val="22"/>
          <w:u w:val="wave"/>
          <w:lang w:val="zh-CN"/>
        </w:rPr>
      </w:pPr>
      <w:r>
        <w:rPr>
          <w:rFonts w:hint="eastAsia" w:ascii="宋体" w:hAnsi="宋体" w:cs="宋体"/>
          <w:b/>
          <w:sz w:val="22"/>
          <w:szCs w:val="22"/>
          <w:u w:val="single"/>
        </w:rPr>
        <w:t>▲</w:t>
      </w:r>
      <w:r>
        <w:rPr>
          <w:rFonts w:hint="eastAsia" w:ascii="宋体" w:hAnsi="宋体" w:cs="宋体"/>
          <w:b/>
          <w:bCs/>
          <w:sz w:val="22"/>
          <w:szCs w:val="22"/>
          <w:u w:val="single"/>
        </w:rPr>
        <w:t>不提供此表格将被视为没有实质性响应招标文件。</w:t>
      </w:r>
    </w:p>
    <w:p>
      <w:pPr>
        <w:numPr>
          <w:ilvl w:val="0"/>
          <w:numId w:val="8"/>
        </w:numPr>
        <w:autoSpaceDE w:val="0"/>
        <w:autoSpaceDN w:val="0"/>
        <w:adjustRightInd w:val="0"/>
        <w:spacing w:line="400" w:lineRule="atLeast"/>
        <w:rPr>
          <w:rFonts w:ascii="宋体" w:hAnsi="宋体" w:cs="宋体"/>
          <w:b/>
          <w:bCs/>
          <w:kern w:val="0"/>
          <w:sz w:val="22"/>
          <w:szCs w:val="22"/>
          <w:u w:val="single"/>
          <w:lang w:val="zh-CN"/>
        </w:rPr>
      </w:pPr>
      <w:r>
        <w:rPr>
          <w:rFonts w:hint="eastAsia" w:ascii="宋体" w:hAnsi="宋体" w:cs="宋体"/>
          <w:b/>
          <w:sz w:val="22"/>
          <w:szCs w:val="22"/>
          <w:u w:val="single"/>
        </w:rPr>
        <w:t>▲</w:t>
      </w:r>
      <w:r>
        <w:rPr>
          <w:rFonts w:hint="eastAsia" w:ascii="宋体" w:hAnsi="宋体" w:cs="宋体"/>
          <w:b/>
          <w:bCs/>
          <w:sz w:val="22"/>
          <w:szCs w:val="22"/>
          <w:u w:val="single"/>
        </w:rPr>
        <w:t>投标总价须与投标分项报价表中的总计价相一致。</w:t>
      </w:r>
    </w:p>
    <w:p>
      <w:pPr>
        <w:autoSpaceDE w:val="0"/>
        <w:autoSpaceDN w:val="0"/>
        <w:adjustRightInd w:val="0"/>
        <w:spacing w:line="500" w:lineRule="atLeast"/>
        <w:rPr>
          <w:rFonts w:ascii="宋体" w:hAnsi="宋体" w:cs="仿宋_GB2312"/>
          <w:sz w:val="30"/>
          <w:szCs w:val="30"/>
        </w:rPr>
      </w:pPr>
    </w:p>
    <w:p>
      <w:pPr>
        <w:spacing w:line="360" w:lineRule="auto"/>
        <w:ind w:left="359" w:leftChars="171"/>
        <w:rPr>
          <w:rFonts w:ascii="宋体" w:hAnsi="宋体" w:cs="Arial"/>
          <w:sz w:val="22"/>
          <w:szCs w:val="22"/>
        </w:rPr>
      </w:pPr>
      <w:r>
        <w:rPr>
          <w:rFonts w:ascii="宋体" w:hAnsi="宋体" w:cs="Arial"/>
          <w:sz w:val="22"/>
          <w:szCs w:val="22"/>
        </w:rPr>
        <w:t>投标人全称（盖章）：</w:t>
      </w:r>
    </w:p>
    <w:p>
      <w:pPr>
        <w:spacing w:line="360" w:lineRule="auto"/>
        <w:ind w:left="359" w:leftChars="171"/>
        <w:rPr>
          <w:rFonts w:ascii="宋体" w:hAnsi="宋体" w:cs="Arial"/>
          <w:sz w:val="22"/>
          <w:szCs w:val="22"/>
        </w:rPr>
      </w:pPr>
      <w:r>
        <w:rPr>
          <w:rFonts w:ascii="宋体" w:hAnsi="宋体" w:cs="Arial"/>
          <w:sz w:val="22"/>
          <w:szCs w:val="22"/>
        </w:rPr>
        <w:t>法定代表人或授权代表（签字）：</w:t>
      </w:r>
    </w:p>
    <w:p>
      <w:pPr>
        <w:spacing w:line="360" w:lineRule="auto"/>
        <w:ind w:firstLine="330" w:firstLineChars="150"/>
        <w:rPr>
          <w:rFonts w:ascii="宋体" w:hAnsi="宋体" w:cs="Arial"/>
          <w:sz w:val="22"/>
          <w:szCs w:val="22"/>
        </w:rPr>
      </w:pPr>
      <w:r>
        <w:rPr>
          <w:rFonts w:ascii="宋体" w:hAnsi="宋体" w:cs="Arial"/>
          <w:sz w:val="22"/>
          <w:szCs w:val="22"/>
        </w:rPr>
        <w:t>日 期：       年      月     日</w:t>
      </w:r>
    </w:p>
    <w:p>
      <w:pPr>
        <w:pStyle w:val="3"/>
        <w:ind w:firstLine="210"/>
      </w:pPr>
      <w:r>
        <w:br w:type="page"/>
      </w:r>
    </w:p>
    <w:p>
      <w:pPr>
        <w:widowControl/>
        <w:spacing w:line="460" w:lineRule="atLeast"/>
        <w:jc w:val="left"/>
        <w:rPr>
          <w:rFonts w:hint="eastAsia" w:ascii="宋体" w:hAnsi="宋体"/>
          <w:b/>
          <w:bCs/>
          <w:sz w:val="22"/>
          <w:szCs w:val="22"/>
        </w:rPr>
      </w:pPr>
      <w:r>
        <w:rPr>
          <w:rFonts w:hint="eastAsia" w:ascii="宋体" w:hAnsi="宋体"/>
          <w:b/>
          <w:sz w:val="22"/>
          <w:szCs w:val="22"/>
        </w:rPr>
        <w:t>附件六</w:t>
      </w:r>
    </w:p>
    <w:p>
      <w:pPr>
        <w:autoSpaceDE w:val="0"/>
        <w:autoSpaceDN w:val="0"/>
        <w:adjustRightInd w:val="0"/>
        <w:spacing w:line="360" w:lineRule="atLeast"/>
        <w:ind w:right="220"/>
        <w:jc w:val="right"/>
        <w:textAlignment w:val="baseline"/>
        <w:rPr>
          <w:rFonts w:ascii="宋体"/>
          <w:b/>
          <w:sz w:val="22"/>
        </w:rPr>
      </w:pPr>
    </w:p>
    <w:p>
      <w:pPr>
        <w:autoSpaceDE w:val="0"/>
        <w:autoSpaceDN w:val="0"/>
        <w:adjustRightInd w:val="0"/>
        <w:spacing w:line="360" w:lineRule="atLeast"/>
        <w:ind w:right="220"/>
        <w:jc w:val="center"/>
        <w:textAlignment w:val="baseline"/>
        <w:rPr>
          <w:rFonts w:ascii="宋体"/>
          <w:b/>
          <w:sz w:val="22"/>
        </w:rPr>
      </w:pPr>
      <w:r>
        <w:rPr>
          <w:rFonts w:hint="eastAsia" w:ascii="宋体" w:hAnsi="宋体" w:cs="宋体"/>
          <w:b/>
          <w:bCs/>
          <w:kern w:val="0"/>
          <w:sz w:val="28"/>
          <w:szCs w:val="28"/>
          <w:lang w:val="zh-CN"/>
        </w:rPr>
        <w:t>投标分项报价表</w:t>
      </w:r>
    </w:p>
    <w:p>
      <w:pPr>
        <w:autoSpaceDE w:val="0"/>
        <w:autoSpaceDN w:val="0"/>
        <w:adjustRightInd w:val="0"/>
        <w:spacing w:line="360" w:lineRule="atLeast"/>
        <w:ind w:right="220"/>
        <w:jc w:val="right"/>
        <w:textAlignment w:val="baseline"/>
        <w:rPr>
          <w:rFonts w:ascii="宋体"/>
          <w:sz w:val="32"/>
          <w:lang w:val="zh-CN"/>
        </w:rPr>
      </w:pPr>
      <w:r>
        <w:rPr>
          <w:rFonts w:hint="eastAsia" w:ascii="宋体"/>
          <w:b/>
          <w:sz w:val="22"/>
        </w:rPr>
        <w:t>价格单位：</w:t>
      </w:r>
      <w:r>
        <w:rPr>
          <w:rFonts w:hint="eastAsia" w:ascii="宋体"/>
          <w:b/>
          <w:sz w:val="22"/>
          <w:u w:val="single"/>
        </w:rPr>
        <w:t xml:space="preserve">元 </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366"/>
        <w:gridCol w:w="3207"/>
        <w:gridCol w:w="1134"/>
        <w:gridCol w:w="113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27" w:type="pct"/>
            <w:noWrap w:val="0"/>
            <w:vAlign w:val="center"/>
          </w:tcPr>
          <w:p>
            <w:pPr>
              <w:jc w:val="center"/>
              <w:rPr>
                <w:rFonts w:ascii="宋体"/>
                <w:b/>
                <w:sz w:val="22"/>
              </w:rPr>
            </w:pPr>
            <w:r>
              <w:rPr>
                <w:rFonts w:hint="eastAsia" w:ascii="宋体"/>
                <w:b/>
                <w:sz w:val="22"/>
              </w:rPr>
              <w:t>序号</w:t>
            </w:r>
          </w:p>
        </w:tc>
        <w:tc>
          <w:tcPr>
            <w:tcW w:w="783" w:type="pct"/>
            <w:noWrap w:val="0"/>
            <w:vAlign w:val="center"/>
          </w:tcPr>
          <w:p>
            <w:pPr>
              <w:jc w:val="center"/>
              <w:rPr>
                <w:rFonts w:ascii="宋体"/>
                <w:b/>
                <w:sz w:val="22"/>
              </w:rPr>
            </w:pPr>
            <w:r>
              <w:rPr>
                <w:rFonts w:hint="eastAsia" w:ascii="宋体"/>
                <w:b/>
                <w:sz w:val="22"/>
              </w:rPr>
              <w:t>名称</w:t>
            </w:r>
          </w:p>
        </w:tc>
        <w:tc>
          <w:tcPr>
            <w:tcW w:w="1839" w:type="pct"/>
            <w:noWrap w:val="0"/>
            <w:vAlign w:val="center"/>
          </w:tcPr>
          <w:p>
            <w:pPr>
              <w:jc w:val="center"/>
              <w:rPr>
                <w:rFonts w:ascii="宋体"/>
                <w:b/>
                <w:sz w:val="22"/>
              </w:rPr>
            </w:pPr>
            <w:r>
              <w:rPr>
                <w:rFonts w:hint="eastAsia" w:ascii="宋体"/>
                <w:b/>
                <w:sz w:val="22"/>
              </w:rPr>
              <w:t>规格</w:t>
            </w:r>
          </w:p>
        </w:tc>
        <w:tc>
          <w:tcPr>
            <w:tcW w:w="650" w:type="pct"/>
            <w:noWrap w:val="0"/>
            <w:vAlign w:val="center"/>
          </w:tcPr>
          <w:p>
            <w:pPr>
              <w:jc w:val="center"/>
              <w:rPr>
                <w:rFonts w:ascii="宋体"/>
                <w:b/>
                <w:sz w:val="22"/>
              </w:rPr>
            </w:pPr>
            <w:r>
              <w:rPr>
                <w:rFonts w:hint="eastAsia" w:ascii="宋体"/>
                <w:b/>
                <w:sz w:val="22"/>
              </w:rPr>
              <w:t>数量</w:t>
            </w:r>
          </w:p>
        </w:tc>
        <w:tc>
          <w:tcPr>
            <w:tcW w:w="651" w:type="pct"/>
            <w:noWrap w:val="0"/>
            <w:vAlign w:val="center"/>
          </w:tcPr>
          <w:p>
            <w:pPr>
              <w:jc w:val="center"/>
              <w:rPr>
                <w:rFonts w:ascii="宋体"/>
                <w:b/>
                <w:sz w:val="22"/>
              </w:rPr>
            </w:pPr>
            <w:r>
              <w:rPr>
                <w:rFonts w:hint="eastAsia" w:ascii="宋体"/>
                <w:b/>
                <w:sz w:val="22"/>
              </w:rPr>
              <w:t>单价</w:t>
            </w:r>
          </w:p>
        </w:tc>
        <w:tc>
          <w:tcPr>
            <w:tcW w:w="651" w:type="pct"/>
            <w:noWrap w:val="0"/>
            <w:vAlign w:val="center"/>
          </w:tcPr>
          <w:p>
            <w:pPr>
              <w:jc w:val="center"/>
              <w:rPr>
                <w:rFonts w:ascii="宋体"/>
                <w:b/>
                <w:sz w:val="22"/>
              </w:rPr>
            </w:pPr>
            <w:r>
              <w:rPr>
                <w:rFonts w:hint="eastAsia" w:ascii="宋体"/>
                <w:b/>
                <w:sz w:val="22"/>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7" w:type="pct"/>
            <w:noWrap w:val="0"/>
            <w:vAlign w:val="center"/>
          </w:tcPr>
          <w:p>
            <w:pPr>
              <w:jc w:val="center"/>
              <w:rPr>
                <w:rFonts w:ascii="宋体"/>
                <w:b/>
                <w:sz w:val="22"/>
              </w:rPr>
            </w:pPr>
            <w:r>
              <w:rPr>
                <w:rFonts w:hint="eastAsia" w:ascii="宋体"/>
                <w:b/>
                <w:sz w:val="22"/>
              </w:rPr>
              <w:t>1</w:t>
            </w:r>
          </w:p>
        </w:tc>
        <w:tc>
          <w:tcPr>
            <w:tcW w:w="783" w:type="pct"/>
            <w:noWrap w:val="0"/>
            <w:vAlign w:val="center"/>
          </w:tcPr>
          <w:p>
            <w:pPr>
              <w:ind w:right="496" w:rightChars="236"/>
              <w:jc w:val="center"/>
              <w:rPr>
                <w:rFonts w:ascii="宋体"/>
                <w:b/>
                <w:sz w:val="22"/>
              </w:rPr>
            </w:pPr>
          </w:p>
        </w:tc>
        <w:tc>
          <w:tcPr>
            <w:tcW w:w="1839" w:type="pct"/>
            <w:noWrap w:val="0"/>
            <w:vAlign w:val="center"/>
          </w:tcPr>
          <w:p>
            <w:pPr>
              <w:jc w:val="center"/>
              <w:rPr>
                <w:rFonts w:ascii="宋体"/>
                <w:b/>
                <w:sz w:val="22"/>
              </w:rPr>
            </w:pPr>
          </w:p>
        </w:tc>
        <w:tc>
          <w:tcPr>
            <w:tcW w:w="650" w:type="pct"/>
            <w:noWrap w:val="0"/>
            <w:vAlign w:val="center"/>
          </w:tcPr>
          <w:p>
            <w:pPr>
              <w:snapToGrid w:val="0"/>
              <w:spacing w:line="400" w:lineRule="atLeast"/>
              <w:jc w:val="center"/>
              <w:rPr>
                <w:rFonts w:ascii="宋体"/>
                <w:b/>
                <w:sz w:val="22"/>
              </w:rPr>
            </w:pPr>
          </w:p>
        </w:tc>
        <w:tc>
          <w:tcPr>
            <w:tcW w:w="651" w:type="pct"/>
            <w:noWrap w:val="0"/>
            <w:vAlign w:val="center"/>
          </w:tcPr>
          <w:p>
            <w:pPr>
              <w:jc w:val="center"/>
              <w:rPr>
                <w:rFonts w:ascii="宋体"/>
                <w:b/>
                <w:sz w:val="22"/>
              </w:rPr>
            </w:pPr>
          </w:p>
        </w:tc>
        <w:tc>
          <w:tcPr>
            <w:tcW w:w="651" w:type="pct"/>
            <w:noWrap w:val="0"/>
            <w:vAlign w:val="center"/>
          </w:tcPr>
          <w:p>
            <w:pPr>
              <w:jc w:val="center"/>
              <w:rPr>
                <w:rFonts w:asci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7" w:type="pct"/>
            <w:noWrap w:val="0"/>
            <w:vAlign w:val="center"/>
          </w:tcPr>
          <w:p>
            <w:pPr>
              <w:jc w:val="center"/>
              <w:rPr>
                <w:rFonts w:ascii="宋体"/>
                <w:b/>
                <w:sz w:val="22"/>
              </w:rPr>
            </w:pPr>
            <w:r>
              <w:rPr>
                <w:rFonts w:hint="eastAsia" w:ascii="宋体"/>
                <w:b/>
                <w:sz w:val="22"/>
              </w:rPr>
              <w:t>2</w:t>
            </w:r>
          </w:p>
        </w:tc>
        <w:tc>
          <w:tcPr>
            <w:tcW w:w="783" w:type="pct"/>
            <w:noWrap w:val="0"/>
            <w:vAlign w:val="center"/>
          </w:tcPr>
          <w:p>
            <w:pPr>
              <w:jc w:val="center"/>
              <w:rPr>
                <w:rFonts w:ascii="宋体"/>
                <w:b/>
                <w:sz w:val="22"/>
              </w:rPr>
            </w:pPr>
          </w:p>
        </w:tc>
        <w:tc>
          <w:tcPr>
            <w:tcW w:w="1839" w:type="pct"/>
            <w:noWrap w:val="0"/>
            <w:vAlign w:val="center"/>
          </w:tcPr>
          <w:p>
            <w:pPr>
              <w:jc w:val="center"/>
              <w:rPr>
                <w:rFonts w:ascii="宋体"/>
                <w:b/>
                <w:sz w:val="22"/>
              </w:rPr>
            </w:pPr>
          </w:p>
        </w:tc>
        <w:tc>
          <w:tcPr>
            <w:tcW w:w="650" w:type="pct"/>
            <w:noWrap w:val="0"/>
            <w:vAlign w:val="center"/>
          </w:tcPr>
          <w:p>
            <w:pPr>
              <w:snapToGrid w:val="0"/>
              <w:spacing w:line="400" w:lineRule="atLeast"/>
              <w:jc w:val="center"/>
              <w:rPr>
                <w:rFonts w:ascii="宋体"/>
                <w:b/>
                <w:sz w:val="22"/>
              </w:rPr>
            </w:pPr>
          </w:p>
        </w:tc>
        <w:tc>
          <w:tcPr>
            <w:tcW w:w="651" w:type="pct"/>
            <w:noWrap w:val="0"/>
            <w:vAlign w:val="center"/>
          </w:tcPr>
          <w:p>
            <w:pPr>
              <w:jc w:val="center"/>
              <w:rPr>
                <w:rFonts w:ascii="宋体"/>
                <w:b/>
                <w:sz w:val="22"/>
              </w:rPr>
            </w:pPr>
          </w:p>
        </w:tc>
        <w:tc>
          <w:tcPr>
            <w:tcW w:w="651" w:type="pct"/>
            <w:noWrap w:val="0"/>
            <w:vAlign w:val="center"/>
          </w:tcPr>
          <w:p>
            <w:pPr>
              <w:jc w:val="center"/>
              <w:rPr>
                <w:rFonts w:asci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7" w:type="pct"/>
            <w:noWrap w:val="0"/>
            <w:vAlign w:val="center"/>
          </w:tcPr>
          <w:p>
            <w:pPr>
              <w:jc w:val="center"/>
              <w:rPr>
                <w:rFonts w:ascii="宋体"/>
                <w:b/>
                <w:sz w:val="22"/>
              </w:rPr>
            </w:pPr>
            <w:r>
              <w:rPr>
                <w:rFonts w:hint="eastAsia" w:ascii="宋体"/>
                <w:b/>
                <w:sz w:val="22"/>
              </w:rPr>
              <w:t>3</w:t>
            </w:r>
          </w:p>
        </w:tc>
        <w:tc>
          <w:tcPr>
            <w:tcW w:w="783" w:type="pct"/>
            <w:noWrap w:val="0"/>
            <w:vAlign w:val="center"/>
          </w:tcPr>
          <w:p>
            <w:pPr>
              <w:jc w:val="center"/>
              <w:rPr>
                <w:rFonts w:ascii="宋体"/>
                <w:b/>
                <w:sz w:val="22"/>
              </w:rPr>
            </w:pPr>
          </w:p>
        </w:tc>
        <w:tc>
          <w:tcPr>
            <w:tcW w:w="1839" w:type="pct"/>
            <w:noWrap w:val="0"/>
            <w:vAlign w:val="center"/>
          </w:tcPr>
          <w:p>
            <w:pPr>
              <w:jc w:val="center"/>
              <w:rPr>
                <w:rFonts w:ascii="宋体"/>
                <w:b/>
                <w:sz w:val="22"/>
              </w:rPr>
            </w:pPr>
          </w:p>
        </w:tc>
        <w:tc>
          <w:tcPr>
            <w:tcW w:w="650" w:type="pct"/>
            <w:noWrap w:val="0"/>
            <w:vAlign w:val="center"/>
          </w:tcPr>
          <w:p>
            <w:pPr>
              <w:snapToGrid w:val="0"/>
              <w:spacing w:line="400" w:lineRule="atLeast"/>
              <w:jc w:val="center"/>
              <w:rPr>
                <w:rFonts w:ascii="宋体"/>
                <w:b/>
                <w:sz w:val="22"/>
              </w:rPr>
            </w:pPr>
          </w:p>
        </w:tc>
        <w:tc>
          <w:tcPr>
            <w:tcW w:w="651" w:type="pct"/>
            <w:noWrap w:val="0"/>
            <w:vAlign w:val="center"/>
          </w:tcPr>
          <w:p>
            <w:pPr>
              <w:jc w:val="center"/>
              <w:rPr>
                <w:rFonts w:ascii="宋体"/>
                <w:b/>
                <w:sz w:val="22"/>
              </w:rPr>
            </w:pPr>
          </w:p>
        </w:tc>
        <w:tc>
          <w:tcPr>
            <w:tcW w:w="651" w:type="pct"/>
            <w:noWrap w:val="0"/>
            <w:vAlign w:val="center"/>
          </w:tcPr>
          <w:p>
            <w:pPr>
              <w:jc w:val="center"/>
              <w:rPr>
                <w:rFonts w:asci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7" w:type="pct"/>
            <w:noWrap w:val="0"/>
            <w:vAlign w:val="center"/>
          </w:tcPr>
          <w:p>
            <w:pPr>
              <w:jc w:val="center"/>
              <w:rPr>
                <w:rFonts w:ascii="宋体"/>
                <w:b/>
                <w:sz w:val="22"/>
              </w:rPr>
            </w:pPr>
            <w:r>
              <w:rPr>
                <w:rFonts w:hint="eastAsia" w:ascii="宋体"/>
                <w:b/>
                <w:sz w:val="22"/>
              </w:rPr>
              <w:t>4</w:t>
            </w:r>
          </w:p>
        </w:tc>
        <w:tc>
          <w:tcPr>
            <w:tcW w:w="783" w:type="pct"/>
            <w:noWrap w:val="0"/>
            <w:vAlign w:val="center"/>
          </w:tcPr>
          <w:p>
            <w:pPr>
              <w:jc w:val="center"/>
              <w:rPr>
                <w:rFonts w:ascii="宋体"/>
                <w:b/>
                <w:sz w:val="22"/>
              </w:rPr>
            </w:pPr>
          </w:p>
        </w:tc>
        <w:tc>
          <w:tcPr>
            <w:tcW w:w="1839" w:type="pct"/>
            <w:noWrap w:val="0"/>
            <w:vAlign w:val="center"/>
          </w:tcPr>
          <w:p>
            <w:pPr>
              <w:jc w:val="center"/>
              <w:rPr>
                <w:rFonts w:ascii="宋体"/>
                <w:b/>
                <w:sz w:val="22"/>
              </w:rPr>
            </w:pPr>
          </w:p>
        </w:tc>
        <w:tc>
          <w:tcPr>
            <w:tcW w:w="650" w:type="pct"/>
            <w:noWrap w:val="0"/>
            <w:vAlign w:val="center"/>
          </w:tcPr>
          <w:p>
            <w:pPr>
              <w:snapToGrid w:val="0"/>
              <w:spacing w:line="400" w:lineRule="atLeast"/>
              <w:jc w:val="center"/>
              <w:rPr>
                <w:rFonts w:ascii="宋体"/>
                <w:b/>
                <w:sz w:val="22"/>
              </w:rPr>
            </w:pPr>
          </w:p>
        </w:tc>
        <w:tc>
          <w:tcPr>
            <w:tcW w:w="651" w:type="pct"/>
            <w:noWrap w:val="0"/>
            <w:vAlign w:val="center"/>
          </w:tcPr>
          <w:p>
            <w:pPr>
              <w:jc w:val="center"/>
              <w:rPr>
                <w:rFonts w:ascii="宋体"/>
                <w:b/>
                <w:sz w:val="22"/>
              </w:rPr>
            </w:pPr>
          </w:p>
        </w:tc>
        <w:tc>
          <w:tcPr>
            <w:tcW w:w="651" w:type="pct"/>
            <w:noWrap w:val="0"/>
            <w:vAlign w:val="center"/>
          </w:tcPr>
          <w:p>
            <w:pPr>
              <w:jc w:val="center"/>
              <w:rPr>
                <w:rFonts w:asci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7" w:type="pct"/>
            <w:noWrap w:val="0"/>
            <w:vAlign w:val="center"/>
          </w:tcPr>
          <w:p>
            <w:pPr>
              <w:jc w:val="center"/>
              <w:rPr>
                <w:rFonts w:ascii="宋体"/>
                <w:b/>
                <w:sz w:val="22"/>
              </w:rPr>
            </w:pPr>
            <w:r>
              <w:rPr>
                <w:rFonts w:hint="eastAsia" w:ascii="宋体"/>
                <w:b/>
                <w:sz w:val="22"/>
              </w:rPr>
              <w:t>5</w:t>
            </w:r>
          </w:p>
        </w:tc>
        <w:tc>
          <w:tcPr>
            <w:tcW w:w="783" w:type="pct"/>
            <w:noWrap w:val="0"/>
            <w:vAlign w:val="center"/>
          </w:tcPr>
          <w:p>
            <w:pPr>
              <w:jc w:val="center"/>
              <w:rPr>
                <w:rFonts w:ascii="宋体"/>
                <w:b/>
                <w:sz w:val="22"/>
              </w:rPr>
            </w:pPr>
          </w:p>
        </w:tc>
        <w:tc>
          <w:tcPr>
            <w:tcW w:w="1839" w:type="pct"/>
            <w:noWrap w:val="0"/>
            <w:vAlign w:val="center"/>
          </w:tcPr>
          <w:p>
            <w:pPr>
              <w:jc w:val="center"/>
              <w:rPr>
                <w:rFonts w:ascii="宋体"/>
                <w:b/>
                <w:sz w:val="22"/>
              </w:rPr>
            </w:pPr>
          </w:p>
        </w:tc>
        <w:tc>
          <w:tcPr>
            <w:tcW w:w="650" w:type="pct"/>
            <w:noWrap w:val="0"/>
            <w:vAlign w:val="center"/>
          </w:tcPr>
          <w:p>
            <w:pPr>
              <w:snapToGrid w:val="0"/>
              <w:spacing w:line="400" w:lineRule="atLeast"/>
              <w:jc w:val="center"/>
              <w:rPr>
                <w:rFonts w:ascii="宋体"/>
                <w:b/>
                <w:sz w:val="22"/>
              </w:rPr>
            </w:pPr>
          </w:p>
        </w:tc>
        <w:tc>
          <w:tcPr>
            <w:tcW w:w="651" w:type="pct"/>
            <w:noWrap w:val="0"/>
            <w:vAlign w:val="center"/>
          </w:tcPr>
          <w:p>
            <w:pPr>
              <w:jc w:val="center"/>
              <w:rPr>
                <w:rFonts w:ascii="宋体"/>
                <w:b/>
                <w:sz w:val="22"/>
              </w:rPr>
            </w:pPr>
          </w:p>
        </w:tc>
        <w:tc>
          <w:tcPr>
            <w:tcW w:w="651" w:type="pct"/>
            <w:noWrap w:val="0"/>
            <w:vAlign w:val="center"/>
          </w:tcPr>
          <w:p>
            <w:pPr>
              <w:jc w:val="center"/>
              <w:rPr>
                <w:rFonts w:asci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7" w:type="pct"/>
            <w:noWrap w:val="0"/>
            <w:vAlign w:val="center"/>
          </w:tcPr>
          <w:p>
            <w:pPr>
              <w:jc w:val="center"/>
              <w:rPr>
                <w:rFonts w:ascii="宋体"/>
                <w:b/>
                <w:sz w:val="22"/>
              </w:rPr>
            </w:pPr>
            <w:r>
              <w:rPr>
                <w:rFonts w:hint="eastAsia" w:ascii="宋体"/>
                <w:b/>
                <w:sz w:val="22"/>
              </w:rPr>
              <w:t>…</w:t>
            </w:r>
          </w:p>
        </w:tc>
        <w:tc>
          <w:tcPr>
            <w:tcW w:w="783" w:type="pct"/>
            <w:noWrap w:val="0"/>
            <w:vAlign w:val="center"/>
          </w:tcPr>
          <w:p>
            <w:pPr>
              <w:jc w:val="center"/>
              <w:rPr>
                <w:rFonts w:ascii="宋体"/>
                <w:b/>
                <w:sz w:val="22"/>
              </w:rPr>
            </w:pPr>
          </w:p>
        </w:tc>
        <w:tc>
          <w:tcPr>
            <w:tcW w:w="1839" w:type="pct"/>
            <w:noWrap w:val="0"/>
            <w:vAlign w:val="center"/>
          </w:tcPr>
          <w:p>
            <w:pPr>
              <w:jc w:val="center"/>
              <w:rPr>
                <w:rFonts w:ascii="宋体"/>
                <w:b/>
                <w:sz w:val="22"/>
              </w:rPr>
            </w:pPr>
          </w:p>
        </w:tc>
        <w:tc>
          <w:tcPr>
            <w:tcW w:w="650" w:type="pct"/>
            <w:noWrap w:val="0"/>
            <w:vAlign w:val="center"/>
          </w:tcPr>
          <w:p>
            <w:pPr>
              <w:snapToGrid w:val="0"/>
              <w:spacing w:line="400" w:lineRule="atLeast"/>
              <w:jc w:val="center"/>
              <w:rPr>
                <w:rFonts w:ascii="宋体"/>
                <w:b/>
                <w:sz w:val="22"/>
              </w:rPr>
            </w:pPr>
          </w:p>
        </w:tc>
        <w:tc>
          <w:tcPr>
            <w:tcW w:w="651" w:type="pct"/>
            <w:noWrap w:val="0"/>
            <w:vAlign w:val="center"/>
          </w:tcPr>
          <w:p>
            <w:pPr>
              <w:jc w:val="center"/>
              <w:rPr>
                <w:rFonts w:ascii="宋体"/>
                <w:b/>
                <w:sz w:val="22"/>
              </w:rPr>
            </w:pPr>
          </w:p>
        </w:tc>
        <w:tc>
          <w:tcPr>
            <w:tcW w:w="651" w:type="pct"/>
            <w:noWrap w:val="0"/>
            <w:vAlign w:val="center"/>
          </w:tcPr>
          <w:p>
            <w:pPr>
              <w:jc w:val="center"/>
              <w:rPr>
                <w:rFonts w:asci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7" w:type="pct"/>
            <w:noWrap w:val="0"/>
            <w:vAlign w:val="center"/>
          </w:tcPr>
          <w:p>
            <w:pPr>
              <w:jc w:val="center"/>
              <w:rPr>
                <w:rFonts w:ascii="宋体"/>
                <w:b/>
                <w:sz w:val="22"/>
              </w:rPr>
            </w:pPr>
            <w:r>
              <w:rPr>
                <w:rFonts w:hint="eastAsia" w:ascii="宋体"/>
                <w:b/>
                <w:sz w:val="22"/>
              </w:rPr>
              <w:t>.</w:t>
            </w:r>
          </w:p>
        </w:tc>
        <w:tc>
          <w:tcPr>
            <w:tcW w:w="783" w:type="pct"/>
            <w:noWrap w:val="0"/>
            <w:vAlign w:val="center"/>
          </w:tcPr>
          <w:p>
            <w:pPr>
              <w:jc w:val="center"/>
              <w:rPr>
                <w:rFonts w:ascii="宋体"/>
                <w:b/>
                <w:sz w:val="22"/>
              </w:rPr>
            </w:pPr>
          </w:p>
        </w:tc>
        <w:tc>
          <w:tcPr>
            <w:tcW w:w="1839" w:type="pct"/>
            <w:noWrap w:val="0"/>
            <w:vAlign w:val="center"/>
          </w:tcPr>
          <w:p>
            <w:pPr>
              <w:jc w:val="center"/>
              <w:rPr>
                <w:rFonts w:ascii="宋体"/>
                <w:b/>
                <w:sz w:val="22"/>
              </w:rPr>
            </w:pPr>
          </w:p>
        </w:tc>
        <w:tc>
          <w:tcPr>
            <w:tcW w:w="650" w:type="pct"/>
            <w:noWrap w:val="0"/>
            <w:vAlign w:val="center"/>
          </w:tcPr>
          <w:p>
            <w:pPr>
              <w:snapToGrid w:val="0"/>
              <w:spacing w:line="400" w:lineRule="atLeast"/>
              <w:jc w:val="center"/>
              <w:rPr>
                <w:rFonts w:ascii="宋体"/>
                <w:b/>
                <w:sz w:val="22"/>
              </w:rPr>
            </w:pPr>
          </w:p>
        </w:tc>
        <w:tc>
          <w:tcPr>
            <w:tcW w:w="651" w:type="pct"/>
            <w:noWrap w:val="0"/>
            <w:vAlign w:val="center"/>
          </w:tcPr>
          <w:p>
            <w:pPr>
              <w:jc w:val="center"/>
              <w:rPr>
                <w:rFonts w:ascii="宋体"/>
                <w:b/>
                <w:sz w:val="22"/>
              </w:rPr>
            </w:pPr>
          </w:p>
        </w:tc>
        <w:tc>
          <w:tcPr>
            <w:tcW w:w="651" w:type="pct"/>
            <w:noWrap w:val="0"/>
            <w:vAlign w:val="center"/>
          </w:tcPr>
          <w:p>
            <w:pPr>
              <w:jc w:val="center"/>
              <w:rPr>
                <w:rFonts w:asci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49" w:type="pct"/>
            <w:gridSpan w:val="3"/>
            <w:noWrap w:val="0"/>
            <w:vAlign w:val="center"/>
          </w:tcPr>
          <w:p>
            <w:pPr>
              <w:jc w:val="center"/>
              <w:rPr>
                <w:rFonts w:ascii="宋体"/>
                <w:b/>
                <w:sz w:val="22"/>
              </w:rPr>
            </w:pPr>
            <w:r>
              <w:rPr>
                <w:rFonts w:hint="eastAsia" w:ascii="宋体"/>
                <w:b/>
                <w:sz w:val="22"/>
              </w:rPr>
              <w:t>合计价</w:t>
            </w:r>
          </w:p>
        </w:tc>
        <w:tc>
          <w:tcPr>
            <w:tcW w:w="1951" w:type="pct"/>
            <w:gridSpan w:val="3"/>
            <w:noWrap w:val="0"/>
            <w:vAlign w:val="center"/>
          </w:tcPr>
          <w:p>
            <w:pPr>
              <w:jc w:val="center"/>
              <w:rPr>
                <w:rFonts w:ascii="宋体"/>
                <w:b/>
                <w:sz w:val="22"/>
              </w:rPr>
            </w:pPr>
          </w:p>
        </w:tc>
      </w:tr>
    </w:tbl>
    <w:p>
      <w:pPr>
        <w:pStyle w:val="24"/>
        <w:spacing w:line="440" w:lineRule="atLeast"/>
        <w:rPr>
          <w:rFonts w:hAnsi="宋体"/>
          <w:b/>
          <w:sz w:val="22"/>
          <w:szCs w:val="22"/>
        </w:rPr>
      </w:pPr>
      <w:r>
        <w:rPr>
          <w:rFonts w:hint="eastAsia" w:hAnsi="宋体"/>
          <w:b/>
          <w:sz w:val="22"/>
          <w:szCs w:val="22"/>
        </w:rPr>
        <w:t>说明：报价中须包含设备技术服务费（含设备安装调试直至能够正常使用的费用）、材料费、随机工具费、随机附件费、税金、运输费、人工费、保险费、技术培训费、第三方检测费、验收费、采购咨询费等。</w:t>
      </w:r>
    </w:p>
    <w:p>
      <w:pPr>
        <w:pStyle w:val="24"/>
        <w:spacing w:line="440" w:lineRule="atLeast"/>
        <w:rPr>
          <w:rFonts w:hAnsi="宋体"/>
          <w:b/>
          <w:sz w:val="22"/>
          <w:szCs w:val="22"/>
          <w:u w:val="single"/>
        </w:rPr>
      </w:pPr>
      <w:r>
        <w:rPr>
          <w:rFonts w:hint="eastAsia" w:hAnsi="宋体"/>
          <w:b/>
          <w:sz w:val="22"/>
          <w:szCs w:val="22"/>
          <w:u w:val="single"/>
        </w:rPr>
        <w:t>1.▲ 合计价应与“开标一览表”中投标报价相一致。</w:t>
      </w:r>
    </w:p>
    <w:p>
      <w:pPr>
        <w:pStyle w:val="24"/>
        <w:spacing w:line="440" w:lineRule="atLeast"/>
        <w:rPr>
          <w:rFonts w:hAnsi="宋体"/>
          <w:b/>
          <w:sz w:val="22"/>
          <w:szCs w:val="22"/>
          <w:u w:val="single"/>
        </w:rPr>
      </w:pPr>
      <w:r>
        <w:rPr>
          <w:rFonts w:hint="eastAsia" w:hAnsi="宋体"/>
          <w:b/>
          <w:sz w:val="22"/>
          <w:szCs w:val="22"/>
          <w:u w:val="single"/>
        </w:rPr>
        <w:t>2.▲ 不提供此表格的将视为没有实质性响应招标文件。</w:t>
      </w:r>
    </w:p>
    <w:p>
      <w:pPr>
        <w:pStyle w:val="24"/>
        <w:spacing w:line="440" w:lineRule="atLeast"/>
        <w:rPr>
          <w:rFonts w:hAnsi="宋体"/>
          <w:b/>
          <w:sz w:val="22"/>
          <w:u w:val="single"/>
        </w:rPr>
      </w:pPr>
      <w:r>
        <w:rPr>
          <w:rFonts w:hint="eastAsia" w:hAnsi="宋体"/>
          <w:b/>
          <w:sz w:val="22"/>
          <w:szCs w:val="22"/>
          <w:u w:val="single"/>
        </w:rPr>
        <w:t>3.▲ 带有“……”的为本表未列的其他费用，供应商需视情况自行列出。</w:t>
      </w:r>
    </w:p>
    <w:p>
      <w:pPr>
        <w:spacing w:line="360" w:lineRule="auto"/>
        <w:ind w:firstLine="330" w:firstLineChars="150"/>
        <w:rPr>
          <w:rFonts w:ascii="宋体" w:hAnsi="宋体" w:cs="Arial"/>
          <w:sz w:val="22"/>
          <w:szCs w:val="22"/>
          <w:u w:val="single"/>
        </w:rPr>
      </w:pPr>
    </w:p>
    <w:p>
      <w:pPr>
        <w:spacing w:line="360" w:lineRule="auto"/>
        <w:ind w:left="359" w:leftChars="171"/>
        <w:rPr>
          <w:rFonts w:ascii="宋体" w:hAnsi="宋体" w:cs="Arial"/>
          <w:sz w:val="22"/>
          <w:szCs w:val="22"/>
        </w:rPr>
      </w:pPr>
      <w:r>
        <w:rPr>
          <w:rFonts w:ascii="宋体" w:hAnsi="宋体" w:cs="Arial"/>
          <w:sz w:val="22"/>
          <w:szCs w:val="22"/>
        </w:rPr>
        <w:t>投标人全称（盖章）：</w:t>
      </w:r>
    </w:p>
    <w:p>
      <w:pPr>
        <w:spacing w:line="360" w:lineRule="auto"/>
        <w:ind w:left="359" w:leftChars="171"/>
        <w:rPr>
          <w:rFonts w:ascii="宋体" w:hAnsi="宋体" w:cs="Arial"/>
          <w:sz w:val="22"/>
          <w:szCs w:val="22"/>
        </w:rPr>
      </w:pPr>
      <w:r>
        <w:rPr>
          <w:rFonts w:ascii="宋体" w:hAnsi="宋体" w:cs="Arial"/>
          <w:sz w:val="22"/>
          <w:szCs w:val="22"/>
        </w:rPr>
        <w:t>法定代表人或授权代表（签字）：</w:t>
      </w:r>
    </w:p>
    <w:p>
      <w:pPr>
        <w:spacing w:line="360" w:lineRule="auto"/>
        <w:ind w:firstLine="330" w:firstLineChars="150"/>
        <w:rPr>
          <w:rFonts w:ascii="宋体" w:hAnsi="宋体" w:cs="Arial"/>
          <w:sz w:val="22"/>
          <w:szCs w:val="22"/>
        </w:rPr>
      </w:pPr>
      <w:r>
        <w:rPr>
          <w:rFonts w:ascii="宋体" w:hAnsi="宋体" w:cs="Arial"/>
          <w:sz w:val="22"/>
          <w:szCs w:val="22"/>
        </w:rPr>
        <w:t>日 期：       年      月     日</w:t>
      </w:r>
    </w:p>
    <w:p>
      <w:pPr>
        <w:autoSpaceDE w:val="0"/>
        <w:autoSpaceDN w:val="0"/>
        <w:adjustRightInd w:val="0"/>
        <w:spacing w:line="500" w:lineRule="atLeast"/>
        <w:rPr>
          <w:rFonts w:ascii="宋体" w:hAnsi="宋体" w:cs="仿宋_GB2312"/>
          <w:sz w:val="30"/>
          <w:szCs w:val="30"/>
          <w:lang w:val="zh-CN"/>
        </w:rPr>
      </w:pPr>
    </w:p>
    <w:p>
      <w:pPr>
        <w:autoSpaceDE w:val="0"/>
        <w:autoSpaceDN w:val="0"/>
        <w:adjustRightInd w:val="0"/>
        <w:spacing w:line="500" w:lineRule="atLeast"/>
        <w:rPr>
          <w:rFonts w:ascii="宋体" w:hAnsi="宋体" w:cs="仿宋_GB2312"/>
          <w:b/>
          <w:sz w:val="30"/>
          <w:szCs w:val="30"/>
          <w:lang w:val="zh-CN"/>
        </w:rPr>
      </w:pPr>
    </w:p>
    <w:p>
      <w:pPr>
        <w:snapToGrid w:val="0"/>
        <w:spacing w:line="500" w:lineRule="atLeast"/>
        <w:ind w:firstLine="4367" w:firstLineChars="1450"/>
        <w:rPr>
          <w:rFonts w:ascii="宋体" w:hAnsi="宋体"/>
          <w:b/>
          <w:sz w:val="30"/>
        </w:rPr>
        <w:sectPr>
          <w:headerReference r:id="rId12" w:type="first"/>
          <w:headerReference r:id="rId11" w:type="default"/>
          <w:footerReference r:id="rId13" w:type="default"/>
          <w:pgSz w:w="11906" w:h="16838"/>
          <w:pgMar w:top="1440" w:right="1701" w:bottom="1440" w:left="1701" w:header="851" w:footer="992" w:gutter="0"/>
          <w:cols w:space="720" w:num="1"/>
          <w:docGrid w:linePitch="312" w:charSpace="0"/>
        </w:sectPr>
      </w:pPr>
    </w:p>
    <w:p>
      <w:pPr>
        <w:pStyle w:val="39"/>
        <w:rPr>
          <w:rFonts w:ascii="宋体" w:hAnsi="宋体"/>
        </w:rPr>
      </w:pPr>
      <w:bookmarkStart w:id="194" w:name="_Toc65590097"/>
      <w:bookmarkStart w:id="195" w:name="_Toc65830025"/>
      <w:bookmarkStart w:id="196" w:name="_Toc42678695"/>
      <w:bookmarkStart w:id="197" w:name="_Toc97033073"/>
      <w:bookmarkStart w:id="198" w:name="_Toc42243287"/>
      <w:r>
        <w:rPr>
          <w:rFonts w:hint="eastAsia" w:ascii="宋体" w:hAnsi="宋体"/>
        </w:rPr>
        <w:t>三、商务技术文件部分格式</w:t>
      </w:r>
      <w:bookmarkEnd w:id="194"/>
      <w:bookmarkEnd w:id="195"/>
      <w:bookmarkEnd w:id="196"/>
      <w:bookmarkEnd w:id="197"/>
      <w:bookmarkEnd w:id="198"/>
    </w:p>
    <w:p>
      <w:pPr>
        <w:widowControl/>
        <w:spacing w:line="460" w:lineRule="atLeast"/>
        <w:jc w:val="left"/>
        <w:rPr>
          <w:rFonts w:hint="eastAsia" w:ascii="宋体" w:hAnsi="宋体"/>
          <w:b/>
          <w:bCs/>
          <w:sz w:val="22"/>
          <w:szCs w:val="22"/>
        </w:rPr>
      </w:pPr>
      <w:bookmarkStart w:id="199" w:name="_Toc493530215"/>
      <w:r>
        <w:rPr>
          <w:rFonts w:hint="eastAsia" w:ascii="宋体" w:hAnsi="宋体"/>
          <w:b/>
          <w:sz w:val="22"/>
          <w:szCs w:val="22"/>
        </w:rPr>
        <w:t>附件</w:t>
      </w:r>
      <w:bookmarkEnd w:id="199"/>
      <w:r>
        <w:rPr>
          <w:rFonts w:hint="eastAsia" w:ascii="宋体" w:hAnsi="宋体"/>
          <w:b/>
          <w:sz w:val="22"/>
          <w:szCs w:val="22"/>
        </w:rPr>
        <w:t>七</w:t>
      </w:r>
    </w:p>
    <w:p>
      <w:pPr>
        <w:pStyle w:val="39"/>
        <w:rPr>
          <w:rFonts w:ascii="宋体" w:hAnsi="宋体"/>
        </w:rPr>
      </w:pPr>
      <w:bookmarkStart w:id="200" w:name="_Toc42678185"/>
      <w:bookmarkStart w:id="201" w:name="_Toc65830026"/>
      <w:bookmarkStart w:id="202" w:name="_Toc42243288"/>
      <w:bookmarkStart w:id="203" w:name="_Toc68188793"/>
      <w:bookmarkStart w:id="204" w:name="_Toc42678030"/>
      <w:bookmarkStart w:id="205" w:name="_Toc9334949"/>
      <w:bookmarkStart w:id="206" w:name="_Toc42678617"/>
      <w:bookmarkStart w:id="207" w:name="_Toc522469119"/>
      <w:bookmarkStart w:id="208" w:name="_Toc42678696"/>
      <w:bookmarkStart w:id="209" w:name="_Toc68187557"/>
      <w:bookmarkStart w:id="210" w:name="_Toc97033074"/>
      <w:bookmarkStart w:id="211" w:name="_Toc65590098"/>
      <w:bookmarkStart w:id="212" w:name="_Toc87518419"/>
      <w:bookmarkStart w:id="213" w:name="_Toc29259"/>
      <w:bookmarkStart w:id="214" w:name="_Toc19204521"/>
      <w:bookmarkStart w:id="215" w:name="_Toc87518596"/>
      <w:bookmarkStart w:id="216" w:name="_Toc518512534"/>
      <w:bookmarkStart w:id="217" w:name="_Toc61444217"/>
      <w:bookmarkStart w:id="218" w:name="_Toc511045481"/>
      <w:bookmarkStart w:id="219" w:name="_Toc18949"/>
      <w:bookmarkStart w:id="220" w:name="_Toc68189107"/>
      <w:bookmarkStart w:id="221" w:name="_Toc96970932"/>
      <w:r>
        <w:rPr>
          <w:rFonts w:hint="eastAsia" w:ascii="宋体" w:hAnsi="宋体"/>
        </w:rPr>
        <w:t>投 标 函</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autoSpaceDE w:val="0"/>
        <w:autoSpaceDN w:val="0"/>
        <w:adjustRightInd w:val="0"/>
        <w:snapToGrid w:val="0"/>
        <w:spacing w:line="480" w:lineRule="atLeast"/>
        <w:rPr>
          <w:rFonts w:ascii="宋体" w:hAnsi="宋体"/>
          <w:b/>
          <w:sz w:val="22"/>
          <w:u w:val="single"/>
        </w:rPr>
      </w:pPr>
      <w:r>
        <w:rPr>
          <w:rFonts w:hint="eastAsia" w:ascii="宋体" w:hAnsi="宋体" w:cs="仿宋_GB2312"/>
          <w:b/>
          <w:sz w:val="22"/>
          <w:u w:val="single"/>
          <w:lang w:val="zh-CN"/>
        </w:rPr>
        <w:t xml:space="preserve">  （采购人）   ：</w:t>
      </w:r>
    </w:p>
    <w:p>
      <w:pPr>
        <w:autoSpaceDE w:val="0"/>
        <w:autoSpaceDN w:val="0"/>
        <w:adjustRightInd w:val="0"/>
        <w:snapToGrid w:val="0"/>
        <w:spacing w:line="480" w:lineRule="atLeast"/>
        <w:rPr>
          <w:rFonts w:ascii="宋体" w:hAnsi="宋体" w:cs="仿宋_GB2312"/>
          <w:sz w:val="22"/>
          <w:lang w:val="zh-CN"/>
        </w:rPr>
      </w:pPr>
      <w:r>
        <w:rPr>
          <w:rFonts w:hint="eastAsia" w:ascii="宋体" w:hAnsi="宋体" w:cs="仿宋_GB2312"/>
          <w:sz w:val="22"/>
          <w:lang w:val="zh-CN"/>
        </w:rPr>
        <w:t>（供应商全称）授权（授权代表名称）（职务、职称）为授权代表，参加贵方组织的（招标项目名称）（括号内填投标编号） 招标的有关活动，并对该项目进行投标。为此：</w:t>
      </w:r>
    </w:p>
    <w:p>
      <w:pPr>
        <w:tabs>
          <w:tab w:val="left" w:pos="803"/>
        </w:tabs>
        <w:autoSpaceDE w:val="0"/>
        <w:autoSpaceDN w:val="0"/>
        <w:adjustRightInd w:val="0"/>
        <w:snapToGrid w:val="0"/>
        <w:spacing w:line="480" w:lineRule="atLeast"/>
        <w:ind w:left="443"/>
        <w:rPr>
          <w:rFonts w:ascii="宋体" w:hAnsi="宋体" w:cs="仿宋_GB2312"/>
          <w:sz w:val="22"/>
        </w:rPr>
      </w:pPr>
      <w:r>
        <w:rPr>
          <w:rFonts w:hint="eastAsia" w:ascii="宋体" w:hAnsi="宋体" w:cs="仿宋_GB2312"/>
          <w:sz w:val="22"/>
          <w:lang w:val="zh-CN"/>
        </w:rPr>
        <w:t>1、提供投标须知规定的全部响应文件。</w:t>
      </w:r>
    </w:p>
    <w:p>
      <w:pPr>
        <w:autoSpaceDE w:val="0"/>
        <w:autoSpaceDN w:val="0"/>
        <w:adjustRightInd w:val="0"/>
        <w:snapToGrid w:val="0"/>
        <w:spacing w:line="480" w:lineRule="atLeast"/>
        <w:ind w:firstLine="450"/>
        <w:rPr>
          <w:rFonts w:ascii="宋体" w:hAnsi="宋体"/>
          <w:sz w:val="22"/>
          <w:u w:val="single"/>
          <w:lang w:val="zh-CN"/>
        </w:rPr>
      </w:pPr>
      <w:bookmarkStart w:id="222" w:name="_Toc356545138"/>
      <w:r>
        <w:rPr>
          <w:rFonts w:hint="eastAsia" w:ascii="宋体" w:hAnsi="宋体" w:cs="仿宋_GB2312"/>
          <w:sz w:val="22"/>
          <w:lang w:val="zh-CN"/>
        </w:rPr>
        <w:t>2、</w:t>
      </w:r>
      <w:r>
        <w:rPr>
          <w:rFonts w:hint="eastAsia" w:ascii="宋体" w:hAnsi="宋体"/>
          <w:sz w:val="22"/>
          <w:lang w:val="zh-CN"/>
        </w:rPr>
        <w:t>我方对服务期承诺如下：</w:t>
      </w:r>
      <w:bookmarkEnd w:id="222"/>
      <w:r>
        <w:rPr>
          <w:rFonts w:hint="eastAsia" w:ascii="宋体" w:hAnsi="宋体"/>
          <w:sz w:val="22"/>
          <w:u w:val="single"/>
        </w:rPr>
        <w:t>按招标文件要求完成本项目</w:t>
      </w:r>
      <w:r>
        <w:rPr>
          <w:rFonts w:hint="eastAsia" w:ascii="宋体" w:hAnsi="宋体"/>
          <w:sz w:val="22"/>
          <w:u w:val="single"/>
          <w:lang w:val="zh-CN"/>
        </w:rPr>
        <w:t>。</w:t>
      </w:r>
    </w:p>
    <w:p>
      <w:pPr>
        <w:autoSpaceDE w:val="0"/>
        <w:autoSpaceDN w:val="0"/>
        <w:adjustRightInd w:val="0"/>
        <w:snapToGrid w:val="0"/>
        <w:spacing w:line="480" w:lineRule="atLeast"/>
        <w:ind w:firstLine="450"/>
        <w:rPr>
          <w:rFonts w:ascii="宋体" w:hAnsi="宋体" w:cs="仿宋_GB2312"/>
          <w:sz w:val="22"/>
          <w:lang w:val="zh-CN"/>
        </w:rPr>
      </w:pPr>
      <w:r>
        <w:rPr>
          <w:rFonts w:hint="eastAsia" w:ascii="宋体" w:hAnsi="宋体" w:cs="仿宋_GB2312"/>
          <w:sz w:val="22"/>
          <w:lang w:val="zh-CN"/>
        </w:rPr>
        <w:t>3、保证遵守采购文件中的有关规定和收费标准。</w:t>
      </w:r>
    </w:p>
    <w:p>
      <w:pPr>
        <w:autoSpaceDE w:val="0"/>
        <w:autoSpaceDN w:val="0"/>
        <w:adjustRightInd w:val="0"/>
        <w:snapToGrid w:val="0"/>
        <w:spacing w:line="480" w:lineRule="atLeast"/>
        <w:ind w:firstLine="465"/>
        <w:rPr>
          <w:rFonts w:ascii="宋体" w:hAnsi="宋体" w:cs="仿宋_GB2312"/>
          <w:sz w:val="22"/>
          <w:lang w:val="zh-CN"/>
        </w:rPr>
      </w:pPr>
      <w:r>
        <w:rPr>
          <w:rFonts w:hint="eastAsia" w:ascii="宋体" w:hAnsi="宋体" w:cs="仿宋_GB2312"/>
          <w:sz w:val="22"/>
          <w:lang w:val="zh-CN"/>
        </w:rPr>
        <w:t>4、保证忠实地执行采购人、成交供应商双方所签的合同，并承担合同规定的责任义务。</w:t>
      </w:r>
    </w:p>
    <w:p>
      <w:pPr>
        <w:autoSpaceDE w:val="0"/>
        <w:autoSpaceDN w:val="0"/>
        <w:adjustRightInd w:val="0"/>
        <w:snapToGrid w:val="0"/>
        <w:spacing w:line="480" w:lineRule="atLeast"/>
        <w:ind w:firstLine="465"/>
        <w:rPr>
          <w:rFonts w:ascii="宋体" w:hAnsi="宋体" w:cs="仿宋_GB2312"/>
          <w:sz w:val="22"/>
          <w:lang w:val="zh-CN"/>
        </w:rPr>
      </w:pPr>
      <w:r>
        <w:rPr>
          <w:rFonts w:hint="eastAsia" w:ascii="宋体" w:hAnsi="宋体" w:cs="仿宋_GB2312"/>
          <w:sz w:val="22"/>
          <w:lang w:val="zh-CN"/>
        </w:rPr>
        <w:t>5、供应商已详细审查全部采购文件，包括采购文件补充文件（如有）。我方完全理解并同意放弃对这方面有不明及误解的权力。如果采购文件有相互矛盾之处，我方同意按采购人的理解处理。</w:t>
      </w:r>
    </w:p>
    <w:p>
      <w:pPr>
        <w:autoSpaceDE w:val="0"/>
        <w:autoSpaceDN w:val="0"/>
        <w:adjustRightInd w:val="0"/>
        <w:snapToGrid w:val="0"/>
        <w:spacing w:line="480" w:lineRule="atLeast"/>
        <w:ind w:firstLine="450"/>
        <w:rPr>
          <w:rFonts w:ascii="宋体" w:hAnsi="宋体" w:cs="仿宋_GB2312"/>
          <w:sz w:val="22"/>
          <w:lang w:val="zh-CN"/>
        </w:rPr>
      </w:pPr>
      <w:r>
        <w:rPr>
          <w:rFonts w:hint="eastAsia" w:ascii="宋体" w:hAnsi="宋体" w:cs="仿宋_GB2312"/>
          <w:sz w:val="22"/>
          <w:lang w:val="zh-CN"/>
        </w:rPr>
        <w:t>6、愿意向贵方提供任何与该项投标有关的数据、情况和技术资料，完全理解贵方不一定接受最低价的投标或收到的任何投标。</w:t>
      </w:r>
    </w:p>
    <w:p>
      <w:pPr>
        <w:autoSpaceDE w:val="0"/>
        <w:autoSpaceDN w:val="0"/>
        <w:adjustRightInd w:val="0"/>
        <w:snapToGrid w:val="0"/>
        <w:spacing w:line="480" w:lineRule="atLeast"/>
        <w:ind w:firstLine="450"/>
        <w:rPr>
          <w:rFonts w:ascii="宋体" w:hAnsi="宋体" w:cs="仿宋_GB2312"/>
          <w:sz w:val="22"/>
          <w:lang w:val="zh-CN"/>
        </w:rPr>
      </w:pPr>
      <w:r>
        <w:rPr>
          <w:rFonts w:hint="eastAsia" w:ascii="宋体" w:hAnsi="宋体" w:cs="仿宋_GB2312"/>
          <w:sz w:val="22"/>
          <w:lang w:val="zh-CN"/>
        </w:rPr>
        <w:t>7、利益冲突：近三年内直至目前，我公司与本项目的采购人、采购代理机构没有任何的隶属关系。</w:t>
      </w:r>
    </w:p>
    <w:p>
      <w:pPr>
        <w:autoSpaceDE w:val="0"/>
        <w:autoSpaceDN w:val="0"/>
        <w:adjustRightInd w:val="0"/>
        <w:snapToGrid w:val="0"/>
        <w:spacing w:line="480" w:lineRule="atLeast"/>
        <w:ind w:firstLine="450"/>
        <w:rPr>
          <w:rFonts w:ascii="宋体" w:hAnsi="宋体" w:cs="仿宋_GB2312"/>
          <w:sz w:val="22"/>
          <w:lang w:val="zh-CN"/>
        </w:rPr>
      </w:pPr>
      <w:r>
        <w:rPr>
          <w:rFonts w:hint="eastAsia" w:ascii="宋体" w:hAnsi="宋体" w:cs="仿宋_GB2312"/>
          <w:sz w:val="22"/>
          <w:lang w:val="zh-CN"/>
        </w:rPr>
        <w:t>8、</w:t>
      </w:r>
      <w:r>
        <w:rPr>
          <w:rFonts w:hint="eastAsia" w:ascii="宋体" w:hAnsi="宋体"/>
          <w:sz w:val="22"/>
        </w:rPr>
        <w:t>我单位没有被各地、各级财政部门限制参加政府采购活动或曾被各地、各级财政部门限制参加政府采购活动但已不在限制期内。</w:t>
      </w:r>
    </w:p>
    <w:p>
      <w:pPr>
        <w:autoSpaceDE w:val="0"/>
        <w:autoSpaceDN w:val="0"/>
        <w:adjustRightInd w:val="0"/>
        <w:spacing w:line="440" w:lineRule="atLeast"/>
        <w:ind w:firstLine="450"/>
        <w:rPr>
          <w:rFonts w:ascii="宋体" w:hAnsi="宋体"/>
          <w:sz w:val="22"/>
          <w:lang w:val="zh-CN"/>
        </w:rPr>
      </w:pPr>
      <w:r>
        <w:rPr>
          <w:rFonts w:hint="eastAsia" w:ascii="宋体" w:hAnsi="宋体" w:cs="新宋体"/>
          <w:sz w:val="22"/>
          <w:szCs w:val="22"/>
          <w:lang w:val="zh-CN"/>
        </w:rPr>
        <w:t>9、</w:t>
      </w:r>
      <w:r>
        <w:rPr>
          <w:rFonts w:ascii="宋体" w:hAnsi="宋体"/>
          <w:sz w:val="22"/>
          <w:lang w:val="zh-CN"/>
        </w:rPr>
        <w:t>投标有效期内不撤销投标文件；强行撤销的，承诺按采购预算金额</w:t>
      </w:r>
      <w:r>
        <w:rPr>
          <w:rFonts w:hint="eastAsia" w:ascii="宋体" w:hAnsi="宋体"/>
          <w:sz w:val="22"/>
          <w:lang w:val="zh-CN"/>
        </w:rPr>
        <w:t>的</w:t>
      </w:r>
      <w:r>
        <w:rPr>
          <w:rFonts w:ascii="宋体" w:hAnsi="宋体"/>
          <w:sz w:val="22"/>
          <w:lang w:val="zh-CN"/>
        </w:rPr>
        <w:t>2%赔偿对采购组织机构造成</w:t>
      </w:r>
      <w:r>
        <w:rPr>
          <w:rFonts w:hint="eastAsia" w:ascii="宋体" w:hAnsi="宋体"/>
          <w:sz w:val="22"/>
          <w:lang w:val="zh-CN"/>
        </w:rPr>
        <w:t>的</w:t>
      </w:r>
      <w:r>
        <w:rPr>
          <w:rFonts w:ascii="宋体" w:hAnsi="宋体"/>
          <w:sz w:val="22"/>
          <w:lang w:val="zh-CN"/>
        </w:rPr>
        <w:t>损失</w:t>
      </w:r>
      <w:r>
        <w:rPr>
          <w:rFonts w:hint="eastAsia" w:ascii="宋体" w:hAnsi="宋体"/>
          <w:sz w:val="22"/>
          <w:lang w:val="zh-CN"/>
        </w:rPr>
        <w:t>。</w:t>
      </w:r>
    </w:p>
    <w:p>
      <w:pPr>
        <w:autoSpaceDE w:val="0"/>
        <w:autoSpaceDN w:val="0"/>
        <w:adjustRightInd w:val="0"/>
        <w:spacing w:line="440" w:lineRule="atLeast"/>
        <w:ind w:firstLine="450"/>
        <w:rPr>
          <w:rFonts w:ascii="宋体" w:hAnsi="宋体" w:cs="新宋体"/>
          <w:sz w:val="22"/>
          <w:szCs w:val="22"/>
          <w:lang w:val="zh-CN"/>
        </w:rPr>
      </w:pPr>
      <w:r>
        <w:rPr>
          <w:rFonts w:hint="eastAsia" w:ascii="宋体" w:hAnsi="宋体" w:cs="新宋体"/>
          <w:sz w:val="22"/>
          <w:szCs w:val="22"/>
          <w:lang w:val="zh-CN"/>
        </w:rPr>
        <w:t>10、中标或者成交后，按采购文件规定与采购人签订合同。拒绝签订合同的，承诺按采购预算金额的 2%对采购人进行赔偿；赔偿金额不足以弥补采购人损失的，承诺继续承担超过部分的损失。</w:t>
      </w:r>
    </w:p>
    <w:p>
      <w:pPr>
        <w:autoSpaceDE w:val="0"/>
        <w:autoSpaceDN w:val="0"/>
        <w:adjustRightInd w:val="0"/>
        <w:spacing w:line="440" w:lineRule="atLeast"/>
        <w:ind w:firstLine="450"/>
        <w:rPr>
          <w:rFonts w:ascii="宋体" w:hAnsi="宋体" w:cs="新宋体"/>
          <w:sz w:val="22"/>
          <w:szCs w:val="22"/>
          <w:lang w:val="zh-CN"/>
        </w:rPr>
      </w:pPr>
      <w:r>
        <w:rPr>
          <w:rFonts w:hint="eastAsia" w:ascii="宋体" w:hAnsi="宋体" w:cs="新宋体"/>
          <w:sz w:val="22"/>
          <w:szCs w:val="22"/>
          <w:lang w:val="zh-CN"/>
        </w:rPr>
        <w:t>11、中标或者成交后，按采购文件规定的采购代理服务费标准，承诺在签订合同前向采购代理机构支付采购代理服务费。</w:t>
      </w:r>
    </w:p>
    <w:p>
      <w:pPr>
        <w:autoSpaceDE w:val="0"/>
        <w:autoSpaceDN w:val="0"/>
        <w:adjustRightInd w:val="0"/>
        <w:spacing w:line="440" w:lineRule="atLeast"/>
        <w:ind w:firstLine="450"/>
        <w:rPr>
          <w:rFonts w:ascii="宋体" w:hAnsi="宋体" w:cs="新宋体"/>
          <w:sz w:val="22"/>
          <w:szCs w:val="22"/>
          <w:lang w:val="zh-CN"/>
        </w:rPr>
      </w:pPr>
      <w:r>
        <w:rPr>
          <w:rFonts w:hint="eastAsia" w:ascii="宋体" w:hAnsi="宋体" w:cs="新宋体"/>
          <w:sz w:val="22"/>
          <w:szCs w:val="22"/>
          <w:lang w:val="zh-CN"/>
        </w:rPr>
        <w:t>12、本投标自开标之日起90天内有效。</w:t>
      </w:r>
    </w:p>
    <w:p>
      <w:pPr>
        <w:spacing w:line="420" w:lineRule="exact"/>
        <w:ind w:firstLine="418" w:firstLineChars="190"/>
        <w:rPr>
          <w:rFonts w:ascii="宋体" w:hAnsi="宋体" w:cs="新宋体"/>
          <w:sz w:val="22"/>
        </w:rPr>
      </w:pPr>
      <w:r>
        <w:rPr>
          <w:rFonts w:hint="eastAsia" w:ascii="宋体" w:hAnsi="宋体" w:cs="新宋体"/>
          <w:sz w:val="22"/>
        </w:rPr>
        <w:t>13、如有列情形之一的，我方愿意被取消成交资格（如成交），同时继续承担其他一切法律后果，并不再寻求任何旨在减轻或免除法律责任的解释：</w:t>
      </w:r>
    </w:p>
    <w:p>
      <w:pPr>
        <w:spacing w:line="420" w:lineRule="exact"/>
        <w:ind w:firstLine="418" w:firstLineChars="190"/>
        <w:rPr>
          <w:rFonts w:ascii="宋体" w:hAnsi="宋体" w:cs="新宋体"/>
          <w:sz w:val="22"/>
        </w:rPr>
      </w:pPr>
      <w:r>
        <w:rPr>
          <w:rFonts w:hint="eastAsia" w:ascii="宋体" w:hAnsi="宋体" w:cs="新宋体"/>
          <w:sz w:val="22"/>
        </w:rPr>
        <w:t>(1)提供虚假材料（承诺）谋取成交、成交的；</w:t>
      </w:r>
    </w:p>
    <w:p>
      <w:pPr>
        <w:spacing w:line="420" w:lineRule="exact"/>
        <w:ind w:firstLine="418" w:firstLineChars="190"/>
        <w:rPr>
          <w:rFonts w:ascii="宋体" w:hAnsi="宋体" w:cs="新宋体"/>
          <w:sz w:val="22"/>
        </w:rPr>
      </w:pPr>
      <w:r>
        <w:rPr>
          <w:rFonts w:hint="eastAsia" w:ascii="宋体" w:hAnsi="宋体" w:cs="新宋体"/>
          <w:sz w:val="22"/>
        </w:rPr>
        <w:t>(2)采取不正当手段诋毁、排挤其他供应商的；</w:t>
      </w:r>
    </w:p>
    <w:p>
      <w:pPr>
        <w:spacing w:line="420" w:lineRule="exact"/>
        <w:ind w:firstLine="418" w:firstLineChars="190"/>
        <w:rPr>
          <w:rFonts w:ascii="宋体" w:hAnsi="宋体" w:cs="新宋体"/>
          <w:sz w:val="22"/>
        </w:rPr>
      </w:pPr>
      <w:r>
        <w:rPr>
          <w:rFonts w:hint="eastAsia" w:ascii="宋体" w:hAnsi="宋体" w:cs="新宋体"/>
          <w:sz w:val="22"/>
        </w:rPr>
        <w:t>(3)与采购人、其它供应商或者采购代理机构恶意串通的；</w:t>
      </w:r>
    </w:p>
    <w:p>
      <w:pPr>
        <w:spacing w:line="420" w:lineRule="exact"/>
        <w:ind w:firstLine="418" w:firstLineChars="190"/>
        <w:rPr>
          <w:rFonts w:ascii="宋体" w:hAnsi="宋体" w:cs="新宋体"/>
          <w:sz w:val="22"/>
        </w:rPr>
      </w:pPr>
      <w:r>
        <w:rPr>
          <w:rFonts w:hint="eastAsia" w:ascii="宋体" w:hAnsi="宋体" w:cs="新宋体"/>
          <w:sz w:val="22"/>
        </w:rPr>
        <w:t>(4)向采购人、采购代理机构行贿或者提供其他不正当利益的；</w:t>
      </w:r>
    </w:p>
    <w:p>
      <w:pPr>
        <w:spacing w:line="420" w:lineRule="exact"/>
        <w:ind w:firstLine="418" w:firstLineChars="190"/>
        <w:rPr>
          <w:rFonts w:ascii="宋体" w:hAnsi="宋体" w:cs="新宋体"/>
          <w:sz w:val="22"/>
        </w:rPr>
      </w:pPr>
      <w:r>
        <w:rPr>
          <w:rFonts w:hint="eastAsia" w:ascii="宋体" w:hAnsi="宋体" w:cs="新宋体"/>
          <w:sz w:val="22"/>
        </w:rPr>
        <w:t>(5)在招标采购过程中与采购人进行协商谈判的；</w:t>
      </w:r>
    </w:p>
    <w:p>
      <w:pPr>
        <w:spacing w:line="420" w:lineRule="exact"/>
        <w:ind w:firstLine="418" w:firstLineChars="190"/>
        <w:rPr>
          <w:rFonts w:ascii="宋体" w:hAnsi="宋体" w:cs="新宋体"/>
          <w:sz w:val="22"/>
        </w:rPr>
      </w:pPr>
      <w:r>
        <w:rPr>
          <w:rFonts w:hint="eastAsia" w:ascii="宋体" w:hAnsi="宋体" w:cs="新宋体"/>
          <w:sz w:val="22"/>
        </w:rPr>
        <w:t>(6)拒绝有关部门监督检查或提供虚假情况的。</w:t>
      </w:r>
    </w:p>
    <w:p>
      <w:pPr>
        <w:autoSpaceDE w:val="0"/>
        <w:autoSpaceDN w:val="0"/>
        <w:adjustRightInd w:val="0"/>
        <w:spacing w:line="440" w:lineRule="atLeast"/>
        <w:ind w:firstLine="450"/>
        <w:rPr>
          <w:rFonts w:ascii="宋体" w:hAnsi="宋体" w:cs="新宋体"/>
          <w:sz w:val="22"/>
          <w:szCs w:val="22"/>
          <w:lang w:val="zh-CN"/>
        </w:rPr>
      </w:pPr>
      <w:r>
        <w:rPr>
          <w:rFonts w:hint="eastAsia" w:ascii="宋体" w:hAnsi="宋体" w:cs="新宋体"/>
          <w:sz w:val="22"/>
          <w:szCs w:val="22"/>
          <w:lang w:val="zh-CN"/>
        </w:rPr>
        <w:t>14、与本投标有关的一切往来通讯请寄：</w:t>
      </w:r>
    </w:p>
    <w:p>
      <w:pPr>
        <w:autoSpaceDE w:val="0"/>
        <w:autoSpaceDN w:val="0"/>
        <w:adjustRightInd w:val="0"/>
        <w:spacing w:line="440" w:lineRule="atLeast"/>
        <w:rPr>
          <w:rFonts w:ascii="宋体" w:hAnsi="宋体" w:cs="新宋体"/>
          <w:sz w:val="22"/>
          <w:szCs w:val="22"/>
          <w:lang w:val="zh-CN"/>
        </w:rPr>
      </w:pPr>
      <w:r>
        <w:rPr>
          <w:rFonts w:hint="eastAsia" w:ascii="宋体" w:hAnsi="宋体" w:cs="新宋体"/>
          <w:sz w:val="22"/>
          <w:szCs w:val="22"/>
          <w:lang w:val="zh-CN"/>
        </w:rPr>
        <w:t>地址：</w:t>
      </w:r>
    </w:p>
    <w:p>
      <w:pPr>
        <w:autoSpaceDE w:val="0"/>
        <w:autoSpaceDN w:val="0"/>
        <w:adjustRightInd w:val="0"/>
        <w:spacing w:line="440" w:lineRule="atLeast"/>
        <w:rPr>
          <w:rFonts w:ascii="宋体" w:hAnsi="宋体" w:cs="新宋体"/>
          <w:sz w:val="22"/>
          <w:szCs w:val="22"/>
          <w:lang w:val="zh-CN"/>
        </w:rPr>
      </w:pPr>
      <w:r>
        <w:rPr>
          <w:rFonts w:hint="eastAsia" w:ascii="宋体" w:hAnsi="宋体" w:cs="新宋体"/>
          <w:sz w:val="22"/>
          <w:szCs w:val="22"/>
          <w:lang w:val="zh-CN"/>
        </w:rPr>
        <w:t>邮编：电话：传真：</w:t>
      </w:r>
    </w:p>
    <w:p>
      <w:pPr>
        <w:autoSpaceDE w:val="0"/>
        <w:autoSpaceDN w:val="0"/>
        <w:adjustRightInd w:val="0"/>
        <w:spacing w:line="440" w:lineRule="atLeast"/>
        <w:ind w:firstLine="1980" w:firstLineChars="900"/>
        <w:rPr>
          <w:rFonts w:ascii="宋体" w:hAnsi="宋体" w:cs="新宋体"/>
          <w:sz w:val="22"/>
          <w:szCs w:val="22"/>
          <w:lang w:val="zh-CN"/>
        </w:rPr>
      </w:pPr>
    </w:p>
    <w:p>
      <w:pPr>
        <w:autoSpaceDE w:val="0"/>
        <w:autoSpaceDN w:val="0"/>
        <w:adjustRightInd w:val="0"/>
        <w:spacing w:line="440" w:lineRule="atLeast"/>
        <w:jc w:val="left"/>
        <w:rPr>
          <w:rFonts w:ascii="宋体" w:hAnsi="宋体" w:cs="新宋体"/>
          <w:sz w:val="22"/>
          <w:szCs w:val="22"/>
          <w:lang w:val="zh-CN"/>
        </w:rPr>
      </w:pPr>
      <w:r>
        <w:rPr>
          <w:rFonts w:hint="eastAsia" w:ascii="宋体" w:hAnsi="宋体" w:cs="新宋体"/>
          <w:sz w:val="22"/>
          <w:szCs w:val="22"/>
          <w:lang w:val="zh-CN"/>
        </w:rPr>
        <w:t>供应商全称（盖章）：</w:t>
      </w:r>
    </w:p>
    <w:p>
      <w:pPr>
        <w:autoSpaceDE w:val="0"/>
        <w:autoSpaceDN w:val="0"/>
        <w:adjustRightInd w:val="0"/>
        <w:spacing w:line="440" w:lineRule="atLeast"/>
        <w:jc w:val="left"/>
        <w:rPr>
          <w:rFonts w:ascii="宋体" w:hAnsi="宋体" w:cs="新宋体"/>
          <w:sz w:val="22"/>
          <w:szCs w:val="22"/>
          <w:lang w:val="zh-CN"/>
        </w:rPr>
      </w:pPr>
      <w:r>
        <w:rPr>
          <w:rFonts w:hint="eastAsia" w:ascii="宋体" w:hAnsi="宋体"/>
          <w:sz w:val="22"/>
          <w:szCs w:val="22"/>
        </w:rPr>
        <w:t>法定代表人或授权代表（签字或盖章）</w:t>
      </w:r>
      <w:r>
        <w:rPr>
          <w:rFonts w:hint="eastAsia" w:ascii="宋体" w:hAnsi="宋体" w:cs="新宋体"/>
          <w:sz w:val="22"/>
          <w:szCs w:val="22"/>
          <w:lang w:val="zh-CN"/>
        </w:rPr>
        <w:t>：</w:t>
      </w:r>
    </w:p>
    <w:p>
      <w:pPr>
        <w:autoSpaceDE w:val="0"/>
        <w:autoSpaceDN w:val="0"/>
        <w:adjustRightInd w:val="0"/>
        <w:spacing w:line="440" w:lineRule="atLeast"/>
        <w:jc w:val="left"/>
        <w:rPr>
          <w:rFonts w:ascii="宋体" w:hAnsi="宋体" w:cs="新宋体"/>
          <w:sz w:val="22"/>
          <w:szCs w:val="22"/>
          <w:lang w:val="zh-CN"/>
        </w:rPr>
      </w:pPr>
      <w:r>
        <w:rPr>
          <w:rFonts w:hint="eastAsia" w:ascii="宋体" w:hAnsi="宋体" w:cs="新宋体"/>
          <w:sz w:val="22"/>
          <w:szCs w:val="22"/>
          <w:lang w:val="zh-CN"/>
        </w:rPr>
        <w:t>日期：</w:t>
      </w:r>
    </w:p>
    <w:p>
      <w:pPr>
        <w:autoSpaceDE w:val="0"/>
        <w:autoSpaceDN w:val="0"/>
        <w:adjustRightInd w:val="0"/>
        <w:snapToGrid w:val="0"/>
        <w:spacing w:line="480" w:lineRule="atLeast"/>
        <w:ind w:firstLine="440" w:firstLineChars="200"/>
        <w:jc w:val="left"/>
        <w:rPr>
          <w:rFonts w:ascii="宋体" w:hAnsi="宋体" w:cs="仿宋_GB2312"/>
          <w:sz w:val="22"/>
          <w:lang w:val="zh-CN"/>
        </w:rPr>
      </w:pPr>
    </w:p>
    <w:p>
      <w:pPr>
        <w:rPr>
          <w:rFonts w:ascii="宋体" w:hAnsi="宋体"/>
          <w:b/>
          <w:bCs/>
          <w:sz w:val="22"/>
          <w:szCs w:val="22"/>
        </w:rPr>
      </w:pPr>
      <w:bookmarkStart w:id="223" w:name="_Toc493530219"/>
      <w:r>
        <w:rPr>
          <w:rFonts w:hint="eastAsia" w:ascii="宋体" w:hAnsi="宋体"/>
          <w:b/>
          <w:bCs/>
          <w:sz w:val="22"/>
          <w:szCs w:val="22"/>
        </w:rPr>
        <w:br w:type="page"/>
      </w:r>
    </w:p>
    <w:p>
      <w:pPr>
        <w:widowControl/>
        <w:spacing w:line="460" w:lineRule="atLeast"/>
        <w:jc w:val="left"/>
        <w:rPr>
          <w:rFonts w:hint="eastAsia" w:ascii="宋体" w:hAnsi="宋体"/>
          <w:b/>
          <w:bCs/>
          <w:sz w:val="22"/>
          <w:szCs w:val="22"/>
        </w:rPr>
      </w:pPr>
      <w:r>
        <w:rPr>
          <w:rFonts w:hint="eastAsia" w:ascii="宋体" w:hAnsi="宋体"/>
          <w:b/>
          <w:bCs/>
          <w:sz w:val="22"/>
          <w:szCs w:val="22"/>
        </w:rPr>
        <w:t>附件</w:t>
      </w:r>
      <w:bookmarkEnd w:id="223"/>
      <w:r>
        <w:rPr>
          <w:rFonts w:hint="eastAsia" w:ascii="宋体" w:hAnsi="宋体"/>
          <w:b/>
          <w:bCs/>
          <w:sz w:val="22"/>
          <w:szCs w:val="22"/>
        </w:rPr>
        <w:t>八</w:t>
      </w:r>
    </w:p>
    <w:p>
      <w:pPr>
        <w:tabs>
          <w:tab w:val="left" w:pos="1080"/>
        </w:tabs>
        <w:autoSpaceDE w:val="0"/>
        <w:autoSpaceDN w:val="0"/>
        <w:adjustRightInd w:val="0"/>
        <w:spacing w:line="440" w:lineRule="atLeast"/>
        <w:jc w:val="center"/>
        <w:rPr>
          <w:rFonts w:ascii="宋体" w:hAnsi="宋体" w:cs="新宋体"/>
          <w:b/>
          <w:sz w:val="32"/>
          <w:szCs w:val="32"/>
          <w:lang w:val="zh-CN"/>
        </w:rPr>
      </w:pPr>
      <w:r>
        <w:rPr>
          <w:rFonts w:hint="eastAsia" w:ascii="宋体" w:hAnsi="宋体" w:cs="新宋体"/>
          <w:b/>
          <w:sz w:val="32"/>
          <w:szCs w:val="32"/>
          <w:lang w:val="zh-CN"/>
        </w:rPr>
        <w:t>法定代表人诚信投标承诺书</w:t>
      </w:r>
    </w:p>
    <w:p>
      <w:pPr>
        <w:spacing w:line="360" w:lineRule="auto"/>
        <w:jc w:val="left"/>
        <w:rPr>
          <w:rFonts w:ascii="宋体" w:hAnsi="宋体" w:cs="新宋体"/>
          <w:b/>
          <w:sz w:val="24"/>
        </w:rPr>
      </w:pPr>
    </w:p>
    <w:p>
      <w:pPr>
        <w:spacing w:line="460" w:lineRule="atLeast"/>
        <w:jc w:val="left"/>
        <w:rPr>
          <w:rFonts w:ascii="宋体" w:hAnsi="宋体" w:cs="新宋体"/>
          <w:b/>
          <w:sz w:val="22"/>
          <w:szCs w:val="22"/>
        </w:rPr>
      </w:pPr>
      <w:r>
        <w:rPr>
          <w:rFonts w:hint="eastAsia" w:ascii="宋体" w:hAnsi="宋体" w:cs="新宋体"/>
          <w:b/>
          <w:sz w:val="22"/>
          <w:szCs w:val="22"/>
        </w:rPr>
        <w:t>本人以企业法定代表人的身份郑重承诺：</w:t>
      </w:r>
    </w:p>
    <w:p>
      <w:pPr>
        <w:spacing w:line="460" w:lineRule="atLeast"/>
        <w:ind w:firstLine="440" w:firstLineChars="200"/>
        <w:jc w:val="left"/>
        <w:rPr>
          <w:rFonts w:ascii="宋体" w:hAnsi="宋体" w:cs="新宋体"/>
          <w:sz w:val="22"/>
          <w:szCs w:val="22"/>
        </w:rPr>
      </w:pPr>
      <w:r>
        <w:rPr>
          <w:rFonts w:hint="eastAsia" w:ascii="宋体" w:hAnsi="宋体" w:cs="新宋体"/>
          <w:sz w:val="22"/>
          <w:szCs w:val="22"/>
        </w:rPr>
        <w:t>将遵循公开、公平、公正和诚信信用的原则参加</w:t>
      </w:r>
      <w:r>
        <w:rPr>
          <w:rFonts w:hint="eastAsia" w:ascii="宋体" w:hAnsi="宋体" w:cs="新宋体"/>
          <w:sz w:val="22"/>
          <w:szCs w:val="22"/>
          <w:u w:val="single"/>
        </w:rPr>
        <w:t xml:space="preserve">              项目（项目编号：   ）</w:t>
      </w:r>
      <w:r>
        <w:rPr>
          <w:rFonts w:hint="eastAsia" w:ascii="宋体" w:hAnsi="宋体" w:cs="新宋体"/>
          <w:sz w:val="22"/>
          <w:szCs w:val="22"/>
        </w:rPr>
        <w:t>的投标；</w:t>
      </w:r>
    </w:p>
    <w:p>
      <w:pPr>
        <w:spacing w:line="460" w:lineRule="atLeast"/>
        <w:ind w:firstLine="440" w:firstLineChars="200"/>
        <w:jc w:val="left"/>
        <w:rPr>
          <w:rFonts w:ascii="宋体" w:hAnsi="宋体" w:cs="新宋体"/>
          <w:sz w:val="22"/>
          <w:szCs w:val="22"/>
          <w:u w:val="single"/>
        </w:rPr>
      </w:pPr>
      <w:r>
        <w:rPr>
          <w:rFonts w:hint="eastAsia" w:ascii="宋体" w:hAnsi="宋体" w:cs="新宋体"/>
          <w:sz w:val="22"/>
          <w:szCs w:val="22"/>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ascii="宋体" w:hAnsi="宋体" w:cs="新宋体"/>
          <w:sz w:val="22"/>
          <w:szCs w:val="22"/>
        </w:rPr>
      </w:pPr>
      <w:r>
        <w:rPr>
          <w:rFonts w:hint="eastAsia" w:ascii="宋体" w:hAnsi="宋体" w:cs="新宋体"/>
          <w:sz w:val="22"/>
          <w:szCs w:val="22"/>
        </w:rPr>
        <w:t>二、投标文件所提供的一切材料都是真实、有效、合法的。</w:t>
      </w:r>
    </w:p>
    <w:p>
      <w:pPr>
        <w:spacing w:line="460" w:lineRule="atLeast"/>
        <w:ind w:firstLine="440" w:firstLineChars="200"/>
        <w:jc w:val="left"/>
        <w:rPr>
          <w:rFonts w:ascii="宋体" w:hAnsi="宋体" w:cs="新宋体"/>
          <w:sz w:val="22"/>
          <w:szCs w:val="22"/>
        </w:rPr>
      </w:pPr>
      <w:r>
        <w:rPr>
          <w:rFonts w:hint="eastAsia" w:ascii="宋体" w:hAnsi="宋体" w:cs="新宋体"/>
          <w:sz w:val="22"/>
          <w:szCs w:val="22"/>
        </w:rPr>
        <w:t>三、不与其他投标人相互串通投标报价，不排挤其他投标人的公平竞争，不损害招标人或其他投标人的合法权益。</w:t>
      </w:r>
    </w:p>
    <w:p>
      <w:pPr>
        <w:spacing w:line="460" w:lineRule="atLeast"/>
        <w:ind w:firstLine="440" w:firstLineChars="200"/>
        <w:jc w:val="left"/>
        <w:rPr>
          <w:rFonts w:ascii="宋体" w:hAnsi="宋体" w:cs="新宋体"/>
          <w:sz w:val="22"/>
          <w:szCs w:val="22"/>
        </w:rPr>
      </w:pPr>
      <w:r>
        <w:rPr>
          <w:rFonts w:hint="eastAsia" w:ascii="宋体" w:hAnsi="宋体" w:cs="新宋体"/>
          <w:sz w:val="22"/>
          <w:szCs w:val="22"/>
        </w:rPr>
        <w:t>四、不与采购人或采购代理机构串通投标，不损害国家利益，社会公共利益或其他人的合法权益。</w:t>
      </w:r>
    </w:p>
    <w:p>
      <w:pPr>
        <w:spacing w:line="460" w:lineRule="atLeast"/>
        <w:ind w:firstLine="440" w:firstLineChars="200"/>
        <w:jc w:val="left"/>
        <w:rPr>
          <w:rFonts w:ascii="宋体" w:hAnsi="宋体" w:cs="新宋体"/>
          <w:sz w:val="22"/>
          <w:szCs w:val="22"/>
        </w:rPr>
      </w:pPr>
      <w:r>
        <w:rPr>
          <w:rFonts w:hint="eastAsia" w:ascii="宋体" w:hAnsi="宋体" w:cs="新宋体"/>
          <w:sz w:val="22"/>
          <w:szCs w:val="22"/>
        </w:rPr>
        <w:t>五、不向采购人或者评标委员会成员行贿以牟取中标。</w:t>
      </w:r>
    </w:p>
    <w:p>
      <w:pPr>
        <w:spacing w:line="460" w:lineRule="atLeast"/>
        <w:ind w:firstLine="440" w:firstLineChars="200"/>
        <w:jc w:val="left"/>
        <w:rPr>
          <w:rFonts w:ascii="宋体" w:hAnsi="宋体" w:cs="新宋体"/>
          <w:sz w:val="22"/>
          <w:szCs w:val="22"/>
        </w:rPr>
      </w:pPr>
      <w:r>
        <w:rPr>
          <w:rFonts w:hint="eastAsia" w:ascii="宋体" w:hAnsi="宋体" w:cs="新宋体"/>
          <w:sz w:val="22"/>
          <w:szCs w:val="22"/>
        </w:rPr>
        <w:t>六、不以其他人名义投标或者以其他方式弄虚作假，骗取中标。</w:t>
      </w:r>
    </w:p>
    <w:p>
      <w:pPr>
        <w:spacing w:line="460" w:lineRule="atLeast"/>
        <w:ind w:firstLine="440" w:firstLineChars="200"/>
        <w:jc w:val="left"/>
        <w:rPr>
          <w:rFonts w:ascii="宋体" w:hAnsi="宋体" w:cs="新宋体"/>
          <w:sz w:val="22"/>
          <w:szCs w:val="22"/>
        </w:rPr>
      </w:pPr>
      <w:r>
        <w:rPr>
          <w:rFonts w:hint="eastAsia" w:ascii="宋体" w:hAnsi="宋体" w:cs="新宋体"/>
          <w:sz w:val="22"/>
          <w:szCs w:val="22"/>
        </w:rPr>
        <w:t>七、不在开标后进行虚假恶意投诉。</w:t>
      </w:r>
    </w:p>
    <w:p>
      <w:pPr>
        <w:spacing w:line="460" w:lineRule="atLeast"/>
        <w:ind w:firstLine="440" w:firstLineChars="200"/>
        <w:jc w:val="left"/>
        <w:rPr>
          <w:rFonts w:ascii="宋体" w:hAnsi="宋体" w:cs="新宋体"/>
          <w:sz w:val="22"/>
          <w:szCs w:val="22"/>
        </w:rPr>
      </w:pPr>
      <w:r>
        <w:rPr>
          <w:rFonts w:hint="eastAsia" w:ascii="宋体" w:hAnsi="宋体" w:cs="新宋体"/>
          <w:sz w:val="22"/>
          <w:szCs w:val="22"/>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0" w:firstLineChars="200"/>
        <w:jc w:val="left"/>
        <w:rPr>
          <w:rFonts w:ascii="宋体" w:hAnsi="宋体" w:cs="新宋体"/>
          <w:sz w:val="22"/>
          <w:szCs w:val="22"/>
        </w:rPr>
      </w:pPr>
      <w:r>
        <w:rPr>
          <w:rFonts w:hint="eastAsia" w:ascii="宋体" w:hAnsi="宋体" w:cs="新宋体"/>
          <w:sz w:val="22"/>
          <w:szCs w:val="22"/>
        </w:rPr>
        <w:t xml:space="preserve">九、没有被各地、各级财政部门禁止参加政府采购活动，且在限制期限内：    </w:t>
      </w:r>
    </w:p>
    <w:p>
      <w:pPr>
        <w:spacing w:line="460" w:lineRule="atLeast"/>
        <w:ind w:firstLine="440" w:firstLineChars="200"/>
        <w:jc w:val="left"/>
        <w:rPr>
          <w:rFonts w:ascii="宋体" w:hAnsi="宋体" w:cs="新宋体"/>
          <w:sz w:val="22"/>
          <w:szCs w:val="22"/>
        </w:rPr>
      </w:pPr>
      <w:r>
        <w:rPr>
          <w:rFonts w:hint="eastAsia" w:ascii="宋体" w:hAnsi="宋体" w:cs="新宋体"/>
          <w:sz w:val="22"/>
          <w:szCs w:val="22"/>
        </w:rPr>
        <w:t>十、参与本项目政府采购活动3年内没有重大违法记录情况。</w:t>
      </w:r>
    </w:p>
    <w:p>
      <w:pPr>
        <w:spacing w:line="460" w:lineRule="atLeast"/>
        <w:ind w:firstLine="440" w:firstLineChars="200"/>
        <w:rPr>
          <w:rFonts w:ascii="宋体" w:hAnsi="宋体" w:cs="新宋体"/>
          <w:sz w:val="22"/>
          <w:szCs w:val="22"/>
        </w:rPr>
      </w:pPr>
      <w:r>
        <w:rPr>
          <w:rFonts w:hint="eastAsia" w:ascii="宋体" w:hAnsi="宋体" w:cs="新宋体"/>
          <w:sz w:val="22"/>
          <w:szCs w:val="22"/>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2970" w:firstLineChars="1350"/>
        <w:rPr>
          <w:rFonts w:ascii="宋体" w:hAnsi="宋体" w:cs="新宋体"/>
          <w:sz w:val="22"/>
          <w:szCs w:val="22"/>
        </w:rPr>
      </w:pPr>
      <w:r>
        <w:rPr>
          <w:rFonts w:hint="eastAsia" w:ascii="宋体" w:hAnsi="宋体"/>
          <w:sz w:val="22"/>
          <w:szCs w:val="22"/>
        </w:rPr>
        <w:t>法定代表人或授权代表（签字或盖章）：</w:t>
      </w:r>
    </w:p>
    <w:p>
      <w:pPr>
        <w:spacing w:line="460" w:lineRule="atLeast"/>
        <w:ind w:right="1120" w:firstLine="2970" w:firstLineChars="1350"/>
        <w:rPr>
          <w:rFonts w:ascii="宋体" w:hAnsi="宋体" w:cs="新宋体"/>
          <w:sz w:val="22"/>
          <w:szCs w:val="22"/>
        </w:rPr>
      </w:pPr>
      <w:r>
        <w:rPr>
          <w:rFonts w:hint="eastAsia" w:ascii="宋体" w:hAnsi="宋体" w:cs="新宋体"/>
          <w:sz w:val="22"/>
          <w:szCs w:val="22"/>
        </w:rPr>
        <w:t>投标供应商（盖章）</w:t>
      </w:r>
    </w:p>
    <w:p>
      <w:pPr>
        <w:spacing w:line="460" w:lineRule="atLeast"/>
        <w:ind w:right="1120" w:firstLine="2970" w:firstLineChars="1350"/>
        <w:rPr>
          <w:rFonts w:ascii="宋体" w:hAnsi="宋体" w:cs="新宋体"/>
        </w:rPr>
      </w:pPr>
      <w:r>
        <w:rPr>
          <w:rFonts w:hint="eastAsia" w:ascii="宋体" w:hAnsi="宋体" w:cs="新宋体"/>
          <w:sz w:val="22"/>
          <w:szCs w:val="22"/>
        </w:rPr>
        <w:t>承诺书签署日期：         年  月  日</w:t>
      </w:r>
    </w:p>
    <w:p>
      <w:pPr>
        <w:spacing w:line="360" w:lineRule="exact"/>
        <w:jc w:val="left"/>
        <w:rPr>
          <w:rFonts w:ascii="宋体" w:hAnsi="宋体" w:cs="新宋体"/>
          <w:b/>
          <w:bCs/>
          <w:sz w:val="22"/>
          <w:szCs w:val="22"/>
          <w:u w:val="single"/>
        </w:rPr>
      </w:pPr>
    </w:p>
    <w:p>
      <w:pPr>
        <w:spacing w:line="360" w:lineRule="exact"/>
        <w:jc w:val="left"/>
        <w:rPr>
          <w:rFonts w:ascii="宋体" w:hAnsi="宋体" w:cs="新宋体"/>
          <w:b/>
          <w:sz w:val="30"/>
        </w:rPr>
      </w:pPr>
      <w:r>
        <w:rPr>
          <w:rFonts w:hint="eastAsia" w:ascii="宋体" w:hAnsi="宋体" w:cs="新宋体"/>
          <w:b/>
          <w:sz w:val="22"/>
          <w:szCs w:val="22"/>
          <w:u w:val="single"/>
        </w:rPr>
        <w:t>备注：▲投标供应商必须提供本承诺书，不提供按无效投标处理。</w:t>
      </w:r>
    </w:p>
    <w:p>
      <w:pPr>
        <w:tabs>
          <w:tab w:val="left" w:pos="2520"/>
        </w:tabs>
        <w:spacing w:line="440" w:lineRule="exact"/>
        <w:outlineLvl w:val="0"/>
        <w:rPr>
          <w:rFonts w:ascii="宋体" w:hAnsi="宋体" w:cs="新宋体"/>
        </w:rPr>
      </w:pPr>
    </w:p>
    <w:p>
      <w:pPr>
        <w:tabs>
          <w:tab w:val="left" w:pos="2520"/>
        </w:tabs>
        <w:spacing w:line="440" w:lineRule="exact"/>
        <w:outlineLvl w:val="0"/>
        <w:rPr>
          <w:rFonts w:ascii="宋体" w:hAnsi="宋体" w:cs="新宋体"/>
        </w:rPr>
      </w:pPr>
    </w:p>
    <w:p>
      <w:pPr>
        <w:spacing w:line="360" w:lineRule="exact"/>
        <w:jc w:val="left"/>
        <w:rPr>
          <w:rFonts w:hint="eastAsia" w:ascii="宋体" w:hAnsi="宋体"/>
          <w:b/>
          <w:bCs/>
          <w:sz w:val="22"/>
          <w:szCs w:val="22"/>
        </w:rPr>
      </w:pPr>
      <w:r>
        <w:rPr>
          <w:rFonts w:ascii="宋体" w:hAnsi="宋体"/>
          <w:sz w:val="22"/>
          <w:szCs w:val="22"/>
        </w:rPr>
        <w:br w:type="page"/>
      </w:r>
      <w:r>
        <w:rPr>
          <w:rFonts w:hint="eastAsia" w:ascii="宋体" w:hAnsi="宋体"/>
          <w:b/>
          <w:sz w:val="22"/>
          <w:szCs w:val="22"/>
        </w:rPr>
        <w:t>附件九</w:t>
      </w:r>
    </w:p>
    <w:p>
      <w:pPr>
        <w:tabs>
          <w:tab w:val="left" w:pos="1080"/>
        </w:tabs>
        <w:autoSpaceDE w:val="0"/>
        <w:autoSpaceDN w:val="0"/>
        <w:adjustRightInd w:val="0"/>
        <w:spacing w:line="440" w:lineRule="atLeast"/>
        <w:jc w:val="center"/>
        <w:rPr>
          <w:rFonts w:ascii="宋体" w:hAnsi="宋体" w:cs="仿宋_GB2312"/>
          <w:b/>
          <w:sz w:val="32"/>
          <w:szCs w:val="32"/>
          <w:lang w:val="zh-CN"/>
        </w:rPr>
      </w:pPr>
      <w:r>
        <w:rPr>
          <w:rFonts w:hint="eastAsia" w:ascii="宋体" w:hAnsi="宋体" w:cs="仿宋_GB2312"/>
          <w:b/>
          <w:sz w:val="32"/>
          <w:szCs w:val="32"/>
          <w:lang w:val="zh-CN"/>
        </w:rPr>
        <w:t>类似业绩（时间以签订的时间为准）</w:t>
      </w:r>
    </w:p>
    <w:p>
      <w:pPr>
        <w:spacing w:line="460" w:lineRule="exact"/>
        <w:rPr>
          <w:rFonts w:ascii="宋体" w:hAnsi="宋体"/>
          <w:sz w:val="22"/>
          <w:szCs w:val="22"/>
        </w:rPr>
      </w:pPr>
      <w:r>
        <w:rPr>
          <w:rFonts w:hint="eastAsia" w:ascii="宋体" w:hAnsi="宋体"/>
          <w:sz w:val="22"/>
          <w:szCs w:val="22"/>
        </w:rPr>
        <w:t>项目名称：                                              项目编号：</w:t>
      </w:r>
    </w:p>
    <w:tbl>
      <w:tblPr>
        <w:tblStyle w:val="41"/>
        <w:tblW w:w="93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pPr>
              <w:tabs>
                <w:tab w:val="left" w:pos="4140"/>
              </w:tabs>
              <w:adjustRightInd w:val="0"/>
              <w:snapToGrid w:val="0"/>
              <w:spacing w:line="320" w:lineRule="atLeast"/>
              <w:jc w:val="center"/>
              <w:rPr>
                <w:rFonts w:ascii="宋体" w:hAnsi="宋体"/>
                <w:caps/>
                <w:spacing w:val="20"/>
                <w:sz w:val="22"/>
              </w:rPr>
            </w:pPr>
            <w:r>
              <w:rPr>
                <w:rFonts w:hint="eastAsia" w:ascii="宋体" w:hAnsi="宋体"/>
                <w:caps/>
                <w:spacing w:val="20"/>
                <w:sz w:val="22"/>
                <w:szCs w:val="22"/>
              </w:rPr>
              <w:t>序号</w:t>
            </w:r>
          </w:p>
        </w:tc>
        <w:tc>
          <w:tcPr>
            <w:tcW w:w="1285" w:type="dxa"/>
            <w:noWrap w:val="0"/>
            <w:vAlign w:val="center"/>
          </w:tcPr>
          <w:p>
            <w:pPr>
              <w:tabs>
                <w:tab w:val="left" w:pos="4140"/>
              </w:tabs>
              <w:adjustRightInd w:val="0"/>
              <w:snapToGrid w:val="0"/>
              <w:spacing w:line="320" w:lineRule="atLeast"/>
              <w:jc w:val="center"/>
              <w:rPr>
                <w:rFonts w:ascii="宋体" w:hAnsi="宋体"/>
                <w:spacing w:val="20"/>
                <w:sz w:val="22"/>
              </w:rPr>
            </w:pPr>
            <w:r>
              <w:rPr>
                <w:rFonts w:hint="eastAsia" w:ascii="宋体" w:hAnsi="宋体"/>
                <w:spacing w:val="20"/>
                <w:sz w:val="22"/>
                <w:szCs w:val="22"/>
              </w:rPr>
              <w:t>采购单位</w:t>
            </w:r>
          </w:p>
        </w:tc>
        <w:tc>
          <w:tcPr>
            <w:tcW w:w="1299" w:type="dxa"/>
            <w:noWrap w:val="0"/>
            <w:vAlign w:val="center"/>
          </w:tcPr>
          <w:p>
            <w:pPr>
              <w:tabs>
                <w:tab w:val="left" w:pos="4140"/>
              </w:tabs>
              <w:adjustRightInd w:val="0"/>
              <w:snapToGrid w:val="0"/>
              <w:spacing w:line="320" w:lineRule="atLeast"/>
              <w:jc w:val="center"/>
              <w:rPr>
                <w:rFonts w:ascii="宋体" w:hAnsi="宋体"/>
                <w:caps/>
                <w:spacing w:val="20"/>
                <w:sz w:val="22"/>
              </w:rPr>
            </w:pPr>
            <w:r>
              <w:rPr>
                <w:rFonts w:hint="eastAsia" w:ascii="宋体" w:hAnsi="宋体"/>
                <w:caps/>
                <w:spacing w:val="20"/>
                <w:sz w:val="22"/>
                <w:szCs w:val="22"/>
              </w:rPr>
              <w:t>项目名称</w:t>
            </w:r>
          </w:p>
        </w:tc>
        <w:tc>
          <w:tcPr>
            <w:tcW w:w="1355" w:type="dxa"/>
            <w:noWrap w:val="0"/>
            <w:vAlign w:val="center"/>
          </w:tcPr>
          <w:p>
            <w:pPr>
              <w:tabs>
                <w:tab w:val="left" w:pos="4140"/>
              </w:tabs>
              <w:adjustRightInd w:val="0"/>
              <w:snapToGrid w:val="0"/>
              <w:spacing w:line="320" w:lineRule="atLeast"/>
              <w:jc w:val="center"/>
              <w:rPr>
                <w:rFonts w:ascii="宋体" w:hAnsi="宋体"/>
                <w:caps/>
                <w:spacing w:val="20"/>
                <w:sz w:val="22"/>
              </w:rPr>
            </w:pPr>
            <w:r>
              <w:rPr>
                <w:rFonts w:hint="eastAsia" w:ascii="宋体" w:hAnsi="宋体"/>
                <w:caps/>
                <w:spacing w:val="20"/>
                <w:sz w:val="22"/>
                <w:szCs w:val="22"/>
              </w:rPr>
              <w:t>合同金额</w:t>
            </w:r>
          </w:p>
        </w:tc>
        <w:tc>
          <w:tcPr>
            <w:tcW w:w="1296" w:type="dxa"/>
            <w:noWrap w:val="0"/>
            <w:vAlign w:val="center"/>
          </w:tcPr>
          <w:p>
            <w:pPr>
              <w:tabs>
                <w:tab w:val="left" w:pos="4140"/>
              </w:tabs>
              <w:adjustRightInd w:val="0"/>
              <w:snapToGrid w:val="0"/>
              <w:spacing w:line="320" w:lineRule="atLeast"/>
              <w:jc w:val="center"/>
              <w:rPr>
                <w:rFonts w:ascii="宋体" w:hAnsi="宋体"/>
                <w:spacing w:val="20"/>
                <w:sz w:val="22"/>
              </w:rPr>
            </w:pPr>
            <w:r>
              <w:rPr>
                <w:rFonts w:hint="eastAsia" w:ascii="宋体" w:hAnsi="宋体"/>
                <w:spacing w:val="20"/>
                <w:sz w:val="22"/>
                <w:szCs w:val="22"/>
              </w:rPr>
              <w:t>签约日期</w:t>
            </w: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r>
              <w:rPr>
                <w:rFonts w:hint="eastAsia" w:ascii="宋体" w:hAnsi="宋体"/>
                <w:spacing w:val="20"/>
                <w:sz w:val="22"/>
                <w:szCs w:val="22"/>
              </w:rPr>
              <w:t>联系人</w:t>
            </w:r>
          </w:p>
        </w:tc>
        <w:tc>
          <w:tcPr>
            <w:tcW w:w="1271" w:type="dxa"/>
            <w:noWrap w:val="0"/>
            <w:vAlign w:val="center"/>
          </w:tcPr>
          <w:p>
            <w:pPr>
              <w:tabs>
                <w:tab w:val="left" w:pos="4140"/>
              </w:tabs>
              <w:adjustRightInd w:val="0"/>
              <w:snapToGrid w:val="0"/>
              <w:spacing w:line="320" w:lineRule="atLeast"/>
              <w:jc w:val="center"/>
              <w:rPr>
                <w:rFonts w:ascii="宋体" w:hAnsi="宋体"/>
                <w:spacing w:val="20"/>
                <w:sz w:val="22"/>
              </w:rPr>
            </w:pPr>
            <w:r>
              <w:rPr>
                <w:rFonts w:hint="eastAsia" w:ascii="宋体" w:hAnsi="宋体"/>
                <w:spacing w:val="20"/>
                <w:sz w:val="22"/>
                <w:szCs w:val="22"/>
              </w:rPr>
              <w:t>联系电话</w:t>
            </w: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r>
              <w:rPr>
                <w:rFonts w:hint="eastAsia" w:ascii="宋体" w:hAnsi="宋体"/>
                <w:spacing w:val="2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8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9"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35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71"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8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9"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35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71"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8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9"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35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71"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8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9"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35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71"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8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9"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35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71"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8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9"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35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71"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8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9"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35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71"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8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9"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35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71"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8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9"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35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71"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8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9"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35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71"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8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9"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35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71"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8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9"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35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71"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8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9"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355"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96"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271" w:type="dxa"/>
            <w:noWrap w:val="0"/>
            <w:vAlign w:val="center"/>
          </w:tcPr>
          <w:p>
            <w:pPr>
              <w:tabs>
                <w:tab w:val="left" w:pos="4140"/>
              </w:tabs>
              <w:adjustRightInd w:val="0"/>
              <w:snapToGrid w:val="0"/>
              <w:spacing w:line="320" w:lineRule="atLeast"/>
              <w:jc w:val="center"/>
              <w:rPr>
                <w:rFonts w:ascii="宋体" w:hAnsi="宋体"/>
                <w:spacing w:val="20"/>
                <w:sz w:val="22"/>
              </w:rPr>
            </w:pPr>
          </w:p>
        </w:tc>
        <w:tc>
          <w:tcPr>
            <w:tcW w:w="1064" w:type="dxa"/>
            <w:noWrap w:val="0"/>
            <w:vAlign w:val="center"/>
          </w:tcPr>
          <w:p>
            <w:pPr>
              <w:tabs>
                <w:tab w:val="left" w:pos="4140"/>
              </w:tabs>
              <w:adjustRightInd w:val="0"/>
              <w:snapToGrid w:val="0"/>
              <w:spacing w:line="320" w:lineRule="atLeast"/>
              <w:jc w:val="center"/>
              <w:rPr>
                <w:rFonts w:ascii="宋体" w:hAnsi="宋体"/>
                <w:spacing w:val="20"/>
                <w:sz w:val="22"/>
              </w:rPr>
            </w:pPr>
          </w:p>
        </w:tc>
      </w:tr>
    </w:tbl>
    <w:p>
      <w:pPr>
        <w:spacing w:line="460" w:lineRule="exact"/>
        <w:ind w:left="755" w:hanging="754" w:hangingChars="343"/>
        <w:rPr>
          <w:rFonts w:ascii="宋体" w:hAnsi="宋体"/>
          <w:bCs/>
          <w:sz w:val="22"/>
          <w:szCs w:val="22"/>
        </w:rPr>
      </w:pPr>
      <w:r>
        <w:rPr>
          <w:rFonts w:hint="eastAsia" w:ascii="宋体" w:hAnsi="宋体"/>
          <w:sz w:val="22"/>
          <w:szCs w:val="22"/>
        </w:rPr>
        <w:t>注：投标供应商可按此表格式复制，需后附合同扫描件加盖公章。</w:t>
      </w:r>
    </w:p>
    <w:p>
      <w:pPr>
        <w:spacing w:line="460" w:lineRule="exact"/>
        <w:ind w:left="755" w:hanging="754" w:hangingChars="343"/>
        <w:rPr>
          <w:rFonts w:ascii="宋体" w:hAnsi="宋体"/>
          <w:bCs/>
          <w:sz w:val="22"/>
          <w:szCs w:val="22"/>
        </w:rPr>
      </w:pPr>
    </w:p>
    <w:p>
      <w:pPr>
        <w:spacing w:line="440" w:lineRule="atLeast"/>
        <w:rPr>
          <w:rFonts w:ascii="宋体" w:hAnsi="宋体"/>
          <w:sz w:val="22"/>
          <w:szCs w:val="22"/>
        </w:rPr>
      </w:pPr>
      <w:r>
        <w:rPr>
          <w:rFonts w:hint="eastAsia" w:ascii="宋体" w:hAnsi="宋体"/>
          <w:sz w:val="22"/>
          <w:szCs w:val="22"/>
        </w:rPr>
        <w:t>供应商全称（盖章）：</w:t>
      </w:r>
    </w:p>
    <w:p>
      <w:pPr>
        <w:spacing w:line="440" w:lineRule="atLeast"/>
        <w:rPr>
          <w:rFonts w:ascii="宋体" w:hAnsi="宋体"/>
          <w:sz w:val="22"/>
          <w:szCs w:val="22"/>
        </w:rPr>
      </w:pPr>
      <w:r>
        <w:rPr>
          <w:rFonts w:hint="eastAsia" w:ascii="宋体" w:hAnsi="宋体"/>
          <w:sz w:val="22"/>
          <w:szCs w:val="22"/>
        </w:rPr>
        <w:t>法定代表人或授权代表（签字或盖章）：</w:t>
      </w:r>
    </w:p>
    <w:p>
      <w:pPr>
        <w:autoSpaceDE w:val="0"/>
        <w:autoSpaceDN w:val="0"/>
        <w:adjustRightInd w:val="0"/>
        <w:spacing w:line="460" w:lineRule="atLeast"/>
        <w:rPr>
          <w:rFonts w:ascii="宋体" w:hAnsi="宋体"/>
          <w:sz w:val="22"/>
          <w:szCs w:val="22"/>
        </w:rPr>
      </w:pPr>
      <w:r>
        <w:rPr>
          <w:rFonts w:hint="eastAsia" w:ascii="宋体" w:hAnsi="宋体"/>
          <w:sz w:val="22"/>
          <w:szCs w:val="22"/>
        </w:rPr>
        <w:t>日期：</w:t>
      </w:r>
    </w:p>
    <w:p>
      <w:pPr>
        <w:autoSpaceDE w:val="0"/>
        <w:autoSpaceDN w:val="0"/>
        <w:adjustRightInd w:val="0"/>
        <w:spacing w:line="460" w:lineRule="atLeast"/>
        <w:rPr>
          <w:rFonts w:ascii="宋体" w:hAnsi="宋体"/>
          <w:sz w:val="22"/>
        </w:rPr>
      </w:pPr>
    </w:p>
    <w:p>
      <w:pPr>
        <w:autoSpaceDE w:val="0"/>
        <w:autoSpaceDN w:val="0"/>
        <w:adjustRightInd w:val="0"/>
        <w:spacing w:line="460" w:lineRule="atLeast"/>
        <w:rPr>
          <w:rFonts w:ascii="宋体" w:hAnsi="宋体"/>
          <w:sz w:val="22"/>
        </w:rPr>
      </w:pPr>
    </w:p>
    <w:p>
      <w:pPr>
        <w:pStyle w:val="39"/>
        <w:rPr>
          <w:rFonts w:ascii="宋体" w:hAnsi="宋体"/>
        </w:rPr>
      </w:pPr>
      <w:bookmarkStart w:id="224" w:name="_Toc493530220"/>
    </w:p>
    <w:p>
      <w:pPr>
        <w:rPr>
          <w:rFonts w:ascii="宋体" w:hAnsi="宋体"/>
        </w:rPr>
      </w:pPr>
    </w:p>
    <w:bookmarkEnd w:id="224"/>
    <w:p>
      <w:pPr>
        <w:widowControl/>
        <w:jc w:val="left"/>
        <w:rPr>
          <w:rFonts w:ascii="宋体" w:hAnsi="宋体"/>
          <w:b/>
          <w:bCs/>
          <w:sz w:val="22"/>
          <w:szCs w:val="22"/>
        </w:rPr>
      </w:pPr>
      <w:r>
        <w:rPr>
          <w:rFonts w:hint="eastAsia" w:ascii="宋体" w:hAnsi="宋体"/>
          <w:b/>
          <w:sz w:val="22"/>
          <w:szCs w:val="22"/>
        </w:rPr>
        <w:t>附件十</w:t>
      </w:r>
    </w:p>
    <w:p>
      <w:pPr>
        <w:pStyle w:val="39"/>
        <w:rPr>
          <w:rFonts w:ascii="宋体" w:hAnsi="宋体"/>
        </w:rPr>
      </w:pPr>
      <w:bookmarkStart w:id="225" w:name="_Toc19204524"/>
      <w:bookmarkStart w:id="226" w:name="_Toc42243291"/>
      <w:bookmarkStart w:id="227" w:name="_Toc511045490"/>
      <w:bookmarkStart w:id="228" w:name="_Toc518512543"/>
      <w:bookmarkStart w:id="229" w:name="_Toc46386542"/>
      <w:bookmarkStart w:id="230" w:name="_Toc68189109"/>
      <w:bookmarkStart w:id="231" w:name="_Toc87518420"/>
      <w:bookmarkStart w:id="232" w:name="_Toc68188795"/>
      <w:bookmarkStart w:id="233" w:name="_Toc7501"/>
      <w:bookmarkStart w:id="234" w:name="_Toc96970933"/>
      <w:bookmarkStart w:id="235" w:name="_Toc6559"/>
      <w:bookmarkStart w:id="236" w:name="_Toc87518597"/>
      <w:bookmarkStart w:id="237" w:name="_Toc68187559"/>
      <w:bookmarkStart w:id="238" w:name="_Toc496618932"/>
      <w:bookmarkStart w:id="239" w:name="_Toc522469128"/>
      <w:bookmarkStart w:id="240" w:name="_Toc9334958"/>
      <w:bookmarkStart w:id="241" w:name="_Toc97033075"/>
      <w:r>
        <w:rPr>
          <w:rFonts w:hint="eastAsia" w:ascii="宋体" w:hAnsi="宋体"/>
        </w:rPr>
        <w:t>偏离表</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spacing w:line="460" w:lineRule="exact"/>
        <w:rPr>
          <w:rFonts w:ascii="宋体" w:hAnsi="宋体"/>
          <w:sz w:val="22"/>
          <w:szCs w:val="22"/>
        </w:rPr>
      </w:pPr>
      <w:r>
        <w:rPr>
          <w:rFonts w:hint="eastAsia" w:ascii="宋体" w:hAnsi="宋体"/>
          <w:sz w:val="22"/>
          <w:szCs w:val="22"/>
        </w:rPr>
        <w:t>项目名称：                                       项目编号：</w:t>
      </w:r>
    </w:p>
    <w:tbl>
      <w:tblPr>
        <w:tblStyle w:val="4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34"/>
        <w:gridCol w:w="2743"/>
        <w:gridCol w:w="302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68" w:type="dxa"/>
            <w:noWrap w:val="0"/>
            <w:vAlign w:val="center"/>
          </w:tcPr>
          <w:p>
            <w:pPr>
              <w:jc w:val="center"/>
              <w:rPr>
                <w:rFonts w:ascii="宋体" w:hAnsi="宋体"/>
                <w:sz w:val="22"/>
                <w:szCs w:val="22"/>
              </w:rPr>
            </w:pPr>
            <w:r>
              <w:rPr>
                <w:rFonts w:hint="eastAsia" w:ascii="宋体" w:hAnsi="宋体"/>
                <w:sz w:val="22"/>
                <w:szCs w:val="22"/>
              </w:rPr>
              <w:t>内   容</w:t>
            </w:r>
          </w:p>
        </w:tc>
        <w:tc>
          <w:tcPr>
            <w:tcW w:w="1434" w:type="dxa"/>
            <w:noWrap w:val="0"/>
            <w:vAlign w:val="center"/>
          </w:tcPr>
          <w:p>
            <w:pPr>
              <w:jc w:val="center"/>
              <w:rPr>
                <w:rFonts w:ascii="宋体" w:hAnsi="宋体"/>
                <w:sz w:val="22"/>
                <w:szCs w:val="22"/>
              </w:rPr>
            </w:pPr>
            <w:r>
              <w:rPr>
                <w:rFonts w:hint="eastAsia" w:ascii="宋体" w:hAnsi="宋体"/>
                <w:sz w:val="22"/>
                <w:szCs w:val="22"/>
              </w:rPr>
              <w:t>招标文件</w:t>
            </w:r>
          </w:p>
          <w:p>
            <w:pPr>
              <w:jc w:val="center"/>
              <w:rPr>
                <w:rFonts w:ascii="宋体" w:hAnsi="宋体"/>
                <w:sz w:val="22"/>
                <w:szCs w:val="22"/>
              </w:rPr>
            </w:pPr>
            <w:r>
              <w:rPr>
                <w:rFonts w:hint="eastAsia" w:ascii="宋体" w:hAnsi="宋体"/>
                <w:sz w:val="22"/>
                <w:szCs w:val="22"/>
              </w:rPr>
              <w:t>条目</w:t>
            </w:r>
          </w:p>
        </w:tc>
        <w:tc>
          <w:tcPr>
            <w:tcW w:w="2743" w:type="dxa"/>
            <w:noWrap w:val="0"/>
            <w:vAlign w:val="center"/>
          </w:tcPr>
          <w:p>
            <w:pPr>
              <w:jc w:val="center"/>
              <w:rPr>
                <w:rFonts w:ascii="宋体" w:hAnsi="宋体"/>
                <w:sz w:val="22"/>
                <w:szCs w:val="22"/>
              </w:rPr>
            </w:pPr>
            <w:r>
              <w:rPr>
                <w:rFonts w:hint="eastAsia" w:ascii="宋体" w:hAnsi="宋体"/>
                <w:sz w:val="22"/>
                <w:szCs w:val="22"/>
              </w:rPr>
              <w:t>招标文件</w:t>
            </w:r>
          </w:p>
          <w:p>
            <w:pPr>
              <w:jc w:val="center"/>
              <w:rPr>
                <w:rFonts w:ascii="宋体" w:hAnsi="宋体"/>
                <w:sz w:val="22"/>
                <w:szCs w:val="22"/>
              </w:rPr>
            </w:pPr>
            <w:r>
              <w:rPr>
                <w:rFonts w:hint="eastAsia" w:ascii="宋体" w:hAnsi="宋体"/>
                <w:sz w:val="22"/>
                <w:szCs w:val="22"/>
              </w:rPr>
              <w:t>规格要求</w:t>
            </w:r>
          </w:p>
        </w:tc>
        <w:tc>
          <w:tcPr>
            <w:tcW w:w="3023" w:type="dxa"/>
            <w:noWrap w:val="0"/>
            <w:vAlign w:val="center"/>
          </w:tcPr>
          <w:p>
            <w:pPr>
              <w:jc w:val="center"/>
              <w:rPr>
                <w:rFonts w:ascii="宋体" w:hAnsi="宋体"/>
                <w:sz w:val="22"/>
                <w:szCs w:val="22"/>
              </w:rPr>
            </w:pPr>
            <w:r>
              <w:rPr>
                <w:rFonts w:hint="eastAsia" w:ascii="宋体" w:hAnsi="宋体"/>
                <w:sz w:val="22"/>
                <w:szCs w:val="22"/>
              </w:rPr>
              <w:t>投标文件</w:t>
            </w:r>
          </w:p>
          <w:p>
            <w:pPr>
              <w:jc w:val="center"/>
              <w:rPr>
                <w:rFonts w:ascii="宋体" w:hAnsi="宋体"/>
                <w:sz w:val="22"/>
                <w:szCs w:val="22"/>
              </w:rPr>
            </w:pPr>
            <w:r>
              <w:rPr>
                <w:rFonts w:hint="eastAsia" w:ascii="宋体" w:hAnsi="宋体"/>
                <w:sz w:val="22"/>
                <w:szCs w:val="22"/>
              </w:rPr>
              <w:t>对应规格</w:t>
            </w:r>
          </w:p>
        </w:tc>
        <w:tc>
          <w:tcPr>
            <w:tcW w:w="1260" w:type="dxa"/>
            <w:noWrap w:val="0"/>
            <w:vAlign w:val="center"/>
          </w:tcPr>
          <w:p>
            <w:pPr>
              <w:jc w:val="center"/>
              <w:rPr>
                <w:rFonts w:ascii="宋体" w:hAnsi="宋体"/>
                <w:sz w:val="22"/>
                <w:szCs w:val="22"/>
              </w:rPr>
            </w:pPr>
            <w:r>
              <w:rPr>
                <w:rFonts w:hint="eastAsia" w:ascii="宋体" w:hAnsi="宋体"/>
                <w:sz w:val="22"/>
                <w:szCs w:val="22"/>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noWrap w:val="0"/>
            <w:vAlign w:val="center"/>
          </w:tcPr>
          <w:p>
            <w:pPr>
              <w:rPr>
                <w:rFonts w:ascii="宋体" w:hAnsi="宋体"/>
                <w:sz w:val="22"/>
                <w:szCs w:val="22"/>
              </w:rPr>
            </w:pPr>
            <w:r>
              <w:rPr>
                <w:rFonts w:hint="eastAsia" w:ascii="宋体" w:hAnsi="宋体"/>
                <w:sz w:val="22"/>
                <w:szCs w:val="22"/>
              </w:rPr>
              <w:t>技术偏离</w:t>
            </w:r>
          </w:p>
        </w:tc>
        <w:tc>
          <w:tcPr>
            <w:tcW w:w="1434" w:type="dxa"/>
            <w:noWrap w:val="0"/>
            <w:vAlign w:val="center"/>
          </w:tcPr>
          <w:p>
            <w:pPr>
              <w:jc w:val="center"/>
              <w:rPr>
                <w:rFonts w:ascii="宋体" w:hAnsi="宋体"/>
                <w:sz w:val="22"/>
                <w:szCs w:val="22"/>
              </w:rPr>
            </w:pPr>
          </w:p>
        </w:tc>
        <w:tc>
          <w:tcPr>
            <w:tcW w:w="2743" w:type="dxa"/>
            <w:noWrap w:val="0"/>
            <w:vAlign w:val="center"/>
          </w:tcPr>
          <w:p>
            <w:pPr>
              <w:jc w:val="center"/>
              <w:rPr>
                <w:rFonts w:ascii="宋体" w:hAnsi="宋体"/>
                <w:sz w:val="22"/>
                <w:szCs w:val="22"/>
              </w:rPr>
            </w:pPr>
          </w:p>
        </w:tc>
        <w:tc>
          <w:tcPr>
            <w:tcW w:w="3023" w:type="dxa"/>
            <w:noWrap w:val="0"/>
            <w:vAlign w:val="center"/>
          </w:tcPr>
          <w:p>
            <w:pPr>
              <w:jc w:val="center"/>
              <w:rPr>
                <w:rFonts w:ascii="宋体" w:hAnsi="宋体"/>
                <w:sz w:val="22"/>
                <w:szCs w:val="22"/>
              </w:rPr>
            </w:pPr>
          </w:p>
        </w:tc>
        <w:tc>
          <w:tcPr>
            <w:tcW w:w="1260" w:type="dxa"/>
            <w:noWrap w:val="0"/>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noWrap w:val="0"/>
            <w:vAlign w:val="center"/>
          </w:tcPr>
          <w:p>
            <w:pPr>
              <w:jc w:val="center"/>
              <w:rPr>
                <w:rFonts w:ascii="宋体" w:hAnsi="宋体"/>
                <w:strike/>
                <w:sz w:val="22"/>
                <w:szCs w:val="22"/>
              </w:rPr>
            </w:pPr>
          </w:p>
        </w:tc>
        <w:tc>
          <w:tcPr>
            <w:tcW w:w="1434" w:type="dxa"/>
            <w:noWrap w:val="0"/>
            <w:vAlign w:val="center"/>
          </w:tcPr>
          <w:p>
            <w:pPr>
              <w:jc w:val="center"/>
              <w:rPr>
                <w:rFonts w:ascii="宋体" w:hAnsi="宋体"/>
                <w:strike/>
                <w:sz w:val="22"/>
                <w:szCs w:val="22"/>
              </w:rPr>
            </w:pPr>
          </w:p>
        </w:tc>
        <w:tc>
          <w:tcPr>
            <w:tcW w:w="2743" w:type="dxa"/>
            <w:noWrap w:val="0"/>
            <w:vAlign w:val="center"/>
          </w:tcPr>
          <w:p>
            <w:pPr>
              <w:jc w:val="center"/>
              <w:rPr>
                <w:rFonts w:ascii="宋体" w:hAnsi="宋体"/>
                <w:strike/>
                <w:sz w:val="22"/>
                <w:szCs w:val="22"/>
              </w:rPr>
            </w:pPr>
          </w:p>
        </w:tc>
        <w:tc>
          <w:tcPr>
            <w:tcW w:w="3023" w:type="dxa"/>
            <w:noWrap w:val="0"/>
            <w:vAlign w:val="center"/>
          </w:tcPr>
          <w:p>
            <w:pPr>
              <w:jc w:val="center"/>
              <w:rPr>
                <w:rFonts w:ascii="宋体" w:hAnsi="宋体"/>
                <w:strike/>
                <w:sz w:val="22"/>
                <w:szCs w:val="22"/>
              </w:rPr>
            </w:pPr>
          </w:p>
        </w:tc>
        <w:tc>
          <w:tcPr>
            <w:tcW w:w="1260" w:type="dxa"/>
            <w:noWrap w:val="0"/>
            <w:vAlign w:val="center"/>
          </w:tcPr>
          <w:p>
            <w:pPr>
              <w:jc w:val="center"/>
              <w:rPr>
                <w:rFonts w:ascii="宋体" w:hAnsi="宋体"/>
                <w:strike/>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noWrap w:val="0"/>
            <w:vAlign w:val="center"/>
          </w:tcPr>
          <w:p>
            <w:pPr>
              <w:jc w:val="center"/>
              <w:rPr>
                <w:rFonts w:ascii="宋体" w:hAnsi="宋体"/>
                <w:strike/>
                <w:sz w:val="22"/>
                <w:szCs w:val="22"/>
              </w:rPr>
            </w:pPr>
          </w:p>
        </w:tc>
        <w:tc>
          <w:tcPr>
            <w:tcW w:w="1434" w:type="dxa"/>
            <w:noWrap w:val="0"/>
            <w:vAlign w:val="center"/>
          </w:tcPr>
          <w:p>
            <w:pPr>
              <w:jc w:val="center"/>
              <w:rPr>
                <w:rFonts w:ascii="宋体" w:hAnsi="宋体"/>
                <w:strike/>
                <w:sz w:val="22"/>
                <w:szCs w:val="22"/>
              </w:rPr>
            </w:pPr>
          </w:p>
        </w:tc>
        <w:tc>
          <w:tcPr>
            <w:tcW w:w="2743" w:type="dxa"/>
            <w:noWrap w:val="0"/>
            <w:vAlign w:val="center"/>
          </w:tcPr>
          <w:p>
            <w:pPr>
              <w:jc w:val="center"/>
              <w:rPr>
                <w:rFonts w:ascii="宋体" w:hAnsi="宋体"/>
                <w:strike/>
                <w:sz w:val="22"/>
                <w:szCs w:val="22"/>
              </w:rPr>
            </w:pPr>
          </w:p>
        </w:tc>
        <w:tc>
          <w:tcPr>
            <w:tcW w:w="3023" w:type="dxa"/>
            <w:noWrap w:val="0"/>
            <w:vAlign w:val="center"/>
          </w:tcPr>
          <w:p>
            <w:pPr>
              <w:jc w:val="center"/>
              <w:rPr>
                <w:rFonts w:ascii="宋体" w:hAnsi="宋体"/>
                <w:strike/>
                <w:sz w:val="22"/>
                <w:szCs w:val="22"/>
              </w:rPr>
            </w:pPr>
          </w:p>
        </w:tc>
        <w:tc>
          <w:tcPr>
            <w:tcW w:w="1260" w:type="dxa"/>
            <w:noWrap w:val="0"/>
            <w:vAlign w:val="center"/>
          </w:tcPr>
          <w:p>
            <w:pPr>
              <w:jc w:val="center"/>
              <w:rPr>
                <w:rFonts w:ascii="宋体" w:hAnsi="宋体"/>
                <w:strike/>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noWrap w:val="0"/>
            <w:vAlign w:val="center"/>
          </w:tcPr>
          <w:p>
            <w:pPr>
              <w:jc w:val="center"/>
              <w:rPr>
                <w:rFonts w:ascii="宋体" w:hAnsi="宋体"/>
                <w:strike/>
                <w:sz w:val="22"/>
                <w:szCs w:val="22"/>
              </w:rPr>
            </w:pPr>
          </w:p>
        </w:tc>
        <w:tc>
          <w:tcPr>
            <w:tcW w:w="1434" w:type="dxa"/>
            <w:noWrap w:val="0"/>
            <w:vAlign w:val="center"/>
          </w:tcPr>
          <w:p>
            <w:pPr>
              <w:jc w:val="center"/>
              <w:rPr>
                <w:rFonts w:ascii="宋体" w:hAnsi="宋体"/>
                <w:strike/>
                <w:sz w:val="22"/>
                <w:szCs w:val="22"/>
              </w:rPr>
            </w:pPr>
          </w:p>
        </w:tc>
        <w:tc>
          <w:tcPr>
            <w:tcW w:w="2743" w:type="dxa"/>
            <w:noWrap w:val="0"/>
            <w:vAlign w:val="center"/>
          </w:tcPr>
          <w:p>
            <w:pPr>
              <w:jc w:val="center"/>
              <w:rPr>
                <w:rFonts w:ascii="宋体" w:hAnsi="宋体"/>
                <w:strike/>
                <w:sz w:val="22"/>
                <w:szCs w:val="22"/>
              </w:rPr>
            </w:pPr>
          </w:p>
        </w:tc>
        <w:tc>
          <w:tcPr>
            <w:tcW w:w="3023" w:type="dxa"/>
            <w:noWrap w:val="0"/>
            <w:vAlign w:val="center"/>
          </w:tcPr>
          <w:p>
            <w:pPr>
              <w:jc w:val="center"/>
              <w:rPr>
                <w:rFonts w:ascii="宋体" w:hAnsi="宋体"/>
                <w:strike/>
                <w:sz w:val="22"/>
                <w:szCs w:val="22"/>
              </w:rPr>
            </w:pPr>
          </w:p>
        </w:tc>
        <w:tc>
          <w:tcPr>
            <w:tcW w:w="1260" w:type="dxa"/>
            <w:noWrap w:val="0"/>
            <w:vAlign w:val="center"/>
          </w:tcPr>
          <w:p>
            <w:pPr>
              <w:jc w:val="center"/>
              <w:rPr>
                <w:rFonts w:ascii="宋体" w:hAnsi="宋体"/>
                <w:strike/>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noWrap w:val="0"/>
            <w:vAlign w:val="center"/>
          </w:tcPr>
          <w:p>
            <w:pPr>
              <w:jc w:val="center"/>
              <w:rPr>
                <w:rFonts w:ascii="宋体" w:hAnsi="宋体"/>
                <w:strike/>
                <w:sz w:val="22"/>
                <w:szCs w:val="22"/>
              </w:rPr>
            </w:pPr>
          </w:p>
        </w:tc>
        <w:tc>
          <w:tcPr>
            <w:tcW w:w="1434" w:type="dxa"/>
            <w:noWrap w:val="0"/>
            <w:vAlign w:val="center"/>
          </w:tcPr>
          <w:p>
            <w:pPr>
              <w:jc w:val="center"/>
              <w:rPr>
                <w:rFonts w:ascii="宋体" w:hAnsi="宋体"/>
                <w:strike/>
                <w:sz w:val="22"/>
                <w:szCs w:val="22"/>
              </w:rPr>
            </w:pPr>
          </w:p>
        </w:tc>
        <w:tc>
          <w:tcPr>
            <w:tcW w:w="2743" w:type="dxa"/>
            <w:noWrap w:val="0"/>
            <w:vAlign w:val="center"/>
          </w:tcPr>
          <w:p>
            <w:pPr>
              <w:jc w:val="center"/>
              <w:rPr>
                <w:rFonts w:ascii="宋体" w:hAnsi="宋体"/>
                <w:strike/>
                <w:sz w:val="22"/>
                <w:szCs w:val="22"/>
              </w:rPr>
            </w:pPr>
          </w:p>
        </w:tc>
        <w:tc>
          <w:tcPr>
            <w:tcW w:w="3023" w:type="dxa"/>
            <w:noWrap w:val="0"/>
            <w:vAlign w:val="center"/>
          </w:tcPr>
          <w:p>
            <w:pPr>
              <w:jc w:val="center"/>
              <w:rPr>
                <w:rFonts w:ascii="宋体" w:hAnsi="宋体"/>
                <w:strike/>
                <w:sz w:val="22"/>
                <w:szCs w:val="22"/>
              </w:rPr>
            </w:pPr>
          </w:p>
        </w:tc>
        <w:tc>
          <w:tcPr>
            <w:tcW w:w="1260" w:type="dxa"/>
            <w:noWrap w:val="0"/>
            <w:vAlign w:val="center"/>
          </w:tcPr>
          <w:p>
            <w:pPr>
              <w:jc w:val="center"/>
              <w:rPr>
                <w:rFonts w:ascii="宋体" w:hAnsi="宋体"/>
                <w:strike/>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noWrap w:val="0"/>
            <w:vAlign w:val="center"/>
          </w:tcPr>
          <w:p>
            <w:pPr>
              <w:rPr>
                <w:rFonts w:ascii="宋体" w:hAnsi="宋体"/>
                <w:sz w:val="22"/>
                <w:szCs w:val="22"/>
              </w:rPr>
            </w:pPr>
            <w:r>
              <w:rPr>
                <w:rFonts w:hint="eastAsia" w:ascii="宋体" w:hAnsi="宋体"/>
                <w:sz w:val="22"/>
                <w:szCs w:val="22"/>
              </w:rPr>
              <w:t>商务偏离</w:t>
            </w:r>
          </w:p>
        </w:tc>
        <w:tc>
          <w:tcPr>
            <w:tcW w:w="1434" w:type="dxa"/>
            <w:noWrap w:val="0"/>
            <w:vAlign w:val="center"/>
          </w:tcPr>
          <w:p>
            <w:pPr>
              <w:jc w:val="center"/>
              <w:rPr>
                <w:rFonts w:ascii="宋体" w:hAnsi="宋体"/>
                <w:sz w:val="22"/>
                <w:szCs w:val="22"/>
              </w:rPr>
            </w:pPr>
          </w:p>
        </w:tc>
        <w:tc>
          <w:tcPr>
            <w:tcW w:w="2743" w:type="dxa"/>
            <w:noWrap w:val="0"/>
            <w:vAlign w:val="center"/>
          </w:tcPr>
          <w:p>
            <w:pPr>
              <w:jc w:val="center"/>
              <w:rPr>
                <w:rFonts w:ascii="宋体" w:hAnsi="宋体"/>
                <w:sz w:val="22"/>
                <w:szCs w:val="22"/>
              </w:rPr>
            </w:pPr>
          </w:p>
        </w:tc>
        <w:tc>
          <w:tcPr>
            <w:tcW w:w="3023" w:type="dxa"/>
            <w:noWrap w:val="0"/>
            <w:vAlign w:val="center"/>
          </w:tcPr>
          <w:p>
            <w:pPr>
              <w:jc w:val="center"/>
              <w:rPr>
                <w:rFonts w:ascii="宋体" w:hAnsi="宋体"/>
                <w:sz w:val="22"/>
                <w:szCs w:val="22"/>
              </w:rPr>
            </w:pPr>
          </w:p>
        </w:tc>
        <w:tc>
          <w:tcPr>
            <w:tcW w:w="1260" w:type="dxa"/>
            <w:noWrap w:val="0"/>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noWrap w:val="0"/>
            <w:vAlign w:val="center"/>
          </w:tcPr>
          <w:p>
            <w:pPr>
              <w:jc w:val="center"/>
              <w:rPr>
                <w:rFonts w:ascii="宋体" w:hAnsi="宋体"/>
                <w:sz w:val="22"/>
                <w:szCs w:val="22"/>
              </w:rPr>
            </w:pPr>
          </w:p>
        </w:tc>
        <w:tc>
          <w:tcPr>
            <w:tcW w:w="1434" w:type="dxa"/>
            <w:noWrap w:val="0"/>
            <w:vAlign w:val="center"/>
          </w:tcPr>
          <w:p>
            <w:pPr>
              <w:jc w:val="center"/>
              <w:rPr>
                <w:rFonts w:ascii="宋体" w:hAnsi="宋体"/>
                <w:sz w:val="22"/>
                <w:szCs w:val="22"/>
              </w:rPr>
            </w:pPr>
          </w:p>
        </w:tc>
        <w:tc>
          <w:tcPr>
            <w:tcW w:w="2743" w:type="dxa"/>
            <w:noWrap w:val="0"/>
            <w:vAlign w:val="center"/>
          </w:tcPr>
          <w:p>
            <w:pPr>
              <w:jc w:val="center"/>
              <w:rPr>
                <w:rFonts w:ascii="宋体" w:hAnsi="宋体"/>
                <w:sz w:val="22"/>
                <w:szCs w:val="22"/>
              </w:rPr>
            </w:pPr>
          </w:p>
        </w:tc>
        <w:tc>
          <w:tcPr>
            <w:tcW w:w="3023" w:type="dxa"/>
            <w:noWrap w:val="0"/>
            <w:vAlign w:val="center"/>
          </w:tcPr>
          <w:p>
            <w:pPr>
              <w:jc w:val="center"/>
              <w:rPr>
                <w:rFonts w:ascii="宋体" w:hAnsi="宋体"/>
                <w:sz w:val="22"/>
                <w:szCs w:val="22"/>
              </w:rPr>
            </w:pPr>
          </w:p>
        </w:tc>
        <w:tc>
          <w:tcPr>
            <w:tcW w:w="1260" w:type="dxa"/>
            <w:noWrap w:val="0"/>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noWrap w:val="0"/>
            <w:vAlign w:val="center"/>
          </w:tcPr>
          <w:p>
            <w:pPr>
              <w:jc w:val="center"/>
              <w:rPr>
                <w:rFonts w:ascii="宋体" w:hAnsi="宋体"/>
                <w:sz w:val="22"/>
                <w:szCs w:val="22"/>
              </w:rPr>
            </w:pPr>
          </w:p>
        </w:tc>
        <w:tc>
          <w:tcPr>
            <w:tcW w:w="1434" w:type="dxa"/>
            <w:noWrap w:val="0"/>
            <w:vAlign w:val="center"/>
          </w:tcPr>
          <w:p>
            <w:pPr>
              <w:jc w:val="center"/>
              <w:rPr>
                <w:rFonts w:ascii="宋体" w:hAnsi="宋体"/>
                <w:sz w:val="22"/>
                <w:szCs w:val="22"/>
              </w:rPr>
            </w:pPr>
          </w:p>
        </w:tc>
        <w:tc>
          <w:tcPr>
            <w:tcW w:w="2743" w:type="dxa"/>
            <w:noWrap w:val="0"/>
            <w:vAlign w:val="center"/>
          </w:tcPr>
          <w:p>
            <w:pPr>
              <w:jc w:val="center"/>
              <w:rPr>
                <w:rFonts w:ascii="宋体" w:hAnsi="宋体"/>
                <w:sz w:val="22"/>
                <w:szCs w:val="22"/>
              </w:rPr>
            </w:pPr>
          </w:p>
        </w:tc>
        <w:tc>
          <w:tcPr>
            <w:tcW w:w="3023" w:type="dxa"/>
            <w:noWrap w:val="0"/>
            <w:vAlign w:val="center"/>
          </w:tcPr>
          <w:p>
            <w:pPr>
              <w:jc w:val="center"/>
              <w:rPr>
                <w:rFonts w:ascii="宋体" w:hAnsi="宋体"/>
                <w:sz w:val="22"/>
                <w:szCs w:val="22"/>
              </w:rPr>
            </w:pPr>
          </w:p>
        </w:tc>
        <w:tc>
          <w:tcPr>
            <w:tcW w:w="1260" w:type="dxa"/>
            <w:noWrap w:val="0"/>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noWrap w:val="0"/>
            <w:vAlign w:val="center"/>
          </w:tcPr>
          <w:p>
            <w:pPr>
              <w:jc w:val="center"/>
              <w:rPr>
                <w:rFonts w:ascii="宋体" w:hAnsi="宋体"/>
                <w:sz w:val="22"/>
                <w:szCs w:val="22"/>
              </w:rPr>
            </w:pPr>
          </w:p>
        </w:tc>
        <w:tc>
          <w:tcPr>
            <w:tcW w:w="1434" w:type="dxa"/>
            <w:noWrap w:val="0"/>
            <w:vAlign w:val="center"/>
          </w:tcPr>
          <w:p>
            <w:pPr>
              <w:jc w:val="center"/>
              <w:rPr>
                <w:rFonts w:ascii="宋体" w:hAnsi="宋体"/>
                <w:sz w:val="22"/>
                <w:szCs w:val="22"/>
              </w:rPr>
            </w:pPr>
          </w:p>
        </w:tc>
        <w:tc>
          <w:tcPr>
            <w:tcW w:w="2743" w:type="dxa"/>
            <w:noWrap w:val="0"/>
            <w:vAlign w:val="center"/>
          </w:tcPr>
          <w:p>
            <w:pPr>
              <w:jc w:val="center"/>
              <w:rPr>
                <w:rFonts w:ascii="宋体" w:hAnsi="宋体"/>
                <w:sz w:val="22"/>
                <w:szCs w:val="22"/>
              </w:rPr>
            </w:pPr>
          </w:p>
        </w:tc>
        <w:tc>
          <w:tcPr>
            <w:tcW w:w="3023" w:type="dxa"/>
            <w:noWrap w:val="0"/>
            <w:vAlign w:val="center"/>
          </w:tcPr>
          <w:p>
            <w:pPr>
              <w:jc w:val="center"/>
              <w:rPr>
                <w:rFonts w:ascii="宋体" w:hAnsi="宋体"/>
                <w:sz w:val="22"/>
                <w:szCs w:val="22"/>
              </w:rPr>
            </w:pPr>
          </w:p>
        </w:tc>
        <w:tc>
          <w:tcPr>
            <w:tcW w:w="1260" w:type="dxa"/>
            <w:noWrap w:val="0"/>
            <w:vAlign w:val="center"/>
          </w:tcPr>
          <w:p>
            <w:pPr>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noWrap w:val="0"/>
            <w:vAlign w:val="center"/>
          </w:tcPr>
          <w:p>
            <w:pPr>
              <w:jc w:val="center"/>
              <w:rPr>
                <w:rFonts w:ascii="宋体" w:hAnsi="宋体"/>
                <w:sz w:val="22"/>
                <w:szCs w:val="22"/>
              </w:rPr>
            </w:pPr>
          </w:p>
        </w:tc>
        <w:tc>
          <w:tcPr>
            <w:tcW w:w="1434" w:type="dxa"/>
            <w:noWrap w:val="0"/>
            <w:vAlign w:val="center"/>
          </w:tcPr>
          <w:p>
            <w:pPr>
              <w:jc w:val="center"/>
              <w:rPr>
                <w:rFonts w:ascii="宋体" w:hAnsi="宋体"/>
                <w:sz w:val="22"/>
                <w:szCs w:val="22"/>
              </w:rPr>
            </w:pPr>
          </w:p>
        </w:tc>
        <w:tc>
          <w:tcPr>
            <w:tcW w:w="2743" w:type="dxa"/>
            <w:noWrap w:val="0"/>
            <w:vAlign w:val="center"/>
          </w:tcPr>
          <w:p>
            <w:pPr>
              <w:jc w:val="center"/>
              <w:rPr>
                <w:rFonts w:ascii="宋体" w:hAnsi="宋体"/>
                <w:sz w:val="22"/>
                <w:szCs w:val="22"/>
              </w:rPr>
            </w:pPr>
          </w:p>
        </w:tc>
        <w:tc>
          <w:tcPr>
            <w:tcW w:w="3023" w:type="dxa"/>
            <w:noWrap w:val="0"/>
            <w:vAlign w:val="center"/>
          </w:tcPr>
          <w:p>
            <w:pPr>
              <w:jc w:val="center"/>
              <w:rPr>
                <w:rFonts w:ascii="宋体" w:hAnsi="宋体"/>
                <w:sz w:val="22"/>
                <w:szCs w:val="22"/>
              </w:rPr>
            </w:pPr>
          </w:p>
        </w:tc>
        <w:tc>
          <w:tcPr>
            <w:tcW w:w="1260" w:type="dxa"/>
            <w:noWrap w:val="0"/>
            <w:vAlign w:val="center"/>
          </w:tcPr>
          <w:p>
            <w:pPr>
              <w:jc w:val="center"/>
              <w:rPr>
                <w:rFonts w:ascii="宋体" w:hAnsi="宋体"/>
                <w:sz w:val="22"/>
                <w:szCs w:val="22"/>
              </w:rPr>
            </w:pPr>
          </w:p>
        </w:tc>
      </w:tr>
    </w:tbl>
    <w:p>
      <w:pPr>
        <w:pStyle w:val="24"/>
        <w:spacing w:line="340" w:lineRule="exact"/>
        <w:rPr>
          <w:rFonts w:hAnsi="宋体"/>
          <w:b/>
          <w:sz w:val="22"/>
        </w:rPr>
      </w:pPr>
      <w:r>
        <w:rPr>
          <w:rFonts w:hint="eastAsia" w:hAnsi="宋体" w:cs="仿宋"/>
          <w:b/>
          <w:sz w:val="22"/>
          <w:szCs w:val="22"/>
        </w:rPr>
        <w:t>注：必须在偏离表中进行详细对比说明并注明正偏离和负偏离，不能复制粘贴，如实填写。</w:t>
      </w:r>
    </w:p>
    <w:p>
      <w:pPr>
        <w:pStyle w:val="24"/>
        <w:spacing w:line="340" w:lineRule="exact"/>
        <w:ind w:left="657" w:leftChars="313" w:firstLine="4196" w:firstLineChars="1900"/>
        <w:rPr>
          <w:rFonts w:hAnsi="宋体"/>
          <w:b/>
          <w:sz w:val="22"/>
        </w:rPr>
      </w:pPr>
    </w:p>
    <w:p>
      <w:pPr>
        <w:pStyle w:val="24"/>
        <w:spacing w:line="340" w:lineRule="exact"/>
        <w:ind w:left="657" w:leftChars="313" w:firstLine="4196" w:firstLineChars="1900"/>
        <w:rPr>
          <w:rFonts w:hAnsi="宋体"/>
          <w:b/>
          <w:sz w:val="22"/>
        </w:rPr>
      </w:pPr>
    </w:p>
    <w:p>
      <w:pPr>
        <w:pStyle w:val="24"/>
        <w:spacing w:line="360" w:lineRule="auto"/>
        <w:rPr>
          <w:rFonts w:hAnsi="宋体"/>
          <w:sz w:val="22"/>
          <w:szCs w:val="22"/>
        </w:rPr>
      </w:pPr>
      <w:r>
        <w:rPr>
          <w:rFonts w:hAnsi="宋体"/>
          <w:sz w:val="22"/>
          <w:szCs w:val="22"/>
        </w:rPr>
        <w:t>投标供应商全称（盖章）：</w:t>
      </w:r>
    </w:p>
    <w:p>
      <w:pPr>
        <w:pStyle w:val="24"/>
        <w:spacing w:line="360" w:lineRule="auto"/>
        <w:rPr>
          <w:rFonts w:hAnsi="宋体"/>
          <w:sz w:val="22"/>
          <w:szCs w:val="22"/>
        </w:rPr>
      </w:pPr>
      <w:r>
        <w:rPr>
          <w:rFonts w:hAnsi="宋体"/>
          <w:sz w:val="22"/>
          <w:szCs w:val="22"/>
        </w:rPr>
        <w:t>法定代表人或授权代表（签字</w:t>
      </w:r>
      <w:r>
        <w:rPr>
          <w:rFonts w:hint="eastAsia" w:hAnsi="宋体"/>
          <w:sz w:val="22"/>
          <w:szCs w:val="22"/>
        </w:rPr>
        <w:t>或盖章</w:t>
      </w:r>
      <w:r>
        <w:rPr>
          <w:rFonts w:hAnsi="宋体"/>
          <w:sz w:val="22"/>
          <w:szCs w:val="22"/>
        </w:rPr>
        <w:t>）：</w:t>
      </w:r>
    </w:p>
    <w:p>
      <w:pPr>
        <w:pStyle w:val="24"/>
        <w:spacing w:line="360" w:lineRule="auto"/>
        <w:rPr>
          <w:rFonts w:hAnsi="宋体"/>
          <w:sz w:val="22"/>
          <w:szCs w:val="22"/>
        </w:rPr>
      </w:pPr>
      <w:r>
        <w:rPr>
          <w:rFonts w:hAnsi="宋体"/>
          <w:sz w:val="22"/>
          <w:szCs w:val="22"/>
        </w:rPr>
        <w:t>日 期：       年      月      日</w:t>
      </w:r>
    </w:p>
    <w:p>
      <w:pPr>
        <w:widowControl/>
        <w:jc w:val="left"/>
        <w:rPr>
          <w:rFonts w:ascii="宋体" w:hAnsi="宋体"/>
          <w:b/>
          <w:bCs/>
          <w:sz w:val="22"/>
          <w:szCs w:val="22"/>
        </w:rPr>
        <w:sectPr>
          <w:pgSz w:w="11906" w:h="16838"/>
          <w:pgMar w:top="1134" w:right="1134" w:bottom="1134" w:left="1134" w:header="851" w:footer="850" w:gutter="0"/>
          <w:cols w:space="720" w:num="1"/>
          <w:titlePg/>
          <w:docGrid w:type="lines" w:linePitch="312" w:charSpace="0"/>
        </w:sectPr>
      </w:pPr>
      <w:bookmarkStart w:id="242" w:name="_Toc486964725"/>
      <w:bookmarkStart w:id="243" w:name="_Toc512411787"/>
    </w:p>
    <w:bookmarkEnd w:id="242"/>
    <w:bookmarkEnd w:id="243"/>
    <w:p>
      <w:pPr>
        <w:widowControl/>
        <w:jc w:val="left"/>
        <w:rPr>
          <w:rFonts w:hint="eastAsia" w:ascii="宋体" w:hAnsi="宋体"/>
          <w:b/>
          <w:bCs/>
          <w:sz w:val="22"/>
          <w:szCs w:val="22"/>
        </w:rPr>
      </w:pPr>
      <w:r>
        <w:rPr>
          <w:rFonts w:hint="eastAsia" w:ascii="宋体" w:hAnsi="宋体"/>
          <w:b/>
          <w:bCs/>
          <w:sz w:val="22"/>
          <w:szCs w:val="22"/>
        </w:rPr>
        <w:t>附件十一</w:t>
      </w:r>
    </w:p>
    <w:p>
      <w:pPr>
        <w:autoSpaceDE w:val="0"/>
        <w:autoSpaceDN w:val="0"/>
        <w:adjustRightInd w:val="0"/>
        <w:spacing w:line="360" w:lineRule="atLeast"/>
        <w:jc w:val="center"/>
        <w:textAlignment w:val="baseline"/>
        <w:rPr>
          <w:rFonts w:ascii="宋体"/>
          <w:sz w:val="36"/>
          <w:szCs w:val="36"/>
          <w:lang w:val="zh-CN"/>
        </w:rPr>
      </w:pPr>
      <w:r>
        <w:rPr>
          <w:rFonts w:hint="eastAsia" w:ascii="宋体"/>
          <w:sz w:val="36"/>
          <w:szCs w:val="36"/>
          <w:lang w:val="zh-CN"/>
        </w:rPr>
        <w:t>（1）投标产品的数量、配置及主要技术参数表</w:t>
      </w:r>
    </w:p>
    <w:p>
      <w:pPr>
        <w:spacing w:line="360" w:lineRule="exact"/>
        <w:rPr>
          <w:rFonts w:ascii="宋体"/>
          <w:b/>
          <w:spacing w:val="20"/>
          <w:sz w:val="22"/>
        </w:rPr>
      </w:pPr>
      <w:r>
        <w:rPr>
          <w:rFonts w:hint="eastAsia" w:ascii="宋体"/>
          <w:b/>
          <w:spacing w:val="20"/>
          <w:sz w:val="22"/>
        </w:rPr>
        <w:t>项目名称：               招标编号：</w:t>
      </w:r>
    </w:p>
    <w:tbl>
      <w:tblPr>
        <w:tblStyle w:val="41"/>
        <w:tblW w:w="0" w:type="auto"/>
        <w:tblInd w:w="12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8"/>
        <w:gridCol w:w="2648"/>
        <w:gridCol w:w="2532"/>
        <w:gridCol w:w="2532"/>
        <w:gridCol w:w="1266"/>
        <w:gridCol w:w="405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noWrap w:val="0"/>
            <w:vAlign w:val="center"/>
          </w:tcPr>
          <w:p>
            <w:pPr>
              <w:spacing w:line="360" w:lineRule="exact"/>
              <w:jc w:val="center"/>
              <w:rPr>
                <w:rFonts w:ascii="宋体"/>
                <w:b/>
                <w:spacing w:val="20"/>
                <w:sz w:val="22"/>
              </w:rPr>
            </w:pPr>
            <w:r>
              <w:rPr>
                <w:rFonts w:hint="eastAsia" w:ascii="宋体"/>
                <w:b/>
                <w:spacing w:val="20"/>
                <w:sz w:val="22"/>
              </w:rPr>
              <w:t>序号</w:t>
            </w:r>
          </w:p>
        </w:tc>
        <w:tc>
          <w:tcPr>
            <w:tcW w:w="2648" w:type="dxa"/>
            <w:noWrap w:val="0"/>
            <w:vAlign w:val="center"/>
          </w:tcPr>
          <w:p>
            <w:pPr>
              <w:spacing w:line="360" w:lineRule="exact"/>
              <w:jc w:val="center"/>
              <w:rPr>
                <w:rFonts w:ascii="宋体"/>
                <w:b/>
                <w:spacing w:val="20"/>
                <w:sz w:val="22"/>
              </w:rPr>
            </w:pPr>
            <w:r>
              <w:rPr>
                <w:rFonts w:hint="eastAsia" w:ascii="宋体"/>
                <w:b/>
                <w:spacing w:val="20"/>
                <w:sz w:val="22"/>
              </w:rPr>
              <w:t>设备名称</w:t>
            </w:r>
          </w:p>
        </w:tc>
        <w:tc>
          <w:tcPr>
            <w:tcW w:w="2532" w:type="dxa"/>
            <w:tcBorders>
              <w:right w:val="single" w:color="auto" w:sz="4" w:space="0"/>
            </w:tcBorders>
            <w:noWrap w:val="0"/>
            <w:vAlign w:val="center"/>
          </w:tcPr>
          <w:p>
            <w:pPr>
              <w:spacing w:line="360" w:lineRule="exact"/>
              <w:jc w:val="center"/>
              <w:rPr>
                <w:rFonts w:ascii="宋体"/>
                <w:b/>
                <w:spacing w:val="20"/>
                <w:sz w:val="22"/>
              </w:rPr>
            </w:pPr>
            <w:r>
              <w:rPr>
                <w:rFonts w:hint="eastAsia" w:ascii="宋体"/>
                <w:b/>
                <w:spacing w:val="20"/>
                <w:sz w:val="22"/>
                <w:szCs w:val="22"/>
              </w:rPr>
              <w:t>品牌产地</w:t>
            </w:r>
          </w:p>
        </w:tc>
        <w:tc>
          <w:tcPr>
            <w:tcW w:w="2532" w:type="dxa"/>
            <w:tcBorders>
              <w:left w:val="single" w:color="auto" w:sz="4" w:space="0"/>
            </w:tcBorders>
            <w:noWrap w:val="0"/>
            <w:vAlign w:val="center"/>
          </w:tcPr>
          <w:p>
            <w:pPr>
              <w:spacing w:line="360" w:lineRule="exact"/>
              <w:jc w:val="center"/>
              <w:rPr>
                <w:rFonts w:ascii="宋体"/>
                <w:b/>
                <w:spacing w:val="20"/>
                <w:sz w:val="22"/>
              </w:rPr>
            </w:pPr>
            <w:r>
              <w:rPr>
                <w:rFonts w:hint="eastAsia" w:ascii="宋体"/>
                <w:b/>
                <w:spacing w:val="20"/>
                <w:sz w:val="22"/>
                <w:szCs w:val="22"/>
              </w:rPr>
              <w:t>主要规格</w:t>
            </w:r>
          </w:p>
        </w:tc>
        <w:tc>
          <w:tcPr>
            <w:tcW w:w="1266" w:type="dxa"/>
            <w:noWrap w:val="0"/>
            <w:vAlign w:val="center"/>
          </w:tcPr>
          <w:p>
            <w:pPr>
              <w:spacing w:line="360" w:lineRule="exact"/>
              <w:jc w:val="center"/>
              <w:rPr>
                <w:rFonts w:ascii="宋体"/>
                <w:b/>
                <w:spacing w:val="20"/>
                <w:sz w:val="22"/>
              </w:rPr>
            </w:pPr>
            <w:r>
              <w:rPr>
                <w:rFonts w:hint="eastAsia" w:ascii="宋体"/>
                <w:b/>
                <w:spacing w:val="20"/>
                <w:sz w:val="22"/>
              </w:rPr>
              <w:t>数量</w:t>
            </w:r>
          </w:p>
        </w:tc>
        <w:tc>
          <w:tcPr>
            <w:tcW w:w="4054" w:type="dxa"/>
            <w:noWrap w:val="0"/>
            <w:vAlign w:val="center"/>
          </w:tcPr>
          <w:p>
            <w:pPr>
              <w:spacing w:line="360" w:lineRule="exact"/>
              <w:jc w:val="center"/>
              <w:rPr>
                <w:rFonts w:ascii="宋体"/>
                <w:b/>
                <w:spacing w:val="20"/>
                <w:sz w:val="22"/>
              </w:rPr>
            </w:pPr>
            <w:r>
              <w:rPr>
                <w:rFonts w:hint="eastAsia" w:ascii="宋体"/>
                <w:b/>
                <w:spacing w:val="20"/>
                <w:sz w:val="22"/>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noWrap w:val="0"/>
            <w:vAlign w:val="center"/>
          </w:tcPr>
          <w:p>
            <w:pPr>
              <w:spacing w:line="360" w:lineRule="exact"/>
              <w:jc w:val="center"/>
              <w:rPr>
                <w:rFonts w:ascii="宋体"/>
                <w:b/>
                <w:spacing w:val="20"/>
                <w:sz w:val="22"/>
              </w:rPr>
            </w:pPr>
          </w:p>
        </w:tc>
        <w:tc>
          <w:tcPr>
            <w:tcW w:w="2648" w:type="dxa"/>
            <w:noWrap w:val="0"/>
            <w:vAlign w:val="center"/>
          </w:tcPr>
          <w:p>
            <w:pPr>
              <w:spacing w:line="360" w:lineRule="exact"/>
              <w:jc w:val="center"/>
              <w:rPr>
                <w:rFonts w:ascii="宋体"/>
                <w:b/>
                <w:spacing w:val="20"/>
                <w:sz w:val="22"/>
              </w:rPr>
            </w:pPr>
          </w:p>
        </w:tc>
        <w:tc>
          <w:tcPr>
            <w:tcW w:w="2532" w:type="dxa"/>
            <w:tcBorders>
              <w:right w:val="single" w:color="auto" w:sz="4" w:space="0"/>
            </w:tcBorders>
            <w:noWrap w:val="0"/>
            <w:vAlign w:val="center"/>
          </w:tcPr>
          <w:p>
            <w:pPr>
              <w:spacing w:line="360" w:lineRule="exact"/>
              <w:jc w:val="center"/>
              <w:rPr>
                <w:rFonts w:ascii="宋体"/>
                <w:b/>
                <w:spacing w:val="20"/>
                <w:sz w:val="22"/>
              </w:rPr>
            </w:pPr>
          </w:p>
        </w:tc>
        <w:tc>
          <w:tcPr>
            <w:tcW w:w="2532" w:type="dxa"/>
            <w:tcBorders>
              <w:left w:val="single" w:color="auto" w:sz="4" w:space="0"/>
            </w:tcBorders>
            <w:noWrap w:val="0"/>
            <w:vAlign w:val="center"/>
          </w:tcPr>
          <w:p>
            <w:pPr>
              <w:spacing w:line="360" w:lineRule="exact"/>
              <w:jc w:val="center"/>
              <w:rPr>
                <w:rFonts w:ascii="宋体"/>
                <w:b/>
                <w:spacing w:val="20"/>
                <w:sz w:val="22"/>
              </w:rPr>
            </w:pPr>
          </w:p>
        </w:tc>
        <w:tc>
          <w:tcPr>
            <w:tcW w:w="1266" w:type="dxa"/>
            <w:noWrap w:val="0"/>
            <w:vAlign w:val="center"/>
          </w:tcPr>
          <w:p>
            <w:pPr>
              <w:spacing w:line="360" w:lineRule="exact"/>
              <w:jc w:val="center"/>
              <w:rPr>
                <w:rFonts w:ascii="宋体"/>
                <w:b/>
                <w:spacing w:val="20"/>
                <w:sz w:val="22"/>
              </w:rPr>
            </w:pPr>
          </w:p>
        </w:tc>
        <w:tc>
          <w:tcPr>
            <w:tcW w:w="4054" w:type="dxa"/>
            <w:noWrap w:val="0"/>
            <w:vAlign w:val="center"/>
          </w:tcPr>
          <w:p>
            <w:pPr>
              <w:spacing w:line="360" w:lineRule="exact"/>
              <w:jc w:val="center"/>
              <w:rPr>
                <w:rFonts w:ascii="宋体"/>
                <w:b/>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noWrap w:val="0"/>
            <w:vAlign w:val="center"/>
          </w:tcPr>
          <w:p>
            <w:pPr>
              <w:spacing w:line="360" w:lineRule="exact"/>
              <w:jc w:val="center"/>
              <w:rPr>
                <w:rFonts w:ascii="宋体"/>
                <w:b/>
                <w:spacing w:val="20"/>
                <w:sz w:val="22"/>
              </w:rPr>
            </w:pPr>
          </w:p>
        </w:tc>
        <w:tc>
          <w:tcPr>
            <w:tcW w:w="2648" w:type="dxa"/>
            <w:noWrap w:val="0"/>
            <w:vAlign w:val="center"/>
          </w:tcPr>
          <w:p>
            <w:pPr>
              <w:spacing w:line="360" w:lineRule="exact"/>
              <w:jc w:val="center"/>
              <w:rPr>
                <w:rFonts w:ascii="宋体"/>
                <w:b/>
                <w:spacing w:val="20"/>
                <w:sz w:val="22"/>
              </w:rPr>
            </w:pPr>
          </w:p>
        </w:tc>
        <w:tc>
          <w:tcPr>
            <w:tcW w:w="2532" w:type="dxa"/>
            <w:tcBorders>
              <w:right w:val="single" w:color="auto" w:sz="4" w:space="0"/>
            </w:tcBorders>
            <w:noWrap w:val="0"/>
            <w:vAlign w:val="center"/>
          </w:tcPr>
          <w:p>
            <w:pPr>
              <w:spacing w:line="360" w:lineRule="exact"/>
              <w:jc w:val="center"/>
              <w:rPr>
                <w:rFonts w:ascii="宋体"/>
                <w:b/>
                <w:spacing w:val="20"/>
                <w:sz w:val="22"/>
              </w:rPr>
            </w:pPr>
          </w:p>
        </w:tc>
        <w:tc>
          <w:tcPr>
            <w:tcW w:w="2532" w:type="dxa"/>
            <w:tcBorders>
              <w:left w:val="single" w:color="auto" w:sz="4" w:space="0"/>
            </w:tcBorders>
            <w:noWrap w:val="0"/>
            <w:vAlign w:val="center"/>
          </w:tcPr>
          <w:p>
            <w:pPr>
              <w:spacing w:line="360" w:lineRule="exact"/>
              <w:jc w:val="center"/>
              <w:rPr>
                <w:rFonts w:ascii="宋体"/>
                <w:b/>
                <w:spacing w:val="20"/>
                <w:sz w:val="22"/>
              </w:rPr>
            </w:pPr>
          </w:p>
        </w:tc>
        <w:tc>
          <w:tcPr>
            <w:tcW w:w="1266" w:type="dxa"/>
            <w:noWrap w:val="0"/>
            <w:vAlign w:val="center"/>
          </w:tcPr>
          <w:p>
            <w:pPr>
              <w:spacing w:line="360" w:lineRule="exact"/>
              <w:jc w:val="center"/>
              <w:rPr>
                <w:rFonts w:ascii="宋体"/>
                <w:b/>
                <w:spacing w:val="20"/>
                <w:sz w:val="22"/>
              </w:rPr>
            </w:pPr>
          </w:p>
        </w:tc>
        <w:tc>
          <w:tcPr>
            <w:tcW w:w="4054" w:type="dxa"/>
            <w:noWrap w:val="0"/>
            <w:vAlign w:val="center"/>
          </w:tcPr>
          <w:p>
            <w:pPr>
              <w:spacing w:line="360" w:lineRule="exact"/>
              <w:jc w:val="center"/>
              <w:rPr>
                <w:rFonts w:ascii="宋体"/>
                <w:b/>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noWrap w:val="0"/>
            <w:vAlign w:val="center"/>
          </w:tcPr>
          <w:p>
            <w:pPr>
              <w:spacing w:line="360" w:lineRule="exact"/>
              <w:jc w:val="center"/>
              <w:rPr>
                <w:rFonts w:ascii="宋体"/>
                <w:b/>
                <w:spacing w:val="20"/>
                <w:sz w:val="22"/>
              </w:rPr>
            </w:pPr>
          </w:p>
        </w:tc>
        <w:tc>
          <w:tcPr>
            <w:tcW w:w="2648" w:type="dxa"/>
            <w:noWrap w:val="0"/>
            <w:vAlign w:val="center"/>
          </w:tcPr>
          <w:p>
            <w:pPr>
              <w:spacing w:line="360" w:lineRule="exact"/>
              <w:jc w:val="center"/>
              <w:rPr>
                <w:rFonts w:ascii="宋体"/>
                <w:b/>
                <w:spacing w:val="20"/>
                <w:sz w:val="22"/>
              </w:rPr>
            </w:pPr>
          </w:p>
        </w:tc>
        <w:tc>
          <w:tcPr>
            <w:tcW w:w="2532" w:type="dxa"/>
            <w:tcBorders>
              <w:right w:val="single" w:color="auto" w:sz="4" w:space="0"/>
            </w:tcBorders>
            <w:noWrap w:val="0"/>
            <w:vAlign w:val="center"/>
          </w:tcPr>
          <w:p>
            <w:pPr>
              <w:spacing w:line="360" w:lineRule="exact"/>
              <w:jc w:val="center"/>
              <w:rPr>
                <w:rFonts w:ascii="宋体"/>
                <w:b/>
                <w:spacing w:val="20"/>
                <w:sz w:val="22"/>
              </w:rPr>
            </w:pPr>
          </w:p>
        </w:tc>
        <w:tc>
          <w:tcPr>
            <w:tcW w:w="2532" w:type="dxa"/>
            <w:tcBorders>
              <w:left w:val="single" w:color="auto" w:sz="4" w:space="0"/>
            </w:tcBorders>
            <w:noWrap w:val="0"/>
            <w:vAlign w:val="center"/>
          </w:tcPr>
          <w:p>
            <w:pPr>
              <w:spacing w:line="360" w:lineRule="exact"/>
              <w:jc w:val="center"/>
              <w:rPr>
                <w:rFonts w:ascii="宋体"/>
                <w:b/>
                <w:spacing w:val="20"/>
                <w:sz w:val="22"/>
              </w:rPr>
            </w:pPr>
          </w:p>
        </w:tc>
        <w:tc>
          <w:tcPr>
            <w:tcW w:w="1266" w:type="dxa"/>
            <w:noWrap w:val="0"/>
            <w:vAlign w:val="center"/>
          </w:tcPr>
          <w:p>
            <w:pPr>
              <w:spacing w:line="360" w:lineRule="exact"/>
              <w:jc w:val="center"/>
              <w:rPr>
                <w:rFonts w:ascii="宋体"/>
                <w:b/>
                <w:spacing w:val="20"/>
                <w:sz w:val="22"/>
              </w:rPr>
            </w:pPr>
          </w:p>
        </w:tc>
        <w:tc>
          <w:tcPr>
            <w:tcW w:w="4054" w:type="dxa"/>
            <w:noWrap w:val="0"/>
            <w:vAlign w:val="center"/>
          </w:tcPr>
          <w:p>
            <w:pPr>
              <w:spacing w:line="360" w:lineRule="exact"/>
              <w:jc w:val="center"/>
              <w:rPr>
                <w:rFonts w:ascii="宋体"/>
                <w:b/>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noWrap w:val="0"/>
            <w:vAlign w:val="center"/>
          </w:tcPr>
          <w:p>
            <w:pPr>
              <w:spacing w:line="360" w:lineRule="exact"/>
              <w:jc w:val="center"/>
              <w:rPr>
                <w:rFonts w:ascii="宋体"/>
                <w:b/>
                <w:spacing w:val="20"/>
                <w:sz w:val="22"/>
              </w:rPr>
            </w:pPr>
          </w:p>
        </w:tc>
        <w:tc>
          <w:tcPr>
            <w:tcW w:w="2648" w:type="dxa"/>
            <w:noWrap w:val="0"/>
            <w:vAlign w:val="center"/>
          </w:tcPr>
          <w:p>
            <w:pPr>
              <w:spacing w:line="360" w:lineRule="exact"/>
              <w:jc w:val="center"/>
              <w:rPr>
                <w:rFonts w:ascii="宋体"/>
                <w:b/>
                <w:spacing w:val="20"/>
                <w:sz w:val="22"/>
              </w:rPr>
            </w:pPr>
          </w:p>
        </w:tc>
        <w:tc>
          <w:tcPr>
            <w:tcW w:w="2532" w:type="dxa"/>
            <w:tcBorders>
              <w:right w:val="single" w:color="auto" w:sz="4" w:space="0"/>
            </w:tcBorders>
            <w:noWrap w:val="0"/>
            <w:vAlign w:val="center"/>
          </w:tcPr>
          <w:p>
            <w:pPr>
              <w:spacing w:line="360" w:lineRule="exact"/>
              <w:jc w:val="center"/>
              <w:rPr>
                <w:rFonts w:ascii="宋体"/>
                <w:b/>
                <w:spacing w:val="20"/>
                <w:sz w:val="22"/>
              </w:rPr>
            </w:pPr>
          </w:p>
        </w:tc>
        <w:tc>
          <w:tcPr>
            <w:tcW w:w="2532" w:type="dxa"/>
            <w:tcBorders>
              <w:left w:val="single" w:color="auto" w:sz="4" w:space="0"/>
            </w:tcBorders>
            <w:noWrap w:val="0"/>
            <w:vAlign w:val="center"/>
          </w:tcPr>
          <w:p>
            <w:pPr>
              <w:spacing w:line="360" w:lineRule="exact"/>
              <w:jc w:val="center"/>
              <w:rPr>
                <w:rFonts w:ascii="宋体"/>
                <w:b/>
                <w:spacing w:val="20"/>
                <w:sz w:val="22"/>
              </w:rPr>
            </w:pPr>
          </w:p>
        </w:tc>
        <w:tc>
          <w:tcPr>
            <w:tcW w:w="1266" w:type="dxa"/>
            <w:noWrap w:val="0"/>
            <w:vAlign w:val="center"/>
          </w:tcPr>
          <w:p>
            <w:pPr>
              <w:spacing w:line="360" w:lineRule="exact"/>
              <w:jc w:val="center"/>
              <w:rPr>
                <w:rFonts w:ascii="宋体"/>
                <w:b/>
                <w:spacing w:val="20"/>
                <w:sz w:val="22"/>
              </w:rPr>
            </w:pPr>
          </w:p>
        </w:tc>
        <w:tc>
          <w:tcPr>
            <w:tcW w:w="4054" w:type="dxa"/>
            <w:noWrap w:val="0"/>
            <w:vAlign w:val="center"/>
          </w:tcPr>
          <w:p>
            <w:pPr>
              <w:spacing w:line="360" w:lineRule="exact"/>
              <w:jc w:val="center"/>
              <w:rPr>
                <w:rFonts w:ascii="宋体"/>
                <w:b/>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noWrap w:val="0"/>
            <w:vAlign w:val="center"/>
          </w:tcPr>
          <w:p>
            <w:pPr>
              <w:spacing w:line="360" w:lineRule="exact"/>
              <w:jc w:val="center"/>
              <w:rPr>
                <w:rFonts w:ascii="宋体"/>
                <w:b/>
                <w:spacing w:val="20"/>
                <w:sz w:val="22"/>
              </w:rPr>
            </w:pPr>
          </w:p>
        </w:tc>
        <w:tc>
          <w:tcPr>
            <w:tcW w:w="2648" w:type="dxa"/>
            <w:noWrap w:val="0"/>
            <w:vAlign w:val="center"/>
          </w:tcPr>
          <w:p>
            <w:pPr>
              <w:spacing w:line="360" w:lineRule="exact"/>
              <w:jc w:val="center"/>
              <w:rPr>
                <w:rFonts w:ascii="宋体"/>
                <w:b/>
                <w:spacing w:val="20"/>
                <w:sz w:val="22"/>
              </w:rPr>
            </w:pPr>
          </w:p>
        </w:tc>
        <w:tc>
          <w:tcPr>
            <w:tcW w:w="2532" w:type="dxa"/>
            <w:tcBorders>
              <w:right w:val="single" w:color="auto" w:sz="4" w:space="0"/>
            </w:tcBorders>
            <w:noWrap w:val="0"/>
            <w:vAlign w:val="center"/>
          </w:tcPr>
          <w:p>
            <w:pPr>
              <w:spacing w:line="360" w:lineRule="exact"/>
              <w:jc w:val="center"/>
              <w:rPr>
                <w:rFonts w:ascii="宋体"/>
                <w:b/>
                <w:spacing w:val="20"/>
                <w:sz w:val="22"/>
              </w:rPr>
            </w:pPr>
          </w:p>
        </w:tc>
        <w:tc>
          <w:tcPr>
            <w:tcW w:w="2532" w:type="dxa"/>
            <w:tcBorders>
              <w:left w:val="single" w:color="auto" w:sz="4" w:space="0"/>
            </w:tcBorders>
            <w:noWrap w:val="0"/>
            <w:vAlign w:val="center"/>
          </w:tcPr>
          <w:p>
            <w:pPr>
              <w:spacing w:line="360" w:lineRule="exact"/>
              <w:jc w:val="center"/>
              <w:rPr>
                <w:rFonts w:ascii="宋体"/>
                <w:b/>
                <w:spacing w:val="20"/>
                <w:sz w:val="22"/>
              </w:rPr>
            </w:pPr>
          </w:p>
        </w:tc>
        <w:tc>
          <w:tcPr>
            <w:tcW w:w="1266" w:type="dxa"/>
            <w:noWrap w:val="0"/>
            <w:vAlign w:val="center"/>
          </w:tcPr>
          <w:p>
            <w:pPr>
              <w:spacing w:line="360" w:lineRule="exact"/>
              <w:jc w:val="center"/>
              <w:rPr>
                <w:rFonts w:ascii="宋体"/>
                <w:b/>
                <w:spacing w:val="20"/>
                <w:sz w:val="22"/>
              </w:rPr>
            </w:pPr>
          </w:p>
        </w:tc>
        <w:tc>
          <w:tcPr>
            <w:tcW w:w="4054" w:type="dxa"/>
            <w:noWrap w:val="0"/>
            <w:vAlign w:val="center"/>
          </w:tcPr>
          <w:p>
            <w:pPr>
              <w:spacing w:line="360" w:lineRule="exact"/>
              <w:jc w:val="center"/>
              <w:rPr>
                <w:rFonts w:ascii="宋体"/>
                <w:b/>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noWrap w:val="0"/>
            <w:vAlign w:val="center"/>
          </w:tcPr>
          <w:p>
            <w:pPr>
              <w:spacing w:line="360" w:lineRule="exact"/>
              <w:jc w:val="center"/>
              <w:rPr>
                <w:rFonts w:ascii="宋体"/>
                <w:b/>
                <w:spacing w:val="20"/>
                <w:sz w:val="22"/>
              </w:rPr>
            </w:pPr>
          </w:p>
        </w:tc>
        <w:tc>
          <w:tcPr>
            <w:tcW w:w="2648" w:type="dxa"/>
            <w:noWrap w:val="0"/>
            <w:vAlign w:val="center"/>
          </w:tcPr>
          <w:p>
            <w:pPr>
              <w:spacing w:line="360" w:lineRule="exact"/>
              <w:jc w:val="center"/>
              <w:rPr>
                <w:rFonts w:ascii="宋体"/>
                <w:b/>
                <w:spacing w:val="20"/>
                <w:sz w:val="22"/>
              </w:rPr>
            </w:pPr>
          </w:p>
        </w:tc>
        <w:tc>
          <w:tcPr>
            <w:tcW w:w="2532" w:type="dxa"/>
            <w:tcBorders>
              <w:right w:val="single" w:color="auto" w:sz="4" w:space="0"/>
            </w:tcBorders>
            <w:noWrap w:val="0"/>
            <w:vAlign w:val="center"/>
          </w:tcPr>
          <w:p>
            <w:pPr>
              <w:spacing w:line="360" w:lineRule="exact"/>
              <w:jc w:val="center"/>
              <w:rPr>
                <w:rFonts w:ascii="宋体"/>
                <w:b/>
                <w:spacing w:val="20"/>
                <w:sz w:val="22"/>
              </w:rPr>
            </w:pPr>
          </w:p>
        </w:tc>
        <w:tc>
          <w:tcPr>
            <w:tcW w:w="2532" w:type="dxa"/>
            <w:tcBorders>
              <w:left w:val="single" w:color="auto" w:sz="4" w:space="0"/>
            </w:tcBorders>
            <w:noWrap w:val="0"/>
            <w:vAlign w:val="center"/>
          </w:tcPr>
          <w:p>
            <w:pPr>
              <w:spacing w:line="360" w:lineRule="exact"/>
              <w:jc w:val="center"/>
              <w:rPr>
                <w:rFonts w:ascii="宋体"/>
                <w:b/>
                <w:spacing w:val="20"/>
                <w:sz w:val="22"/>
              </w:rPr>
            </w:pPr>
          </w:p>
        </w:tc>
        <w:tc>
          <w:tcPr>
            <w:tcW w:w="1266" w:type="dxa"/>
            <w:noWrap w:val="0"/>
            <w:vAlign w:val="center"/>
          </w:tcPr>
          <w:p>
            <w:pPr>
              <w:spacing w:line="360" w:lineRule="exact"/>
              <w:jc w:val="center"/>
              <w:rPr>
                <w:rFonts w:ascii="宋体"/>
                <w:b/>
                <w:spacing w:val="20"/>
                <w:sz w:val="22"/>
              </w:rPr>
            </w:pPr>
          </w:p>
        </w:tc>
        <w:tc>
          <w:tcPr>
            <w:tcW w:w="4054" w:type="dxa"/>
            <w:noWrap w:val="0"/>
            <w:vAlign w:val="center"/>
          </w:tcPr>
          <w:p>
            <w:pPr>
              <w:spacing w:line="360" w:lineRule="exact"/>
              <w:jc w:val="center"/>
              <w:rPr>
                <w:rFonts w:ascii="宋体"/>
                <w:b/>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noWrap w:val="0"/>
            <w:vAlign w:val="center"/>
          </w:tcPr>
          <w:p>
            <w:pPr>
              <w:spacing w:line="360" w:lineRule="exact"/>
              <w:jc w:val="center"/>
              <w:rPr>
                <w:rFonts w:ascii="宋体"/>
                <w:b/>
                <w:spacing w:val="20"/>
                <w:sz w:val="22"/>
              </w:rPr>
            </w:pPr>
          </w:p>
        </w:tc>
        <w:tc>
          <w:tcPr>
            <w:tcW w:w="2648" w:type="dxa"/>
            <w:noWrap w:val="0"/>
            <w:vAlign w:val="center"/>
          </w:tcPr>
          <w:p>
            <w:pPr>
              <w:spacing w:line="360" w:lineRule="exact"/>
              <w:jc w:val="center"/>
              <w:rPr>
                <w:rFonts w:ascii="宋体"/>
                <w:b/>
                <w:spacing w:val="20"/>
                <w:sz w:val="22"/>
              </w:rPr>
            </w:pPr>
          </w:p>
        </w:tc>
        <w:tc>
          <w:tcPr>
            <w:tcW w:w="2532" w:type="dxa"/>
            <w:tcBorders>
              <w:right w:val="single" w:color="auto" w:sz="4" w:space="0"/>
            </w:tcBorders>
            <w:noWrap w:val="0"/>
            <w:vAlign w:val="center"/>
          </w:tcPr>
          <w:p>
            <w:pPr>
              <w:spacing w:line="360" w:lineRule="exact"/>
              <w:jc w:val="center"/>
              <w:rPr>
                <w:rFonts w:ascii="宋体"/>
                <w:b/>
                <w:spacing w:val="20"/>
                <w:sz w:val="22"/>
              </w:rPr>
            </w:pPr>
          </w:p>
        </w:tc>
        <w:tc>
          <w:tcPr>
            <w:tcW w:w="2532" w:type="dxa"/>
            <w:tcBorders>
              <w:left w:val="single" w:color="auto" w:sz="4" w:space="0"/>
            </w:tcBorders>
            <w:noWrap w:val="0"/>
            <w:vAlign w:val="center"/>
          </w:tcPr>
          <w:p>
            <w:pPr>
              <w:spacing w:line="360" w:lineRule="exact"/>
              <w:jc w:val="center"/>
              <w:rPr>
                <w:rFonts w:ascii="宋体"/>
                <w:b/>
                <w:spacing w:val="20"/>
                <w:sz w:val="22"/>
              </w:rPr>
            </w:pPr>
          </w:p>
        </w:tc>
        <w:tc>
          <w:tcPr>
            <w:tcW w:w="1266" w:type="dxa"/>
            <w:noWrap w:val="0"/>
            <w:vAlign w:val="center"/>
          </w:tcPr>
          <w:p>
            <w:pPr>
              <w:spacing w:line="360" w:lineRule="exact"/>
              <w:jc w:val="center"/>
              <w:rPr>
                <w:rFonts w:ascii="宋体"/>
                <w:b/>
                <w:spacing w:val="20"/>
                <w:sz w:val="22"/>
              </w:rPr>
            </w:pPr>
          </w:p>
        </w:tc>
        <w:tc>
          <w:tcPr>
            <w:tcW w:w="4054" w:type="dxa"/>
            <w:noWrap w:val="0"/>
            <w:vAlign w:val="center"/>
          </w:tcPr>
          <w:p>
            <w:pPr>
              <w:spacing w:line="360" w:lineRule="exact"/>
              <w:jc w:val="center"/>
              <w:rPr>
                <w:rFonts w:ascii="宋体"/>
                <w:b/>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noWrap w:val="0"/>
            <w:vAlign w:val="center"/>
          </w:tcPr>
          <w:p>
            <w:pPr>
              <w:spacing w:line="360" w:lineRule="exact"/>
              <w:jc w:val="center"/>
              <w:rPr>
                <w:rFonts w:ascii="宋体"/>
                <w:b/>
                <w:spacing w:val="20"/>
                <w:sz w:val="22"/>
              </w:rPr>
            </w:pPr>
          </w:p>
        </w:tc>
        <w:tc>
          <w:tcPr>
            <w:tcW w:w="2648" w:type="dxa"/>
            <w:noWrap w:val="0"/>
            <w:vAlign w:val="center"/>
          </w:tcPr>
          <w:p>
            <w:pPr>
              <w:spacing w:line="360" w:lineRule="exact"/>
              <w:jc w:val="center"/>
              <w:rPr>
                <w:rFonts w:ascii="宋体"/>
                <w:b/>
                <w:spacing w:val="20"/>
                <w:sz w:val="22"/>
              </w:rPr>
            </w:pPr>
          </w:p>
        </w:tc>
        <w:tc>
          <w:tcPr>
            <w:tcW w:w="2532" w:type="dxa"/>
            <w:tcBorders>
              <w:right w:val="single" w:color="auto" w:sz="4" w:space="0"/>
            </w:tcBorders>
            <w:noWrap w:val="0"/>
            <w:vAlign w:val="center"/>
          </w:tcPr>
          <w:p>
            <w:pPr>
              <w:spacing w:line="360" w:lineRule="exact"/>
              <w:jc w:val="center"/>
              <w:rPr>
                <w:rFonts w:ascii="宋体"/>
                <w:b/>
                <w:spacing w:val="20"/>
                <w:sz w:val="22"/>
              </w:rPr>
            </w:pPr>
          </w:p>
        </w:tc>
        <w:tc>
          <w:tcPr>
            <w:tcW w:w="2532" w:type="dxa"/>
            <w:tcBorders>
              <w:left w:val="single" w:color="auto" w:sz="4" w:space="0"/>
            </w:tcBorders>
            <w:noWrap w:val="0"/>
            <w:vAlign w:val="center"/>
          </w:tcPr>
          <w:p>
            <w:pPr>
              <w:spacing w:line="360" w:lineRule="exact"/>
              <w:jc w:val="center"/>
              <w:rPr>
                <w:rFonts w:ascii="宋体"/>
                <w:b/>
                <w:spacing w:val="20"/>
                <w:sz w:val="22"/>
              </w:rPr>
            </w:pPr>
          </w:p>
        </w:tc>
        <w:tc>
          <w:tcPr>
            <w:tcW w:w="1266" w:type="dxa"/>
            <w:noWrap w:val="0"/>
            <w:vAlign w:val="center"/>
          </w:tcPr>
          <w:p>
            <w:pPr>
              <w:spacing w:line="360" w:lineRule="exact"/>
              <w:jc w:val="center"/>
              <w:rPr>
                <w:rFonts w:ascii="宋体"/>
                <w:b/>
                <w:spacing w:val="20"/>
                <w:sz w:val="22"/>
              </w:rPr>
            </w:pPr>
          </w:p>
        </w:tc>
        <w:tc>
          <w:tcPr>
            <w:tcW w:w="4054" w:type="dxa"/>
            <w:noWrap w:val="0"/>
            <w:vAlign w:val="center"/>
          </w:tcPr>
          <w:p>
            <w:pPr>
              <w:spacing w:line="360" w:lineRule="exact"/>
              <w:jc w:val="center"/>
              <w:rPr>
                <w:rFonts w:ascii="宋体"/>
                <w:b/>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noWrap w:val="0"/>
            <w:vAlign w:val="center"/>
          </w:tcPr>
          <w:p>
            <w:pPr>
              <w:spacing w:line="360" w:lineRule="exact"/>
              <w:jc w:val="center"/>
              <w:rPr>
                <w:rFonts w:ascii="宋体"/>
                <w:b/>
                <w:spacing w:val="20"/>
                <w:sz w:val="22"/>
              </w:rPr>
            </w:pPr>
          </w:p>
        </w:tc>
        <w:tc>
          <w:tcPr>
            <w:tcW w:w="2648" w:type="dxa"/>
            <w:noWrap w:val="0"/>
            <w:vAlign w:val="center"/>
          </w:tcPr>
          <w:p>
            <w:pPr>
              <w:spacing w:line="360" w:lineRule="exact"/>
              <w:jc w:val="center"/>
              <w:rPr>
                <w:rFonts w:ascii="宋体"/>
                <w:b/>
                <w:spacing w:val="20"/>
                <w:sz w:val="22"/>
              </w:rPr>
            </w:pPr>
          </w:p>
        </w:tc>
        <w:tc>
          <w:tcPr>
            <w:tcW w:w="2532" w:type="dxa"/>
            <w:tcBorders>
              <w:right w:val="single" w:color="auto" w:sz="4" w:space="0"/>
            </w:tcBorders>
            <w:noWrap w:val="0"/>
            <w:vAlign w:val="center"/>
          </w:tcPr>
          <w:p>
            <w:pPr>
              <w:spacing w:line="360" w:lineRule="exact"/>
              <w:jc w:val="center"/>
              <w:rPr>
                <w:rFonts w:ascii="宋体"/>
                <w:b/>
                <w:spacing w:val="20"/>
                <w:sz w:val="22"/>
              </w:rPr>
            </w:pPr>
          </w:p>
        </w:tc>
        <w:tc>
          <w:tcPr>
            <w:tcW w:w="2532" w:type="dxa"/>
            <w:tcBorders>
              <w:left w:val="single" w:color="auto" w:sz="4" w:space="0"/>
            </w:tcBorders>
            <w:noWrap w:val="0"/>
            <w:vAlign w:val="center"/>
          </w:tcPr>
          <w:p>
            <w:pPr>
              <w:spacing w:line="360" w:lineRule="exact"/>
              <w:jc w:val="center"/>
              <w:rPr>
                <w:rFonts w:ascii="宋体"/>
                <w:b/>
                <w:spacing w:val="20"/>
                <w:sz w:val="22"/>
              </w:rPr>
            </w:pPr>
          </w:p>
        </w:tc>
        <w:tc>
          <w:tcPr>
            <w:tcW w:w="1266" w:type="dxa"/>
            <w:noWrap w:val="0"/>
            <w:vAlign w:val="center"/>
          </w:tcPr>
          <w:p>
            <w:pPr>
              <w:spacing w:line="360" w:lineRule="exact"/>
              <w:jc w:val="center"/>
              <w:rPr>
                <w:rFonts w:ascii="宋体"/>
                <w:b/>
                <w:spacing w:val="20"/>
                <w:sz w:val="22"/>
              </w:rPr>
            </w:pPr>
          </w:p>
        </w:tc>
        <w:tc>
          <w:tcPr>
            <w:tcW w:w="4054" w:type="dxa"/>
            <w:noWrap w:val="0"/>
            <w:vAlign w:val="center"/>
          </w:tcPr>
          <w:p>
            <w:pPr>
              <w:spacing w:line="360" w:lineRule="exact"/>
              <w:jc w:val="center"/>
              <w:rPr>
                <w:rFonts w:ascii="宋体"/>
                <w:b/>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noWrap w:val="0"/>
            <w:vAlign w:val="center"/>
          </w:tcPr>
          <w:p>
            <w:pPr>
              <w:spacing w:line="360" w:lineRule="exact"/>
              <w:jc w:val="center"/>
              <w:rPr>
                <w:rFonts w:ascii="宋体"/>
                <w:b/>
                <w:spacing w:val="20"/>
                <w:sz w:val="22"/>
              </w:rPr>
            </w:pPr>
          </w:p>
        </w:tc>
        <w:tc>
          <w:tcPr>
            <w:tcW w:w="2648" w:type="dxa"/>
            <w:noWrap w:val="0"/>
            <w:vAlign w:val="center"/>
          </w:tcPr>
          <w:p>
            <w:pPr>
              <w:spacing w:line="360" w:lineRule="exact"/>
              <w:jc w:val="center"/>
              <w:rPr>
                <w:rFonts w:ascii="宋体"/>
                <w:b/>
                <w:spacing w:val="20"/>
                <w:sz w:val="22"/>
              </w:rPr>
            </w:pPr>
          </w:p>
        </w:tc>
        <w:tc>
          <w:tcPr>
            <w:tcW w:w="2532" w:type="dxa"/>
            <w:tcBorders>
              <w:right w:val="single" w:color="auto" w:sz="4" w:space="0"/>
            </w:tcBorders>
            <w:noWrap w:val="0"/>
            <w:vAlign w:val="center"/>
          </w:tcPr>
          <w:p>
            <w:pPr>
              <w:spacing w:line="360" w:lineRule="exact"/>
              <w:jc w:val="center"/>
              <w:rPr>
                <w:rFonts w:ascii="宋体"/>
                <w:b/>
                <w:spacing w:val="20"/>
                <w:sz w:val="22"/>
              </w:rPr>
            </w:pPr>
          </w:p>
        </w:tc>
        <w:tc>
          <w:tcPr>
            <w:tcW w:w="2532" w:type="dxa"/>
            <w:tcBorders>
              <w:left w:val="single" w:color="auto" w:sz="4" w:space="0"/>
            </w:tcBorders>
            <w:noWrap w:val="0"/>
            <w:vAlign w:val="center"/>
          </w:tcPr>
          <w:p>
            <w:pPr>
              <w:spacing w:line="360" w:lineRule="exact"/>
              <w:jc w:val="center"/>
              <w:rPr>
                <w:rFonts w:ascii="宋体"/>
                <w:b/>
                <w:spacing w:val="20"/>
                <w:sz w:val="22"/>
              </w:rPr>
            </w:pPr>
          </w:p>
        </w:tc>
        <w:tc>
          <w:tcPr>
            <w:tcW w:w="1266" w:type="dxa"/>
            <w:noWrap w:val="0"/>
            <w:vAlign w:val="center"/>
          </w:tcPr>
          <w:p>
            <w:pPr>
              <w:spacing w:line="360" w:lineRule="exact"/>
              <w:jc w:val="center"/>
              <w:rPr>
                <w:rFonts w:ascii="宋体"/>
                <w:b/>
                <w:spacing w:val="20"/>
                <w:sz w:val="22"/>
              </w:rPr>
            </w:pPr>
          </w:p>
        </w:tc>
        <w:tc>
          <w:tcPr>
            <w:tcW w:w="4054" w:type="dxa"/>
            <w:noWrap w:val="0"/>
            <w:vAlign w:val="center"/>
          </w:tcPr>
          <w:p>
            <w:pPr>
              <w:spacing w:line="360" w:lineRule="exact"/>
              <w:jc w:val="center"/>
              <w:rPr>
                <w:rFonts w:ascii="宋体"/>
                <w:b/>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noWrap w:val="0"/>
            <w:vAlign w:val="center"/>
          </w:tcPr>
          <w:p>
            <w:pPr>
              <w:spacing w:line="360" w:lineRule="exact"/>
              <w:jc w:val="center"/>
              <w:rPr>
                <w:rFonts w:ascii="宋体"/>
                <w:b/>
                <w:spacing w:val="20"/>
                <w:sz w:val="22"/>
              </w:rPr>
            </w:pPr>
          </w:p>
        </w:tc>
        <w:tc>
          <w:tcPr>
            <w:tcW w:w="2648" w:type="dxa"/>
            <w:noWrap w:val="0"/>
            <w:vAlign w:val="center"/>
          </w:tcPr>
          <w:p>
            <w:pPr>
              <w:spacing w:line="360" w:lineRule="exact"/>
              <w:jc w:val="center"/>
              <w:rPr>
                <w:rFonts w:ascii="宋体"/>
                <w:b/>
                <w:spacing w:val="20"/>
                <w:sz w:val="22"/>
              </w:rPr>
            </w:pPr>
          </w:p>
        </w:tc>
        <w:tc>
          <w:tcPr>
            <w:tcW w:w="2532" w:type="dxa"/>
            <w:tcBorders>
              <w:right w:val="single" w:color="auto" w:sz="4" w:space="0"/>
            </w:tcBorders>
            <w:noWrap w:val="0"/>
            <w:vAlign w:val="center"/>
          </w:tcPr>
          <w:p>
            <w:pPr>
              <w:spacing w:line="360" w:lineRule="exact"/>
              <w:jc w:val="center"/>
              <w:rPr>
                <w:rFonts w:ascii="宋体"/>
                <w:b/>
                <w:spacing w:val="20"/>
                <w:sz w:val="22"/>
              </w:rPr>
            </w:pPr>
          </w:p>
        </w:tc>
        <w:tc>
          <w:tcPr>
            <w:tcW w:w="2532" w:type="dxa"/>
            <w:tcBorders>
              <w:left w:val="single" w:color="auto" w:sz="4" w:space="0"/>
            </w:tcBorders>
            <w:noWrap w:val="0"/>
            <w:vAlign w:val="center"/>
          </w:tcPr>
          <w:p>
            <w:pPr>
              <w:spacing w:line="360" w:lineRule="exact"/>
              <w:jc w:val="center"/>
              <w:rPr>
                <w:rFonts w:ascii="宋体"/>
                <w:b/>
                <w:spacing w:val="20"/>
                <w:sz w:val="22"/>
              </w:rPr>
            </w:pPr>
          </w:p>
        </w:tc>
        <w:tc>
          <w:tcPr>
            <w:tcW w:w="1266" w:type="dxa"/>
            <w:noWrap w:val="0"/>
            <w:vAlign w:val="center"/>
          </w:tcPr>
          <w:p>
            <w:pPr>
              <w:spacing w:line="360" w:lineRule="exact"/>
              <w:jc w:val="center"/>
              <w:rPr>
                <w:rFonts w:ascii="宋体"/>
                <w:b/>
                <w:spacing w:val="20"/>
                <w:sz w:val="22"/>
              </w:rPr>
            </w:pPr>
          </w:p>
        </w:tc>
        <w:tc>
          <w:tcPr>
            <w:tcW w:w="4054" w:type="dxa"/>
            <w:noWrap w:val="0"/>
            <w:vAlign w:val="center"/>
          </w:tcPr>
          <w:p>
            <w:pPr>
              <w:spacing w:line="360" w:lineRule="exact"/>
              <w:jc w:val="center"/>
              <w:rPr>
                <w:rFonts w:ascii="宋体"/>
                <w:b/>
                <w:spacing w:val="20"/>
                <w:sz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38" w:type="dxa"/>
            <w:noWrap w:val="0"/>
            <w:vAlign w:val="center"/>
          </w:tcPr>
          <w:p>
            <w:pPr>
              <w:spacing w:line="360" w:lineRule="exact"/>
              <w:jc w:val="center"/>
              <w:rPr>
                <w:rFonts w:ascii="宋体"/>
                <w:b/>
                <w:spacing w:val="20"/>
                <w:sz w:val="22"/>
              </w:rPr>
            </w:pPr>
          </w:p>
        </w:tc>
        <w:tc>
          <w:tcPr>
            <w:tcW w:w="2648" w:type="dxa"/>
            <w:noWrap w:val="0"/>
            <w:vAlign w:val="center"/>
          </w:tcPr>
          <w:p>
            <w:pPr>
              <w:spacing w:line="360" w:lineRule="exact"/>
              <w:jc w:val="center"/>
              <w:rPr>
                <w:rFonts w:ascii="宋体"/>
                <w:b/>
                <w:spacing w:val="20"/>
                <w:sz w:val="22"/>
              </w:rPr>
            </w:pPr>
          </w:p>
        </w:tc>
        <w:tc>
          <w:tcPr>
            <w:tcW w:w="2532" w:type="dxa"/>
            <w:tcBorders>
              <w:right w:val="single" w:color="auto" w:sz="4" w:space="0"/>
            </w:tcBorders>
            <w:noWrap w:val="0"/>
            <w:vAlign w:val="center"/>
          </w:tcPr>
          <w:p>
            <w:pPr>
              <w:spacing w:line="360" w:lineRule="exact"/>
              <w:jc w:val="center"/>
              <w:rPr>
                <w:rFonts w:ascii="宋体"/>
                <w:b/>
                <w:spacing w:val="20"/>
                <w:sz w:val="22"/>
              </w:rPr>
            </w:pPr>
          </w:p>
        </w:tc>
        <w:tc>
          <w:tcPr>
            <w:tcW w:w="2532" w:type="dxa"/>
            <w:tcBorders>
              <w:left w:val="single" w:color="auto" w:sz="4" w:space="0"/>
            </w:tcBorders>
            <w:noWrap w:val="0"/>
            <w:vAlign w:val="center"/>
          </w:tcPr>
          <w:p>
            <w:pPr>
              <w:spacing w:line="360" w:lineRule="exact"/>
              <w:jc w:val="center"/>
              <w:rPr>
                <w:rFonts w:ascii="宋体"/>
                <w:b/>
                <w:spacing w:val="20"/>
                <w:sz w:val="22"/>
              </w:rPr>
            </w:pPr>
          </w:p>
        </w:tc>
        <w:tc>
          <w:tcPr>
            <w:tcW w:w="1266" w:type="dxa"/>
            <w:noWrap w:val="0"/>
            <w:vAlign w:val="center"/>
          </w:tcPr>
          <w:p>
            <w:pPr>
              <w:spacing w:line="360" w:lineRule="exact"/>
              <w:jc w:val="center"/>
              <w:rPr>
                <w:rFonts w:ascii="宋体"/>
                <w:b/>
                <w:spacing w:val="20"/>
                <w:sz w:val="22"/>
              </w:rPr>
            </w:pPr>
          </w:p>
        </w:tc>
        <w:tc>
          <w:tcPr>
            <w:tcW w:w="4054" w:type="dxa"/>
            <w:noWrap w:val="0"/>
            <w:vAlign w:val="center"/>
          </w:tcPr>
          <w:p>
            <w:pPr>
              <w:spacing w:line="360" w:lineRule="exact"/>
              <w:jc w:val="center"/>
              <w:rPr>
                <w:rFonts w:ascii="宋体"/>
                <w:b/>
                <w:spacing w:val="20"/>
                <w:sz w:val="22"/>
              </w:rPr>
            </w:pPr>
          </w:p>
        </w:tc>
      </w:tr>
    </w:tbl>
    <w:p>
      <w:pPr>
        <w:pStyle w:val="24"/>
        <w:spacing w:line="360" w:lineRule="auto"/>
        <w:rPr>
          <w:rFonts w:hAnsi="宋体"/>
          <w:sz w:val="22"/>
          <w:szCs w:val="22"/>
        </w:rPr>
      </w:pPr>
      <w:r>
        <w:rPr>
          <w:rFonts w:hAnsi="宋体"/>
          <w:sz w:val="22"/>
          <w:szCs w:val="22"/>
        </w:rPr>
        <w:t>投标供应商全称（盖章）：</w:t>
      </w:r>
    </w:p>
    <w:p>
      <w:pPr>
        <w:pStyle w:val="24"/>
        <w:spacing w:line="360" w:lineRule="auto"/>
        <w:rPr>
          <w:rFonts w:hAnsi="宋体"/>
          <w:sz w:val="22"/>
          <w:szCs w:val="22"/>
        </w:rPr>
      </w:pPr>
      <w:r>
        <w:rPr>
          <w:rFonts w:hAnsi="宋体"/>
          <w:sz w:val="22"/>
          <w:szCs w:val="22"/>
        </w:rPr>
        <w:t>法定代表人或授权代表（签字</w:t>
      </w:r>
      <w:r>
        <w:rPr>
          <w:rFonts w:hint="eastAsia" w:hAnsi="宋体"/>
          <w:sz w:val="22"/>
          <w:szCs w:val="22"/>
        </w:rPr>
        <w:t>或盖章</w:t>
      </w:r>
      <w:r>
        <w:rPr>
          <w:rFonts w:hAnsi="宋体"/>
          <w:sz w:val="22"/>
          <w:szCs w:val="22"/>
        </w:rPr>
        <w:t>）：</w:t>
      </w:r>
    </w:p>
    <w:p>
      <w:pPr>
        <w:pStyle w:val="24"/>
        <w:spacing w:line="360" w:lineRule="auto"/>
        <w:rPr>
          <w:rFonts w:hAnsi="宋体"/>
          <w:sz w:val="22"/>
          <w:szCs w:val="22"/>
        </w:rPr>
      </w:pPr>
      <w:r>
        <w:rPr>
          <w:rFonts w:hAnsi="宋体"/>
          <w:sz w:val="22"/>
          <w:szCs w:val="22"/>
        </w:rPr>
        <w:t>日 期：       年      月      日</w:t>
      </w:r>
    </w:p>
    <w:p>
      <w:pPr>
        <w:spacing w:line="360" w:lineRule="exact"/>
        <w:rPr>
          <w:rFonts w:ascii="宋体"/>
          <w:b/>
          <w:spacing w:val="20"/>
          <w:sz w:val="22"/>
        </w:rPr>
      </w:pPr>
      <w:r>
        <w:rPr>
          <w:rFonts w:hint="eastAsia" w:ascii="宋体"/>
          <w:b/>
          <w:spacing w:val="20"/>
          <w:sz w:val="22"/>
        </w:rPr>
        <w:t>注：1、放置技术资信标中</w:t>
      </w:r>
    </w:p>
    <w:p>
      <w:pPr>
        <w:spacing w:line="360" w:lineRule="exact"/>
        <w:ind w:firstLine="522" w:firstLineChars="200"/>
        <w:rPr>
          <w:rFonts w:ascii="宋体"/>
          <w:b/>
          <w:spacing w:val="20"/>
          <w:sz w:val="22"/>
        </w:rPr>
      </w:pPr>
      <w:r>
        <w:rPr>
          <w:rFonts w:hint="eastAsia" w:ascii="宋体"/>
          <w:b/>
          <w:spacing w:val="20"/>
          <w:sz w:val="22"/>
        </w:rPr>
        <w:t>2、所投产品详细配置、技术应另页描述。</w:t>
      </w:r>
    </w:p>
    <w:p>
      <w:pPr>
        <w:spacing w:line="360" w:lineRule="exact"/>
        <w:ind w:firstLine="520" w:firstLineChars="200"/>
        <w:sectPr>
          <w:headerReference r:id="rId15" w:type="first"/>
          <w:headerReference r:id="rId14" w:type="default"/>
          <w:footerReference r:id="rId16" w:type="default"/>
          <w:pgSz w:w="16838" w:h="11906" w:orient="landscape"/>
          <w:pgMar w:top="1134" w:right="1134" w:bottom="1134" w:left="1134" w:header="851" w:footer="850" w:gutter="0"/>
          <w:cols w:space="720" w:num="1"/>
          <w:titlePg/>
          <w:docGrid w:type="lines" w:linePitch="312" w:charSpace="0"/>
        </w:sectPr>
      </w:pPr>
      <w:r>
        <w:rPr>
          <w:rFonts w:hint="eastAsia" w:ascii="宋体"/>
          <w:spacing w:val="20"/>
          <w:sz w:val="22"/>
        </w:rPr>
        <w:t>3、相当于不带价格的详细报价表，必须提供，所有项目均需在本表体现</w:t>
      </w:r>
    </w:p>
    <w:p>
      <w:pPr>
        <w:autoSpaceDE w:val="0"/>
        <w:autoSpaceDN w:val="0"/>
        <w:adjustRightInd w:val="0"/>
        <w:spacing w:line="460" w:lineRule="atLeast"/>
        <w:jc w:val="center"/>
        <w:rPr>
          <w:rFonts w:ascii="宋体"/>
          <w:b/>
          <w:sz w:val="36"/>
          <w:lang w:val="zh-CN"/>
        </w:rPr>
      </w:pPr>
      <w:r>
        <w:rPr>
          <w:rFonts w:hint="eastAsia" w:ascii="宋体"/>
          <w:b/>
          <w:sz w:val="36"/>
          <w:lang w:val="zh-CN"/>
        </w:rPr>
        <w:t>（2）设备零件、易损件、备品备件报价表</w:t>
      </w:r>
      <w:r>
        <w:rPr>
          <w:rFonts w:ascii="宋体"/>
          <w:b/>
          <w:sz w:val="36"/>
          <w:lang w:val="zh-CN"/>
        </w:rPr>
        <w:t>(如有则提供)</w:t>
      </w:r>
    </w:p>
    <w:tbl>
      <w:tblPr>
        <w:tblStyle w:val="41"/>
        <w:tblW w:w="9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noWrap w:val="0"/>
            <w:vAlign w:val="center"/>
          </w:tcPr>
          <w:p>
            <w:pPr>
              <w:pStyle w:val="24"/>
              <w:snapToGrid w:val="0"/>
              <w:spacing w:line="400" w:lineRule="exact"/>
              <w:jc w:val="center"/>
              <w:rPr>
                <w:rFonts w:hAnsi="宋体"/>
                <w:b/>
                <w:sz w:val="22"/>
              </w:rPr>
            </w:pPr>
            <w:r>
              <w:rPr>
                <w:rFonts w:hint="eastAsia" w:hAnsi="宋体"/>
                <w:b/>
                <w:sz w:val="22"/>
              </w:rPr>
              <w:t>序 号</w:t>
            </w:r>
          </w:p>
        </w:tc>
        <w:tc>
          <w:tcPr>
            <w:tcW w:w="1688" w:type="dxa"/>
            <w:noWrap w:val="0"/>
            <w:vAlign w:val="center"/>
          </w:tcPr>
          <w:p>
            <w:pPr>
              <w:pStyle w:val="24"/>
              <w:snapToGrid w:val="0"/>
              <w:spacing w:line="400" w:lineRule="exact"/>
              <w:jc w:val="center"/>
              <w:rPr>
                <w:rFonts w:hAnsi="宋体"/>
                <w:b/>
                <w:sz w:val="22"/>
              </w:rPr>
            </w:pPr>
            <w:r>
              <w:rPr>
                <w:rFonts w:hint="eastAsia" w:hAnsi="宋体"/>
                <w:b/>
                <w:sz w:val="22"/>
              </w:rPr>
              <w:t>名称</w:t>
            </w:r>
          </w:p>
        </w:tc>
        <w:tc>
          <w:tcPr>
            <w:tcW w:w="2110" w:type="dxa"/>
            <w:noWrap w:val="0"/>
            <w:vAlign w:val="center"/>
          </w:tcPr>
          <w:p>
            <w:pPr>
              <w:pStyle w:val="24"/>
              <w:snapToGrid w:val="0"/>
              <w:spacing w:line="400" w:lineRule="exact"/>
              <w:jc w:val="center"/>
              <w:rPr>
                <w:rFonts w:hAnsi="宋体"/>
                <w:b/>
                <w:sz w:val="22"/>
              </w:rPr>
            </w:pPr>
            <w:r>
              <w:rPr>
                <w:rFonts w:hint="eastAsia" w:hAnsi="宋体"/>
                <w:b/>
                <w:sz w:val="22"/>
              </w:rPr>
              <w:t>产地/规格/型号</w:t>
            </w:r>
          </w:p>
        </w:tc>
        <w:tc>
          <w:tcPr>
            <w:tcW w:w="1477" w:type="dxa"/>
            <w:noWrap w:val="0"/>
            <w:vAlign w:val="center"/>
          </w:tcPr>
          <w:p>
            <w:pPr>
              <w:pStyle w:val="24"/>
              <w:snapToGrid w:val="0"/>
              <w:spacing w:line="400" w:lineRule="exact"/>
              <w:jc w:val="center"/>
              <w:rPr>
                <w:rFonts w:hAnsi="宋体"/>
                <w:b/>
                <w:sz w:val="22"/>
              </w:rPr>
            </w:pPr>
            <w:r>
              <w:rPr>
                <w:rFonts w:hint="eastAsia" w:hAnsi="宋体"/>
                <w:b/>
                <w:sz w:val="22"/>
              </w:rPr>
              <w:t>数量</w:t>
            </w:r>
          </w:p>
        </w:tc>
        <w:tc>
          <w:tcPr>
            <w:tcW w:w="1230" w:type="dxa"/>
            <w:noWrap w:val="0"/>
            <w:vAlign w:val="center"/>
          </w:tcPr>
          <w:p>
            <w:pPr>
              <w:pStyle w:val="24"/>
              <w:snapToGrid w:val="0"/>
              <w:spacing w:line="400" w:lineRule="exact"/>
              <w:jc w:val="center"/>
              <w:rPr>
                <w:rFonts w:hAnsi="宋体"/>
                <w:b/>
                <w:sz w:val="22"/>
              </w:rPr>
            </w:pPr>
            <w:r>
              <w:rPr>
                <w:rFonts w:hint="eastAsia" w:hAnsi="宋体"/>
                <w:b/>
                <w:sz w:val="22"/>
              </w:rPr>
              <w:t>单价</w:t>
            </w:r>
          </w:p>
        </w:tc>
        <w:tc>
          <w:tcPr>
            <w:tcW w:w="1940" w:type="dxa"/>
            <w:noWrap w:val="0"/>
            <w:vAlign w:val="center"/>
          </w:tcPr>
          <w:p>
            <w:pPr>
              <w:pStyle w:val="24"/>
              <w:snapToGrid w:val="0"/>
              <w:spacing w:line="400" w:lineRule="exact"/>
              <w:jc w:val="center"/>
              <w:rPr>
                <w:rFonts w:hAnsi="宋体"/>
                <w:b/>
                <w:sz w:val="22"/>
              </w:rPr>
            </w:pPr>
            <w:r>
              <w:rPr>
                <w:rFonts w:hint="eastAsia" w:hAnsi="宋体"/>
                <w:b/>
                <w:sz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bl>
    <w:p>
      <w:pPr>
        <w:pStyle w:val="24"/>
        <w:snapToGrid w:val="0"/>
        <w:spacing w:line="400" w:lineRule="exact"/>
        <w:rPr>
          <w:rFonts w:hAnsi="宋体"/>
          <w:b/>
          <w:sz w:val="22"/>
        </w:rPr>
      </w:pPr>
    </w:p>
    <w:p>
      <w:pPr>
        <w:spacing w:line="360" w:lineRule="exact"/>
        <w:jc w:val="left"/>
        <w:rPr>
          <w:rFonts w:ascii="宋体"/>
          <w:b/>
          <w:sz w:val="22"/>
        </w:rPr>
      </w:pPr>
      <w:r>
        <w:rPr>
          <w:rFonts w:hint="eastAsia" w:ascii="宋体"/>
          <w:b/>
          <w:sz w:val="22"/>
        </w:rPr>
        <w:t>供应商全称（盖章）：</w:t>
      </w:r>
    </w:p>
    <w:p>
      <w:pPr>
        <w:spacing w:line="360" w:lineRule="exact"/>
        <w:jc w:val="left"/>
        <w:rPr>
          <w:rFonts w:ascii="宋体"/>
          <w:b/>
          <w:sz w:val="22"/>
        </w:rPr>
      </w:pPr>
      <w:r>
        <w:rPr>
          <w:rFonts w:hint="eastAsia" w:ascii="宋体"/>
          <w:b/>
          <w:sz w:val="22"/>
        </w:rPr>
        <w:t>日期：</w:t>
      </w:r>
    </w:p>
    <w:p>
      <w:pPr>
        <w:spacing w:line="360" w:lineRule="exact"/>
        <w:jc w:val="left"/>
        <w:rPr>
          <w:rFonts w:ascii="宋体"/>
          <w:sz w:val="22"/>
        </w:rPr>
      </w:pPr>
    </w:p>
    <w:p>
      <w:pPr>
        <w:spacing w:line="360" w:lineRule="exact"/>
        <w:jc w:val="left"/>
        <w:rPr>
          <w:rFonts w:ascii="宋体"/>
          <w:sz w:val="22"/>
        </w:rPr>
      </w:pPr>
    </w:p>
    <w:p>
      <w:pPr>
        <w:spacing w:line="360" w:lineRule="exact"/>
        <w:jc w:val="left"/>
        <w:rPr>
          <w:rFonts w:ascii="宋体"/>
          <w:sz w:val="22"/>
        </w:rPr>
      </w:pPr>
    </w:p>
    <w:p>
      <w:pPr>
        <w:spacing w:line="360" w:lineRule="exact"/>
        <w:jc w:val="left"/>
        <w:rPr>
          <w:rFonts w:ascii="宋体"/>
          <w:sz w:val="22"/>
        </w:rPr>
      </w:pPr>
    </w:p>
    <w:p>
      <w:pPr>
        <w:spacing w:line="360" w:lineRule="exact"/>
        <w:jc w:val="left"/>
        <w:rPr>
          <w:rFonts w:ascii="宋体"/>
          <w:sz w:val="22"/>
        </w:rPr>
      </w:pPr>
    </w:p>
    <w:p>
      <w:pPr>
        <w:spacing w:line="360" w:lineRule="exact"/>
        <w:jc w:val="left"/>
        <w:rPr>
          <w:rFonts w:ascii="宋体"/>
          <w:sz w:val="22"/>
        </w:rPr>
      </w:pPr>
    </w:p>
    <w:p>
      <w:pPr>
        <w:spacing w:line="360" w:lineRule="exact"/>
        <w:jc w:val="left"/>
        <w:rPr>
          <w:rFonts w:ascii="宋体"/>
          <w:sz w:val="22"/>
        </w:rPr>
      </w:pPr>
    </w:p>
    <w:p>
      <w:pPr>
        <w:spacing w:line="360" w:lineRule="exact"/>
        <w:jc w:val="left"/>
        <w:rPr>
          <w:rFonts w:ascii="宋体"/>
          <w:sz w:val="22"/>
        </w:rPr>
      </w:pPr>
    </w:p>
    <w:p>
      <w:pPr>
        <w:spacing w:line="360" w:lineRule="exact"/>
        <w:jc w:val="left"/>
        <w:rPr>
          <w:rFonts w:ascii="宋体"/>
          <w:sz w:val="22"/>
        </w:rPr>
      </w:pPr>
    </w:p>
    <w:p>
      <w:pPr>
        <w:spacing w:line="360" w:lineRule="exact"/>
        <w:jc w:val="left"/>
        <w:rPr>
          <w:rFonts w:ascii="宋体"/>
          <w:sz w:val="22"/>
        </w:rPr>
      </w:pPr>
    </w:p>
    <w:p>
      <w:pPr>
        <w:spacing w:line="360" w:lineRule="exact"/>
        <w:jc w:val="left"/>
        <w:rPr>
          <w:rFonts w:ascii="宋体"/>
          <w:sz w:val="22"/>
        </w:rPr>
      </w:pPr>
    </w:p>
    <w:p>
      <w:pPr>
        <w:spacing w:line="360" w:lineRule="exact"/>
        <w:jc w:val="left"/>
        <w:rPr>
          <w:rFonts w:ascii="宋体"/>
          <w:sz w:val="22"/>
        </w:rPr>
      </w:pPr>
    </w:p>
    <w:p>
      <w:pPr>
        <w:spacing w:line="360" w:lineRule="exact"/>
        <w:jc w:val="left"/>
        <w:rPr>
          <w:rFonts w:ascii="宋体"/>
          <w:sz w:val="22"/>
        </w:rPr>
      </w:pPr>
    </w:p>
    <w:p>
      <w:pPr>
        <w:spacing w:line="360" w:lineRule="exact"/>
        <w:jc w:val="left"/>
        <w:rPr>
          <w:rFonts w:ascii="宋体"/>
          <w:sz w:val="22"/>
        </w:rPr>
      </w:pPr>
    </w:p>
    <w:p>
      <w:pPr>
        <w:spacing w:line="360" w:lineRule="exact"/>
        <w:jc w:val="left"/>
        <w:rPr>
          <w:rFonts w:ascii="宋体"/>
          <w:sz w:val="22"/>
        </w:rPr>
      </w:pPr>
    </w:p>
    <w:p>
      <w:pPr>
        <w:widowControl/>
        <w:jc w:val="left"/>
        <w:rPr>
          <w:rFonts w:ascii="宋体" w:hAnsi="宋体"/>
          <w:b/>
          <w:kern w:val="0"/>
          <w:sz w:val="32"/>
          <w:szCs w:val="21"/>
        </w:rPr>
      </w:pPr>
      <w:r>
        <w:rPr>
          <w:rFonts w:hAnsi="宋体"/>
          <w:b/>
          <w:sz w:val="32"/>
        </w:rPr>
        <w:br w:type="page"/>
      </w:r>
    </w:p>
    <w:p>
      <w:pPr>
        <w:pStyle w:val="24"/>
        <w:snapToGrid w:val="0"/>
        <w:spacing w:line="400" w:lineRule="exact"/>
        <w:jc w:val="center"/>
        <w:rPr>
          <w:rFonts w:hAnsi="宋体"/>
          <w:b/>
          <w:sz w:val="32"/>
        </w:rPr>
      </w:pPr>
      <w:r>
        <w:rPr>
          <w:rFonts w:hint="eastAsia" w:hAnsi="宋体"/>
          <w:b/>
          <w:sz w:val="32"/>
        </w:rPr>
        <w:t xml:space="preserve">（3）随机备品备件、专用工具清单(如有) </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noWrap w:val="0"/>
            <w:vAlign w:val="center"/>
          </w:tcPr>
          <w:p>
            <w:pPr>
              <w:pStyle w:val="24"/>
              <w:snapToGrid w:val="0"/>
              <w:spacing w:line="400" w:lineRule="exact"/>
              <w:jc w:val="center"/>
              <w:rPr>
                <w:rFonts w:hAnsi="宋体"/>
                <w:b/>
                <w:sz w:val="22"/>
              </w:rPr>
            </w:pPr>
            <w:r>
              <w:rPr>
                <w:rFonts w:hint="eastAsia" w:hAnsi="宋体"/>
                <w:b/>
                <w:sz w:val="22"/>
              </w:rPr>
              <w:t>序 号</w:t>
            </w:r>
          </w:p>
        </w:tc>
        <w:tc>
          <w:tcPr>
            <w:tcW w:w="1688" w:type="dxa"/>
            <w:noWrap w:val="0"/>
            <w:vAlign w:val="center"/>
          </w:tcPr>
          <w:p>
            <w:pPr>
              <w:pStyle w:val="24"/>
              <w:snapToGrid w:val="0"/>
              <w:spacing w:line="400" w:lineRule="exact"/>
              <w:jc w:val="center"/>
              <w:rPr>
                <w:rFonts w:hAnsi="宋体"/>
                <w:b/>
                <w:sz w:val="22"/>
              </w:rPr>
            </w:pPr>
            <w:r>
              <w:rPr>
                <w:rFonts w:hint="eastAsia" w:hAnsi="宋体"/>
                <w:b/>
                <w:sz w:val="22"/>
              </w:rPr>
              <w:t>名称</w:t>
            </w:r>
          </w:p>
        </w:tc>
        <w:tc>
          <w:tcPr>
            <w:tcW w:w="2110" w:type="dxa"/>
            <w:noWrap w:val="0"/>
            <w:vAlign w:val="center"/>
          </w:tcPr>
          <w:p>
            <w:pPr>
              <w:pStyle w:val="24"/>
              <w:snapToGrid w:val="0"/>
              <w:spacing w:line="400" w:lineRule="exact"/>
              <w:jc w:val="center"/>
              <w:rPr>
                <w:rFonts w:hAnsi="宋体"/>
                <w:b/>
                <w:sz w:val="22"/>
              </w:rPr>
            </w:pPr>
            <w:r>
              <w:rPr>
                <w:rFonts w:hint="eastAsia" w:hAnsi="宋体"/>
                <w:b/>
                <w:sz w:val="22"/>
              </w:rPr>
              <w:t>产地/规格/型号</w:t>
            </w:r>
          </w:p>
        </w:tc>
        <w:tc>
          <w:tcPr>
            <w:tcW w:w="1477" w:type="dxa"/>
            <w:noWrap w:val="0"/>
            <w:vAlign w:val="center"/>
          </w:tcPr>
          <w:p>
            <w:pPr>
              <w:pStyle w:val="24"/>
              <w:snapToGrid w:val="0"/>
              <w:spacing w:line="400" w:lineRule="exact"/>
              <w:jc w:val="center"/>
              <w:rPr>
                <w:rFonts w:hAnsi="宋体"/>
                <w:b/>
                <w:sz w:val="22"/>
              </w:rPr>
            </w:pPr>
            <w:r>
              <w:rPr>
                <w:rFonts w:hint="eastAsia" w:hAnsi="宋体"/>
                <w:b/>
                <w:sz w:val="22"/>
              </w:rPr>
              <w:t>数量</w:t>
            </w:r>
          </w:p>
        </w:tc>
        <w:tc>
          <w:tcPr>
            <w:tcW w:w="1230" w:type="dxa"/>
            <w:noWrap w:val="0"/>
            <w:vAlign w:val="center"/>
          </w:tcPr>
          <w:p>
            <w:pPr>
              <w:pStyle w:val="24"/>
              <w:snapToGrid w:val="0"/>
              <w:spacing w:line="400" w:lineRule="exact"/>
              <w:jc w:val="center"/>
              <w:rPr>
                <w:rFonts w:hAnsi="宋体"/>
                <w:b/>
                <w:sz w:val="22"/>
              </w:rPr>
            </w:pPr>
            <w:r>
              <w:rPr>
                <w:rFonts w:hint="eastAsia" w:hAnsi="宋体"/>
                <w:b/>
                <w:sz w:val="22"/>
              </w:rPr>
              <w:t>单价</w:t>
            </w:r>
          </w:p>
        </w:tc>
        <w:tc>
          <w:tcPr>
            <w:tcW w:w="1940" w:type="dxa"/>
            <w:noWrap w:val="0"/>
            <w:vAlign w:val="center"/>
          </w:tcPr>
          <w:p>
            <w:pPr>
              <w:pStyle w:val="24"/>
              <w:snapToGrid w:val="0"/>
              <w:spacing w:line="400" w:lineRule="exact"/>
              <w:jc w:val="center"/>
              <w:rPr>
                <w:rFonts w:hAnsi="宋体"/>
                <w:b/>
                <w:sz w:val="22"/>
              </w:rPr>
            </w:pPr>
            <w:r>
              <w:rPr>
                <w:rFonts w:hint="eastAsia" w:hAnsi="宋体"/>
                <w:b/>
                <w:sz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top"/>
          </w:tcPr>
          <w:p>
            <w:pPr>
              <w:pStyle w:val="24"/>
              <w:snapToGrid w:val="0"/>
              <w:spacing w:line="400" w:lineRule="exact"/>
              <w:jc w:val="center"/>
              <w:rPr>
                <w:rFonts w:hAnsi="宋体"/>
                <w:b/>
                <w:sz w:val="22"/>
              </w:rPr>
            </w:pPr>
          </w:p>
        </w:tc>
        <w:tc>
          <w:tcPr>
            <w:tcW w:w="1688" w:type="dxa"/>
            <w:noWrap w:val="0"/>
            <w:vAlign w:val="top"/>
          </w:tcPr>
          <w:p>
            <w:pPr>
              <w:pStyle w:val="24"/>
              <w:snapToGrid w:val="0"/>
              <w:spacing w:line="400" w:lineRule="exact"/>
              <w:jc w:val="center"/>
              <w:rPr>
                <w:rFonts w:hAnsi="宋体"/>
                <w:b/>
                <w:sz w:val="22"/>
              </w:rPr>
            </w:pPr>
          </w:p>
        </w:tc>
        <w:tc>
          <w:tcPr>
            <w:tcW w:w="2110" w:type="dxa"/>
            <w:noWrap w:val="0"/>
            <w:vAlign w:val="top"/>
          </w:tcPr>
          <w:p>
            <w:pPr>
              <w:pStyle w:val="24"/>
              <w:snapToGrid w:val="0"/>
              <w:spacing w:line="400" w:lineRule="exact"/>
              <w:jc w:val="center"/>
              <w:rPr>
                <w:rFonts w:hAnsi="宋体"/>
                <w:b/>
                <w:sz w:val="22"/>
              </w:rPr>
            </w:pPr>
          </w:p>
        </w:tc>
        <w:tc>
          <w:tcPr>
            <w:tcW w:w="1477" w:type="dxa"/>
            <w:noWrap w:val="0"/>
            <w:vAlign w:val="top"/>
          </w:tcPr>
          <w:p>
            <w:pPr>
              <w:pStyle w:val="24"/>
              <w:snapToGrid w:val="0"/>
              <w:spacing w:line="400" w:lineRule="exact"/>
              <w:jc w:val="center"/>
              <w:rPr>
                <w:rFonts w:hAnsi="宋体"/>
                <w:b/>
                <w:sz w:val="22"/>
              </w:rPr>
            </w:pPr>
          </w:p>
        </w:tc>
        <w:tc>
          <w:tcPr>
            <w:tcW w:w="1230" w:type="dxa"/>
            <w:noWrap w:val="0"/>
            <w:vAlign w:val="top"/>
          </w:tcPr>
          <w:p>
            <w:pPr>
              <w:pStyle w:val="24"/>
              <w:snapToGrid w:val="0"/>
              <w:spacing w:line="400" w:lineRule="exact"/>
              <w:jc w:val="center"/>
              <w:rPr>
                <w:rFonts w:hAnsi="宋体"/>
                <w:b/>
                <w:sz w:val="22"/>
              </w:rPr>
            </w:pPr>
          </w:p>
        </w:tc>
        <w:tc>
          <w:tcPr>
            <w:tcW w:w="1940" w:type="dxa"/>
            <w:noWrap w:val="0"/>
            <w:vAlign w:val="top"/>
          </w:tcPr>
          <w:p>
            <w:pPr>
              <w:pStyle w:val="24"/>
              <w:snapToGrid w:val="0"/>
              <w:spacing w:line="400" w:lineRule="exact"/>
              <w:jc w:val="center"/>
              <w:rPr>
                <w:rFonts w:hAnsi="宋体"/>
                <w:b/>
                <w:sz w:val="22"/>
              </w:rPr>
            </w:pPr>
          </w:p>
        </w:tc>
      </w:tr>
    </w:tbl>
    <w:p>
      <w:pPr>
        <w:pStyle w:val="24"/>
        <w:snapToGrid w:val="0"/>
        <w:spacing w:line="400" w:lineRule="exact"/>
        <w:rPr>
          <w:rFonts w:hAnsi="宋体"/>
          <w:b/>
          <w:sz w:val="22"/>
        </w:rPr>
      </w:pPr>
    </w:p>
    <w:p>
      <w:pPr>
        <w:spacing w:line="360" w:lineRule="exact"/>
        <w:jc w:val="left"/>
        <w:rPr>
          <w:rFonts w:ascii="宋体"/>
          <w:b/>
          <w:sz w:val="22"/>
        </w:rPr>
      </w:pPr>
      <w:r>
        <w:rPr>
          <w:rFonts w:hint="eastAsia" w:ascii="宋体"/>
          <w:b/>
          <w:sz w:val="22"/>
        </w:rPr>
        <w:t>供应商全称（盖章）：</w:t>
      </w:r>
    </w:p>
    <w:p>
      <w:pPr>
        <w:spacing w:line="360" w:lineRule="exact"/>
        <w:jc w:val="left"/>
        <w:rPr>
          <w:rFonts w:ascii="宋体"/>
          <w:b/>
          <w:sz w:val="22"/>
        </w:rPr>
      </w:pPr>
      <w:r>
        <w:rPr>
          <w:rFonts w:hint="eastAsia" w:ascii="宋体"/>
          <w:b/>
          <w:sz w:val="22"/>
        </w:rPr>
        <w:t>日期：</w:t>
      </w:r>
    </w:p>
    <w:p>
      <w:pPr>
        <w:widowControl/>
        <w:jc w:val="left"/>
        <w:rPr>
          <w:rFonts w:ascii="宋体" w:hAnsi="宋体"/>
          <w:b/>
          <w:bCs/>
          <w:sz w:val="22"/>
          <w:szCs w:val="22"/>
        </w:rPr>
      </w:pPr>
    </w:p>
    <w:p>
      <w:pPr>
        <w:widowControl/>
        <w:jc w:val="left"/>
        <w:rPr>
          <w:rFonts w:ascii="宋体" w:hAnsi="宋体"/>
          <w:b/>
          <w:bCs/>
          <w:sz w:val="22"/>
          <w:szCs w:val="22"/>
        </w:rPr>
      </w:pPr>
      <w:r>
        <w:rPr>
          <w:rFonts w:ascii="宋体" w:hAnsi="宋体"/>
          <w:b/>
          <w:bCs/>
          <w:sz w:val="22"/>
          <w:szCs w:val="22"/>
        </w:rPr>
        <w:br w:type="page"/>
      </w:r>
    </w:p>
    <w:p>
      <w:pPr>
        <w:widowControl/>
        <w:jc w:val="left"/>
        <w:rPr>
          <w:rFonts w:hint="eastAsia" w:ascii="宋体" w:hAnsi="宋体"/>
          <w:b/>
          <w:bCs/>
          <w:sz w:val="22"/>
          <w:szCs w:val="22"/>
        </w:rPr>
      </w:pPr>
      <w:r>
        <w:rPr>
          <w:rFonts w:hint="eastAsia" w:ascii="宋体" w:hAnsi="宋体"/>
          <w:b/>
          <w:bCs/>
          <w:sz w:val="22"/>
          <w:szCs w:val="22"/>
        </w:rPr>
        <w:t>附件十二</w:t>
      </w:r>
    </w:p>
    <w:p>
      <w:pPr>
        <w:spacing w:after="240" w:line="360" w:lineRule="exact"/>
        <w:jc w:val="center"/>
        <w:rPr>
          <w:rFonts w:ascii="宋体" w:hAnsi="宋体"/>
          <w:b/>
          <w:bCs/>
          <w:sz w:val="32"/>
          <w:szCs w:val="32"/>
        </w:rPr>
      </w:pPr>
      <w:r>
        <w:rPr>
          <w:rFonts w:hint="eastAsia" w:ascii="宋体" w:hAnsi="宋体"/>
          <w:b/>
          <w:bCs/>
          <w:sz w:val="32"/>
          <w:szCs w:val="32"/>
        </w:rPr>
        <w:t>（1）项目负责人情况表</w:t>
      </w:r>
    </w:p>
    <w:p>
      <w:pPr>
        <w:spacing w:line="360" w:lineRule="exact"/>
        <w:rPr>
          <w:rFonts w:ascii="宋体" w:hAnsi="宋体"/>
          <w:sz w:val="22"/>
        </w:rPr>
      </w:pPr>
      <w:r>
        <w:rPr>
          <w:rFonts w:hint="eastAsia" w:ascii="宋体" w:hAnsi="宋体"/>
          <w:sz w:val="22"/>
        </w:rPr>
        <w:t>项目名称：                                         项目编号：</w:t>
      </w:r>
    </w:p>
    <w:tbl>
      <w:tblPr>
        <w:tblStyle w:val="41"/>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noWrap w:val="0"/>
            <w:vAlign w:val="center"/>
          </w:tcPr>
          <w:p>
            <w:pPr>
              <w:spacing w:line="360" w:lineRule="exact"/>
              <w:jc w:val="center"/>
              <w:rPr>
                <w:rFonts w:ascii="宋体" w:hAnsi="宋体"/>
              </w:rPr>
            </w:pPr>
            <w:r>
              <w:rPr>
                <w:rFonts w:hint="eastAsia" w:ascii="宋体" w:hAnsi="宋体"/>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姓   名</w:t>
            </w:r>
          </w:p>
        </w:tc>
        <w:tc>
          <w:tcPr>
            <w:tcW w:w="18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年  龄</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学  历</w:t>
            </w:r>
          </w:p>
        </w:tc>
        <w:tc>
          <w:tcPr>
            <w:tcW w:w="158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毕业学校</w:t>
            </w:r>
          </w:p>
        </w:tc>
        <w:tc>
          <w:tcPr>
            <w:tcW w:w="18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专  业</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职  务</w:t>
            </w:r>
          </w:p>
        </w:tc>
        <w:tc>
          <w:tcPr>
            <w:tcW w:w="158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pPr>
              <w:spacing w:line="260" w:lineRule="exact"/>
              <w:jc w:val="center"/>
              <w:rPr>
                <w:rFonts w:ascii="宋体" w:hAnsi="宋体"/>
              </w:rPr>
            </w:pPr>
            <w:r>
              <w:rPr>
                <w:rFonts w:hint="eastAsia" w:ascii="宋体" w:hAnsi="宋体"/>
              </w:rPr>
              <w:t>职  称</w:t>
            </w:r>
          </w:p>
          <w:p>
            <w:pPr>
              <w:spacing w:line="260" w:lineRule="exact"/>
              <w:jc w:val="center"/>
              <w:rPr>
                <w:rFonts w:ascii="宋体" w:hAnsi="宋体"/>
              </w:rPr>
            </w:pPr>
            <w:r>
              <w:rPr>
                <w:rFonts w:hint="eastAsia" w:ascii="宋体" w:hAnsi="宋体"/>
              </w:rPr>
              <w:t>（或资格）</w:t>
            </w:r>
          </w:p>
        </w:tc>
        <w:tc>
          <w:tcPr>
            <w:tcW w:w="18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拟任何职</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rPr>
            </w:pPr>
            <w:r>
              <w:rPr>
                <w:rFonts w:hint="eastAsia" w:ascii="宋体" w:hAnsi="宋体"/>
              </w:rPr>
              <w:t>参加工作</w:t>
            </w:r>
          </w:p>
          <w:p>
            <w:pPr>
              <w:spacing w:line="280" w:lineRule="exact"/>
              <w:jc w:val="center"/>
              <w:rPr>
                <w:rFonts w:ascii="宋体" w:hAnsi="宋体"/>
              </w:rPr>
            </w:pPr>
            <w:r>
              <w:rPr>
                <w:rFonts w:hint="eastAsia" w:ascii="宋体" w:hAnsi="宋体"/>
              </w:rPr>
              <w:t>时间</w:t>
            </w:r>
          </w:p>
        </w:tc>
        <w:tc>
          <w:tcPr>
            <w:tcW w:w="158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noWrap w:val="0"/>
            <w:vAlign w:val="center"/>
          </w:tcPr>
          <w:p>
            <w:pPr>
              <w:spacing w:line="360" w:lineRule="exact"/>
              <w:jc w:val="center"/>
              <w:rPr>
                <w:rFonts w:ascii="宋体" w:hAnsi="宋体"/>
              </w:rPr>
            </w:pPr>
            <w:r>
              <w:rPr>
                <w:rFonts w:hint="eastAsia" w:ascii="宋体" w:hAnsi="宋体"/>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时  间</w:t>
            </w: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ascii="宋体" w:hAnsi="宋体"/>
              </w:rPr>
            </w:pPr>
            <w:r>
              <w:rPr>
                <w:rFonts w:hint="eastAsia" w:ascii="宋体" w:hAnsi="宋体"/>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pPr>
              <w:spacing w:line="360" w:lineRule="exact"/>
              <w:rPr>
                <w:rFonts w:ascii="宋体" w:hAnsi="宋体"/>
              </w:rPr>
            </w:pP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pPr>
              <w:spacing w:line="360" w:lineRule="exact"/>
              <w:rPr>
                <w:rFonts w:ascii="宋体" w:hAnsi="宋体"/>
              </w:rPr>
            </w:pPr>
          </w:p>
        </w:tc>
        <w:tc>
          <w:tcPr>
            <w:tcW w:w="8172" w:type="dxa"/>
            <w:gridSpan w:val="5"/>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noWrap w:val="0"/>
            <w:vAlign w:val="center"/>
          </w:tcPr>
          <w:p>
            <w:pPr>
              <w:spacing w:line="360" w:lineRule="exact"/>
              <w:jc w:val="center"/>
              <w:rPr>
                <w:rFonts w:ascii="宋体" w:hAnsi="宋体"/>
              </w:rPr>
            </w:pPr>
            <w:r>
              <w:rPr>
                <w:rFonts w:hint="eastAsia" w:ascii="宋体" w:hAnsi="宋体"/>
              </w:rPr>
              <w:t>3、负责类似项目业绩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序号</w:t>
            </w: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rPr>
            </w:pPr>
            <w:r>
              <w:rPr>
                <w:rFonts w:hint="eastAsia" w:ascii="宋体" w:hAnsi="宋体"/>
              </w:rPr>
              <w:t>项  目  名  称</w:t>
            </w: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ascii="宋体" w:hAnsi="宋体"/>
              </w:rPr>
            </w:pPr>
            <w:r>
              <w:rPr>
                <w:rFonts w:hint="eastAsia" w:ascii="宋体" w:hAnsi="宋体"/>
              </w:rPr>
              <w:t>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rPr>
                <w:rFonts w:ascii="宋体" w:hAnsi="宋体"/>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rPr>
                <w:rFonts w:ascii="宋体" w:hAnsi="宋体"/>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rPr>
                <w:rFonts w:ascii="宋体" w:hAnsi="宋体"/>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rPr>
                <w:rFonts w:ascii="宋体" w:hAnsi="宋体"/>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rPr>
                <w:rFonts w:ascii="宋体" w:hAnsi="宋体"/>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rPr>
                <w:rFonts w:ascii="宋体" w:hAnsi="宋体"/>
              </w:rPr>
            </w:pPr>
          </w:p>
        </w:tc>
        <w:tc>
          <w:tcPr>
            <w:tcW w:w="558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rPr>
            </w:pPr>
          </w:p>
        </w:tc>
        <w:tc>
          <w:tcPr>
            <w:tcW w:w="3037"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noWrap w:val="0"/>
            <w:vAlign w:val="center"/>
          </w:tcPr>
          <w:p>
            <w:pPr>
              <w:spacing w:line="360" w:lineRule="exact"/>
              <w:rPr>
                <w:rFonts w:ascii="宋体" w:hAnsi="宋体"/>
              </w:rPr>
            </w:pPr>
          </w:p>
        </w:tc>
        <w:tc>
          <w:tcPr>
            <w:tcW w:w="5580" w:type="dxa"/>
            <w:gridSpan w:val="4"/>
            <w:tcBorders>
              <w:top w:val="single" w:color="auto" w:sz="4" w:space="0"/>
              <w:left w:val="single" w:color="auto" w:sz="4" w:space="0"/>
              <w:bottom w:val="single" w:color="auto" w:sz="12" w:space="0"/>
              <w:right w:val="single" w:color="auto" w:sz="4" w:space="0"/>
            </w:tcBorders>
            <w:noWrap w:val="0"/>
            <w:vAlign w:val="center"/>
          </w:tcPr>
          <w:p>
            <w:pPr>
              <w:spacing w:line="360" w:lineRule="exact"/>
              <w:rPr>
                <w:rFonts w:ascii="宋体" w:hAnsi="宋体"/>
              </w:rPr>
            </w:pPr>
          </w:p>
        </w:tc>
        <w:tc>
          <w:tcPr>
            <w:tcW w:w="3037" w:type="dxa"/>
            <w:gridSpan w:val="2"/>
            <w:tcBorders>
              <w:top w:val="single" w:color="auto" w:sz="4" w:space="0"/>
              <w:left w:val="single" w:color="auto" w:sz="4" w:space="0"/>
              <w:bottom w:val="single" w:color="auto" w:sz="12" w:space="0"/>
              <w:right w:val="single" w:color="auto" w:sz="12" w:space="0"/>
            </w:tcBorders>
            <w:noWrap w:val="0"/>
            <w:vAlign w:val="center"/>
          </w:tcPr>
          <w:p>
            <w:pPr>
              <w:spacing w:line="360" w:lineRule="exact"/>
              <w:rPr>
                <w:rFonts w:ascii="宋体" w:hAnsi="宋体"/>
              </w:rPr>
            </w:pPr>
          </w:p>
        </w:tc>
      </w:tr>
    </w:tbl>
    <w:p>
      <w:pPr>
        <w:spacing w:line="360" w:lineRule="exact"/>
        <w:ind w:left="770" w:hanging="770" w:hangingChars="350"/>
        <w:rPr>
          <w:rFonts w:ascii="宋体" w:hAnsi="宋体"/>
          <w:sz w:val="22"/>
        </w:rPr>
      </w:pPr>
      <w:r>
        <w:rPr>
          <w:rFonts w:hint="eastAsia" w:ascii="宋体" w:hAnsi="宋体"/>
          <w:sz w:val="22"/>
        </w:rPr>
        <w:t>注：1、本表应附相关证书、社保等证明。</w:t>
      </w:r>
    </w:p>
    <w:p>
      <w:pPr>
        <w:pStyle w:val="24"/>
        <w:spacing w:line="400" w:lineRule="atLeast"/>
        <w:ind w:left="4618" w:leftChars="156" w:hanging="4290" w:hangingChars="1950"/>
        <w:rPr>
          <w:rFonts w:hAnsi="宋体"/>
          <w:sz w:val="22"/>
        </w:rPr>
      </w:pPr>
      <w:r>
        <w:rPr>
          <w:rFonts w:hint="eastAsia" w:hAnsi="宋体"/>
          <w:sz w:val="22"/>
        </w:rPr>
        <w:t xml:space="preserve">2、本表可在不改变格式的情况下根据具体需要自行增减。 </w:t>
      </w:r>
    </w:p>
    <w:p>
      <w:pPr>
        <w:pStyle w:val="24"/>
        <w:spacing w:line="400" w:lineRule="atLeast"/>
        <w:ind w:left="4618" w:leftChars="156" w:hanging="4290" w:hangingChars="1950"/>
        <w:rPr>
          <w:rFonts w:hAnsi="宋体"/>
          <w:sz w:val="22"/>
        </w:rPr>
      </w:pPr>
    </w:p>
    <w:p>
      <w:pPr>
        <w:pStyle w:val="24"/>
        <w:spacing w:line="360" w:lineRule="auto"/>
        <w:rPr>
          <w:rFonts w:hAnsi="宋体"/>
          <w:sz w:val="22"/>
          <w:szCs w:val="22"/>
        </w:rPr>
      </w:pPr>
      <w:bookmarkStart w:id="244" w:name="_Toc301515381"/>
      <w:r>
        <w:rPr>
          <w:rFonts w:hAnsi="宋体"/>
          <w:sz w:val="22"/>
          <w:szCs w:val="22"/>
        </w:rPr>
        <w:t>投标供应商全称（盖章）：</w:t>
      </w:r>
    </w:p>
    <w:p>
      <w:pPr>
        <w:pStyle w:val="24"/>
        <w:spacing w:line="360" w:lineRule="auto"/>
        <w:rPr>
          <w:rFonts w:hAnsi="宋体"/>
          <w:sz w:val="22"/>
          <w:szCs w:val="22"/>
        </w:rPr>
      </w:pPr>
      <w:r>
        <w:rPr>
          <w:rFonts w:hAnsi="宋体"/>
          <w:sz w:val="22"/>
          <w:szCs w:val="22"/>
        </w:rPr>
        <w:t>法定代表人或授权代表（签字</w:t>
      </w:r>
      <w:r>
        <w:rPr>
          <w:rFonts w:hint="eastAsia" w:hAnsi="宋体"/>
          <w:sz w:val="22"/>
          <w:szCs w:val="22"/>
        </w:rPr>
        <w:t>或盖章</w:t>
      </w:r>
      <w:r>
        <w:rPr>
          <w:rFonts w:hAnsi="宋体"/>
          <w:sz w:val="22"/>
          <w:szCs w:val="22"/>
        </w:rPr>
        <w:t>）：</w:t>
      </w:r>
    </w:p>
    <w:p>
      <w:pPr>
        <w:pStyle w:val="24"/>
        <w:spacing w:line="360" w:lineRule="auto"/>
        <w:rPr>
          <w:rFonts w:hAnsi="宋体"/>
          <w:sz w:val="22"/>
          <w:szCs w:val="22"/>
        </w:rPr>
      </w:pPr>
      <w:r>
        <w:rPr>
          <w:rFonts w:hAnsi="宋体"/>
          <w:sz w:val="22"/>
          <w:szCs w:val="22"/>
        </w:rPr>
        <w:t>日 期：       年      月      日</w:t>
      </w:r>
    </w:p>
    <w:p>
      <w:pPr>
        <w:pStyle w:val="39"/>
        <w:jc w:val="left"/>
        <w:rPr>
          <w:rFonts w:ascii="宋体" w:hAnsi="宋体" w:cs="宋体"/>
          <w:b w:val="0"/>
          <w:sz w:val="22"/>
          <w:szCs w:val="22"/>
        </w:rPr>
      </w:pPr>
    </w:p>
    <w:p>
      <w:pPr>
        <w:widowControl/>
        <w:jc w:val="center"/>
        <w:rPr>
          <w:rFonts w:ascii="宋体" w:hAnsi="宋体"/>
          <w:b/>
          <w:sz w:val="28"/>
          <w:szCs w:val="28"/>
        </w:rPr>
      </w:pPr>
      <w:r>
        <w:rPr>
          <w:rFonts w:ascii="宋体" w:hAnsi="宋体"/>
          <w:b/>
          <w:sz w:val="28"/>
          <w:szCs w:val="28"/>
        </w:rPr>
        <w:br w:type="page"/>
      </w:r>
      <w:r>
        <w:rPr>
          <w:rFonts w:hint="eastAsia" w:ascii="宋体" w:hAnsi="宋体"/>
          <w:b/>
          <w:sz w:val="28"/>
          <w:szCs w:val="28"/>
        </w:rPr>
        <w:t>（2）项目组人员一览表</w:t>
      </w:r>
      <w:bookmarkEnd w:id="244"/>
    </w:p>
    <w:p>
      <w:pPr>
        <w:rPr>
          <w:rFonts w:ascii="宋体" w:hAnsi="宋体"/>
        </w:rPr>
      </w:pPr>
    </w:p>
    <w:p>
      <w:pPr>
        <w:spacing w:line="360" w:lineRule="exact"/>
        <w:rPr>
          <w:rFonts w:ascii="宋体" w:hAnsi="宋体"/>
        </w:rPr>
      </w:pPr>
      <w:r>
        <w:rPr>
          <w:rFonts w:hint="eastAsia" w:ascii="宋体" w:hAnsi="宋体"/>
          <w:sz w:val="22"/>
        </w:rPr>
        <w:t>项目名称：                                        项目编号：</w:t>
      </w:r>
    </w:p>
    <w:tbl>
      <w:tblPr>
        <w:tblStyle w:val="41"/>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014"/>
        <w:gridCol w:w="1013"/>
        <w:gridCol w:w="1340"/>
        <w:gridCol w:w="1316"/>
        <w:gridCol w:w="1391"/>
        <w:gridCol w:w="1435"/>
        <w:gridCol w:w="14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910" w:type="dxa"/>
            <w:tcBorders>
              <w:top w:val="single" w:color="auto" w:sz="12" w:space="0"/>
              <w:left w:val="single" w:color="auto" w:sz="12" w:space="0"/>
              <w:bottom w:val="single" w:color="auto" w:sz="4" w:space="0"/>
              <w:right w:val="single" w:color="auto" w:sz="4" w:space="0"/>
            </w:tcBorders>
            <w:noWrap w:val="0"/>
            <w:vAlign w:val="center"/>
          </w:tcPr>
          <w:p>
            <w:pPr>
              <w:spacing w:line="300" w:lineRule="exact"/>
              <w:jc w:val="center"/>
              <w:rPr>
                <w:rFonts w:ascii="宋体" w:hAnsi="宋体"/>
                <w:sz w:val="22"/>
                <w:szCs w:val="22"/>
              </w:rPr>
            </w:pPr>
            <w:r>
              <w:rPr>
                <w:rFonts w:hint="eastAsia" w:ascii="宋体" w:hAnsi="宋体"/>
                <w:sz w:val="22"/>
                <w:szCs w:val="22"/>
              </w:rPr>
              <w:t>姓名</w:t>
            </w:r>
          </w:p>
        </w:tc>
        <w:tc>
          <w:tcPr>
            <w:tcW w:w="1014" w:type="dxa"/>
            <w:tcBorders>
              <w:top w:val="single" w:color="auto" w:sz="12"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 w:val="22"/>
                <w:szCs w:val="22"/>
              </w:rPr>
            </w:pPr>
            <w:r>
              <w:rPr>
                <w:rFonts w:hint="eastAsia" w:ascii="宋体" w:hAnsi="宋体"/>
                <w:sz w:val="22"/>
                <w:szCs w:val="22"/>
              </w:rPr>
              <w:t>性别</w:t>
            </w:r>
          </w:p>
        </w:tc>
        <w:tc>
          <w:tcPr>
            <w:tcW w:w="1013" w:type="dxa"/>
            <w:tcBorders>
              <w:top w:val="single" w:color="auto" w:sz="12"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 w:val="22"/>
                <w:szCs w:val="22"/>
              </w:rPr>
            </w:pPr>
            <w:r>
              <w:rPr>
                <w:rFonts w:hint="eastAsia" w:ascii="宋体" w:hAnsi="宋体"/>
                <w:sz w:val="22"/>
                <w:szCs w:val="22"/>
              </w:rPr>
              <w:t>年龄</w:t>
            </w:r>
          </w:p>
        </w:tc>
        <w:tc>
          <w:tcPr>
            <w:tcW w:w="1340" w:type="dxa"/>
            <w:tcBorders>
              <w:top w:val="single" w:color="auto" w:sz="12"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 w:val="22"/>
                <w:szCs w:val="22"/>
              </w:rPr>
            </w:pPr>
            <w:r>
              <w:rPr>
                <w:rFonts w:hint="eastAsia" w:ascii="宋体" w:hAnsi="宋体"/>
                <w:sz w:val="22"/>
                <w:szCs w:val="22"/>
              </w:rPr>
              <w:t>学历/职称</w:t>
            </w:r>
          </w:p>
        </w:tc>
        <w:tc>
          <w:tcPr>
            <w:tcW w:w="1316" w:type="dxa"/>
            <w:tcBorders>
              <w:top w:val="single" w:color="auto" w:sz="12"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 w:val="22"/>
                <w:szCs w:val="22"/>
              </w:rPr>
            </w:pPr>
            <w:r>
              <w:rPr>
                <w:rFonts w:hint="eastAsia" w:ascii="宋体" w:hAnsi="宋体"/>
                <w:sz w:val="22"/>
                <w:szCs w:val="22"/>
              </w:rPr>
              <w:t>专业</w:t>
            </w:r>
          </w:p>
        </w:tc>
        <w:tc>
          <w:tcPr>
            <w:tcW w:w="1391" w:type="dxa"/>
            <w:tcBorders>
              <w:top w:val="single" w:color="auto" w:sz="12" w:space="0"/>
              <w:left w:val="single" w:color="auto" w:sz="4" w:space="0"/>
              <w:bottom w:val="single" w:color="auto" w:sz="4" w:space="0"/>
              <w:right w:val="single" w:color="auto" w:sz="4" w:space="0"/>
            </w:tcBorders>
            <w:noWrap w:val="0"/>
            <w:vAlign w:val="center"/>
          </w:tcPr>
          <w:p>
            <w:pPr>
              <w:spacing w:line="300" w:lineRule="exact"/>
              <w:rPr>
                <w:rFonts w:ascii="宋体" w:hAnsi="宋体"/>
                <w:sz w:val="22"/>
                <w:szCs w:val="22"/>
              </w:rPr>
            </w:pPr>
            <w:r>
              <w:rPr>
                <w:rFonts w:hint="eastAsia" w:ascii="宋体" w:hAnsi="宋体"/>
                <w:sz w:val="22"/>
                <w:szCs w:val="22"/>
              </w:rPr>
              <w:t>专业工作年限</w:t>
            </w:r>
          </w:p>
        </w:tc>
        <w:tc>
          <w:tcPr>
            <w:tcW w:w="1435" w:type="dxa"/>
            <w:tcBorders>
              <w:top w:val="single" w:color="auto" w:sz="12"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 w:val="22"/>
                <w:szCs w:val="22"/>
              </w:rPr>
            </w:pPr>
            <w:r>
              <w:rPr>
                <w:rFonts w:hint="eastAsia" w:ascii="宋体" w:hAnsi="宋体"/>
                <w:sz w:val="22"/>
                <w:szCs w:val="22"/>
              </w:rPr>
              <w:t>拟任何职</w:t>
            </w:r>
          </w:p>
        </w:tc>
        <w:tc>
          <w:tcPr>
            <w:tcW w:w="1435" w:type="dxa"/>
            <w:tcBorders>
              <w:top w:val="single" w:color="auto" w:sz="12" w:space="0"/>
              <w:left w:val="single" w:color="auto" w:sz="4" w:space="0"/>
              <w:bottom w:val="single" w:color="auto" w:sz="4" w:space="0"/>
              <w:right w:val="single" w:color="auto" w:sz="12" w:space="0"/>
            </w:tcBorders>
            <w:noWrap w:val="0"/>
            <w:vAlign w:val="center"/>
          </w:tcPr>
          <w:p>
            <w:pPr>
              <w:spacing w:line="300" w:lineRule="exact"/>
              <w:jc w:val="center"/>
              <w:rPr>
                <w:rFonts w:ascii="宋体" w:hAnsi="宋体"/>
                <w:sz w:val="22"/>
                <w:szCs w:val="22"/>
              </w:rPr>
            </w:pPr>
            <w:r>
              <w:rPr>
                <w:rFonts w:ascii="宋体" w:hAnsi="宋体"/>
                <w:sz w:val="22"/>
                <w:szCs w:val="22"/>
              </w:rPr>
              <w:t>是否常驻</w:t>
            </w:r>
            <w:r>
              <w:rPr>
                <w:rFonts w:hint="eastAsia" w:ascii="宋体" w:hAnsi="宋体"/>
                <w:sz w:val="22"/>
                <w:szCs w:val="22"/>
              </w:rPr>
              <w:t>（填：是或否）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12" w:space="0"/>
              <w:right w:val="single" w:color="auto" w:sz="4" w:space="0"/>
            </w:tcBorders>
            <w:noWrap w:val="0"/>
            <w:vAlign w:val="center"/>
          </w:tcPr>
          <w:p>
            <w:pPr>
              <w:spacing w:line="360" w:lineRule="exact"/>
              <w:jc w:val="center"/>
              <w:rPr>
                <w:rFonts w:ascii="宋体" w:hAnsi="宋体"/>
                <w:sz w:val="22"/>
                <w:szCs w:val="22"/>
              </w:rPr>
            </w:pPr>
          </w:p>
        </w:tc>
        <w:tc>
          <w:tcPr>
            <w:tcW w:w="1014" w:type="dxa"/>
            <w:tcBorders>
              <w:top w:val="single" w:color="auto" w:sz="4" w:space="0"/>
              <w:left w:val="single" w:color="auto" w:sz="4" w:space="0"/>
              <w:bottom w:val="single" w:color="auto" w:sz="12" w:space="0"/>
              <w:right w:val="single" w:color="auto" w:sz="4" w:space="0"/>
            </w:tcBorders>
            <w:noWrap w:val="0"/>
            <w:vAlign w:val="center"/>
          </w:tcPr>
          <w:p>
            <w:pPr>
              <w:spacing w:line="360" w:lineRule="exact"/>
              <w:jc w:val="center"/>
              <w:rPr>
                <w:rFonts w:ascii="宋体" w:hAnsi="宋体"/>
                <w:sz w:val="22"/>
                <w:szCs w:val="22"/>
              </w:rPr>
            </w:pPr>
          </w:p>
        </w:tc>
        <w:tc>
          <w:tcPr>
            <w:tcW w:w="1013" w:type="dxa"/>
            <w:tcBorders>
              <w:top w:val="single" w:color="auto" w:sz="4" w:space="0"/>
              <w:left w:val="single" w:color="auto" w:sz="4" w:space="0"/>
              <w:bottom w:val="single" w:color="auto" w:sz="12" w:space="0"/>
              <w:right w:val="single" w:color="auto" w:sz="4" w:space="0"/>
            </w:tcBorders>
            <w:noWrap w:val="0"/>
            <w:vAlign w:val="center"/>
          </w:tcPr>
          <w:p>
            <w:pPr>
              <w:spacing w:line="360" w:lineRule="exact"/>
              <w:jc w:val="center"/>
              <w:rPr>
                <w:rFonts w:ascii="宋体" w:hAnsi="宋体"/>
                <w:sz w:val="22"/>
                <w:szCs w:val="22"/>
              </w:rPr>
            </w:pPr>
          </w:p>
        </w:tc>
        <w:tc>
          <w:tcPr>
            <w:tcW w:w="1340" w:type="dxa"/>
            <w:tcBorders>
              <w:top w:val="single" w:color="auto" w:sz="4" w:space="0"/>
              <w:left w:val="single" w:color="auto" w:sz="4" w:space="0"/>
              <w:bottom w:val="single" w:color="auto" w:sz="12" w:space="0"/>
              <w:right w:val="single" w:color="auto" w:sz="4" w:space="0"/>
            </w:tcBorders>
            <w:noWrap w:val="0"/>
            <w:vAlign w:val="center"/>
          </w:tcPr>
          <w:p>
            <w:pPr>
              <w:spacing w:line="360" w:lineRule="exact"/>
              <w:jc w:val="center"/>
              <w:rPr>
                <w:rFonts w:ascii="宋体" w:hAnsi="宋体"/>
                <w:sz w:val="22"/>
                <w:szCs w:val="22"/>
              </w:rPr>
            </w:pPr>
          </w:p>
        </w:tc>
        <w:tc>
          <w:tcPr>
            <w:tcW w:w="1316" w:type="dxa"/>
            <w:tcBorders>
              <w:top w:val="single" w:color="auto" w:sz="4" w:space="0"/>
              <w:left w:val="single" w:color="auto" w:sz="4" w:space="0"/>
              <w:bottom w:val="single" w:color="auto" w:sz="12" w:space="0"/>
              <w:right w:val="single" w:color="auto" w:sz="4" w:space="0"/>
            </w:tcBorders>
            <w:noWrap w:val="0"/>
            <w:vAlign w:val="center"/>
          </w:tcPr>
          <w:p>
            <w:pPr>
              <w:spacing w:line="360" w:lineRule="exact"/>
              <w:jc w:val="center"/>
              <w:rPr>
                <w:rFonts w:ascii="宋体" w:hAnsi="宋体"/>
                <w:sz w:val="22"/>
                <w:szCs w:val="22"/>
              </w:rPr>
            </w:pPr>
          </w:p>
        </w:tc>
        <w:tc>
          <w:tcPr>
            <w:tcW w:w="1391" w:type="dxa"/>
            <w:tcBorders>
              <w:top w:val="single" w:color="auto" w:sz="4" w:space="0"/>
              <w:left w:val="single" w:color="auto" w:sz="4" w:space="0"/>
              <w:bottom w:val="single" w:color="auto" w:sz="12"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12" w:space="0"/>
              <w:right w:val="single" w:color="auto" w:sz="4" w:space="0"/>
            </w:tcBorders>
            <w:noWrap w:val="0"/>
            <w:vAlign w:val="center"/>
          </w:tcPr>
          <w:p>
            <w:pPr>
              <w:spacing w:line="360" w:lineRule="exact"/>
              <w:jc w:val="center"/>
              <w:rPr>
                <w:rFonts w:ascii="宋体" w:hAnsi="宋体"/>
                <w:sz w:val="22"/>
                <w:szCs w:val="22"/>
              </w:rPr>
            </w:pPr>
          </w:p>
        </w:tc>
        <w:tc>
          <w:tcPr>
            <w:tcW w:w="1435" w:type="dxa"/>
            <w:tcBorders>
              <w:top w:val="single" w:color="auto" w:sz="4" w:space="0"/>
              <w:left w:val="single" w:color="auto" w:sz="4" w:space="0"/>
              <w:bottom w:val="single" w:color="auto" w:sz="12" w:space="0"/>
              <w:right w:val="single" w:color="auto" w:sz="12" w:space="0"/>
            </w:tcBorders>
            <w:noWrap w:val="0"/>
            <w:vAlign w:val="center"/>
          </w:tcPr>
          <w:p>
            <w:pPr>
              <w:spacing w:line="360" w:lineRule="exact"/>
              <w:jc w:val="center"/>
              <w:rPr>
                <w:rFonts w:ascii="宋体" w:hAnsi="宋体"/>
                <w:sz w:val="22"/>
                <w:szCs w:val="22"/>
              </w:rPr>
            </w:pPr>
          </w:p>
        </w:tc>
      </w:tr>
    </w:tbl>
    <w:p>
      <w:pPr>
        <w:spacing w:line="360" w:lineRule="exact"/>
        <w:ind w:left="660" w:hanging="660" w:hangingChars="300"/>
        <w:rPr>
          <w:rFonts w:ascii="宋体" w:hAnsi="宋体"/>
          <w:sz w:val="22"/>
        </w:rPr>
      </w:pPr>
      <w:r>
        <w:rPr>
          <w:rFonts w:hint="eastAsia" w:ascii="宋体" w:hAnsi="宋体"/>
          <w:sz w:val="22"/>
        </w:rPr>
        <w:t>注：1、本表应附所列项目组成员相关证书、社保等证明。</w:t>
      </w:r>
    </w:p>
    <w:p>
      <w:pPr>
        <w:pStyle w:val="24"/>
        <w:tabs>
          <w:tab w:val="left" w:pos="0"/>
          <w:tab w:val="left" w:pos="540"/>
        </w:tabs>
        <w:spacing w:line="300" w:lineRule="auto"/>
        <w:ind w:left="438" w:leftChars="156" w:hanging="110" w:hangingChars="50"/>
        <w:rPr>
          <w:rFonts w:hAnsi="宋体"/>
          <w:sz w:val="22"/>
          <w:szCs w:val="22"/>
        </w:rPr>
      </w:pPr>
      <w:r>
        <w:rPr>
          <w:rFonts w:hint="eastAsia" w:hAnsi="宋体"/>
          <w:sz w:val="22"/>
          <w:szCs w:val="22"/>
        </w:rPr>
        <w:t>2、此表仅提供了表格形式，可按此表格复制。</w:t>
      </w:r>
    </w:p>
    <w:p>
      <w:pPr>
        <w:pStyle w:val="24"/>
        <w:tabs>
          <w:tab w:val="left" w:pos="0"/>
          <w:tab w:val="left" w:pos="540"/>
        </w:tabs>
        <w:spacing w:line="300" w:lineRule="auto"/>
        <w:ind w:left="438" w:leftChars="156" w:hanging="110" w:hangingChars="50"/>
        <w:rPr>
          <w:rFonts w:hAnsi="宋体"/>
          <w:sz w:val="22"/>
          <w:szCs w:val="22"/>
        </w:rPr>
      </w:pPr>
    </w:p>
    <w:p>
      <w:pPr>
        <w:pStyle w:val="24"/>
        <w:spacing w:line="360" w:lineRule="auto"/>
        <w:rPr>
          <w:rFonts w:hAnsi="宋体"/>
          <w:sz w:val="22"/>
          <w:szCs w:val="22"/>
        </w:rPr>
      </w:pPr>
      <w:r>
        <w:rPr>
          <w:rFonts w:hAnsi="宋体"/>
          <w:sz w:val="22"/>
          <w:szCs w:val="22"/>
        </w:rPr>
        <w:t>投标供应商全称（盖章）：</w:t>
      </w:r>
    </w:p>
    <w:p>
      <w:pPr>
        <w:pStyle w:val="24"/>
        <w:spacing w:line="360" w:lineRule="auto"/>
        <w:rPr>
          <w:rFonts w:hAnsi="宋体"/>
          <w:sz w:val="22"/>
          <w:szCs w:val="22"/>
        </w:rPr>
      </w:pPr>
      <w:r>
        <w:rPr>
          <w:rFonts w:hAnsi="宋体"/>
          <w:sz w:val="22"/>
          <w:szCs w:val="22"/>
        </w:rPr>
        <w:t>法定代表人或授权代表（签字</w:t>
      </w:r>
      <w:r>
        <w:rPr>
          <w:rFonts w:hint="eastAsia" w:hAnsi="宋体"/>
          <w:sz w:val="22"/>
          <w:szCs w:val="22"/>
        </w:rPr>
        <w:t>或盖章</w:t>
      </w:r>
      <w:r>
        <w:rPr>
          <w:rFonts w:hAnsi="宋体"/>
          <w:sz w:val="22"/>
          <w:szCs w:val="22"/>
        </w:rPr>
        <w:t>）：</w:t>
      </w:r>
    </w:p>
    <w:p>
      <w:pPr>
        <w:pStyle w:val="24"/>
        <w:spacing w:line="360" w:lineRule="auto"/>
        <w:rPr>
          <w:rFonts w:hAnsi="宋体"/>
          <w:sz w:val="22"/>
          <w:szCs w:val="22"/>
        </w:rPr>
      </w:pPr>
      <w:r>
        <w:rPr>
          <w:rFonts w:hAnsi="宋体"/>
          <w:sz w:val="22"/>
          <w:szCs w:val="22"/>
        </w:rPr>
        <w:t>日 期：       年      月      日</w:t>
      </w:r>
    </w:p>
    <w:p>
      <w:pPr>
        <w:rPr>
          <w:rFonts w:ascii="宋体" w:hAnsi="宋体"/>
          <w:sz w:val="22"/>
          <w:szCs w:val="22"/>
        </w:rPr>
      </w:pPr>
      <w:r>
        <w:rPr>
          <w:rFonts w:ascii="宋体" w:hAnsi="宋体"/>
          <w:sz w:val="22"/>
          <w:szCs w:val="22"/>
        </w:rPr>
        <w:br w:type="page"/>
      </w:r>
    </w:p>
    <w:p>
      <w:pPr>
        <w:pStyle w:val="39"/>
        <w:rPr>
          <w:rFonts w:ascii="宋体" w:hAnsi="宋体" w:cs="新宋体"/>
          <w:sz w:val="30"/>
          <w:szCs w:val="30"/>
        </w:rPr>
      </w:pPr>
      <w:bookmarkStart w:id="245" w:name="_Toc97033076"/>
      <w:r>
        <w:rPr>
          <w:rFonts w:hint="eastAsia" w:ascii="宋体" w:hAnsi="宋体" w:cs="新宋体"/>
          <w:sz w:val="30"/>
          <w:szCs w:val="30"/>
        </w:rPr>
        <w:t>第七部分 评标定标办法</w:t>
      </w:r>
      <w:bookmarkEnd w:id="91"/>
      <w:bookmarkEnd w:id="92"/>
      <w:bookmarkEnd w:id="93"/>
      <w:bookmarkEnd w:id="245"/>
    </w:p>
    <w:p>
      <w:pPr>
        <w:tabs>
          <w:tab w:val="left" w:pos="8820"/>
        </w:tabs>
        <w:adjustRightInd w:val="0"/>
        <w:snapToGrid w:val="0"/>
        <w:spacing w:before="100" w:after="50" w:line="460" w:lineRule="atLeast"/>
        <w:ind w:firstLine="440" w:firstLineChars="200"/>
        <w:rPr>
          <w:rFonts w:ascii="宋体" w:hAnsi="宋体" w:cs="新宋体"/>
          <w:sz w:val="22"/>
          <w:szCs w:val="22"/>
        </w:rPr>
      </w:pPr>
      <w:r>
        <w:rPr>
          <w:rFonts w:hint="eastAsia" w:ascii="宋体" w:hAnsi="宋体" w:cs="新宋体"/>
          <w:sz w:val="22"/>
          <w:szCs w:val="22"/>
        </w:rPr>
        <w:t>根据《中华人民共和国政府采购法》等有关政府采购法规，结合本次所要采购服务的实际，按照公平、公正、科学、择优的原则选择中标供应商，特制定本评标办法。</w:t>
      </w:r>
    </w:p>
    <w:p>
      <w:pPr>
        <w:adjustRightInd w:val="0"/>
        <w:snapToGrid w:val="0"/>
        <w:spacing w:before="156" w:beforeLines="50" w:after="50" w:line="460" w:lineRule="atLeast"/>
        <w:jc w:val="center"/>
        <w:rPr>
          <w:rFonts w:ascii="宋体" w:hAnsi="宋体" w:cs="新宋体"/>
          <w:bCs/>
          <w:sz w:val="22"/>
          <w:szCs w:val="22"/>
        </w:rPr>
      </w:pPr>
      <w:r>
        <w:rPr>
          <w:rFonts w:hint="eastAsia" w:ascii="宋体" w:hAnsi="宋体" w:cs="新宋体"/>
          <w:bCs/>
          <w:sz w:val="22"/>
          <w:szCs w:val="22"/>
        </w:rPr>
        <w:t>一、总则</w:t>
      </w:r>
    </w:p>
    <w:p>
      <w:pPr>
        <w:pStyle w:val="26"/>
        <w:adjustRightInd w:val="0"/>
        <w:snapToGrid w:val="0"/>
        <w:spacing w:before="100" w:after="50" w:line="460" w:lineRule="atLeast"/>
        <w:rPr>
          <w:rFonts w:eastAsia="宋体" w:cs="新宋体"/>
          <w:b w:val="0"/>
          <w:color w:val="auto"/>
          <w:sz w:val="22"/>
          <w:szCs w:val="22"/>
        </w:rPr>
      </w:pPr>
      <w:r>
        <w:rPr>
          <w:rFonts w:hint="eastAsia" w:eastAsia="宋体" w:cs="新宋体"/>
          <w:b w:val="0"/>
          <w:color w:val="auto"/>
          <w:sz w:val="22"/>
          <w:szCs w:val="22"/>
        </w:rPr>
        <w:t>评标工作遵循公平、公正、民主、科学的原则和诚实、信誉、效率的服务原则。本着科学、严谨的态度，认真进行评标。择优选定服务供应商，确保服务质量，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before="156" w:beforeLines="50" w:after="50" w:line="460" w:lineRule="atLeast"/>
        <w:jc w:val="center"/>
        <w:rPr>
          <w:rFonts w:ascii="宋体" w:hAnsi="宋体" w:cs="新宋体"/>
          <w:bCs/>
          <w:sz w:val="22"/>
          <w:szCs w:val="22"/>
        </w:rPr>
      </w:pPr>
      <w:r>
        <w:rPr>
          <w:rFonts w:hint="eastAsia" w:ascii="宋体" w:hAnsi="宋体" w:cs="新宋体"/>
          <w:bCs/>
          <w:sz w:val="22"/>
          <w:szCs w:val="22"/>
        </w:rPr>
        <w:t>二、评标组织</w:t>
      </w:r>
    </w:p>
    <w:p>
      <w:pPr>
        <w:pStyle w:val="26"/>
        <w:adjustRightInd w:val="0"/>
        <w:snapToGrid w:val="0"/>
        <w:spacing w:before="100" w:after="50" w:line="460" w:lineRule="atLeast"/>
        <w:rPr>
          <w:rFonts w:eastAsia="宋体" w:cs="新宋体"/>
          <w:b w:val="0"/>
          <w:color w:val="auto"/>
          <w:sz w:val="22"/>
          <w:szCs w:val="22"/>
        </w:rPr>
      </w:pPr>
      <w:r>
        <w:rPr>
          <w:rFonts w:hint="eastAsia" w:eastAsia="宋体" w:cs="新宋体"/>
          <w:b w:val="0"/>
          <w:color w:val="auto"/>
          <w:sz w:val="22"/>
          <w:szCs w:val="22"/>
        </w:rPr>
        <w:t>评标工作由采购人依法组建的评标委员会负责，评标委员会由采购人代表以及评标专家库中随机抽取的有关技术、经济专家共同组成。评标全过程由采购管理部门监督整个开标、评标和定标过程。</w:t>
      </w:r>
    </w:p>
    <w:p>
      <w:pPr>
        <w:pStyle w:val="84"/>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460" w:lineRule="atLeast"/>
        <w:textAlignment w:val="auto"/>
        <w:rPr>
          <w:rFonts w:ascii="宋体" w:hAnsi="宋体" w:cs="新宋体"/>
          <w:b w:val="0"/>
          <w:kern w:val="2"/>
          <w:sz w:val="22"/>
          <w:szCs w:val="22"/>
        </w:rPr>
      </w:pPr>
      <w:r>
        <w:rPr>
          <w:rFonts w:hint="eastAsia" w:ascii="宋体" w:hAnsi="宋体" w:cs="新宋体"/>
          <w:b w:val="0"/>
          <w:kern w:val="2"/>
          <w:sz w:val="22"/>
          <w:szCs w:val="22"/>
        </w:rPr>
        <w:t>三、评标程序</w:t>
      </w:r>
    </w:p>
    <w:p>
      <w:pPr>
        <w:adjustRightInd w:val="0"/>
        <w:snapToGrid w:val="0"/>
        <w:spacing w:before="100" w:after="50" w:line="460" w:lineRule="atLeast"/>
        <w:ind w:firstLine="440" w:firstLineChars="200"/>
        <w:rPr>
          <w:rFonts w:ascii="宋体" w:hAnsi="宋体" w:cs="新宋体"/>
          <w:sz w:val="22"/>
          <w:szCs w:val="22"/>
        </w:rPr>
      </w:pPr>
      <w:r>
        <w:rPr>
          <w:rFonts w:hint="eastAsia" w:ascii="宋体" w:hAnsi="宋体" w:cs="新宋体"/>
          <w:sz w:val="22"/>
          <w:szCs w:val="22"/>
        </w:rPr>
        <w:t>1、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pPr>
        <w:pStyle w:val="8"/>
        <w:adjustRightInd w:val="0"/>
        <w:snapToGrid w:val="0"/>
        <w:spacing w:before="156" w:beforeLines="50" w:after="50" w:line="460" w:lineRule="atLeast"/>
        <w:ind w:firstLine="440"/>
        <w:rPr>
          <w:rFonts w:ascii="宋体" w:eastAsia="宋体" w:cs="新宋体"/>
          <w:b w:val="0"/>
          <w:color w:val="auto"/>
          <w:sz w:val="22"/>
          <w:szCs w:val="22"/>
        </w:rPr>
      </w:pPr>
      <w:r>
        <w:rPr>
          <w:rFonts w:hint="eastAsia" w:ascii="宋体" w:eastAsia="宋体" w:cs="新宋体"/>
          <w:b w:val="0"/>
          <w:color w:val="auto"/>
          <w:sz w:val="22"/>
          <w:szCs w:val="22"/>
        </w:rPr>
        <w:t>2、由评标委员会根据评审报告推荐综合得分第一名的供应商为中标人。如果第一名得分相同，以报价低的优先；报价也相同，以抽签随机决定。</w:t>
      </w:r>
    </w:p>
    <w:p>
      <w:pPr>
        <w:pStyle w:val="8"/>
        <w:adjustRightInd w:val="0"/>
        <w:snapToGrid w:val="0"/>
        <w:spacing w:before="156" w:beforeLines="50" w:after="50" w:line="460" w:lineRule="atLeast"/>
        <w:ind w:firstLine="440"/>
        <w:rPr>
          <w:rFonts w:ascii="宋体" w:eastAsia="宋体" w:cs="新宋体"/>
          <w:b w:val="0"/>
          <w:color w:val="auto"/>
          <w:sz w:val="22"/>
          <w:szCs w:val="22"/>
        </w:rPr>
      </w:pPr>
      <w:r>
        <w:rPr>
          <w:rFonts w:hint="eastAsia" w:ascii="宋体" w:eastAsia="宋体" w:cs="新宋体"/>
          <w:b w:val="0"/>
          <w:color w:val="auto"/>
          <w:sz w:val="22"/>
          <w:szCs w:val="22"/>
        </w:rPr>
        <w:t xml:space="preserve">3、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pPr>
        <w:pStyle w:val="8"/>
        <w:adjustRightInd w:val="0"/>
        <w:snapToGrid w:val="0"/>
        <w:spacing w:before="156" w:beforeLines="50" w:after="50" w:line="460" w:lineRule="atLeast"/>
        <w:ind w:firstLine="440"/>
        <w:rPr>
          <w:rFonts w:ascii="宋体" w:eastAsia="宋体" w:cs="新宋体"/>
          <w:b w:val="0"/>
          <w:color w:val="auto"/>
          <w:sz w:val="22"/>
          <w:szCs w:val="22"/>
        </w:rPr>
      </w:pPr>
      <w:r>
        <w:rPr>
          <w:rFonts w:hint="eastAsia" w:ascii="宋体" w:eastAsia="宋体" w:cs="新宋体"/>
          <w:b w:val="0"/>
          <w:color w:val="auto"/>
          <w:sz w:val="22"/>
          <w:szCs w:val="22"/>
        </w:rPr>
        <w:t>4、如果无候选供应商，或者侯选供应商因前款规定的同样原因不能签订合同的，本次采购失败，重新组织采购。</w:t>
      </w:r>
    </w:p>
    <w:p>
      <w:pPr>
        <w:pStyle w:val="8"/>
        <w:adjustRightInd w:val="0"/>
        <w:snapToGrid w:val="0"/>
        <w:spacing w:before="156" w:beforeLines="50" w:after="50" w:line="460" w:lineRule="atLeast"/>
        <w:ind w:firstLine="440"/>
        <w:rPr>
          <w:rFonts w:ascii="宋体" w:eastAsia="宋体" w:cs="新宋体"/>
          <w:b w:val="0"/>
          <w:color w:val="auto"/>
          <w:sz w:val="22"/>
          <w:szCs w:val="22"/>
        </w:rPr>
      </w:pPr>
      <w:r>
        <w:rPr>
          <w:rFonts w:hint="eastAsia" w:ascii="宋体" w:eastAsia="宋体" w:cs="新宋体"/>
          <w:b w:val="0"/>
          <w:color w:val="auto"/>
          <w:sz w:val="22"/>
          <w:szCs w:val="22"/>
        </w:rPr>
        <w:t>5、其它参见本采购文件第三部分：“供应商须知” 中的相关内容。</w:t>
      </w:r>
    </w:p>
    <w:bookmarkEnd w:id="94"/>
    <w:p>
      <w:pPr>
        <w:spacing w:line="400" w:lineRule="exact"/>
        <w:rPr>
          <w:rFonts w:ascii="宋体" w:hAnsi="宋体" w:cs="新宋体"/>
          <w:szCs w:val="21"/>
        </w:rPr>
      </w:pPr>
    </w:p>
    <w:p>
      <w:pPr>
        <w:adjustRightInd w:val="0"/>
        <w:spacing w:before="100" w:after="50" w:line="460" w:lineRule="atLeast"/>
        <w:jc w:val="center"/>
        <w:rPr>
          <w:rFonts w:ascii="宋体" w:hAnsi="宋体" w:cs="新宋体"/>
          <w:b/>
          <w:bCs/>
          <w:sz w:val="22"/>
          <w:szCs w:val="22"/>
        </w:rPr>
      </w:pPr>
      <w:r>
        <w:rPr>
          <w:rFonts w:hint="eastAsia" w:ascii="宋体" w:hAnsi="宋体" w:cs="新宋体"/>
          <w:b/>
          <w:bCs/>
          <w:sz w:val="22"/>
          <w:szCs w:val="22"/>
        </w:rPr>
        <w:t>四、评分细则</w:t>
      </w:r>
    </w:p>
    <w:p>
      <w:pPr>
        <w:spacing w:line="460" w:lineRule="atLeast"/>
        <w:ind w:firstLine="440" w:firstLineChars="200"/>
        <w:rPr>
          <w:rFonts w:ascii="宋体" w:hAnsi="宋体" w:cs="新宋体"/>
          <w:sz w:val="22"/>
          <w:szCs w:val="22"/>
        </w:rPr>
      </w:pPr>
      <w:r>
        <w:rPr>
          <w:rFonts w:hint="eastAsia" w:ascii="宋体" w:hAnsi="宋体" w:cs="新宋体"/>
          <w:sz w:val="22"/>
          <w:szCs w:val="22"/>
        </w:rPr>
        <w:t>一、商务报价评分20分</w:t>
      </w:r>
    </w:p>
    <w:p>
      <w:pPr>
        <w:widowControl/>
        <w:autoSpaceDE w:val="0"/>
        <w:autoSpaceDN w:val="0"/>
        <w:adjustRightInd w:val="0"/>
        <w:spacing w:line="460" w:lineRule="atLeast"/>
        <w:ind w:firstLine="442" w:firstLineChars="200"/>
        <w:textAlignment w:val="bottom"/>
        <w:rPr>
          <w:rFonts w:ascii="宋体" w:hAnsi="宋体" w:cs="新宋体"/>
          <w:b/>
          <w:bCs/>
          <w:sz w:val="22"/>
          <w:szCs w:val="22"/>
        </w:rPr>
      </w:pPr>
      <w:r>
        <w:rPr>
          <w:rFonts w:hint="eastAsia" w:ascii="宋体" w:hAnsi="宋体" w:cs="新宋体"/>
          <w:b/>
          <w:bCs/>
          <w:sz w:val="22"/>
          <w:szCs w:val="22"/>
        </w:rPr>
        <w:t>1、以供应商有效投标价中的最低报价为评标基准价，得满分20分。商务报价评分结算公式为:投标报价得分=</w:t>
      </w:r>
      <w:bookmarkStart w:id="246" w:name="OLE_LINK1"/>
      <w:r>
        <w:rPr>
          <w:rFonts w:hint="eastAsia" w:ascii="宋体" w:hAnsi="宋体" w:cs="新宋体"/>
          <w:b/>
          <w:bCs/>
          <w:sz w:val="22"/>
          <w:szCs w:val="22"/>
        </w:rPr>
        <w:t>(评标基准价／投标报价)×20%×100</w:t>
      </w:r>
      <w:bookmarkEnd w:id="246"/>
      <w:r>
        <w:rPr>
          <w:rFonts w:hint="eastAsia" w:ascii="宋体" w:hAnsi="宋体" w:cs="新宋体"/>
          <w:b/>
          <w:bCs/>
          <w:sz w:val="22"/>
          <w:szCs w:val="22"/>
        </w:rPr>
        <w:t>。</w:t>
      </w:r>
    </w:p>
    <w:p>
      <w:pPr>
        <w:widowControl/>
        <w:autoSpaceDE w:val="0"/>
        <w:autoSpaceDN w:val="0"/>
        <w:adjustRightInd w:val="0"/>
        <w:spacing w:line="460" w:lineRule="atLeast"/>
        <w:ind w:left="437" w:leftChars="208"/>
        <w:textAlignment w:val="bottom"/>
        <w:rPr>
          <w:rFonts w:ascii="宋体" w:hAnsi="宋体" w:cs="新宋体"/>
          <w:b/>
          <w:bCs/>
          <w:sz w:val="22"/>
          <w:szCs w:val="22"/>
        </w:rPr>
      </w:pPr>
      <w:r>
        <w:rPr>
          <w:rFonts w:hint="eastAsia" w:ascii="宋体" w:hAnsi="宋体" w:cs="新宋体"/>
          <w:b/>
          <w:bCs/>
          <w:sz w:val="22"/>
          <w:szCs w:val="22"/>
        </w:rPr>
        <w:t>2、符合招标文件规定条件的小、微企业（或监狱企业、残疾人企业），给予评标价格折扣（20%），</w:t>
      </w:r>
    </w:p>
    <w:p>
      <w:pPr>
        <w:autoSpaceDE w:val="0"/>
        <w:autoSpaceDN w:val="0"/>
        <w:adjustRightInd w:val="0"/>
        <w:spacing w:line="460" w:lineRule="atLeast"/>
        <w:ind w:firstLine="442" w:firstLineChars="200"/>
        <w:rPr>
          <w:rFonts w:ascii="宋体" w:hAnsi="宋体" w:cs="新宋体"/>
          <w:sz w:val="22"/>
          <w:szCs w:val="22"/>
        </w:rPr>
      </w:pPr>
      <w:r>
        <w:rPr>
          <w:rFonts w:hint="eastAsia" w:ascii="宋体" w:hAnsi="宋体" w:cs="新宋体"/>
          <w:b/>
          <w:sz w:val="22"/>
          <w:szCs w:val="22"/>
          <w:u w:val="single"/>
        </w:rPr>
        <w:t>4、</w:t>
      </w:r>
      <w:r>
        <w:rPr>
          <w:rFonts w:hint="eastAsia" w:ascii="宋体" w:hAnsi="宋体" w:cs="新宋体"/>
          <w:b/>
          <w:sz w:val="22"/>
          <w:u w:val="single"/>
        </w:rPr>
        <w:t>本项目</w:t>
      </w:r>
      <w:r>
        <w:rPr>
          <w:rFonts w:hint="eastAsia" w:ascii="宋体" w:hAnsi="宋体" w:cs="新宋体"/>
          <w:b/>
          <w:sz w:val="22"/>
          <w:szCs w:val="22"/>
          <w:u w:val="single"/>
        </w:rPr>
        <w:t>采购预算见招标公告。</w:t>
      </w:r>
      <w:r>
        <w:rPr>
          <w:rFonts w:hint="eastAsia" w:ascii="宋体" w:hAnsi="宋体" w:cs="新宋体"/>
          <w:sz w:val="22"/>
          <w:szCs w:val="22"/>
        </w:rPr>
        <w:t>如果所有供应商的报价均超出采购最高限价且采购人确认不能支付的情况，本次采购做流（废）标处理。如果仅仅某个（些）供应商的商务报价超出采购最高限价则该供应商按无效投标处理。</w:t>
      </w:r>
    </w:p>
    <w:p>
      <w:pPr>
        <w:spacing w:line="460" w:lineRule="atLeast"/>
        <w:ind w:firstLine="440" w:firstLineChars="200"/>
      </w:pPr>
      <w:r>
        <w:rPr>
          <w:rFonts w:hint="eastAsia" w:ascii="宋体" w:hAnsi="宋体" w:cs="新宋体"/>
          <w:sz w:val="22"/>
        </w:rPr>
        <w:t>二、技术、服务、资信业绩综合评分80分</w:t>
      </w:r>
    </w:p>
    <w:tbl>
      <w:tblPr>
        <w:tblStyle w:val="41"/>
        <w:tblW w:w="9479" w:type="dxa"/>
        <w:tblInd w:w="93" w:type="dxa"/>
        <w:tblLayout w:type="fixed"/>
        <w:tblCellMar>
          <w:top w:w="0" w:type="dxa"/>
          <w:left w:w="108" w:type="dxa"/>
          <w:bottom w:w="0" w:type="dxa"/>
          <w:right w:w="108" w:type="dxa"/>
        </w:tblCellMar>
      </w:tblPr>
      <w:tblGrid>
        <w:gridCol w:w="490"/>
        <w:gridCol w:w="1200"/>
        <w:gridCol w:w="593"/>
        <w:gridCol w:w="709"/>
        <w:gridCol w:w="567"/>
        <w:gridCol w:w="5920"/>
      </w:tblGrid>
      <w:tr>
        <w:tblPrEx>
          <w:tblCellMar>
            <w:top w:w="0" w:type="dxa"/>
            <w:left w:w="108" w:type="dxa"/>
            <w:bottom w:w="0" w:type="dxa"/>
            <w:right w:w="108" w:type="dxa"/>
          </w:tblCellMar>
        </w:tblPrEx>
        <w:trPr>
          <w:wBefore w:w="0" w:type="dxa"/>
          <w:wAfter w:w="0" w:type="dxa"/>
          <w:trHeight w:val="381"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序号</w:t>
            </w:r>
          </w:p>
        </w:tc>
        <w:tc>
          <w:tcPr>
            <w:tcW w:w="250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评分内容</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分值</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评分标准说明</w:t>
            </w:r>
          </w:p>
        </w:tc>
      </w:tr>
      <w:tr>
        <w:tblPrEx>
          <w:tblCellMar>
            <w:top w:w="0" w:type="dxa"/>
            <w:left w:w="108" w:type="dxa"/>
            <w:bottom w:w="0" w:type="dxa"/>
            <w:right w:w="108" w:type="dxa"/>
          </w:tblCellMar>
        </w:tblPrEx>
        <w:trPr>
          <w:wBefore w:w="0" w:type="dxa"/>
          <w:wAfter w:w="0" w:type="dxa"/>
          <w:trHeight w:val="652" w:hRule="atLeast"/>
        </w:trPr>
        <w:tc>
          <w:tcPr>
            <w:tcW w:w="4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25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供应商综合实力</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2</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Fonts w:hint="eastAsia" w:ascii="宋体" w:hAnsi="宋体" w:cs="宋体"/>
                <w:kern w:val="0"/>
                <w:sz w:val="22"/>
                <w:szCs w:val="22"/>
                <w:lang w:bidi="ar"/>
              </w:rPr>
              <w:t>根据投标供应商经营状况、资质情况、商业信誉等由评标专家自主评分（0-2分）。</w:t>
            </w:r>
          </w:p>
        </w:tc>
      </w:tr>
      <w:tr>
        <w:tblPrEx>
          <w:tblCellMar>
            <w:top w:w="0" w:type="dxa"/>
            <w:left w:w="108" w:type="dxa"/>
            <w:bottom w:w="0" w:type="dxa"/>
            <w:right w:w="108" w:type="dxa"/>
          </w:tblCellMar>
        </w:tblPrEx>
        <w:trPr>
          <w:wBefore w:w="0" w:type="dxa"/>
          <w:wAfter w:w="0" w:type="dxa"/>
          <w:trHeight w:val="112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25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4</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kern w:val="0"/>
                <w:sz w:val="22"/>
                <w:szCs w:val="22"/>
                <w:lang w:bidi="ar"/>
              </w:rPr>
            </w:pPr>
            <w:r>
              <w:rPr>
                <w:rFonts w:hint="eastAsia" w:ascii="宋体" w:hAnsi="宋体" w:cs="宋体"/>
                <w:kern w:val="0"/>
                <w:sz w:val="22"/>
                <w:szCs w:val="22"/>
                <w:lang w:bidi="ar"/>
              </w:rPr>
              <w:t>投标人具备信息安全管理体系认证证书（认证范围仅限应用软件开发、信息系统集成、软硬件运维和安全服务之一）、 CMMI3证书，每具备1个证书得2分，最高得4分。</w:t>
            </w:r>
          </w:p>
          <w:p>
            <w:pPr>
              <w:widowControl/>
              <w:textAlignment w:val="center"/>
              <w:rPr>
                <w:rFonts w:hint="eastAsia" w:ascii="宋体" w:hAnsi="宋体" w:cs="宋体"/>
                <w:sz w:val="22"/>
                <w:szCs w:val="22"/>
              </w:rPr>
            </w:pPr>
            <w:r>
              <w:rPr>
                <w:rFonts w:hint="eastAsia" w:ascii="宋体" w:hAnsi="宋体" w:cs="宋体"/>
                <w:kern w:val="0"/>
                <w:sz w:val="22"/>
                <w:szCs w:val="22"/>
                <w:lang w:bidi="ar"/>
              </w:rPr>
              <w:t>注：须提供证书复印件加盖公章，否则不得分。</w:t>
            </w:r>
          </w:p>
        </w:tc>
      </w:tr>
      <w:tr>
        <w:tblPrEx>
          <w:tblCellMar>
            <w:top w:w="0" w:type="dxa"/>
            <w:left w:w="108" w:type="dxa"/>
            <w:bottom w:w="0" w:type="dxa"/>
            <w:right w:w="108" w:type="dxa"/>
          </w:tblCellMar>
        </w:tblPrEx>
        <w:trPr>
          <w:wBefore w:w="0" w:type="dxa"/>
          <w:wAfter w:w="0" w:type="dxa"/>
          <w:trHeight w:val="2231"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2</w:t>
            </w:r>
          </w:p>
        </w:tc>
        <w:tc>
          <w:tcPr>
            <w:tcW w:w="250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产品配置选型情况</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20</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kern w:val="0"/>
                <w:sz w:val="22"/>
                <w:szCs w:val="22"/>
                <w:lang w:bidi="ar"/>
              </w:rPr>
            </w:pPr>
            <w:r>
              <w:rPr>
                <w:rFonts w:hint="eastAsia" w:ascii="宋体" w:hAnsi="宋体" w:cs="宋体"/>
                <w:kern w:val="0"/>
                <w:sz w:val="22"/>
                <w:szCs w:val="22"/>
                <w:lang w:bidi="ar"/>
              </w:rPr>
              <w:t>根据所投产品对招标技术参数的满足程度打分，满分20分。</w:t>
            </w:r>
          </w:p>
          <w:p>
            <w:pPr>
              <w:widowControl/>
              <w:textAlignment w:val="center"/>
              <w:rPr>
                <w:rFonts w:hint="eastAsia" w:ascii="宋体" w:hAnsi="宋体" w:cs="宋体"/>
                <w:kern w:val="0"/>
                <w:sz w:val="22"/>
                <w:szCs w:val="22"/>
                <w:lang w:bidi="ar"/>
              </w:rPr>
            </w:pPr>
            <w:r>
              <w:rPr>
                <w:rFonts w:hint="eastAsia" w:ascii="宋体" w:hAnsi="宋体" w:cs="宋体"/>
                <w:kern w:val="0"/>
                <w:sz w:val="22"/>
                <w:szCs w:val="22"/>
                <w:lang w:bidi="ar"/>
              </w:rPr>
              <w:t>招标文件中带“★”指标，每负偏离一项扣3分，其余指标如出现负偏离, 每负偏离一项扣1分，实质性条款除外，扣完为止，不满足或未按要求提供证明材料的视为负偏离。</w:t>
            </w:r>
          </w:p>
          <w:p>
            <w:pPr>
              <w:widowControl/>
              <w:textAlignment w:val="center"/>
              <w:rPr>
                <w:rFonts w:hint="eastAsia" w:ascii="宋体" w:hAnsi="宋体" w:cs="宋体"/>
                <w:sz w:val="22"/>
                <w:szCs w:val="22"/>
              </w:rPr>
            </w:pPr>
            <w:r>
              <w:rPr>
                <w:rFonts w:hint="eastAsia" w:ascii="宋体" w:hAnsi="宋体" w:cs="宋体"/>
                <w:kern w:val="0"/>
                <w:sz w:val="22"/>
                <w:szCs w:val="22"/>
                <w:lang w:bidi="ar"/>
              </w:rPr>
              <w:t>（注：以上技术指标如出现偏离必须在《技术偏离表》中完整体现，如有虚假应标，将作无效标处理）</w:t>
            </w:r>
          </w:p>
        </w:tc>
      </w:tr>
      <w:tr>
        <w:tblPrEx>
          <w:tblCellMar>
            <w:top w:w="0" w:type="dxa"/>
            <w:left w:w="108" w:type="dxa"/>
            <w:bottom w:w="0" w:type="dxa"/>
            <w:right w:w="108" w:type="dxa"/>
          </w:tblCellMar>
        </w:tblPrEx>
        <w:trPr>
          <w:wBefore w:w="0" w:type="dxa"/>
          <w:wAfter w:w="0" w:type="dxa"/>
          <w:trHeight w:val="1121"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3</w:t>
            </w:r>
          </w:p>
        </w:tc>
        <w:tc>
          <w:tcPr>
            <w:tcW w:w="250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供应商业绩</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2</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kern w:val="0"/>
                <w:sz w:val="22"/>
                <w:szCs w:val="22"/>
                <w:lang w:bidi="ar"/>
              </w:rPr>
            </w:pPr>
            <w:r>
              <w:rPr>
                <w:rFonts w:hint="eastAsia" w:ascii="宋体" w:hAnsi="宋体" w:cs="宋体"/>
                <w:kern w:val="0"/>
                <w:sz w:val="22"/>
                <w:szCs w:val="22"/>
                <w:lang w:bidi="ar"/>
              </w:rPr>
              <w:t>投标人2019年1月1日至今类似项目（项目必须含软件平台）业绩，每个合同得1分，最高得2分。</w:t>
            </w:r>
          </w:p>
          <w:p>
            <w:pPr>
              <w:widowControl/>
              <w:textAlignment w:val="center"/>
              <w:rPr>
                <w:rFonts w:hint="eastAsia" w:ascii="宋体" w:hAnsi="宋体" w:cs="宋体"/>
                <w:sz w:val="22"/>
                <w:szCs w:val="22"/>
              </w:rPr>
            </w:pPr>
            <w:r>
              <w:rPr>
                <w:rFonts w:hint="eastAsia" w:ascii="宋体" w:hAnsi="宋体" w:cs="宋体"/>
                <w:kern w:val="0"/>
                <w:sz w:val="22"/>
                <w:szCs w:val="22"/>
                <w:lang w:bidi="ar"/>
              </w:rPr>
              <w:t>注：须提供合同复印件加盖公章，否则不得分。</w:t>
            </w:r>
          </w:p>
        </w:tc>
      </w:tr>
      <w:tr>
        <w:tblPrEx>
          <w:tblCellMar>
            <w:top w:w="0" w:type="dxa"/>
            <w:left w:w="108" w:type="dxa"/>
            <w:bottom w:w="0" w:type="dxa"/>
            <w:right w:w="108" w:type="dxa"/>
          </w:tblCellMar>
        </w:tblPrEx>
        <w:trPr>
          <w:wBefore w:w="0" w:type="dxa"/>
          <w:wAfter w:w="0" w:type="dxa"/>
          <w:trHeight w:val="460" w:hRule="atLeast"/>
        </w:trPr>
        <w:tc>
          <w:tcPr>
            <w:tcW w:w="4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4</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技术方案</w:t>
            </w:r>
          </w:p>
        </w:tc>
        <w:tc>
          <w:tcPr>
            <w:tcW w:w="778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根据投标人所提供技术方案中关于软件功能模块的满足程度进行评分</w:t>
            </w:r>
          </w:p>
        </w:tc>
      </w:tr>
      <w:tr>
        <w:tblPrEx>
          <w:tblCellMar>
            <w:top w:w="0" w:type="dxa"/>
            <w:left w:w="108" w:type="dxa"/>
            <w:bottom w:w="0" w:type="dxa"/>
            <w:right w:w="108" w:type="dxa"/>
          </w:tblCellMar>
        </w:tblPrEx>
        <w:trPr>
          <w:wBefore w:w="0" w:type="dxa"/>
          <w:wAfter w:w="0" w:type="dxa"/>
          <w:trHeight w:val="1457"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5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驾驶舱</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单元管控</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2</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Fonts w:hint="eastAsia" w:ascii="宋体" w:hAnsi="宋体" w:cs="宋体"/>
                <w:kern w:val="0"/>
                <w:sz w:val="22"/>
                <w:szCs w:val="22"/>
                <w:lang w:bidi="ar"/>
              </w:rPr>
              <w:t>地图可视化形式展示单元、场所码点位信息，包括人房关联、防疫、分类、人数、活跃等信息，并能灵活划区统计分析，分析各类在册人口数据，人口细分纬度信息，在外永嘉人分布等功能情况打分。</w:t>
            </w:r>
          </w:p>
        </w:tc>
      </w:tr>
      <w:tr>
        <w:tblPrEx>
          <w:tblCellMar>
            <w:top w:w="0" w:type="dxa"/>
            <w:left w:w="108" w:type="dxa"/>
            <w:bottom w:w="0" w:type="dxa"/>
            <w:right w:w="108" w:type="dxa"/>
          </w:tblCellMar>
        </w:tblPrEx>
        <w:trPr>
          <w:wBefore w:w="0" w:type="dxa"/>
          <w:wAfter w:w="0" w:type="dxa"/>
          <w:trHeight w:val="415"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区域协查</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Fonts w:hint="eastAsia" w:ascii="宋体" w:hAnsi="宋体" w:cs="宋体"/>
                <w:kern w:val="0"/>
                <w:sz w:val="22"/>
                <w:szCs w:val="22"/>
                <w:lang w:bidi="ar"/>
              </w:rPr>
              <w:t>支持实时展示协查任务总览、管控状态总览，提供以图表形式实时展示境内外协查统计、人员境内外来源、管控、风险、措施、处理时间线等统计分析情况打分。</w:t>
            </w:r>
          </w:p>
        </w:tc>
      </w:tr>
      <w:tr>
        <w:tblPrEx>
          <w:tblCellMar>
            <w:top w:w="0" w:type="dxa"/>
            <w:left w:w="108" w:type="dxa"/>
            <w:bottom w:w="0" w:type="dxa"/>
            <w:right w:w="108" w:type="dxa"/>
          </w:tblCellMar>
        </w:tblPrEx>
        <w:trPr>
          <w:wBefore w:w="0" w:type="dxa"/>
          <w:wAfter w:w="0" w:type="dxa"/>
          <w:trHeight w:val="840"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流调溯源</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Fonts w:hint="eastAsia" w:ascii="宋体" w:hAnsi="宋体" w:cs="宋体"/>
                <w:kern w:val="0"/>
                <w:sz w:val="22"/>
                <w:szCs w:val="22"/>
                <w:lang w:bidi="ar"/>
              </w:rPr>
              <w:t>地图可视化的流调对象分析与统计功能；流调工作的整体分时间维度的分析与统计功能情况打分。</w:t>
            </w:r>
          </w:p>
        </w:tc>
      </w:tr>
      <w:tr>
        <w:tblPrEx>
          <w:tblCellMar>
            <w:top w:w="0" w:type="dxa"/>
            <w:left w:w="108" w:type="dxa"/>
            <w:bottom w:w="0" w:type="dxa"/>
            <w:right w:w="108" w:type="dxa"/>
          </w:tblCellMar>
        </w:tblPrEx>
        <w:trPr>
          <w:wBefore w:w="0" w:type="dxa"/>
          <w:wAfter w:w="0" w:type="dxa"/>
          <w:trHeight w:val="112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隔离管控</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Fonts w:hint="eastAsia" w:ascii="宋体" w:hAnsi="宋体" w:cs="宋体"/>
                <w:kern w:val="0"/>
                <w:sz w:val="22"/>
                <w:szCs w:val="22"/>
                <w:lang w:bidi="ar"/>
              </w:rPr>
              <w:t>提供实时展现隔离点房间实有数量、防疫物资数量、防疫工作人员信息、隔离人员管控信息统计、隔离点监控在线查看；提供地图展示各隔离点位置与基础信息情况打分。</w:t>
            </w:r>
          </w:p>
        </w:tc>
      </w:tr>
      <w:tr>
        <w:tblPrEx>
          <w:tblCellMar>
            <w:top w:w="0" w:type="dxa"/>
            <w:left w:w="108" w:type="dxa"/>
            <w:bottom w:w="0" w:type="dxa"/>
            <w:right w:w="108" w:type="dxa"/>
          </w:tblCellMar>
        </w:tblPrEx>
        <w:trPr>
          <w:wBefore w:w="0" w:type="dxa"/>
          <w:wAfter w:w="0" w:type="dxa"/>
          <w:trHeight w:val="1547"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应急处置</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Fonts w:hint="eastAsia" w:ascii="宋体" w:hAnsi="宋体" w:cs="宋体"/>
                <w:kern w:val="0"/>
                <w:sz w:val="22"/>
                <w:szCs w:val="22"/>
                <w:lang w:bidi="ar"/>
              </w:rPr>
              <w:t>提供以地图为主展示各类地点地理位置信息，三区划分信息、人员力量部署负责人及各队伍数量信息、封控队伍类型数量信息，防疫物资类目数量信息，管控预警内人口数量，核酸检测信息，疫苗接种情况六类数据情况打分。</w:t>
            </w:r>
          </w:p>
        </w:tc>
      </w:tr>
      <w:tr>
        <w:tblPrEx>
          <w:tblCellMar>
            <w:top w:w="0" w:type="dxa"/>
            <w:left w:w="108" w:type="dxa"/>
            <w:bottom w:w="0" w:type="dxa"/>
            <w:right w:w="108" w:type="dxa"/>
          </w:tblCellMar>
        </w:tblPrEx>
        <w:trPr>
          <w:wBefore w:w="0" w:type="dxa"/>
          <w:wAfter w:w="0" w:type="dxa"/>
          <w:trHeight w:val="371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5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业务台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单元管控</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3</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Fonts w:hint="eastAsia" w:ascii="宋体" w:hAnsi="宋体" w:cs="宋体"/>
                <w:kern w:val="0"/>
                <w:sz w:val="22"/>
                <w:szCs w:val="22"/>
                <w:lang w:bidi="ar"/>
              </w:rPr>
              <w:t>1.地图可视化展示分析房屋真实基础信息、居住信息、防疫信息、综合信息等的“精准房屋全息画像”，人员真实基础信息、轨迹信息、防疫信息、关系信息等的“精准人员全息画像”，并支持搜索房屋\人员关键信息；2.管理各类防疫信息（核酸检测、疫苗接种、防疫码），管理防疫异常人员信息与落脚点；3.支持人员数据导入与核查比对功能，自动生成相关标签添加至精准人员全息画像，支持重复核查，保留核查记录；4.扫楼工作推进监督，统计分析今日和累计县镇村及***的区划纬度和用户纬度的地址建及人房关联情况，并做好数据查看权限，支持导出；5.管理各级行政区划设置、***关联设置。根据以上内容情况打分。</w:t>
            </w:r>
          </w:p>
        </w:tc>
      </w:tr>
      <w:tr>
        <w:tblPrEx>
          <w:tblCellMar>
            <w:top w:w="0" w:type="dxa"/>
            <w:left w:w="108" w:type="dxa"/>
            <w:bottom w:w="0" w:type="dxa"/>
            <w:right w:w="108" w:type="dxa"/>
          </w:tblCellMar>
        </w:tblPrEx>
        <w:trPr>
          <w:wBefore w:w="0" w:type="dxa"/>
          <w:wAfter w:w="0" w:type="dxa"/>
          <w:trHeight w:val="788"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区域协查</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Fonts w:hint="eastAsia" w:ascii="宋体" w:hAnsi="宋体" w:cs="宋体"/>
                <w:kern w:val="0"/>
                <w:sz w:val="22"/>
                <w:szCs w:val="22"/>
                <w:lang w:bidi="ar"/>
              </w:rPr>
              <w:t>支持导入需要协查的人员基础信息、来源信息、状态信息等情况打分。</w:t>
            </w:r>
          </w:p>
        </w:tc>
      </w:tr>
      <w:tr>
        <w:tblPrEx>
          <w:tblCellMar>
            <w:top w:w="0" w:type="dxa"/>
            <w:left w:w="108" w:type="dxa"/>
            <w:bottom w:w="0" w:type="dxa"/>
            <w:right w:w="108" w:type="dxa"/>
          </w:tblCellMar>
        </w:tblPrEx>
        <w:trPr>
          <w:wBefore w:w="0" w:type="dxa"/>
          <w:wAfter w:w="0" w:type="dxa"/>
          <w:trHeight w:val="1090"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流调溯源</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Fonts w:hint="eastAsia" w:ascii="宋体" w:hAnsi="宋体" w:cs="宋体"/>
                <w:kern w:val="0"/>
                <w:sz w:val="22"/>
                <w:szCs w:val="22"/>
                <w:lang w:bidi="ar"/>
              </w:rPr>
              <w:t>投标人提供完整的流调溯源工作系统功能方案，包括人员档案、流调工作业务流程、沟通平台、信息提示、流调档案管理、数据监督等情况打分。</w:t>
            </w:r>
          </w:p>
        </w:tc>
      </w:tr>
      <w:tr>
        <w:tblPrEx>
          <w:tblCellMar>
            <w:top w:w="0" w:type="dxa"/>
            <w:left w:w="108" w:type="dxa"/>
            <w:bottom w:w="0" w:type="dxa"/>
            <w:right w:w="108" w:type="dxa"/>
          </w:tblCellMar>
        </w:tblPrEx>
        <w:trPr>
          <w:wBefore w:w="0" w:type="dxa"/>
          <w:wAfter w:w="0" w:type="dxa"/>
          <w:trHeight w:val="294"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隔离管控</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Fonts w:hint="eastAsia" w:ascii="宋体" w:hAnsi="宋体" w:cs="宋体"/>
                <w:kern w:val="0"/>
                <w:sz w:val="22"/>
                <w:szCs w:val="22"/>
                <w:lang w:bidi="ar"/>
              </w:rPr>
              <w:t>实现隔离点管理，包括点位基本信息、隔离房间信息及状态的管理与使用搜索；隔离人员管理，包括被隔离人员的基础信息登记、隔离信息记录、健康登记及核酸结果管理；防疫物资管理，包括隔离点防疫物资的出入库记录与操作及增删该查；工作人员管理，隔离点工作人员的信息登记、职责划分等；在线巡查，对接雪亮视频监控，实施查看隔离点情况打分。</w:t>
            </w:r>
          </w:p>
        </w:tc>
      </w:tr>
      <w:tr>
        <w:tblPrEx>
          <w:tblCellMar>
            <w:top w:w="0" w:type="dxa"/>
            <w:left w:w="108" w:type="dxa"/>
            <w:bottom w:w="0" w:type="dxa"/>
            <w:right w:w="108" w:type="dxa"/>
          </w:tblCellMar>
        </w:tblPrEx>
        <w:trPr>
          <w:wBefore w:w="0" w:type="dxa"/>
          <w:wAfter w:w="0" w:type="dxa"/>
          <w:trHeight w:val="260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应急处置</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2</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Fonts w:hint="eastAsia" w:ascii="宋体" w:hAnsi="宋体" w:cs="宋体"/>
                <w:kern w:val="0"/>
                <w:sz w:val="22"/>
                <w:szCs w:val="22"/>
                <w:lang w:bidi="ar"/>
              </w:rPr>
              <w:t>指挥调度台，提供以地图展示预警动态点位，并以预警动态点为中心，进行三区划分展示封控动态，展示封控属地基础信息、具体病例信息和封控部署点信息等；作战力量，支持对防疫队伍、分组、人员信息管理的功能，展示永嘉县、街道、乡镇地址信息，同时表展示具体防疫人员信息；具备涉疫人员预警处置事件发起，涉疫预警人员的封控地管理、划分与处理登记，支持地图形式展示管理情况打分。</w:t>
            </w:r>
          </w:p>
        </w:tc>
      </w:tr>
      <w:tr>
        <w:tblPrEx>
          <w:tblCellMar>
            <w:top w:w="0" w:type="dxa"/>
            <w:left w:w="108" w:type="dxa"/>
            <w:bottom w:w="0" w:type="dxa"/>
            <w:right w:w="108" w:type="dxa"/>
          </w:tblCellMar>
        </w:tblPrEx>
        <w:trPr>
          <w:wBefore w:w="0" w:type="dxa"/>
          <w:wAfter w:w="0" w:type="dxa"/>
          <w:trHeight w:val="223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5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采集平台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数字扫楼</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Fonts w:hint="eastAsia" w:ascii="宋体" w:hAnsi="宋体" w:cs="宋体"/>
                <w:kern w:val="0"/>
                <w:sz w:val="22"/>
                <w:szCs w:val="22"/>
                <w:lang w:bidi="ar"/>
              </w:rPr>
              <w:t>单元以标准地址方式采集，支持单元快速建立、复制功能，支持举例快速定位排序等易用性功能，可对楼房结构和房屋状态进行查看，并对单元相关数据进行统计分析；对单元内登记人员进行管理，支持扫码登记扫码核验，支持自主申报与代他人申报；可查看扫楼工作的多纬度统计监督数据查看情况打分。</w:t>
            </w:r>
          </w:p>
        </w:tc>
      </w:tr>
      <w:tr>
        <w:tblPrEx>
          <w:tblCellMar>
            <w:top w:w="0" w:type="dxa"/>
            <w:left w:w="108" w:type="dxa"/>
            <w:bottom w:w="0" w:type="dxa"/>
            <w:right w:w="108" w:type="dxa"/>
          </w:tblCellMar>
        </w:tblPrEx>
        <w:trPr>
          <w:wBefore w:w="0" w:type="dxa"/>
          <w:wAfter w:w="0" w:type="dxa"/>
          <w:trHeight w:val="149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作战单元</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Fonts w:hint="eastAsia" w:ascii="宋体" w:hAnsi="宋体" w:cs="宋体"/>
                <w:kern w:val="0"/>
                <w:sz w:val="22"/>
                <w:szCs w:val="22"/>
                <w:lang w:bidi="ar"/>
              </w:rPr>
              <w:t>支持以地图可视化形式划区自定义为网格\微网格等区域，对区域基础信息、出入口管理、包含单元信息进行管理情况打分。</w:t>
            </w:r>
          </w:p>
        </w:tc>
      </w:tr>
      <w:tr>
        <w:tblPrEx>
          <w:tblCellMar>
            <w:top w:w="0" w:type="dxa"/>
            <w:left w:w="108" w:type="dxa"/>
            <w:bottom w:w="0" w:type="dxa"/>
            <w:right w:w="108" w:type="dxa"/>
          </w:tblCellMar>
        </w:tblPrEx>
        <w:trPr>
          <w:wBefore w:w="0" w:type="dxa"/>
          <w:wAfter w:w="0" w:type="dxa"/>
          <w:trHeight w:val="149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问题反馈</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Fonts w:hint="eastAsia" w:ascii="宋体" w:hAnsi="宋体" w:cs="宋体"/>
                <w:kern w:val="0"/>
                <w:sz w:val="22"/>
                <w:szCs w:val="22"/>
                <w:lang w:bidi="ar"/>
              </w:rPr>
              <w:t>用户端，反馈在使用过程中遇到问题，或封控中的突发非紧急情况，支持图片拍照、文字描述；管理端，支持管理员对前端收集到的问题进行答疑情况打分。</w:t>
            </w:r>
          </w:p>
        </w:tc>
      </w:tr>
      <w:tr>
        <w:tblPrEx>
          <w:tblCellMar>
            <w:top w:w="0" w:type="dxa"/>
            <w:left w:w="108" w:type="dxa"/>
            <w:bottom w:w="0" w:type="dxa"/>
            <w:right w:w="108" w:type="dxa"/>
          </w:tblCellMar>
        </w:tblPrEx>
        <w:trPr>
          <w:wBefore w:w="0" w:type="dxa"/>
          <w:wAfter w:w="0" w:type="dxa"/>
          <w:trHeight w:val="186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5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基础能力</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数据同步通道</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Fonts w:hint="eastAsia" w:ascii="宋体" w:hAnsi="宋体" w:cs="宋体"/>
                <w:kern w:val="0"/>
                <w:sz w:val="22"/>
                <w:szCs w:val="22"/>
                <w:lang w:bidi="ar"/>
              </w:rPr>
              <w:t>建立单元、楼房、人员、网格等基础信息汇聚通道，公安网以数据同步形式将实时接收由政务网建设的数字扫楼、作战单元等数据；政务网也将在复合公安部数据管理规定条件下同步公安网形成的防疫专题库等数据情况打分。</w:t>
            </w:r>
          </w:p>
        </w:tc>
      </w:tr>
      <w:tr>
        <w:tblPrEx>
          <w:tblCellMar>
            <w:top w:w="0" w:type="dxa"/>
            <w:left w:w="108" w:type="dxa"/>
            <w:bottom w:w="0" w:type="dxa"/>
            <w:right w:w="108" w:type="dxa"/>
          </w:tblCellMar>
        </w:tblPrEx>
        <w:trPr>
          <w:wBefore w:w="0" w:type="dxa"/>
          <w:wAfter w:w="0" w:type="dxa"/>
          <w:trHeight w:val="223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防疫专题数据对接</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Fonts w:hint="eastAsia" w:ascii="宋体" w:hAnsi="宋体" w:cs="宋体"/>
                <w:kern w:val="0"/>
                <w:sz w:val="22"/>
                <w:szCs w:val="22"/>
                <w:lang w:bidi="ar"/>
              </w:rPr>
              <w:t>对接省派综2.0系统的各级行政区划管理和标准地址管理等服务接口获取标准地址所属行政区划、乡镇街道、社区居村委会、建筑物、点位等信息；获取视频监控的点位数据和流媒体信息，处理疫苗接种信息，处理核酸检测信息，处理来温登记信息，对接温州防疫码、场所码信息并处理情况打分。</w:t>
            </w:r>
          </w:p>
        </w:tc>
      </w:tr>
      <w:tr>
        <w:tblPrEx>
          <w:tblCellMar>
            <w:top w:w="0" w:type="dxa"/>
            <w:left w:w="108" w:type="dxa"/>
            <w:bottom w:w="0" w:type="dxa"/>
            <w:right w:w="108" w:type="dxa"/>
          </w:tblCellMar>
        </w:tblPrEx>
        <w:trPr>
          <w:wBefore w:w="0" w:type="dxa"/>
          <w:wAfter w:w="0" w:type="dxa"/>
          <w:trHeight w:val="381" w:hRule="atLeast"/>
        </w:trPr>
        <w:tc>
          <w:tcPr>
            <w:tcW w:w="4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5</w:t>
            </w:r>
          </w:p>
        </w:tc>
        <w:tc>
          <w:tcPr>
            <w:tcW w:w="25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技术力量</w:t>
            </w:r>
          </w:p>
        </w:tc>
        <w:tc>
          <w:tcPr>
            <w:tcW w:w="64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Fonts w:hint="eastAsia" w:ascii="宋体" w:hAnsi="宋体" w:cs="宋体"/>
                <w:kern w:val="0"/>
                <w:sz w:val="22"/>
                <w:szCs w:val="22"/>
                <w:lang w:bidi="ar"/>
              </w:rPr>
              <w:t>投标人项目组人员情况（项目负责人、技术总监分别只能指定1人、不能同时兼任）：</w:t>
            </w:r>
          </w:p>
        </w:tc>
      </w:tr>
      <w:tr>
        <w:tblPrEx>
          <w:tblCellMar>
            <w:top w:w="0" w:type="dxa"/>
            <w:left w:w="108" w:type="dxa"/>
            <w:bottom w:w="0" w:type="dxa"/>
            <w:right w:w="108" w:type="dxa"/>
          </w:tblCellMar>
        </w:tblPrEx>
        <w:trPr>
          <w:wBefore w:w="0" w:type="dxa"/>
          <w:wAfter w:w="0" w:type="dxa"/>
          <w:trHeight w:val="75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25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4.5</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Fonts w:hint="eastAsia" w:ascii="宋体" w:hAnsi="宋体" w:cs="宋体"/>
                <w:kern w:val="0"/>
                <w:sz w:val="22"/>
                <w:szCs w:val="22"/>
                <w:lang w:bidi="ar"/>
              </w:rPr>
              <w:t>（1）项目负责人具有中级软件设计师、国际信息系统审计师（CISA）、CMMI证书，每具备其中一个证书得1.5分，最高得4.5分。</w:t>
            </w:r>
          </w:p>
        </w:tc>
      </w:tr>
      <w:tr>
        <w:tblPrEx>
          <w:tblCellMar>
            <w:top w:w="0" w:type="dxa"/>
            <w:left w:w="108" w:type="dxa"/>
            <w:bottom w:w="0" w:type="dxa"/>
            <w:right w:w="108" w:type="dxa"/>
          </w:tblCellMar>
        </w:tblPrEx>
        <w:trPr>
          <w:wBefore w:w="0" w:type="dxa"/>
          <w:wAfter w:w="0" w:type="dxa"/>
          <w:trHeight w:val="112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25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6</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Style w:val="167"/>
                <w:rFonts w:hint="default"/>
                <w:color w:val="auto"/>
                <w:lang w:bidi="ar"/>
              </w:rPr>
              <w:t>（2）项目技术总监具有注册信息系统安全专家证书、中级信息安全工程师证书、信息技术基础设施库认证(ITIL)、</w:t>
            </w:r>
            <w:r>
              <w:rPr>
                <w:rFonts w:hint="eastAsia" w:ascii="宋体" w:hAnsi="宋体" w:cs="宋体"/>
                <w:kern w:val="0"/>
                <w:szCs w:val="21"/>
                <w:lang w:bidi="ar"/>
              </w:rPr>
              <w:t>红帽认证工程师</w:t>
            </w:r>
            <w:r>
              <w:rPr>
                <w:rStyle w:val="167"/>
                <w:rFonts w:hint="default"/>
                <w:color w:val="auto"/>
                <w:lang w:bidi="ar"/>
              </w:rPr>
              <w:t>证书的,每具备其中一个证书得1.5分，最高得6分。</w:t>
            </w:r>
          </w:p>
        </w:tc>
      </w:tr>
      <w:tr>
        <w:tblPrEx>
          <w:tblCellMar>
            <w:top w:w="0" w:type="dxa"/>
            <w:left w:w="108" w:type="dxa"/>
            <w:bottom w:w="0" w:type="dxa"/>
            <w:right w:w="108" w:type="dxa"/>
          </w:tblCellMar>
        </w:tblPrEx>
        <w:trPr>
          <w:wBefore w:w="0" w:type="dxa"/>
          <w:wAfter w:w="0" w:type="dxa"/>
          <w:trHeight w:val="75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25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4.5</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Fonts w:hint="eastAsia" w:ascii="宋体" w:hAnsi="宋体" w:cs="宋体"/>
                <w:kern w:val="0"/>
                <w:sz w:val="22"/>
                <w:szCs w:val="22"/>
                <w:lang w:bidi="ar"/>
              </w:rPr>
              <w:t>（3）项目团队成员具有中级软件评测师证书、CDA数据分析师证书、安全评价师证书，每具备其中一个证书得1.5分（重复不得分），最高得4.5分。</w:t>
            </w:r>
          </w:p>
        </w:tc>
      </w:tr>
      <w:tr>
        <w:tblPrEx>
          <w:tblCellMar>
            <w:top w:w="0" w:type="dxa"/>
            <w:left w:w="108" w:type="dxa"/>
            <w:bottom w:w="0" w:type="dxa"/>
            <w:right w:w="108" w:type="dxa"/>
          </w:tblCellMar>
        </w:tblPrEx>
        <w:trPr>
          <w:wBefore w:w="0" w:type="dxa"/>
          <w:wAfter w:w="0" w:type="dxa"/>
          <w:trHeight w:val="75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25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2"/>
                <w:szCs w:val="22"/>
              </w:rPr>
            </w:pPr>
          </w:p>
        </w:tc>
        <w:tc>
          <w:tcPr>
            <w:tcW w:w="64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Fonts w:hint="eastAsia" w:ascii="宋体" w:hAnsi="宋体" w:cs="宋体"/>
                <w:kern w:val="0"/>
                <w:sz w:val="22"/>
                <w:szCs w:val="22"/>
                <w:lang w:bidi="ar"/>
              </w:rPr>
              <w:t>备注：近6个月（含）社保证明复印件加盖公章及相关证书复印件，提供上级公司或者下级公司证书不得分，资料提供不齐不得分。</w:t>
            </w:r>
          </w:p>
        </w:tc>
      </w:tr>
      <w:tr>
        <w:tblPrEx>
          <w:tblCellMar>
            <w:top w:w="0" w:type="dxa"/>
            <w:left w:w="108" w:type="dxa"/>
            <w:bottom w:w="0" w:type="dxa"/>
            <w:right w:w="108" w:type="dxa"/>
          </w:tblCellMar>
        </w:tblPrEx>
        <w:trPr>
          <w:wBefore w:w="0" w:type="dxa"/>
          <w:wAfter w:w="0" w:type="dxa"/>
          <w:trHeight w:val="1121" w:hRule="atLeast"/>
        </w:trPr>
        <w:tc>
          <w:tcPr>
            <w:tcW w:w="4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6</w:t>
            </w:r>
          </w:p>
        </w:tc>
        <w:tc>
          <w:tcPr>
            <w:tcW w:w="250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售后服务承诺</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2</w:t>
            </w:r>
          </w:p>
        </w:tc>
        <w:tc>
          <w:tcPr>
            <w:tcW w:w="5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sz w:val="22"/>
                <w:szCs w:val="22"/>
              </w:rPr>
            </w:pPr>
            <w:r>
              <w:rPr>
                <w:rFonts w:hint="eastAsia" w:ascii="宋体" w:hAnsi="宋体" w:cs="宋体"/>
                <w:kern w:val="0"/>
                <w:sz w:val="22"/>
                <w:szCs w:val="22"/>
                <w:lang w:bidi="ar"/>
              </w:rPr>
              <w:t>根据投标人的售后服务承诺、维保队伍的配备和故障响应、服务保障措施以及后续技术支持等综合比较打分，完全满足采购要求得2分；基本满足采购要求得1分；不满足不得分。</w:t>
            </w:r>
          </w:p>
        </w:tc>
      </w:tr>
      <w:tr>
        <w:tblPrEx>
          <w:tblCellMar>
            <w:top w:w="0" w:type="dxa"/>
            <w:left w:w="108" w:type="dxa"/>
            <w:bottom w:w="0" w:type="dxa"/>
            <w:right w:w="108" w:type="dxa"/>
          </w:tblCellMar>
        </w:tblPrEx>
        <w:trPr>
          <w:wBefore w:w="0" w:type="dxa"/>
          <w:wAfter w:w="0" w:type="dxa"/>
          <w:trHeight w:val="751" w:hRule="atLeast"/>
        </w:trPr>
        <w:tc>
          <w:tcPr>
            <w:tcW w:w="49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7</w:t>
            </w:r>
          </w:p>
        </w:tc>
        <w:tc>
          <w:tcPr>
            <w:tcW w:w="120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现场演示</w:t>
            </w:r>
          </w:p>
        </w:tc>
        <w:tc>
          <w:tcPr>
            <w:tcW w:w="778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供应商投标时须基于真实软件系统现场演示，演示时间15分钟左右。要求以真实软件系统方式进行演示，没有现场演示或者使用PPT演示的，不得分。软件功能演示由投标人自行安排，需含以下模块演示:</w:t>
            </w:r>
          </w:p>
        </w:tc>
      </w:tr>
      <w:tr>
        <w:tblPrEx>
          <w:tblCellMar>
            <w:top w:w="0" w:type="dxa"/>
            <w:left w:w="108" w:type="dxa"/>
            <w:bottom w:w="0" w:type="dxa"/>
            <w:right w:w="108" w:type="dxa"/>
          </w:tblCellMar>
        </w:tblPrEx>
        <w:trPr>
          <w:wBefore w:w="0" w:type="dxa"/>
          <w:wAfter w:w="0" w:type="dxa"/>
          <w:trHeight w:val="409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驾驶舱</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单元管控</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4</w:t>
            </w:r>
          </w:p>
        </w:tc>
        <w:tc>
          <w:tcPr>
            <w:tcW w:w="592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kern w:val="0"/>
                <w:sz w:val="22"/>
                <w:szCs w:val="22"/>
                <w:lang w:bidi="ar"/>
              </w:rPr>
            </w:pPr>
            <w:r>
              <w:rPr>
                <w:rFonts w:hint="eastAsia" w:ascii="宋体" w:hAnsi="宋体" w:cs="宋体"/>
                <w:kern w:val="0"/>
                <w:sz w:val="22"/>
                <w:szCs w:val="22"/>
                <w:lang w:bidi="ar"/>
              </w:rPr>
              <w:t>1、支持以地图可视化形式展示单元、场所码点位信息；0-0.5分。</w:t>
            </w:r>
          </w:p>
          <w:p>
            <w:pPr>
              <w:rPr>
                <w:rFonts w:hint="eastAsia" w:ascii="宋体" w:hAnsi="宋体" w:cs="宋体"/>
                <w:kern w:val="0"/>
                <w:sz w:val="22"/>
                <w:szCs w:val="22"/>
                <w:lang w:bidi="ar"/>
              </w:rPr>
            </w:pPr>
            <w:r>
              <w:rPr>
                <w:rFonts w:hint="eastAsia" w:ascii="宋体" w:hAnsi="宋体" w:cs="宋体"/>
                <w:kern w:val="0"/>
                <w:sz w:val="22"/>
                <w:szCs w:val="22"/>
                <w:lang w:bidi="ar"/>
              </w:rPr>
              <w:t>2、支持统计分析单个单元或多个单元的人房关联、居住人员防疫信息、特殊人群、人员分类等；0-0.5分。</w:t>
            </w:r>
          </w:p>
          <w:p>
            <w:pPr>
              <w:rPr>
                <w:rFonts w:hint="eastAsia" w:ascii="宋体" w:hAnsi="宋体" w:cs="宋体"/>
                <w:kern w:val="0"/>
                <w:sz w:val="22"/>
                <w:szCs w:val="22"/>
                <w:lang w:bidi="ar"/>
              </w:rPr>
            </w:pPr>
            <w:r>
              <w:rPr>
                <w:rFonts w:hint="eastAsia" w:ascii="宋体" w:hAnsi="宋体" w:cs="宋体"/>
                <w:kern w:val="0"/>
                <w:sz w:val="22"/>
                <w:szCs w:val="22"/>
                <w:lang w:bidi="ar"/>
              </w:rPr>
              <w:t>3、统计分析单个场所码或多个场所码24小时每个时段的人员活跃量；0-0.5分。</w:t>
            </w:r>
          </w:p>
          <w:p>
            <w:pPr>
              <w:rPr>
                <w:rFonts w:hint="eastAsia" w:ascii="宋体" w:hAnsi="宋体" w:cs="宋体"/>
                <w:kern w:val="0"/>
                <w:sz w:val="22"/>
                <w:szCs w:val="22"/>
                <w:lang w:bidi="ar"/>
              </w:rPr>
            </w:pPr>
            <w:r>
              <w:rPr>
                <w:rFonts w:hint="eastAsia" w:ascii="宋体" w:hAnsi="宋体" w:cs="宋体"/>
                <w:kern w:val="0"/>
                <w:sz w:val="22"/>
                <w:szCs w:val="22"/>
                <w:lang w:bidi="ar"/>
              </w:rPr>
              <w:t>4、支持自定义划区统计该划区内的单元、场所码的统计分析；0-0.5分。</w:t>
            </w:r>
          </w:p>
          <w:p>
            <w:pPr>
              <w:rPr>
                <w:rFonts w:hint="eastAsia" w:ascii="宋体" w:hAnsi="宋体" w:cs="宋体"/>
                <w:kern w:val="0"/>
                <w:sz w:val="22"/>
                <w:szCs w:val="22"/>
                <w:lang w:bidi="ar"/>
              </w:rPr>
            </w:pPr>
            <w:r>
              <w:rPr>
                <w:rFonts w:hint="eastAsia" w:ascii="宋体" w:hAnsi="宋体" w:cs="宋体"/>
                <w:kern w:val="0"/>
                <w:sz w:val="22"/>
                <w:szCs w:val="22"/>
                <w:lang w:bidi="ar"/>
              </w:rPr>
              <w:t>5、支持条件筛查，选择地图中心点、根据人员标签、房屋标签、单元标签等展示匹配条件的点位；0-0.5分。</w:t>
            </w:r>
          </w:p>
          <w:p>
            <w:pPr>
              <w:rPr>
                <w:rFonts w:hint="eastAsia" w:ascii="宋体" w:hAnsi="宋体" w:cs="宋体"/>
                <w:kern w:val="0"/>
                <w:sz w:val="22"/>
                <w:szCs w:val="22"/>
                <w:lang w:bidi="ar"/>
              </w:rPr>
            </w:pPr>
            <w:r>
              <w:rPr>
                <w:rFonts w:hint="eastAsia" w:ascii="宋体" w:hAnsi="宋体" w:cs="宋体"/>
                <w:kern w:val="0"/>
                <w:sz w:val="22"/>
                <w:szCs w:val="22"/>
                <w:lang w:bidi="ar"/>
              </w:rPr>
              <w:t>6、支持统计分析实有数据（房屋、地址）总数及分类数量；0-0.5分。</w:t>
            </w:r>
          </w:p>
          <w:p>
            <w:pPr>
              <w:rPr>
                <w:rFonts w:hint="eastAsia" w:ascii="宋体" w:hAnsi="宋体" w:cs="宋体"/>
                <w:kern w:val="0"/>
                <w:sz w:val="22"/>
                <w:szCs w:val="22"/>
                <w:lang w:bidi="ar"/>
              </w:rPr>
            </w:pPr>
            <w:r>
              <w:rPr>
                <w:rFonts w:hint="eastAsia" w:ascii="宋体" w:hAnsi="宋体" w:cs="宋体"/>
                <w:kern w:val="0"/>
                <w:sz w:val="22"/>
                <w:szCs w:val="22"/>
                <w:lang w:bidi="ar"/>
              </w:rPr>
              <w:t>7、支持统计分析实有人口各维度数据：性别分析、年龄分析、人员潮汐分析、地区分布及来源分析、特殊人群分析等；0-0.5分。</w:t>
            </w:r>
          </w:p>
          <w:p>
            <w:pPr>
              <w:rPr>
                <w:rFonts w:hint="eastAsia" w:ascii="宋体" w:hAnsi="宋体" w:cs="宋体"/>
                <w:kern w:val="0"/>
                <w:sz w:val="22"/>
                <w:szCs w:val="22"/>
                <w:lang w:bidi="ar"/>
              </w:rPr>
            </w:pPr>
            <w:r>
              <w:rPr>
                <w:rFonts w:hint="eastAsia" w:ascii="宋体" w:hAnsi="宋体" w:cs="宋体"/>
                <w:kern w:val="0"/>
                <w:sz w:val="22"/>
                <w:szCs w:val="22"/>
                <w:lang w:bidi="ar"/>
              </w:rPr>
              <w:t>8、支持统计分析在外永嘉籍人员各地区分布情况，查看外省中高风险地区，境内/境外切换等；0-0.5分。</w:t>
            </w:r>
          </w:p>
        </w:tc>
      </w:tr>
      <w:tr>
        <w:tblPrEx>
          <w:tblCellMar>
            <w:top w:w="0" w:type="dxa"/>
            <w:left w:w="108" w:type="dxa"/>
            <w:bottom w:w="0" w:type="dxa"/>
            <w:right w:w="108" w:type="dxa"/>
          </w:tblCellMar>
        </w:tblPrEx>
        <w:trPr>
          <w:wBefore w:w="0" w:type="dxa"/>
          <w:wAfter w:w="0" w:type="dxa"/>
          <w:trHeight w:val="1612"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流调溯源</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592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宋体" w:hAnsi="宋体" w:cs="宋体"/>
                <w:kern w:val="0"/>
                <w:sz w:val="22"/>
                <w:szCs w:val="22"/>
                <w:lang w:bidi="ar"/>
              </w:rPr>
            </w:pPr>
            <w:r>
              <w:rPr>
                <w:rFonts w:hint="eastAsia" w:ascii="宋体" w:hAnsi="宋体" w:cs="宋体"/>
                <w:kern w:val="0"/>
                <w:sz w:val="22"/>
                <w:szCs w:val="22"/>
                <w:lang w:bidi="ar"/>
              </w:rPr>
              <w:t>流调对象分街镇地图分布统计，来源地、今日和累计的数据流分析，提供管控信息统计汇总；0-0.5分。</w:t>
            </w:r>
          </w:p>
          <w:p>
            <w:pPr>
              <w:widowControl/>
              <w:jc w:val="left"/>
              <w:textAlignment w:val="bottom"/>
              <w:rPr>
                <w:rFonts w:hint="eastAsia" w:ascii="宋体" w:hAnsi="宋体" w:cs="宋体"/>
                <w:sz w:val="22"/>
                <w:szCs w:val="22"/>
              </w:rPr>
            </w:pPr>
            <w:r>
              <w:rPr>
                <w:rFonts w:hint="eastAsia" w:ascii="宋体" w:hAnsi="宋体" w:cs="宋体"/>
                <w:kern w:val="0"/>
                <w:sz w:val="22"/>
                <w:szCs w:val="22"/>
                <w:lang w:bidi="ar"/>
              </w:rPr>
              <w:t>提供今日关联人次、密接者人次、次密接者人次、其他人次、今日任务数、进行中任务数、今日流调任务的展示功能；0-0.5分。</w:t>
            </w:r>
          </w:p>
        </w:tc>
      </w:tr>
      <w:tr>
        <w:tblPrEx>
          <w:tblCellMar>
            <w:top w:w="0" w:type="dxa"/>
            <w:left w:w="108" w:type="dxa"/>
            <w:bottom w:w="0" w:type="dxa"/>
            <w:right w:w="108" w:type="dxa"/>
          </w:tblCellMar>
        </w:tblPrEx>
        <w:trPr>
          <w:wBefore w:w="0" w:type="dxa"/>
          <w:wAfter w:w="0" w:type="dxa"/>
          <w:trHeight w:val="1635"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应急处置</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592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ottom"/>
              <w:rPr>
                <w:rFonts w:hint="eastAsia" w:ascii="宋体" w:hAnsi="宋体" w:cs="宋体"/>
                <w:kern w:val="0"/>
                <w:sz w:val="22"/>
                <w:szCs w:val="22"/>
                <w:lang w:bidi="ar"/>
              </w:rPr>
            </w:pPr>
            <w:r>
              <w:rPr>
                <w:rFonts w:hint="eastAsia" w:ascii="宋体" w:hAnsi="宋体" w:cs="宋体"/>
                <w:kern w:val="0"/>
                <w:sz w:val="22"/>
                <w:szCs w:val="22"/>
                <w:lang w:bidi="ar"/>
              </w:rPr>
              <w:t>以地图展示住宅，商用，办公，生产，科教文体医用及其他类型地点地理位置信息；0-0.5分。</w:t>
            </w:r>
          </w:p>
          <w:p>
            <w:pPr>
              <w:widowControl/>
              <w:textAlignment w:val="bottom"/>
              <w:rPr>
                <w:rFonts w:hint="eastAsia" w:ascii="宋体" w:hAnsi="宋体" w:cs="宋体"/>
                <w:sz w:val="22"/>
                <w:szCs w:val="22"/>
              </w:rPr>
            </w:pPr>
            <w:r>
              <w:rPr>
                <w:rFonts w:hint="eastAsia" w:ascii="宋体" w:hAnsi="宋体" w:cs="宋体"/>
                <w:kern w:val="0"/>
                <w:sz w:val="22"/>
                <w:szCs w:val="22"/>
                <w:lang w:bidi="ar"/>
              </w:rPr>
              <w:t>以图表展示人员力量部署负责人及各队伍数量信息、封控队伍类型数量信息，防疫物资类目数量信息，管控预警内人口数量，核酸检测信息，疫苗接种情况六类数据；0-0.5分。</w:t>
            </w:r>
          </w:p>
        </w:tc>
      </w:tr>
      <w:tr>
        <w:tblPrEx>
          <w:tblCellMar>
            <w:top w:w="0" w:type="dxa"/>
            <w:left w:w="108" w:type="dxa"/>
            <w:bottom w:w="0" w:type="dxa"/>
            <w:right w:w="108" w:type="dxa"/>
          </w:tblCellMar>
        </w:tblPrEx>
        <w:trPr>
          <w:wBefore w:w="0" w:type="dxa"/>
          <w:wAfter w:w="0" w:type="dxa"/>
          <w:trHeight w:val="972"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防疫平台</w:t>
            </w:r>
          </w:p>
        </w:tc>
        <w:tc>
          <w:tcPr>
            <w:tcW w:w="70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单元管控</w:t>
            </w:r>
          </w:p>
        </w:tc>
        <w:tc>
          <w:tcPr>
            <w:tcW w:w="56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3.5</w:t>
            </w:r>
          </w:p>
        </w:tc>
        <w:tc>
          <w:tcPr>
            <w:tcW w:w="592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宋体" w:hAnsi="宋体" w:cs="宋体"/>
                <w:sz w:val="22"/>
                <w:szCs w:val="22"/>
              </w:rPr>
            </w:pPr>
            <w:r>
              <w:rPr>
                <w:rFonts w:hint="eastAsia" w:ascii="宋体" w:hAnsi="宋体" w:cs="宋体"/>
                <w:kern w:val="0"/>
                <w:sz w:val="22"/>
                <w:szCs w:val="22"/>
                <w:lang w:bidi="ar"/>
              </w:rPr>
              <w:t>分析房屋真实基础信息、居住信息、防疫信息、综合信息等的“精准房屋全息画像”；支持搜索房屋关键信息，返回符合条件的房屋信息，并在地图可视化展示；0-0.5分。</w:t>
            </w:r>
          </w:p>
        </w:tc>
      </w:tr>
      <w:tr>
        <w:tblPrEx>
          <w:tblCellMar>
            <w:top w:w="0" w:type="dxa"/>
            <w:left w:w="108" w:type="dxa"/>
            <w:bottom w:w="0" w:type="dxa"/>
            <w:right w:w="108" w:type="dxa"/>
          </w:tblCellMar>
        </w:tblPrEx>
        <w:trPr>
          <w:wBefore w:w="0" w:type="dxa"/>
          <w:wAfter w:w="0" w:type="dxa"/>
          <w:trHeight w:val="972"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2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宋体" w:hAnsi="宋体" w:cs="宋体"/>
                <w:sz w:val="22"/>
                <w:szCs w:val="22"/>
              </w:rPr>
            </w:pPr>
            <w:r>
              <w:rPr>
                <w:rFonts w:hint="eastAsia" w:ascii="宋体" w:hAnsi="宋体" w:cs="宋体"/>
                <w:kern w:val="0"/>
                <w:sz w:val="22"/>
                <w:szCs w:val="22"/>
                <w:lang w:bidi="ar"/>
              </w:rPr>
              <w:t>分析人员真实基础信息、轨迹信息、防疫信息、关系信息等的“精准人员全息画像”；支持搜索人员关键信息，返回符合条件的人员信息，并在地图可视化展示；0-0.5分。</w:t>
            </w:r>
          </w:p>
        </w:tc>
      </w:tr>
      <w:tr>
        <w:tblPrEx>
          <w:tblCellMar>
            <w:top w:w="0" w:type="dxa"/>
            <w:left w:w="108" w:type="dxa"/>
            <w:bottom w:w="0" w:type="dxa"/>
            <w:right w:w="108" w:type="dxa"/>
          </w:tblCellMar>
        </w:tblPrEx>
        <w:trPr>
          <w:wBefore w:w="0" w:type="dxa"/>
          <w:wAfter w:w="0" w:type="dxa"/>
          <w:trHeight w:val="112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2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宋体" w:hAnsi="宋体" w:cs="宋体"/>
                <w:sz w:val="22"/>
                <w:szCs w:val="22"/>
              </w:rPr>
            </w:pPr>
            <w:r>
              <w:rPr>
                <w:rFonts w:hint="eastAsia" w:ascii="宋体" w:hAnsi="宋体" w:cs="宋体"/>
                <w:kern w:val="0"/>
                <w:sz w:val="22"/>
                <w:szCs w:val="22"/>
                <w:lang w:bidi="ar"/>
              </w:rPr>
              <w:t>支持对实有人口（核酸检测、疫苗接种、防疫码）等防疫信息进行管理，对防疫信息异常人员进行重点区域管控，并对防疫信息异常人员异动进行落脚点跟踪，对重点场所、区域进行保障。支持导出；0-0.5分。</w:t>
            </w:r>
          </w:p>
        </w:tc>
      </w:tr>
      <w:tr>
        <w:tblPrEx>
          <w:tblCellMar>
            <w:top w:w="0" w:type="dxa"/>
            <w:left w:w="108" w:type="dxa"/>
            <w:bottom w:w="0" w:type="dxa"/>
            <w:right w:w="108" w:type="dxa"/>
          </w:tblCellMar>
        </w:tblPrEx>
        <w:trPr>
          <w:wBefore w:w="0" w:type="dxa"/>
          <w:wAfter w:w="0" w:type="dxa"/>
          <w:trHeight w:val="75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2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宋体" w:hAnsi="宋体" w:cs="宋体"/>
                <w:sz w:val="22"/>
                <w:szCs w:val="22"/>
              </w:rPr>
            </w:pPr>
            <w:r>
              <w:rPr>
                <w:rFonts w:hint="eastAsia" w:ascii="宋体" w:hAnsi="宋体" w:cs="宋体"/>
                <w:kern w:val="0"/>
                <w:sz w:val="22"/>
                <w:szCs w:val="22"/>
                <w:lang w:bidi="ar"/>
              </w:rPr>
              <w:t>支持通过导入实现业务人员数据与人房关联数据核查，自动输出其当前活动落脚居住情况，同时支持对需核查人员自动生成标签；0-1分。</w:t>
            </w:r>
          </w:p>
        </w:tc>
      </w:tr>
      <w:tr>
        <w:tblPrEx>
          <w:tblCellMar>
            <w:top w:w="0" w:type="dxa"/>
            <w:left w:w="108" w:type="dxa"/>
            <w:bottom w:w="0" w:type="dxa"/>
            <w:right w:w="108" w:type="dxa"/>
          </w:tblCellMar>
        </w:tblPrEx>
        <w:trPr>
          <w:wBefore w:w="0" w:type="dxa"/>
          <w:wAfter w:w="0" w:type="dxa"/>
          <w:trHeight w:val="112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2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宋体" w:hAnsi="宋体" w:cs="宋体"/>
                <w:sz w:val="22"/>
                <w:szCs w:val="22"/>
              </w:rPr>
            </w:pPr>
            <w:r>
              <w:rPr>
                <w:rFonts w:hint="eastAsia" w:ascii="宋体" w:hAnsi="宋体" w:cs="宋体"/>
                <w:kern w:val="0"/>
                <w:sz w:val="22"/>
                <w:szCs w:val="22"/>
                <w:lang w:bidi="ar"/>
              </w:rPr>
              <w:t>统计分析今日和累计的县、乡镇街道、村社、***四个层级的地址建及人房关联情况，并做好数据查看权限，支持导出；统计分析今日和累计的用户维度的地址建及人房关联任务完成情况，并做好数据查看权限，支持导出；0-0.5分。</w:t>
            </w:r>
          </w:p>
        </w:tc>
      </w:tr>
      <w:tr>
        <w:tblPrEx>
          <w:tblCellMar>
            <w:top w:w="0" w:type="dxa"/>
            <w:left w:w="108" w:type="dxa"/>
            <w:bottom w:w="0" w:type="dxa"/>
            <w:right w:w="108" w:type="dxa"/>
          </w:tblCellMar>
        </w:tblPrEx>
        <w:trPr>
          <w:wBefore w:w="0" w:type="dxa"/>
          <w:wAfter w:w="0" w:type="dxa"/>
          <w:trHeight w:val="75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2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宋体" w:hAnsi="宋体" w:cs="宋体"/>
                <w:sz w:val="22"/>
                <w:szCs w:val="22"/>
              </w:rPr>
            </w:pPr>
            <w:r>
              <w:rPr>
                <w:rFonts w:hint="eastAsia" w:ascii="宋体" w:hAnsi="宋体" w:cs="宋体"/>
                <w:kern w:val="0"/>
                <w:sz w:val="22"/>
                <w:szCs w:val="22"/>
                <w:lang w:bidi="ar"/>
              </w:rPr>
              <w:t>支持各层级行政区划展示，显示各层级行政区划的管辖公安/***；支持对各行政区划下的街路巷进行管理，支持新建、编辑、删除、导入功能；0-0.5分。</w:t>
            </w:r>
          </w:p>
        </w:tc>
      </w:tr>
      <w:tr>
        <w:tblPrEx>
          <w:tblCellMar>
            <w:top w:w="0" w:type="dxa"/>
            <w:left w:w="108" w:type="dxa"/>
            <w:bottom w:w="0" w:type="dxa"/>
            <w:right w:w="108" w:type="dxa"/>
          </w:tblCellMar>
        </w:tblPrEx>
        <w:trPr>
          <w:wBefore w:w="0" w:type="dxa"/>
          <w:wAfter w:w="0" w:type="dxa"/>
          <w:trHeight w:val="371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 xml:space="preserve">流调溯源 </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2</w:t>
            </w:r>
          </w:p>
        </w:tc>
        <w:tc>
          <w:tcPr>
            <w:tcW w:w="592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宋体" w:hAnsi="宋体" w:cs="宋体"/>
                <w:kern w:val="0"/>
                <w:sz w:val="22"/>
                <w:szCs w:val="22"/>
                <w:lang w:bidi="ar"/>
              </w:rPr>
            </w:pPr>
            <w:r>
              <w:rPr>
                <w:rFonts w:hint="eastAsia" w:ascii="宋体" w:hAnsi="宋体" w:cs="宋体"/>
                <w:kern w:val="0"/>
                <w:sz w:val="22"/>
                <w:szCs w:val="22"/>
                <w:lang w:bidi="ar"/>
              </w:rPr>
              <w:t>人员档案，卡片视图和列表视图展示人员档案进行，卡片视图中支持统计轨迹事件总计和关联人数总计。按照基本信息属性、管控信息属性、健康信息属性、活动信息属性对档案进行划分和录入。人员档案的状态变更功能，支持在档案结束流调操作。0-0.5分。</w:t>
            </w:r>
          </w:p>
          <w:p>
            <w:pPr>
              <w:widowControl/>
              <w:jc w:val="left"/>
              <w:textAlignment w:val="bottom"/>
              <w:rPr>
                <w:rFonts w:hint="eastAsia" w:ascii="宋体" w:hAnsi="宋体" w:cs="宋体"/>
                <w:kern w:val="0"/>
                <w:sz w:val="22"/>
                <w:szCs w:val="22"/>
                <w:lang w:bidi="ar"/>
              </w:rPr>
            </w:pPr>
            <w:r>
              <w:rPr>
                <w:rFonts w:hint="eastAsia" w:ascii="宋体" w:hAnsi="宋体" w:cs="宋体"/>
                <w:kern w:val="0"/>
                <w:sz w:val="22"/>
                <w:szCs w:val="22"/>
                <w:lang w:bidi="ar"/>
              </w:rPr>
              <w:t>文字群聊，提供文字群聊功能，方便流调工作中成员之间相互沟通。0-0.5分。</w:t>
            </w:r>
          </w:p>
          <w:p>
            <w:pPr>
              <w:widowControl/>
              <w:jc w:val="left"/>
              <w:textAlignment w:val="bottom"/>
              <w:rPr>
                <w:rFonts w:hint="eastAsia" w:ascii="宋体" w:hAnsi="宋体" w:cs="宋体"/>
                <w:kern w:val="0"/>
                <w:sz w:val="22"/>
                <w:szCs w:val="22"/>
                <w:lang w:bidi="ar"/>
              </w:rPr>
            </w:pPr>
            <w:r>
              <w:rPr>
                <w:rFonts w:hint="eastAsia" w:ascii="宋体" w:hAnsi="宋体" w:cs="宋体"/>
                <w:kern w:val="0"/>
                <w:sz w:val="22"/>
                <w:szCs w:val="22"/>
                <w:lang w:bidi="ar"/>
              </w:rPr>
              <w:t>流调档案，支持提取人员档案的基本信息和人员事件信息自动生成脑图并导出；电子地图上自动生成活动轨迹图；流调结果根据预设格式生成流调报告；0-0.5分。</w:t>
            </w:r>
          </w:p>
          <w:p>
            <w:pPr>
              <w:widowControl/>
              <w:jc w:val="left"/>
              <w:textAlignment w:val="bottom"/>
              <w:rPr>
                <w:rFonts w:hint="eastAsia" w:ascii="宋体" w:hAnsi="宋体" w:cs="宋体"/>
                <w:sz w:val="22"/>
                <w:szCs w:val="22"/>
              </w:rPr>
            </w:pPr>
            <w:r>
              <w:rPr>
                <w:rFonts w:hint="eastAsia" w:ascii="宋体" w:hAnsi="宋体" w:cs="宋体"/>
                <w:kern w:val="0"/>
                <w:sz w:val="22"/>
                <w:szCs w:val="22"/>
                <w:lang w:bidi="ar"/>
              </w:rPr>
              <w:t>实时看板，支持对选中的人员档案进行实时看板展示，关键信息敏感信息脱敏处理。提供轨迹事件的汇总、关联人数汇总和今日密接者、流调对象、次密接者以及其他人员的汇总功能。支持轨迹事件的实时推送显示功能；0-0.5分。</w:t>
            </w:r>
          </w:p>
        </w:tc>
      </w:tr>
      <w:tr>
        <w:tblPrEx>
          <w:tblCellMar>
            <w:top w:w="0" w:type="dxa"/>
            <w:left w:w="108" w:type="dxa"/>
            <w:bottom w:w="0" w:type="dxa"/>
            <w:right w:w="108" w:type="dxa"/>
          </w:tblCellMar>
        </w:tblPrEx>
        <w:trPr>
          <w:wBefore w:w="0" w:type="dxa"/>
          <w:wAfter w:w="0" w:type="dxa"/>
          <w:trHeight w:val="75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70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应急处置</w:t>
            </w:r>
          </w:p>
        </w:tc>
        <w:tc>
          <w:tcPr>
            <w:tcW w:w="56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2</w:t>
            </w:r>
          </w:p>
        </w:tc>
        <w:tc>
          <w:tcPr>
            <w:tcW w:w="592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宋体" w:hAnsi="宋体" w:cs="宋体"/>
                <w:sz w:val="22"/>
                <w:szCs w:val="22"/>
              </w:rPr>
            </w:pPr>
            <w:r>
              <w:rPr>
                <w:rFonts w:hint="eastAsia" w:ascii="宋体" w:hAnsi="宋体" w:cs="宋体"/>
                <w:kern w:val="0"/>
                <w:sz w:val="22"/>
                <w:szCs w:val="22"/>
                <w:lang w:bidi="ar"/>
              </w:rPr>
              <w:t>以地图展示预警动态点位，并以预警动态点为中心，进行三区划分展示封控动态。具体地图点以图标展示封控属地基础信息、具体病例信息和封控部署点信息等；0-0.5分。</w:t>
            </w:r>
          </w:p>
        </w:tc>
      </w:tr>
      <w:tr>
        <w:tblPrEx>
          <w:tblCellMar>
            <w:top w:w="0" w:type="dxa"/>
            <w:left w:w="108" w:type="dxa"/>
            <w:bottom w:w="0" w:type="dxa"/>
            <w:right w:w="108" w:type="dxa"/>
          </w:tblCellMar>
        </w:tblPrEx>
        <w:trPr>
          <w:wBefore w:w="0" w:type="dxa"/>
          <w:wAfter w:w="0" w:type="dxa"/>
          <w:trHeight w:val="75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2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宋体" w:hAnsi="宋体" w:cs="宋体"/>
                <w:sz w:val="22"/>
                <w:szCs w:val="22"/>
              </w:rPr>
            </w:pPr>
            <w:r>
              <w:rPr>
                <w:rFonts w:hint="eastAsia" w:ascii="宋体" w:hAnsi="宋体" w:cs="宋体"/>
                <w:kern w:val="0"/>
                <w:sz w:val="22"/>
                <w:szCs w:val="22"/>
                <w:lang w:bidi="ar"/>
              </w:rPr>
              <w:t>对防疫队伍、分组、人员信息新增、修改和导入的功能，以树状图展示永嘉县、街道、乡镇地址信息，同时以列表展示具体防疫人员信息；0-0.5分。</w:t>
            </w:r>
          </w:p>
        </w:tc>
      </w:tr>
      <w:tr>
        <w:tblPrEx>
          <w:tblCellMar>
            <w:top w:w="0" w:type="dxa"/>
            <w:left w:w="108" w:type="dxa"/>
            <w:bottom w:w="0" w:type="dxa"/>
            <w:right w:w="108" w:type="dxa"/>
          </w:tblCellMar>
        </w:tblPrEx>
        <w:trPr>
          <w:wBefore w:w="0" w:type="dxa"/>
          <w:wAfter w:w="0" w:type="dxa"/>
          <w:trHeight w:val="38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2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宋体" w:hAnsi="宋体" w:cs="宋体"/>
                <w:sz w:val="22"/>
                <w:szCs w:val="22"/>
              </w:rPr>
            </w:pPr>
            <w:r>
              <w:rPr>
                <w:rFonts w:hint="eastAsia" w:ascii="宋体" w:hAnsi="宋体" w:cs="宋体"/>
                <w:kern w:val="0"/>
                <w:sz w:val="22"/>
                <w:szCs w:val="22"/>
                <w:lang w:bidi="ar"/>
              </w:rPr>
              <w:t>对预警人员的信息搜索和查看的功能，以列表展示具体预警人员信息；0-0.5分。</w:t>
            </w:r>
          </w:p>
        </w:tc>
      </w:tr>
      <w:tr>
        <w:tblPrEx>
          <w:tblCellMar>
            <w:top w:w="0" w:type="dxa"/>
            <w:left w:w="108" w:type="dxa"/>
            <w:bottom w:w="0" w:type="dxa"/>
            <w:right w:w="108" w:type="dxa"/>
          </w:tblCellMar>
        </w:tblPrEx>
        <w:trPr>
          <w:wBefore w:w="0" w:type="dxa"/>
          <w:wAfter w:w="0" w:type="dxa"/>
          <w:trHeight w:val="75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20"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rPr>
                <w:rFonts w:hint="eastAsia" w:ascii="宋体" w:hAnsi="宋体" w:cs="宋体"/>
                <w:sz w:val="22"/>
                <w:szCs w:val="22"/>
              </w:rPr>
            </w:pPr>
            <w:r>
              <w:rPr>
                <w:rFonts w:hint="eastAsia" w:ascii="宋体" w:hAnsi="宋体" w:cs="宋体"/>
                <w:kern w:val="0"/>
                <w:sz w:val="22"/>
                <w:szCs w:val="22"/>
                <w:lang w:bidi="ar"/>
              </w:rPr>
              <w:t>对疫情封控点具体信息的查看及搜索的功能，以列表展示封控名称、封控属地、封控时间、封控状态、以及封控点具体点位地图显示；0-0.5分。</w:t>
            </w:r>
          </w:p>
        </w:tc>
      </w:tr>
      <w:tr>
        <w:tblPrEx>
          <w:tblCellMar>
            <w:top w:w="0" w:type="dxa"/>
            <w:left w:w="108" w:type="dxa"/>
            <w:bottom w:w="0" w:type="dxa"/>
            <w:right w:w="108" w:type="dxa"/>
          </w:tblCellMar>
        </w:tblPrEx>
        <w:trPr>
          <w:wBefore w:w="0" w:type="dxa"/>
          <w:wAfter w:w="0" w:type="dxa"/>
          <w:trHeight w:val="149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采集平台</w:t>
            </w:r>
          </w:p>
        </w:tc>
        <w:tc>
          <w:tcPr>
            <w:tcW w:w="70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数字扫楼</w:t>
            </w:r>
          </w:p>
        </w:tc>
        <w:tc>
          <w:tcPr>
            <w:tcW w:w="56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2.5</w:t>
            </w:r>
          </w:p>
        </w:tc>
        <w:tc>
          <w:tcPr>
            <w:tcW w:w="592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ottom"/>
              <w:rPr>
                <w:rFonts w:hint="eastAsia" w:ascii="宋体" w:hAnsi="宋体" w:cs="宋体"/>
                <w:kern w:val="0"/>
                <w:sz w:val="22"/>
                <w:szCs w:val="22"/>
                <w:lang w:bidi="ar"/>
              </w:rPr>
            </w:pPr>
            <w:r>
              <w:rPr>
                <w:rFonts w:hint="eastAsia" w:ascii="宋体" w:hAnsi="宋体" w:cs="宋体"/>
                <w:kern w:val="0"/>
                <w:sz w:val="22"/>
                <w:szCs w:val="22"/>
                <w:lang w:bidi="ar"/>
              </w:rPr>
              <w:t>通过采集标准地址形式实现单元基础信息、楼栋信息和房屋信息；支持复制单元进行快速建设单元；0-0.5分。</w:t>
            </w:r>
          </w:p>
          <w:p>
            <w:pPr>
              <w:widowControl/>
              <w:textAlignment w:val="bottom"/>
              <w:rPr>
                <w:rFonts w:hint="eastAsia" w:ascii="宋体" w:hAnsi="宋体" w:cs="宋体"/>
                <w:sz w:val="22"/>
                <w:szCs w:val="22"/>
              </w:rPr>
            </w:pPr>
            <w:r>
              <w:rPr>
                <w:rFonts w:hint="eastAsia" w:ascii="宋体" w:hAnsi="宋体" w:cs="宋体"/>
                <w:kern w:val="0"/>
                <w:sz w:val="22"/>
                <w:szCs w:val="22"/>
                <w:lang w:bidi="ar"/>
              </w:rPr>
              <w:t>支持楼房模型进行快速建房；支持用户快速定位自动排序单元距离。支持楼房管理，统计楼房各层级的楼栋、楼栋单元、房屋以及登记人员数量；0-0.5分。</w:t>
            </w:r>
          </w:p>
        </w:tc>
      </w:tr>
      <w:tr>
        <w:tblPrEx>
          <w:tblCellMar>
            <w:top w:w="0" w:type="dxa"/>
            <w:left w:w="108" w:type="dxa"/>
            <w:bottom w:w="0" w:type="dxa"/>
            <w:right w:w="108" w:type="dxa"/>
          </w:tblCellMar>
        </w:tblPrEx>
        <w:trPr>
          <w:wBefore w:w="0" w:type="dxa"/>
          <w:wAfter w:w="0" w:type="dxa"/>
          <w:trHeight w:val="75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2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ottom"/>
              <w:rPr>
                <w:rFonts w:hint="eastAsia" w:ascii="宋体" w:hAnsi="宋体" w:cs="宋体"/>
                <w:sz w:val="22"/>
                <w:szCs w:val="22"/>
              </w:rPr>
            </w:pPr>
            <w:r>
              <w:rPr>
                <w:rFonts w:hint="eastAsia" w:ascii="宋体" w:hAnsi="宋体" w:cs="宋体"/>
                <w:kern w:val="0"/>
                <w:sz w:val="22"/>
                <w:szCs w:val="22"/>
                <w:lang w:bidi="ar"/>
              </w:rPr>
              <w:t>支持展示单元内登记的人员信息，支持扫码核验；支持人员自主申报、党员申报、代他人申报等；0-0.5分。</w:t>
            </w:r>
          </w:p>
        </w:tc>
      </w:tr>
      <w:tr>
        <w:tblPrEx>
          <w:tblCellMar>
            <w:top w:w="0" w:type="dxa"/>
            <w:left w:w="108" w:type="dxa"/>
            <w:bottom w:w="0" w:type="dxa"/>
            <w:right w:w="108" w:type="dxa"/>
          </w:tblCellMar>
        </w:tblPrEx>
        <w:trPr>
          <w:wBefore w:w="0" w:type="dxa"/>
          <w:wAfter w:w="0" w:type="dxa"/>
          <w:trHeight w:val="381"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2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ottom"/>
              <w:rPr>
                <w:rFonts w:hint="eastAsia" w:ascii="宋体" w:hAnsi="宋体" w:cs="宋体"/>
                <w:sz w:val="22"/>
                <w:szCs w:val="22"/>
              </w:rPr>
            </w:pPr>
            <w:r>
              <w:rPr>
                <w:rFonts w:hint="eastAsia" w:ascii="宋体" w:hAnsi="宋体" w:cs="宋体"/>
                <w:kern w:val="0"/>
                <w:sz w:val="22"/>
                <w:szCs w:val="22"/>
                <w:lang w:bidi="ar"/>
              </w:rPr>
              <w:t>以单元楼房结构平面图的形式展示单元的居住人员数量，是否为空房等；0-0.5分。</w:t>
            </w:r>
          </w:p>
        </w:tc>
      </w:tr>
      <w:tr>
        <w:tblPrEx>
          <w:tblCellMar>
            <w:top w:w="0" w:type="dxa"/>
            <w:left w:w="108" w:type="dxa"/>
            <w:bottom w:w="0" w:type="dxa"/>
            <w:right w:w="108" w:type="dxa"/>
          </w:tblCellMar>
        </w:tblPrEx>
        <w:trPr>
          <w:wBefore w:w="0" w:type="dxa"/>
          <w:wAfter w:w="0" w:type="dxa"/>
          <w:trHeight w:val="664" w:hRule="atLeast"/>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12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6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5920"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bottom"/>
              <w:rPr>
                <w:rFonts w:hint="eastAsia" w:ascii="宋体" w:hAnsi="宋体" w:cs="宋体"/>
                <w:sz w:val="22"/>
                <w:szCs w:val="22"/>
              </w:rPr>
            </w:pPr>
            <w:r>
              <w:rPr>
                <w:rFonts w:hint="eastAsia" w:ascii="宋体" w:hAnsi="宋体" w:cs="宋体"/>
                <w:kern w:val="0"/>
                <w:sz w:val="22"/>
                <w:szCs w:val="22"/>
                <w:lang w:bidi="ar"/>
              </w:rPr>
              <w:t>支持按照所属区域、工作人员不同维度进行统计所采集单元数量、房屋数量、人员数量；0-0.5分。</w:t>
            </w:r>
          </w:p>
        </w:tc>
      </w:tr>
    </w:tbl>
    <w:p>
      <w:pPr>
        <w:spacing w:line="460" w:lineRule="atLeast"/>
        <w:ind w:firstLine="220" w:firstLineChars="100"/>
        <w:rPr>
          <w:rFonts w:ascii="宋体" w:hAnsi="宋体" w:cs="新宋体"/>
          <w:sz w:val="22"/>
        </w:rPr>
      </w:pPr>
      <w:r>
        <w:rPr>
          <w:rFonts w:hint="eastAsia" w:ascii="宋体" w:hAnsi="宋体" w:cs="新宋体"/>
          <w:sz w:val="22"/>
        </w:rPr>
        <w:t>三、说明</w:t>
      </w:r>
    </w:p>
    <w:p>
      <w:pPr>
        <w:widowControl/>
        <w:autoSpaceDE w:val="0"/>
        <w:autoSpaceDN w:val="0"/>
        <w:adjustRightInd w:val="0"/>
        <w:spacing w:line="460" w:lineRule="atLeast"/>
        <w:ind w:firstLine="440" w:firstLineChars="200"/>
        <w:textAlignment w:val="bottom"/>
        <w:rPr>
          <w:rFonts w:ascii="宋体" w:hAnsi="宋体" w:cs="新宋体"/>
          <w:sz w:val="22"/>
        </w:rPr>
      </w:pPr>
      <w:r>
        <w:rPr>
          <w:rFonts w:hint="eastAsia" w:ascii="宋体" w:hAnsi="宋体" w:cs="新宋体"/>
          <w:sz w:val="22"/>
        </w:rPr>
        <w:t>1、每个供应商最终得分=技术资信部分分值（所有评标委员会成员打分的算术平均值）＋商务报价部分分值。</w:t>
      </w:r>
    </w:p>
    <w:p>
      <w:pPr>
        <w:widowControl/>
        <w:autoSpaceDE w:val="0"/>
        <w:autoSpaceDN w:val="0"/>
        <w:adjustRightInd w:val="0"/>
        <w:spacing w:line="460" w:lineRule="atLeast"/>
        <w:ind w:firstLine="440" w:firstLineChars="200"/>
        <w:textAlignment w:val="bottom"/>
        <w:rPr>
          <w:rFonts w:ascii="宋体" w:hAnsi="宋体" w:cs="新宋体"/>
          <w:sz w:val="22"/>
        </w:rPr>
      </w:pPr>
      <w:r>
        <w:rPr>
          <w:rFonts w:hint="eastAsia" w:ascii="宋体" w:hAnsi="宋体" w:cs="新宋体"/>
          <w:sz w:val="22"/>
        </w:rPr>
        <w:t>2、评标委员会推荐得分最高的供应商为预中标供应商（如果得分相同则按报价从低到高顺序依次推荐为预中标单位）；如果得分相同，报价也相同，以抽签决定，并编写评标报告。</w:t>
      </w:r>
    </w:p>
    <w:p>
      <w:pPr>
        <w:widowControl/>
        <w:autoSpaceDE w:val="0"/>
        <w:autoSpaceDN w:val="0"/>
        <w:adjustRightInd w:val="0"/>
        <w:spacing w:line="460" w:lineRule="atLeast"/>
        <w:ind w:firstLine="440" w:firstLineChars="200"/>
        <w:textAlignment w:val="bottom"/>
        <w:rPr>
          <w:rFonts w:ascii="宋体" w:hAnsi="宋体" w:cs="新宋体"/>
          <w:sz w:val="22"/>
        </w:rPr>
      </w:pPr>
      <w:r>
        <w:rPr>
          <w:rFonts w:hint="eastAsia" w:ascii="宋体" w:hAnsi="宋体" w:cs="新宋体"/>
          <w:sz w:val="22"/>
        </w:rPr>
        <w:t>3、所有分值计算保留小数点后二位，小数点后三位四舍五入。</w:t>
      </w:r>
    </w:p>
    <w:p>
      <w:pPr>
        <w:widowControl/>
        <w:autoSpaceDE w:val="0"/>
        <w:autoSpaceDN w:val="0"/>
        <w:adjustRightInd w:val="0"/>
        <w:spacing w:line="460" w:lineRule="atLeast"/>
        <w:ind w:firstLine="440" w:firstLineChars="200"/>
        <w:textAlignment w:val="bottom"/>
        <w:rPr>
          <w:rFonts w:ascii="宋体" w:hAnsi="宋体" w:cs="新宋体"/>
          <w:sz w:val="22"/>
        </w:rPr>
      </w:pPr>
      <w:r>
        <w:rPr>
          <w:rFonts w:hint="eastAsia" w:ascii="宋体" w:hAnsi="宋体" w:cs="新宋体"/>
          <w:sz w:val="22"/>
        </w:rPr>
        <w:t>参见本招标文件第三部分：“供应商须知” 中的相关内容，未尽事宜按有关法律规定处理。</w:t>
      </w:r>
    </w:p>
    <w:p>
      <w:pPr>
        <w:widowControl/>
        <w:autoSpaceDE w:val="0"/>
        <w:autoSpaceDN w:val="0"/>
        <w:adjustRightInd w:val="0"/>
        <w:spacing w:line="460" w:lineRule="atLeast"/>
        <w:ind w:firstLine="420" w:firstLineChars="200"/>
        <w:textAlignment w:val="bottom"/>
        <w:rPr>
          <w:rFonts w:ascii="宋体" w:hAnsi="宋体" w:cs="新宋体"/>
          <w:sz w:val="22"/>
        </w:rPr>
      </w:pPr>
      <w:r>
        <w:rPr>
          <w:rFonts w:hint="eastAsia" w:ascii="宋体" w:hAnsi="宋体" w:cs="新宋体"/>
          <w:szCs w:val="21"/>
        </w:rPr>
        <w:t>四</w:t>
      </w:r>
      <w:r>
        <w:rPr>
          <w:rFonts w:hint="eastAsia" w:ascii="宋体" w:hAnsi="宋体" w:cs="新宋体"/>
          <w:sz w:val="22"/>
        </w:rPr>
        <w:t>、注意事项</w:t>
      </w:r>
    </w:p>
    <w:p>
      <w:pPr>
        <w:widowControl/>
        <w:autoSpaceDE w:val="0"/>
        <w:autoSpaceDN w:val="0"/>
        <w:adjustRightInd w:val="0"/>
        <w:spacing w:line="460" w:lineRule="atLeast"/>
        <w:ind w:firstLine="440" w:firstLineChars="200"/>
        <w:textAlignment w:val="bottom"/>
        <w:rPr>
          <w:rFonts w:ascii="宋体" w:hAnsi="宋体" w:cs="新宋体"/>
          <w:sz w:val="22"/>
        </w:rPr>
      </w:pPr>
      <w:r>
        <w:rPr>
          <w:rFonts w:hint="eastAsia" w:ascii="宋体" w:hAnsi="宋体" w:cs="新宋体"/>
          <w:sz w:val="22"/>
        </w:rPr>
        <w:t>为确保评标工作的顺利进行，防止因泄密或其它意外而造成不良后果及影响，凡参加评标工作的人员都必须认真执行下面规定：</w:t>
      </w:r>
    </w:p>
    <w:p>
      <w:pPr>
        <w:widowControl/>
        <w:autoSpaceDE w:val="0"/>
        <w:autoSpaceDN w:val="0"/>
        <w:adjustRightInd w:val="0"/>
        <w:spacing w:line="460" w:lineRule="atLeast"/>
        <w:ind w:firstLine="440" w:firstLineChars="200"/>
        <w:textAlignment w:val="bottom"/>
        <w:rPr>
          <w:rFonts w:ascii="宋体" w:hAnsi="宋体" w:cs="新宋体"/>
          <w:sz w:val="22"/>
        </w:rPr>
      </w:pPr>
      <w:r>
        <w:rPr>
          <w:rFonts w:hint="eastAsia" w:ascii="宋体" w:hAnsi="宋体" w:cs="新宋体"/>
          <w:sz w:val="22"/>
        </w:rPr>
        <w:t>1． 在评标工作期间，所有分发的投标文件、资料等仅限于在评标场所中使用，不得带往其它地方。</w:t>
      </w:r>
    </w:p>
    <w:p>
      <w:pPr>
        <w:widowControl/>
        <w:autoSpaceDE w:val="0"/>
        <w:autoSpaceDN w:val="0"/>
        <w:adjustRightInd w:val="0"/>
        <w:spacing w:line="460" w:lineRule="atLeast"/>
        <w:ind w:firstLine="440" w:firstLineChars="200"/>
        <w:textAlignment w:val="bottom"/>
        <w:rPr>
          <w:rFonts w:ascii="宋体" w:hAnsi="宋体" w:cs="新宋体"/>
          <w:sz w:val="22"/>
        </w:rPr>
      </w:pPr>
      <w:r>
        <w:rPr>
          <w:rFonts w:hint="eastAsia" w:ascii="宋体" w:hAnsi="宋体" w:cs="新宋体"/>
          <w:sz w:val="22"/>
        </w:rPr>
        <w:t>2． 评标人员及工作人员不得在公共场合谈论有关评标内容。</w:t>
      </w:r>
    </w:p>
    <w:p>
      <w:pPr>
        <w:widowControl/>
        <w:autoSpaceDE w:val="0"/>
        <w:autoSpaceDN w:val="0"/>
        <w:adjustRightInd w:val="0"/>
        <w:spacing w:line="460" w:lineRule="atLeast"/>
        <w:ind w:firstLine="440" w:firstLineChars="200"/>
        <w:textAlignment w:val="bottom"/>
        <w:rPr>
          <w:rFonts w:ascii="宋体" w:hAnsi="宋体" w:cs="新宋体"/>
          <w:sz w:val="22"/>
        </w:rPr>
      </w:pPr>
      <w:r>
        <w:rPr>
          <w:rFonts w:hint="eastAsia" w:ascii="宋体" w:hAnsi="宋体" w:cs="新宋体"/>
          <w:sz w:val="22"/>
        </w:rPr>
        <w:t>3． 评标人员及工作人员不得以书信、电讯、口述等方式将有关评标内容（如资料、投标文件、报价、评标方式、评标委员会的决定、评标人员名单等）披露给未参加评标的任何无关人员，包括上级领导、同级和下级人员，任何与评标无关的人员（包括亲朋好友和同事）不得进入评标场所。</w:t>
      </w:r>
    </w:p>
    <w:p>
      <w:pPr>
        <w:widowControl/>
        <w:autoSpaceDE w:val="0"/>
        <w:autoSpaceDN w:val="0"/>
        <w:adjustRightInd w:val="0"/>
        <w:spacing w:line="460" w:lineRule="atLeast"/>
        <w:ind w:firstLine="440" w:firstLineChars="200"/>
        <w:textAlignment w:val="bottom"/>
        <w:rPr>
          <w:rFonts w:ascii="宋体" w:hAnsi="宋体" w:cs="新宋体"/>
          <w:sz w:val="22"/>
        </w:rPr>
      </w:pPr>
      <w:r>
        <w:rPr>
          <w:rFonts w:hint="eastAsia" w:ascii="宋体" w:hAnsi="宋体" w:cs="新宋体"/>
          <w:sz w:val="22"/>
        </w:rPr>
        <w:t>4． 任何需要向投标人进行询标的问题必须经评标委员会成员签字并由主询标人提出。在询标期间，对于涉及本规定保密范畴的所有内容，主询标人不得向投标人透露。</w:t>
      </w:r>
    </w:p>
    <w:p>
      <w:pPr>
        <w:widowControl/>
        <w:autoSpaceDE w:val="0"/>
        <w:autoSpaceDN w:val="0"/>
        <w:adjustRightInd w:val="0"/>
        <w:spacing w:line="460" w:lineRule="atLeast"/>
        <w:ind w:firstLine="440" w:firstLineChars="200"/>
        <w:textAlignment w:val="bottom"/>
        <w:rPr>
          <w:rFonts w:ascii="宋体" w:hAnsi="宋体" w:cs="新宋体"/>
          <w:szCs w:val="21"/>
        </w:rPr>
      </w:pPr>
      <w:r>
        <w:rPr>
          <w:rFonts w:hint="eastAsia" w:ascii="宋体" w:hAnsi="宋体" w:cs="新宋体"/>
          <w:sz w:val="22"/>
        </w:rPr>
        <w:t>5． 任何评标人员和工作人员不得对外公布评标的一切内容。</w:t>
      </w:r>
    </w:p>
    <w:sectPr>
      <w:pgSz w:w="11906" w:h="16838"/>
      <w:pgMar w:top="1134" w:right="1134" w:bottom="1134" w:left="1134"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F7FFAFFF" w:usb1="E9DFFFFF" w:usb2="0000003F" w:usb3="00000000" w:csb0="003F01F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auto"/>
    <w:pitch w:val="default"/>
    <w:sig w:usb0="A00002FF" w:usb1="28CFFCFA" w:usb2="00000016" w:usb3="00000000" w:csb0="00100001"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pPr>
    <w:r>
      <w:rPr>
        <w:rFonts w:hint="eastAsia"/>
      </w:rPr>
      <w:t>温州市中概工程管理咨询有限公司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rPr>
    </w:pPr>
    <w:r>
      <w:fldChar w:fldCharType="begin"/>
    </w:r>
    <w:r>
      <w:rPr>
        <w:rStyle w:val="45"/>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ind w:right="720"/>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lang/>
      </w:rPr>
      <w:t>3</w:t>
    </w:r>
    <w:r>
      <w:fldChar w:fldCharType="end"/>
    </w:r>
  </w:p>
  <w:p>
    <w:pPr>
      <w:pStyle w:val="28"/>
      <w:tabs>
        <w:tab w:val="left" w:pos="5820"/>
        <w:tab w:val="clear" w:pos="4153"/>
        <w:tab w:val="clear" w:pos="8306"/>
      </w:tabs>
      <w:ind w:right="990"/>
    </w:pPr>
    <w:r>
      <w:rPr>
        <w:rFonts w:hint="eastAsia"/>
      </w:rPr>
      <w:t>温州市中概工程管理咨询有限公司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w:t>
    </w:r>
    <w:r>
      <w:rPr>
        <w:lang w:val="zh-CN"/>
      </w:rPr>
      <w:fldChar w:fldCharType="end"/>
    </w:r>
  </w:p>
  <w:p>
    <w:pPr>
      <w:pStyle w:val="28"/>
      <w:ind w:right="720"/>
      <w:rPr>
        <w:rFonts w:ascii="宋体"/>
      </w:rPr>
    </w:pPr>
    <w:r>
      <w:rPr>
        <w:rFonts w:ascii="宋体"/>
      </w:rPr>
      <w:t>温州市中概工程管理咨询有限公司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page" w:x="5719" w:y="18"/>
      <w:rPr>
        <w:rStyle w:val="45"/>
        <w:rFonts w:ascii="宋体"/>
      </w:rPr>
    </w:pPr>
    <w:r>
      <w:rPr>
        <w:rFonts w:ascii="宋体"/>
      </w:rPr>
      <w:fldChar w:fldCharType="begin"/>
    </w:r>
    <w:r>
      <w:rPr>
        <w:rStyle w:val="45"/>
        <w:rFonts w:ascii="宋体"/>
      </w:rPr>
      <w:instrText xml:space="preserve">PAGE  </w:instrText>
    </w:r>
    <w:r>
      <w:rPr>
        <w:rFonts w:ascii="宋体"/>
      </w:rPr>
      <w:fldChar w:fldCharType="separate"/>
    </w:r>
    <w:r>
      <w:rPr>
        <w:rStyle w:val="45"/>
        <w:rFonts w:ascii="宋体"/>
        <w:lang/>
      </w:rPr>
      <w:t>75</w:t>
    </w:r>
    <w:r>
      <w:rPr>
        <w:rFonts w:ascii="宋体"/>
      </w:rPr>
      <w:fldChar w:fldCharType="end"/>
    </w:r>
  </w:p>
  <w:p>
    <w:pPr>
      <w:pStyle w:val="28"/>
      <w:ind w:right="720"/>
      <w:rPr>
        <w:rFonts w:ascii="宋体"/>
      </w:rPr>
    </w:pPr>
    <w:r>
      <w:rPr>
        <w:rFonts w:ascii="宋体"/>
      </w:rPr>
      <w:t>温州市中概工程管理咨询有限公司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page" w:x="5719" w:y="18"/>
      <w:rPr>
        <w:rStyle w:val="45"/>
        <w:rFonts w:ascii="宋体"/>
      </w:rPr>
    </w:pPr>
    <w:r>
      <w:rPr>
        <w:rFonts w:ascii="宋体"/>
      </w:rPr>
      <w:fldChar w:fldCharType="begin"/>
    </w:r>
    <w:r>
      <w:rPr>
        <w:rStyle w:val="45"/>
        <w:rFonts w:ascii="宋体"/>
      </w:rPr>
      <w:instrText xml:space="preserve">PAGE  </w:instrText>
    </w:r>
    <w:r>
      <w:rPr>
        <w:rFonts w:ascii="宋体"/>
      </w:rPr>
      <w:fldChar w:fldCharType="separate"/>
    </w:r>
    <w:r>
      <w:rPr>
        <w:rStyle w:val="45"/>
        <w:rFonts w:ascii="宋体"/>
        <w:lang/>
      </w:rPr>
      <w:t>87</w:t>
    </w:r>
    <w:r>
      <w:rPr>
        <w:rFonts w:ascii="宋体"/>
      </w:rPr>
      <w:fldChar w:fldCharType="end"/>
    </w:r>
  </w:p>
  <w:p>
    <w:pPr>
      <w:pStyle w:val="28"/>
      <w:ind w:right="720"/>
      <w:rPr>
        <w:rFonts w:ascii="宋体"/>
      </w:rPr>
    </w:pPr>
    <w:r>
      <w:rPr>
        <w:rFonts w:ascii="宋体"/>
      </w:rPr>
      <w:t>温州市中概工程管理咨询有限公司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r>
      <w:rPr>
        <w:rFonts w:hint="eastAsia"/>
      </w:rPr>
      <w:t>政府采购文件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r>
      <w:rPr>
        <w:rFonts w:hint="eastAsia"/>
      </w:rPr>
      <w:t>政府采购文件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ascii="宋体"/>
        <w:b/>
      </w:rPr>
    </w:pPr>
    <w:r>
      <w:rPr>
        <w:rFonts w:hint="eastAsia" w:ascii="宋体"/>
      </w:rPr>
      <w:t>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ascii="宋体"/>
        <w:b/>
      </w:rPr>
    </w:pPr>
    <w:r>
      <w:rPr>
        <w:rFonts w:hint="eastAsia" w:ascii="宋体"/>
      </w:rPr>
      <w:t>政府采购招标文件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ascii="宋体"/>
        <w:b/>
      </w:rPr>
    </w:pPr>
    <w:r>
      <w:rPr>
        <w:rFonts w:hint="eastAsia" w:ascii="宋体"/>
        <w:b/>
      </w:rPr>
      <w:t>政府采购招标文件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ascii="宋体"/>
        <w:b/>
      </w:rPr>
    </w:pPr>
    <w:r>
      <w:rPr>
        <w:rFonts w:hint="eastAsia" w:ascii="宋体"/>
        <w:b/>
      </w:rPr>
      <w:t>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4678B"/>
    <w:multiLevelType w:val="singleLevel"/>
    <w:tmpl w:val="A8E4678B"/>
    <w:lvl w:ilvl="0" w:tentative="0">
      <w:start w:val="1"/>
      <w:numFmt w:val="decimal"/>
      <w:suff w:val="space"/>
      <w:lvlText w:val="（%1）"/>
      <w:lvlJc w:val="left"/>
    </w:lvl>
  </w:abstractNum>
  <w:abstractNum w:abstractNumId="1">
    <w:nsid w:val="D9CB2AEE"/>
    <w:multiLevelType w:val="singleLevel"/>
    <w:tmpl w:val="D9CB2AEE"/>
    <w:lvl w:ilvl="0" w:tentative="0">
      <w:start w:val="7"/>
      <w:numFmt w:val="decimal"/>
      <w:suff w:val="nothing"/>
      <w:lvlText w:val="（%1）"/>
      <w:lvlJc w:val="left"/>
    </w:lvl>
  </w:abstractNum>
  <w:abstractNum w:abstractNumId="2">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3">
    <w:nsid w:val="0A68C104"/>
    <w:multiLevelType w:val="singleLevel"/>
    <w:tmpl w:val="0A68C104"/>
    <w:lvl w:ilvl="0" w:tentative="0">
      <w:start w:val="2"/>
      <w:numFmt w:val="chineseCounting"/>
      <w:suff w:val="nothing"/>
      <w:lvlText w:val="%1．"/>
      <w:lvlJc w:val="left"/>
      <w:rPr>
        <w:rFonts w:hint="eastAsia"/>
      </w:rPr>
    </w:lvl>
  </w:abstractNum>
  <w:abstractNum w:abstractNumId="4">
    <w:nsid w:val="0D1875C4"/>
    <w:multiLevelType w:val="multilevel"/>
    <w:tmpl w:val="0D1875C4"/>
    <w:lvl w:ilvl="0" w:tentative="0">
      <w:start w:val="1"/>
      <w:numFmt w:val="decimalEnclosedCircleChinese"/>
      <w:lvlText w:val="%1　"/>
      <w:lvlJc w:val="left"/>
      <w:pPr>
        <w:ind w:left="420" w:hanging="420"/>
      </w:pPr>
    </w:lvl>
    <w:lvl w:ilvl="1" w:tentative="0">
      <w:start w:val="1"/>
      <w:numFmt w:val="decimal"/>
      <w:lvlText w:val="%2."/>
      <w:lvlJc w:val="left"/>
      <w:pPr>
        <w:tabs>
          <w:tab w:val="left" w:pos="1440"/>
        </w:tabs>
        <w:ind w:left="1440" w:hanging="360"/>
      </w:pPr>
    </w:lvl>
    <w:lvl w:ilvl="2" w:tentative="0">
      <w:start w:val="1"/>
      <w:numFmt w:val="decimalEnclosedCircleChinese"/>
      <w:lvlText w:val="%3　"/>
      <w:lvlJc w:val="left"/>
      <w:pPr>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56DEF4E"/>
    <w:multiLevelType w:val="singleLevel"/>
    <w:tmpl w:val="256DEF4E"/>
    <w:lvl w:ilvl="0" w:tentative="0">
      <w:start w:val="1"/>
      <w:numFmt w:val="decimal"/>
      <w:lvlText w:val="%1."/>
      <w:lvlJc w:val="left"/>
      <w:pPr>
        <w:tabs>
          <w:tab w:val="left" w:pos="312"/>
        </w:tabs>
      </w:pPr>
    </w:lvl>
  </w:abstractNum>
  <w:abstractNum w:abstractNumId="6">
    <w:nsid w:val="27B919D6"/>
    <w:multiLevelType w:val="multilevel"/>
    <w:tmpl w:val="27B919D6"/>
    <w:lvl w:ilvl="0" w:tentative="0">
      <w:start w:val="1"/>
      <w:numFmt w:val="decimal"/>
      <w:lvlText w:val="（%1）"/>
      <w:lvlJc w:val="left"/>
      <w:pPr>
        <w:ind w:left="860" w:hanging="4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7">
    <w:nsid w:val="4F129C40"/>
    <w:multiLevelType w:val="singleLevel"/>
    <w:tmpl w:val="4F129C40"/>
    <w:lvl w:ilvl="0" w:tentative="0">
      <w:start w:val="1"/>
      <w:numFmt w:val="decimal"/>
      <w:lvlText w:val="%1."/>
      <w:lvlJc w:val="left"/>
      <w:pPr>
        <w:tabs>
          <w:tab w:val="left" w:pos="312"/>
        </w:tabs>
      </w:pPr>
    </w:lvl>
  </w:abstractNum>
  <w:num w:numId="1">
    <w:abstractNumId w:val="3"/>
  </w:num>
  <w:num w:numId="2">
    <w:abstractNumId w:val="5"/>
  </w:num>
  <w:num w:numId="3">
    <w:abstractNumId w:val="7"/>
  </w:num>
  <w:num w:numId="4">
    <w:abstractNumId w:val="1"/>
  </w:num>
  <w:num w:numId="5">
    <w:abstractNumId w:val="0"/>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NWUxYTU4YjFiMmQ3YjJiN2UwNGEwYjZjZjRjNDUifQ=="/>
  </w:docVars>
  <w:rsids>
    <w:rsidRoot w:val="00AF6227"/>
    <w:rsid w:val="0000005C"/>
    <w:rsid w:val="00002061"/>
    <w:rsid w:val="00002082"/>
    <w:rsid w:val="000020A8"/>
    <w:rsid w:val="000025D0"/>
    <w:rsid w:val="0000333D"/>
    <w:rsid w:val="00005A48"/>
    <w:rsid w:val="00006A42"/>
    <w:rsid w:val="00007907"/>
    <w:rsid w:val="00007A30"/>
    <w:rsid w:val="0001039F"/>
    <w:rsid w:val="00011410"/>
    <w:rsid w:val="0001323D"/>
    <w:rsid w:val="00013F58"/>
    <w:rsid w:val="000163FB"/>
    <w:rsid w:val="00017269"/>
    <w:rsid w:val="00017C20"/>
    <w:rsid w:val="00021D1D"/>
    <w:rsid w:val="00024C7A"/>
    <w:rsid w:val="00024FDE"/>
    <w:rsid w:val="00025079"/>
    <w:rsid w:val="00027072"/>
    <w:rsid w:val="00027A5C"/>
    <w:rsid w:val="00030140"/>
    <w:rsid w:val="00030435"/>
    <w:rsid w:val="00030C19"/>
    <w:rsid w:val="00030C61"/>
    <w:rsid w:val="0003197C"/>
    <w:rsid w:val="00033952"/>
    <w:rsid w:val="000352D7"/>
    <w:rsid w:val="000356EA"/>
    <w:rsid w:val="0003573B"/>
    <w:rsid w:val="00037F27"/>
    <w:rsid w:val="000410B8"/>
    <w:rsid w:val="00041895"/>
    <w:rsid w:val="00041F1F"/>
    <w:rsid w:val="00042A65"/>
    <w:rsid w:val="000430D7"/>
    <w:rsid w:val="0004325C"/>
    <w:rsid w:val="00044563"/>
    <w:rsid w:val="00044A09"/>
    <w:rsid w:val="0004559B"/>
    <w:rsid w:val="00046E9A"/>
    <w:rsid w:val="00051F29"/>
    <w:rsid w:val="0005220E"/>
    <w:rsid w:val="00053D63"/>
    <w:rsid w:val="00054613"/>
    <w:rsid w:val="00054A1A"/>
    <w:rsid w:val="00054CDE"/>
    <w:rsid w:val="0005556E"/>
    <w:rsid w:val="000605C8"/>
    <w:rsid w:val="000609CD"/>
    <w:rsid w:val="00060BC7"/>
    <w:rsid w:val="00060FB3"/>
    <w:rsid w:val="00062A47"/>
    <w:rsid w:val="0006310B"/>
    <w:rsid w:val="000634EC"/>
    <w:rsid w:val="0006355C"/>
    <w:rsid w:val="00064919"/>
    <w:rsid w:val="00064B20"/>
    <w:rsid w:val="00064C44"/>
    <w:rsid w:val="00064C6E"/>
    <w:rsid w:val="00065845"/>
    <w:rsid w:val="0007127B"/>
    <w:rsid w:val="00073DCC"/>
    <w:rsid w:val="0007486E"/>
    <w:rsid w:val="00074EF5"/>
    <w:rsid w:val="00075082"/>
    <w:rsid w:val="000776B7"/>
    <w:rsid w:val="00077E2F"/>
    <w:rsid w:val="00080672"/>
    <w:rsid w:val="00080BE8"/>
    <w:rsid w:val="00081438"/>
    <w:rsid w:val="0008321E"/>
    <w:rsid w:val="000836EA"/>
    <w:rsid w:val="000842D2"/>
    <w:rsid w:val="00084586"/>
    <w:rsid w:val="00084844"/>
    <w:rsid w:val="00085C2F"/>
    <w:rsid w:val="00085E61"/>
    <w:rsid w:val="00086538"/>
    <w:rsid w:val="00086C22"/>
    <w:rsid w:val="00086C2A"/>
    <w:rsid w:val="00086C38"/>
    <w:rsid w:val="00087389"/>
    <w:rsid w:val="00087781"/>
    <w:rsid w:val="00091BE1"/>
    <w:rsid w:val="00092AB7"/>
    <w:rsid w:val="00093339"/>
    <w:rsid w:val="000938BC"/>
    <w:rsid w:val="00093AE4"/>
    <w:rsid w:val="000941F0"/>
    <w:rsid w:val="000944AD"/>
    <w:rsid w:val="000945AF"/>
    <w:rsid w:val="00094AAF"/>
    <w:rsid w:val="000953C4"/>
    <w:rsid w:val="00095548"/>
    <w:rsid w:val="00095570"/>
    <w:rsid w:val="000956DF"/>
    <w:rsid w:val="00095E6A"/>
    <w:rsid w:val="0009608E"/>
    <w:rsid w:val="00096711"/>
    <w:rsid w:val="00097189"/>
    <w:rsid w:val="000A0293"/>
    <w:rsid w:val="000A1491"/>
    <w:rsid w:val="000A1E95"/>
    <w:rsid w:val="000A24D9"/>
    <w:rsid w:val="000A26E7"/>
    <w:rsid w:val="000A3745"/>
    <w:rsid w:val="000A4FB6"/>
    <w:rsid w:val="000A533B"/>
    <w:rsid w:val="000A596D"/>
    <w:rsid w:val="000A5EBC"/>
    <w:rsid w:val="000A7AB5"/>
    <w:rsid w:val="000B02A3"/>
    <w:rsid w:val="000B0393"/>
    <w:rsid w:val="000B0648"/>
    <w:rsid w:val="000B3313"/>
    <w:rsid w:val="000B44B5"/>
    <w:rsid w:val="000B5045"/>
    <w:rsid w:val="000B52ED"/>
    <w:rsid w:val="000B6938"/>
    <w:rsid w:val="000B7114"/>
    <w:rsid w:val="000B7352"/>
    <w:rsid w:val="000B7A57"/>
    <w:rsid w:val="000C0973"/>
    <w:rsid w:val="000C139D"/>
    <w:rsid w:val="000C1A09"/>
    <w:rsid w:val="000C2BB1"/>
    <w:rsid w:val="000C2ED9"/>
    <w:rsid w:val="000C3605"/>
    <w:rsid w:val="000C3931"/>
    <w:rsid w:val="000C3F83"/>
    <w:rsid w:val="000C5181"/>
    <w:rsid w:val="000C59AC"/>
    <w:rsid w:val="000C5C41"/>
    <w:rsid w:val="000C783C"/>
    <w:rsid w:val="000D0CE1"/>
    <w:rsid w:val="000D1234"/>
    <w:rsid w:val="000D12CD"/>
    <w:rsid w:val="000D12EC"/>
    <w:rsid w:val="000D139B"/>
    <w:rsid w:val="000D1D8D"/>
    <w:rsid w:val="000D1E63"/>
    <w:rsid w:val="000D26C8"/>
    <w:rsid w:val="000D3866"/>
    <w:rsid w:val="000D4569"/>
    <w:rsid w:val="000D4B9A"/>
    <w:rsid w:val="000D6053"/>
    <w:rsid w:val="000D64E5"/>
    <w:rsid w:val="000E024B"/>
    <w:rsid w:val="000E118B"/>
    <w:rsid w:val="000E1253"/>
    <w:rsid w:val="000E1A2A"/>
    <w:rsid w:val="000E21CE"/>
    <w:rsid w:val="000E24CD"/>
    <w:rsid w:val="000E3977"/>
    <w:rsid w:val="000E3B25"/>
    <w:rsid w:val="000E4034"/>
    <w:rsid w:val="000E4481"/>
    <w:rsid w:val="000E4776"/>
    <w:rsid w:val="000E4C02"/>
    <w:rsid w:val="000E4EF2"/>
    <w:rsid w:val="000E63BA"/>
    <w:rsid w:val="000E6A7B"/>
    <w:rsid w:val="000F115A"/>
    <w:rsid w:val="000F188F"/>
    <w:rsid w:val="000F2200"/>
    <w:rsid w:val="000F35E2"/>
    <w:rsid w:val="000F39AA"/>
    <w:rsid w:val="000F3C69"/>
    <w:rsid w:val="000F4740"/>
    <w:rsid w:val="000F61EC"/>
    <w:rsid w:val="0010035B"/>
    <w:rsid w:val="0010063E"/>
    <w:rsid w:val="001007F1"/>
    <w:rsid w:val="001014AF"/>
    <w:rsid w:val="0010229C"/>
    <w:rsid w:val="0010279A"/>
    <w:rsid w:val="00107410"/>
    <w:rsid w:val="001107EF"/>
    <w:rsid w:val="001108DE"/>
    <w:rsid w:val="00110F7D"/>
    <w:rsid w:val="00111825"/>
    <w:rsid w:val="001124B3"/>
    <w:rsid w:val="00112BF0"/>
    <w:rsid w:val="00112E48"/>
    <w:rsid w:val="0011301B"/>
    <w:rsid w:val="00113862"/>
    <w:rsid w:val="00113DEA"/>
    <w:rsid w:val="00114D55"/>
    <w:rsid w:val="00115FCC"/>
    <w:rsid w:val="00116893"/>
    <w:rsid w:val="001178CF"/>
    <w:rsid w:val="00123D6A"/>
    <w:rsid w:val="00125555"/>
    <w:rsid w:val="00126530"/>
    <w:rsid w:val="00127130"/>
    <w:rsid w:val="00127AB3"/>
    <w:rsid w:val="00130065"/>
    <w:rsid w:val="00133381"/>
    <w:rsid w:val="0013430F"/>
    <w:rsid w:val="001361BD"/>
    <w:rsid w:val="00140B8B"/>
    <w:rsid w:val="0014129F"/>
    <w:rsid w:val="00141F27"/>
    <w:rsid w:val="00143C54"/>
    <w:rsid w:val="00144918"/>
    <w:rsid w:val="00145A19"/>
    <w:rsid w:val="001463A9"/>
    <w:rsid w:val="00146555"/>
    <w:rsid w:val="00146D9B"/>
    <w:rsid w:val="00146EE0"/>
    <w:rsid w:val="001502BC"/>
    <w:rsid w:val="00151F6C"/>
    <w:rsid w:val="001542FA"/>
    <w:rsid w:val="0015469B"/>
    <w:rsid w:val="001546D2"/>
    <w:rsid w:val="001550AC"/>
    <w:rsid w:val="00155860"/>
    <w:rsid w:val="00155E47"/>
    <w:rsid w:val="00155F48"/>
    <w:rsid w:val="00156EEE"/>
    <w:rsid w:val="001579B6"/>
    <w:rsid w:val="00161E2A"/>
    <w:rsid w:val="0016216C"/>
    <w:rsid w:val="00163794"/>
    <w:rsid w:val="00163AF1"/>
    <w:rsid w:val="00163D03"/>
    <w:rsid w:val="001655BA"/>
    <w:rsid w:val="00166F8C"/>
    <w:rsid w:val="001673E0"/>
    <w:rsid w:val="001679B6"/>
    <w:rsid w:val="00167C28"/>
    <w:rsid w:val="001705F9"/>
    <w:rsid w:val="00171516"/>
    <w:rsid w:val="001727E7"/>
    <w:rsid w:val="00173674"/>
    <w:rsid w:val="001748DC"/>
    <w:rsid w:val="001758C8"/>
    <w:rsid w:val="00175D42"/>
    <w:rsid w:val="00175DAB"/>
    <w:rsid w:val="00176D09"/>
    <w:rsid w:val="00176E72"/>
    <w:rsid w:val="00177B64"/>
    <w:rsid w:val="00180A3A"/>
    <w:rsid w:val="00183061"/>
    <w:rsid w:val="001832A3"/>
    <w:rsid w:val="00184681"/>
    <w:rsid w:val="001848B8"/>
    <w:rsid w:val="001851AB"/>
    <w:rsid w:val="0018525E"/>
    <w:rsid w:val="00185510"/>
    <w:rsid w:val="00185DDD"/>
    <w:rsid w:val="00185E0D"/>
    <w:rsid w:val="0018678B"/>
    <w:rsid w:val="00190D79"/>
    <w:rsid w:val="001910E8"/>
    <w:rsid w:val="0019112F"/>
    <w:rsid w:val="00191910"/>
    <w:rsid w:val="0019298D"/>
    <w:rsid w:val="00192EA7"/>
    <w:rsid w:val="001931EF"/>
    <w:rsid w:val="0019325A"/>
    <w:rsid w:val="00193BBC"/>
    <w:rsid w:val="00194588"/>
    <w:rsid w:val="0019461A"/>
    <w:rsid w:val="00194D56"/>
    <w:rsid w:val="00194DEA"/>
    <w:rsid w:val="00196A61"/>
    <w:rsid w:val="001970B6"/>
    <w:rsid w:val="00197329"/>
    <w:rsid w:val="001974F3"/>
    <w:rsid w:val="001976DD"/>
    <w:rsid w:val="001A0831"/>
    <w:rsid w:val="001A25E3"/>
    <w:rsid w:val="001A3847"/>
    <w:rsid w:val="001A3AD5"/>
    <w:rsid w:val="001A3B9E"/>
    <w:rsid w:val="001A3DEA"/>
    <w:rsid w:val="001A458D"/>
    <w:rsid w:val="001A4DC0"/>
    <w:rsid w:val="001A6700"/>
    <w:rsid w:val="001A77A5"/>
    <w:rsid w:val="001B0428"/>
    <w:rsid w:val="001B0C6B"/>
    <w:rsid w:val="001B13D3"/>
    <w:rsid w:val="001B1E03"/>
    <w:rsid w:val="001B2DC1"/>
    <w:rsid w:val="001B3A4C"/>
    <w:rsid w:val="001B3DF5"/>
    <w:rsid w:val="001B41FD"/>
    <w:rsid w:val="001B4216"/>
    <w:rsid w:val="001B4971"/>
    <w:rsid w:val="001B4AC5"/>
    <w:rsid w:val="001B515D"/>
    <w:rsid w:val="001B66E0"/>
    <w:rsid w:val="001B7574"/>
    <w:rsid w:val="001B75D2"/>
    <w:rsid w:val="001B7FBF"/>
    <w:rsid w:val="001C0E2E"/>
    <w:rsid w:val="001C13F5"/>
    <w:rsid w:val="001C1D62"/>
    <w:rsid w:val="001C29CC"/>
    <w:rsid w:val="001C2B4B"/>
    <w:rsid w:val="001C3F18"/>
    <w:rsid w:val="001C4B16"/>
    <w:rsid w:val="001C6427"/>
    <w:rsid w:val="001C7031"/>
    <w:rsid w:val="001C7C9F"/>
    <w:rsid w:val="001D1380"/>
    <w:rsid w:val="001D2104"/>
    <w:rsid w:val="001D3075"/>
    <w:rsid w:val="001D3145"/>
    <w:rsid w:val="001D3321"/>
    <w:rsid w:val="001D3D60"/>
    <w:rsid w:val="001D4502"/>
    <w:rsid w:val="001D50BA"/>
    <w:rsid w:val="001D563E"/>
    <w:rsid w:val="001D7588"/>
    <w:rsid w:val="001D75F5"/>
    <w:rsid w:val="001D7EF1"/>
    <w:rsid w:val="001E0EEA"/>
    <w:rsid w:val="001E131D"/>
    <w:rsid w:val="001E1A7A"/>
    <w:rsid w:val="001E2150"/>
    <w:rsid w:val="001E26AE"/>
    <w:rsid w:val="001E2C3D"/>
    <w:rsid w:val="001E6581"/>
    <w:rsid w:val="001F064C"/>
    <w:rsid w:val="001F1178"/>
    <w:rsid w:val="001F1850"/>
    <w:rsid w:val="001F3285"/>
    <w:rsid w:val="001F3595"/>
    <w:rsid w:val="001F38AA"/>
    <w:rsid w:val="001F3CFB"/>
    <w:rsid w:val="001F40CC"/>
    <w:rsid w:val="001F5246"/>
    <w:rsid w:val="001F5456"/>
    <w:rsid w:val="001F6574"/>
    <w:rsid w:val="001F6BE3"/>
    <w:rsid w:val="001F6C53"/>
    <w:rsid w:val="001F795D"/>
    <w:rsid w:val="00200A92"/>
    <w:rsid w:val="00202344"/>
    <w:rsid w:val="002039DA"/>
    <w:rsid w:val="00203C65"/>
    <w:rsid w:val="00203D45"/>
    <w:rsid w:val="002044FE"/>
    <w:rsid w:val="002048BB"/>
    <w:rsid w:val="00205404"/>
    <w:rsid w:val="0020556E"/>
    <w:rsid w:val="002118CB"/>
    <w:rsid w:val="00211B42"/>
    <w:rsid w:val="00213484"/>
    <w:rsid w:val="0021379B"/>
    <w:rsid w:val="00215318"/>
    <w:rsid w:val="00215A0E"/>
    <w:rsid w:val="00216EDF"/>
    <w:rsid w:val="0022107C"/>
    <w:rsid w:val="00222052"/>
    <w:rsid w:val="0022246D"/>
    <w:rsid w:val="0022377D"/>
    <w:rsid w:val="00224E41"/>
    <w:rsid w:val="0022580B"/>
    <w:rsid w:val="00226D48"/>
    <w:rsid w:val="00226D76"/>
    <w:rsid w:val="0022799E"/>
    <w:rsid w:val="00227F94"/>
    <w:rsid w:val="002343C2"/>
    <w:rsid w:val="00234FB0"/>
    <w:rsid w:val="0023544B"/>
    <w:rsid w:val="002357FE"/>
    <w:rsid w:val="00235F5D"/>
    <w:rsid w:val="00236429"/>
    <w:rsid w:val="00236A21"/>
    <w:rsid w:val="00236DD9"/>
    <w:rsid w:val="00237FDB"/>
    <w:rsid w:val="00241202"/>
    <w:rsid w:val="002418CB"/>
    <w:rsid w:val="002419B0"/>
    <w:rsid w:val="00241C9A"/>
    <w:rsid w:val="00241EBD"/>
    <w:rsid w:val="00242B92"/>
    <w:rsid w:val="00244B1A"/>
    <w:rsid w:val="00245A31"/>
    <w:rsid w:val="002462DE"/>
    <w:rsid w:val="0025102F"/>
    <w:rsid w:val="002510AD"/>
    <w:rsid w:val="00254AFB"/>
    <w:rsid w:val="00254DCA"/>
    <w:rsid w:val="0025508A"/>
    <w:rsid w:val="002552B5"/>
    <w:rsid w:val="00255F2D"/>
    <w:rsid w:val="0026130D"/>
    <w:rsid w:val="0026190B"/>
    <w:rsid w:val="0026209E"/>
    <w:rsid w:val="00263FCC"/>
    <w:rsid w:val="00264182"/>
    <w:rsid w:val="002649EE"/>
    <w:rsid w:val="002652A5"/>
    <w:rsid w:val="002654EC"/>
    <w:rsid w:val="002658CC"/>
    <w:rsid w:val="00265F89"/>
    <w:rsid w:val="00266F39"/>
    <w:rsid w:val="00270316"/>
    <w:rsid w:val="002715F0"/>
    <w:rsid w:val="00272FFF"/>
    <w:rsid w:val="00273952"/>
    <w:rsid w:val="00274171"/>
    <w:rsid w:val="002747E3"/>
    <w:rsid w:val="00274C2E"/>
    <w:rsid w:val="002752AA"/>
    <w:rsid w:val="002757B8"/>
    <w:rsid w:val="00277D43"/>
    <w:rsid w:val="002803EA"/>
    <w:rsid w:val="00280C3F"/>
    <w:rsid w:val="00280F86"/>
    <w:rsid w:val="0028162F"/>
    <w:rsid w:val="002817C5"/>
    <w:rsid w:val="002821F9"/>
    <w:rsid w:val="00282DFA"/>
    <w:rsid w:val="00282F30"/>
    <w:rsid w:val="002833A3"/>
    <w:rsid w:val="00283984"/>
    <w:rsid w:val="002839D9"/>
    <w:rsid w:val="002854D7"/>
    <w:rsid w:val="002868E1"/>
    <w:rsid w:val="00286AA5"/>
    <w:rsid w:val="00286D89"/>
    <w:rsid w:val="00287140"/>
    <w:rsid w:val="0029108F"/>
    <w:rsid w:val="002913B3"/>
    <w:rsid w:val="00292E14"/>
    <w:rsid w:val="00293572"/>
    <w:rsid w:val="00293E4F"/>
    <w:rsid w:val="00296A1F"/>
    <w:rsid w:val="00296F17"/>
    <w:rsid w:val="00297482"/>
    <w:rsid w:val="002A0150"/>
    <w:rsid w:val="002A0F48"/>
    <w:rsid w:val="002A1279"/>
    <w:rsid w:val="002A1FE0"/>
    <w:rsid w:val="002A2269"/>
    <w:rsid w:val="002A288B"/>
    <w:rsid w:val="002A2C24"/>
    <w:rsid w:val="002A3871"/>
    <w:rsid w:val="002A3E40"/>
    <w:rsid w:val="002B0164"/>
    <w:rsid w:val="002B0ECA"/>
    <w:rsid w:val="002B1E6E"/>
    <w:rsid w:val="002B2F4B"/>
    <w:rsid w:val="002B5E20"/>
    <w:rsid w:val="002B66AB"/>
    <w:rsid w:val="002B6BF9"/>
    <w:rsid w:val="002C10E0"/>
    <w:rsid w:val="002C2865"/>
    <w:rsid w:val="002C3114"/>
    <w:rsid w:val="002C3C04"/>
    <w:rsid w:val="002C6660"/>
    <w:rsid w:val="002C6AEB"/>
    <w:rsid w:val="002C7435"/>
    <w:rsid w:val="002D1361"/>
    <w:rsid w:val="002D1B96"/>
    <w:rsid w:val="002D2822"/>
    <w:rsid w:val="002D3325"/>
    <w:rsid w:val="002D3756"/>
    <w:rsid w:val="002D4143"/>
    <w:rsid w:val="002D422C"/>
    <w:rsid w:val="002D6B40"/>
    <w:rsid w:val="002D6BA2"/>
    <w:rsid w:val="002E1783"/>
    <w:rsid w:val="002E41C8"/>
    <w:rsid w:val="002E5C2C"/>
    <w:rsid w:val="002E5C70"/>
    <w:rsid w:val="002E6B46"/>
    <w:rsid w:val="002E7A62"/>
    <w:rsid w:val="002E7C35"/>
    <w:rsid w:val="002F1F75"/>
    <w:rsid w:val="002F1FF4"/>
    <w:rsid w:val="002F2DE3"/>
    <w:rsid w:val="002F3831"/>
    <w:rsid w:val="002F3A07"/>
    <w:rsid w:val="002F4334"/>
    <w:rsid w:val="002F5525"/>
    <w:rsid w:val="002F658E"/>
    <w:rsid w:val="002F7003"/>
    <w:rsid w:val="00303B36"/>
    <w:rsid w:val="00303C5B"/>
    <w:rsid w:val="00305BD3"/>
    <w:rsid w:val="00306B04"/>
    <w:rsid w:val="0030757E"/>
    <w:rsid w:val="003075D2"/>
    <w:rsid w:val="0031039B"/>
    <w:rsid w:val="00310FF5"/>
    <w:rsid w:val="00311692"/>
    <w:rsid w:val="00311B27"/>
    <w:rsid w:val="00311FAA"/>
    <w:rsid w:val="003121BE"/>
    <w:rsid w:val="003130D6"/>
    <w:rsid w:val="00313ED0"/>
    <w:rsid w:val="003141E7"/>
    <w:rsid w:val="003156AC"/>
    <w:rsid w:val="003168A3"/>
    <w:rsid w:val="003169C0"/>
    <w:rsid w:val="00317845"/>
    <w:rsid w:val="00317A4E"/>
    <w:rsid w:val="003200B5"/>
    <w:rsid w:val="00321148"/>
    <w:rsid w:val="00322AC4"/>
    <w:rsid w:val="00323034"/>
    <w:rsid w:val="00323ABA"/>
    <w:rsid w:val="00325FD8"/>
    <w:rsid w:val="003268FA"/>
    <w:rsid w:val="00326E13"/>
    <w:rsid w:val="00334E12"/>
    <w:rsid w:val="00334FA2"/>
    <w:rsid w:val="00335478"/>
    <w:rsid w:val="0033578E"/>
    <w:rsid w:val="00335F8B"/>
    <w:rsid w:val="0033688B"/>
    <w:rsid w:val="00340F8B"/>
    <w:rsid w:val="003436F0"/>
    <w:rsid w:val="003439E0"/>
    <w:rsid w:val="00344703"/>
    <w:rsid w:val="003467E9"/>
    <w:rsid w:val="003474A7"/>
    <w:rsid w:val="00350476"/>
    <w:rsid w:val="0035198D"/>
    <w:rsid w:val="00351CC3"/>
    <w:rsid w:val="00351F6A"/>
    <w:rsid w:val="00352953"/>
    <w:rsid w:val="0035342E"/>
    <w:rsid w:val="00354A41"/>
    <w:rsid w:val="003550AC"/>
    <w:rsid w:val="0035533C"/>
    <w:rsid w:val="00355384"/>
    <w:rsid w:val="003558A4"/>
    <w:rsid w:val="00356F95"/>
    <w:rsid w:val="003575E6"/>
    <w:rsid w:val="003604A2"/>
    <w:rsid w:val="00360B48"/>
    <w:rsid w:val="00360D82"/>
    <w:rsid w:val="003623B6"/>
    <w:rsid w:val="003638C6"/>
    <w:rsid w:val="00363DE7"/>
    <w:rsid w:val="00364BED"/>
    <w:rsid w:val="00364C9D"/>
    <w:rsid w:val="0036606D"/>
    <w:rsid w:val="003663CE"/>
    <w:rsid w:val="00366A4D"/>
    <w:rsid w:val="00366DBC"/>
    <w:rsid w:val="00367D64"/>
    <w:rsid w:val="0037085D"/>
    <w:rsid w:val="003712C1"/>
    <w:rsid w:val="0037282B"/>
    <w:rsid w:val="0037322D"/>
    <w:rsid w:val="0037514E"/>
    <w:rsid w:val="00375DCC"/>
    <w:rsid w:val="00376C1A"/>
    <w:rsid w:val="00377DD3"/>
    <w:rsid w:val="00380332"/>
    <w:rsid w:val="003809C8"/>
    <w:rsid w:val="00382AC2"/>
    <w:rsid w:val="003841DF"/>
    <w:rsid w:val="00384245"/>
    <w:rsid w:val="0038439F"/>
    <w:rsid w:val="0038453E"/>
    <w:rsid w:val="003851F7"/>
    <w:rsid w:val="003862ED"/>
    <w:rsid w:val="00386C5E"/>
    <w:rsid w:val="003875EB"/>
    <w:rsid w:val="00387CAB"/>
    <w:rsid w:val="0039054A"/>
    <w:rsid w:val="00390E91"/>
    <w:rsid w:val="00390FB3"/>
    <w:rsid w:val="00392D36"/>
    <w:rsid w:val="00392FD4"/>
    <w:rsid w:val="00393019"/>
    <w:rsid w:val="00394173"/>
    <w:rsid w:val="0039451A"/>
    <w:rsid w:val="00394CFD"/>
    <w:rsid w:val="003954D8"/>
    <w:rsid w:val="00395916"/>
    <w:rsid w:val="00396E09"/>
    <w:rsid w:val="00397B29"/>
    <w:rsid w:val="00397EB8"/>
    <w:rsid w:val="003A0B8B"/>
    <w:rsid w:val="003A1709"/>
    <w:rsid w:val="003A22C0"/>
    <w:rsid w:val="003A4855"/>
    <w:rsid w:val="003A54FF"/>
    <w:rsid w:val="003A5529"/>
    <w:rsid w:val="003A5D1D"/>
    <w:rsid w:val="003A5FBE"/>
    <w:rsid w:val="003A6911"/>
    <w:rsid w:val="003A7276"/>
    <w:rsid w:val="003B012F"/>
    <w:rsid w:val="003B0131"/>
    <w:rsid w:val="003B064A"/>
    <w:rsid w:val="003B0D42"/>
    <w:rsid w:val="003B0F8E"/>
    <w:rsid w:val="003B2124"/>
    <w:rsid w:val="003B5167"/>
    <w:rsid w:val="003B5953"/>
    <w:rsid w:val="003B5A30"/>
    <w:rsid w:val="003B5D5A"/>
    <w:rsid w:val="003B5F7E"/>
    <w:rsid w:val="003C00AD"/>
    <w:rsid w:val="003C088F"/>
    <w:rsid w:val="003C0D38"/>
    <w:rsid w:val="003C114A"/>
    <w:rsid w:val="003C1736"/>
    <w:rsid w:val="003C198E"/>
    <w:rsid w:val="003C1D34"/>
    <w:rsid w:val="003C2743"/>
    <w:rsid w:val="003C3387"/>
    <w:rsid w:val="003C363F"/>
    <w:rsid w:val="003C6925"/>
    <w:rsid w:val="003D114D"/>
    <w:rsid w:val="003D1BA8"/>
    <w:rsid w:val="003D2060"/>
    <w:rsid w:val="003D2A01"/>
    <w:rsid w:val="003D35D8"/>
    <w:rsid w:val="003D400D"/>
    <w:rsid w:val="003D4995"/>
    <w:rsid w:val="003D5A9F"/>
    <w:rsid w:val="003D5F9E"/>
    <w:rsid w:val="003D6E96"/>
    <w:rsid w:val="003D6F6E"/>
    <w:rsid w:val="003D70D7"/>
    <w:rsid w:val="003D7DCB"/>
    <w:rsid w:val="003E07DA"/>
    <w:rsid w:val="003E2505"/>
    <w:rsid w:val="003E3046"/>
    <w:rsid w:val="003E4957"/>
    <w:rsid w:val="003E4C4B"/>
    <w:rsid w:val="003E5300"/>
    <w:rsid w:val="003E6165"/>
    <w:rsid w:val="003E7070"/>
    <w:rsid w:val="003E7798"/>
    <w:rsid w:val="003E7A0A"/>
    <w:rsid w:val="003E7B27"/>
    <w:rsid w:val="003F084E"/>
    <w:rsid w:val="003F08CE"/>
    <w:rsid w:val="003F17E1"/>
    <w:rsid w:val="003F1C4E"/>
    <w:rsid w:val="003F25F9"/>
    <w:rsid w:val="003F3EFC"/>
    <w:rsid w:val="003F4043"/>
    <w:rsid w:val="003F724B"/>
    <w:rsid w:val="004007EE"/>
    <w:rsid w:val="0040239C"/>
    <w:rsid w:val="00402C80"/>
    <w:rsid w:val="00402D26"/>
    <w:rsid w:val="00402DBC"/>
    <w:rsid w:val="00403FC1"/>
    <w:rsid w:val="00404429"/>
    <w:rsid w:val="00404591"/>
    <w:rsid w:val="00404AB1"/>
    <w:rsid w:val="004052C7"/>
    <w:rsid w:val="00405CA0"/>
    <w:rsid w:val="004061DE"/>
    <w:rsid w:val="00407CB8"/>
    <w:rsid w:val="004101A6"/>
    <w:rsid w:val="004103A5"/>
    <w:rsid w:val="004109E6"/>
    <w:rsid w:val="00411175"/>
    <w:rsid w:val="00413181"/>
    <w:rsid w:val="004139E1"/>
    <w:rsid w:val="00413F04"/>
    <w:rsid w:val="0041632D"/>
    <w:rsid w:val="00421264"/>
    <w:rsid w:val="00421E01"/>
    <w:rsid w:val="004222DB"/>
    <w:rsid w:val="004234C0"/>
    <w:rsid w:val="00423CAF"/>
    <w:rsid w:val="00424125"/>
    <w:rsid w:val="00424B6E"/>
    <w:rsid w:val="00424E11"/>
    <w:rsid w:val="0042736A"/>
    <w:rsid w:val="00427AA3"/>
    <w:rsid w:val="0043028B"/>
    <w:rsid w:val="00430841"/>
    <w:rsid w:val="004314CE"/>
    <w:rsid w:val="004318B4"/>
    <w:rsid w:val="00431C5E"/>
    <w:rsid w:val="00432ADD"/>
    <w:rsid w:val="004330F7"/>
    <w:rsid w:val="004341D5"/>
    <w:rsid w:val="0043437F"/>
    <w:rsid w:val="004348F1"/>
    <w:rsid w:val="0043629F"/>
    <w:rsid w:val="004367CC"/>
    <w:rsid w:val="00436F17"/>
    <w:rsid w:val="00437D2D"/>
    <w:rsid w:val="0044125C"/>
    <w:rsid w:val="004422A7"/>
    <w:rsid w:val="00442D1D"/>
    <w:rsid w:val="00443261"/>
    <w:rsid w:val="00446CBB"/>
    <w:rsid w:val="004475D8"/>
    <w:rsid w:val="00450AEB"/>
    <w:rsid w:val="0045110E"/>
    <w:rsid w:val="00452B9A"/>
    <w:rsid w:val="00454701"/>
    <w:rsid w:val="0045477E"/>
    <w:rsid w:val="0045479B"/>
    <w:rsid w:val="00454CE9"/>
    <w:rsid w:val="00454E63"/>
    <w:rsid w:val="00455FBB"/>
    <w:rsid w:val="00456139"/>
    <w:rsid w:val="00456594"/>
    <w:rsid w:val="00456840"/>
    <w:rsid w:val="004571E4"/>
    <w:rsid w:val="00462FA8"/>
    <w:rsid w:val="00463024"/>
    <w:rsid w:val="004633BC"/>
    <w:rsid w:val="004639D4"/>
    <w:rsid w:val="00463A7A"/>
    <w:rsid w:val="00464D73"/>
    <w:rsid w:val="00465919"/>
    <w:rsid w:val="00465B99"/>
    <w:rsid w:val="00466BDD"/>
    <w:rsid w:val="00466DFE"/>
    <w:rsid w:val="00467203"/>
    <w:rsid w:val="004674D6"/>
    <w:rsid w:val="00467EC9"/>
    <w:rsid w:val="00467FC0"/>
    <w:rsid w:val="00470525"/>
    <w:rsid w:val="00471849"/>
    <w:rsid w:val="0047193E"/>
    <w:rsid w:val="004721A8"/>
    <w:rsid w:val="004725D1"/>
    <w:rsid w:val="00472FBD"/>
    <w:rsid w:val="004732A8"/>
    <w:rsid w:val="00473DAB"/>
    <w:rsid w:val="004746E4"/>
    <w:rsid w:val="00475035"/>
    <w:rsid w:val="00476152"/>
    <w:rsid w:val="00477296"/>
    <w:rsid w:val="004779BF"/>
    <w:rsid w:val="004802E9"/>
    <w:rsid w:val="0048033F"/>
    <w:rsid w:val="0048062E"/>
    <w:rsid w:val="004902D0"/>
    <w:rsid w:val="00490F10"/>
    <w:rsid w:val="004913B0"/>
    <w:rsid w:val="00492138"/>
    <w:rsid w:val="00492644"/>
    <w:rsid w:val="0049418F"/>
    <w:rsid w:val="0049467D"/>
    <w:rsid w:val="004969C5"/>
    <w:rsid w:val="004A1E94"/>
    <w:rsid w:val="004A21DB"/>
    <w:rsid w:val="004A6B85"/>
    <w:rsid w:val="004A7A2B"/>
    <w:rsid w:val="004B18D5"/>
    <w:rsid w:val="004B1D36"/>
    <w:rsid w:val="004B40DA"/>
    <w:rsid w:val="004B4654"/>
    <w:rsid w:val="004B5676"/>
    <w:rsid w:val="004B5A55"/>
    <w:rsid w:val="004B63EF"/>
    <w:rsid w:val="004B686D"/>
    <w:rsid w:val="004B6EA1"/>
    <w:rsid w:val="004B73D5"/>
    <w:rsid w:val="004C2F2D"/>
    <w:rsid w:val="004C3F1A"/>
    <w:rsid w:val="004C48B6"/>
    <w:rsid w:val="004C49C1"/>
    <w:rsid w:val="004C4DC0"/>
    <w:rsid w:val="004C55AD"/>
    <w:rsid w:val="004C5905"/>
    <w:rsid w:val="004C60C0"/>
    <w:rsid w:val="004C78AD"/>
    <w:rsid w:val="004D0999"/>
    <w:rsid w:val="004D0AFC"/>
    <w:rsid w:val="004D162E"/>
    <w:rsid w:val="004D1FE2"/>
    <w:rsid w:val="004D2067"/>
    <w:rsid w:val="004D2ED1"/>
    <w:rsid w:val="004D39DA"/>
    <w:rsid w:val="004D3C71"/>
    <w:rsid w:val="004D3CD2"/>
    <w:rsid w:val="004D489A"/>
    <w:rsid w:val="004D4F35"/>
    <w:rsid w:val="004D601B"/>
    <w:rsid w:val="004D60A9"/>
    <w:rsid w:val="004D651B"/>
    <w:rsid w:val="004D69A0"/>
    <w:rsid w:val="004E0F73"/>
    <w:rsid w:val="004E13A8"/>
    <w:rsid w:val="004E3AC5"/>
    <w:rsid w:val="004E3AF3"/>
    <w:rsid w:val="004E524B"/>
    <w:rsid w:val="004E6919"/>
    <w:rsid w:val="004E6EB1"/>
    <w:rsid w:val="004F0318"/>
    <w:rsid w:val="004F044B"/>
    <w:rsid w:val="004F0D46"/>
    <w:rsid w:val="004F19E3"/>
    <w:rsid w:val="004F2445"/>
    <w:rsid w:val="004F2A83"/>
    <w:rsid w:val="004F44D5"/>
    <w:rsid w:val="004F480A"/>
    <w:rsid w:val="004F4A10"/>
    <w:rsid w:val="004F5236"/>
    <w:rsid w:val="004F5617"/>
    <w:rsid w:val="004F666B"/>
    <w:rsid w:val="005003B5"/>
    <w:rsid w:val="00503096"/>
    <w:rsid w:val="00504588"/>
    <w:rsid w:val="00504FB2"/>
    <w:rsid w:val="005053F4"/>
    <w:rsid w:val="00505E13"/>
    <w:rsid w:val="00506E07"/>
    <w:rsid w:val="00506E80"/>
    <w:rsid w:val="005072EE"/>
    <w:rsid w:val="00507AF2"/>
    <w:rsid w:val="0051027B"/>
    <w:rsid w:val="00510EA8"/>
    <w:rsid w:val="00511360"/>
    <w:rsid w:val="00511EE1"/>
    <w:rsid w:val="00512721"/>
    <w:rsid w:val="00513303"/>
    <w:rsid w:val="00514DD9"/>
    <w:rsid w:val="00516410"/>
    <w:rsid w:val="00516A40"/>
    <w:rsid w:val="00517267"/>
    <w:rsid w:val="005172F3"/>
    <w:rsid w:val="005203DA"/>
    <w:rsid w:val="0052049C"/>
    <w:rsid w:val="0052112B"/>
    <w:rsid w:val="00521283"/>
    <w:rsid w:val="005217F0"/>
    <w:rsid w:val="005219BD"/>
    <w:rsid w:val="005231C2"/>
    <w:rsid w:val="0052346C"/>
    <w:rsid w:val="0052383A"/>
    <w:rsid w:val="005238FD"/>
    <w:rsid w:val="00523F0C"/>
    <w:rsid w:val="00525079"/>
    <w:rsid w:val="00526B3D"/>
    <w:rsid w:val="0052731C"/>
    <w:rsid w:val="00527770"/>
    <w:rsid w:val="00530FCA"/>
    <w:rsid w:val="00531F98"/>
    <w:rsid w:val="005328B2"/>
    <w:rsid w:val="00533ECD"/>
    <w:rsid w:val="00533F42"/>
    <w:rsid w:val="005347F8"/>
    <w:rsid w:val="00534FAA"/>
    <w:rsid w:val="00535017"/>
    <w:rsid w:val="00535285"/>
    <w:rsid w:val="00535628"/>
    <w:rsid w:val="005358A0"/>
    <w:rsid w:val="00535DEE"/>
    <w:rsid w:val="00540690"/>
    <w:rsid w:val="00540DB0"/>
    <w:rsid w:val="00541BEB"/>
    <w:rsid w:val="005426DF"/>
    <w:rsid w:val="005439BE"/>
    <w:rsid w:val="00543B1F"/>
    <w:rsid w:val="00543DEA"/>
    <w:rsid w:val="005457A5"/>
    <w:rsid w:val="00546C38"/>
    <w:rsid w:val="00546D55"/>
    <w:rsid w:val="00546FAB"/>
    <w:rsid w:val="005506FE"/>
    <w:rsid w:val="00550A00"/>
    <w:rsid w:val="005510B0"/>
    <w:rsid w:val="00551E0D"/>
    <w:rsid w:val="00554418"/>
    <w:rsid w:val="005547E9"/>
    <w:rsid w:val="005554B9"/>
    <w:rsid w:val="00555822"/>
    <w:rsid w:val="00556479"/>
    <w:rsid w:val="00556B66"/>
    <w:rsid w:val="00556E29"/>
    <w:rsid w:val="00557051"/>
    <w:rsid w:val="005574FC"/>
    <w:rsid w:val="005577F1"/>
    <w:rsid w:val="00560D19"/>
    <w:rsid w:val="00561119"/>
    <w:rsid w:val="00561CD5"/>
    <w:rsid w:val="005622BB"/>
    <w:rsid w:val="0056304C"/>
    <w:rsid w:val="00563274"/>
    <w:rsid w:val="0057003B"/>
    <w:rsid w:val="0057059B"/>
    <w:rsid w:val="00571844"/>
    <w:rsid w:val="00571BF4"/>
    <w:rsid w:val="0057267E"/>
    <w:rsid w:val="00573536"/>
    <w:rsid w:val="00573CC5"/>
    <w:rsid w:val="00574B59"/>
    <w:rsid w:val="00576444"/>
    <w:rsid w:val="00576BB8"/>
    <w:rsid w:val="00577587"/>
    <w:rsid w:val="005775C8"/>
    <w:rsid w:val="00581DD5"/>
    <w:rsid w:val="0058356C"/>
    <w:rsid w:val="00583E5F"/>
    <w:rsid w:val="005868AB"/>
    <w:rsid w:val="00586AE2"/>
    <w:rsid w:val="00587712"/>
    <w:rsid w:val="00587C4A"/>
    <w:rsid w:val="00590A35"/>
    <w:rsid w:val="005920D4"/>
    <w:rsid w:val="005930AA"/>
    <w:rsid w:val="00593577"/>
    <w:rsid w:val="00594458"/>
    <w:rsid w:val="00594F7D"/>
    <w:rsid w:val="00595FA4"/>
    <w:rsid w:val="005A1A49"/>
    <w:rsid w:val="005A2236"/>
    <w:rsid w:val="005A3E3D"/>
    <w:rsid w:val="005A3E93"/>
    <w:rsid w:val="005A6D9F"/>
    <w:rsid w:val="005B050D"/>
    <w:rsid w:val="005B05AA"/>
    <w:rsid w:val="005B1182"/>
    <w:rsid w:val="005B1E4A"/>
    <w:rsid w:val="005B2421"/>
    <w:rsid w:val="005B2A71"/>
    <w:rsid w:val="005B565E"/>
    <w:rsid w:val="005B7482"/>
    <w:rsid w:val="005B7C6F"/>
    <w:rsid w:val="005C0056"/>
    <w:rsid w:val="005C0777"/>
    <w:rsid w:val="005C0D41"/>
    <w:rsid w:val="005C1B1A"/>
    <w:rsid w:val="005C23ED"/>
    <w:rsid w:val="005C2775"/>
    <w:rsid w:val="005C3211"/>
    <w:rsid w:val="005C3977"/>
    <w:rsid w:val="005C5462"/>
    <w:rsid w:val="005C6106"/>
    <w:rsid w:val="005C73CC"/>
    <w:rsid w:val="005C7DB1"/>
    <w:rsid w:val="005D0522"/>
    <w:rsid w:val="005D1524"/>
    <w:rsid w:val="005D31F1"/>
    <w:rsid w:val="005D36A0"/>
    <w:rsid w:val="005D469F"/>
    <w:rsid w:val="005D475C"/>
    <w:rsid w:val="005D47F7"/>
    <w:rsid w:val="005D483E"/>
    <w:rsid w:val="005D4B41"/>
    <w:rsid w:val="005D70B2"/>
    <w:rsid w:val="005D7334"/>
    <w:rsid w:val="005D77E0"/>
    <w:rsid w:val="005E0836"/>
    <w:rsid w:val="005E0B9F"/>
    <w:rsid w:val="005E0EF5"/>
    <w:rsid w:val="005E0F5D"/>
    <w:rsid w:val="005E1A33"/>
    <w:rsid w:val="005E2BD3"/>
    <w:rsid w:val="005E31A3"/>
    <w:rsid w:val="005E3D0B"/>
    <w:rsid w:val="005E3D62"/>
    <w:rsid w:val="005E5B1C"/>
    <w:rsid w:val="005F091B"/>
    <w:rsid w:val="005F1444"/>
    <w:rsid w:val="005F229D"/>
    <w:rsid w:val="005F2484"/>
    <w:rsid w:val="005F2724"/>
    <w:rsid w:val="005F293F"/>
    <w:rsid w:val="005F2E07"/>
    <w:rsid w:val="005F325B"/>
    <w:rsid w:val="005F35C2"/>
    <w:rsid w:val="005F3EE7"/>
    <w:rsid w:val="005F4EE2"/>
    <w:rsid w:val="005F54C9"/>
    <w:rsid w:val="005F56A2"/>
    <w:rsid w:val="005F65CB"/>
    <w:rsid w:val="005F6FB6"/>
    <w:rsid w:val="005F774A"/>
    <w:rsid w:val="00600D7A"/>
    <w:rsid w:val="006013E3"/>
    <w:rsid w:val="006026AF"/>
    <w:rsid w:val="00602815"/>
    <w:rsid w:val="00602CE6"/>
    <w:rsid w:val="00603292"/>
    <w:rsid w:val="006039A7"/>
    <w:rsid w:val="0060440E"/>
    <w:rsid w:val="00604BB0"/>
    <w:rsid w:val="006050C3"/>
    <w:rsid w:val="00605D26"/>
    <w:rsid w:val="006064E3"/>
    <w:rsid w:val="00607AB9"/>
    <w:rsid w:val="00607E5B"/>
    <w:rsid w:val="00611267"/>
    <w:rsid w:val="00611A99"/>
    <w:rsid w:val="00611F8B"/>
    <w:rsid w:val="0061295E"/>
    <w:rsid w:val="00612C74"/>
    <w:rsid w:val="00612CE7"/>
    <w:rsid w:val="00612F99"/>
    <w:rsid w:val="0061320B"/>
    <w:rsid w:val="006135D5"/>
    <w:rsid w:val="00613729"/>
    <w:rsid w:val="006156E6"/>
    <w:rsid w:val="006165BB"/>
    <w:rsid w:val="00616E90"/>
    <w:rsid w:val="00617651"/>
    <w:rsid w:val="00617C71"/>
    <w:rsid w:val="0062054B"/>
    <w:rsid w:val="0062088B"/>
    <w:rsid w:val="006209E1"/>
    <w:rsid w:val="00620CF0"/>
    <w:rsid w:val="0062273F"/>
    <w:rsid w:val="0062286E"/>
    <w:rsid w:val="00622E40"/>
    <w:rsid w:val="00622FEE"/>
    <w:rsid w:val="00623172"/>
    <w:rsid w:val="006234AE"/>
    <w:rsid w:val="00624889"/>
    <w:rsid w:val="00626864"/>
    <w:rsid w:val="00630786"/>
    <w:rsid w:val="00631B80"/>
    <w:rsid w:val="006322F9"/>
    <w:rsid w:val="006327EB"/>
    <w:rsid w:val="0063323E"/>
    <w:rsid w:val="006338CB"/>
    <w:rsid w:val="006346AD"/>
    <w:rsid w:val="00634B93"/>
    <w:rsid w:val="00634C5A"/>
    <w:rsid w:val="006400E7"/>
    <w:rsid w:val="00640883"/>
    <w:rsid w:val="00640A10"/>
    <w:rsid w:val="00641242"/>
    <w:rsid w:val="00641685"/>
    <w:rsid w:val="00643B1D"/>
    <w:rsid w:val="00645629"/>
    <w:rsid w:val="006458E1"/>
    <w:rsid w:val="00645EBF"/>
    <w:rsid w:val="0064611C"/>
    <w:rsid w:val="006461A0"/>
    <w:rsid w:val="006470CE"/>
    <w:rsid w:val="00647DC3"/>
    <w:rsid w:val="0065074F"/>
    <w:rsid w:val="0065112C"/>
    <w:rsid w:val="00651E01"/>
    <w:rsid w:val="0065248B"/>
    <w:rsid w:val="00652CE6"/>
    <w:rsid w:val="00655EED"/>
    <w:rsid w:val="006567CE"/>
    <w:rsid w:val="00660785"/>
    <w:rsid w:val="00660859"/>
    <w:rsid w:val="00660863"/>
    <w:rsid w:val="00661102"/>
    <w:rsid w:val="006611C4"/>
    <w:rsid w:val="00661304"/>
    <w:rsid w:val="00662108"/>
    <w:rsid w:val="00662983"/>
    <w:rsid w:val="00662E05"/>
    <w:rsid w:val="00664281"/>
    <w:rsid w:val="006648F7"/>
    <w:rsid w:val="006651C8"/>
    <w:rsid w:val="00665835"/>
    <w:rsid w:val="00665B86"/>
    <w:rsid w:val="00666143"/>
    <w:rsid w:val="00666149"/>
    <w:rsid w:val="006661B8"/>
    <w:rsid w:val="006669CB"/>
    <w:rsid w:val="00666B10"/>
    <w:rsid w:val="00666CC0"/>
    <w:rsid w:val="0066738A"/>
    <w:rsid w:val="006675A7"/>
    <w:rsid w:val="0066797C"/>
    <w:rsid w:val="006706D8"/>
    <w:rsid w:val="006711FF"/>
    <w:rsid w:val="00671AA6"/>
    <w:rsid w:val="00672506"/>
    <w:rsid w:val="00672858"/>
    <w:rsid w:val="00674409"/>
    <w:rsid w:val="00677617"/>
    <w:rsid w:val="00680BAF"/>
    <w:rsid w:val="00681466"/>
    <w:rsid w:val="006818D2"/>
    <w:rsid w:val="00682332"/>
    <w:rsid w:val="00684EA0"/>
    <w:rsid w:val="006853A5"/>
    <w:rsid w:val="00685992"/>
    <w:rsid w:val="00685AFF"/>
    <w:rsid w:val="00686237"/>
    <w:rsid w:val="0069237A"/>
    <w:rsid w:val="0069256A"/>
    <w:rsid w:val="006925BB"/>
    <w:rsid w:val="00692D45"/>
    <w:rsid w:val="00693623"/>
    <w:rsid w:val="00693C64"/>
    <w:rsid w:val="00693FA7"/>
    <w:rsid w:val="00694488"/>
    <w:rsid w:val="006960E0"/>
    <w:rsid w:val="0069659B"/>
    <w:rsid w:val="00696B03"/>
    <w:rsid w:val="006973AE"/>
    <w:rsid w:val="00697B29"/>
    <w:rsid w:val="00697F9F"/>
    <w:rsid w:val="006A094E"/>
    <w:rsid w:val="006A0D2E"/>
    <w:rsid w:val="006A1E72"/>
    <w:rsid w:val="006A2060"/>
    <w:rsid w:val="006A233F"/>
    <w:rsid w:val="006A2656"/>
    <w:rsid w:val="006A2DF1"/>
    <w:rsid w:val="006A3151"/>
    <w:rsid w:val="006A3C61"/>
    <w:rsid w:val="006A3F9D"/>
    <w:rsid w:val="006A4DBB"/>
    <w:rsid w:val="006A688A"/>
    <w:rsid w:val="006A6FA0"/>
    <w:rsid w:val="006B1054"/>
    <w:rsid w:val="006B1368"/>
    <w:rsid w:val="006B3C23"/>
    <w:rsid w:val="006B3E6C"/>
    <w:rsid w:val="006B3E74"/>
    <w:rsid w:val="006B5A32"/>
    <w:rsid w:val="006B6371"/>
    <w:rsid w:val="006B6ADD"/>
    <w:rsid w:val="006B78EB"/>
    <w:rsid w:val="006C0553"/>
    <w:rsid w:val="006C0A48"/>
    <w:rsid w:val="006C141F"/>
    <w:rsid w:val="006C163C"/>
    <w:rsid w:val="006C1796"/>
    <w:rsid w:val="006C1CE3"/>
    <w:rsid w:val="006C4655"/>
    <w:rsid w:val="006C5007"/>
    <w:rsid w:val="006C5253"/>
    <w:rsid w:val="006C673C"/>
    <w:rsid w:val="006C703E"/>
    <w:rsid w:val="006C793B"/>
    <w:rsid w:val="006D0C35"/>
    <w:rsid w:val="006D252E"/>
    <w:rsid w:val="006D3B5D"/>
    <w:rsid w:val="006D4EA8"/>
    <w:rsid w:val="006D50B9"/>
    <w:rsid w:val="006D5334"/>
    <w:rsid w:val="006D69A8"/>
    <w:rsid w:val="006D6A05"/>
    <w:rsid w:val="006D7A89"/>
    <w:rsid w:val="006D7BB3"/>
    <w:rsid w:val="006E0F48"/>
    <w:rsid w:val="006E110F"/>
    <w:rsid w:val="006E30B4"/>
    <w:rsid w:val="006E3F96"/>
    <w:rsid w:val="006E66CC"/>
    <w:rsid w:val="006E789E"/>
    <w:rsid w:val="006F0536"/>
    <w:rsid w:val="006F165C"/>
    <w:rsid w:val="006F2FE2"/>
    <w:rsid w:val="006F32F5"/>
    <w:rsid w:val="006F3EB5"/>
    <w:rsid w:val="006F498F"/>
    <w:rsid w:val="006F4A6A"/>
    <w:rsid w:val="006F5185"/>
    <w:rsid w:val="006F5A65"/>
    <w:rsid w:val="006F66B1"/>
    <w:rsid w:val="006F7816"/>
    <w:rsid w:val="00701088"/>
    <w:rsid w:val="0070188F"/>
    <w:rsid w:val="007029C1"/>
    <w:rsid w:val="00702CC6"/>
    <w:rsid w:val="00703D3E"/>
    <w:rsid w:val="00705B4D"/>
    <w:rsid w:val="00705B9C"/>
    <w:rsid w:val="00706276"/>
    <w:rsid w:val="007104CA"/>
    <w:rsid w:val="007106F9"/>
    <w:rsid w:val="0071185F"/>
    <w:rsid w:val="00711B5B"/>
    <w:rsid w:val="00711C7B"/>
    <w:rsid w:val="0071332E"/>
    <w:rsid w:val="00714F03"/>
    <w:rsid w:val="0071501F"/>
    <w:rsid w:val="007158F1"/>
    <w:rsid w:val="0071688F"/>
    <w:rsid w:val="00717901"/>
    <w:rsid w:val="00717A1F"/>
    <w:rsid w:val="0072030E"/>
    <w:rsid w:val="007209A0"/>
    <w:rsid w:val="00720B87"/>
    <w:rsid w:val="00721422"/>
    <w:rsid w:val="00721BB0"/>
    <w:rsid w:val="00721EB4"/>
    <w:rsid w:val="00722110"/>
    <w:rsid w:val="00722DCF"/>
    <w:rsid w:val="007240EE"/>
    <w:rsid w:val="007241E2"/>
    <w:rsid w:val="00725EBD"/>
    <w:rsid w:val="007262F0"/>
    <w:rsid w:val="007264D5"/>
    <w:rsid w:val="007267CA"/>
    <w:rsid w:val="00726F62"/>
    <w:rsid w:val="007278C4"/>
    <w:rsid w:val="00730B41"/>
    <w:rsid w:val="007314DB"/>
    <w:rsid w:val="00732BDD"/>
    <w:rsid w:val="007340FE"/>
    <w:rsid w:val="007348F8"/>
    <w:rsid w:val="00735238"/>
    <w:rsid w:val="007365B7"/>
    <w:rsid w:val="00737A25"/>
    <w:rsid w:val="007401A4"/>
    <w:rsid w:val="00741685"/>
    <w:rsid w:val="00742A2F"/>
    <w:rsid w:val="00744978"/>
    <w:rsid w:val="00745021"/>
    <w:rsid w:val="007456E0"/>
    <w:rsid w:val="00746B41"/>
    <w:rsid w:val="007478C0"/>
    <w:rsid w:val="00747BC9"/>
    <w:rsid w:val="00750080"/>
    <w:rsid w:val="00750DB0"/>
    <w:rsid w:val="00751970"/>
    <w:rsid w:val="00752FE3"/>
    <w:rsid w:val="00753212"/>
    <w:rsid w:val="00753B55"/>
    <w:rsid w:val="00753FAC"/>
    <w:rsid w:val="007553A2"/>
    <w:rsid w:val="0075549C"/>
    <w:rsid w:val="00755B5F"/>
    <w:rsid w:val="00755CCF"/>
    <w:rsid w:val="00757B46"/>
    <w:rsid w:val="00760322"/>
    <w:rsid w:val="00760D19"/>
    <w:rsid w:val="00761B12"/>
    <w:rsid w:val="00763BCF"/>
    <w:rsid w:val="00764D34"/>
    <w:rsid w:val="00765652"/>
    <w:rsid w:val="00765A19"/>
    <w:rsid w:val="00765D05"/>
    <w:rsid w:val="007661F3"/>
    <w:rsid w:val="007700DA"/>
    <w:rsid w:val="00770330"/>
    <w:rsid w:val="0077252E"/>
    <w:rsid w:val="00774030"/>
    <w:rsid w:val="007749A2"/>
    <w:rsid w:val="00774C4F"/>
    <w:rsid w:val="00775167"/>
    <w:rsid w:val="00775CCD"/>
    <w:rsid w:val="00780161"/>
    <w:rsid w:val="00780939"/>
    <w:rsid w:val="0078143C"/>
    <w:rsid w:val="007816A5"/>
    <w:rsid w:val="00781C33"/>
    <w:rsid w:val="00781E62"/>
    <w:rsid w:val="00782E75"/>
    <w:rsid w:val="00784E62"/>
    <w:rsid w:val="00784F0C"/>
    <w:rsid w:val="00786833"/>
    <w:rsid w:val="00790B41"/>
    <w:rsid w:val="00790E39"/>
    <w:rsid w:val="00790F4E"/>
    <w:rsid w:val="00791483"/>
    <w:rsid w:val="00791954"/>
    <w:rsid w:val="0079411F"/>
    <w:rsid w:val="00794181"/>
    <w:rsid w:val="007948C0"/>
    <w:rsid w:val="00795E13"/>
    <w:rsid w:val="0079699C"/>
    <w:rsid w:val="007A22A2"/>
    <w:rsid w:val="007A278E"/>
    <w:rsid w:val="007A2C42"/>
    <w:rsid w:val="007A3D24"/>
    <w:rsid w:val="007A4E10"/>
    <w:rsid w:val="007A58DC"/>
    <w:rsid w:val="007A5B63"/>
    <w:rsid w:val="007A638E"/>
    <w:rsid w:val="007B1681"/>
    <w:rsid w:val="007B19FC"/>
    <w:rsid w:val="007B3116"/>
    <w:rsid w:val="007B5A59"/>
    <w:rsid w:val="007B5D96"/>
    <w:rsid w:val="007B5F02"/>
    <w:rsid w:val="007B6C90"/>
    <w:rsid w:val="007B6CC4"/>
    <w:rsid w:val="007B76A1"/>
    <w:rsid w:val="007C00B7"/>
    <w:rsid w:val="007C0A8E"/>
    <w:rsid w:val="007C0C17"/>
    <w:rsid w:val="007C0D41"/>
    <w:rsid w:val="007C0FE0"/>
    <w:rsid w:val="007C1B1F"/>
    <w:rsid w:val="007C2BF3"/>
    <w:rsid w:val="007C32B1"/>
    <w:rsid w:val="007C38F2"/>
    <w:rsid w:val="007C418C"/>
    <w:rsid w:val="007C4AFA"/>
    <w:rsid w:val="007C573F"/>
    <w:rsid w:val="007C586B"/>
    <w:rsid w:val="007C5D12"/>
    <w:rsid w:val="007C655E"/>
    <w:rsid w:val="007C6AC9"/>
    <w:rsid w:val="007C7043"/>
    <w:rsid w:val="007C79A1"/>
    <w:rsid w:val="007C7A15"/>
    <w:rsid w:val="007D0D81"/>
    <w:rsid w:val="007D15CB"/>
    <w:rsid w:val="007D17E7"/>
    <w:rsid w:val="007D30E0"/>
    <w:rsid w:val="007D3B6B"/>
    <w:rsid w:val="007D4F98"/>
    <w:rsid w:val="007D5B19"/>
    <w:rsid w:val="007D5D84"/>
    <w:rsid w:val="007D6954"/>
    <w:rsid w:val="007D6CD7"/>
    <w:rsid w:val="007D6F0F"/>
    <w:rsid w:val="007E0BCC"/>
    <w:rsid w:val="007E19FB"/>
    <w:rsid w:val="007E1FB8"/>
    <w:rsid w:val="007E2ED5"/>
    <w:rsid w:val="007E3658"/>
    <w:rsid w:val="007E41C9"/>
    <w:rsid w:val="007E45D3"/>
    <w:rsid w:val="007E4B62"/>
    <w:rsid w:val="007E4BE8"/>
    <w:rsid w:val="007E5B06"/>
    <w:rsid w:val="007E657B"/>
    <w:rsid w:val="007E6C91"/>
    <w:rsid w:val="007F1F56"/>
    <w:rsid w:val="007F2D71"/>
    <w:rsid w:val="007F3B11"/>
    <w:rsid w:val="007F4274"/>
    <w:rsid w:val="007F4A5D"/>
    <w:rsid w:val="007F5651"/>
    <w:rsid w:val="007F7D14"/>
    <w:rsid w:val="00800183"/>
    <w:rsid w:val="00800BCF"/>
    <w:rsid w:val="00801D88"/>
    <w:rsid w:val="00803F1D"/>
    <w:rsid w:val="00804658"/>
    <w:rsid w:val="00804AD8"/>
    <w:rsid w:val="008050C1"/>
    <w:rsid w:val="00805EC4"/>
    <w:rsid w:val="00806391"/>
    <w:rsid w:val="00806841"/>
    <w:rsid w:val="00806B0D"/>
    <w:rsid w:val="00810321"/>
    <w:rsid w:val="008108EF"/>
    <w:rsid w:val="0081157E"/>
    <w:rsid w:val="008120C6"/>
    <w:rsid w:val="00813E27"/>
    <w:rsid w:val="0081426D"/>
    <w:rsid w:val="00814385"/>
    <w:rsid w:val="00815927"/>
    <w:rsid w:val="00815AA4"/>
    <w:rsid w:val="0081647D"/>
    <w:rsid w:val="00816BE7"/>
    <w:rsid w:val="00816F54"/>
    <w:rsid w:val="00817574"/>
    <w:rsid w:val="00821AE1"/>
    <w:rsid w:val="008228AA"/>
    <w:rsid w:val="00822A64"/>
    <w:rsid w:val="00822CCA"/>
    <w:rsid w:val="00823126"/>
    <w:rsid w:val="008236E5"/>
    <w:rsid w:val="008239F0"/>
    <w:rsid w:val="008252C2"/>
    <w:rsid w:val="00825510"/>
    <w:rsid w:val="0082578E"/>
    <w:rsid w:val="008275F3"/>
    <w:rsid w:val="00827B3E"/>
    <w:rsid w:val="00830B95"/>
    <w:rsid w:val="0083127C"/>
    <w:rsid w:val="008316A5"/>
    <w:rsid w:val="008317D1"/>
    <w:rsid w:val="0083262E"/>
    <w:rsid w:val="00833762"/>
    <w:rsid w:val="0083454A"/>
    <w:rsid w:val="008346F6"/>
    <w:rsid w:val="00834A29"/>
    <w:rsid w:val="00834EB5"/>
    <w:rsid w:val="008350D3"/>
    <w:rsid w:val="00835327"/>
    <w:rsid w:val="00835723"/>
    <w:rsid w:val="00841213"/>
    <w:rsid w:val="00841F8B"/>
    <w:rsid w:val="00842CB6"/>
    <w:rsid w:val="0084336E"/>
    <w:rsid w:val="00845656"/>
    <w:rsid w:val="008457B4"/>
    <w:rsid w:val="0085007C"/>
    <w:rsid w:val="00850218"/>
    <w:rsid w:val="00850544"/>
    <w:rsid w:val="00850F79"/>
    <w:rsid w:val="008527A7"/>
    <w:rsid w:val="008530D9"/>
    <w:rsid w:val="008530DA"/>
    <w:rsid w:val="008533C7"/>
    <w:rsid w:val="0085366F"/>
    <w:rsid w:val="00853CE1"/>
    <w:rsid w:val="0085474F"/>
    <w:rsid w:val="008548C6"/>
    <w:rsid w:val="00856798"/>
    <w:rsid w:val="00860FBA"/>
    <w:rsid w:val="00861DAB"/>
    <w:rsid w:val="00863547"/>
    <w:rsid w:val="0086354E"/>
    <w:rsid w:val="00863596"/>
    <w:rsid w:val="008648A5"/>
    <w:rsid w:val="0086604D"/>
    <w:rsid w:val="00866487"/>
    <w:rsid w:val="008664F7"/>
    <w:rsid w:val="00866FB2"/>
    <w:rsid w:val="008710D3"/>
    <w:rsid w:val="00871209"/>
    <w:rsid w:val="00876489"/>
    <w:rsid w:val="00876E3B"/>
    <w:rsid w:val="00877EC2"/>
    <w:rsid w:val="00880669"/>
    <w:rsid w:val="00880C07"/>
    <w:rsid w:val="008818DD"/>
    <w:rsid w:val="008820F9"/>
    <w:rsid w:val="008821F9"/>
    <w:rsid w:val="0088241E"/>
    <w:rsid w:val="008838D5"/>
    <w:rsid w:val="00883C52"/>
    <w:rsid w:val="00885A1C"/>
    <w:rsid w:val="0088685B"/>
    <w:rsid w:val="00890ED3"/>
    <w:rsid w:val="00891A90"/>
    <w:rsid w:val="0089204E"/>
    <w:rsid w:val="0089230F"/>
    <w:rsid w:val="0089248E"/>
    <w:rsid w:val="008925C6"/>
    <w:rsid w:val="00893398"/>
    <w:rsid w:val="00893B43"/>
    <w:rsid w:val="00893D30"/>
    <w:rsid w:val="00895B6A"/>
    <w:rsid w:val="00896A1B"/>
    <w:rsid w:val="00896FE9"/>
    <w:rsid w:val="00897521"/>
    <w:rsid w:val="00897CAF"/>
    <w:rsid w:val="008A02E5"/>
    <w:rsid w:val="008A119A"/>
    <w:rsid w:val="008A1E19"/>
    <w:rsid w:val="008A3DC3"/>
    <w:rsid w:val="008A4E24"/>
    <w:rsid w:val="008A5EAE"/>
    <w:rsid w:val="008A684F"/>
    <w:rsid w:val="008A7675"/>
    <w:rsid w:val="008A7D2B"/>
    <w:rsid w:val="008B1A7F"/>
    <w:rsid w:val="008B21A9"/>
    <w:rsid w:val="008B256C"/>
    <w:rsid w:val="008B31CC"/>
    <w:rsid w:val="008B3E35"/>
    <w:rsid w:val="008B4159"/>
    <w:rsid w:val="008B4857"/>
    <w:rsid w:val="008B4AE6"/>
    <w:rsid w:val="008B4C8D"/>
    <w:rsid w:val="008B53BA"/>
    <w:rsid w:val="008B5485"/>
    <w:rsid w:val="008B663A"/>
    <w:rsid w:val="008B6957"/>
    <w:rsid w:val="008B70AD"/>
    <w:rsid w:val="008C03DE"/>
    <w:rsid w:val="008C04D9"/>
    <w:rsid w:val="008C12C5"/>
    <w:rsid w:val="008C157C"/>
    <w:rsid w:val="008C16FD"/>
    <w:rsid w:val="008C1C4F"/>
    <w:rsid w:val="008C3025"/>
    <w:rsid w:val="008C3672"/>
    <w:rsid w:val="008C3A73"/>
    <w:rsid w:val="008C3AF8"/>
    <w:rsid w:val="008C5926"/>
    <w:rsid w:val="008C6394"/>
    <w:rsid w:val="008C66CD"/>
    <w:rsid w:val="008C70DA"/>
    <w:rsid w:val="008C797D"/>
    <w:rsid w:val="008D09DF"/>
    <w:rsid w:val="008D1FE9"/>
    <w:rsid w:val="008D2B77"/>
    <w:rsid w:val="008D42BD"/>
    <w:rsid w:val="008D52B7"/>
    <w:rsid w:val="008D55ED"/>
    <w:rsid w:val="008E1A32"/>
    <w:rsid w:val="008E1E5B"/>
    <w:rsid w:val="008E1EEF"/>
    <w:rsid w:val="008E2057"/>
    <w:rsid w:val="008E20E9"/>
    <w:rsid w:val="008E2E44"/>
    <w:rsid w:val="008E3783"/>
    <w:rsid w:val="008E37E7"/>
    <w:rsid w:val="008E46F9"/>
    <w:rsid w:val="008E5FE3"/>
    <w:rsid w:val="008E70F6"/>
    <w:rsid w:val="008E7904"/>
    <w:rsid w:val="008E79C1"/>
    <w:rsid w:val="008F0A3D"/>
    <w:rsid w:val="008F103F"/>
    <w:rsid w:val="008F1CFA"/>
    <w:rsid w:val="008F254B"/>
    <w:rsid w:val="008F30B8"/>
    <w:rsid w:val="008F3AAF"/>
    <w:rsid w:val="008F464C"/>
    <w:rsid w:val="008F5CE6"/>
    <w:rsid w:val="008F71A8"/>
    <w:rsid w:val="008F73EB"/>
    <w:rsid w:val="008F7B14"/>
    <w:rsid w:val="0090128B"/>
    <w:rsid w:val="00901B8F"/>
    <w:rsid w:val="00901E73"/>
    <w:rsid w:val="00902E1E"/>
    <w:rsid w:val="00903400"/>
    <w:rsid w:val="0090496B"/>
    <w:rsid w:val="00904AD4"/>
    <w:rsid w:val="00905C08"/>
    <w:rsid w:val="009061E8"/>
    <w:rsid w:val="00906448"/>
    <w:rsid w:val="00906EB3"/>
    <w:rsid w:val="009129AF"/>
    <w:rsid w:val="00912ACF"/>
    <w:rsid w:val="00912D61"/>
    <w:rsid w:val="00914486"/>
    <w:rsid w:val="009152E6"/>
    <w:rsid w:val="009152F8"/>
    <w:rsid w:val="00915D2A"/>
    <w:rsid w:val="009160D9"/>
    <w:rsid w:val="009164DA"/>
    <w:rsid w:val="00920141"/>
    <w:rsid w:val="009208FB"/>
    <w:rsid w:val="0092197F"/>
    <w:rsid w:val="00922206"/>
    <w:rsid w:val="00922A08"/>
    <w:rsid w:val="00923A92"/>
    <w:rsid w:val="00933606"/>
    <w:rsid w:val="009338B1"/>
    <w:rsid w:val="00934809"/>
    <w:rsid w:val="0093524E"/>
    <w:rsid w:val="00936664"/>
    <w:rsid w:val="00937A41"/>
    <w:rsid w:val="00942307"/>
    <w:rsid w:val="00943202"/>
    <w:rsid w:val="00943DCB"/>
    <w:rsid w:val="0094577A"/>
    <w:rsid w:val="00946087"/>
    <w:rsid w:val="00946122"/>
    <w:rsid w:val="00946D44"/>
    <w:rsid w:val="00947034"/>
    <w:rsid w:val="00947064"/>
    <w:rsid w:val="00947F3A"/>
    <w:rsid w:val="00951CB2"/>
    <w:rsid w:val="00952AB7"/>
    <w:rsid w:val="00952EF7"/>
    <w:rsid w:val="00952F2B"/>
    <w:rsid w:val="00953AFC"/>
    <w:rsid w:val="00953B2E"/>
    <w:rsid w:val="00954FAE"/>
    <w:rsid w:val="009558D4"/>
    <w:rsid w:val="00955D64"/>
    <w:rsid w:val="00955FE6"/>
    <w:rsid w:val="009576F3"/>
    <w:rsid w:val="009608EF"/>
    <w:rsid w:val="00960C90"/>
    <w:rsid w:val="009612CB"/>
    <w:rsid w:val="0096281D"/>
    <w:rsid w:val="00963F09"/>
    <w:rsid w:val="0096517D"/>
    <w:rsid w:val="0096590B"/>
    <w:rsid w:val="009676B8"/>
    <w:rsid w:val="00970D1F"/>
    <w:rsid w:val="00971386"/>
    <w:rsid w:val="00971513"/>
    <w:rsid w:val="0097170E"/>
    <w:rsid w:val="009735FC"/>
    <w:rsid w:val="0097421B"/>
    <w:rsid w:val="00975597"/>
    <w:rsid w:val="00981846"/>
    <w:rsid w:val="00981AD9"/>
    <w:rsid w:val="00982518"/>
    <w:rsid w:val="009830ED"/>
    <w:rsid w:val="009836BB"/>
    <w:rsid w:val="0098578A"/>
    <w:rsid w:val="00985834"/>
    <w:rsid w:val="00985E27"/>
    <w:rsid w:val="0098680E"/>
    <w:rsid w:val="009903CD"/>
    <w:rsid w:val="009905C9"/>
    <w:rsid w:val="00991A1B"/>
    <w:rsid w:val="00992193"/>
    <w:rsid w:val="00992431"/>
    <w:rsid w:val="00993D19"/>
    <w:rsid w:val="009948E2"/>
    <w:rsid w:val="0099494C"/>
    <w:rsid w:val="009949ED"/>
    <w:rsid w:val="00994AD9"/>
    <w:rsid w:val="00994D84"/>
    <w:rsid w:val="00995876"/>
    <w:rsid w:val="009959EB"/>
    <w:rsid w:val="009961EC"/>
    <w:rsid w:val="009964D6"/>
    <w:rsid w:val="009A163F"/>
    <w:rsid w:val="009A2324"/>
    <w:rsid w:val="009A245D"/>
    <w:rsid w:val="009A32B8"/>
    <w:rsid w:val="009A4176"/>
    <w:rsid w:val="009A4265"/>
    <w:rsid w:val="009A4295"/>
    <w:rsid w:val="009A42A3"/>
    <w:rsid w:val="009A66DC"/>
    <w:rsid w:val="009A6E23"/>
    <w:rsid w:val="009B1FD4"/>
    <w:rsid w:val="009B2177"/>
    <w:rsid w:val="009B38F7"/>
    <w:rsid w:val="009B4422"/>
    <w:rsid w:val="009B4694"/>
    <w:rsid w:val="009B4790"/>
    <w:rsid w:val="009B4D03"/>
    <w:rsid w:val="009B550D"/>
    <w:rsid w:val="009B611B"/>
    <w:rsid w:val="009B633B"/>
    <w:rsid w:val="009B66B7"/>
    <w:rsid w:val="009C0280"/>
    <w:rsid w:val="009C09FC"/>
    <w:rsid w:val="009C0D90"/>
    <w:rsid w:val="009C0FDF"/>
    <w:rsid w:val="009C2466"/>
    <w:rsid w:val="009C33CC"/>
    <w:rsid w:val="009C4D33"/>
    <w:rsid w:val="009C6B9F"/>
    <w:rsid w:val="009C74DE"/>
    <w:rsid w:val="009C7790"/>
    <w:rsid w:val="009C7A40"/>
    <w:rsid w:val="009C7F13"/>
    <w:rsid w:val="009D0392"/>
    <w:rsid w:val="009D1886"/>
    <w:rsid w:val="009D1BA8"/>
    <w:rsid w:val="009D2489"/>
    <w:rsid w:val="009D29D7"/>
    <w:rsid w:val="009D3049"/>
    <w:rsid w:val="009D5C0C"/>
    <w:rsid w:val="009D6A38"/>
    <w:rsid w:val="009D73EF"/>
    <w:rsid w:val="009E016A"/>
    <w:rsid w:val="009E266E"/>
    <w:rsid w:val="009E289D"/>
    <w:rsid w:val="009E3F9E"/>
    <w:rsid w:val="009E40F8"/>
    <w:rsid w:val="009E559C"/>
    <w:rsid w:val="009E69A9"/>
    <w:rsid w:val="009F19AF"/>
    <w:rsid w:val="009F32F8"/>
    <w:rsid w:val="009F5116"/>
    <w:rsid w:val="009F6599"/>
    <w:rsid w:val="009F6C2B"/>
    <w:rsid w:val="009F6F03"/>
    <w:rsid w:val="00A002A5"/>
    <w:rsid w:val="00A00631"/>
    <w:rsid w:val="00A03578"/>
    <w:rsid w:val="00A048B1"/>
    <w:rsid w:val="00A057FB"/>
    <w:rsid w:val="00A05DEF"/>
    <w:rsid w:val="00A0728C"/>
    <w:rsid w:val="00A07DE8"/>
    <w:rsid w:val="00A10611"/>
    <w:rsid w:val="00A111B8"/>
    <w:rsid w:val="00A1123D"/>
    <w:rsid w:val="00A12B1E"/>
    <w:rsid w:val="00A13120"/>
    <w:rsid w:val="00A138C5"/>
    <w:rsid w:val="00A13DF3"/>
    <w:rsid w:val="00A14581"/>
    <w:rsid w:val="00A15144"/>
    <w:rsid w:val="00A15828"/>
    <w:rsid w:val="00A1741B"/>
    <w:rsid w:val="00A17668"/>
    <w:rsid w:val="00A24D9C"/>
    <w:rsid w:val="00A257CF"/>
    <w:rsid w:val="00A25C99"/>
    <w:rsid w:val="00A26293"/>
    <w:rsid w:val="00A27BDC"/>
    <w:rsid w:val="00A307C7"/>
    <w:rsid w:val="00A31003"/>
    <w:rsid w:val="00A3146F"/>
    <w:rsid w:val="00A32C9D"/>
    <w:rsid w:val="00A37418"/>
    <w:rsid w:val="00A4005F"/>
    <w:rsid w:val="00A4017E"/>
    <w:rsid w:val="00A42526"/>
    <w:rsid w:val="00A44DC2"/>
    <w:rsid w:val="00A45C92"/>
    <w:rsid w:val="00A463AE"/>
    <w:rsid w:val="00A47587"/>
    <w:rsid w:val="00A47A2A"/>
    <w:rsid w:val="00A47DA5"/>
    <w:rsid w:val="00A51019"/>
    <w:rsid w:val="00A528F0"/>
    <w:rsid w:val="00A52CA9"/>
    <w:rsid w:val="00A52D17"/>
    <w:rsid w:val="00A546E0"/>
    <w:rsid w:val="00A5559F"/>
    <w:rsid w:val="00A56AC8"/>
    <w:rsid w:val="00A57101"/>
    <w:rsid w:val="00A57152"/>
    <w:rsid w:val="00A57AFC"/>
    <w:rsid w:val="00A609FB"/>
    <w:rsid w:val="00A615F9"/>
    <w:rsid w:val="00A62E98"/>
    <w:rsid w:val="00A637F0"/>
    <w:rsid w:val="00A64D5F"/>
    <w:rsid w:val="00A64FCF"/>
    <w:rsid w:val="00A65D59"/>
    <w:rsid w:val="00A65E4B"/>
    <w:rsid w:val="00A667FF"/>
    <w:rsid w:val="00A66B6F"/>
    <w:rsid w:val="00A66D69"/>
    <w:rsid w:val="00A704F4"/>
    <w:rsid w:val="00A70904"/>
    <w:rsid w:val="00A71601"/>
    <w:rsid w:val="00A71EFC"/>
    <w:rsid w:val="00A721A9"/>
    <w:rsid w:val="00A72EF1"/>
    <w:rsid w:val="00A7392A"/>
    <w:rsid w:val="00A74927"/>
    <w:rsid w:val="00A74963"/>
    <w:rsid w:val="00A7498D"/>
    <w:rsid w:val="00A7507D"/>
    <w:rsid w:val="00A757CD"/>
    <w:rsid w:val="00A76081"/>
    <w:rsid w:val="00A77189"/>
    <w:rsid w:val="00A777C1"/>
    <w:rsid w:val="00A77A04"/>
    <w:rsid w:val="00A810D4"/>
    <w:rsid w:val="00A822EC"/>
    <w:rsid w:val="00A823F8"/>
    <w:rsid w:val="00A82D74"/>
    <w:rsid w:val="00A82FFC"/>
    <w:rsid w:val="00A83F6D"/>
    <w:rsid w:val="00A84339"/>
    <w:rsid w:val="00A84C69"/>
    <w:rsid w:val="00A85A26"/>
    <w:rsid w:val="00A86143"/>
    <w:rsid w:val="00A86154"/>
    <w:rsid w:val="00A8696A"/>
    <w:rsid w:val="00A86F4B"/>
    <w:rsid w:val="00A8790C"/>
    <w:rsid w:val="00A91764"/>
    <w:rsid w:val="00A91FE7"/>
    <w:rsid w:val="00A93C5F"/>
    <w:rsid w:val="00A93FE0"/>
    <w:rsid w:val="00A95744"/>
    <w:rsid w:val="00A95E1B"/>
    <w:rsid w:val="00A96127"/>
    <w:rsid w:val="00A96BB9"/>
    <w:rsid w:val="00AA1CD6"/>
    <w:rsid w:val="00AA1E0B"/>
    <w:rsid w:val="00AA3659"/>
    <w:rsid w:val="00AA37BA"/>
    <w:rsid w:val="00AA3CEC"/>
    <w:rsid w:val="00AA494E"/>
    <w:rsid w:val="00AA544C"/>
    <w:rsid w:val="00AA749D"/>
    <w:rsid w:val="00AA7988"/>
    <w:rsid w:val="00AA79FF"/>
    <w:rsid w:val="00AB0147"/>
    <w:rsid w:val="00AB21C4"/>
    <w:rsid w:val="00AB522E"/>
    <w:rsid w:val="00AB54F7"/>
    <w:rsid w:val="00AB6291"/>
    <w:rsid w:val="00AB7663"/>
    <w:rsid w:val="00AC0DC5"/>
    <w:rsid w:val="00AC22E3"/>
    <w:rsid w:val="00AC287B"/>
    <w:rsid w:val="00AC2EA8"/>
    <w:rsid w:val="00AC340C"/>
    <w:rsid w:val="00AC470D"/>
    <w:rsid w:val="00AC4D06"/>
    <w:rsid w:val="00AC4D2F"/>
    <w:rsid w:val="00AC55B5"/>
    <w:rsid w:val="00AC5639"/>
    <w:rsid w:val="00AC67EE"/>
    <w:rsid w:val="00AC6966"/>
    <w:rsid w:val="00AC7887"/>
    <w:rsid w:val="00AD0976"/>
    <w:rsid w:val="00AD0EF1"/>
    <w:rsid w:val="00AD10BA"/>
    <w:rsid w:val="00AD126E"/>
    <w:rsid w:val="00AD175A"/>
    <w:rsid w:val="00AD2CF2"/>
    <w:rsid w:val="00AD2EF1"/>
    <w:rsid w:val="00AD5B85"/>
    <w:rsid w:val="00AD6027"/>
    <w:rsid w:val="00AD66DC"/>
    <w:rsid w:val="00AD693E"/>
    <w:rsid w:val="00AD7FEF"/>
    <w:rsid w:val="00AE0378"/>
    <w:rsid w:val="00AE0784"/>
    <w:rsid w:val="00AE1810"/>
    <w:rsid w:val="00AE1DE8"/>
    <w:rsid w:val="00AE2193"/>
    <w:rsid w:val="00AE21C1"/>
    <w:rsid w:val="00AE39F6"/>
    <w:rsid w:val="00AE3C67"/>
    <w:rsid w:val="00AE4205"/>
    <w:rsid w:val="00AE4F93"/>
    <w:rsid w:val="00AE7561"/>
    <w:rsid w:val="00AE768F"/>
    <w:rsid w:val="00AE79B4"/>
    <w:rsid w:val="00AE7CE4"/>
    <w:rsid w:val="00AF047D"/>
    <w:rsid w:val="00AF0836"/>
    <w:rsid w:val="00AF0C81"/>
    <w:rsid w:val="00AF188B"/>
    <w:rsid w:val="00AF1E04"/>
    <w:rsid w:val="00AF1E22"/>
    <w:rsid w:val="00AF24DE"/>
    <w:rsid w:val="00AF3B18"/>
    <w:rsid w:val="00AF4187"/>
    <w:rsid w:val="00AF4516"/>
    <w:rsid w:val="00AF474C"/>
    <w:rsid w:val="00AF4B84"/>
    <w:rsid w:val="00AF4E85"/>
    <w:rsid w:val="00AF6227"/>
    <w:rsid w:val="00AF688A"/>
    <w:rsid w:val="00AF6A0E"/>
    <w:rsid w:val="00B00ED4"/>
    <w:rsid w:val="00B012AA"/>
    <w:rsid w:val="00B01524"/>
    <w:rsid w:val="00B01B3D"/>
    <w:rsid w:val="00B02398"/>
    <w:rsid w:val="00B0246C"/>
    <w:rsid w:val="00B02AFC"/>
    <w:rsid w:val="00B0402C"/>
    <w:rsid w:val="00B04F80"/>
    <w:rsid w:val="00B0653E"/>
    <w:rsid w:val="00B06F29"/>
    <w:rsid w:val="00B07A9D"/>
    <w:rsid w:val="00B10CE1"/>
    <w:rsid w:val="00B114BB"/>
    <w:rsid w:val="00B135AA"/>
    <w:rsid w:val="00B14C61"/>
    <w:rsid w:val="00B14E9A"/>
    <w:rsid w:val="00B16707"/>
    <w:rsid w:val="00B17357"/>
    <w:rsid w:val="00B17B4B"/>
    <w:rsid w:val="00B17BA1"/>
    <w:rsid w:val="00B20AC0"/>
    <w:rsid w:val="00B21C60"/>
    <w:rsid w:val="00B21DC0"/>
    <w:rsid w:val="00B22C97"/>
    <w:rsid w:val="00B23AE5"/>
    <w:rsid w:val="00B242D9"/>
    <w:rsid w:val="00B24F6F"/>
    <w:rsid w:val="00B252F5"/>
    <w:rsid w:val="00B25717"/>
    <w:rsid w:val="00B25BE0"/>
    <w:rsid w:val="00B25DC8"/>
    <w:rsid w:val="00B2603B"/>
    <w:rsid w:val="00B2641C"/>
    <w:rsid w:val="00B268A6"/>
    <w:rsid w:val="00B277ED"/>
    <w:rsid w:val="00B278E2"/>
    <w:rsid w:val="00B30D63"/>
    <w:rsid w:val="00B30FEA"/>
    <w:rsid w:val="00B31110"/>
    <w:rsid w:val="00B32849"/>
    <w:rsid w:val="00B33919"/>
    <w:rsid w:val="00B33B31"/>
    <w:rsid w:val="00B35394"/>
    <w:rsid w:val="00B35563"/>
    <w:rsid w:val="00B35B92"/>
    <w:rsid w:val="00B36320"/>
    <w:rsid w:val="00B36934"/>
    <w:rsid w:val="00B36D69"/>
    <w:rsid w:val="00B400BD"/>
    <w:rsid w:val="00B4079A"/>
    <w:rsid w:val="00B40833"/>
    <w:rsid w:val="00B40902"/>
    <w:rsid w:val="00B41EFC"/>
    <w:rsid w:val="00B42840"/>
    <w:rsid w:val="00B431E9"/>
    <w:rsid w:val="00B439F8"/>
    <w:rsid w:val="00B44DE8"/>
    <w:rsid w:val="00B459C2"/>
    <w:rsid w:val="00B47CBA"/>
    <w:rsid w:val="00B51310"/>
    <w:rsid w:val="00B515AA"/>
    <w:rsid w:val="00B5199A"/>
    <w:rsid w:val="00B51EE1"/>
    <w:rsid w:val="00B52D05"/>
    <w:rsid w:val="00B540C1"/>
    <w:rsid w:val="00B540D4"/>
    <w:rsid w:val="00B54380"/>
    <w:rsid w:val="00B5660D"/>
    <w:rsid w:val="00B5684E"/>
    <w:rsid w:val="00B57981"/>
    <w:rsid w:val="00B60A34"/>
    <w:rsid w:val="00B61175"/>
    <w:rsid w:val="00B614FB"/>
    <w:rsid w:val="00B618C2"/>
    <w:rsid w:val="00B6194E"/>
    <w:rsid w:val="00B61950"/>
    <w:rsid w:val="00B6295A"/>
    <w:rsid w:val="00B634E3"/>
    <w:rsid w:val="00B6419B"/>
    <w:rsid w:val="00B646C0"/>
    <w:rsid w:val="00B65941"/>
    <w:rsid w:val="00B65CFD"/>
    <w:rsid w:val="00B660F5"/>
    <w:rsid w:val="00B66986"/>
    <w:rsid w:val="00B67E1D"/>
    <w:rsid w:val="00B708DC"/>
    <w:rsid w:val="00B71F7F"/>
    <w:rsid w:val="00B72360"/>
    <w:rsid w:val="00B74426"/>
    <w:rsid w:val="00B7587A"/>
    <w:rsid w:val="00B76019"/>
    <w:rsid w:val="00B76445"/>
    <w:rsid w:val="00B765BA"/>
    <w:rsid w:val="00B76797"/>
    <w:rsid w:val="00B76D1B"/>
    <w:rsid w:val="00B7741A"/>
    <w:rsid w:val="00B80335"/>
    <w:rsid w:val="00B81271"/>
    <w:rsid w:val="00B83A6F"/>
    <w:rsid w:val="00B83E08"/>
    <w:rsid w:val="00B85885"/>
    <w:rsid w:val="00B85BB8"/>
    <w:rsid w:val="00B8646B"/>
    <w:rsid w:val="00B872D2"/>
    <w:rsid w:val="00B901A4"/>
    <w:rsid w:val="00B9092A"/>
    <w:rsid w:val="00B91C8A"/>
    <w:rsid w:val="00B91DFB"/>
    <w:rsid w:val="00B920D1"/>
    <w:rsid w:val="00B925BE"/>
    <w:rsid w:val="00B93061"/>
    <w:rsid w:val="00B933CF"/>
    <w:rsid w:val="00B93A48"/>
    <w:rsid w:val="00B945F5"/>
    <w:rsid w:val="00B95CDD"/>
    <w:rsid w:val="00B9681A"/>
    <w:rsid w:val="00B971E9"/>
    <w:rsid w:val="00B97F29"/>
    <w:rsid w:val="00BA0ED2"/>
    <w:rsid w:val="00BA11CB"/>
    <w:rsid w:val="00BA1AC3"/>
    <w:rsid w:val="00BA1C54"/>
    <w:rsid w:val="00BA2D33"/>
    <w:rsid w:val="00BA3F82"/>
    <w:rsid w:val="00BA4468"/>
    <w:rsid w:val="00BA5B14"/>
    <w:rsid w:val="00BA6BE4"/>
    <w:rsid w:val="00BA7461"/>
    <w:rsid w:val="00BB01B5"/>
    <w:rsid w:val="00BB08B2"/>
    <w:rsid w:val="00BB35DF"/>
    <w:rsid w:val="00BB3D69"/>
    <w:rsid w:val="00BB3EC0"/>
    <w:rsid w:val="00BB41B8"/>
    <w:rsid w:val="00BB4A0D"/>
    <w:rsid w:val="00BB4A5B"/>
    <w:rsid w:val="00BB5336"/>
    <w:rsid w:val="00BB5538"/>
    <w:rsid w:val="00BB554E"/>
    <w:rsid w:val="00BB5B81"/>
    <w:rsid w:val="00BB5E21"/>
    <w:rsid w:val="00BB611E"/>
    <w:rsid w:val="00BB62D4"/>
    <w:rsid w:val="00BB6D39"/>
    <w:rsid w:val="00BB71A8"/>
    <w:rsid w:val="00BB7792"/>
    <w:rsid w:val="00BB7A3C"/>
    <w:rsid w:val="00BB7C2D"/>
    <w:rsid w:val="00BC092A"/>
    <w:rsid w:val="00BC0BCA"/>
    <w:rsid w:val="00BC22D7"/>
    <w:rsid w:val="00BC2AD6"/>
    <w:rsid w:val="00BC3756"/>
    <w:rsid w:val="00BC4D9A"/>
    <w:rsid w:val="00BC4F16"/>
    <w:rsid w:val="00BC5602"/>
    <w:rsid w:val="00BC56FA"/>
    <w:rsid w:val="00BC719C"/>
    <w:rsid w:val="00BC7D17"/>
    <w:rsid w:val="00BD3603"/>
    <w:rsid w:val="00BD400A"/>
    <w:rsid w:val="00BD425A"/>
    <w:rsid w:val="00BD4B3A"/>
    <w:rsid w:val="00BD4DBD"/>
    <w:rsid w:val="00BD7328"/>
    <w:rsid w:val="00BD7498"/>
    <w:rsid w:val="00BD7EE7"/>
    <w:rsid w:val="00BE039B"/>
    <w:rsid w:val="00BE0BA8"/>
    <w:rsid w:val="00BE189B"/>
    <w:rsid w:val="00BE4793"/>
    <w:rsid w:val="00BE59EF"/>
    <w:rsid w:val="00BE6BD1"/>
    <w:rsid w:val="00BE7BA2"/>
    <w:rsid w:val="00BF1B16"/>
    <w:rsid w:val="00BF2FF1"/>
    <w:rsid w:val="00BF3697"/>
    <w:rsid w:val="00BF3DAB"/>
    <w:rsid w:val="00BF4ED4"/>
    <w:rsid w:val="00BF4FD6"/>
    <w:rsid w:val="00BF569C"/>
    <w:rsid w:val="00BF6563"/>
    <w:rsid w:val="00BF6A65"/>
    <w:rsid w:val="00BF6ACE"/>
    <w:rsid w:val="00BF7356"/>
    <w:rsid w:val="00BF7F1C"/>
    <w:rsid w:val="00C0177B"/>
    <w:rsid w:val="00C01827"/>
    <w:rsid w:val="00C0250D"/>
    <w:rsid w:val="00C04F0C"/>
    <w:rsid w:val="00C04FB6"/>
    <w:rsid w:val="00C0518A"/>
    <w:rsid w:val="00C05C58"/>
    <w:rsid w:val="00C0754D"/>
    <w:rsid w:val="00C07667"/>
    <w:rsid w:val="00C10295"/>
    <w:rsid w:val="00C10C4D"/>
    <w:rsid w:val="00C13A51"/>
    <w:rsid w:val="00C1476B"/>
    <w:rsid w:val="00C16160"/>
    <w:rsid w:val="00C1746A"/>
    <w:rsid w:val="00C20039"/>
    <w:rsid w:val="00C20CD5"/>
    <w:rsid w:val="00C2110E"/>
    <w:rsid w:val="00C2119A"/>
    <w:rsid w:val="00C226E6"/>
    <w:rsid w:val="00C22E85"/>
    <w:rsid w:val="00C24CAC"/>
    <w:rsid w:val="00C24D3D"/>
    <w:rsid w:val="00C2517F"/>
    <w:rsid w:val="00C26A45"/>
    <w:rsid w:val="00C273EB"/>
    <w:rsid w:val="00C31018"/>
    <w:rsid w:val="00C313BF"/>
    <w:rsid w:val="00C31432"/>
    <w:rsid w:val="00C31EAE"/>
    <w:rsid w:val="00C323A5"/>
    <w:rsid w:val="00C32750"/>
    <w:rsid w:val="00C32BBA"/>
    <w:rsid w:val="00C3342D"/>
    <w:rsid w:val="00C35CFB"/>
    <w:rsid w:val="00C36B6B"/>
    <w:rsid w:val="00C37071"/>
    <w:rsid w:val="00C37D32"/>
    <w:rsid w:val="00C37F3E"/>
    <w:rsid w:val="00C41586"/>
    <w:rsid w:val="00C42902"/>
    <w:rsid w:val="00C429CF"/>
    <w:rsid w:val="00C4353C"/>
    <w:rsid w:val="00C43C45"/>
    <w:rsid w:val="00C43FE2"/>
    <w:rsid w:val="00C44118"/>
    <w:rsid w:val="00C444CE"/>
    <w:rsid w:val="00C505E4"/>
    <w:rsid w:val="00C51DBB"/>
    <w:rsid w:val="00C522E9"/>
    <w:rsid w:val="00C524A3"/>
    <w:rsid w:val="00C52681"/>
    <w:rsid w:val="00C53095"/>
    <w:rsid w:val="00C5317F"/>
    <w:rsid w:val="00C53680"/>
    <w:rsid w:val="00C55D51"/>
    <w:rsid w:val="00C57C43"/>
    <w:rsid w:val="00C617D4"/>
    <w:rsid w:val="00C61F61"/>
    <w:rsid w:val="00C62342"/>
    <w:rsid w:val="00C634A0"/>
    <w:rsid w:val="00C645F9"/>
    <w:rsid w:val="00C6482B"/>
    <w:rsid w:val="00C64967"/>
    <w:rsid w:val="00C65456"/>
    <w:rsid w:val="00C657C2"/>
    <w:rsid w:val="00C65AA3"/>
    <w:rsid w:val="00C679ED"/>
    <w:rsid w:val="00C71151"/>
    <w:rsid w:val="00C715E1"/>
    <w:rsid w:val="00C72544"/>
    <w:rsid w:val="00C734E9"/>
    <w:rsid w:val="00C7590D"/>
    <w:rsid w:val="00C76765"/>
    <w:rsid w:val="00C76FBB"/>
    <w:rsid w:val="00C777A9"/>
    <w:rsid w:val="00C80455"/>
    <w:rsid w:val="00C8114F"/>
    <w:rsid w:val="00C86DAC"/>
    <w:rsid w:val="00C87C55"/>
    <w:rsid w:val="00C92596"/>
    <w:rsid w:val="00C92FD1"/>
    <w:rsid w:val="00C93576"/>
    <w:rsid w:val="00C93BB7"/>
    <w:rsid w:val="00C954E6"/>
    <w:rsid w:val="00C955A6"/>
    <w:rsid w:val="00C96353"/>
    <w:rsid w:val="00C97369"/>
    <w:rsid w:val="00C97628"/>
    <w:rsid w:val="00C97CCB"/>
    <w:rsid w:val="00C97F5E"/>
    <w:rsid w:val="00CA0D6F"/>
    <w:rsid w:val="00CA0D7D"/>
    <w:rsid w:val="00CA1147"/>
    <w:rsid w:val="00CA2ACA"/>
    <w:rsid w:val="00CA41E9"/>
    <w:rsid w:val="00CA4A3C"/>
    <w:rsid w:val="00CA4FEC"/>
    <w:rsid w:val="00CA50E5"/>
    <w:rsid w:val="00CA6044"/>
    <w:rsid w:val="00CA645C"/>
    <w:rsid w:val="00CA650E"/>
    <w:rsid w:val="00CA6F45"/>
    <w:rsid w:val="00CA7473"/>
    <w:rsid w:val="00CB0D7D"/>
    <w:rsid w:val="00CB151B"/>
    <w:rsid w:val="00CB36C1"/>
    <w:rsid w:val="00CB4258"/>
    <w:rsid w:val="00CB42EF"/>
    <w:rsid w:val="00CB45BC"/>
    <w:rsid w:val="00CB4609"/>
    <w:rsid w:val="00CB4B74"/>
    <w:rsid w:val="00CB636A"/>
    <w:rsid w:val="00CC16ED"/>
    <w:rsid w:val="00CC29FD"/>
    <w:rsid w:val="00CC311F"/>
    <w:rsid w:val="00CC3996"/>
    <w:rsid w:val="00CC3DCF"/>
    <w:rsid w:val="00CC50E3"/>
    <w:rsid w:val="00CC5511"/>
    <w:rsid w:val="00CC6048"/>
    <w:rsid w:val="00CC6147"/>
    <w:rsid w:val="00CC66AF"/>
    <w:rsid w:val="00CC69B2"/>
    <w:rsid w:val="00CC6A11"/>
    <w:rsid w:val="00CC7AC1"/>
    <w:rsid w:val="00CD1015"/>
    <w:rsid w:val="00CD139A"/>
    <w:rsid w:val="00CD209F"/>
    <w:rsid w:val="00CD31CD"/>
    <w:rsid w:val="00CD3536"/>
    <w:rsid w:val="00CD35CA"/>
    <w:rsid w:val="00CD3CB8"/>
    <w:rsid w:val="00CD4F11"/>
    <w:rsid w:val="00CD592C"/>
    <w:rsid w:val="00CD5AD0"/>
    <w:rsid w:val="00CD6665"/>
    <w:rsid w:val="00CD70F8"/>
    <w:rsid w:val="00CD79B0"/>
    <w:rsid w:val="00CE02D2"/>
    <w:rsid w:val="00CE045F"/>
    <w:rsid w:val="00CE32D5"/>
    <w:rsid w:val="00CE4537"/>
    <w:rsid w:val="00CE588D"/>
    <w:rsid w:val="00CE6528"/>
    <w:rsid w:val="00CE75EF"/>
    <w:rsid w:val="00CF17FD"/>
    <w:rsid w:val="00CF1B4B"/>
    <w:rsid w:val="00CF1C7F"/>
    <w:rsid w:val="00CF2921"/>
    <w:rsid w:val="00CF50E5"/>
    <w:rsid w:val="00CF62D6"/>
    <w:rsid w:val="00CF721B"/>
    <w:rsid w:val="00CF75F9"/>
    <w:rsid w:val="00D0122B"/>
    <w:rsid w:val="00D01278"/>
    <w:rsid w:val="00D01FEC"/>
    <w:rsid w:val="00D027D9"/>
    <w:rsid w:val="00D04130"/>
    <w:rsid w:val="00D054E8"/>
    <w:rsid w:val="00D0715E"/>
    <w:rsid w:val="00D074E2"/>
    <w:rsid w:val="00D07950"/>
    <w:rsid w:val="00D11C1F"/>
    <w:rsid w:val="00D136A0"/>
    <w:rsid w:val="00D13A8F"/>
    <w:rsid w:val="00D15073"/>
    <w:rsid w:val="00D15407"/>
    <w:rsid w:val="00D166CB"/>
    <w:rsid w:val="00D178CE"/>
    <w:rsid w:val="00D20490"/>
    <w:rsid w:val="00D213D1"/>
    <w:rsid w:val="00D214EF"/>
    <w:rsid w:val="00D22F72"/>
    <w:rsid w:val="00D2371B"/>
    <w:rsid w:val="00D24232"/>
    <w:rsid w:val="00D24F9D"/>
    <w:rsid w:val="00D25899"/>
    <w:rsid w:val="00D276A0"/>
    <w:rsid w:val="00D325B3"/>
    <w:rsid w:val="00D33370"/>
    <w:rsid w:val="00D33A16"/>
    <w:rsid w:val="00D33AAF"/>
    <w:rsid w:val="00D356F9"/>
    <w:rsid w:val="00D35B97"/>
    <w:rsid w:val="00D36426"/>
    <w:rsid w:val="00D36C4E"/>
    <w:rsid w:val="00D36D9A"/>
    <w:rsid w:val="00D402B0"/>
    <w:rsid w:val="00D402EB"/>
    <w:rsid w:val="00D4076E"/>
    <w:rsid w:val="00D41484"/>
    <w:rsid w:val="00D42135"/>
    <w:rsid w:val="00D45206"/>
    <w:rsid w:val="00D46A00"/>
    <w:rsid w:val="00D46F74"/>
    <w:rsid w:val="00D47132"/>
    <w:rsid w:val="00D50391"/>
    <w:rsid w:val="00D50839"/>
    <w:rsid w:val="00D5124C"/>
    <w:rsid w:val="00D512D2"/>
    <w:rsid w:val="00D517D4"/>
    <w:rsid w:val="00D51C36"/>
    <w:rsid w:val="00D54B85"/>
    <w:rsid w:val="00D55330"/>
    <w:rsid w:val="00D55558"/>
    <w:rsid w:val="00D566E1"/>
    <w:rsid w:val="00D56989"/>
    <w:rsid w:val="00D5740A"/>
    <w:rsid w:val="00D57410"/>
    <w:rsid w:val="00D6095E"/>
    <w:rsid w:val="00D621E0"/>
    <w:rsid w:val="00D622DA"/>
    <w:rsid w:val="00D6316B"/>
    <w:rsid w:val="00D632B5"/>
    <w:rsid w:val="00D63E6D"/>
    <w:rsid w:val="00D64301"/>
    <w:rsid w:val="00D64E04"/>
    <w:rsid w:val="00D652F2"/>
    <w:rsid w:val="00D66AF8"/>
    <w:rsid w:val="00D66CD0"/>
    <w:rsid w:val="00D70D04"/>
    <w:rsid w:val="00D70FD0"/>
    <w:rsid w:val="00D7100F"/>
    <w:rsid w:val="00D72429"/>
    <w:rsid w:val="00D73260"/>
    <w:rsid w:val="00D73F2A"/>
    <w:rsid w:val="00D74405"/>
    <w:rsid w:val="00D7543F"/>
    <w:rsid w:val="00D75CC6"/>
    <w:rsid w:val="00D7644F"/>
    <w:rsid w:val="00D76C5B"/>
    <w:rsid w:val="00D7730C"/>
    <w:rsid w:val="00D8068A"/>
    <w:rsid w:val="00D818FC"/>
    <w:rsid w:val="00D81B34"/>
    <w:rsid w:val="00D81E5D"/>
    <w:rsid w:val="00D8268A"/>
    <w:rsid w:val="00D83916"/>
    <w:rsid w:val="00D844CC"/>
    <w:rsid w:val="00D8479E"/>
    <w:rsid w:val="00D848D0"/>
    <w:rsid w:val="00D84EF5"/>
    <w:rsid w:val="00D84F0E"/>
    <w:rsid w:val="00D85A22"/>
    <w:rsid w:val="00D867AE"/>
    <w:rsid w:val="00D90081"/>
    <w:rsid w:val="00D91AA3"/>
    <w:rsid w:val="00D92C18"/>
    <w:rsid w:val="00D970D3"/>
    <w:rsid w:val="00D974D9"/>
    <w:rsid w:val="00D9784A"/>
    <w:rsid w:val="00D97F26"/>
    <w:rsid w:val="00DA1553"/>
    <w:rsid w:val="00DA2AE9"/>
    <w:rsid w:val="00DA4326"/>
    <w:rsid w:val="00DA5085"/>
    <w:rsid w:val="00DA54E3"/>
    <w:rsid w:val="00DA6F73"/>
    <w:rsid w:val="00DB1531"/>
    <w:rsid w:val="00DB2067"/>
    <w:rsid w:val="00DB4212"/>
    <w:rsid w:val="00DB4C26"/>
    <w:rsid w:val="00DB4D1E"/>
    <w:rsid w:val="00DB516B"/>
    <w:rsid w:val="00DB5ED6"/>
    <w:rsid w:val="00DC1AEC"/>
    <w:rsid w:val="00DC56C0"/>
    <w:rsid w:val="00DC5A39"/>
    <w:rsid w:val="00DC6707"/>
    <w:rsid w:val="00DD0BF1"/>
    <w:rsid w:val="00DD364F"/>
    <w:rsid w:val="00DD3B77"/>
    <w:rsid w:val="00DD4069"/>
    <w:rsid w:val="00DD418A"/>
    <w:rsid w:val="00DD43CA"/>
    <w:rsid w:val="00DD494B"/>
    <w:rsid w:val="00DD514D"/>
    <w:rsid w:val="00DD59AB"/>
    <w:rsid w:val="00DD5AB8"/>
    <w:rsid w:val="00DD789E"/>
    <w:rsid w:val="00DE01D1"/>
    <w:rsid w:val="00DE0839"/>
    <w:rsid w:val="00DE09DC"/>
    <w:rsid w:val="00DE14E5"/>
    <w:rsid w:val="00DE1BC4"/>
    <w:rsid w:val="00DE5C64"/>
    <w:rsid w:val="00DE6304"/>
    <w:rsid w:val="00DF17AE"/>
    <w:rsid w:val="00DF1C40"/>
    <w:rsid w:val="00DF3088"/>
    <w:rsid w:val="00DF359C"/>
    <w:rsid w:val="00DF3A46"/>
    <w:rsid w:val="00DF4163"/>
    <w:rsid w:val="00DF589D"/>
    <w:rsid w:val="00DF66B5"/>
    <w:rsid w:val="00DF6D21"/>
    <w:rsid w:val="00DF6E0F"/>
    <w:rsid w:val="00DF724E"/>
    <w:rsid w:val="00DF75AF"/>
    <w:rsid w:val="00E00704"/>
    <w:rsid w:val="00E010F8"/>
    <w:rsid w:val="00E013F0"/>
    <w:rsid w:val="00E01EAB"/>
    <w:rsid w:val="00E025C3"/>
    <w:rsid w:val="00E02DF8"/>
    <w:rsid w:val="00E034E0"/>
    <w:rsid w:val="00E04CA7"/>
    <w:rsid w:val="00E05C89"/>
    <w:rsid w:val="00E066F3"/>
    <w:rsid w:val="00E075A5"/>
    <w:rsid w:val="00E075EF"/>
    <w:rsid w:val="00E07D2A"/>
    <w:rsid w:val="00E11270"/>
    <w:rsid w:val="00E115B4"/>
    <w:rsid w:val="00E11A15"/>
    <w:rsid w:val="00E11D52"/>
    <w:rsid w:val="00E12D5D"/>
    <w:rsid w:val="00E14BC1"/>
    <w:rsid w:val="00E15F47"/>
    <w:rsid w:val="00E167ED"/>
    <w:rsid w:val="00E1702E"/>
    <w:rsid w:val="00E171C2"/>
    <w:rsid w:val="00E17B56"/>
    <w:rsid w:val="00E20542"/>
    <w:rsid w:val="00E21914"/>
    <w:rsid w:val="00E234BE"/>
    <w:rsid w:val="00E247FD"/>
    <w:rsid w:val="00E24C40"/>
    <w:rsid w:val="00E2615F"/>
    <w:rsid w:val="00E26AE7"/>
    <w:rsid w:val="00E278F8"/>
    <w:rsid w:val="00E303F1"/>
    <w:rsid w:val="00E305AA"/>
    <w:rsid w:val="00E30C0D"/>
    <w:rsid w:val="00E31D2D"/>
    <w:rsid w:val="00E32A0A"/>
    <w:rsid w:val="00E35066"/>
    <w:rsid w:val="00E353D2"/>
    <w:rsid w:val="00E35A74"/>
    <w:rsid w:val="00E35E78"/>
    <w:rsid w:val="00E363BF"/>
    <w:rsid w:val="00E365C0"/>
    <w:rsid w:val="00E365FA"/>
    <w:rsid w:val="00E36F35"/>
    <w:rsid w:val="00E40880"/>
    <w:rsid w:val="00E42736"/>
    <w:rsid w:val="00E43517"/>
    <w:rsid w:val="00E43C40"/>
    <w:rsid w:val="00E44630"/>
    <w:rsid w:val="00E44D75"/>
    <w:rsid w:val="00E44E70"/>
    <w:rsid w:val="00E46572"/>
    <w:rsid w:val="00E46635"/>
    <w:rsid w:val="00E4685E"/>
    <w:rsid w:val="00E47046"/>
    <w:rsid w:val="00E47E99"/>
    <w:rsid w:val="00E508D0"/>
    <w:rsid w:val="00E50A06"/>
    <w:rsid w:val="00E511BD"/>
    <w:rsid w:val="00E5207C"/>
    <w:rsid w:val="00E523B3"/>
    <w:rsid w:val="00E545CD"/>
    <w:rsid w:val="00E554AF"/>
    <w:rsid w:val="00E57340"/>
    <w:rsid w:val="00E6017F"/>
    <w:rsid w:val="00E60A7B"/>
    <w:rsid w:val="00E611CC"/>
    <w:rsid w:val="00E6227E"/>
    <w:rsid w:val="00E626B6"/>
    <w:rsid w:val="00E6456B"/>
    <w:rsid w:val="00E64D54"/>
    <w:rsid w:val="00E64F29"/>
    <w:rsid w:val="00E65FA9"/>
    <w:rsid w:val="00E663BA"/>
    <w:rsid w:val="00E66932"/>
    <w:rsid w:val="00E67881"/>
    <w:rsid w:val="00E70033"/>
    <w:rsid w:val="00E70135"/>
    <w:rsid w:val="00E70461"/>
    <w:rsid w:val="00E7069A"/>
    <w:rsid w:val="00E70A57"/>
    <w:rsid w:val="00E71351"/>
    <w:rsid w:val="00E714BE"/>
    <w:rsid w:val="00E71728"/>
    <w:rsid w:val="00E740A7"/>
    <w:rsid w:val="00E748F1"/>
    <w:rsid w:val="00E75DF2"/>
    <w:rsid w:val="00E7702F"/>
    <w:rsid w:val="00E775D4"/>
    <w:rsid w:val="00E77756"/>
    <w:rsid w:val="00E77ACA"/>
    <w:rsid w:val="00E77B8F"/>
    <w:rsid w:val="00E8141A"/>
    <w:rsid w:val="00E81EC5"/>
    <w:rsid w:val="00E825ED"/>
    <w:rsid w:val="00E82F28"/>
    <w:rsid w:val="00E835AC"/>
    <w:rsid w:val="00E84027"/>
    <w:rsid w:val="00E84814"/>
    <w:rsid w:val="00E850B8"/>
    <w:rsid w:val="00E850FE"/>
    <w:rsid w:val="00E85D1F"/>
    <w:rsid w:val="00E86059"/>
    <w:rsid w:val="00E86F0B"/>
    <w:rsid w:val="00E87877"/>
    <w:rsid w:val="00E879C9"/>
    <w:rsid w:val="00E90016"/>
    <w:rsid w:val="00E905A4"/>
    <w:rsid w:val="00E914ED"/>
    <w:rsid w:val="00E928C6"/>
    <w:rsid w:val="00E9341F"/>
    <w:rsid w:val="00E94CA8"/>
    <w:rsid w:val="00E94F0B"/>
    <w:rsid w:val="00E956D4"/>
    <w:rsid w:val="00E95CB2"/>
    <w:rsid w:val="00E968D7"/>
    <w:rsid w:val="00E96C9B"/>
    <w:rsid w:val="00E978A5"/>
    <w:rsid w:val="00EA08B1"/>
    <w:rsid w:val="00EA18AF"/>
    <w:rsid w:val="00EA192A"/>
    <w:rsid w:val="00EA30AA"/>
    <w:rsid w:val="00EA30F5"/>
    <w:rsid w:val="00EA5016"/>
    <w:rsid w:val="00EA5310"/>
    <w:rsid w:val="00EA5E0C"/>
    <w:rsid w:val="00EA5F60"/>
    <w:rsid w:val="00EA69A1"/>
    <w:rsid w:val="00EA6E93"/>
    <w:rsid w:val="00EA71FA"/>
    <w:rsid w:val="00EA7A2A"/>
    <w:rsid w:val="00EB1995"/>
    <w:rsid w:val="00EB27CC"/>
    <w:rsid w:val="00EB2EFD"/>
    <w:rsid w:val="00EB49DB"/>
    <w:rsid w:val="00EB6299"/>
    <w:rsid w:val="00EB6B8D"/>
    <w:rsid w:val="00EB6CF1"/>
    <w:rsid w:val="00EB6EFB"/>
    <w:rsid w:val="00EB78EA"/>
    <w:rsid w:val="00EB7BF1"/>
    <w:rsid w:val="00EC01D8"/>
    <w:rsid w:val="00EC17BB"/>
    <w:rsid w:val="00EC1977"/>
    <w:rsid w:val="00EC2088"/>
    <w:rsid w:val="00EC2111"/>
    <w:rsid w:val="00EC274D"/>
    <w:rsid w:val="00EC38FD"/>
    <w:rsid w:val="00EC3D3E"/>
    <w:rsid w:val="00EC45A7"/>
    <w:rsid w:val="00EC517B"/>
    <w:rsid w:val="00EC576A"/>
    <w:rsid w:val="00EC5816"/>
    <w:rsid w:val="00EC5838"/>
    <w:rsid w:val="00EC5BD1"/>
    <w:rsid w:val="00EC5BFC"/>
    <w:rsid w:val="00EC6798"/>
    <w:rsid w:val="00EC6A81"/>
    <w:rsid w:val="00EC6B30"/>
    <w:rsid w:val="00EC6E05"/>
    <w:rsid w:val="00EC7929"/>
    <w:rsid w:val="00ED1A6D"/>
    <w:rsid w:val="00ED321E"/>
    <w:rsid w:val="00ED440A"/>
    <w:rsid w:val="00ED460F"/>
    <w:rsid w:val="00ED56D0"/>
    <w:rsid w:val="00ED5E8C"/>
    <w:rsid w:val="00ED6831"/>
    <w:rsid w:val="00EE16D2"/>
    <w:rsid w:val="00EE2FB1"/>
    <w:rsid w:val="00EE3A42"/>
    <w:rsid w:val="00EE3BBD"/>
    <w:rsid w:val="00EE4499"/>
    <w:rsid w:val="00EE4D99"/>
    <w:rsid w:val="00EE62DF"/>
    <w:rsid w:val="00EE65BC"/>
    <w:rsid w:val="00EE70D3"/>
    <w:rsid w:val="00EF00B8"/>
    <w:rsid w:val="00EF0E19"/>
    <w:rsid w:val="00EF16A3"/>
    <w:rsid w:val="00EF254D"/>
    <w:rsid w:val="00EF44F7"/>
    <w:rsid w:val="00EF471A"/>
    <w:rsid w:val="00EF663A"/>
    <w:rsid w:val="00EF692E"/>
    <w:rsid w:val="00F005AC"/>
    <w:rsid w:val="00F00709"/>
    <w:rsid w:val="00F02EE3"/>
    <w:rsid w:val="00F0418B"/>
    <w:rsid w:val="00F04CA3"/>
    <w:rsid w:val="00F0673C"/>
    <w:rsid w:val="00F06A67"/>
    <w:rsid w:val="00F06C34"/>
    <w:rsid w:val="00F0740E"/>
    <w:rsid w:val="00F106A3"/>
    <w:rsid w:val="00F10DDE"/>
    <w:rsid w:val="00F10E4D"/>
    <w:rsid w:val="00F11B72"/>
    <w:rsid w:val="00F138A3"/>
    <w:rsid w:val="00F14554"/>
    <w:rsid w:val="00F14629"/>
    <w:rsid w:val="00F1615C"/>
    <w:rsid w:val="00F162CA"/>
    <w:rsid w:val="00F16779"/>
    <w:rsid w:val="00F16BE9"/>
    <w:rsid w:val="00F2049E"/>
    <w:rsid w:val="00F20DB1"/>
    <w:rsid w:val="00F21545"/>
    <w:rsid w:val="00F2190D"/>
    <w:rsid w:val="00F22060"/>
    <w:rsid w:val="00F22200"/>
    <w:rsid w:val="00F2330B"/>
    <w:rsid w:val="00F23A7E"/>
    <w:rsid w:val="00F2491D"/>
    <w:rsid w:val="00F25301"/>
    <w:rsid w:val="00F25480"/>
    <w:rsid w:val="00F26691"/>
    <w:rsid w:val="00F27430"/>
    <w:rsid w:val="00F30A19"/>
    <w:rsid w:val="00F32107"/>
    <w:rsid w:val="00F323A9"/>
    <w:rsid w:val="00F34FD0"/>
    <w:rsid w:val="00F359B9"/>
    <w:rsid w:val="00F35CCB"/>
    <w:rsid w:val="00F35CD9"/>
    <w:rsid w:val="00F40605"/>
    <w:rsid w:val="00F41169"/>
    <w:rsid w:val="00F419E3"/>
    <w:rsid w:val="00F41AD9"/>
    <w:rsid w:val="00F41B9E"/>
    <w:rsid w:val="00F430C7"/>
    <w:rsid w:val="00F440E1"/>
    <w:rsid w:val="00F44B4E"/>
    <w:rsid w:val="00F457B3"/>
    <w:rsid w:val="00F45B8B"/>
    <w:rsid w:val="00F4620C"/>
    <w:rsid w:val="00F51C4C"/>
    <w:rsid w:val="00F53E6C"/>
    <w:rsid w:val="00F5446A"/>
    <w:rsid w:val="00F54B69"/>
    <w:rsid w:val="00F54C45"/>
    <w:rsid w:val="00F55248"/>
    <w:rsid w:val="00F552C7"/>
    <w:rsid w:val="00F55396"/>
    <w:rsid w:val="00F55587"/>
    <w:rsid w:val="00F55B70"/>
    <w:rsid w:val="00F578DE"/>
    <w:rsid w:val="00F57B36"/>
    <w:rsid w:val="00F605F5"/>
    <w:rsid w:val="00F61ECE"/>
    <w:rsid w:val="00F62C41"/>
    <w:rsid w:val="00F64389"/>
    <w:rsid w:val="00F64891"/>
    <w:rsid w:val="00F64B64"/>
    <w:rsid w:val="00F64FDE"/>
    <w:rsid w:val="00F65221"/>
    <w:rsid w:val="00F654EA"/>
    <w:rsid w:val="00F65BB8"/>
    <w:rsid w:val="00F65FFA"/>
    <w:rsid w:val="00F66B02"/>
    <w:rsid w:val="00F67102"/>
    <w:rsid w:val="00F67EDB"/>
    <w:rsid w:val="00F70758"/>
    <w:rsid w:val="00F7152E"/>
    <w:rsid w:val="00F75E9C"/>
    <w:rsid w:val="00F7607D"/>
    <w:rsid w:val="00F76393"/>
    <w:rsid w:val="00F76DA4"/>
    <w:rsid w:val="00F76F8A"/>
    <w:rsid w:val="00F8019B"/>
    <w:rsid w:val="00F80488"/>
    <w:rsid w:val="00F80843"/>
    <w:rsid w:val="00F80AD3"/>
    <w:rsid w:val="00F8144C"/>
    <w:rsid w:val="00F81F51"/>
    <w:rsid w:val="00F84851"/>
    <w:rsid w:val="00F86697"/>
    <w:rsid w:val="00F86801"/>
    <w:rsid w:val="00F869F0"/>
    <w:rsid w:val="00F86AED"/>
    <w:rsid w:val="00F90224"/>
    <w:rsid w:val="00F907CF"/>
    <w:rsid w:val="00F9113D"/>
    <w:rsid w:val="00F912CC"/>
    <w:rsid w:val="00F92AD7"/>
    <w:rsid w:val="00F92CF0"/>
    <w:rsid w:val="00F94D61"/>
    <w:rsid w:val="00F95556"/>
    <w:rsid w:val="00F95C26"/>
    <w:rsid w:val="00F96D2A"/>
    <w:rsid w:val="00F97198"/>
    <w:rsid w:val="00F977B9"/>
    <w:rsid w:val="00F97DEF"/>
    <w:rsid w:val="00FA0350"/>
    <w:rsid w:val="00FA40B1"/>
    <w:rsid w:val="00FA46F8"/>
    <w:rsid w:val="00FA693F"/>
    <w:rsid w:val="00FA69EB"/>
    <w:rsid w:val="00FA7600"/>
    <w:rsid w:val="00FA7745"/>
    <w:rsid w:val="00FB0896"/>
    <w:rsid w:val="00FB09F0"/>
    <w:rsid w:val="00FB0AC1"/>
    <w:rsid w:val="00FB41C7"/>
    <w:rsid w:val="00FB5274"/>
    <w:rsid w:val="00FB587C"/>
    <w:rsid w:val="00FB58A9"/>
    <w:rsid w:val="00FB681C"/>
    <w:rsid w:val="00FB71D2"/>
    <w:rsid w:val="00FB7C04"/>
    <w:rsid w:val="00FC11FC"/>
    <w:rsid w:val="00FC1E2D"/>
    <w:rsid w:val="00FC2B66"/>
    <w:rsid w:val="00FC352A"/>
    <w:rsid w:val="00FC359D"/>
    <w:rsid w:val="00FC36CC"/>
    <w:rsid w:val="00FC40D8"/>
    <w:rsid w:val="00FC41BD"/>
    <w:rsid w:val="00FC487C"/>
    <w:rsid w:val="00FC4E69"/>
    <w:rsid w:val="00FC5C2A"/>
    <w:rsid w:val="00FC5F5D"/>
    <w:rsid w:val="00FC61F9"/>
    <w:rsid w:val="00FC622E"/>
    <w:rsid w:val="00FC66E0"/>
    <w:rsid w:val="00FD051E"/>
    <w:rsid w:val="00FD0BD6"/>
    <w:rsid w:val="00FD12CD"/>
    <w:rsid w:val="00FD1309"/>
    <w:rsid w:val="00FD14DE"/>
    <w:rsid w:val="00FD28F1"/>
    <w:rsid w:val="00FD44C2"/>
    <w:rsid w:val="00FD452A"/>
    <w:rsid w:val="00FD4FFA"/>
    <w:rsid w:val="00FD705E"/>
    <w:rsid w:val="00FD76AA"/>
    <w:rsid w:val="00FE0A16"/>
    <w:rsid w:val="00FE0C04"/>
    <w:rsid w:val="00FE1437"/>
    <w:rsid w:val="00FE1529"/>
    <w:rsid w:val="00FE1A12"/>
    <w:rsid w:val="00FE24C4"/>
    <w:rsid w:val="00FE2D54"/>
    <w:rsid w:val="00FE43BE"/>
    <w:rsid w:val="00FE4710"/>
    <w:rsid w:val="00FE4736"/>
    <w:rsid w:val="00FE5304"/>
    <w:rsid w:val="00FE740A"/>
    <w:rsid w:val="00FE7866"/>
    <w:rsid w:val="00FE7C19"/>
    <w:rsid w:val="00FF0849"/>
    <w:rsid w:val="00FF0A08"/>
    <w:rsid w:val="00FF1647"/>
    <w:rsid w:val="00FF22B8"/>
    <w:rsid w:val="00FF2F76"/>
    <w:rsid w:val="00FF3F2D"/>
    <w:rsid w:val="00FF4A63"/>
    <w:rsid w:val="00FF4F57"/>
    <w:rsid w:val="00FF54B8"/>
    <w:rsid w:val="00FF7497"/>
    <w:rsid w:val="00FF7835"/>
    <w:rsid w:val="00FF784D"/>
    <w:rsid w:val="0104458B"/>
    <w:rsid w:val="01172A03"/>
    <w:rsid w:val="0119677B"/>
    <w:rsid w:val="01213882"/>
    <w:rsid w:val="01262B5F"/>
    <w:rsid w:val="01276C73"/>
    <w:rsid w:val="012A0989"/>
    <w:rsid w:val="012B2A0D"/>
    <w:rsid w:val="0133758F"/>
    <w:rsid w:val="014568D0"/>
    <w:rsid w:val="01486C7D"/>
    <w:rsid w:val="015679D0"/>
    <w:rsid w:val="015D4E2C"/>
    <w:rsid w:val="015E6884"/>
    <w:rsid w:val="01640518"/>
    <w:rsid w:val="0176597C"/>
    <w:rsid w:val="017817AA"/>
    <w:rsid w:val="017916B7"/>
    <w:rsid w:val="017A6055"/>
    <w:rsid w:val="017E0CD4"/>
    <w:rsid w:val="018502B5"/>
    <w:rsid w:val="01967DCC"/>
    <w:rsid w:val="019B53E2"/>
    <w:rsid w:val="01A634E2"/>
    <w:rsid w:val="01B252EA"/>
    <w:rsid w:val="01BF7DDF"/>
    <w:rsid w:val="01C41113"/>
    <w:rsid w:val="01C56903"/>
    <w:rsid w:val="01C74429"/>
    <w:rsid w:val="01CF32DE"/>
    <w:rsid w:val="01D17F53"/>
    <w:rsid w:val="01DF1D31"/>
    <w:rsid w:val="01F36FCC"/>
    <w:rsid w:val="01F92D80"/>
    <w:rsid w:val="01F954D4"/>
    <w:rsid w:val="01FA47FF"/>
    <w:rsid w:val="020458F6"/>
    <w:rsid w:val="02095787"/>
    <w:rsid w:val="02331ABF"/>
    <w:rsid w:val="02337D11"/>
    <w:rsid w:val="023552E2"/>
    <w:rsid w:val="025D1B73"/>
    <w:rsid w:val="028326FA"/>
    <w:rsid w:val="0284056C"/>
    <w:rsid w:val="02867E41"/>
    <w:rsid w:val="028916DF"/>
    <w:rsid w:val="02947208"/>
    <w:rsid w:val="029C58B6"/>
    <w:rsid w:val="029D33DC"/>
    <w:rsid w:val="02A26AC8"/>
    <w:rsid w:val="02B0310F"/>
    <w:rsid w:val="02B45A0A"/>
    <w:rsid w:val="02B83F1D"/>
    <w:rsid w:val="02B961CD"/>
    <w:rsid w:val="02BB2794"/>
    <w:rsid w:val="02BE3A7E"/>
    <w:rsid w:val="02CF3C0B"/>
    <w:rsid w:val="02D81C87"/>
    <w:rsid w:val="02EB79BE"/>
    <w:rsid w:val="02F4124E"/>
    <w:rsid w:val="02FF3CE5"/>
    <w:rsid w:val="03026A0B"/>
    <w:rsid w:val="030B2A3C"/>
    <w:rsid w:val="03186D24"/>
    <w:rsid w:val="03231B33"/>
    <w:rsid w:val="033A6423"/>
    <w:rsid w:val="033E071B"/>
    <w:rsid w:val="034321D6"/>
    <w:rsid w:val="034856C9"/>
    <w:rsid w:val="0370464D"/>
    <w:rsid w:val="03760FB1"/>
    <w:rsid w:val="0388410D"/>
    <w:rsid w:val="038F71C9"/>
    <w:rsid w:val="03936CB9"/>
    <w:rsid w:val="03A43FBF"/>
    <w:rsid w:val="03A569EC"/>
    <w:rsid w:val="03A8019E"/>
    <w:rsid w:val="03AA5DB1"/>
    <w:rsid w:val="03B92C81"/>
    <w:rsid w:val="04073203"/>
    <w:rsid w:val="040D5424"/>
    <w:rsid w:val="041326ED"/>
    <w:rsid w:val="0414147C"/>
    <w:rsid w:val="04247911"/>
    <w:rsid w:val="042913CB"/>
    <w:rsid w:val="042B7CA5"/>
    <w:rsid w:val="04333FF8"/>
    <w:rsid w:val="04363AE8"/>
    <w:rsid w:val="04406715"/>
    <w:rsid w:val="044C0C16"/>
    <w:rsid w:val="045442D0"/>
    <w:rsid w:val="045836F1"/>
    <w:rsid w:val="046441B2"/>
    <w:rsid w:val="0484253E"/>
    <w:rsid w:val="04932CE9"/>
    <w:rsid w:val="04962F56"/>
    <w:rsid w:val="04991AE3"/>
    <w:rsid w:val="04A254E4"/>
    <w:rsid w:val="04AC5B58"/>
    <w:rsid w:val="04C64E6C"/>
    <w:rsid w:val="04C80BE4"/>
    <w:rsid w:val="04D37589"/>
    <w:rsid w:val="04D70E27"/>
    <w:rsid w:val="04DF1A8A"/>
    <w:rsid w:val="04FC6AE0"/>
    <w:rsid w:val="05012D52"/>
    <w:rsid w:val="05015EA4"/>
    <w:rsid w:val="05281683"/>
    <w:rsid w:val="053022E6"/>
    <w:rsid w:val="053666FF"/>
    <w:rsid w:val="054B3988"/>
    <w:rsid w:val="05562FED"/>
    <w:rsid w:val="055A55B4"/>
    <w:rsid w:val="055D7DFB"/>
    <w:rsid w:val="056E7A44"/>
    <w:rsid w:val="057D4BD1"/>
    <w:rsid w:val="05886E77"/>
    <w:rsid w:val="058A3C4A"/>
    <w:rsid w:val="058E17C3"/>
    <w:rsid w:val="059B3145"/>
    <w:rsid w:val="059C2407"/>
    <w:rsid w:val="059E2A9F"/>
    <w:rsid w:val="05A625A8"/>
    <w:rsid w:val="05A7550D"/>
    <w:rsid w:val="05BF2D55"/>
    <w:rsid w:val="05C555C6"/>
    <w:rsid w:val="05CD5D86"/>
    <w:rsid w:val="05D215EF"/>
    <w:rsid w:val="05D6212A"/>
    <w:rsid w:val="05DC421B"/>
    <w:rsid w:val="05DE61E6"/>
    <w:rsid w:val="05E74786"/>
    <w:rsid w:val="05EA06E6"/>
    <w:rsid w:val="05F33CF2"/>
    <w:rsid w:val="05F45A09"/>
    <w:rsid w:val="061741A3"/>
    <w:rsid w:val="062A4F87"/>
    <w:rsid w:val="06340F57"/>
    <w:rsid w:val="063D0ACC"/>
    <w:rsid w:val="06426774"/>
    <w:rsid w:val="064C314F"/>
    <w:rsid w:val="06514C09"/>
    <w:rsid w:val="06554678"/>
    <w:rsid w:val="065A057C"/>
    <w:rsid w:val="06635A2B"/>
    <w:rsid w:val="06667525"/>
    <w:rsid w:val="066E30C6"/>
    <w:rsid w:val="067D1B0C"/>
    <w:rsid w:val="067F6975"/>
    <w:rsid w:val="06823015"/>
    <w:rsid w:val="06874187"/>
    <w:rsid w:val="068E5516"/>
    <w:rsid w:val="06B156A8"/>
    <w:rsid w:val="06B85605"/>
    <w:rsid w:val="06B93618"/>
    <w:rsid w:val="06C01C9C"/>
    <w:rsid w:val="06C5167C"/>
    <w:rsid w:val="06DC754A"/>
    <w:rsid w:val="06DF5D71"/>
    <w:rsid w:val="06E17D3B"/>
    <w:rsid w:val="06F757B1"/>
    <w:rsid w:val="070103DE"/>
    <w:rsid w:val="07043A2A"/>
    <w:rsid w:val="070752C8"/>
    <w:rsid w:val="07097292"/>
    <w:rsid w:val="070B6B66"/>
    <w:rsid w:val="072D4D2F"/>
    <w:rsid w:val="07300CC3"/>
    <w:rsid w:val="07302A71"/>
    <w:rsid w:val="073432EC"/>
    <w:rsid w:val="07371127"/>
    <w:rsid w:val="07397B77"/>
    <w:rsid w:val="07487DBA"/>
    <w:rsid w:val="0749768F"/>
    <w:rsid w:val="075637EA"/>
    <w:rsid w:val="076520D3"/>
    <w:rsid w:val="07660241"/>
    <w:rsid w:val="07666493"/>
    <w:rsid w:val="076D7821"/>
    <w:rsid w:val="076E75D8"/>
    <w:rsid w:val="07740BAF"/>
    <w:rsid w:val="078A2181"/>
    <w:rsid w:val="07B0770E"/>
    <w:rsid w:val="07C5765D"/>
    <w:rsid w:val="07C84A57"/>
    <w:rsid w:val="07CC09EB"/>
    <w:rsid w:val="07CF4038"/>
    <w:rsid w:val="07D478A0"/>
    <w:rsid w:val="07D72EA9"/>
    <w:rsid w:val="07DC0503"/>
    <w:rsid w:val="07E15B19"/>
    <w:rsid w:val="07E472F9"/>
    <w:rsid w:val="07E51AAD"/>
    <w:rsid w:val="07FA5809"/>
    <w:rsid w:val="07FB4E2D"/>
    <w:rsid w:val="07FB6BDB"/>
    <w:rsid w:val="08034F89"/>
    <w:rsid w:val="08055CAB"/>
    <w:rsid w:val="080D3087"/>
    <w:rsid w:val="081128A2"/>
    <w:rsid w:val="08187E7F"/>
    <w:rsid w:val="0828342D"/>
    <w:rsid w:val="082F690E"/>
    <w:rsid w:val="083B16CD"/>
    <w:rsid w:val="083E4D1A"/>
    <w:rsid w:val="08444A26"/>
    <w:rsid w:val="08506A72"/>
    <w:rsid w:val="08721009"/>
    <w:rsid w:val="08762705"/>
    <w:rsid w:val="087F0F2D"/>
    <w:rsid w:val="08816B15"/>
    <w:rsid w:val="08834B56"/>
    <w:rsid w:val="089B4E12"/>
    <w:rsid w:val="089C289E"/>
    <w:rsid w:val="089F7EAE"/>
    <w:rsid w:val="08AE072D"/>
    <w:rsid w:val="08B5521E"/>
    <w:rsid w:val="08BA6A96"/>
    <w:rsid w:val="08CC47E6"/>
    <w:rsid w:val="08D03634"/>
    <w:rsid w:val="08D062B9"/>
    <w:rsid w:val="08E51639"/>
    <w:rsid w:val="08E77122"/>
    <w:rsid w:val="08EE4992"/>
    <w:rsid w:val="08F2687D"/>
    <w:rsid w:val="08FC0E5C"/>
    <w:rsid w:val="090917CB"/>
    <w:rsid w:val="09187C60"/>
    <w:rsid w:val="09220E03"/>
    <w:rsid w:val="0923288D"/>
    <w:rsid w:val="09235FAE"/>
    <w:rsid w:val="09325D4D"/>
    <w:rsid w:val="0935611C"/>
    <w:rsid w:val="093F343F"/>
    <w:rsid w:val="094E5E8B"/>
    <w:rsid w:val="095C5D9F"/>
    <w:rsid w:val="095D5673"/>
    <w:rsid w:val="097053A7"/>
    <w:rsid w:val="097D6385"/>
    <w:rsid w:val="097E5D15"/>
    <w:rsid w:val="097F383C"/>
    <w:rsid w:val="0980144C"/>
    <w:rsid w:val="09815806"/>
    <w:rsid w:val="098A46BA"/>
    <w:rsid w:val="098B2F1A"/>
    <w:rsid w:val="0999523A"/>
    <w:rsid w:val="099C263F"/>
    <w:rsid w:val="09AF207D"/>
    <w:rsid w:val="09B01C47"/>
    <w:rsid w:val="09C736B1"/>
    <w:rsid w:val="09DA7976"/>
    <w:rsid w:val="09DE7D03"/>
    <w:rsid w:val="09E667D0"/>
    <w:rsid w:val="09F4422A"/>
    <w:rsid w:val="09F85E04"/>
    <w:rsid w:val="0A0B6729"/>
    <w:rsid w:val="0A200B7B"/>
    <w:rsid w:val="0A23066B"/>
    <w:rsid w:val="0A3523DF"/>
    <w:rsid w:val="0A3B3C06"/>
    <w:rsid w:val="0A402FCB"/>
    <w:rsid w:val="0A425AE5"/>
    <w:rsid w:val="0A4C7BC2"/>
    <w:rsid w:val="0A4F0715"/>
    <w:rsid w:val="0A55490E"/>
    <w:rsid w:val="0A5638A7"/>
    <w:rsid w:val="0A59408D"/>
    <w:rsid w:val="0A6D7B38"/>
    <w:rsid w:val="0A6F38B0"/>
    <w:rsid w:val="0A7F444C"/>
    <w:rsid w:val="0A825391"/>
    <w:rsid w:val="0A8A06EA"/>
    <w:rsid w:val="0A8B48B0"/>
    <w:rsid w:val="0A8C6A7B"/>
    <w:rsid w:val="0A9B6453"/>
    <w:rsid w:val="0A9E3E01"/>
    <w:rsid w:val="0AA03A6A"/>
    <w:rsid w:val="0AA30220"/>
    <w:rsid w:val="0AAC0660"/>
    <w:rsid w:val="0AAF72EA"/>
    <w:rsid w:val="0AB15C77"/>
    <w:rsid w:val="0AB37C41"/>
    <w:rsid w:val="0AB614DF"/>
    <w:rsid w:val="0ABB08A3"/>
    <w:rsid w:val="0ABB5794"/>
    <w:rsid w:val="0AC40885"/>
    <w:rsid w:val="0AC41E4E"/>
    <w:rsid w:val="0AD154F8"/>
    <w:rsid w:val="0AD656DD"/>
    <w:rsid w:val="0AF41A11"/>
    <w:rsid w:val="0AF70336"/>
    <w:rsid w:val="0B0405DA"/>
    <w:rsid w:val="0B0B6FCF"/>
    <w:rsid w:val="0B27418B"/>
    <w:rsid w:val="0B381EF4"/>
    <w:rsid w:val="0B4827D7"/>
    <w:rsid w:val="0B492353"/>
    <w:rsid w:val="0B4C466E"/>
    <w:rsid w:val="0B4D4939"/>
    <w:rsid w:val="0B4E5BBB"/>
    <w:rsid w:val="0B54287F"/>
    <w:rsid w:val="0B5C10FD"/>
    <w:rsid w:val="0B680A2B"/>
    <w:rsid w:val="0B755F08"/>
    <w:rsid w:val="0B776EC0"/>
    <w:rsid w:val="0B7849E6"/>
    <w:rsid w:val="0B832AEA"/>
    <w:rsid w:val="0B8909A2"/>
    <w:rsid w:val="0B8F4F60"/>
    <w:rsid w:val="0B971310"/>
    <w:rsid w:val="0B9D61FB"/>
    <w:rsid w:val="0BA72594"/>
    <w:rsid w:val="0BA81DC8"/>
    <w:rsid w:val="0BBF6171"/>
    <w:rsid w:val="0BC15C42"/>
    <w:rsid w:val="0BC57943"/>
    <w:rsid w:val="0BC84FE1"/>
    <w:rsid w:val="0BCA5242"/>
    <w:rsid w:val="0BD25EA5"/>
    <w:rsid w:val="0BDA2FAB"/>
    <w:rsid w:val="0BDA450C"/>
    <w:rsid w:val="0BDA5CC6"/>
    <w:rsid w:val="0BF476EA"/>
    <w:rsid w:val="0C0C5967"/>
    <w:rsid w:val="0C0D200C"/>
    <w:rsid w:val="0C2B0C5C"/>
    <w:rsid w:val="0C2E67E4"/>
    <w:rsid w:val="0C324B95"/>
    <w:rsid w:val="0C3D1EB8"/>
    <w:rsid w:val="0C3E178C"/>
    <w:rsid w:val="0C483CD8"/>
    <w:rsid w:val="0C50326D"/>
    <w:rsid w:val="0C564D28"/>
    <w:rsid w:val="0C5B233E"/>
    <w:rsid w:val="0C5F5F2F"/>
    <w:rsid w:val="0C623C90"/>
    <w:rsid w:val="0C6C454B"/>
    <w:rsid w:val="0C6D3E1F"/>
    <w:rsid w:val="0C6F1945"/>
    <w:rsid w:val="0C7010A5"/>
    <w:rsid w:val="0C727688"/>
    <w:rsid w:val="0C767178"/>
    <w:rsid w:val="0C784B98"/>
    <w:rsid w:val="0C7B02EA"/>
    <w:rsid w:val="0C7C6B53"/>
    <w:rsid w:val="0C880C59"/>
    <w:rsid w:val="0C8F1FE8"/>
    <w:rsid w:val="0C8F3D96"/>
    <w:rsid w:val="0C915D60"/>
    <w:rsid w:val="0C9615C8"/>
    <w:rsid w:val="0CA14CDB"/>
    <w:rsid w:val="0CAE6E4A"/>
    <w:rsid w:val="0CB101B0"/>
    <w:rsid w:val="0CB40839"/>
    <w:rsid w:val="0CC92C53"/>
    <w:rsid w:val="0CD44AA2"/>
    <w:rsid w:val="0CD66F61"/>
    <w:rsid w:val="0CE560AB"/>
    <w:rsid w:val="0CE57E5A"/>
    <w:rsid w:val="0CED022C"/>
    <w:rsid w:val="0CF43FAD"/>
    <w:rsid w:val="0CF84031"/>
    <w:rsid w:val="0CFA74C1"/>
    <w:rsid w:val="0CFD3A84"/>
    <w:rsid w:val="0D0B0DAD"/>
    <w:rsid w:val="0D1A3FA7"/>
    <w:rsid w:val="0D1A404E"/>
    <w:rsid w:val="0D1A7B4B"/>
    <w:rsid w:val="0D254B47"/>
    <w:rsid w:val="0D2564A8"/>
    <w:rsid w:val="0D2C3CDA"/>
    <w:rsid w:val="0D4B4161"/>
    <w:rsid w:val="0D4F515A"/>
    <w:rsid w:val="0D6671EC"/>
    <w:rsid w:val="0D6C40D7"/>
    <w:rsid w:val="0D766D04"/>
    <w:rsid w:val="0D821B4C"/>
    <w:rsid w:val="0D887163"/>
    <w:rsid w:val="0D932AA0"/>
    <w:rsid w:val="0D9A50E8"/>
    <w:rsid w:val="0DA815B3"/>
    <w:rsid w:val="0DAB4BFF"/>
    <w:rsid w:val="0DC108C7"/>
    <w:rsid w:val="0DC42165"/>
    <w:rsid w:val="0DC52330"/>
    <w:rsid w:val="0DDC74AE"/>
    <w:rsid w:val="0DE85E53"/>
    <w:rsid w:val="0E0276C8"/>
    <w:rsid w:val="0E1951C3"/>
    <w:rsid w:val="0E1A44DD"/>
    <w:rsid w:val="0E1B7FD7"/>
    <w:rsid w:val="0E2844A2"/>
    <w:rsid w:val="0E320E7D"/>
    <w:rsid w:val="0E342E47"/>
    <w:rsid w:val="0E3D7883"/>
    <w:rsid w:val="0E461E6E"/>
    <w:rsid w:val="0E4F1A2E"/>
    <w:rsid w:val="0E5B4877"/>
    <w:rsid w:val="0E611762"/>
    <w:rsid w:val="0E67321C"/>
    <w:rsid w:val="0E7616B1"/>
    <w:rsid w:val="0E883192"/>
    <w:rsid w:val="0E951E2D"/>
    <w:rsid w:val="0E9C66A2"/>
    <w:rsid w:val="0EAA3109"/>
    <w:rsid w:val="0EAC6899"/>
    <w:rsid w:val="0EB04C1D"/>
    <w:rsid w:val="0EB65F51"/>
    <w:rsid w:val="0EC0292C"/>
    <w:rsid w:val="0EC51CF1"/>
    <w:rsid w:val="0EC94AEC"/>
    <w:rsid w:val="0ECE5049"/>
    <w:rsid w:val="0ED14B39"/>
    <w:rsid w:val="0ED308B1"/>
    <w:rsid w:val="0ED60439"/>
    <w:rsid w:val="0EF97BEC"/>
    <w:rsid w:val="0EFF16A6"/>
    <w:rsid w:val="0F0A31CE"/>
    <w:rsid w:val="0F0C791F"/>
    <w:rsid w:val="0F0F4528"/>
    <w:rsid w:val="0F0F7EFA"/>
    <w:rsid w:val="0F110195"/>
    <w:rsid w:val="0F114F36"/>
    <w:rsid w:val="0F2036E7"/>
    <w:rsid w:val="0F227143"/>
    <w:rsid w:val="0F242EBB"/>
    <w:rsid w:val="0F2904D1"/>
    <w:rsid w:val="0F2C50BF"/>
    <w:rsid w:val="0F2E5437"/>
    <w:rsid w:val="0F2F360E"/>
    <w:rsid w:val="0F44355D"/>
    <w:rsid w:val="0F463DA7"/>
    <w:rsid w:val="0F4E7F38"/>
    <w:rsid w:val="0F565086"/>
    <w:rsid w:val="0F5825A4"/>
    <w:rsid w:val="0F5B4403"/>
    <w:rsid w:val="0F655282"/>
    <w:rsid w:val="0F721119"/>
    <w:rsid w:val="0F7378A2"/>
    <w:rsid w:val="0F840E19"/>
    <w:rsid w:val="0F851480"/>
    <w:rsid w:val="0F890D17"/>
    <w:rsid w:val="0F890F70"/>
    <w:rsid w:val="0F9811B3"/>
    <w:rsid w:val="0F9E2E3C"/>
    <w:rsid w:val="0FA20284"/>
    <w:rsid w:val="0FA27879"/>
    <w:rsid w:val="0FB50FBE"/>
    <w:rsid w:val="0FB654A0"/>
    <w:rsid w:val="0FBA737B"/>
    <w:rsid w:val="0FC63F72"/>
    <w:rsid w:val="0FC91CB4"/>
    <w:rsid w:val="0FCC044D"/>
    <w:rsid w:val="0FD1203C"/>
    <w:rsid w:val="0FE8038D"/>
    <w:rsid w:val="0FED709C"/>
    <w:rsid w:val="0FFC53D4"/>
    <w:rsid w:val="100162AE"/>
    <w:rsid w:val="100E76C7"/>
    <w:rsid w:val="10216377"/>
    <w:rsid w:val="10282537"/>
    <w:rsid w:val="10294501"/>
    <w:rsid w:val="102A2753"/>
    <w:rsid w:val="1030066E"/>
    <w:rsid w:val="10401F77"/>
    <w:rsid w:val="1049472E"/>
    <w:rsid w:val="104A131B"/>
    <w:rsid w:val="1053332C"/>
    <w:rsid w:val="10606175"/>
    <w:rsid w:val="106112B0"/>
    <w:rsid w:val="106C2D6C"/>
    <w:rsid w:val="107B613C"/>
    <w:rsid w:val="108C6F6A"/>
    <w:rsid w:val="10973B61"/>
    <w:rsid w:val="109B71AD"/>
    <w:rsid w:val="10AF4A06"/>
    <w:rsid w:val="10B4201D"/>
    <w:rsid w:val="10D717F3"/>
    <w:rsid w:val="10DA157D"/>
    <w:rsid w:val="10E32262"/>
    <w:rsid w:val="10E522F7"/>
    <w:rsid w:val="10EA3C90"/>
    <w:rsid w:val="10FE58AF"/>
    <w:rsid w:val="11050ACA"/>
    <w:rsid w:val="110C3C07"/>
    <w:rsid w:val="11131439"/>
    <w:rsid w:val="11196324"/>
    <w:rsid w:val="111B6540"/>
    <w:rsid w:val="112847B9"/>
    <w:rsid w:val="11317B11"/>
    <w:rsid w:val="11356BBE"/>
    <w:rsid w:val="113969C6"/>
    <w:rsid w:val="114A472F"/>
    <w:rsid w:val="114E2471"/>
    <w:rsid w:val="115A0E16"/>
    <w:rsid w:val="115B75ED"/>
    <w:rsid w:val="116021A5"/>
    <w:rsid w:val="117B2B3A"/>
    <w:rsid w:val="117B74D9"/>
    <w:rsid w:val="118F65E6"/>
    <w:rsid w:val="119123D5"/>
    <w:rsid w:val="1198193E"/>
    <w:rsid w:val="119B5198"/>
    <w:rsid w:val="11A01B06"/>
    <w:rsid w:val="11A218B2"/>
    <w:rsid w:val="11A402E3"/>
    <w:rsid w:val="11AB1672"/>
    <w:rsid w:val="11AD0C25"/>
    <w:rsid w:val="11B06C88"/>
    <w:rsid w:val="11C20769"/>
    <w:rsid w:val="11C257FC"/>
    <w:rsid w:val="11C73FD2"/>
    <w:rsid w:val="11CD49CA"/>
    <w:rsid w:val="11D0732A"/>
    <w:rsid w:val="11EB7CC0"/>
    <w:rsid w:val="11F56D91"/>
    <w:rsid w:val="11F8418B"/>
    <w:rsid w:val="11FA43A7"/>
    <w:rsid w:val="11FE3E97"/>
    <w:rsid w:val="11FF376C"/>
    <w:rsid w:val="12110C5C"/>
    <w:rsid w:val="121A2353"/>
    <w:rsid w:val="12241424"/>
    <w:rsid w:val="12505D75"/>
    <w:rsid w:val="12582E7C"/>
    <w:rsid w:val="12614426"/>
    <w:rsid w:val="12631F4C"/>
    <w:rsid w:val="12772755"/>
    <w:rsid w:val="129C343B"/>
    <w:rsid w:val="12A20724"/>
    <w:rsid w:val="12BA7692"/>
    <w:rsid w:val="12BC158B"/>
    <w:rsid w:val="12BD132F"/>
    <w:rsid w:val="12C86253"/>
    <w:rsid w:val="12CD73C6"/>
    <w:rsid w:val="12CE0564"/>
    <w:rsid w:val="12D746E8"/>
    <w:rsid w:val="12DF6FC3"/>
    <w:rsid w:val="12E17530"/>
    <w:rsid w:val="12E34E3B"/>
    <w:rsid w:val="12E615C9"/>
    <w:rsid w:val="12EC1224"/>
    <w:rsid w:val="12EF558E"/>
    <w:rsid w:val="12EF6BDF"/>
    <w:rsid w:val="12F9465F"/>
    <w:rsid w:val="12FE7EC7"/>
    <w:rsid w:val="131E48D5"/>
    <w:rsid w:val="13280AA0"/>
    <w:rsid w:val="133348AD"/>
    <w:rsid w:val="133C13AD"/>
    <w:rsid w:val="13426006"/>
    <w:rsid w:val="13427DB4"/>
    <w:rsid w:val="134A150E"/>
    <w:rsid w:val="134F24D1"/>
    <w:rsid w:val="13696028"/>
    <w:rsid w:val="137B1518"/>
    <w:rsid w:val="137D0DEC"/>
    <w:rsid w:val="137E7C62"/>
    <w:rsid w:val="138071FC"/>
    <w:rsid w:val="13B011C1"/>
    <w:rsid w:val="13BD568C"/>
    <w:rsid w:val="13DB3D64"/>
    <w:rsid w:val="13E1581F"/>
    <w:rsid w:val="13E677A1"/>
    <w:rsid w:val="13EE3A98"/>
    <w:rsid w:val="13F35776"/>
    <w:rsid w:val="1404150D"/>
    <w:rsid w:val="140D2A59"/>
    <w:rsid w:val="1410686A"/>
    <w:rsid w:val="14131750"/>
    <w:rsid w:val="14263231"/>
    <w:rsid w:val="1429196A"/>
    <w:rsid w:val="143F42F3"/>
    <w:rsid w:val="14411E19"/>
    <w:rsid w:val="144643E0"/>
    <w:rsid w:val="14467430"/>
    <w:rsid w:val="14496F20"/>
    <w:rsid w:val="144B2C98"/>
    <w:rsid w:val="145C30F7"/>
    <w:rsid w:val="146124BC"/>
    <w:rsid w:val="146A6E8E"/>
    <w:rsid w:val="146D2F35"/>
    <w:rsid w:val="147873CB"/>
    <w:rsid w:val="147D6BCA"/>
    <w:rsid w:val="149F3FC7"/>
    <w:rsid w:val="14AA20B4"/>
    <w:rsid w:val="14AA3E63"/>
    <w:rsid w:val="14BE1DE8"/>
    <w:rsid w:val="14BE346A"/>
    <w:rsid w:val="14D26371"/>
    <w:rsid w:val="14DF0C10"/>
    <w:rsid w:val="14E8498B"/>
    <w:rsid w:val="14F21366"/>
    <w:rsid w:val="14F74BCE"/>
    <w:rsid w:val="14F90946"/>
    <w:rsid w:val="150342CB"/>
    <w:rsid w:val="150F7544"/>
    <w:rsid w:val="15141771"/>
    <w:rsid w:val="151E6F20"/>
    <w:rsid w:val="1525173B"/>
    <w:rsid w:val="15263142"/>
    <w:rsid w:val="15272619"/>
    <w:rsid w:val="153214E5"/>
    <w:rsid w:val="153320AA"/>
    <w:rsid w:val="15341106"/>
    <w:rsid w:val="1534372C"/>
    <w:rsid w:val="15477660"/>
    <w:rsid w:val="154D7DE4"/>
    <w:rsid w:val="15591DB4"/>
    <w:rsid w:val="155E77BA"/>
    <w:rsid w:val="15662480"/>
    <w:rsid w:val="15744470"/>
    <w:rsid w:val="158226E9"/>
    <w:rsid w:val="15887C1F"/>
    <w:rsid w:val="158A5A42"/>
    <w:rsid w:val="158C17BA"/>
    <w:rsid w:val="159017F6"/>
    <w:rsid w:val="1594241D"/>
    <w:rsid w:val="15953F29"/>
    <w:rsid w:val="15997A33"/>
    <w:rsid w:val="15A10F61"/>
    <w:rsid w:val="15B34F99"/>
    <w:rsid w:val="15D54F0F"/>
    <w:rsid w:val="15DF08B8"/>
    <w:rsid w:val="15E74C42"/>
    <w:rsid w:val="15F1161D"/>
    <w:rsid w:val="15F829AC"/>
    <w:rsid w:val="15FC0981"/>
    <w:rsid w:val="16005D04"/>
    <w:rsid w:val="1606497D"/>
    <w:rsid w:val="160C6457"/>
    <w:rsid w:val="162B0FD3"/>
    <w:rsid w:val="163530E1"/>
    <w:rsid w:val="163A1216"/>
    <w:rsid w:val="163D4862"/>
    <w:rsid w:val="1642631D"/>
    <w:rsid w:val="16467BBB"/>
    <w:rsid w:val="164756E1"/>
    <w:rsid w:val="166E2C6E"/>
    <w:rsid w:val="16730284"/>
    <w:rsid w:val="16731849"/>
    <w:rsid w:val="168A7277"/>
    <w:rsid w:val="168C769E"/>
    <w:rsid w:val="168D3A3C"/>
    <w:rsid w:val="169C5A2D"/>
    <w:rsid w:val="16A86180"/>
    <w:rsid w:val="16A8653B"/>
    <w:rsid w:val="16AB2114"/>
    <w:rsid w:val="16B94831"/>
    <w:rsid w:val="16C043A4"/>
    <w:rsid w:val="16C17241"/>
    <w:rsid w:val="16C60CFC"/>
    <w:rsid w:val="16CD3E38"/>
    <w:rsid w:val="16F615E1"/>
    <w:rsid w:val="16F63E20"/>
    <w:rsid w:val="16F83C2A"/>
    <w:rsid w:val="16F969DB"/>
    <w:rsid w:val="170D0C8A"/>
    <w:rsid w:val="170F26A3"/>
    <w:rsid w:val="1715693B"/>
    <w:rsid w:val="1743234C"/>
    <w:rsid w:val="17451C21"/>
    <w:rsid w:val="17471E3D"/>
    <w:rsid w:val="175D5760"/>
    <w:rsid w:val="1767428D"/>
    <w:rsid w:val="1775412A"/>
    <w:rsid w:val="177E15D6"/>
    <w:rsid w:val="17822E75"/>
    <w:rsid w:val="178C5750"/>
    <w:rsid w:val="17A728DB"/>
    <w:rsid w:val="17A74930"/>
    <w:rsid w:val="17A80401"/>
    <w:rsid w:val="17AE7DA8"/>
    <w:rsid w:val="17B1375A"/>
    <w:rsid w:val="17B648CC"/>
    <w:rsid w:val="17B84AE8"/>
    <w:rsid w:val="17C27715"/>
    <w:rsid w:val="17C36799"/>
    <w:rsid w:val="17D31922"/>
    <w:rsid w:val="17D60BCB"/>
    <w:rsid w:val="17D905BB"/>
    <w:rsid w:val="17E337AF"/>
    <w:rsid w:val="17E61B2C"/>
    <w:rsid w:val="17EA0A1A"/>
    <w:rsid w:val="17EA65A4"/>
    <w:rsid w:val="17F43647"/>
    <w:rsid w:val="17FD5C86"/>
    <w:rsid w:val="180247C3"/>
    <w:rsid w:val="18300B23"/>
    <w:rsid w:val="18343FFF"/>
    <w:rsid w:val="183744C0"/>
    <w:rsid w:val="183D6D9C"/>
    <w:rsid w:val="184B0F97"/>
    <w:rsid w:val="185145F5"/>
    <w:rsid w:val="18663E03"/>
    <w:rsid w:val="18683816"/>
    <w:rsid w:val="18693E47"/>
    <w:rsid w:val="186D58D3"/>
    <w:rsid w:val="1876171F"/>
    <w:rsid w:val="1877417A"/>
    <w:rsid w:val="187A3B4C"/>
    <w:rsid w:val="188624F1"/>
    <w:rsid w:val="1888270D"/>
    <w:rsid w:val="18975489"/>
    <w:rsid w:val="189A2440"/>
    <w:rsid w:val="189C7F66"/>
    <w:rsid w:val="18A404EA"/>
    <w:rsid w:val="18A706B9"/>
    <w:rsid w:val="18AA42F0"/>
    <w:rsid w:val="18AA7DFD"/>
    <w:rsid w:val="18CE20EA"/>
    <w:rsid w:val="18D07C10"/>
    <w:rsid w:val="18E91B5D"/>
    <w:rsid w:val="18EB67F8"/>
    <w:rsid w:val="18EF32B8"/>
    <w:rsid w:val="18EF453A"/>
    <w:rsid w:val="18F7519C"/>
    <w:rsid w:val="18FA5D0B"/>
    <w:rsid w:val="19065B28"/>
    <w:rsid w:val="190F4E12"/>
    <w:rsid w:val="19197809"/>
    <w:rsid w:val="19235F91"/>
    <w:rsid w:val="19304014"/>
    <w:rsid w:val="19322678"/>
    <w:rsid w:val="1938116C"/>
    <w:rsid w:val="195720DF"/>
    <w:rsid w:val="19663CF6"/>
    <w:rsid w:val="196A0064"/>
    <w:rsid w:val="196D545F"/>
    <w:rsid w:val="197131A1"/>
    <w:rsid w:val="198F1879"/>
    <w:rsid w:val="199158FC"/>
    <w:rsid w:val="19932AB6"/>
    <w:rsid w:val="199D0935"/>
    <w:rsid w:val="19B72B7E"/>
    <w:rsid w:val="19E219A9"/>
    <w:rsid w:val="19E41A3F"/>
    <w:rsid w:val="19F70C35"/>
    <w:rsid w:val="1A0832FB"/>
    <w:rsid w:val="1A0A7B07"/>
    <w:rsid w:val="1A0D279E"/>
    <w:rsid w:val="1A1B2776"/>
    <w:rsid w:val="1A1D0C33"/>
    <w:rsid w:val="1A1E542C"/>
    <w:rsid w:val="1A2849E3"/>
    <w:rsid w:val="1A2B1DC2"/>
    <w:rsid w:val="1A3348FA"/>
    <w:rsid w:val="1A3B730B"/>
    <w:rsid w:val="1A440A74"/>
    <w:rsid w:val="1A446F78"/>
    <w:rsid w:val="1A4F2DB6"/>
    <w:rsid w:val="1A5B5BFF"/>
    <w:rsid w:val="1A5E60BB"/>
    <w:rsid w:val="1A5F56EF"/>
    <w:rsid w:val="1A654388"/>
    <w:rsid w:val="1A6B392B"/>
    <w:rsid w:val="1A7867B1"/>
    <w:rsid w:val="1A845156"/>
    <w:rsid w:val="1A8F413B"/>
    <w:rsid w:val="1A9A04D5"/>
    <w:rsid w:val="1A9A3794"/>
    <w:rsid w:val="1AB6217A"/>
    <w:rsid w:val="1ACA0F29"/>
    <w:rsid w:val="1AD03EF7"/>
    <w:rsid w:val="1AD559B1"/>
    <w:rsid w:val="1AD82DAC"/>
    <w:rsid w:val="1AEF58C2"/>
    <w:rsid w:val="1AF06347"/>
    <w:rsid w:val="1AF26A01"/>
    <w:rsid w:val="1AFB5E52"/>
    <w:rsid w:val="1AFC1190"/>
    <w:rsid w:val="1AFC2F3E"/>
    <w:rsid w:val="1B083691"/>
    <w:rsid w:val="1B156F41"/>
    <w:rsid w:val="1B1C6848"/>
    <w:rsid w:val="1B1F4E7E"/>
    <w:rsid w:val="1B2D23AB"/>
    <w:rsid w:val="1B2E6E70"/>
    <w:rsid w:val="1B395F40"/>
    <w:rsid w:val="1B434E49"/>
    <w:rsid w:val="1B466A2A"/>
    <w:rsid w:val="1B5508A0"/>
    <w:rsid w:val="1B574618"/>
    <w:rsid w:val="1B666609"/>
    <w:rsid w:val="1B6F1D5C"/>
    <w:rsid w:val="1B727002"/>
    <w:rsid w:val="1B742AD4"/>
    <w:rsid w:val="1B8265A5"/>
    <w:rsid w:val="1B851185"/>
    <w:rsid w:val="1B8913EB"/>
    <w:rsid w:val="1B8A679C"/>
    <w:rsid w:val="1B997805"/>
    <w:rsid w:val="1BA710FC"/>
    <w:rsid w:val="1BA809D0"/>
    <w:rsid w:val="1BB03B3E"/>
    <w:rsid w:val="1BB96024"/>
    <w:rsid w:val="1BBA7ECF"/>
    <w:rsid w:val="1BBB4BA7"/>
    <w:rsid w:val="1BCA1F9B"/>
    <w:rsid w:val="1BCE681B"/>
    <w:rsid w:val="1BD16179"/>
    <w:rsid w:val="1BD417C5"/>
    <w:rsid w:val="1BD45C69"/>
    <w:rsid w:val="1BDA0C95"/>
    <w:rsid w:val="1BE23D39"/>
    <w:rsid w:val="1BE258E0"/>
    <w:rsid w:val="1BFF3E9E"/>
    <w:rsid w:val="1C0025BA"/>
    <w:rsid w:val="1C071B9A"/>
    <w:rsid w:val="1C0A168B"/>
    <w:rsid w:val="1C0F0A4F"/>
    <w:rsid w:val="1C12322B"/>
    <w:rsid w:val="1C1450E3"/>
    <w:rsid w:val="1C161DDD"/>
    <w:rsid w:val="1C19541B"/>
    <w:rsid w:val="1C1B30E4"/>
    <w:rsid w:val="1C1F715E"/>
    <w:rsid w:val="1C2564C4"/>
    <w:rsid w:val="1C27223D"/>
    <w:rsid w:val="1C2E4DFD"/>
    <w:rsid w:val="1C36552B"/>
    <w:rsid w:val="1C4032FE"/>
    <w:rsid w:val="1C424981"/>
    <w:rsid w:val="1C480375"/>
    <w:rsid w:val="1C4E5883"/>
    <w:rsid w:val="1C512E16"/>
    <w:rsid w:val="1C52438D"/>
    <w:rsid w:val="1C5D5C5E"/>
    <w:rsid w:val="1C6230C8"/>
    <w:rsid w:val="1C6F14EE"/>
    <w:rsid w:val="1C737230"/>
    <w:rsid w:val="1C744B38"/>
    <w:rsid w:val="1C7A419E"/>
    <w:rsid w:val="1C915908"/>
    <w:rsid w:val="1C9378D2"/>
    <w:rsid w:val="1C9B0535"/>
    <w:rsid w:val="1CBD494F"/>
    <w:rsid w:val="1CCE0A85"/>
    <w:rsid w:val="1CD13F56"/>
    <w:rsid w:val="1CD944BC"/>
    <w:rsid w:val="1CDA105D"/>
    <w:rsid w:val="1CDB1FF0"/>
    <w:rsid w:val="1CDF0421"/>
    <w:rsid w:val="1CE56FBC"/>
    <w:rsid w:val="1D047631"/>
    <w:rsid w:val="1D1207F7"/>
    <w:rsid w:val="1D14371D"/>
    <w:rsid w:val="1D167441"/>
    <w:rsid w:val="1D183933"/>
    <w:rsid w:val="1D187D1E"/>
    <w:rsid w:val="1D1E5006"/>
    <w:rsid w:val="1D232A04"/>
    <w:rsid w:val="1D2624F4"/>
    <w:rsid w:val="1D300C7D"/>
    <w:rsid w:val="1D352737"/>
    <w:rsid w:val="1D3A5FA0"/>
    <w:rsid w:val="1D3F35B6"/>
    <w:rsid w:val="1D4806BC"/>
    <w:rsid w:val="1D497F91"/>
    <w:rsid w:val="1D5213DA"/>
    <w:rsid w:val="1D5C4FD2"/>
    <w:rsid w:val="1D61352C"/>
    <w:rsid w:val="1D6B1AC9"/>
    <w:rsid w:val="1D78449F"/>
    <w:rsid w:val="1D85151A"/>
    <w:rsid w:val="1D9751A0"/>
    <w:rsid w:val="1D976F4E"/>
    <w:rsid w:val="1DAC4008"/>
    <w:rsid w:val="1DBB4C44"/>
    <w:rsid w:val="1DC046F7"/>
    <w:rsid w:val="1DC3043A"/>
    <w:rsid w:val="1DCC309C"/>
    <w:rsid w:val="1DCD471E"/>
    <w:rsid w:val="1DCF66E8"/>
    <w:rsid w:val="1DD6651A"/>
    <w:rsid w:val="1DDB5524"/>
    <w:rsid w:val="1DF343A6"/>
    <w:rsid w:val="1DF95513"/>
    <w:rsid w:val="1E157496"/>
    <w:rsid w:val="1E25182B"/>
    <w:rsid w:val="1E345309"/>
    <w:rsid w:val="1E3A5066"/>
    <w:rsid w:val="1E3D7601"/>
    <w:rsid w:val="1E4569AA"/>
    <w:rsid w:val="1E566E09"/>
    <w:rsid w:val="1E85149C"/>
    <w:rsid w:val="1E854FF8"/>
    <w:rsid w:val="1E8C6387"/>
    <w:rsid w:val="1EAE1B29"/>
    <w:rsid w:val="1EB32B16"/>
    <w:rsid w:val="1EC77B5C"/>
    <w:rsid w:val="1EC975DB"/>
    <w:rsid w:val="1ECD1BD7"/>
    <w:rsid w:val="1ECE002B"/>
    <w:rsid w:val="1ECE4BF1"/>
    <w:rsid w:val="1ED53CDF"/>
    <w:rsid w:val="1EDC7F5E"/>
    <w:rsid w:val="1EDE362D"/>
    <w:rsid w:val="1EE6018D"/>
    <w:rsid w:val="1EFA7794"/>
    <w:rsid w:val="1F223EB2"/>
    <w:rsid w:val="1F234F3D"/>
    <w:rsid w:val="1F26058A"/>
    <w:rsid w:val="1F262635"/>
    <w:rsid w:val="1F264A2D"/>
    <w:rsid w:val="1F390DB9"/>
    <w:rsid w:val="1F3A7674"/>
    <w:rsid w:val="1F3E1D77"/>
    <w:rsid w:val="1F462E59"/>
    <w:rsid w:val="1F4B7FF0"/>
    <w:rsid w:val="1F4E188E"/>
    <w:rsid w:val="1F51312D"/>
    <w:rsid w:val="1F533349"/>
    <w:rsid w:val="1F581C12"/>
    <w:rsid w:val="1F6B2440"/>
    <w:rsid w:val="1F6C267A"/>
    <w:rsid w:val="1F746485"/>
    <w:rsid w:val="1F770977"/>
    <w:rsid w:val="1F7F7C9A"/>
    <w:rsid w:val="1F8135B5"/>
    <w:rsid w:val="1F9C084C"/>
    <w:rsid w:val="1FA83694"/>
    <w:rsid w:val="1FB11DD6"/>
    <w:rsid w:val="1FDB75C6"/>
    <w:rsid w:val="1FE16B4C"/>
    <w:rsid w:val="1FE909B2"/>
    <w:rsid w:val="1FEA3F52"/>
    <w:rsid w:val="1FEA6512"/>
    <w:rsid w:val="1FEB1FA4"/>
    <w:rsid w:val="1FEC03D4"/>
    <w:rsid w:val="1FF40688"/>
    <w:rsid w:val="20020FF7"/>
    <w:rsid w:val="200F101E"/>
    <w:rsid w:val="20126D60"/>
    <w:rsid w:val="202661DB"/>
    <w:rsid w:val="202C46B2"/>
    <w:rsid w:val="20334BAF"/>
    <w:rsid w:val="20457135"/>
    <w:rsid w:val="205B4263"/>
    <w:rsid w:val="20654FD6"/>
    <w:rsid w:val="206F7D0E"/>
    <w:rsid w:val="208A0FEC"/>
    <w:rsid w:val="20AB4C76"/>
    <w:rsid w:val="20B61DE1"/>
    <w:rsid w:val="20B6593D"/>
    <w:rsid w:val="20C0056A"/>
    <w:rsid w:val="20C92A4A"/>
    <w:rsid w:val="20F63F8C"/>
    <w:rsid w:val="20FF4E74"/>
    <w:rsid w:val="210963B5"/>
    <w:rsid w:val="210C37AF"/>
    <w:rsid w:val="211E7609"/>
    <w:rsid w:val="21230B9F"/>
    <w:rsid w:val="21285A05"/>
    <w:rsid w:val="21311468"/>
    <w:rsid w:val="21472A39"/>
    <w:rsid w:val="216B497A"/>
    <w:rsid w:val="216F7B6E"/>
    <w:rsid w:val="21864FA7"/>
    <w:rsid w:val="21932BE4"/>
    <w:rsid w:val="21957C48"/>
    <w:rsid w:val="21A016C3"/>
    <w:rsid w:val="21A25D50"/>
    <w:rsid w:val="21A954A2"/>
    <w:rsid w:val="21AB121A"/>
    <w:rsid w:val="21B10818"/>
    <w:rsid w:val="21B55BF5"/>
    <w:rsid w:val="21CB366A"/>
    <w:rsid w:val="21D17CB7"/>
    <w:rsid w:val="21D87AAE"/>
    <w:rsid w:val="21D94230"/>
    <w:rsid w:val="21E32762"/>
    <w:rsid w:val="21E704CA"/>
    <w:rsid w:val="21E8421C"/>
    <w:rsid w:val="21F726B1"/>
    <w:rsid w:val="220152DE"/>
    <w:rsid w:val="220B3C70"/>
    <w:rsid w:val="220F17A9"/>
    <w:rsid w:val="22235254"/>
    <w:rsid w:val="222C10C5"/>
    <w:rsid w:val="222D7E81"/>
    <w:rsid w:val="222F3BF9"/>
    <w:rsid w:val="22413F11"/>
    <w:rsid w:val="22460F43"/>
    <w:rsid w:val="224D22D1"/>
    <w:rsid w:val="22550BDA"/>
    <w:rsid w:val="225A40A6"/>
    <w:rsid w:val="22673393"/>
    <w:rsid w:val="22745AB0"/>
    <w:rsid w:val="22806203"/>
    <w:rsid w:val="22836B71"/>
    <w:rsid w:val="228850B7"/>
    <w:rsid w:val="228F4698"/>
    <w:rsid w:val="22941CAE"/>
    <w:rsid w:val="229972C4"/>
    <w:rsid w:val="229B128E"/>
    <w:rsid w:val="229E0014"/>
    <w:rsid w:val="22B3482A"/>
    <w:rsid w:val="22BA5BB9"/>
    <w:rsid w:val="22CC31F6"/>
    <w:rsid w:val="22D07CA4"/>
    <w:rsid w:val="22DC2DB3"/>
    <w:rsid w:val="22E04EF3"/>
    <w:rsid w:val="22F1429A"/>
    <w:rsid w:val="22FE4B56"/>
    <w:rsid w:val="230010F2"/>
    <w:rsid w:val="230A1F70"/>
    <w:rsid w:val="230E1A60"/>
    <w:rsid w:val="231132FF"/>
    <w:rsid w:val="23256DAA"/>
    <w:rsid w:val="232C1EE7"/>
    <w:rsid w:val="232D1C8D"/>
    <w:rsid w:val="233F60BE"/>
    <w:rsid w:val="23452067"/>
    <w:rsid w:val="234B4F0F"/>
    <w:rsid w:val="235B7B07"/>
    <w:rsid w:val="23652716"/>
    <w:rsid w:val="23671921"/>
    <w:rsid w:val="2375131B"/>
    <w:rsid w:val="23792695"/>
    <w:rsid w:val="237F40C6"/>
    <w:rsid w:val="238406A4"/>
    <w:rsid w:val="23841BD9"/>
    <w:rsid w:val="23897339"/>
    <w:rsid w:val="23985FD7"/>
    <w:rsid w:val="239F04F3"/>
    <w:rsid w:val="23A36435"/>
    <w:rsid w:val="23BA53F7"/>
    <w:rsid w:val="23CE2F9E"/>
    <w:rsid w:val="23CE47E7"/>
    <w:rsid w:val="23D064DF"/>
    <w:rsid w:val="23D25365"/>
    <w:rsid w:val="23D74548"/>
    <w:rsid w:val="23ED3D6C"/>
    <w:rsid w:val="23EE53EE"/>
    <w:rsid w:val="23F21382"/>
    <w:rsid w:val="23F52C20"/>
    <w:rsid w:val="23F61D9C"/>
    <w:rsid w:val="241C1B51"/>
    <w:rsid w:val="241E2177"/>
    <w:rsid w:val="24253F23"/>
    <w:rsid w:val="242B219E"/>
    <w:rsid w:val="242B4894"/>
    <w:rsid w:val="2435301D"/>
    <w:rsid w:val="2446410F"/>
    <w:rsid w:val="24616C3F"/>
    <w:rsid w:val="24635DDC"/>
    <w:rsid w:val="24963554"/>
    <w:rsid w:val="249656F3"/>
    <w:rsid w:val="249935AC"/>
    <w:rsid w:val="249A3799"/>
    <w:rsid w:val="24A563F4"/>
    <w:rsid w:val="24BE3012"/>
    <w:rsid w:val="24C04FDC"/>
    <w:rsid w:val="24C55794"/>
    <w:rsid w:val="24C90335"/>
    <w:rsid w:val="24CF28FF"/>
    <w:rsid w:val="24D740D4"/>
    <w:rsid w:val="24DE1906"/>
    <w:rsid w:val="24E0624C"/>
    <w:rsid w:val="24F33E8E"/>
    <w:rsid w:val="24F609FE"/>
    <w:rsid w:val="25050C41"/>
    <w:rsid w:val="25056E93"/>
    <w:rsid w:val="251147D5"/>
    <w:rsid w:val="252C1A2E"/>
    <w:rsid w:val="253B4663"/>
    <w:rsid w:val="253D662D"/>
    <w:rsid w:val="25401C79"/>
    <w:rsid w:val="254B6F9C"/>
    <w:rsid w:val="25565941"/>
    <w:rsid w:val="25590CC1"/>
    <w:rsid w:val="25781413"/>
    <w:rsid w:val="25783B09"/>
    <w:rsid w:val="25861D82"/>
    <w:rsid w:val="25886BE3"/>
    <w:rsid w:val="258E6E89"/>
    <w:rsid w:val="25973F8F"/>
    <w:rsid w:val="259A582D"/>
    <w:rsid w:val="25B07A26"/>
    <w:rsid w:val="25C16051"/>
    <w:rsid w:val="25C94365"/>
    <w:rsid w:val="25D64C07"/>
    <w:rsid w:val="25D845A8"/>
    <w:rsid w:val="25E116AE"/>
    <w:rsid w:val="25E84F08"/>
    <w:rsid w:val="25ED2172"/>
    <w:rsid w:val="25F969F8"/>
    <w:rsid w:val="25FF65CF"/>
    <w:rsid w:val="26020331"/>
    <w:rsid w:val="26032D97"/>
    <w:rsid w:val="26034647"/>
    <w:rsid w:val="260F0AA4"/>
    <w:rsid w:val="26127007"/>
    <w:rsid w:val="261633B2"/>
    <w:rsid w:val="261C6242"/>
    <w:rsid w:val="261E5379"/>
    <w:rsid w:val="2620115E"/>
    <w:rsid w:val="26445799"/>
    <w:rsid w:val="265C0D35"/>
    <w:rsid w:val="2661634B"/>
    <w:rsid w:val="26720558"/>
    <w:rsid w:val="26751DF6"/>
    <w:rsid w:val="26773DC1"/>
    <w:rsid w:val="267C13D7"/>
    <w:rsid w:val="268362C1"/>
    <w:rsid w:val="268579CA"/>
    <w:rsid w:val="26971790"/>
    <w:rsid w:val="26997893"/>
    <w:rsid w:val="26A96E8E"/>
    <w:rsid w:val="26AB75C6"/>
    <w:rsid w:val="26BA4352"/>
    <w:rsid w:val="26C30DB4"/>
    <w:rsid w:val="26C32B62"/>
    <w:rsid w:val="26C54B2C"/>
    <w:rsid w:val="26CF1265"/>
    <w:rsid w:val="26D42FC1"/>
    <w:rsid w:val="26E45F1B"/>
    <w:rsid w:val="26ED7BDF"/>
    <w:rsid w:val="26EE4BCA"/>
    <w:rsid w:val="26F65A2E"/>
    <w:rsid w:val="27070CA1"/>
    <w:rsid w:val="270E6D97"/>
    <w:rsid w:val="270F3FF9"/>
    <w:rsid w:val="27105E71"/>
    <w:rsid w:val="27121FFF"/>
    <w:rsid w:val="27135897"/>
    <w:rsid w:val="27167136"/>
    <w:rsid w:val="271E5FEA"/>
    <w:rsid w:val="27316A98"/>
    <w:rsid w:val="274B54E9"/>
    <w:rsid w:val="27577424"/>
    <w:rsid w:val="27627787"/>
    <w:rsid w:val="27651060"/>
    <w:rsid w:val="2768006F"/>
    <w:rsid w:val="276E2ACE"/>
    <w:rsid w:val="277F4CDB"/>
    <w:rsid w:val="279B763B"/>
    <w:rsid w:val="27A02EA3"/>
    <w:rsid w:val="27AA4769"/>
    <w:rsid w:val="27B150B0"/>
    <w:rsid w:val="27B23302"/>
    <w:rsid w:val="27B30E28"/>
    <w:rsid w:val="27B34984"/>
    <w:rsid w:val="27CA68EB"/>
    <w:rsid w:val="27D56FF1"/>
    <w:rsid w:val="27D85841"/>
    <w:rsid w:val="27D86AE1"/>
    <w:rsid w:val="27DF1C1D"/>
    <w:rsid w:val="27EB6814"/>
    <w:rsid w:val="27EC76EB"/>
    <w:rsid w:val="27F154AD"/>
    <w:rsid w:val="27F31232"/>
    <w:rsid w:val="27FF406E"/>
    <w:rsid w:val="28001A2B"/>
    <w:rsid w:val="28041684"/>
    <w:rsid w:val="28077DB2"/>
    <w:rsid w:val="280E0FF3"/>
    <w:rsid w:val="281B26E6"/>
    <w:rsid w:val="281F64BE"/>
    <w:rsid w:val="28235FAE"/>
    <w:rsid w:val="283C0E1E"/>
    <w:rsid w:val="28414686"/>
    <w:rsid w:val="285048C9"/>
    <w:rsid w:val="28553C8E"/>
    <w:rsid w:val="28584A05"/>
    <w:rsid w:val="285919D0"/>
    <w:rsid w:val="285E50E5"/>
    <w:rsid w:val="286D547B"/>
    <w:rsid w:val="28782995"/>
    <w:rsid w:val="28795BCE"/>
    <w:rsid w:val="28814A83"/>
    <w:rsid w:val="2891170D"/>
    <w:rsid w:val="289E73E3"/>
    <w:rsid w:val="28A7143C"/>
    <w:rsid w:val="28A92F61"/>
    <w:rsid w:val="28B5297E"/>
    <w:rsid w:val="28C055AB"/>
    <w:rsid w:val="28C32FF7"/>
    <w:rsid w:val="28CB5BE0"/>
    <w:rsid w:val="28EA0C9D"/>
    <w:rsid w:val="28F03F58"/>
    <w:rsid w:val="29115E06"/>
    <w:rsid w:val="29135029"/>
    <w:rsid w:val="291746DE"/>
    <w:rsid w:val="29253660"/>
    <w:rsid w:val="292813A2"/>
    <w:rsid w:val="29286A82"/>
    <w:rsid w:val="29310257"/>
    <w:rsid w:val="293C27AC"/>
    <w:rsid w:val="293F1BBE"/>
    <w:rsid w:val="29552176"/>
    <w:rsid w:val="296248B4"/>
    <w:rsid w:val="29677EAC"/>
    <w:rsid w:val="296D0E96"/>
    <w:rsid w:val="2972448D"/>
    <w:rsid w:val="29736AC1"/>
    <w:rsid w:val="2976210D"/>
    <w:rsid w:val="29777B12"/>
    <w:rsid w:val="2980630F"/>
    <w:rsid w:val="29862E6C"/>
    <w:rsid w:val="298E2054"/>
    <w:rsid w:val="29946A38"/>
    <w:rsid w:val="299A22A0"/>
    <w:rsid w:val="29A21154"/>
    <w:rsid w:val="29A22F02"/>
    <w:rsid w:val="29A42A73"/>
    <w:rsid w:val="29A70519"/>
    <w:rsid w:val="29C235A5"/>
    <w:rsid w:val="29CA2459"/>
    <w:rsid w:val="29CA2C4E"/>
    <w:rsid w:val="29CF181E"/>
    <w:rsid w:val="29D37560"/>
    <w:rsid w:val="29DC2767"/>
    <w:rsid w:val="29E452C9"/>
    <w:rsid w:val="29F574D6"/>
    <w:rsid w:val="29FA7714"/>
    <w:rsid w:val="29FC6AB7"/>
    <w:rsid w:val="29FF2103"/>
    <w:rsid w:val="2A024C96"/>
    <w:rsid w:val="2A135BAE"/>
    <w:rsid w:val="2A1A518F"/>
    <w:rsid w:val="2A1B7E77"/>
    <w:rsid w:val="2A2D4EC2"/>
    <w:rsid w:val="2A32072A"/>
    <w:rsid w:val="2A4027BC"/>
    <w:rsid w:val="2A44220C"/>
    <w:rsid w:val="2A4915D0"/>
    <w:rsid w:val="2A495A74"/>
    <w:rsid w:val="2A510485"/>
    <w:rsid w:val="2A6401B8"/>
    <w:rsid w:val="2A697EC4"/>
    <w:rsid w:val="2A7D127A"/>
    <w:rsid w:val="2A813D65"/>
    <w:rsid w:val="2A895E70"/>
    <w:rsid w:val="2A8D3BB3"/>
    <w:rsid w:val="2A9767DF"/>
    <w:rsid w:val="2A9B0A16"/>
    <w:rsid w:val="2AA131BA"/>
    <w:rsid w:val="2AAA3BF6"/>
    <w:rsid w:val="2AB0092A"/>
    <w:rsid w:val="2AD03A9F"/>
    <w:rsid w:val="2AD06D94"/>
    <w:rsid w:val="2ADB2B70"/>
    <w:rsid w:val="2ADE440E"/>
    <w:rsid w:val="2AE00186"/>
    <w:rsid w:val="2AE02C51"/>
    <w:rsid w:val="2AE82B97"/>
    <w:rsid w:val="2AFC2AE6"/>
    <w:rsid w:val="2B0213CF"/>
    <w:rsid w:val="2B0C0F7B"/>
    <w:rsid w:val="2B1020EE"/>
    <w:rsid w:val="2B252F7F"/>
    <w:rsid w:val="2B2C33CC"/>
    <w:rsid w:val="2B38542D"/>
    <w:rsid w:val="2B3B716B"/>
    <w:rsid w:val="2B3E7F3A"/>
    <w:rsid w:val="2B413FD5"/>
    <w:rsid w:val="2B43781E"/>
    <w:rsid w:val="2B484D6E"/>
    <w:rsid w:val="2B5A5B1B"/>
    <w:rsid w:val="2B6568DD"/>
    <w:rsid w:val="2B6C52CA"/>
    <w:rsid w:val="2B713F16"/>
    <w:rsid w:val="2B75215F"/>
    <w:rsid w:val="2B782CC2"/>
    <w:rsid w:val="2B7D7783"/>
    <w:rsid w:val="2B874C0D"/>
    <w:rsid w:val="2B8C679F"/>
    <w:rsid w:val="2B930568"/>
    <w:rsid w:val="2B944ACD"/>
    <w:rsid w:val="2B98425C"/>
    <w:rsid w:val="2B9D6077"/>
    <w:rsid w:val="2BA2368E"/>
    <w:rsid w:val="2BA41F0E"/>
    <w:rsid w:val="2BA4331E"/>
    <w:rsid w:val="2BA72EB6"/>
    <w:rsid w:val="2BAD5B8F"/>
    <w:rsid w:val="2BB92785"/>
    <w:rsid w:val="2BBE7D9C"/>
    <w:rsid w:val="2BC2788C"/>
    <w:rsid w:val="2BC37160"/>
    <w:rsid w:val="2BC5112A"/>
    <w:rsid w:val="2BC773D1"/>
    <w:rsid w:val="2BCB18BB"/>
    <w:rsid w:val="2BCC4267"/>
    <w:rsid w:val="2BE733F6"/>
    <w:rsid w:val="2BF8018E"/>
    <w:rsid w:val="2BF92D83"/>
    <w:rsid w:val="2BFD2DC5"/>
    <w:rsid w:val="2BFF2294"/>
    <w:rsid w:val="2C077995"/>
    <w:rsid w:val="2C0E2AD1"/>
    <w:rsid w:val="2C136339"/>
    <w:rsid w:val="2C183950"/>
    <w:rsid w:val="2C1A17A6"/>
    <w:rsid w:val="2C267E1B"/>
    <w:rsid w:val="2C2C11A9"/>
    <w:rsid w:val="2C2E3173"/>
    <w:rsid w:val="2C3F2C8B"/>
    <w:rsid w:val="2C4315A8"/>
    <w:rsid w:val="2C6262F3"/>
    <w:rsid w:val="2C626979"/>
    <w:rsid w:val="2C73502A"/>
    <w:rsid w:val="2C77792C"/>
    <w:rsid w:val="2C7A0167"/>
    <w:rsid w:val="2C7F3253"/>
    <w:rsid w:val="2C7F3BA9"/>
    <w:rsid w:val="2C932FD6"/>
    <w:rsid w:val="2C994A91"/>
    <w:rsid w:val="2CA25143"/>
    <w:rsid w:val="2CA62D0A"/>
    <w:rsid w:val="2CA6569B"/>
    <w:rsid w:val="2CA85A95"/>
    <w:rsid w:val="2CAB47C4"/>
    <w:rsid w:val="2CB01DDA"/>
    <w:rsid w:val="2CB03B88"/>
    <w:rsid w:val="2CB91342"/>
    <w:rsid w:val="2CD258AD"/>
    <w:rsid w:val="2CDE24A4"/>
    <w:rsid w:val="2CEB112C"/>
    <w:rsid w:val="2CEE1B1D"/>
    <w:rsid w:val="2CFA5C0F"/>
    <w:rsid w:val="2CFD3CD4"/>
    <w:rsid w:val="2D154990"/>
    <w:rsid w:val="2D1F5D48"/>
    <w:rsid w:val="2D284AC2"/>
    <w:rsid w:val="2D354355"/>
    <w:rsid w:val="2D39428A"/>
    <w:rsid w:val="2D46629B"/>
    <w:rsid w:val="2D4744ED"/>
    <w:rsid w:val="2D4B3B6D"/>
    <w:rsid w:val="2D597D7C"/>
    <w:rsid w:val="2D5C5ABE"/>
    <w:rsid w:val="2D685B5E"/>
    <w:rsid w:val="2D6A0964"/>
    <w:rsid w:val="2D6E286D"/>
    <w:rsid w:val="2D796670"/>
    <w:rsid w:val="2D8079FF"/>
    <w:rsid w:val="2D8201A3"/>
    <w:rsid w:val="2D886C00"/>
    <w:rsid w:val="2D8A3D5B"/>
    <w:rsid w:val="2D917516"/>
    <w:rsid w:val="2D99286E"/>
    <w:rsid w:val="2DA26FBA"/>
    <w:rsid w:val="2DA7470F"/>
    <w:rsid w:val="2DA76D39"/>
    <w:rsid w:val="2DA90D03"/>
    <w:rsid w:val="2DAF5059"/>
    <w:rsid w:val="2DC0604D"/>
    <w:rsid w:val="2DCA0C7A"/>
    <w:rsid w:val="2DCC0B15"/>
    <w:rsid w:val="2DD6761F"/>
    <w:rsid w:val="2DDE64D3"/>
    <w:rsid w:val="2DF323C2"/>
    <w:rsid w:val="2DF81343"/>
    <w:rsid w:val="2DFB52D7"/>
    <w:rsid w:val="2DFE2CC2"/>
    <w:rsid w:val="2E0F2B31"/>
    <w:rsid w:val="2E1B251B"/>
    <w:rsid w:val="2E1D349F"/>
    <w:rsid w:val="2E2843FB"/>
    <w:rsid w:val="2E3A5DFF"/>
    <w:rsid w:val="2E3D2F06"/>
    <w:rsid w:val="2E481C07"/>
    <w:rsid w:val="2E4C78E1"/>
    <w:rsid w:val="2E514EF7"/>
    <w:rsid w:val="2E5824DF"/>
    <w:rsid w:val="2E620EB2"/>
    <w:rsid w:val="2E625356"/>
    <w:rsid w:val="2E674E5B"/>
    <w:rsid w:val="2E695DB6"/>
    <w:rsid w:val="2E6966E5"/>
    <w:rsid w:val="2E6B5FB9"/>
    <w:rsid w:val="2E6D7F83"/>
    <w:rsid w:val="2E72456E"/>
    <w:rsid w:val="2E7D5CEC"/>
    <w:rsid w:val="2E7D7A9A"/>
    <w:rsid w:val="2E9F3EB4"/>
    <w:rsid w:val="2EA74B17"/>
    <w:rsid w:val="2EA8720D"/>
    <w:rsid w:val="2EB43687"/>
    <w:rsid w:val="2EB931C8"/>
    <w:rsid w:val="2EB9568B"/>
    <w:rsid w:val="2ECC1D1F"/>
    <w:rsid w:val="2ED95618"/>
    <w:rsid w:val="2EDF55DF"/>
    <w:rsid w:val="2EE23674"/>
    <w:rsid w:val="2EEE547C"/>
    <w:rsid w:val="2EEE5A45"/>
    <w:rsid w:val="2EF02962"/>
    <w:rsid w:val="2EF91817"/>
    <w:rsid w:val="2F0068A3"/>
    <w:rsid w:val="2F012479"/>
    <w:rsid w:val="2F05640D"/>
    <w:rsid w:val="2F1F6DA3"/>
    <w:rsid w:val="2F2627FA"/>
    <w:rsid w:val="2F3D3B1D"/>
    <w:rsid w:val="2F4862FA"/>
    <w:rsid w:val="2F634EE2"/>
    <w:rsid w:val="2F6704D8"/>
    <w:rsid w:val="2F6F1AD9"/>
    <w:rsid w:val="2F7012BE"/>
    <w:rsid w:val="2F715851"/>
    <w:rsid w:val="2F762E67"/>
    <w:rsid w:val="2F923A19"/>
    <w:rsid w:val="2F9C0964"/>
    <w:rsid w:val="2F9C6646"/>
    <w:rsid w:val="2F9E043D"/>
    <w:rsid w:val="2FA06136"/>
    <w:rsid w:val="2FA07EE4"/>
    <w:rsid w:val="2FB22F15"/>
    <w:rsid w:val="2FC71915"/>
    <w:rsid w:val="2FC811E9"/>
    <w:rsid w:val="2FC81E9B"/>
    <w:rsid w:val="2FDB2CCA"/>
    <w:rsid w:val="2FEB0BD7"/>
    <w:rsid w:val="2FF03353"/>
    <w:rsid w:val="2FF124EE"/>
    <w:rsid w:val="2FFB0E96"/>
    <w:rsid w:val="30011A21"/>
    <w:rsid w:val="300466C5"/>
    <w:rsid w:val="301306B6"/>
    <w:rsid w:val="301601A6"/>
    <w:rsid w:val="30185CCC"/>
    <w:rsid w:val="30191A45"/>
    <w:rsid w:val="30263F63"/>
    <w:rsid w:val="3029612C"/>
    <w:rsid w:val="302C1778"/>
    <w:rsid w:val="30313B07"/>
    <w:rsid w:val="3038011D"/>
    <w:rsid w:val="30515682"/>
    <w:rsid w:val="305F6B65"/>
    <w:rsid w:val="30645C10"/>
    <w:rsid w:val="30702C3E"/>
    <w:rsid w:val="3071362F"/>
    <w:rsid w:val="308C66A8"/>
    <w:rsid w:val="309061AB"/>
    <w:rsid w:val="309279C9"/>
    <w:rsid w:val="3095556F"/>
    <w:rsid w:val="30A43A04"/>
    <w:rsid w:val="30A92DC8"/>
    <w:rsid w:val="30AE03DF"/>
    <w:rsid w:val="30AE6631"/>
    <w:rsid w:val="30CC6AB7"/>
    <w:rsid w:val="30D53BE2"/>
    <w:rsid w:val="30D7043C"/>
    <w:rsid w:val="30DA7426"/>
    <w:rsid w:val="30DA7865"/>
    <w:rsid w:val="30DD2A72"/>
    <w:rsid w:val="30DF2C8E"/>
    <w:rsid w:val="30E166B5"/>
    <w:rsid w:val="30E6401D"/>
    <w:rsid w:val="310527A4"/>
    <w:rsid w:val="31053648"/>
    <w:rsid w:val="3106646D"/>
    <w:rsid w:val="31083F93"/>
    <w:rsid w:val="310B2BB2"/>
    <w:rsid w:val="310D15A9"/>
    <w:rsid w:val="310D77FB"/>
    <w:rsid w:val="310F3573"/>
    <w:rsid w:val="311724AB"/>
    <w:rsid w:val="311F214E"/>
    <w:rsid w:val="31216F79"/>
    <w:rsid w:val="31244B45"/>
    <w:rsid w:val="31447407"/>
    <w:rsid w:val="31456F95"/>
    <w:rsid w:val="314F3970"/>
    <w:rsid w:val="3152478A"/>
    <w:rsid w:val="31552F50"/>
    <w:rsid w:val="315F792B"/>
    <w:rsid w:val="317258B0"/>
    <w:rsid w:val="31813D45"/>
    <w:rsid w:val="318B0720"/>
    <w:rsid w:val="318B6635"/>
    <w:rsid w:val="318F1FBE"/>
    <w:rsid w:val="31903F88"/>
    <w:rsid w:val="31905D36"/>
    <w:rsid w:val="319513A0"/>
    <w:rsid w:val="31964875"/>
    <w:rsid w:val="31967B93"/>
    <w:rsid w:val="31983992"/>
    <w:rsid w:val="31994BEB"/>
    <w:rsid w:val="31A041CB"/>
    <w:rsid w:val="31A11CF2"/>
    <w:rsid w:val="31A43590"/>
    <w:rsid w:val="31A81DA0"/>
    <w:rsid w:val="31AB45BC"/>
    <w:rsid w:val="31C37EBA"/>
    <w:rsid w:val="31C66DBA"/>
    <w:rsid w:val="31CC3BDF"/>
    <w:rsid w:val="31CD2AE7"/>
    <w:rsid w:val="31E3055C"/>
    <w:rsid w:val="31E51575"/>
    <w:rsid w:val="31E56E8B"/>
    <w:rsid w:val="31F369F1"/>
    <w:rsid w:val="31FC33CC"/>
    <w:rsid w:val="32002EBC"/>
    <w:rsid w:val="3212499D"/>
    <w:rsid w:val="322748ED"/>
    <w:rsid w:val="32284277"/>
    <w:rsid w:val="322E4CA6"/>
    <w:rsid w:val="32313075"/>
    <w:rsid w:val="32322FD9"/>
    <w:rsid w:val="3246656C"/>
    <w:rsid w:val="32516607"/>
    <w:rsid w:val="32534D00"/>
    <w:rsid w:val="325C0D35"/>
    <w:rsid w:val="325D030E"/>
    <w:rsid w:val="3260395B"/>
    <w:rsid w:val="32690A61"/>
    <w:rsid w:val="326E6078"/>
    <w:rsid w:val="32792E2E"/>
    <w:rsid w:val="32805DAB"/>
    <w:rsid w:val="32807B59"/>
    <w:rsid w:val="3291180F"/>
    <w:rsid w:val="329267C1"/>
    <w:rsid w:val="329952F6"/>
    <w:rsid w:val="329C2479"/>
    <w:rsid w:val="329F26D5"/>
    <w:rsid w:val="32B62DBE"/>
    <w:rsid w:val="32BB6DE3"/>
    <w:rsid w:val="32D560F7"/>
    <w:rsid w:val="32E26A66"/>
    <w:rsid w:val="32EB7DAF"/>
    <w:rsid w:val="32F16EDE"/>
    <w:rsid w:val="32F26CA9"/>
    <w:rsid w:val="32F742BF"/>
    <w:rsid w:val="330864CC"/>
    <w:rsid w:val="33174205"/>
    <w:rsid w:val="3321310B"/>
    <w:rsid w:val="334868C9"/>
    <w:rsid w:val="33552D94"/>
    <w:rsid w:val="3368435D"/>
    <w:rsid w:val="336F51D7"/>
    <w:rsid w:val="337819DF"/>
    <w:rsid w:val="337D02CD"/>
    <w:rsid w:val="3381002D"/>
    <w:rsid w:val="338F274A"/>
    <w:rsid w:val="33923FE8"/>
    <w:rsid w:val="339E1B9C"/>
    <w:rsid w:val="33A14453"/>
    <w:rsid w:val="33B73A4E"/>
    <w:rsid w:val="33B813EE"/>
    <w:rsid w:val="33BD463F"/>
    <w:rsid w:val="33BE4DDD"/>
    <w:rsid w:val="33C63C91"/>
    <w:rsid w:val="33CA5530"/>
    <w:rsid w:val="33CF0D98"/>
    <w:rsid w:val="33D50207"/>
    <w:rsid w:val="33D5513F"/>
    <w:rsid w:val="33D765B5"/>
    <w:rsid w:val="33DE722D"/>
    <w:rsid w:val="33E32A95"/>
    <w:rsid w:val="33E671C5"/>
    <w:rsid w:val="33EC7DBB"/>
    <w:rsid w:val="33F42DA5"/>
    <w:rsid w:val="33F64577"/>
    <w:rsid w:val="33FD2827"/>
    <w:rsid w:val="34056568"/>
    <w:rsid w:val="34062ABA"/>
    <w:rsid w:val="34117602"/>
    <w:rsid w:val="341E1B8B"/>
    <w:rsid w:val="3421071B"/>
    <w:rsid w:val="34376090"/>
    <w:rsid w:val="345B65B8"/>
    <w:rsid w:val="345C4C50"/>
    <w:rsid w:val="345E211C"/>
    <w:rsid w:val="347039C3"/>
    <w:rsid w:val="34751B31"/>
    <w:rsid w:val="34796F56"/>
    <w:rsid w:val="34967B08"/>
    <w:rsid w:val="3498562E"/>
    <w:rsid w:val="349A0D52"/>
    <w:rsid w:val="349A66C0"/>
    <w:rsid w:val="349D2C44"/>
    <w:rsid w:val="34A75871"/>
    <w:rsid w:val="34AC65B3"/>
    <w:rsid w:val="34B41D3C"/>
    <w:rsid w:val="34C64B32"/>
    <w:rsid w:val="34C7488F"/>
    <w:rsid w:val="34C8321F"/>
    <w:rsid w:val="34CE11CA"/>
    <w:rsid w:val="34DA1EC8"/>
    <w:rsid w:val="34E24AFB"/>
    <w:rsid w:val="34E55D94"/>
    <w:rsid w:val="34F32864"/>
    <w:rsid w:val="34FA62E8"/>
    <w:rsid w:val="3509652C"/>
    <w:rsid w:val="350A0BB1"/>
    <w:rsid w:val="350C1B78"/>
    <w:rsid w:val="351B5831"/>
    <w:rsid w:val="351D5B33"/>
    <w:rsid w:val="35237C8D"/>
    <w:rsid w:val="353448B6"/>
    <w:rsid w:val="35357321"/>
    <w:rsid w:val="35377B8C"/>
    <w:rsid w:val="353F287E"/>
    <w:rsid w:val="355754E9"/>
    <w:rsid w:val="355C665B"/>
    <w:rsid w:val="35610116"/>
    <w:rsid w:val="357A11D7"/>
    <w:rsid w:val="357D65D2"/>
    <w:rsid w:val="358160C2"/>
    <w:rsid w:val="359B3E2D"/>
    <w:rsid w:val="35A3428A"/>
    <w:rsid w:val="35B40F8A"/>
    <w:rsid w:val="35B5220F"/>
    <w:rsid w:val="35B960E0"/>
    <w:rsid w:val="35BE2E72"/>
    <w:rsid w:val="35C81F43"/>
    <w:rsid w:val="35C83CF1"/>
    <w:rsid w:val="35CB558F"/>
    <w:rsid w:val="35CE6E2D"/>
    <w:rsid w:val="35D703D8"/>
    <w:rsid w:val="35EC7188"/>
    <w:rsid w:val="35F04FF6"/>
    <w:rsid w:val="35F42522"/>
    <w:rsid w:val="360B47FC"/>
    <w:rsid w:val="36107446"/>
    <w:rsid w:val="36115D5A"/>
    <w:rsid w:val="36176A26"/>
    <w:rsid w:val="36252EF1"/>
    <w:rsid w:val="3628478F"/>
    <w:rsid w:val="36317AE8"/>
    <w:rsid w:val="3633380E"/>
    <w:rsid w:val="36383552"/>
    <w:rsid w:val="36462E68"/>
    <w:rsid w:val="36534348"/>
    <w:rsid w:val="365550E2"/>
    <w:rsid w:val="365732C7"/>
    <w:rsid w:val="36576D6D"/>
    <w:rsid w:val="36617332"/>
    <w:rsid w:val="366413ED"/>
    <w:rsid w:val="36661075"/>
    <w:rsid w:val="36683628"/>
    <w:rsid w:val="367D0F7F"/>
    <w:rsid w:val="367E0853"/>
    <w:rsid w:val="36935F18"/>
    <w:rsid w:val="3697382E"/>
    <w:rsid w:val="36980C13"/>
    <w:rsid w:val="369E1DBD"/>
    <w:rsid w:val="369F61A9"/>
    <w:rsid w:val="36A4650C"/>
    <w:rsid w:val="36AC0B95"/>
    <w:rsid w:val="36BE50F4"/>
    <w:rsid w:val="36D05553"/>
    <w:rsid w:val="36E14E00"/>
    <w:rsid w:val="36F32FEF"/>
    <w:rsid w:val="36F5703C"/>
    <w:rsid w:val="36F97F21"/>
    <w:rsid w:val="36FC4E07"/>
    <w:rsid w:val="370074BA"/>
    <w:rsid w:val="3714243A"/>
    <w:rsid w:val="37170FFE"/>
    <w:rsid w:val="37184804"/>
    <w:rsid w:val="372431A9"/>
    <w:rsid w:val="37265173"/>
    <w:rsid w:val="372B09DB"/>
    <w:rsid w:val="372C6501"/>
    <w:rsid w:val="373C412D"/>
    <w:rsid w:val="37705DB0"/>
    <w:rsid w:val="377240E4"/>
    <w:rsid w:val="3772660A"/>
    <w:rsid w:val="377A5E33"/>
    <w:rsid w:val="378620B5"/>
    <w:rsid w:val="37893954"/>
    <w:rsid w:val="37923071"/>
    <w:rsid w:val="37936F2A"/>
    <w:rsid w:val="37A2404C"/>
    <w:rsid w:val="37A93461"/>
    <w:rsid w:val="37AB05F1"/>
    <w:rsid w:val="37AB5678"/>
    <w:rsid w:val="37AE6F16"/>
    <w:rsid w:val="37BC6705"/>
    <w:rsid w:val="37CB7AC8"/>
    <w:rsid w:val="37D7646D"/>
    <w:rsid w:val="37D90437"/>
    <w:rsid w:val="37DA7D0B"/>
    <w:rsid w:val="37DB65A1"/>
    <w:rsid w:val="37DE3C9F"/>
    <w:rsid w:val="37DF7408"/>
    <w:rsid w:val="37E011F8"/>
    <w:rsid w:val="37E1109A"/>
    <w:rsid w:val="37E242E4"/>
    <w:rsid w:val="37E868CC"/>
    <w:rsid w:val="37EF6DC8"/>
    <w:rsid w:val="38084874"/>
    <w:rsid w:val="38094CF1"/>
    <w:rsid w:val="380B216A"/>
    <w:rsid w:val="38191EF5"/>
    <w:rsid w:val="38196A86"/>
    <w:rsid w:val="38206066"/>
    <w:rsid w:val="38215308"/>
    <w:rsid w:val="3822387D"/>
    <w:rsid w:val="382830B0"/>
    <w:rsid w:val="38286CC9"/>
    <w:rsid w:val="38341B11"/>
    <w:rsid w:val="3845395B"/>
    <w:rsid w:val="384855BD"/>
    <w:rsid w:val="385816B3"/>
    <w:rsid w:val="3865335C"/>
    <w:rsid w:val="3868641A"/>
    <w:rsid w:val="38691B28"/>
    <w:rsid w:val="386F48F8"/>
    <w:rsid w:val="38804D57"/>
    <w:rsid w:val="388365F5"/>
    <w:rsid w:val="38A65E3F"/>
    <w:rsid w:val="38A97617"/>
    <w:rsid w:val="38AE1A66"/>
    <w:rsid w:val="38C033A5"/>
    <w:rsid w:val="38C2711D"/>
    <w:rsid w:val="38E15005"/>
    <w:rsid w:val="38E76B84"/>
    <w:rsid w:val="38F44DFD"/>
    <w:rsid w:val="38FA766E"/>
    <w:rsid w:val="38FD0155"/>
    <w:rsid w:val="39001D4A"/>
    <w:rsid w:val="390E2362"/>
    <w:rsid w:val="390F1C37"/>
    <w:rsid w:val="391060DB"/>
    <w:rsid w:val="391159AF"/>
    <w:rsid w:val="392512E2"/>
    <w:rsid w:val="392C27E9"/>
    <w:rsid w:val="392F746D"/>
    <w:rsid w:val="393671C3"/>
    <w:rsid w:val="393B0C7E"/>
    <w:rsid w:val="39423DBA"/>
    <w:rsid w:val="39441387"/>
    <w:rsid w:val="3950297B"/>
    <w:rsid w:val="395104A1"/>
    <w:rsid w:val="39601210"/>
    <w:rsid w:val="396401D4"/>
    <w:rsid w:val="397B107A"/>
    <w:rsid w:val="397E7B16"/>
    <w:rsid w:val="398048E2"/>
    <w:rsid w:val="398845B5"/>
    <w:rsid w:val="398848EF"/>
    <w:rsid w:val="39900AFD"/>
    <w:rsid w:val="39936F54"/>
    <w:rsid w:val="39A238BD"/>
    <w:rsid w:val="39A405D1"/>
    <w:rsid w:val="39B27192"/>
    <w:rsid w:val="39D30EB6"/>
    <w:rsid w:val="39D866E1"/>
    <w:rsid w:val="39E60BE9"/>
    <w:rsid w:val="39E62997"/>
    <w:rsid w:val="39E6508D"/>
    <w:rsid w:val="39EC3D26"/>
    <w:rsid w:val="39F81784"/>
    <w:rsid w:val="3A090F25"/>
    <w:rsid w:val="3A092B2A"/>
    <w:rsid w:val="3A1F234D"/>
    <w:rsid w:val="3A20601D"/>
    <w:rsid w:val="3A282FB0"/>
    <w:rsid w:val="3A2A1651"/>
    <w:rsid w:val="3A306308"/>
    <w:rsid w:val="3A377697"/>
    <w:rsid w:val="3A3A2CE3"/>
    <w:rsid w:val="3A4373AE"/>
    <w:rsid w:val="3A4B4EF0"/>
    <w:rsid w:val="3A4C4037"/>
    <w:rsid w:val="3A523F1C"/>
    <w:rsid w:val="3A6817A5"/>
    <w:rsid w:val="3A6D1C08"/>
    <w:rsid w:val="3A7B57D6"/>
    <w:rsid w:val="3A954F9A"/>
    <w:rsid w:val="3AAA60BB"/>
    <w:rsid w:val="3AB26D1E"/>
    <w:rsid w:val="3ABD10BB"/>
    <w:rsid w:val="3AC151B3"/>
    <w:rsid w:val="3AD0536F"/>
    <w:rsid w:val="3AD153F6"/>
    <w:rsid w:val="3AD43EBF"/>
    <w:rsid w:val="3AD66EB0"/>
    <w:rsid w:val="3AE07D2F"/>
    <w:rsid w:val="3AE325E1"/>
    <w:rsid w:val="3AE56F79"/>
    <w:rsid w:val="3AE7269E"/>
    <w:rsid w:val="3AEA2D04"/>
    <w:rsid w:val="3AEA64B7"/>
    <w:rsid w:val="3AFB67C0"/>
    <w:rsid w:val="3B005CDB"/>
    <w:rsid w:val="3B046A54"/>
    <w:rsid w:val="3B057795"/>
    <w:rsid w:val="3B0B173D"/>
    <w:rsid w:val="3B0C4E1B"/>
    <w:rsid w:val="3B1748CC"/>
    <w:rsid w:val="3B1D063B"/>
    <w:rsid w:val="3B201ED9"/>
    <w:rsid w:val="3B277F00"/>
    <w:rsid w:val="3B332FCA"/>
    <w:rsid w:val="3B3E6803"/>
    <w:rsid w:val="3B4200A1"/>
    <w:rsid w:val="3B4445BF"/>
    <w:rsid w:val="3B4E75A1"/>
    <w:rsid w:val="3B581673"/>
    <w:rsid w:val="3B673FAC"/>
    <w:rsid w:val="3B712735"/>
    <w:rsid w:val="3B750477"/>
    <w:rsid w:val="3B8406BA"/>
    <w:rsid w:val="3B844B5E"/>
    <w:rsid w:val="3B8763FC"/>
    <w:rsid w:val="3B9070ED"/>
    <w:rsid w:val="3B943D76"/>
    <w:rsid w:val="3B9D5C20"/>
    <w:rsid w:val="3BB755D2"/>
    <w:rsid w:val="3BC7787A"/>
    <w:rsid w:val="3BC9431F"/>
    <w:rsid w:val="3BE178BA"/>
    <w:rsid w:val="3BEE0229"/>
    <w:rsid w:val="3BF70E8C"/>
    <w:rsid w:val="3BFA4E20"/>
    <w:rsid w:val="3C1557B6"/>
    <w:rsid w:val="3C2B4FD9"/>
    <w:rsid w:val="3C3976F6"/>
    <w:rsid w:val="3C413158"/>
    <w:rsid w:val="3C53008C"/>
    <w:rsid w:val="3C544530"/>
    <w:rsid w:val="3C567329"/>
    <w:rsid w:val="3C780E57"/>
    <w:rsid w:val="3C793A99"/>
    <w:rsid w:val="3C805325"/>
    <w:rsid w:val="3C85293C"/>
    <w:rsid w:val="3C9A775E"/>
    <w:rsid w:val="3CA52FDE"/>
    <w:rsid w:val="3CA62DA2"/>
    <w:rsid w:val="3CB11983"/>
    <w:rsid w:val="3CB55C21"/>
    <w:rsid w:val="3CB60D47"/>
    <w:rsid w:val="3CB672C1"/>
    <w:rsid w:val="3CBA041E"/>
    <w:rsid w:val="3CC30D50"/>
    <w:rsid w:val="3CC571DC"/>
    <w:rsid w:val="3CC80A7A"/>
    <w:rsid w:val="3CD03E9B"/>
    <w:rsid w:val="3CDD2778"/>
    <w:rsid w:val="3CE77152"/>
    <w:rsid w:val="3CEA79C6"/>
    <w:rsid w:val="3CEC6C0D"/>
    <w:rsid w:val="3CF36340"/>
    <w:rsid w:val="3CF74F4B"/>
    <w:rsid w:val="3CF80C64"/>
    <w:rsid w:val="3CFB2BFE"/>
    <w:rsid w:val="3D015D3A"/>
    <w:rsid w:val="3D08331F"/>
    <w:rsid w:val="3D0A244D"/>
    <w:rsid w:val="3D0C0967"/>
    <w:rsid w:val="3D22018A"/>
    <w:rsid w:val="3D2959BD"/>
    <w:rsid w:val="3D2C1009"/>
    <w:rsid w:val="3D344362"/>
    <w:rsid w:val="3D3A50DC"/>
    <w:rsid w:val="3D3B56F0"/>
    <w:rsid w:val="3D402D06"/>
    <w:rsid w:val="3D4715A7"/>
    <w:rsid w:val="3D4C1EC5"/>
    <w:rsid w:val="3D4E065F"/>
    <w:rsid w:val="3D510A70"/>
    <w:rsid w:val="3D5347E8"/>
    <w:rsid w:val="3D5B18EE"/>
    <w:rsid w:val="3D5E2E2E"/>
    <w:rsid w:val="3D6267D9"/>
    <w:rsid w:val="3D6913B0"/>
    <w:rsid w:val="3D6A7D83"/>
    <w:rsid w:val="3D727210"/>
    <w:rsid w:val="3D804EB1"/>
    <w:rsid w:val="3D8C4073"/>
    <w:rsid w:val="3D8E705B"/>
    <w:rsid w:val="3D8F0A2E"/>
    <w:rsid w:val="3D9170BE"/>
    <w:rsid w:val="3DA908AC"/>
    <w:rsid w:val="3DB1150E"/>
    <w:rsid w:val="3DBA03C3"/>
    <w:rsid w:val="3DBF5A5C"/>
    <w:rsid w:val="3DC05407"/>
    <w:rsid w:val="3DC90816"/>
    <w:rsid w:val="3DD1570D"/>
    <w:rsid w:val="3DE3072F"/>
    <w:rsid w:val="3DE43F90"/>
    <w:rsid w:val="3DE90CA8"/>
    <w:rsid w:val="3DF96E3A"/>
    <w:rsid w:val="3DFD109C"/>
    <w:rsid w:val="3DFF227A"/>
    <w:rsid w:val="3E0D0E3B"/>
    <w:rsid w:val="3E12768D"/>
    <w:rsid w:val="3E1A48FA"/>
    <w:rsid w:val="3E2D328B"/>
    <w:rsid w:val="3E546A69"/>
    <w:rsid w:val="3E55686A"/>
    <w:rsid w:val="3E566011"/>
    <w:rsid w:val="3E594080"/>
    <w:rsid w:val="3E5C3666"/>
    <w:rsid w:val="3E5D6110"/>
    <w:rsid w:val="3E60361A"/>
    <w:rsid w:val="3E630A5B"/>
    <w:rsid w:val="3E6E4D69"/>
    <w:rsid w:val="3E720C9E"/>
    <w:rsid w:val="3E734269"/>
    <w:rsid w:val="3E817133"/>
    <w:rsid w:val="3E90381A"/>
    <w:rsid w:val="3E970704"/>
    <w:rsid w:val="3E9B4698"/>
    <w:rsid w:val="3E9B5E9B"/>
    <w:rsid w:val="3EB94B24"/>
    <w:rsid w:val="3EBE05AD"/>
    <w:rsid w:val="3EC01210"/>
    <w:rsid w:val="3EC81D88"/>
    <w:rsid w:val="3EC879AE"/>
    <w:rsid w:val="3ECE7E42"/>
    <w:rsid w:val="3ED40779"/>
    <w:rsid w:val="3ED92ACB"/>
    <w:rsid w:val="3ED951C1"/>
    <w:rsid w:val="3EE14A8D"/>
    <w:rsid w:val="3EEC6CA2"/>
    <w:rsid w:val="3EF75647"/>
    <w:rsid w:val="3EFA2362"/>
    <w:rsid w:val="3F0A35CC"/>
    <w:rsid w:val="3F0B211E"/>
    <w:rsid w:val="3F0F473E"/>
    <w:rsid w:val="3F122481"/>
    <w:rsid w:val="3F21410E"/>
    <w:rsid w:val="3F253F62"/>
    <w:rsid w:val="3F283A52"/>
    <w:rsid w:val="3F2B5BF7"/>
    <w:rsid w:val="3F2D2E17"/>
    <w:rsid w:val="3F650802"/>
    <w:rsid w:val="3F7722E4"/>
    <w:rsid w:val="3F7E3672"/>
    <w:rsid w:val="3F8247ED"/>
    <w:rsid w:val="3F8E13A9"/>
    <w:rsid w:val="3F93536F"/>
    <w:rsid w:val="3F93711E"/>
    <w:rsid w:val="3FA1306F"/>
    <w:rsid w:val="3FA5416F"/>
    <w:rsid w:val="3FB84DD6"/>
    <w:rsid w:val="3FC1012F"/>
    <w:rsid w:val="3FC419CD"/>
    <w:rsid w:val="3FC77876"/>
    <w:rsid w:val="3FD140EA"/>
    <w:rsid w:val="3FE43E1D"/>
    <w:rsid w:val="3FF43934"/>
    <w:rsid w:val="3FF878C8"/>
    <w:rsid w:val="3FFF1081"/>
    <w:rsid w:val="3FFF76D2"/>
    <w:rsid w:val="40112738"/>
    <w:rsid w:val="4012098A"/>
    <w:rsid w:val="4013200C"/>
    <w:rsid w:val="4024421A"/>
    <w:rsid w:val="40244FBF"/>
    <w:rsid w:val="4037219F"/>
    <w:rsid w:val="403E6178"/>
    <w:rsid w:val="4041301D"/>
    <w:rsid w:val="40477F08"/>
    <w:rsid w:val="404D19C2"/>
    <w:rsid w:val="40520D87"/>
    <w:rsid w:val="405A4F31"/>
    <w:rsid w:val="40692574"/>
    <w:rsid w:val="406E1939"/>
    <w:rsid w:val="40767503"/>
    <w:rsid w:val="4077625F"/>
    <w:rsid w:val="407D392A"/>
    <w:rsid w:val="40860A30"/>
    <w:rsid w:val="408C1A95"/>
    <w:rsid w:val="408D6263"/>
    <w:rsid w:val="409B6EA7"/>
    <w:rsid w:val="40A50367"/>
    <w:rsid w:val="40A610D2"/>
    <w:rsid w:val="40B12ADB"/>
    <w:rsid w:val="40BB2DD0"/>
    <w:rsid w:val="40C258A9"/>
    <w:rsid w:val="40C81049"/>
    <w:rsid w:val="40CF7158"/>
    <w:rsid w:val="40D26602"/>
    <w:rsid w:val="40D53E95"/>
    <w:rsid w:val="40E9269A"/>
    <w:rsid w:val="40EB2F89"/>
    <w:rsid w:val="40EE6586"/>
    <w:rsid w:val="40EF33C0"/>
    <w:rsid w:val="40F15DC6"/>
    <w:rsid w:val="40F526FF"/>
    <w:rsid w:val="40F77E28"/>
    <w:rsid w:val="40F91A2C"/>
    <w:rsid w:val="41083B3B"/>
    <w:rsid w:val="410F6C78"/>
    <w:rsid w:val="4111695C"/>
    <w:rsid w:val="41175B2C"/>
    <w:rsid w:val="41281AE7"/>
    <w:rsid w:val="412F3401"/>
    <w:rsid w:val="413B4C25"/>
    <w:rsid w:val="413D1A37"/>
    <w:rsid w:val="415154E2"/>
    <w:rsid w:val="415A69D6"/>
    <w:rsid w:val="41604246"/>
    <w:rsid w:val="41656898"/>
    <w:rsid w:val="416744EF"/>
    <w:rsid w:val="41790595"/>
    <w:rsid w:val="417E7959"/>
    <w:rsid w:val="41850CE8"/>
    <w:rsid w:val="41A5318D"/>
    <w:rsid w:val="41AD023F"/>
    <w:rsid w:val="41B65345"/>
    <w:rsid w:val="41BD66D4"/>
    <w:rsid w:val="41BF3DDD"/>
    <w:rsid w:val="41CE08E1"/>
    <w:rsid w:val="41D0160D"/>
    <w:rsid w:val="41D91034"/>
    <w:rsid w:val="41DC3706"/>
    <w:rsid w:val="41E62B52"/>
    <w:rsid w:val="41EF0857"/>
    <w:rsid w:val="41F379CF"/>
    <w:rsid w:val="41F8595E"/>
    <w:rsid w:val="420D4C7F"/>
    <w:rsid w:val="42181B5C"/>
    <w:rsid w:val="4223547E"/>
    <w:rsid w:val="422E5823"/>
    <w:rsid w:val="422E75D1"/>
    <w:rsid w:val="42310E70"/>
    <w:rsid w:val="423A41C8"/>
    <w:rsid w:val="423A7D24"/>
    <w:rsid w:val="42446DF5"/>
    <w:rsid w:val="42551D91"/>
    <w:rsid w:val="42723962"/>
    <w:rsid w:val="42734FE4"/>
    <w:rsid w:val="42764AD5"/>
    <w:rsid w:val="427734AA"/>
    <w:rsid w:val="427C4B65"/>
    <w:rsid w:val="42883BF0"/>
    <w:rsid w:val="429A0FA0"/>
    <w:rsid w:val="42A87384"/>
    <w:rsid w:val="42B21FB1"/>
    <w:rsid w:val="42B45D29"/>
    <w:rsid w:val="42BD2703"/>
    <w:rsid w:val="42BE7023"/>
    <w:rsid w:val="42CD2946"/>
    <w:rsid w:val="42D77C69"/>
    <w:rsid w:val="42DC527F"/>
    <w:rsid w:val="42DE2DA6"/>
    <w:rsid w:val="42E12896"/>
    <w:rsid w:val="42E725C6"/>
    <w:rsid w:val="42E859D2"/>
    <w:rsid w:val="42F56341"/>
    <w:rsid w:val="430160D0"/>
    <w:rsid w:val="43184F08"/>
    <w:rsid w:val="43195B8C"/>
    <w:rsid w:val="431A7B56"/>
    <w:rsid w:val="432933BF"/>
    <w:rsid w:val="432D7889"/>
    <w:rsid w:val="43385AD2"/>
    <w:rsid w:val="434075BC"/>
    <w:rsid w:val="43476B9D"/>
    <w:rsid w:val="434D7F2B"/>
    <w:rsid w:val="435A40A4"/>
    <w:rsid w:val="435D300A"/>
    <w:rsid w:val="436D4129"/>
    <w:rsid w:val="43706CDA"/>
    <w:rsid w:val="43784FA8"/>
    <w:rsid w:val="43805C0B"/>
    <w:rsid w:val="438A0837"/>
    <w:rsid w:val="43947908"/>
    <w:rsid w:val="43996CCD"/>
    <w:rsid w:val="439A4563"/>
    <w:rsid w:val="43A7474F"/>
    <w:rsid w:val="43B02189"/>
    <w:rsid w:val="43B23EDE"/>
    <w:rsid w:val="43C10346"/>
    <w:rsid w:val="43C71A8C"/>
    <w:rsid w:val="43CB1013"/>
    <w:rsid w:val="43CF6B92"/>
    <w:rsid w:val="43D83C99"/>
    <w:rsid w:val="43F43652"/>
    <w:rsid w:val="43F65ECD"/>
    <w:rsid w:val="44120581"/>
    <w:rsid w:val="44163348"/>
    <w:rsid w:val="442962A2"/>
    <w:rsid w:val="442B137D"/>
    <w:rsid w:val="44307631"/>
    <w:rsid w:val="444B5EFF"/>
    <w:rsid w:val="444E3803"/>
    <w:rsid w:val="44580716"/>
    <w:rsid w:val="445D7CFA"/>
    <w:rsid w:val="446024DC"/>
    <w:rsid w:val="44702C0D"/>
    <w:rsid w:val="44735770"/>
    <w:rsid w:val="44760DBC"/>
    <w:rsid w:val="447F2366"/>
    <w:rsid w:val="448A1A68"/>
    <w:rsid w:val="449057E1"/>
    <w:rsid w:val="44945701"/>
    <w:rsid w:val="449A71A0"/>
    <w:rsid w:val="449B3345"/>
    <w:rsid w:val="449F6565"/>
    <w:rsid w:val="44AC4EE5"/>
    <w:rsid w:val="44E126D9"/>
    <w:rsid w:val="44E830C5"/>
    <w:rsid w:val="44F92119"/>
    <w:rsid w:val="44FA379B"/>
    <w:rsid w:val="45012D7B"/>
    <w:rsid w:val="45094B99"/>
    <w:rsid w:val="45097E04"/>
    <w:rsid w:val="45107462"/>
    <w:rsid w:val="452902FA"/>
    <w:rsid w:val="453F4F0D"/>
    <w:rsid w:val="4541586E"/>
    <w:rsid w:val="454D4212"/>
    <w:rsid w:val="454D6A28"/>
    <w:rsid w:val="454F1884"/>
    <w:rsid w:val="45596713"/>
    <w:rsid w:val="45943929"/>
    <w:rsid w:val="45955D18"/>
    <w:rsid w:val="459C0CF6"/>
    <w:rsid w:val="45A04342"/>
    <w:rsid w:val="45A66A4B"/>
    <w:rsid w:val="45AC0F39"/>
    <w:rsid w:val="45AD2F03"/>
    <w:rsid w:val="45AE4F0C"/>
    <w:rsid w:val="45B61DB8"/>
    <w:rsid w:val="45C83899"/>
    <w:rsid w:val="45CA5863"/>
    <w:rsid w:val="45D4223E"/>
    <w:rsid w:val="45D6148F"/>
    <w:rsid w:val="45E32481"/>
    <w:rsid w:val="45ED6AF1"/>
    <w:rsid w:val="45F9568D"/>
    <w:rsid w:val="45F97EF6"/>
    <w:rsid w:val="461865CE"/>
    <w:rsid w:val="461D1E37"/>
    <w:rsid w:val="461E170B"/>
    <w:rsid w:val="462431C5"/>
    <w:rsid w:val="46244F73"/>
    <w:rsid w:val="463B22BD"/>
    <w:rsid w:val="4642189D"/>
    <w:rsid w:val="46455223"/>
    <w:rsid w:val="46476EB4"/>
    <w:rsid w:val="466E61EE"/>
    <w:rsid w:val="469814BD"/>
    <w:rsid w:val="46A77952"/>
    <w:rsid w:val="46AB7A83"/>
    <w:rsid w:val="46BB51AC"/>
    <w:rsid w:val="46C202E8"/>
    <w:rsid w:val="46E548C9"/>
    <w:rsid w:val="46ED1809"/>
    <w:rsid w:val="46EE10DD"/>
    <w:rsid w:val="46EE5581"/>
    <w:rsid w:val="46F56910"/>
    <w:rsid w:val="47094169"/>
    <w:rsid w:val="471D6E2E"/>
    <w:rsid w:val="47227E01"/>
    <w:rsid w:val="473505D7"/>
    <w:rsid w:val="47393594"/>
    <w:rsid w:val="47461103"/>
    <w:rsid w:val="474D4056"/>
    <w:rsid w:val="475C24EB"/>
    <w:rsid w:val="47615D53"/>
    <w:rsid w:val="47745A86"/>
    <w:rsid w:val="47794E4B"/>
    <w:rsid w:val="47814410"/>
    <w:rsid w:val="478A49EC"/>
    <w:rsid w:val="478F28C0"/>
    <w:rsid w:val="479C4FDD"/>
    <w:rsid w:val="47A81BD4"/>
    <w:rsid w:val="47A94244"/>
    <w:rsid w:val="47B02837"/>
    <w:rsid w:val="47B5705A"/>
    <w:rsid w:val="47C52DB3"/>
    <w:rsid w:val="47CF7161"/>
    <w:rsid w:val="47D43FC2"/>
    <w:rsid w:val="47E56984"/>
    <w:rsid w:val="47E66258"/>
    <w:rsid w:val="47EA3F9B"/>
    <w:rsid w:val="47F21BE5"/>
    <w:rsid w:val="47F321AA"/>
    <w:rsid w:val="47F40975"/>
    <w:rsid w:val="47FB124E"/>
    <w:rsid w:val="480212E4"/>
    <w:rsid w:val="480677D8"/>
    <w:rsid w:val="481870DA"/>
    <w:rsid w:val="48396CD0"/>
    <w:rsid w:val="48480CC1"/>
    <w:rsid w:val="484F3DFE"/>
    <w:rsid w:val="485C7B63"/>
    <w:rsid w:val="48621A3D"/>
    <w:rsid w:val="486755EB"/>
    <w:rsid w:val="486779BC"/>
    <w:rsid w:val="48684EBF"/>
    <w:rsid w:val="486D24D6"/>
    <w:rsid w:val="486D7D12"/>
    <w:rsid w:val="48790E7B"/>
    <w:rsid w:val="487C58DA"/>
    <w:rsid w:val="48803767"/>
    <w:rsid w:val="488A31DA"/>
    <w:rsid w:val="488C6E00"/>
    <w:rsid w:val="48961A2D"/>
    <w:rsid w:val="48967C7F"/>
    <w:rsid w:val="489932CB"/>
    <w:rsid w:val="489F4D85"/>
    <w:rsid w:val="48A71E8C"/>
    <w:rsid w:val="48AE321A"/>
    <w:rsid w:val="48AF1CF1"/>
    <w:rsid w:val="48AF3822"/>
    <w:rsid w:val="48B12D0A"/>
    <w:rsid w:val="48BA396D"/>
    <w:rsid w:val="48BC5937"/>
    <w:rsid w:val="48BD16AF"/>
    <w:rsid w:val="48BD345D"/>
    <w:rsid w:val="48C11D44"/>
    <w:rsid w:val="48C540C0"/>
    <w:rsid w:val="48CE566A"/>
    <w:rsid w:val="48DF6EC2"/>
    <w:rsid w:val="48E00EFA"/>
    <w:rsid w:val="48E76D9A"/>
    <w:rsid w:val="48EB7FCA"/>
    <w:rsid w:val="48EC3ED9"/>
    <w:rsid w:val="48F0228A"/>
    <w:rsid w:val="48F347CA"/>
    <w:rsid w:val="48F826E7"/>
    <w:rsid w:val="490E1F0B"/>
    <w:rsid w:val="490E3CB9"/>
    <w:rsid w:val="49137521"/>
    <w:rsid w:val="491958D5"/>
    <w:rsid w:val="492359B6"/>
    <w:rsid w:val="492D05E3"/>
    <w:rsid w:val="493A3472"/>
    <w:rsid w:val="493D0372"/>
    <w:rsid w:val="49523230"/>
    <w:rsid w:val="49557B3A"/>
    <w:rsid w:val="495D0879"/>
    <w:rsid w:val="4968161B"/>
    <w:rsid w:val="49690EEF"/>
    <w:rsid w:val="496B4C67"/>
    <w:rsid w:val="49726F4F"/>
    <w:rsid w:val="49830203"/>
    <w:rsid w:val="49885819"/>
    <w:rsid w:val="49975A5C"/>
    <w:rsid w:val="49997A26"/>
    <w:rsid w:val="49A5461D"/>
    <w:rsid w:val="49A87C69"/>
    <w:rsid w:val="49B01542"/>
    <w:rsid w:val="49B26D3A"/>
    <w:rsid w:val="49B54134"/>
    <w:rsid w:val="49CB1BAA"/>
    <w:rsid w:val="49D06301"/>
    <w:rsid w:val="49DA40B8"/>
    <w:rsid w:val="49E05655"/>
    <w:rsid w:val="49EC3FFA"/>
    <w:rsid w:val="49F25388"/>
    <w:rsid w:val="49F652BE"/>
    <w:rsid w:val="4A1E1D8D"/>
    <w:rsid w:val="4A2C2648"/>
    <w:rsid w:val="4A31496B"/>
    <w:rsid w:val="4A3F40DE"/>
    <w:rsid w:val="4A49144C"/>
    <w:rsid w:val="4A5D3C7D"/>
    <w:rsid w:val="4A5D6CA6"/>
    <w:rsid w:val="4A70033D"/>
    <w:rsid w:val="4A722025"/>
    <w:rsid w:val="4A881139"/>
    <w:rsid w:val="4A895CED"/>
    <w:rsid w:val="4A8E50B1"/>
    <w:rsid w:val="4A952B26"/>
    <w:rsid w:val="4A987CDE"/>
    <w:rsid w:val="4A9F72BE"/>
    <w:rsid w:val="4AA12D5A"/>
    <w:rsid w:val="4AA21F83"/>
    <w:rsid w:val="4AB56AE2"/>
    <w:rsid w:val="4AB97C54"/>
    <w:rsid w:val="4ABB1C1E"/>
    <w:rsid w:val="4AC7411F"/>
    <w:rsid w:val="4ACF1D44"/>
    <w:rsid w:val="4AE96E06"/>
    <w:rsid w:val="4AEE78FE"/>
    <w:rsid w:val="4AF53A3A"/>
    <w:rsid w:val="4AFC12FE"/>
    <w:rsid w:val="4B05070C"/>
    <w:rsid w:val="4B057E38"/>
    <w:rsid w:val="4B1B446B"/>
    <w:rsid w:val="4B284B27"/>
    <w:rsid w:val="4B29302C"/>
    <w:rsid w:val="4B2D68B6"/>
    <w:rsid w:val="4B2E419E"/>
    <w:rsid w:val="4B320132"/>
    <w:rsid w:val="4B35462A"/>
    <w:rsid w:val="4B3C2D5F"/>
    <w:rsid w:val="4B4025BF"/>
    <w:rsid w:val="4B433C2A"/>
    <w:rsid w:val="4B4A03C6"/>
    <w:rsid w:val="4B524331"/>
    <w:rsid w:val="4B533C05"/>
    <w:rsid w:val="4B6422B6"/>
    <w:rsid w:val="4B726781"/>
    <w:rsid w:val="4B742A75"/>
    <w:rsid w:val="4B771FE9"/>
    <w:rsid w:val="4B775437"/>
    <w:rsid w:val="4B8169C4"/>
    <w:rsid w:val="4B885FA4"/>
    <w:rsid w:val="4B9073A9"/>
    <w:rsid w:val="4B926799"/>
    <w:rsid w:val="4B93411F"/>
    <w:rsid w:val="4B95246F"/>
    <w:rsid w:val="4B9B321A"/>
    <w:rsid w:val="4B9C1BF1"/>
    <w:rsid w:val="4BA6642B"/>
    <w:rsid w:val="4BB07945"/>
    <w:rsid w:val="4BC52D55"/>
    <w:rsid w:val="4BCD39B7"/>
    <w:rsid w:val="4BD56D10"/>
    <w:rsid w:val="4BD761F0"/>
    <w:rsid w:val="4BE34F89"/>
    <w:rsid w:val="4BF21670"/>
    <w:rsid w:val="4BF3557A"/>
    <w:rsid w:val="4BF453E8"/>
    <w:rsid w:val="4BF53591"/>
    <w:rsid w:val="4BF70A34"/>
    <w:rsid w:val="4C0513A3"/>
    <w:rsid w:val="4C05738B"/>
    <w:rsid w:val="4C076AAD"/>
    <w:rsid w:val="4C0C0983"/>
    <w:rsid w:val="4C1E2465"/>
    <w:rsid w:val="4C2537F3"/>
    <w:rsid w:val="4C35155C"/>
    <w:rsid w:val="4C371F14"/>
    <w:rsid w:val="4C422E45"/>
    <w:rsid w:val="4C511B02"/>
    <w:rsid w:val="4C5249E4"/>
    <w:rsid w:val="4C5E497C"/>
    <w:rsid w:val="4C650094"/>
    <w:rsid w:val="4C6A38FC"/>
    <w:rsid w:val="4C856040"/>
    <w:rsid w:val="4C87625C"/>
    <w:rsid w:val="4C891FD4"/>
    <w:rsid w:val="4C8D5F79"/>
    <w:rsid w:val="4C9D5A7F"/>
    <w:rsid w:val="4C9E35A6"/>
    <w:rsid w:val="4CA126E0"/>
    <w:rsid w:val="4CA94424"/>
    <w:rsid w:val="4CAC5CC3"/>
    <w:rsid w:val="4CAE078C"/>
    <w:rsid w:val="4CB93F3C"/>
    <w:rsid w:val="4CC0176E"/>
    <w:rsid w:val="4CC4387C"/>
    <w:rsid w:val="4CCD7FCE"/>
    <w:rsid w:val="4CD63FE8"/>
    <w:rsid w:val="4CDA65CA"/>
    <w:rsid w:val="4CE20ED8"/>
    <w:rsid w:val="4CE216E4"/>
    <w:rsid w:val="4CE35F38"/>
    <w:rsid w:val="4CE52275"/>
    <w:rsid w:val="4D025C37"/>
    <w:rsid w:val="4D063625"/>
    <w:rsid w:val="4D0741AA"/>
    <w:rsid w:val="4D0E3CC7"/>
    <w:rsid w:val="4D1675E0"/>
    <w:rsid w:val="4D227D33"/>
    <w:rsid w:val="4D3006A2"/>
    <w:rsid w:val="4D3A32CE"/>
    <w:rsid w:val="4D534390"/>
    <w:rsid w:val="4D6F0427"/>
    <w:rsid w:val="4D752558"/>
    <w:rsid w:val="4D775CBF"/>
    <w:rsid w:val="4D7F0AF9"/>
    <w:rsid w:val="4D814A59"/>
    <w:rsid w:val="4D83633C"/>
    <w:rsid w:val="4D84279B"/>
    <w:rsid w:val="4D950505"/>
    <w:rsid w:val="4D9817F6"/>
    <w:rsid w:val="4D9A3D6D"/>
    <w:rsid w:val="4D9A60EE"/>
    <w:rsid w:val="4D9F3131"/>
    <w:rsid w:val="4DA30E74"/>
    <w:rsid w:val="4DAE320A"/>
    <w:rsid w:val="4DB03590"/>
    <w:rsid w:val="4DB70D44"/>
    <w:rsid w:val="4DC40DEA"/>
    <w:rsid w:val="4DCA23F1"/>
    <w:rsid w:val="4DCC14D7"/>
    <w:rsid w:val="4DCE1F8B"/>
    <w:rsid w:val="4DDE1EAC"/>
    <w:rsid w:val="4DEA345B"/>
    <w:rsid w:val="4E10402F"/>
    <w:rsid w:val="4E1966D8"/>
    <w:rsid w:val="4E1B3614"/>
    <w:rsid w:val="4E264827"/>
    <w:rsid w:val="4E2D4BE1"/>
    <w:rsid w:val="4E415D30"/>
    <w:rsid w:val="4E465BEB"/>
    <w:rsid w:val="4E4D7031"/>
    <w:rsid w:val="4E4D7F30"/>
    <w:rsid w:val="4E5C13E7"/>
    <w:rsid w:val="4E604FB7"/>
    <w:rsid w:val="4E676345"/>
    <w:rsid w:val="4E681636"/>
    <w:rsid w:val="4E83377B"/>
    <w:rsid w:val="4E922C96"/>
    <w:rsid w:val="4E946A0E"/>
    <w:rsid w:val="4E976CD4"/>
    <w:rsid w:val="4E9B1B4B"/>
    <w:rsid w:val="4EA053B3"/>
    <w:rsid w:val="4EAF077C"/>
    <w:rsid w:val="4EBB043F"/>
    <w:rsid w:val="4EC63BC9"/>
    <w:rsid w:val="4ED41501"/>
    <w:rsid w:val="4EDF237F"/>
    <w:rsid w:val="4EEA0D24"/>
    <w:rsid w:val="4EEC23A6"/>
    <w:rsid w:val="4EF83441"/>
    <w:rsid w:val="4EF86F9D"/>
    <w:rsid w:val="4EFD153E"/>
    <w:rsid w:val="4F10078B"/>
    <w:rsid w:val="4F132029"/>
    <w:rsid w:val="4F1B2C8C"/>
    <w:rsid w:val="4F2002A2"/>
    <w:rsid w:val="4F2D310F"/>
    <w:rsid w:val="4F316D45"/>
    <w:rsid w:val="4F342BFF"/>
    <w:rsid w:val="4F351F9F"/>
    <w:rsid w:val="4F436E98"/>
    <w:rsid w:val="4F5A7C58"/>
    <w:rsid w:val="4F624D5E"/>
    <w:rsid w:val="4F6F7748"/>
    <w:rsid w:val="4F7F76BE"/>
    <w:rsid w:val="4F873FA4"/>
    <w:rsid w:val="4FBC446F"/>
    <w:rsid w:val="4FBF0074"/>
    <w:rsid w:val="4FC41575"/>
    <w:rsid w:val="4FD00F08"/>
    <w:rsid w:val="4FD03A4F"/>
    <w:rsid w:val="4FDA66A3"/>
    <w:rsid w:val="4FED287A"/>
    <w:rsid w:val="500056B2"/>
    <w:rsid w:val="500B0F52"/>
    <w:rsid w:val="500E7AAF"/>
    <w:rsid w:val="501F0559"/>
    <w:rsid w:val="501F49FD"/>
    <w:rsid w:val="502913D8"/>
    <w:rsid w:val="503009B9"/>
    <w:rsid w:val="50320DEC"/>
    <w:rsid w:val="503329A9"/>
    <w:rsid w:val="503404A9"/>
    <w:rsid w:val="503F0BFC"/>
    <w:rsid w:val="50416722"/>
    <w:rsid w:val="5043693E"/>
    <w:rsid w:val="504F7091"/>
    <w:rsid w:val="50566671"/>
    <w:rsid w:val="50577CF3"/>
    <w:rsid w:val="50604A09"/>
    <w:rsid w:val="50650662"/>
    <w:rsid w:val="5065585D"/>
    <w:rsid w:val="506C625F"/>
    <w:rsid w:val="5075461D"/>
    <w:rsid w:val="507A65AB"/>
    <w:rsid w:val="507E1183"/>
    <w:rsid w:val="50940F47"/>
    <w:rsid w:val="50961CB7"/>
    <w:rsid w:val="509B0528"/>
    <w:rsid w:val="509C1BAA"/>
    <w:rsid w:val="50A3118B"/>
    <w:rsid w:val="50AA4F92"/>
    <w:rsid w:val="50AB003F"/>
    <w:rsid w:val="50B27620"/>
    <w:rsid w:val="50B70142"/>
    <w:rsid w:val="50B75248"/>
    <w:rsid w:val="50BB64D4"/>
    <w:rsid w:val="50BC224C"/>
    <w:rsid w:val="50BC3FFA"/>
    <w:rsid w:val="50C018B8"/>
    <w:rsid w:val="50D61560"/>
    <w:rsid w:val="50DF3C85"/>
    <w:rsid w:val="50E83E8F"/>
    <w:rsid w:val="50F3720E"/>
    <w:rsid w:val="50F87728"/>
    <w:rsid w:val="50F9524E"/>
    <w:rsid w:val="50FE4613"/>
    <w:rsid w:val="5107796B"/>
    <w:rsid w:val="51112598"/>
    <w:rsid w:val="51121E6C"/>
    <w:rsid w:val="51165F8B"/>
    <w:rsid w:val="511856D5"/>
    <w:rsid w:val="511B51C5"/>
    <w:rsid w:val="51295B34"/>
    <w:rsid w:val="51323452"/>
    <w:rsid w:val="51330760"/>
    <w:rsid w:val="514069D9"/>
    <w:rsid w:val="514C4A3C"/>
    <w:rsid w:val="514E10F6"/>
    <w:rsid w:val="51585B51"/>
    <w:rsid w:val="51586419"/>
    <w:rsid w:val="51622426"/>
    <w:rsid w:val="516A0329"/>
    <w:rsid w:val="517F5754"/>
    <w:rsid w:val="51823496"/>
    <w:rsid w:val="518A40F8"/>
    <w:rsid w:val="518B776F"/>
    <w:rsid w:val="518E3BE9"/>
    <w:rsid w:val="51932FAD"/>
    <w:rsid w:val="519D7CD0"/>
    <w:rsid w:val="519F7BA4"/>
    <w:rsid w:val="51A74CAA"/>
    <w:rsid w:val="51A90A23"/>
    <w:rsid w:val="51B7349E"/>
    <w:rsid w:val="51CD50E1"/>
    <w:rsid w:val="51E43ECB"/>
    <w:rsid w:val="51F37EF0"/>
    <w:rsid w:val="51F67423"/>
    <w:rsid w:val="51FE4265"/>
    <w:rsid w:val="5208684E"/>
    <w:rsid w:val="52102850"/>
    <w:rsid w:val="521340EE"/>
    <w:rsid w:val="52212BD7"/>
    <w:rsid w:val="522312C4"/>
    <w:rsid w:val="52285DEB"/>
    <w:rsid w:val="522E2CD6"/>
    <w:rsid w:val="523A78CD"/>
    <w:rsid w:val="52461A35"/>
    <w:rsid w:val="52462715"/>
    <w:rsid w:val="524A3FB4"/>
    <w:rsid w:val="52563B54"/>
    <w:rsid w:val="525734D4"/>
    <w:rsid w:val="52754DA9"/>
    <w:rsid w:val="527903F5"/>
    <w:rsid w:val="5288688A"/>
    <w:rsid w:val="528A2602"/>
    <w:rsid w:val="528B7FD0"/>
    <w:rsid w:val="528F5E6A"/>
    <w:rsid w:val="52A32BEE"/>
    <w:rsid w:val="52A66D10"/>
    <w:rsid w:val="52A93AFE"/>
    <w:rsid w:val="52B15DE1"/>
    <w:rsid w:val="52B8621F"/>
    <w:rsid w:val="52B94C95"/>
    <w:rsid w:val="52CF270B"/>
    <w:rsid w:val="52D819E7"/>
    <w:rsid w:val="52DA0735"/>
    <w:rsid w:val="52E736B3"/>
    <w:rsid w:val="52ED2B91"/>
    <w:rsid w:val="52FE4D9E"/>
    <w:rsid w:val="52FF4CD1"/>
    <w:rsid w:val="530B3EA0"/>
    <w:rsid w:val="531E2D4A"/>
    <w:rsid w:val="53241C21"/>
    <w:rsid w:val="532820A9"/>
    <w:rsid w:val="532B6FE0"/>
    <w:rsid w:val="532D11DF"/>
    <w:rsid w:val="533B1B4E"/>
    <w:rsid w:val="533D7674"/>
    <w:rsid w:val="534E48C4"/>
    <w:rsid w:val="536820BE"/>
    <w:rsid w:val="536F7A4A"/>
    <w:rsid w:val="537529C3"/>
    <w:rsid w:val="53821BD4"/>
    <w:rsid w:val="5384006A"/>
    <w:rsid w:val="538501A4"/>
    <w:rsid w:val="538573CB"/>
    <w:rsid w:val="539D1AC3"/>
    <w:rsid w:val="539F032F"/>
    <w:rsid w:val="53AC0356"/>
    <w:rsid w:val="53AC2173"/>
    <w:rsid w:val="53AE30FB"/>
    <w:rsid w:val="53B06098"/>
    <w:rsid w:val="53B678B6"/>
    <w:rsid w:val="53C83338"/>
    <w:rsid w:val="53CE2040"/>
    <w:rsid w:val="53DC3678"/>
    <w:rsid w:val="53E113BC"/>
    <w:rsid w:val="53FA7313"/>
    <w:rsid w:val="53FB1940"/>
    <w:rsid w:val="53FF0DCE"/>
    <w:rsid w:val="540824C0"/>
    <w:rsid w:val="540C7047"/>
    <w:rsid w:val="5416230E"/>
    <w:rsid w:val="54163ED2"/>
    <w:rsid w:val="54176117"/>
    <w:rsid w:val="541F1C96"/>
    <w:rsid w:val="542530EC"/>
    <w:rsid w:val="542E16B3"/>
    <w:rsid w:val="543842E0"/>
    <w:rsid w:val="54397338"/>
    <w:rsid w:val="543D456B"/>
    <w:rsid w:val="544016A4"/>
    <w:rsid w:val="54413DF2"/>
    <w:rsid w:val="544B7B6F"/>
    <w:rsid w:val="544C7EE0"/>
    <w:rsid w:val="544F01A3"/>
    <w:rsid w:val="546216A7"/>
    <w:rsid w:val="54684B80"/>
    <w:rsid w:val="54694499"/>
    <w:rsid w:val="546D21DB"/>
    <w:rsid w:val="54702962"/>
    <w:rsid w:val="54784D46"/>
    <w:rsid w:val="54801B99"/>
    <w:rsid w:val="548968E9"/>
    <w:rsid w:val="549238A7"/>
    <w:rsid w:val="54950A7E"/>
    <w:rsid w:val="549A7622"/>
    <w:rsid w:val="549E4143"/>
    <w:rsid w:val="54A82158"/>
    <w:rsid w:val="54B0031A"/>
    <w:rsid w:val="54BF1B49"/>
    <w:rsid w:val="54BF27E0"/>
    <w:rsid w:val="54CD78D3"/>
    <w:rsid w:val="54CF254E"/>
    <w:rsid w:val="54D04518"/>
    <w:rsid w:val="54D3597B"/>
    <w:rsid w:val="54EF2BF0"/>
    <w:rsid w:val="54F40207"/>
    <w:rsid w:val="54F85711"/>
    <w:rsid w:val="550C3B72"/>
    <w:rsid w:val="551073CF"/>
    <w:rsid w:val="551C543A"/>
    <w:rsid w:val="552F56E3"/>
    <w:rsid w:val="55342CF9"/>
    <w:rsid w:val="55346855"/>
    <w:rsid w:val="554271C4"/>
    <w:rsid w:val="55437920"/>
    <w:rsid w:val="554B2435"/>
    <w:rsid w:val="554C0BA9"/>
    <w:rsid w:val="55564A1D"/>
    <w:rsid w:val="555869E7"/>
    <w:rsid w:val="555916E9"/>
    <w:rsid w:val="555B2034"/>
    <w:rsid w:val="555D3FFE"/>
    <w:rsid w:val="556348BE"/>
    <w:rsid w:val="55791CB7"/>
    <w:rsid w:val="55AD6475"/>
    <w:rsid w:val="55B41744"/>
    <w:rsid w:val="55BA1450"/>
    <w:rsid w:val="55C23E61"/>
    <w:rsid w:val="55C67DF5"/>
    <w:rsid w:val="55D342C0"/>
    <w:rsid w:val="55DF0EB7"/>
    <w:rsid w:val="55E62245"/>
    <w:rsid w:val="55EE2EA8"/>
    <w:rsid w:val="55F9619C"/>
    <w:rsid w:val="55F979FD"/>
    <w:rsid w:val="55FF51A1"/>
    <w:rsid w:val="56095F34"/>
    <w:rsid w:val="5613290E"/>
    <w:rsid w:val="56150435"/>
    <w:rsid w:val="56222B52"/>
    <w:rsid w:val="562468CA"/>
    <w:rsid w:val="562E14F6"/>
    <w:rsid w:val="56302D6F"/>
    <w:rsid w:val="563D798B"/>
    <w:rsid w:val="56431446"/>
    <w:rsid w:val="56460F02"/>
    <w:rsid w:val="564C1B7B"/>
    <w:rsid w:val="564E3947"/>
    <w:rsid w:val="56521689"/>
    <w:rsid w:val="565F3DA6"/>
    <w:rsid w:val="566B7DFC"/>
    <w:rsid w:val="56707D61"/>
    <w:rsid w:val="56725887"/>
    <w:rsid w:val="567710EF"/>
    <w:rsid w:val="567A0BDF"/>
    <w:rsid w:val="56A95021"/>
    <w:rsid w:val="56BE0ACC"/>
    <w:rsid w:val="56CD6F61"/>
    <w:rsid w:val="56E436DA"/>
    <w:rsid w:val="56E7290C"/>
    <w:rsid w:val="56E85B49"/>
    <w:rsid w:val="570E6F78"/>
    <w:rsid w:val="571037CE"/>
    <w:rsid w:val="572172AD"/>
    <w:rsid w:val="57323E10"/>
    <w:rsid w:val="5753751A"/>
    <w:rsid w:val="57572CCF"/>
    <w:rsid w:val="575C3988"/>
    <w:rsid w:val="575C50AB"/>
    <w:rsid w:val="57685FF3"/>
    <w:rsid w:val="576E3B6D"/>
    <w:rsid w:val="57722284"/>
    <w:rsid w:val="57794E6B"/>
    <w:rsid w:val="57803FD4"/>
    <w:rsid w:val="5784103C"/>
    <w:rsid w:val="57855CC0"/>
    <w:rsid w:val="578D66F1"/>
    <w:rsid w:val="578F06BB"/>
    <w:rsid w:val="57A37CC2"/>
    <w:rsid w:val="57BC2409"/>
    <w:rsid w:val="57BD5228"/>
    <w:rsid w:val="57D936E4"/>
    <w:rsid w:val="57E3171A"/>
    <w:rsid w:val="57E445EB"/>
    <w:rsid w:val="57EE718F"/>
    <w:rsid w:val="57F329F7"/>
    <w:rsid w:val="57F40CD0"/>
    <w:rsid w:val="57F458FB"/>
    <w:rsid w:val="57F66044"/>
    <w:rsid w:val="580D6A27"/>
    <w:rsid w:val="580E15DF"/>
    <w:rsid w:val="580E5A83"/>
    <w:rsid w:val="58106CCB"/>
    <w:rsid w:val="58111B10"/>
    <w:rsid w:val="58160C42"/>
    <w:rsid w:val="581E56DF"/>
    <w:rsid w:val="583152CE"/>
    <w:rsid w:val="58423FB1"/>
    <w:rsid w:val="585A65D3"/>
    <w:rsid w:val="5862192B"/>
    <w:rsid w:val="5877457A"/>
    <w:rsid w:val="587D49B7"/>
    <w:rsid w:val="587F6039"/>
    <w:rsid w:val="588B57DC"/>
    <w:rsid w:val="58955049"/>
    <w:rsid w:val="58BD4DB3"/>
    <w:rsid w:val="58C846E4"/>
    <w:rsid w:val="58CA13A5"/>
    <w:rsid w:val="58CE0955"/>
    <w:rsid w:val="58D66C1E"/>
    <w:rsid w:val="58EC1008"/>
    <w:rsid w:val="58EE31BF"/>
    <w:rsid w:val="58F033DB"/>
    <w:rsid w:val="5901420E"/>
    <w:rsid w:val="59270652"/>
    <w:rsid w:val="59282B75"/>
    <w:rsid w:val="593001D6"/>
    <w:rsid w:val="593A6404"/>
    <w:rsid w:val="59410FB8"/>
    <w:rsid w:val="59412DE1"/>
    <w:rsid w:val="594514E7"/>
    <w:rsid w:val="594700E3"/>
    <w:rsid w:val="59484FC5"/>
    <w:rsid w:val="59506E7B"/>
    <w:rsid w:val="59561490"/>
    <w:rsid w:val="59567E43"/>
    <w:rsid w:val="59582FD5"/>
    <w:rsid w:val="596D2336"/>
    <w:rsid w:val="597F00FA"/>
    <w:rsid w:val="59822285"/>
    <w:rsid w:val="5987789B"/>
    <w:rsid w:val="59A044B9"/>
    <w:rsid w:val="59A77D14"/>
    <w:rsid w:val="59B241EC"/>
    <w:rsid w:val="59B44408"/>
    <w:rsid w:val="59BB5797"/>
    <w:rsid w:val="59BE7035"/>
    <w:rsid w:val="59C236A3"/>
    <w:rsid w:val="59C56616"/>
    <w:rsid w:val="59C92BB5"/>
    <w:rsid w:val="59D40607"/>
    <w:rsid w:val="59D800F7"/>
    <w:rsid w:val="59DA7DBC"/>
    <w:rsid w:val="59E22D24"/>
    <w:rsid w:val="59E52C79"/>
    <w:rsid w:val="59E92304"/>
    <w:rsid w:val="59EA1BD8"/>
    <w:rsid w:val="59F44805"/>
    <w:rsid w:val="59F82547"/>
    <w:rsid w:val="5A07278A"/>
    <w:rsid w:val="5A0A1AD1"/>
    <w:rsid w:val="5A147DFC"/>
    <w:rsid w:val="5A276988"/>
    <w:rsid w:val="5A2A0665"/>
    <w:rsid w:val="5A3572F7"/>
    <w:rsid w:val="5A382944"/>
    <w:rsid w:val="5A386DE8"/>
    <w:rsid w:val="5A3A2ED4"/>
    <w:rsid w:val="5A400E1C"/>
    <w:rsid w:val="5A623E64"/>
    <w:rsid w:val="5A753B98"/>
    <w:rsid w:val="5A755946"/>
    <w:rsid w:val="5A7E01E4"/>
    <w:rsid w:val="5A81253D"/>
    <w:rsid w:val="5AA5693F"/>
    <w:rsid w:val="5AC8016B"/>
    <w:rsid w:val="5ACB7C5C"/>
    <w:rsid w:val="5AD52888"/>
    <w:rsid w:val="5ADA4FCD"/>
    <w:rsid w:val="5AE64A95"/>
    <w:rsid w:val="5AE900E2"/>
    <w:rsid w:val="5AF01470"/>
    <w:rsid w:val="5AF173B1"/>
    <w:rsid w:val="5AF81675"/>
    <w:rsid w:val="5AFA5E4B"/>
    <w:rsid w:val="5B060C94"/>
    <w:rsid w:val="5B084A0C"/>
    <w:rsid w:val="5B0D2022"/>
    <w:rsid w:val="5B0E68CE"/>
    <w:rsid w:val="5B136F0D"/>
    <w:rsid w:val="5B335BF8"/>
    <w:rsid w:val="5B4A30D0"/>
    <w:rsid w:val="5B5E462C"/>
    <w:rsid w:val="5B767BC7"/>
    <w:rsid w:val="5B773940"/>
    <w:rsid w:val="5B7A0223"/>
    <w:rsid w:val="5B7E082A"/>
    <w:rsid w:val="5B8E7FDE"/>
    <w:rsid w:val="5B9938B6"/>
    <w:rsid w:val="5BA01706"/>
    <w:rsid w:val="5BB029AE"/>
    <w:rsid w:val="5BBC1352"/>
    <w:rsid w:val="5BC9741C"/>
    <w:rsid w:val="5BCD20F1"/>
    <w:rsid w:val="5BD7618C"/>
    <w:rsid w:val="5BD94871"/>
    <w:rsid w:val="5BDB3741"/>
    <w:rsid w:val="5BDC37A3"/>
    <w:rsid w:val="5BEA572B"/>
    <w:rsid w:val="5BEF5815"/>
    <w:rsid w:val="5BFD2B73"/>
    <w:rsid w:val="5C1C61C8"/>
    <w:rsid w:val="5C1E3DBB"/>
    <w:rsid w:val="5C237623"/>
    <w:rsid w:val="5C300C09"/>
    <w:rsid w:val="5C33727A"/>
    <w:rsid w:val="5C341831"/>
    <w:rsid w:val="5C3E758A"/>
    <w:rsid w:val="5C4001D5"/>
    <w:rsid w:val="5C4936E2"/>
    <w:rsid w:val="5C4E11DA"/>
    <w:rsid w:val="5C5D0D87"/>
    <w:rsid w:val="5C6E089F"/>
    <w:rsid w:val="5C7B120D"/>
    <w:rsid w:val="5C857A7E"/>
    <w:rsid w:val="5C9347A9"/>
    <w:rsid w:val="5C953254"/>
    <w:rsid w:val="5CA249EC"/>
    <w:rsid w:val="5CA93FCD"/>
    <w:rsid w:val="5CA97B29"/>
    <w:rsid w:val="5CBA078A"/>
    <w:rsid w:val="5CC94ADF"/>
    <w:rsid w:val="5CDA4186"/>
    <w:rsid w:val="5CE9261B"/>
    <w:rsid w:val="5CEB7286"/>
    <w:rsid w:val="5CF229E2"/>
    <w:rsid w:val="5CF76AE6"/>
    <w:rsid w:val="5CF9717B"/>
    <w:rsid w:val="5CFB5EAA"/>
    <w:rsid w:val="5D0631CD"/>
    <w:rsid w:val="5D1551BE"/>
    <w:rsid w:val="5D1F42BD"/>
    <w:rsid w:val="5D315141"/>
    <w:rsid w:val="5D487342"/>
    <w:rsid w:val="5D494E68"/>
    <w:rsid w:val="5D4A130C"/>
    <w:rsid w:val="5D547D2E"/>
    <w:rsid w:val="5D5977A1"/>
    <w:rsid w:val="5D84603B"/>
    <w:rsid w:val="5D861A18"/>
    <w:rsid w:val="5D923F2C"/>
    <w:rsid w:val="5D9702C9"/>
    <w:rsid w:val="5DA04B1E"/>
    <w:rsid w:val="5DA24EA1"/>
    <w:rsid w:val="5DA402F0"/>
    <w:rsid w:val="5DA97C51"/>
    <w:rsid w:val="5DC42740"/>
    <w:rsid w:val="5DC84336"/>
    <w:rsid w:val="5DCB246E"/>
    <w:rsid w:val="5DCD7847"/>
    <w:rsid w:val="5DD5280C"/>
    <w:rsid w:val="5DD54F2A"/>
    <w:rsid w:val="5DD7245D"/>
    <w:rsid w:val="5DEF4416"/>
    <w:rsid w:val="5DF9063C"/>
    <w:rsid w:val="5E0314BA"/>
    <w:rsid w:val="5E03770C"/>
    <w:rsid w:val="5E063EF5"/>
    <w:rsid w:val="5E086AD1"/>
    <w:rsid w:val="5E1404BB"/>
    <w:rsid w:val="5E19260D"/>
    <w:rsid w:val="5E1B540B"/>
    <w:rsid w:val="5E215F14"/>
    <w:rsid w:val="5E2464D3"/>
    <w:rsid w:val="5E2D3E9D"/>
    <w:rsid w:val="5E3B7344"/>
    <w:rsid w:val="5E3F4EEA"/>
    <w:rsid w:val="5E44774B"/>
    <w:rsid w:val="5E471E25"/>
    <w:rsid w:val="5E5068DA"/>
    <w:rsid w:val="5E5341F0"/>
    <w:rsid w:val="5E547F68"/>
    <w:rsid w:val="5E5A37D0"/>
    <w:rsid w:val="5E5B12F6"/>
    <w:rsid w:val="5E5E778B"/>
    <w:rsid w:val="5E5F66B1"/>
    <w:rsid w:val="5E635121"/>
    <w:rsid w:val="5E671A49"/>
    <w:rsid w:val="5E850121"/>
    <w:rsid w:val="5E852832"/>
    <w:rsid w:val="5E8720EC"/>
    <w:rsid w:val="5E8F0FA0"/>
    <w:rsid w:val="5E912F6A"/>
    <w:rsid w:val="5E9860A7"/>
    <w:rsid w:val="5E9B2FD6"/>
    <w:rsid w:val="5EA44A4C"/>
    <w:rsid w:val="5EAA5DDA"/>
    <w:rsid w:val="5EAB402C"/>
    <w:rsid w:val="5EC2139F"/>
    <w:rsid w:val="5ECC7AFE"/>
    <w:rsid w:val="5ED566FF"/>
    <w:rsid w:val="5EE70DDC"/>
    <w:rsid w:val="5EEB60C5"/>
    <w:rsid w:val="5EF23FAE"/>
    <w:rsid w:val="5EF2748B"/>
    <w:rsid w:val="5EF91955"/>
    <w:rsid w:val="5F203499"/>
    <w:rsid w:val="5F265461"/>
    <w:rsid w:val="5F3C4C84"/>
    <w:rsid w:val="5F463D55"/>
    <w:rsid w:val="5F6B7317"/>
    <w:rsid w:val="5F8C21A0"/>
    <w:rsid w:val="5F8F1CC4"/>
    <w:rsid w:val="5F91541F"/>
    <w:rsid w:val="5F9B3740"/>
    <w:rsid w:val="5F9F3465"/>
    <w:rsid w:val="5FA10F8B"/>
    <w:rsid w:val="5FA23AD0"/>
    <w:rsid w:val="5FA46905"/>
    <w:rsid w:val="5FA6034F"/>
    <w:rsid w:val="5FA8056B"/>
    <w:rsid w:val="5FB011CE"/>
    <w:rsid w:val="5FBE42CB"/>
    <w:rsid w:val="5FCA22E6"/>
    <w:rsid w:val="5FCC560E"/>
    <w:rsid w:val="5FD96977"/>
    <w:rsid w:val="5FE5356E"/>
    <w:rsid w:val="5FEF2976"/>
    <w:rsid w:val="5FFD4BE5"/>
    <w:rsid w:val="60025ECE"/>
    <w:rsid w:val="6008725C"/>
    <w:rsid w:val="60163727"/>
    <w:rsid w:val="601B63DF"/>
    <w:rsid w:val="601E438A"/>
    <w:rsid w:val="60202B79"/>
    <w:rsid w:val="60483C8B"/>
    <w:rsid w:val="605379AE"/>
    <w:rsid w:val="60593614"/>
    <w:rsid w:val="60687CFB"/>
    <w:rsid w:val="606A75CF"/>
    <w:rsid w:val="6071407C"/>
    <w:rsid w:val="60791C44"/>
    <w:rsid w:val="60805044"/>
    <w:rsid w:val="6089214B"/>
    <w:rsid w:val="608C1C3B"/>
    <w:rsid w:val="608C62A2"/>
    <w:rsid w:val="608F41B1"/>
    <w:rsid w:val="60944DCD"/>
    <w:rsid w:val="60951ACF"/>
    <w:rsid w:val="609F3F51"/>
    <w:rsid w:val="60A7722D"/>
    <w:rsid w:val="60BF5DFE"/>
    <w:rsid w:val="60CA62C0"/>
    <w:rsid w:val="60D31618"/>
    <w:rsid w:val="60F63F7B"/>
    <w:rsid w:val="60F90FC7"/>
    <w:rsid w:val="610D72BF"/>
    <w:rsid w:val="61135B30"/>
    <w:rsid w:val="611D2893"/>
    <w:rsid w:val="611F660B"/>
    <w:rsid w:val="61244ACF"/>
    <w:rsid w:val="612D17BE"/>
    <w:rsid w:val="61425571"/>
    <w:rsid w:val="61573FF7"/>
    <w:rsid w:val="615941F6"/>
    <w:rsid w:val="615A0A6C"/>
    <w:rsid w:val="615F10FE"/>
    <w:rsid w:val="617C1CB0"/>
    <w:rsid w:val="618E553F"/>
    <w:rsid w:val="619A0388"/>
    <w:rsid w:val="61A62889"/>
    <w:rsid w:val="61B76844"/>
    <w:rsid w:val="61B825BC"/>
    <w:rsid w:val="61B91324"/>
    <w:rsid w:val="61C05B18"/>
    <w:rsid w:val="61C242DB"/>
    <w:rsid w:val="61C465CF"/>
    <w:rsid w:val="61E6537B"/>
    <w:rsid w:val="61EA76D2"/>
    <w:rsid w:val="61F30701"/>
    <w:rsid w:val="61F348BD"/>
    <w:rsid w:val="61F93300"/>
    <w:rsid w:val="620C3034"/>
    <w:rsid w:val="62126170"/>
    <w:rsid w:val="62152FBD"/>
    <w:rsid w:val="62164440"/>
    <w:rsid w:val="621E5A12"/>
    <w:rsid w:val="622B0FE0"/>
    <w:rsid w:val="623E1A63"/>
    <w:rsid w:val="6241391E"/>
    <w:rsid w:val="62465E1A"/>
    <w:rsid w:val="624C78D4"/>
    <w:rsid w:val="626F08D2"/>
    <w:rsid w:val="62844248"/>
    <w:rsid w:val="628F5A13"/>
    <w:rsid w:val="629B43B7"/>
    <w:rsid w:val="62A12E77"/>
    <w:rsid w:val="62A50D92"/>
    <w:rsid w:val="62A52B40"/>
    <w:rsid w:val="62A55DAB"/>
    <w:rsid w:val="62A911E5"/>
    <w:rsid w:val="62AC0373"/>
    <w:rsid w:val="62B002F6"/>
    <w:rsid w:val="62B35378"/>
    <w:rsid w:val="62C21944"/>
    <w:rsid w:val="62C66BE4"/>
    <w:rsid w:val="62CA07F9"/>
    <w:rsid w:val="62CC4571"/>
    <w:rsid w:val="62CF4061"/>
    <w:rsid w:val="62CF5E0F"/>
    <w:rsid w:val="62D022B3"/>
    <w:rsid w:val="62DB2A06"/>
    <w:rsid w:val="62DE6052"/>
    <w:rsid w:val="62E119B7"/>
    <w:rsid w:val="62E458D7"/>
    <w:rsid w:val="62EF64B1"/>
    <w:rsid w:val="62F13145"/>
    <w:rsid w:val="630713BC"/>
    <w:rsid w:val="63147CC6"/>
    <w:rsid w:val="631A352E"/>
    <w:rsid w:val="631A52DC"/>
    <w:rsid w:val="631B2E02"/>
    <w:rsid w:val="63201103"/>
    <w:rsid w:val="63255DA8"/>
    <w:rsid w:val="632F1584"/>
    <w:rsid w:val="63343F18"/>
    <w:rsid w:val="63381C06"/>
    <w:rsid w:val="633B5253"/>
    <w:rsid w:val="63497970"/>
    <w:rsid w:val="635118DB"/>
    <w:rsid w:val="635307EE"/>
    <w:rsid w:val="635B76A3"/>
    <w:rsid w:val="635D341B"/>
    <w:rsid w:val="63666773"/>
    <w:rsid w:val="636D40E9"/>
    <w:rsid w:val="636E5628"/>
    <w:rsid w:val="63757CD7"/>
    <w:rsid w:val="637B1AF3"/>
    <w:rsid w:val="637D1D0F"/>
    <w:rsid w:val="637F3391"/>
    <w:rsid w:val="63842425"/>
    <w:rsid w:val="639826A5"/>
    <w:rsid w:val="63B868A3"/>
    <w:rsid w:val="63C33BC6"/>
    <w:rsid w:val="63C910B3"/>
    <w:rsid w:val="63D02A49"/>
    <w:rsid w:val="63D80CF3"/>
    <w:rsid w:val="63DA7C6F"/>
    <w:rsid w:val="63EA4754"/>
    <w:rsid w:val="63EB4ECB"/>
    <w:rsid w:val="63F20007"/>
    <w:rsid w:val="63F920C0"/>
    <w:rsid w:val="63FB5902"/>
    <w:rsid w:val="63FE69AC"/>
    <w:rsid w:val="64032214"/>
    <w:rsid w:val="640577EE"/>
    <w:rsid w:val="640F6E0B"/>
    <w:rsid w:val="64144421"/>
    <w:rsid w:val="64151F48"/>
    <w:rsid w:val="641C50CD"/>
    <w:rsid w:val="64287ECD"/>
    <w:rsid w:val="64326656"/>
    <w:rsid w:val="64373C6C"/>
    <w:rsid w:val="64406FC4"/>
    <w:rsid w:val="644C3BBB"/>
    <w:rsid w:val="645B2C5D"/>
    <w:rsid w:val="645B3DFE"/>
    <w:rsid w:val="645B7162"/>
    <w:rsid w:val="645C36D2"/>
    <w:rsid w:val="64682077"/>
    <w:rsid w:val="64805BFE"/>
    <w:rsid w:val="64966BE4"/>
    <w:rsid w:val="649F3C61"/>
    <w:rsid w:val="64B31F24"/>
    <w:rsid w:val="64BE458F"/>
    <w:rsid w:val="64CC2376"/>
    <w:rsid w:val="64CD637E"/>
    <w:rsid w:val="64D23995"/>
    <w:rsid w:val="64DD3BD7"/>
    <w:rsid w:val="64E060B2"/>
    <w:rsid w:val="64E738E4"/>
    <w:rsid w:val="64EA33D4"/>
    <w:rsid w:val="64ED07CF"/>
    <w:rsid w:val="64EE1A20"/>
    <w:rsid w:val="64F61D79"/>
    <w:rsid w:val="64FF6124"/>
    <w:rsid w:val="65016B7F"/>
    <w:rsid w:val="650570A7"/>
    <w:rsid w:val="65061B5B"/>
    <w:rsid w:val="65067F5E"/>
    <w:rsid w:val="65100321"/>
    <w:rsid w:val="65130235"/>
    <w:rsid w:val="651C30F1"/>
    <w:rsid w:val="65202952"/>
    <w:rsid w:val="6531690D"/>
    <w:rsid w:val="653B3C30"/>
    <w:rsid w:val="654A6DF7"/>
    <w:rsid w:val="654A79CF"/>
    <w:rsid w:val="654E3963"/>
    <w:rsid w:val="65523170"/>
    <w:rsid w:val="65752C9E"/>
    <w:rsid w:val="657D1B52"/>
    <w:rsid w:val="657E4B86"/>
    <w:rsid w:val="658A426F"/>
    <w:rsid w:val="658C7FE7"/>
    <w:rsid w:val="65A73073"/>
    <w:rsid w:val="65BD63F3"/>
    <w:rsid w:val="65C778A0"/>
    <w:rsid w:val="65D11AB7"/>
    <w:rsid w:val="65D21085"/>
    <w:rsid w:val="65D5738F"/>
    <w:rsid w:val="65DC0F6F"/>
    <w:rsid w:val="65E830D8"/>
    <w:rsid w:val="65EE263B"/>
    <w:rsid w:val="65EF17FA"/>
    <w:rsid w:val="65F04A1A"/>
    <w:rsid w:val="65FA7647"/>
    <w:rsid w:val="660A20B4"/>
    <w:rsid w:val="660A43EF"/>
    <w:rsid w:val="660E4EA0"/>
    <w:rsid w:val="661017D9"/>
    <w:rsid w:val="661E14D0"/>
    <w:rsid w:val="662621EA"/>
    <w:rsid w:val="66331170"/>
    <w:rsid w:val="664663E8"/>
    <w:rsid w:val="664B7EA3"/>
    <w:rsid w:val="66552ACF"/>
    <w:rsid w:val="666E3874"/>
    <w:rsid w:val="667C4500"/>
    <w:rsid w:val="667C658D"/>
    <w:rsid w:val="66976C44"/>
    <w:rsid w:val="669E7FD2"/>
    <w:rsid w:val="66AB0941"/>
    <w:rsid w:val="66B216AC"/>
    <w:rsid w:val="66B94E0C"/>
    <w:rsid w:val="66BF4DB0"/>
    <w:rsid w:val="66C0178D"/>
    <w:rsid w:val="66C832A1"/>
    <w:rsid w:val="66ED2D08"/>
    <w:rsid w:val="66ED3F8F"/>
    <w:rsid w:val="66F057E5"/>
    <w:rsid w:val="66F775A6"/>
    <w:rsid w:val="66FE3167"/>
    <w:rsid w:val="670A0B8F"/>
    <w:rsid w:val="670E33AA"/>
    <w:rsid w:val="670F5E99"/>
    <w:rsid w:val="671B7875"/>
    <w:rsid w:val="673B3A73"/>
    <w:rsid w:val="673D3C8F"/>
    <w:rsid w:val="674768BC"/>
    <w:rsid w:val="674A0B72"/>
    <w:rsid w:val="674E7C4A"/>
    <w:rsid w:val="67555C38"/>
    <w:rsid w:val="67586998"/>
    <w:rsid w:val="6759214B"/>
    <w:rsid w:val="675B402A"/>
    <w:rsid w:val="676E12F3"/>
    <w:rsid w:val="677F7E04"/>
    <w:rsid w:val="678A67A9"/>
    <w:rsid w:val="67900263"/>
    <w:rsid w:val="679B2F67"/>
    <w:rsid w:val="67A06D2A"/>
    <w:rsid w:val="67C00F56"/>
    <w:rsid w:val="67C15FD2"/>
    <w:rsid w:val="67C25F42"/>
    <w:rsid w:val="67DB7004"/>
    <w:rsid w:val="67DC3B00"/>
    <w:rsid w:val="67E91721"/>
    <w:rsid w:val="67F0485E"/>
    <w:rsid w:val="67FD51CC"/>
    <w:rsid w:val="67FF0B47"/>
    <w:rsid w:val="68066541"/>
    <w:rsid w:val="680D18B3"/>
    <w:rsid w:val="680E1188"/>
    <w:rsid w:val="68195C76"/>
    <w:rsid w:val="68307350"/>
    <w:rsid w:val="68376930"/>
    <w:rsid w:val="68442DFB"/>
    <w:rsid w:val="684D7F02"/>
    <w:rsid w:val="684F3C7A"/>
    <w:rsid w:val="685C7C97"/>
    <w:rsid w:val="685D4942"/>
    <w:rsid w:val="68724DA1"/>
    <w:rsid w:val="687436E1"/>
    <w:rsid w:val="68751207"/>
    <w:rsid w:val="68794EC1"/>
    <w:rsid w:val="687A4A6F"/>
    <w:rsid w:val="688A4CB2"/>
    <w:rsid w:val="688F051A"/>
    <w:rsid w:val="689516F8"/>
    <w:rsid w:val="68AD6D99"/>
    <w:rsid w:val="68B735CD"/>
    <w:rsid w:val="68CA1553"/>
    <w:rsid w:val="68CF4DBB"/>
    <w:rsid w:val="68D12992"/>
    <w:rsid w:val="68DB324B"/>
    <w:rsid w:val="68E048D2"/>
    <w:rsid w:val="68E51EE8"/>
    <w:rsid w:val="68E65C61"/>
    <w:rsid w:val="68EC14C9"/>
    <w:rsid w:val="68F81D58"/>
    <w:rsid w:val="69073A8D"/>
    <w:rsid w:val="691427CE"/>
    <w:rsid w:val="69154FC4"/>
    <w:rsid w:val="692073C4"/>
    <w:rsid w:val="692844CB"/>
    <w:rsid w:val="692E7D33"/>
    <w:rsid w:val="693D7F76"/>
    <w:rsid w:val="693F5C3D"/>
    <w:rsid w:val="69413A97"/>
    <w:rsid w:val="694B23CE"/>
    <w:rsid w:val="6953779A"/>
    <w:rsid w:val="696574CD"/>
    <w:rsid w:val="6967264B"/>
    <w:rsid w:val="69674FF3"/>
    <w:rsid w:val="696C4A2F"/>
    <w:rsid w:val="6985448A"/>
    <w:rsid w:val="698A09A5"/>
    <w:rsid w:val="698E5C7E"/>
    <w:rsid w:val="69AA4EE0"/>
    <w:rsid w:val="69AC6EAA"/>
    <w:rsid w:val="69B47BD4"/>
    <w:rsid w:val="69E403F2"/>
    <w:rsid w:val="69EA352F"/>
    <w:rsid w:val="69F83174"/>
    <w:rsid w:val="6A0171F6"/>
    <w:rsid w:val="6A0E4E80"/>
    <w:rsid w:val="6A0F39F1"/>
    <w:rsid w:val="6A140B24"/>
    <w:rsid w:val="6A220A4F"/>
    <w:rsid w:val="6A2904FB"/>
    <w:rsid w:val="6A2B4273"/>
    <w:rsid w:val="6A2B6021"/>
    <w:rsid w:val="6A4E1D0F"/>
    <w:rsid w:val="6A5120EC"/>
    <w:rsid w:val="6A5A4B58"/>
    <w:rsid w:val="6A6E2976"/>
    <w:rsid w:val="6A766A86"/>
    <w:rsid w:val="6A7872EA"/>
    <w:rsid w:val="6A890F99"/>
    <w:rsid w:val="6A8D6CDC"/>
    <w:rsid w:val="6A93705C"/>
    <w:rsid w:val="6A9821AE"/>
    <w:rsid w:val="6A9C6FE9"/>
    <w:rsid w:val="6A9E2C97"/>
    <w:rsid w:val="6A9E4A45"/>
    <w:rsid w:val="6AAB03F6"/>
    <w:rsid w:val="6AAB7162"/>
    <w:rsid w:val="6AAF3179"/>
    <w:rsid w:val="6AB73049"/>
    <w:rsid w:val="6AB853DB"/>
    <w:rsid w:val="6AB9362D"/>
    <w:rsid w:val="6ABE6E95"/>
    <w:rsid w:val="6ABF703F"/>
    <w:rsid w:val="6AC92352"/>
    <w:rsid w:val="6ACB15B2"/>
    <w:rsid w:val="6ACB3360"/>
    <w:rsid w:val="6ACB5685"/>
    <w:rsid w:val="6AD2649C"/>
    <w:rsid w:val="6AD466B8"/>
    <w:rsid w:val="6AD62431"/>
    <w:rsid w:val="6ADC731B"/>
    <w:rsid w:val="6ADE7537"/>
    <w:rsid w:val="6AE12B6B"/>
    <w:rsid w:val="6AF208ED"/>
    <w:rsid w:val="6AF2613C"/>
    <w:rsid w:val="6AF40B09"/>
    <w:rsid w:val="6AFD7857"/>
    <w:rsid w:val="6B0A5C6F"/>
    <w:rsid w:val="6B0F149F"/>
    <w:rsid w:val="6B1116BB"/>
    <w:rsid w:val="6B113469"/>
    <w:rsid w:val="6B17420F"/>
    <w:rsid w:val="6B44776E"/>
    <w:rsid w:val="6B48686A"/>
    <w:rsid w:val="6B4C26F3"/>
    <w:rsid w:val="6B56531F"/>
    <w:rsid w:val="6B6E578F"/>
    <w:rsid w:val="6B7E4876"/>
    <w:rsid w:val="6B8754D9"/>
    <w:rsid w:val="6B8C7C87"/>
    <w:rsid w:val="6B94633D"/>
    <w:rsid w:val="6B9D6AAA"/>
    <w:rsid w:val="6BA37E39"/>
    <w:rsid w:val="6BA442DD"/>
    <w:rsid w:val="6BA936A1"/>
    <w:rsid w:val="6BBC5C7D"/>
    <w:rsid w:val="6BBD539F"/>
    <w:rsid w:val="6BCF6F7E"/>
    <w:rsid w:val="6BEE5558"/>
    <w:rsid w:val="6BF07522"/>
    <w:rsid w:val="6BFF1AC2"/>
    <w:rsid w:val="6C046B2A"/>
    <w:rsid w:val="6C0549E5"/>
    <w:rsid w:val="6C154B37"/>
    <w:rsid w:val="6C1D408F"/>
    <w:rsid w:val="6C250EBE"/>
    <w:rsid w:val="6C292A34"/>
    <w:rsid w:val="6C2E3D59"/>
    <w:rsid w:val="6C337C4D"/>
    <w:rsid w:val="6C4433CA"/>
    <w:rsid w:val="6C49456A"/>
    <w:rsid w:val="6C494631"/>
    <w:rsid w:val="6C4F2F8E"/>
    <w:rsid w:val="6C682BCF"/>
    <w:rsid w:val="6C682D82"/>
    <w:rsid w:val="6C6D1D91"/>
    <w:rsid w:val="6C711CE5"/>
    <w:rsid w:val="6C755C79"/>
    <w:rsid w:val="6C794641"/>
    <w:rsid w:val="6C845EBC"/>
    <w:rsid w:val="6C884B18"/>
    <w:rsid w:val="6C8A4C53"/>
    <w:rsid w:val="6C922387"/>
    <w:rsid w:val="6C991968"/>
    <w:rsid w:val="6C9C1724"/>
    <w:rsid w:val="6CA125CA"/>
    <w:rsid w:val="6CA34594"/>
    <w:rsid w:val="6CA64085"/>
    <w:rsid w:val="6CBC5B45"/>
    <w:rsid w:val="6CBF4421"/>
    <w:rsid w:val="6CD677BE"/>
    <w:rsid w:val="6CD938B8"/>
    <w:rsid w:val="6CDE737B"/>
    <w:rsid w:val="6CED606E"/>
    <w:rsid w:val="6CF05300"/>
    <w:rsid w:val="6CF14736"/>
    <w:rsid w:val="6CFC0D9E"/>
    <w:rsid w:val="6CFD705D"/>
    <w:rsid w:val="6D1158FA"/>
    <w:rsid w:val="6D20348C"/>
    <w:rsid w:val="6D246EEC"/>
    <w:rsid w:val="6D2620AE"/>
    <w:rsid w:val="6D2C27DC"/>
    <w:rsid w:val="6D3A6B13"/>
    <w:rsid w:val="6D413DAD"/>
    <w:rsid w:val="6D45564C"/>
    <w:rsid w:val="6D471941"/>
    <w:rsid w:val="6D576E7A"/>
    <w:rsid w:val="6D6F091A"/>
    <w:rsid w:val="6D765805"/>
    <w:rsid w:val="6D846E13"/>
    <w:rsid w:val="6D8D463F"/>
    <w:rsid w:val="6D995997"/>
    <w:rsid w:val="6D9A1ED1"/>
    <w:rsid w:val="6DA93E2C"/>
    <w:rsid w:val="6DAF4580"/>
    <w:rsid w:val="6DB4632D"/>
    <w:rsid w:val="6DBF419D"/>
    <w:rsid w:val="6DDF40CC"/>
    <w:rsid w:val="6DE210EC"/>
    <w:rsid w:val="6DE50BDD"/>
    <w:rsid w:val="6DEE183F"/>
    <w:rsid w:val="6E022DB7"/>
    <w:rsid w:val="6E05302D"/>
    <w:rsid w:val="6E080427"/>
    <w:rsid w:val="6E18375C"/>
    <w:rsid w:val="6E23380B"/>
    <w:rsid w:val="6E26547D"/>
    <w:rsid w:val="6E290AC9"/>
    <w:rsid w:val="6E2E4332"/>
    <w:rsid w:val="6E4B6C92"/>
    <w:rsid w:val="6E53312C"/>
    <w:rsid w:val="6E57131F"/>
    <w:rsid w:val="6E596F49"/>
    <w:rsid w:val="6E605F05"/>
    <w:rsid w:val="6E674159"/>
    <w:rsid w:val="6E676007"/>
    <w:rsid w:val="6E71413F"/>
    <w:rsid w:val="6E7F4B8D"/>
    <w:rsid w:val="6E810905"/>
    <w:rsid w:val="6E8C1058"/>
    <w:rsid w:val="6E9A3775"/>
    <w:rsid w:val="6EA506C4"/>
    <w:rsid w:val="6EA939B8"/>
    <w:rsid w:val="6EAB3BD4"/>
    <w:rsid w:val="6EAE0FCF"/>
    <w:rsid w:val="6EB32566"/>
    <w:rsid w:val="6EBA7973"/>
    <w:rsid w:val="6EBC193D"/>
    <w:rsid w:val="6EBF142E"/>
    <w:rsid w:val="6ED074F7"/>
    <w:rsid w:val="6ED578C8"/>
    <w:rsid w:val="6EE3511C"/>
    <w:rsid w:val="6EE64C0C"/>
    <w:rsid w:val="6EEE586F"/>
    <w:rsid w:val="6F0230C8"/>
    <w:rsid w:val="6F084B83"/>
    <w:rsid w:val="6F0C46CB"/>
    <w:rsid w:val="6F155E60"/>
    <w:rsid w:val="6F1C15F4"/>
    <w:rsid w:val="6F2A2D4B"/>
    <w:rsid w:val="6F2B6874"/>
    <w:rsid w:val="6F343BCA"/>
    <w:rsid w:val="6F35349E"/>
    <w:rsid w:val="6F3C27DD"/>
    <w:rsid w:val="6F3E05A4"/>
    <w:rsid w:val="6F413BF1"/>
    <w:rsid w:val="6F4656AB"/>
    <w:rsid w:val="6F573414"/>
    <w:rsid w:val="6F5A2F04"/>
    <w:rsid w:val="6F5F3D96"/>
    <w:rsid w:val="6F606D60"/>
    <w:rsid w:val="6F6079A0"/>
    <w:rsid w:val="6F613157"/>
    <w:rsid w:val="6F675D4D"/>
    <w:rsid w:val="6F6A3147"/>
    <w:rsid w:val="6F72024E"/>
    <w:rsid w:val="6F753DC4"/>
    <w:rsid w:val="6F7E4E45"/>
    <w:rsid w:val="6F80296B"/>
    <w:rsid w:val="6F890B79"/>
    <w:rsid w:val="6F92269E"/>
    <w:rsid w:val="6F984159"/>
    <w:rsid w:val="6F993A2D"/>
    <w:rsid w:val="6FA56875"/>
    <w:rsid w:val="6FAA3FE1"/>
    <w:rsid w:val="6FBD3BBF"/>
    <w:rsid w:val="6FCC3E02"/>
    <w:rsid w:val="6FCE14E4"/>
    <w:rsid w:val="70003AAC"/>
    <w:rsid w:val="700E32C7"/>
    <w:rsid w:val="700E61C9"/>
    <w:rsid w:val="702E686B"/>
    <w:rsid w:val="702F7EED"/>
    <w:rsid w:val="70322C06"/>
    <w:rsid w:val="70405B5C"/>
    <w:rsid w:val="70407FC9"/>
    <w:rsid w:val="70425E72"/>
    <w:rsid w:val="70532E88"/>
    <w:rsid w:val="70545BA6"/>
    <w:rsid w:val="705A16CD"/>
    <w:rsid w:val="705B0CE2"/>
    <w:rsid w:val="705C33D8"/>
    <w:rsid w:val="7060279C"/>
    <w:rsid w:val="70605CE1"/>
    <w:rsid w:val="706978A3"/>
    <w:rsid w:val="707359D8"/>
    <w:rsid w:val="70765B1C"/>
    <w:rsid w:val="70850C8B"/>
    <w:rsid w:val="70966AF0"/>
    <w:rsid w:val="709F32C5"/>
    <w:rsid w:val="70AA3BCB"/>
    <w:rsid w:val="70B65453"/>
    <w:rsid w:val="70BD374B"/>
    <w:rsid w:val="70C60851"/>
    <w:rsid w:val="70CF0227"/>
    <w:rsid w:val="70D07922"/>
    <w:rsid w:val="70D34D1C"/>
    <w:rsid w:val="70DA46D6"/>
    <w:rsid w:val="70E53128"/>
    <w:rsid w:val="70F52EE5"/>
    <w:rsid w:val="70F80C27"/>
    <w:rsid w:val="70F83237"/>
    <w:rsid w:val="71113161"/>
    <w:rsid w:val="71186B73"/>
    <w:rsid w:val="71291B28"/>
    <w:rsid w:val="712D4800"/>
    <w:rsid w:val="713752AB"/>
    <w:rsid w:val="713A4D9B"/>
    <w:rsid w:val="713E297C"/>
    <w:rsid w:val="714670E7"/>
    <w:rsid w:val="715259A5"/>
    <w:rsid w:val="716D33C3"/>
    <w:rsid w:val="716F0649"/>
    <w:rsid w:val="71793B16"/>
    <w:rsid w:val="717B788E"/>
    <w:rsid w:val="718D75C1"/>
    <w:rsid w:val="718E6A4C"/>
    <w:rsid w:val="719721EE"/>
    <w:rsid w:val="71A37FFC"/>
    <w:rsid w:val="71A67EED"/>
    <w:rsid w:val="71A73FEB"/>
    <w:rsid w:val="71B07F9A"/>
    <w:rsid w:val="71B27028"/>
    <w:rsid w:val="71B52674"/>
    <w:rsid w:val="71C34D91"/>
    <w:rsid w:val="71EA0570"/>
    <w:rsid w:val="71F47640"/>
    <w:rsid w:val="71F74040"/>
    <w:rsid w:val="7209768E"/>
    <w:rsid w:val="72181581"/>
    <w:rsid w:val="721A200F"/>
    <w:rsid w:val="72230E8C"/>
    <w:rsid w:val="72253C9E"/>
    <w:rsid w:val="722C2936"/>
    <w:rsid w:val="722D13D1"/>
    <w:rsid w:val="722D7AAC"/>
    <w:rsid w:val="72415A2A"/>
    <w:rsid w:val="72497810"/>
    <w:rsid w:val="724D0AFE"/>
    <w:rsid w:val="72514A93"/>
    <w:rsid w:val="726447C6"/>
    <w:rsid w:val="72664137"/>
    <w:rsid w:val="72667D01"/>
    <w:rsid w:val="726C5429"/>
    <w:rsid w:val="72802C82"/>
    <w:rsid w:val="72952BD1"/>
    <w:rsid w:val="72964253"/>
    <w:rsid w:val="72997E60"/>
    <w:rsid w:val="729A1AD3"/>
    <w:rsid w:val="72A72905"/>
    <w:rsid w:val="72B15531"/>
    <w:rsid w:val="72B21613"/>
    <w:rsid w:val="72B22828"/>
    <w:rsid w:val="72C139C6"/>
    <w:rsid w:val="72C54B39"/>
    <w:rsid w:val="72CE344E"/>
    <w:rsid w:val="72D03C09"/>
    <w:rsid w:val="72E66F89"/>
    <w:rsid w:val="72ED0140"/>
    <w:rsid w:val="72F13F48"/>
    <w:rsid w:val="72FA2A34"/>
    <w:rsid w:val="730176A3"/>
    <w:rsid w:val="730E3E48"/>
    <w:rsid w:val="730E4732"/>
    <w:rsid w:val="732060BD"/>
    <w:rsid w:val="73273B9B"/>
    <w:rsid w:val="73302A16"/>
    <w:rsid w:val="73337CF4"/>
    <w:rsid w:val="733D3045"/>
    <w:rsid w:val="7356781F"/>
    <w:rsid w:val="73577E87"/>
    <w:rsid w:val="735A34D3"/>
    <w:rsid w:val="73626BFE"/>
    <w:rsid w:val="73685BF0"/>
    <w:rsid w:val="7370719A"/>
    <w:rsid w:val="7372069C"/>
    <w:rsid w:val="73867C84"/>
    <w:rsid w:val="73AD10D9"/>
    <w:rsid w:val="73B21561"/>
    <w:rsid w:val="73B40E35"/>
    <w:rsid w:val="73B928EF"/>
    <w:rsid w:val="73C30F94"/>
    <w:rsid w:val="73D47729"/>
    <w:rsid w:val="73D74B24"/>
    <w:rsid w:val="73F249AF"/>
    <w:rsid w:val="73F43927"/>
    <w:rsid w:val="73FF1C70"/>
    <w:rsid w:val="74024296"/>
    <w:rsid w:val="74174C70"/>
    <w:rsid w:val="741C4C2C"/>
    <w:rsid w:val="742171A7"/>
    <w:rsid w:val="74237D69"/>
    <w:rsid w:val="742C1313"/>
    <w:rsid w:val="7431692A"/>
    <w:rsid w:val="743B1556"/>
    <w:rsid w:val="743B50B2"/>
    <w:rsid w:val="74444DB1"/>
    <w:rsid w:val="74455F31"/>
    <w:rsid w:val="745656AF"/>
    <w:rsid w:val="745B670A"/>
    <w:rsid w:val="745B7503"/>
    <w:rsid w:val="746E1D09"/>
    <w:rsid w:val="74842EFD"/>
    <w:rsid w:val="74884070"/>
    <w:rsid w:val="748E727F"/>
    <w:rsid w:val="749173C8"/>
    <w:rsid w:val="749A1E4B"/>
    <w:rsid w:val="749F26E4"/>
    <w:rsid w:val="74A4534E"/>
    <w:rsid w:val="74A50BEC"/>
    <w:rsid w:val="74B51309"/>
    <w:rsid w:val="74CA58AE"/>
    <w:rsid w:val="74CC78E6"/>
    <w:rsid w:val="74D973E1"/>
    <w:rsid w:val="74DA0D6F"/>
    <w:rsid w:val="74DF0134"/>
    <w:rsid w:val="74DF4D01"/>
    <w:rsid w:val="74E017D0"/>
    <w:rsid w:val="74E508BA"/>
    <w:rsid w:val="74E7348C"/>
    <w:rsid w:val="74F02CA9"/>
    <w:rsid w:val="74F33BDF"/>
    <w:rsid w:val="74F7678A"/>
    <w:rsid w:val="74FD5696"/>
    <w:rsid w:val="750C6A4F"/>
    <w:rsid w:val="75295853"/>
    <w:rsid w:val="752B5127"/>
    <w:rsid w:val="75413F45"/>
    <w:rsid w:val="75491A51"/>
    <w:rsid w:val="754D7793"/>
    <w:rsid w:val="755503F6"/>
    <w:rsid w:val="75622B13"/>
    <w:rsid w:val="7565053D"/>
    <w:rsid w:val="756A0118"/>
    <w:rsid w:val="756F711B"/>
    <w:rsid w:val="757212AF"/>
    <w:rsid w:val="75725AC6"/>
    <w:rsid w:val="758331B5"/>
    <w:rsid w:val="758B206A"/>
    <w:rsid w:val="758B3E18"/>
    <w:rsid w:val="759014B8"/>
    <w:rsid w:val="75976C60"/>
    <w:rsid w:val="75987654"/>
    <w:rsid w:val="759C1F4E"/>
    <w:rsid w:val="759C588F"/>
    <w:rsid w:val="75AB0C1D"/>
    <w:rsid w:val="75B643F3"/>
    <w:rsid w:val="75C331E2"/>
    <w:rsid w:val="75D91027"/>
    <w:rsid w:val="75DA08FB"/>
    <w:rsid w:val="75DB55A5"/>
    <w:rsid w:val="75E57C89"/>
    <w:rsid w:val="75F030B8"/>
    <w:rsid w:val="75F145C2"/>
    <w:rsid w:val="75F748A2"/>
    <w:rsid w:val="75F93477"/>
    <w:rsid w:val="76067942"/>
    <w:rsid w:val="76164BEC"/>
    <w:rsid w:val="76191423"/>
    <w:rsid w:val="761B45EA"/>
    <w:rsid w:val="76263B40"/>
    <w:rsid w:val="762F6E99"/>
    <w:rsid w:val="7631229C"/>
    <w:rsid w:val="763444AF"/>
    <w:rsid w:val="7639110C"/>
    <w:rsid w:val="76404C02"/>
    <w:rsid w:val="764566BC"/>
    <w:rsid w:val="76484F6D"/>
    <w:rsid w:val="767A6C75"/>
    <w:rsid w:val="7691545E"/>
    <w:rsid w:val="76AC673B"/>
    <w:rsid w:val="76BD48BF"/>
    <w:rsid w:val="76C43A85"/>
    <w:rsid w:val="76CC0432"/>
    <w:rsid w:val="76D628DA"/>
    <w:rsid w:val="76E533CD"/>
    <w:rsid w:val="76E73992"/>
    <w:rsid w:val="76F21902"/>
    <w:rsid w:val="76F613BD"/>
    <w:rsid w:val="76FF646A"/>
    <w:rsid w:val="770C58F9"/>
    <w:rsid w:val="770C71DA"/>
    <w:rsid w:val="77106CCA"/>
    <w:rsid w:val="77147A9F"/>
    <w:rsid w:val="771C30BE"/>
    <w:rsid w:val="771D2658"/>
    <w:rsid w:val="77512E3F"/>
    <w:rsid w:val="77530965"/>
    <w:rsid w:val="775B5A6C"/>
    <w:rsid w:val="776808B4"/>
    <w:rsid w:val="77703586"/>
    <w:rsid w:val="777F175A"/>
    <w:rsid w:val="778154D2"/>
    <w:rsid w:val="778C35E0"/>
    <w:rsid w:val="779251BE"/>
    <w:rsid w:val="77933457"/>
    <w:rsid w:val="779A6903"/>
    <w:rsid w:val="77AB254F"/>
    <w:rsid w:val="77AE203F"/>
    <w:rsid w:val="77C655DB"/>
    <w:rsid w:val="77C71A27"/>
    <w:rsid w:val="77C93705"/>
    <w:rsid w:val="77D25D2E"/>
    <w:rsid w:val="77D71AEC"/>
    <w:rsid w:val="77DC6BAC"/>
    <w:rsid w:val="77E06906"/>
    <w:rsid w:val="77E93077"/>
    <w:rsid w:val="77ED0DBA"/>
    <w:rsid w:val="780D4FB8"/>
    <w:rsid w:val="78176882"/>
    <w:rsid w:val="7819395D"/>
    <w:rsid w:val="7826132D"/>
    <w:rsid w:val="783B1772"/>
    <w:rsid w:val="783E1615"/>
    <w:rsid w:val="78434E7D"/>
    <w:rsid w:val="784C3D32"/>
    <w:rsid w:val="785D2505"/>
    <w:rsid w:val="785E75C1"/>
    <w:rsid w:val="78623556"/>
    <w:rsid w:val="786D0058"/>
    <w:rsid w:val="786D1EFA"/>
    <w:rsid w:val="786D3CA8"/>
    <w:rsid w:val="78836D0C"/>
    <w:rsid w:val="78915BE9"/>
    <w:rsid w:val="78943932"/>
    <w:rsid w:val="78994327"/>
    <w:rsid w:val="789D11CD"/>
    <w:rsid w:val="789D3206"/>
    <w:rsid w:val="78B673FD"/>
    <w:rsid w:val="78BB0EB8"/>
    <w:rsid w:val="78C45314"/>
    <w:rsid w:val="78CA58AB"/>
    <w:rsid w:val="78D32916"/>
    <w:rsid w:val="78EA4B34"/>
    <w:rsid w:val="78F054CC"/>
    <w:rsid w:val="78FE5FA2"/>
    <w:rsid w:val="79102FB2"/>
    <w:rsid w:val="7922503D"/>
    <w:rsid w:val="792C3B64"/>
    <w:rsid w:val="793547C6"/>
    <w:rsid w:val="793C27A7"/>
    <w:rsid w:val="793C334B"/>
    <w:rsid w:val="793D18CD"/>
    <w:rsid w:val="794744F9"/>
    <w:rsid w:val="794E4B27"/>
    <w:rsid w:val="79501600"/>
    <w:rsid w:val="79515F63"/>
    <w:rsid w:val="7956298E"/>
    <w:rsid w:val="795B1D53"/>
    <w:rsid w:val="79743091"/>
    <w:rsid w:val="79764DDF"/>
    <w:rsid w:val="797A042B"/>
    <w:rsid w:val="7982235E"/>
    <w:rsid w:val="798C015E"/>
    <w:rsid w:val="798D4602"/>
    <w:rsid w:val="79AB780C"/>
    <w:rsid w:val="79B37DE1"/>
    <w:rsid w:val="79BD2A0E"/>
    <w:rsid w:val="79BD47BC"/>
    <w:rsid w:val="79CC49FF"/>
    <w:rsid w:val="79EB1210"/>
    <w:rsid w:val="79EF706B"/>
    <w:rsid w:val="79FF2246"/>
    <w:rsid w:val="7A0B19CB"/>
    <w:rsid w:val="7A124B07"/>
    <w:rsid w:val="7A1856FB"/>
    <w:rsid w:val="7A195E96"/>
    <w:rsid w:val="7A223CEF"/>
    <w:rsid w:val="7A28257D"/>
    <w:rsid w:val="7A2B5BC9"/>
    <w:rsid w:val="7A3C5A92"/>
    <w:rsid w:val="7A6510DB"/>
    <w:rsid w:val="7A680BCB"/>
    <w:rsid w:val="7A721A4A"/>
    <w:rsid w:val="7A792DD8"/>
    <w:rsid w:val="7A7C03CF"/>
    <w:rsid w:val="7A7E1F7D"/>
    <w:rsid w:val="7A8F43AA"/>
    <w:rsid w:val="7A910027"/>
    <w:rsid w:val="7A951295"/>
    <w:rsid w:val="7A9C2623"/>
    <w:rsid w:val="7A9F18C5"/>
    <w:rsid w:val="7AB378AC"/>
    <w:rsid w:val="7ABD0F17"/>
    <w:rsid w:val="7AC676A0"/>
    <w:rsid w:val="7ACA5B43"/>
    <w:rsid w:val="7ACC115A"/>
    <w:rsid w:val="7AD16771"/>
    <w:rsid w:val="7ADD5115"/>
    <w:rsid w:val="7AE04C06"/>
    <w:rsid w:val="7AE61B4F"/>
    <w:rsid w:val="7AE75F94"/>
    <w:rsid w:val="7AF1471D"/>
    <w:rsid w:val="7AF433D5"/>
    <w:rsid w:val="7B0A533F"/>
    <w:rsid w:val="7B1623D5"/>
    <w:rsid w:val="7B1E128A"/>
    <w:rsid w:val="7B203E54"/>
    <w:rsid w:val="7B2335C6"/>
    <w:rsid w:val="7B234AF2"/>
    <w:rsid w:val="7B292109"/>
    <w:rsid w:val="7B3131FD"/>
    <w:rsid w:val="7B353C3B"/>
    <w:rsid w:val="7B5F5B2A"/>
    <w:rsid w:val="7B60182E"/>
    <w:rsid w:val="7B607AF4"/>
    <w:rsid w:val="7B646F86"/>
    <w:rsid w:val="7B6F1AE6"/>
    <w:rsid w:val="7B7A6E08"/>
    <w:rsid w:val="7B825CBD"/>
    <w:rsid w:val="7B8C6B3B"/>
    <w:rsid w:val="7B8E01BE"/>
    <w:rsid w:val="7B9361A0"/>
    <w:rsid w:val="7B95154C"/>
    <w:rsid w:val="7BAE0860"/>
    <w:rsid w:val="7BB045D8"/>
    <w:rsid w:val="7BB101BC"/>
    <w:rsid w:val="7BB5352B"/>
    <w:rsid w:val="7BB77852"/>
    <w:rsid w:val="7BC165D2"/>
    <w:rsid w:val="7BC41AE3"/>
    <w:rsid w:val="7BD007D6"/>
    <w:rsid w:val="7BE23358"/>
    <w:rsid w:val="7BEE6EAE"/>
    <w:rsid w:val="7BFD3595"/>
    <w:rsid w:val="7C1032C9"/>
    <w:rsid w:val="7C2F35AF"/>
    <w:rsid w:val="7C39281F"/>
    <w:rsid w:val="7C4953F6"/>
    <w:rsid w:val="7C4C462A"/>
    <w:rsid w:val="7C5807CC"/>
    <w:rsid w:val="7C646D0F"/>
    <w:rsid w:val="7C6B49A3"/>
    <w:rsid w:val="7C6F6241"/>
    <w:rsid w:val="7C7238DF"/>
    <w:rsid w:val="7C7A4BE6"/>
    <w:rsid w:val="7C7C270C"/>
    <w:rsid w:val="7C8A4E29"/>
    <w:rsid w:val="7C8B6DF3"/>
    <w:rsid w:val="7C9061B7"/>
    <w:rsid w:val="7C922172"/>
    <w:rsid w:val="7C941BC3"/>
    <w:rsid w:val="7C961A20"/>
    <w:rsid w:val="7CC12815"/>
    <w:rsid w:val="7CCA16C9"/>
    <w:rsid w:val="7CCD740C"/>
    <w:rsid w:val="7CD24A22"/>
    <w:rsid w:val="7CE309DD"/>
    <w:rsid w:val="7CEE5FA9"/>
    <w:rsid w:val="7D1172F8"/>
    <w:rsid w:val="7D146DE8"/>
    <w:rsid w:val="7D171171"/>
    <w:rsid w:val="7D1943FF"/>
    <w:rsid w:val="7D1A6423"/>
    <w:rsid w:val="7D225061"/>
    <w:rsid w:val="7D2863F0"/>
    <w:rsid w:val="7D3E3E65"/>
    <w:rsid w:val="7D580A83"/>
    <w:rsid w:val="7D5D078F"/>
    <w:rsid w:val="7D76142E"/>
    <w:rsid w:val="7D7B29C4"/>
    <w:rsid w:val="7D7D04EA"/>
    <w:rsid w:val="7D807FDA"/>
    <w:rsid w:val="7D8A6799"/>
    <w:rsid w:val="7D92777B"/>
    <w:rsid w:val="7D943A85"/>
    <w:rsid w:val="7DA41F1A"/>
    <w:rsid w:val="7DA63EE4"/>
    <w:rsid w:val="7DAC4A5D"/>
    <w:rsid w:val="7DB959F1"/>
    <w:rsid w:val="7DBC3708"/>
    <w:rsid w:val="7DC612E7"/>
    <w:rsid w:val="7DCF00A4"/>
    <w:rsid w:val="7DD24CD9"/>
    <w:rsid w:val="7DD56578"/>
    <w:rsid w:val="7DD6409E"/>
    <w:rsid w:val="7DDF6B22"/>
    <w:rsid w:val="7DE440D5"/>
    <w:rsid w:val="7DEB5D9B"/>
    <w:rsid w:val="7E014CE8"/>
    <w:rsid w:val="7E0155BF"/>
    <w:rsid w:val="7E05035A"/>
    <w:rsid w:val="7E092BAE"/>
    <w:rsid w:val="7E10135E"/>
    <w:rsid w:val="7E243734"/>
    <w:rsid w:val="7E265025"/>
    <w:rsid w:val="7E374613"/>
    <w:rsid w:val="7E3F5D3B"/>
    <w:rsid w:val="7E4E1E86"/>
    <w:rsid w:val="7E631DD5"/>
    <w:rsid w:val="7E6A0480"/>
    <w:rsid w:val="7E6A6551"/>
    <w:rsid w:val="7E766B58"/>
    <w:rsid w:val="7E8104AE"/>
    <w:rsid w:val="7E8D0C00"/>
    <w:rsid w:val="7E8F2BCB"/>
    <w:rsid w:val="7E913500"/>
    <w:rsid w:val="7E9A0244"/>
    <w:rsid w:val="7EA83C8C"/>
    <w:rsid w:val="7EAF15B4"/>
    <w:rsid w:val="7EB20667"/>
    <w:rsid w:val="7EB405D2"/>
    <w:rsid w:val="7EC42AA8"/>
    <w:rsid w:val="7ECF2FC7"/>
    <w:rsid w:val="7EDB3F5C"/>
    <w:rsid w:val="7EE73B99"/>
    <w:rsid w:val="7F0709B3"/>
    <w:rsid w:val="7F0F1615"/>
    <w:rsid w:val="7F160F28"/>
    <w:rsid w:val="7F1B454B"/>
    <w:rsid w:val="7F3948E4"/>
    <w:rsid w:val="7F435763"/>
    <w:rsid w:val="7F544CC1"/>
    <w:rsid w:val="7F5C05D3"/>
    <w:rsid w:val="7F671451"/>
    <w:rsid w:val="7F6F6F24"/>
    <w:rsid w:val="7F741DC0"/>
    <w:rsid w:val="7F7D6EC7"/>
    <w:rsid w:val="7F9164CE"/>
    <w:rsid w:val="7F920735"/>
    <w:rsid w:val="7F923FF5"/>
    <w:rsid w:val="7F964BF5"/>
    <w:rsid w:val="7FA501CC"/>
    <w:rsid w:val="7FAD6673"/>
    <w:rsid w:val="7FBC3695"/>
    <w:rsid w:val="7FC20EA6"/>
    <w:rsid w:val="7FC73DF9"/>
    <w:rsid w:val="7FCB0AD3"/>
    <w:rsid w:val="7FCB5C3F"/>
    <w:rsid w:val="7FD0349B"/>
    <w:rsid w:val="7FD44D5A"/>
    <w:rsid w:val="7FD75309"/>
    <w:rsid w:val="7FE31449"/>
    <w:rsid w:val="7FEB35DB"/>
    <w:rsid w:val="7FEC5DFB"/>
    <w:rsid w:val="7FFA5B17"/>
    <w:rsid w:val="7FFC42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semiHidden="0" w:name="table of authorities"/>
    <w:lsdException w:uiPriority="0" w:name="macro"/>
    <w:lsdException w:qFormat="1"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semiHidden="0" w:name="List Continue 2"/>
    <w:lsdException w:uiPriority="0" w:semiHidden="0" w:name="List Continue 3"/>
    <w:lsdException w:uiPriority="0" w:semiHidden="0" w:name="List Continue 4"/>
    <w:lsdException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qFormat="1" w:unhideWhenUsed="0" w:uiPriority="0" w:semiHidden="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5">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2"/>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8"/>
    <w:link w:val="53"/>
    <w:qFormat/>
    <w:uiPriority w:val="0"/>
    <w:pPr>
      <w:keepNext/>
      <w:keepLines/>
      <w:tabs>
        <w:tab w:val="left" w:pos="720"/>
      </w:tabs>
      <w:spacing w:before="260" w:afterLines="50" w:line="416" w:lineRule="auto"/>
      <w:ind w:left="720" w:hanging="720"/>
      <w:outlineLvl w:val="2"/>
    </w:pPr>
    <w:rPr>
      <w:rFonts w:ascii="Arial" w:hAnsi="Arial" w:eastAsia="黑体" w:cs="宋体"/>
      <w:color w:val="000000"/>
      <w:spacing w:val="20"/>
      <w:kern w:val="0"/>
      <w:sz w:val="30"/>
      <w:szCs w:val="32"/>
    </w:rPr>
  </w:style>
  <w:style w:type="paragraph" w:styleId="9">
    <w:name w:val="heading 4"/>
    <w:basedOn w:val="1"/>
    <w:next w:val="8"/>
    <w:link w:val="55"/>
    <w:qFormat/>
    <w:uiPriority w:val="0"/>
    <w:pPr>
      <w:keepNext/>
      <w:keepLines/>
      <w:tabs>
        <w:tab w:val="left" w:pos="1079"/>
      </w:tabs>
      <w:spacing w:before="280" w:afterLines="50" w:line="377" w:lineRule="auto"/>
      <w:ind w:left="1077" w:hanging="1077"/>
      <w:outlineLvl w:val="3"/>
    </w:pPr>
    <w:rPr>
      <w:rFonts w:ascii="Arial" w:hAnsi="Arial" w:eastAsia="黑体" w:cs="宋体"/>
      <w:color w:val="000000"/>
      <w:spacing w:val="10"/>
      <w:kern w:val="0"/>
      <w:sz w:val="28"/>
      <w:szCs w:val="28"/>
    </w:rPr>
  </w:style>
  <w:style w:type="paragraph" w:styleId="10">
    <w:name w:val="heading 5"/>
    <w:basedOn w:val="1"/>
    <w:next w:val="8"/>
    <w:link w:val="56"/>
    <w:qFormat/>
    <w:uiPriority w:val="0"/>
    <w:pPr>
      <w:keepNext/>
      <w:keepLines/>
      <w:tabs>
        <w:tab w:val="left" w:pos="1260"/>
      </w:tabs>
      <w:spacing w:before="280" w:afterLines="50" w:line="377" w:lineRule="auto"/>
      <w:ind w:left="1259" w:hanging="1259"/>
      <w:outlineLvl w:val="4"/>
    </w:pPr>
    <w:rPr>
      <w:rFonts w:ascii="Arial" w:hAnsi="Arial" w:eastAsia="黑体" w:cs="宋体"/>
      <w:color w:val="000000"/>
      <w:spacing w:val="10"/>
      <w:kern w:val="0"/>
      <w:sz w:val="28"/>
      <w:szCs w:val="28"/>
    </w:rPr>
  </w:style>
  <w:style w:type="paragraph" w:styleId="11">
    <w:name w:val="heading 6"/>
    <w:basedOn w:val="1"/>
    <w:next w:val="8"/>
    <w:link w:val="57"/>
    <w:qFormat/>
    <w:uiPriority w:val="0"/>
    <w:pPr>
      <w:keepNext/>
      <w:keepLines/>
      <w:tabs>
        <w:tab w:val="left" w:pos="1428"/>
      </w:tabs>
      <w:spacing w:before="240" w:afterLines="50" w:line="319" w:lineRule="auto"/>
      <w:ind w:left="550" w:hanging="550" w:hangingChars="550"/>
      <w:outlineLvl w:val="5"/>
    </w:pPr>
    <w:rPr>
      <w:rFonts w:ascii="Arial" w:hAnsi="Arial" w:eastAsia="黑体" w:cs="宋体"/>
      <w:color w:val="000000"/>
      <w:spacing w:val="10"/>
      <w:kern w:val="0"/>
      <w:sz w:val="24"/>
      <w:szCs w:val="21"/>
    </w:rPr>
  </w:style>
  <w:style w:type="paragraph" w:styleId="12">
    <w:name w:val="heading 7"/>
    <w:basedOn w:val="1"/>
    <w:next w:val="8"/>
    <w:link w:val="58"/>
    <w:qFormat/>
    <w:uiPriority w:val="0"/>
    <w:pPr>
      <w:keepNext/>
      <w:keepLines/>
      <w:tabs>
        <w:tab w:val="left" w:pos="1638"/>
      </w:tabs>
      <w:spacing w:before="240" w:afterLines="50" w:line="319" w:lineRule="auto"/>
      <w:ind w:left="1633" w:hanging="1633"/>
      <w:outlineLvl w:val="6"/>
    </w:pPr>
    <w:rPr>
      <w:rFonts w:ascii="Arial" w:hAnsi="Arial" w:eastAsia="黑体" w:cs="宋体"/>
      <w:color w:val="000000"/>
      <w:kern w:val="0"/>
      <w:sz w:val="24"/>
      <w:szCs w:val="21"/>
    </w:rPr>
  </w:style>
  <w:style w:type="paragraph" w:styleId="13">
    <w:name w:val="heading 8"/>
    <w:basedOn w:val="1"/>
    <w:next w:val="8"/>
    <w:link w:val="59"/>
    <w:qFormat/>
    <w:uiPriority w:val="0"/>
    <w:pPr>
      <w:keepNext/>
      <w:keepLines/>
      <w:tabs>
        <w:tab w:val="left" w:pos="1800"/>
      </w:tabs>
      <w:spacing w:before="240" w:afterLines="50" w:line="319" w:lineRule="auto"/>
      <w:ind w:left="1797" w:hanging="1797"/>
      <w:outlineLvl w:val="7"/>
    </w:pPr>
    <w:rPr>
      <w:rFonts w:ascii="Arial" w:hAnsi="Arial" w:eastAsia="黑体" w:cs="宋体"/>
      <w:b/>
      <w:bCs/>
      <w:color w:val="000000"/>
      <w:kern w:val="0"/>
      <w:sz w:val="24"/>
      <w:szCs w:val="21"/>
    </w:rPr>
  </w:style>
  <w:style w:type="paragraph" w:styleId="14">
    <w:name w:val="heading 9"/>
    <w:basedOn w:val="1"/>
    <w:next w:val="8"/>
    <w:link w:val="60"/>
    <w:qFormat/>
    <w:uiPriority w:val="0"/>
    <w:pPr>
      <w:keepNext/>
      <w:keepLines/>
      <w:tabs>
        <w:tab w:val="left" w:pos="1980"/>
      </w:tabs>
      <w:spacing w:before="240" w:afterLines="50" w:line="319" w:lineRule="auto"/>
      <w:ind w:left="1979" w:hanging="1979"/>
      <w:outlineLvl w:val="8"/>
    </w:pPr>
    <w:rPr>
      <w:rFonts w:ascii="Arial" w:hAnsi="Arial" w:eastAsia="黑体" w:cs="宋体"/>
      <w:b/>
      <w:bCs/>
      <w:color w:val="000000"/>
      <w:kern w:val="0"/>
      <w:szCs w:val="21"/>
    </w:rPr>
  </w:style>
  <w:style w:type="character" w:default="1" w:styleId="43">
    <w:name w:val="Default Paragraph Font"/>
    <w:unhideWhenUsed/>
    <w:qFormat/>
    <w:uiPriority w:val="1"/>
  </w:style>
  <w:style w:type="table" w:default="1" w:styleId="41">
    <w:name w:val="Normal Table"/>
    <w:unhideWhenUsed/>
    <w:qFormat/>
    <w:uiPriority w:val="99"/>
    <w:tblPr>
      <w:tblStyle w:val="41"/>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next w:val="4"/>
    <w:qFormat/>
    <w:uiPriority w:val="0"/>
    <w:pPr>
      <w:ind w:firstLine="420" w:firstLineChars="100"/>
    </w:pPr>
  </w:style>
  <w:style w:type="paragraph" w:styleId="4">
    <w:name w:val="toc 6"/>
    <w:basedOn w:val="1"/>
    <w:next w:val="1"/>
    <w:qFormat/>
    <w:uiPriority w:val="0"/>
    <w:pPr>
      <w:ind w:left="2100" w:leftChars="1000"/>
    </w:pPr>
    <w:rPr>
      <w:rFonts w:ascii="仿宋_GB2312" w:hAnsi="宋体" w:eastAsia="仿宋_GB2312" w:cs="宋体"/>
      <w:b/>
      <w:bCs/>
      <w:color w:val="000000"/>
      <w:kern w:val="0"/>
      <w:szCs w:val="21"/>
    </w:rPr>
  </w:style>
  <w:style w:type="paragraph" w:styleId="8">
    <w:name w:val="Normal Indent"/>
    <w:basedOn w:val="1"/>
    <w:link w:val="54"/>
    <w:qFormat/>
    <w:uiPriority w:val="0"/>
    <w:pPr>
      <w:ind w:firstLine="420" w:firstLineChars="200"/>
    </w:pPr>
    <w:rPr>
      <w:rFonts w:ascii="仿宋_GB2312" w:hAnsi="宋体" w:eastAsia="仿宋_GB2312" w:cs="宋体"/>
      <w:b/>
      <w:bCs/>
      <w:color w:val="000000"/>
      <w:kern w:val="0"/>
      <w:szCs w:val="21"/>
    </w:rPr>
  </w:style>
  <w:style w:type="paragraph" w:styleId="15">
    <w:name w:val="caption"/>
    <w:basedOn w:val="1"/>
    <w:next w:val="1"/>
    <w:qFormat/>
    <w:uiPriority w:val="0"/>
    <w:rPr>
      <w:rFonts w:ascii="Arial" w:hAnsi="Arial" w:eastAsia="黑体" w:cs="Arial"/>
      <w:color w:val="000000"/>
      <w:kern w:val="1"/>
      <w:sz w:val="20"/>
      <w:szCs w:val="20"/>
    </w:rPr>
  </w:style>
  <w:style w:type="paragraph" w:styleId="16">
    <w:name w:val="List Bullet"/>
    <w:basedOn w:val="1"/>
    <w:qFormat/>
    <w:uiPriority w:val="0"/>
    <w:pPr>
      <w:spacing w:line="360" w:lineRule="auto"/>
    </w:pPr>
    <w:rPr>
      <w:rFonts w:ascii="宋体" w:hAnsi="宋体"/>
      <w:sz w:val="20"/>
      <w:szCs w:val="20"/>
    </w:rPr>
  </w:style>
  <w:style w:type="paragraph" w:styleId="17">
    <w:name w:val="Document Map"/>
    <w:basedOn w:val="1"/>
    <w:link w:val="61"/>
    <w:semiHidden/>
    <w:qFormat/>
    <w:uiPriority w:val="0"/>
    <w:pPr>
      <w:shd w:val="clear" w:color="auto" w:fill="000080"/>
    </w:pPr>
  </w:style>
  <w:style w:type="paragraph" w:styleId="18">
    <w:name w:val="annotation text"/>
    <w:basedOn w:val="1"/>
    <w:link w:val="62"/>
    <w:unhideWhenUsed/>
    <w:qFormat/>
    <w:uiPriority w:val="0"/>
    <w:pPr>
      <w:jc w:val="left"/>
    </w:pPr>
  </w:style>
  <w:style w:type="paragraph" w:styleId="19">
    <w:name w:val="Body Text Indent"/>
    <w:basedOn w:val="1"/>
    <w:qFormat/>
    <w:uiPriority w:val="0"/>
    <w:pPr>
      <w:ind w:left="480" w:hanging="480" w:hangingChars="200"/>
    </w:pPr>
    <w:rPr>
      <w:sz w:val="24"/>
    </w:rPr>
  </w:style>
  <w:style w:type="paragraph" w:styleId="20">
    <w:name w:val="List Number 3"/>
    <w:basedOn w:val="1"/>
    <w:qFormat/>
    <w:uiPriority w:val="0"/>
    <w:pPr>
      <w:widowControl/>
      <w:tabs>
        <w:tab w:val="left" w:pos="2260"/>
      </w:tabs>
      <w:spacing w:afterLines="50"/>
      <w:ind w:left="2260" w:hanging="340"/>
      <w:jc w:val="left"/>
    </w:pPr>
    <w:rPr>
      <w:kern w:val="0"/>
      <w:sz w:val="24"/>
      <w:szCs w:val="20"/>
    </w:rPr>
  </w:style>
  <w:style w:type="paragraph" w:styleId="21">
    <w:name w:val="List Continue"/>
    <w:basedOn w:val="1"/>
    <w:qFormat/>
    <w:uiPriority w:val="0"/>
    <w:pPr>
      <w:spacing w:after="120"/>
      <w:ind w:left="420"/>
    </w:pPr>
    <w:rPr>
      <w:rFonts w:eastAsia="楷体_GB2312"/>
      <w:sz w:val="32"/>
      <w:szCs w:val="20"/>
    </w:rPr>
  </w:style>
  <w:style w:type="paragraph" w:styleId="22">
    <w:name w:val="Block Text"/>
    <w:basedOn w:val="1"/>
    <w:qFormat/>
    <w:uiPriority w:val="0"/>
    <w:pPr>
      <w:spacing w:after="120"/>
      <w:ind w:left="1440" w:leftChars="700" w:right="1440" w:rightChars="700"/>
    </w:pPr>
    <w:rPr>
      <w:szCs w:val="22"/>
    </w:rPr>
  </w:style>
  <w:style w:type="paragraph" w:styleId="23">
    <w:name w:val="toc 3"/>
    <w:basedOn w:val="1"/>
    <w:next w:val="1"/>
    <w:semiHidden/>
    <w:qFormat/>
    <w:uiPriority w:val="0"/>
    <w:pPr>
      <w:tabs>
        <w:tab w:val="right" w:leader="dot" w:pos="8777"/>
      </w:tabs>
      <w:spacing w:line="500" w:lineRule="atLeast"/>
      <w:ind w:left="540" w:leftChars="257"/>
    </w:pPr>
  </w:style>
  <w:style w:type="paragraph" w:styleId="24">
    <w:name w:val="Plain Text"/>
    <w:basedOn w:val="1"/>
    <w:next w:val="1"/>
    <w:link w:val="63"/>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5">
    <w:name w:val="Date"/>
    <w:basedOn w:val="1"/>
    <w:next w:val="1"/>
    <w:link w:val="64"/>
    <w:qFormat/>
    <w:uiPriority w:val="0"/>
    <w:pPr>
      <w:ind w:left="100" w:leftChars="2500"/>
    </w:pPr>
    <w:rPr>
      <w:rFonts w:ascii="仿宋_GB2312" w:hAnsi="宋体" w:eastAsia="仿宋_GB2312" w:cs="宋体"/>
      <w:b/>
      <w:bCs/>
      <w:color w:val="000000"/>
      <w:kern w:val="0"/>
      <w:sz w:val="24"/>
      <w:szCs w:val="21"/>
    </w:rPr>
  </w:style>
  <w:style w:type="paragraph" w:styleId="26">
    <w:name w:val="Body Text Indent 2"/>
    <w:basedOn w:val="1"/>
    <w:link w:val="65"/>
    <w:qFormat/>
    <w:uiPriority w:val="0"/>
    <w:pPr>
      <w:widowControl/>
      <w:spacing w:line="480" w:lineRule="atLeast"/>
      <w:ind w:firstLine="480"/>
    </w:pPr>
    <w:rPr>
      <w:rFonts w:ascii="宋体" w:hAnsi="宋体" w:eastAsia="仿宋_GB2312"/>
      <w:b/>
      <w:bCs/>
      <w:color w:val="000000"/>
      <w:kern w:val="0"/>
      <w:sz w:val="24"/>
      <w:szCs w:val="20"/>
    </w:rPr>
  </w:style>
  <w:style w:type="paragraph" w:styleId="27">
    <w:name w:val="Balloon Text"/>
    <w:basedOn w:val="1"/>
    <w:semiHidden/>
    <w:qFormat/>
    <w:uiPriority w:val="0"/>
    <w:rPr>
      <w:sz w:val="18"/>
      <w:szCs w:val="18"/>
    </w:rPr>
  </w:style>
  <w:style w:type="paragraph" w:styleId="28">
    <w:name w:val="footer"/>
    <w:basedOn w:val="1"/>
    <w:link w:val="66"/>
    <w:qFormat/>
    <w:uiPriority w:val="0"/>
    <w:pPr>
      <w:tabs>
        <w:tab w:val="center" w:pos="4153"/>
        <w:tab w:val="right" w:pos="8306"/>
      </w:tabs>
      <w:snapToGrid w:val="0"/>
      <w:jc w:val="left"/>
    </w:pPr>
    <w:rPr>
      <w:sz w:val="18"/>
      <w:szCs w:val="18"/>
    </w:rPr>
  </w:style>
  <w:style w:type="paragraph" w:styleId="29">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777"/>
      </w:tabs>
      <w:spacing w:line="500" w:lineRule="exact"/>
      <w:jc w:val="left"/>
    </w:pPr>
  </w:style>
  <w:style w:type="paragraph" w:styleId="31">
    <w:name w:val="Subtitle"/>
    <w:basedOn w:val="1"/>
    <w:next w:val="1"/>
    <w:link w:val="68"/>
    <w:qFormat/>
    <w:uiPriority w:val="0"/>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ind w:left="420" w:hanging="420"/>
    </w:pPr>
    <w:rPr>
      <w:rFonts w:eastAsia="楷体_GB2312"/>
      <w:sz w:val="32"/>
      <w:szCs w:val="20"/>
    </w:rPr>
  </w:style>
  <w:style w:type="paragraph" w:styleId="33">
    <w:name w:val="footnote text"/>
    <w:basedOn w:val="1"/>
    <w:link w:val="69"/>
    <w:qFormat/>
    <w:uiPriority w:val="0"/>
    <w:pPr>
      <w:snapToGrid w:val="0"/>
      <w:jc w:val="left"/>
    </w:pPr>
    <w:rPr>
      <w:sz w:val="18"/>
    </w:rPr>
  </w:style>
  <w:style w:type="paragraph" w:styleId="34">
    <w:name w:val="Body Text Indent 3"/>
    <w:basedOn w:val="1"/>
    <w:link w:val="70"/>
    <w:qFormat/>
    <w:uiPriority w:val="0"/>
    <w:pPr>
      <w:spacing w:after="120"/>
      <w:ind w:left="420" w:leftChars="200"/>
    </w:pPr>
    <w:rPr>
      <w:rFonts w:ascii="仿宋_GB2312" w:hAnsi="宋体" w:eastAsia="仿宋_GB2312" w:cs="宋体"/>
      <w:b/>
      <w:bCs/>
      <w:color w:val="000000"/>
      <w:kern w:val="0"/>
      <w:sz w:val="16"/>
      <w:szCs w:val="16"/>
    </w:rPr>
  </w:style>
  <w:style w:type="paragraph" w:styleId="35">
    <w:name w:val="toc 2"/>
    <w:basedOn w:val="1"/>
    <w:next w:val="1"/>
    <w:qFormat/>
    <w:uiPriority w:val="39"/>
    <w:pPr>
      <w:tabs>
        <w:tab w:val="right" w:leader="dot" w:pos="8777"/>
      </w:tabs>
      <w:spacing w:line="500" w:lineRule="atLeast"/>
      <w:ind w:left="420" w:leftChars="200" w:firstLine="120" w:firstLineChars="50"/>
    </w:pPr>
  </w:style>
  <w:style w:type="paragraph" w:styleId="36">
    <w:name w:val="Body Text 2"/>
    <w:basedOn w:val="1"/>
    <w:link w:val="71"/>
    <w:qFormat/>
    <w:uiPriority w:val="0"/>
    <w:pPr>
      <w:spacing w:after="120" w:line="480" w:lineRule="auto"/>
    </w:pPr>
  </w:style>
  <w:style w:type="paragraph" w:styleId="37">
    <w:name w:val="HTML Preformatted"/>
    <w:basedOn w:val="1"/>
    <w:link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8">
    <w:name w:val="Normal (Web)"/>
    <w:basedOn w:val="1"/>
    <w:link w:val="73"/>
    <w:unhideWhenUsed/>
    <w:qFormat/>
    <w:uiPriority w:val="0"/>
    <w:pPr>
      <w:widowControl/>
      <w:spacing w:before="100" w:beforeAutospacing="1" w:after="100" w:afterAutospacing="1"/>
      <w:jc w:val="left"/>
    </w:pPr>
    <w:rPr>
      <w:rFonts w:ascii="宋体" w:hAnsi="宋体"/>
      <w:kern w:val="0"/>
      <w:sz w:val="24"/>
    </w:rPr>
  </w:style>
  <w:style w:type="paragraph" w:styleId="39">
    <w:name w:val="Title"/>
    <w:basedOn w:val="1"/>
    <w:next w:val="1"/>
    <w:link w:val="74"/>
    <w:qFormat/>
    <w:uiPriority w:val="0"/>
    <w:pPr>
      <w:spacing w:before="240" w:after="60"/>
      <w:jc w:val="center"/>
      <w:outlineLvl w:val="0"/>
    </w:pPr>
    <w:rPr>
      <w:rFonts w:ascii="Cambria" w:hAnsi="Cambria"/>
      <w:b/>
      <w:bCs/>
      <w:sz w:val="32"/>
      <w:szCs w:val="32"/>
    </w:rPr>
  </w:style>
  <w:style w:type="paragraph" w:styleId="40">
    <w:name w:val="annotation subject"/>
    <w:basedOn w:val="18"/>
    <w:next w:val="18"/>
    <w:link w:val="75"/>
    <w:unhideWhenUsed/>
    <w:qFormat/>
    <w:uiPriority w:val="0"/>
    <w:rPr>
      <w:b/>
      <w:bCs/>
    </w:rPr>
  </w:style>
  <w:style w:type="table" w:styleId="42">
    <w:name w:val="Table Grid"/>
    <w:basedOn w:val="41"/>
    <w:qFormat/>
    <w:uiPriority w:val="0"/>
    <w:pPr>
      <w:widowControl w:val="0"/>
      <w:jc w:val="both"/>
    </w:pPr>
    <w:tblPr>
      <w:tblStyle w:val="4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Emphasis"/>
    <w:basedOn w:val="43"/>
    <w:qFormat/>
    <w:uiPriority w:val="0"/>
    <w:rPr>
      <w:i/>
      <w:iCs/>
    </w:rPr>
  </w:style>
  <w:style w:type="character" w:styleId="48">
    <w:name w:val="Hyperlink"/>
    <w:basedOn w:val="43"/>
    <w:qFormat/>
    <w:uiPriority w:val="99"/>
    <w:rPr>
      <w:color w:val="0000FF"/>
      <w:u w:val="single"/>
    </w:rPr>
  </w:style>
  <w:style w:type="character" w:styleId="49">
    <w:name w:val="annotation reference"/>
    <w:basedOn w:val="43"/>
    <w:unhideWhenUsed/>
    <w:qFormat/>
    <w:uiPriority w:val="0"/>
    <w:rPr>
      <w:sz w:val="21"/>
      <w:szCs w:val="21"/>
    </w:rPr>
  </w:style>
  <w:style w:type="character" w:styleId="50">
    <w:name w:val="HTML Keyboard"/>
    <w:qFormat/>
    <w:uiPriority w:val="0"/>
    <w:rPr>
      <w:rFonts w:ascii="monospace" w:hAnsi="monospace" w:eastAsia="monospace" w:cs="monospace"/>
      <w:sz w:val="21"/>
      <w:szCs w:val="21"/>
    </w:rPr>
  </w:style>
  <w:style w:type="character" w:customStyle="1" w:styleId="51">
    <w:name w:val="标题 1 Char"/>
    <w:link w:val="5"/>
    <w:qFormat/>
    <w:uiPriority w:val="0"/>
    <w:rPr>
      <w:b/>
      <w:bCs/>
      <w:kern w:val="44"/>
      <w:sz w:val="44"/>
      <w:szCs w:val="44"/>
    </w:rPr>
  </w:style>
  <w:style w:type="character" w:customStyle="1" w:styleId="52">
    <w:name w:val="标题 2 Char"/>
    <w:basedOn w:val="43"/>
    <w:link w:val="6"/>
    <w:qFormat/>
    <w:uiPriority w:val="0"/>
    <w:rPr>
      <w:rFonts w:ascii="Arial" w:hAnsi="Arial" w:eastAsia="黑体"/>
      <w:b/>
      <w:bCs/>
      <w:kern w:val="2"/>
      <w:sz w:val="32"/>
      <w:szCs w:val="32"/>
    </w:rPr>
  </w:style>
  <w:style w:type="character" w:customStyle="1" w:styleId="53">
    <w:name w:val="标题 3 Char"/>
    <w:basedOn w:val="43"/>
    <w:link w:val="7"/>
    <w:qFormat/>
    <w:uiPriority w:val="0"/>
    <w:rPr>
      <w:rFonts w:ascii="Arial" w:hAnsi="Arial" w:eastAsia="黑体" w:cs="宋体"/>
      <w:color w:val="000000"/>
      <w:spacing w:val="20"/>
      <w:sz w:val="30"/>
      <w:szCs w:val="32"/>
    </w:rPr>
  </w:style>
  <w:style w:type="character" w:customStyle="1" w:styleId="54">
    <w:name w:val="正文缩进 Char"/>
    <w:link w:val="8"/>
    <w:qFormat/>
    <w:uiPriority w:val="0"/>
    <w:rPr>
      <w:rFonts w:ascii="仿宋_GB2312" w:hAnsi="宋体" w:eastAsia="仿宋_GB2312" w:cs="宋体"/>
      <w:b/>
      <w:bCs/>
      <w:color w:val="000000"/>
      <w:sz w:val="21"/>
      <w:szCs w:val="21"/>
      <w:lang w:val="en-US" w:eastAsia="zh-CN" w:bidi="ar-SA"/>
    </w:rPr>
  </w:style>
  <w:style w:type="character" w:customStyle="1" w:styleId="55">
    <w:name w:val="标题 4 Char"/>
    <w:basedOn w:val="43"/>
    <w:link w:val="9"/>
    <w:qFormat/>
    <w:uiPriority w:val="0"/>
    <w:rPr>
      <w:rFonts w:ascii="Arial" w:hAnsi="Arial" w:eastAsia="黑体" w:cs="宋体"/>
      <w:color w:val="000000"/>
      <w:spacing w:val="10"/>
      <w:sz w:val="28"/>
      <w:szCs w:val="28"/>
    </w:rPr>
  </w:style>
  <w:style w:type="character" w:customStyle="1" w:styleId="56">
    <w:name w:val="标题 5 Char"/>
    <w:basedOn w:val="43"/>
    <w:link w:val="10"/>
    <w:qFormat/>
    <w:uiPriority w:val="0"/>
    <w:rPr>
      <w:rFonts w:ascii="Arial" w:hAnsi="Arial" w:eastAsia="黑体" w:cs="宋体"/>
      <w:color w:val="000000"/>
      <w:spacing w:val="10"/>
      <w:sz w:val="28"/>
      <w:szCs w:val="28"/>
    </w:rPr>
  </w:style>
  <w:style w:type="character" w:customStyle="1" w:styleId="57">
    <w:name w:val="标题 6 Char"/>
    <w:basedOn w:val="43"/>
    <w:link w:val="11"/>
    <w:qFormat/>
    <w:uiPriority w:val="0"/>
    <w:rPr>
      <w:rFonts w:ascii="Arial" w:hAnsi="Arial" w:eastAsia="黑体" w:cs="宋体"/>
      <w:color w:val="000000"/>
      <w:spacing w:val="10"/>
      <w:sz w:val="24"/>
      <w:szCs w:val="21"/>
    </w:rPr>
  </w:style>
  <w:style w:type="character" w:customStyle="1" w:styleId="58">
    <w:name w:val="标题 7 Char"/>
    <w:basedOn w:val="43"/>
    <w:link w:val="12"/>
    <w:qFormat/>
    <w:uiPriority w:val="0"/>
    <w:rPr>
      <w:rFonts w:ascii="Arial" w:hAnsi="Arial" w:eastAsia="黑体" w:cs="宋体"/>
      <w:color w:val="000000"/>
      <w:sz w:val="24"/>
      <w:szCs w:val="21"/>
    </w:rPr>
  </w:style>
  <w:style w:type="character" w:customStyle="1" w:styleId="59">
    <w:name w:val="标题 8 Char"/>
    <w:basedOn w:val="43"/>
    <w:link w:val="13"/>
    <w:qFormat/>
    <w:uiPriority w:val="0"/>
    <w:rPr>
      <w:rFonts w:ascii="Arial" w:hAnsi="Arial" w:eastAsia="黑体" w:cs="宋体"/>
      <w:b/>
      <w:bCs/>
      <w:color w:val="000000"/>
      <w:sz w:val="24"/>
      <w:szCs w:val="21"/>
    </w:rPr>
  </w:style>
  <w:style w:type="character" w:customStyle="1" w:styleId="60">
    <w:name w:val="标题 9 Char"/>
    <w:basedOn w:val="43"/>
    <w:link w:val="14"/>
    <w:qFormat/>
    <w:uiPriority w:val="0"/>
    <w:rPr>
      <w:rFonts w:ascii="Arial" w:hAnsi="Arial" w:eastAsia="黑体" w:cs="宋体"/>
      <w:b/>
      <w:bCs/>
      <w:color w:val="000000"/>
      <w:sz w:val="21"/>
      <w:szCs w:val="21"/>
    </w:rPr>
  </w:style>
  <w:style w:type="character" w:customStyle="1" w:styleId="61">
    <w:name w:val="文档结构图 Char"/>
    <w:basedOn w:val="43"/>
    <w:link w:val="17"/>
    <w:semiHidden/>
    <w:qFormat/>
    <w:uiPriority w:val="0"/>
    <w:rPr>
      <w:kern w:val="2"/>
      <w:sz w:val="21"/>
      <w:szCs w:val="24"/>
      <w:shd w:val="clear" w:color="auto" w:fill="000080"/>
    </w:rPr>
  </w:style>
  <w:style w:type="character" w:customStyle="1" w:styleId="62">
    <w:name w:val="批注文字 Char"/>
    <w:basedOn w:val="43"/>
    <w:link w:val="18"/>
    <w:semiHidden/>
    <w:qFormat/>
    <w:uiPriority w:val="0"/>
    <w:rPr>
      <w:kern w:val="2"/>
      <w:sz w:val="21"/>
      <w:szCs w:val="24"/>
    </w:rPr>
  </w:style>
  <w:style w:type="character" w:customStyle="1" w:styleId="63">
    <w:name w:val="纯文本 Char"/>
    <w:link w:val="24"/>
    <w:qFormat/>
    <w:uiPriority w:val="0"/>
    <w:rPr>
      <w:rFonts w:ascii="宋体" w:hAnsi="Courier New" w:eastAsia="宋体"/>
      <w:sz w:val="21"/>
      <w:szCs w:val="21"/>
      <w:lang w:val="en-US" w:eastAsia="zh-CN" w:bidi="ar-SA"/>
    </w:rPr>
  </w:style>
  <w:style w:type="character" w:customStyle="1" w:styleId="64">
    <w:name w:val="日期 Char"/>
    <w:basedOn w:val="43"/>
    <w:link w:val="25"/>
    <w:qFormat/>
    <w:uiPriority w:val="0"/>
    <w:rPr>
      <w:rFonts w:ascii="仿宋_GB2312" w:hAnsi="宋体" w:eastAsia="仿宋_GB2312" w:cs="宋体"/>
      <w:b/>
      <w:bCs/>
      <w:color w:val="000000"/>
      <w:sz w:val="24"/>
      <w:szCs w:val="21"/>
    </w:rPr>
  </w:style>
  <w:style w:type="character" w:customStyle="1" w:styleId="65">
    <w:name w:val="正文文本缩进 2 Char"/>
    <w:link w:val="26"/>
    <w:qFormat/>
    <w:uiPriority w:val="0"/>
    <w:rPr>
      <w:rFonts w:ascii="宋体" w:hAnsi="宋体" w:eastAsia="仿宋_GB2312"/>
      <w:b/>
      <w:bCs/>
      <w:color w:val="000000"/>
      <w:sz w:val="24"/>
      <w:lang w:bidi="ar-SA"/>
    </w:rPr>
  </w:style>
  <w:style w:type="character" w:customStyle="1" w:styleId="66">
    <w:name w:val="页脚 Char"/>
    <w:link w:val="28"/>
    <w:qFormat/>
    <w:uiPriority w:val="0"/>
    <w:rPr>
      <w:kern w:val="2"/>
      <w:sz w:val="18"/>
      <w:szCs w:val="18"/>
    </w:rPr>
  </w:style>
  <w:style w:type="character" w:customStyle="1" w:styleId="67">
    <w:name w:val="页眉 Char"/>
    <w:link w:val="29"/>
    <w:qFormat/>
    <w:uiPriority w:val="0"/>
    <w:rPr>
      <w:kern w:val="2"/>
      <w:sz w:val="18"/>
      <w:szCs w:val="18"/>
    </w:rPr>
  </w:style>
  <w:style w:type="character" w:customStyle="1" w:styleId="68">
    <w:name w:val="副标题 Char"/>
    <w:basedOn w:val="43"/>
    <w:link w:val="31"/>
    <w:qFormat/>
    <w:uiPriority w:val="0"/>
    <w:rPr>
      <w:rFonts w:ascii="Cambria" w:hAnsi="Cambria" w:cs="Times New Roman"/>
      <w:b/>
      <w:bCs/>
      <w:kern w:val="28"/>
      <w:sz w:val="32"/>
      <w:szCs w:val="32"/>
    </w:rPr>
  </w:style>
  <w:style w:type="character" w:customStyle="1" w:styleId="69">
    <w:name w:val="脚注文本 Char"/>
    <w:basedOn w:val="43"/>
    <w:link w:val="33"/>
    <w:qFormat/>
    <w:uiPriority w:val="0"/>
    <w:rPr>
      <w:kern w:val="2"/>
      <w:sz w:val="18"/>
      <w:szCs w:val="24"/>
    </w:rPr>
  </w:style>
  <w:style w:type="character" w:customStyle="1" w:styleId="70">
    <w:name w:val="正文文本缩进 3 Char"/>
    <w:basedOn w:val="43"/>
    <w:link w:val="34"/>
    <w:qFormat/>
    <w:uiPriority w:val="0"/>
    <w:rPr>
      <w:rFonts w:ascii="仿宋_GB2312" w:hAnsi="宋体" w:eastAsia="仿宋_GB2312" w:cs="宋体"/>
      <w:b/>
      <w:bCs/>
      <w:color w:val="000000"/>
      <w:sz w:val="16"/>
      <w:szCs w:val="16"/>
    </w:rPr>
  </w:style>
  <w:style w:type="character" w:customStyle="1" w:styleId="71">
    <w:name w:val="正文文本 2 Char"/>
    <w:basedOn w:val="43"/>
    <w:link w:val="36"/>
    <w:qFormat/>
    <w:uiPriority w:val="0"/>
    <w:rPr>
      <w:kern w:val="2"/>
      <w:sz w:val="21"/>
      <w:szCs w:val="24"/>
    </w:rPr>
  </w:style>
  <w:style w:type="character" w:customStyle="1" w:styleId="72">
    <w:name w:val="HTML 预设格式 Char"/>
    <w:basedOn w:val="43"/>
    <w:link w:val="37"/>
    <w:qFormat/>
    <w:uiPriority w:val="0"/>
    <w:rPr>
      <w:rFonts w:ascii="黑体" w:hAnsi="Courier New" w:eastAsia="黑体"/>
    </w:rPr>
  </w:style>
  <w:style w:type="character" w:customStyle="1" w:styleId="73">
    <w:name w:val="普通(网站) Char"/>
    <w:link w:val="38"/>
    <w:qFormat/>
    <w:uiPriority w:val="0"/>
    <w:rPr>
      <w:rFonts w:ascii="宋体" w:hAnsi="宋体" w:cs="宋体"/>
      <w:sz w:val="24"/>
      <w:szCs w:val="24"/>
    </w:rPr>
  </w:style>
  <w:style w:type="character" w:customStyle="1" w:styleId="74">
    <w:name w:val="标题 Char"/>
    <w:basedOn w:val="43"/>
    <w:link w:val="39"/>
    <w:qFormat/>
    <w:uiPriority w:val="0"/>
    <w:rPr>
      <w:rFonts w:ascii="Cambria" w:hAnsi="Cambria" w:cs="Times New Roman"/>
      <w:b/>
      <w:bCs/>
      <w:kern w:val="2"/>
      <w:sz w:val="32"/>
      <w:szCs w:val="32"/>
    </w:rPr>
  </w:style>
  <w:style w:type="character" w:customStyle="1" w:styleId="75">
    <w:name w:val="批注主题 Char"/>
    <w:basedOn w:val="62"/>
    <w:link w:val="40"/>
    <w:semiHidden/>
    <w:qFormat/>
    <w:uiPriority w:val="0"/>
    <w:rPr>
      <w:b/>
      <w:bCs/>
      <w:kern w:val="2"/>
      <w:sz w:val="21"/>
      <w:szCs w:val="24"/>
    </w:rPr>
  </w:style>
  <w:style w:type="paragraph" w:customStyle="1" w:styleId="76">
    <w:name w:val="首行缩进"/>
    <w:basedOn w:val="1"/>
    <w:qFormat/>
    <w:uiPriority w:val="0"/>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77">
    <w:name w:val="文档正文"/>
    <w:basedOn w:val="1"/>
    <w:qFormat/>
    <w:uiPriority w:val="0"/>
    <w:pPr>
      <w:adjustRightInd w:val="0"/>
      <w:spacing w:line="300" w:lineRule="auto"/>
      <w:ind w:firstLine="567"/>
      <w:textAlignment w:val="baseline"/>
    </w:pPr>
    <w:rPr>
      <w:kern w:val="0"/>
      <w:sz w:val="24"/>
      <w:szCs w:val="20"/>
    </w:rPr>
  </w:style>
  <w:style w:type="character" w:customStyle="1" w:styleId="78">
    <w:name w:val="Char Char5"/>
    <w:qFormat/>
    <w:uiPriority w:val="0"/>
    <w:rPr>
      <w:rFonts w:ascii="Arial" w:hAnsi="Arial" w:eastAsia="宋体" w:cs="Arial"/>
      <w:b/>
      <w:bCs/>
      <w:color w:val="000000"/>
      <w:sz w:val="32"/>
      <w:szCs w:val="32"/>
      <w:lang w:val="en-US" w:eastAsia="zh-CN" w:bidi="ar-SA"/>
    </w:rPr>
  </w:style>
  <w:style w:type="paragraph" w:customStyle="1" w:styleId="79">
    <w:name w:val="p16"/>
    <w:basedOn w:val="1"/>
    <w:qFormat/>
    <w:uiPriority w:val="0"/>
    <w:pPr>
      <w:widowControl/>
    </w:pPr>
    <w:rPr>
      <w:rFonts w:ascii="Calibri" w:hAnsi="Calibri" w:cs="宋体"/>
      <w:kern w:val="0"/>
      <w:szCs w:val="21"/>
    </w:rPr>
  </w:style>
  <w:style w:type="paragraph" w:styleId="80">
    <w:name w:val="No Spacing"/>
    <w:qFormat/>
    <w:uiPriority w:val="1"/>
    <w:pPr>
      <w:widowControl w:val="0"/>
      <w:jc w:val="both"/>
    </w:pPr>
    <w:rPr>
      <w:kern w:val="2"/>
      <w:sz w:val="21"/>
      <w:szCs w:val="24"/>
      <w:lang w:val="en-US" w:eastAsia="zh-CN" w:bidi="ar-SA"/>
    </w:rPr>
  </w:style>
  <w:style w:type="paragraph" w:customStyle="1" w:styleId="81">
    <w:name w:val="Char Char Char Char Char Char Char"/>
    <w:basedOn w:val="1"/>
    <w:qFormat/>
    <w:uiPriority w:val="0"/>
    <w:rPr>
      <w:rFonts w:ascii="仿宋_GB2312" w:eastAsia="仿宋_GB2312"/>
      <w:b/>
      <w:sz w:val="32"/>
      <w:szCs w:val="32"/>
    </w:rPr>
  </w:style>
  <w:style w:type="paragraph" w:customStyle="1" w:styleId="82">
    <w:name w:val="p15"/>
    <w:basedOn w:val="1"/>
    <w:qFormat/>
    <w:uiPriority w:val="0"/>
    <w:pPr>
      <w:widowControl/>
      <w:ind w:firstLine="420"/>
    </w:pPr>
    <w:rPr>
      <w:rFonts w:ascii="Calibri" w:hAnsi="Calibri" w:cs="宋体"/>
      <w:kern w:val="0"/>
      <w:szCs w:val="21"/>
    </w:rPr>
  </w:style>
  <w:style w:type="paragraph" w:customStyle="1" w:styleId="83">
    <w:name w:val="Char Char"/>
    <w:basedOn w:val="1"/>
    <w:qFormat/>
    <w:uiPriority w:val="0"/>
    <w:pPr>
      <w:spacing w:line="360" w:lineRule="auto"/>
    </w:pPr>
    <w:rPr>
      <w:rFonts w:ascii="Tahoma" w:hAnsi="Tahoma"/>
      <w:sz w:val="24"/>
      <w:szCs w:val="20"/>
    </w:rPr>
  </w:style>
  <w:style w:type="paragraph" w:customStyle="1" w:styleId="8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85">
    <w:name w:val="[Normal]"/>
    <w:qFormat/>
    <w:uiPriority w:val="0"/>
    <w:rPr>
      <w:rFonts w:ascii="宋体" w:hAnsi="宋体"/>
      <w:sz w:val="24"/>
      <w:szCs w:val="22"/>
      <w:lang w:val="zh-CN" w:eastAsia="zh-CN" w:bidi="ar-SA"/>
    </w:rPr>
  </w:style>
  <w:style w:type="paragraph" w:styleId="86">
    <w:name w:val="List Paragraph"/>
    <w:basedOn w:val="1"/>
    <w:qFormat/>
    <w:uiPriority w:val="34"/>
    <w:pPr>
      <w:ind w:firstLine="420" w:firstLineChars="200"/>
    </w:pPr>
  </w:style>
  <w:style w:type="paragraph" w:customStyle="1" w:styleId="87">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88">
    <w:name w:val="正文5"/>
    <w:qFormat/>
    <w:uiPriority w:val="0"/>
    <w:pPr>
      <w:widowControl w:val="0"/>
      <w:jc w:val="both"/>
    </w:pPr>
    <w:rPr>
      <w:kern w:val="2"/>
      <w:sz w:val="21"/>
      <w:lang w:val="en-US" w:eastAsia="zh-CN" w:bidi="ar-SA"/>
    </w:rPr>
  </w:style>
  <w:style w:type="paragraph" w:customStyle="1" w:styleId="89">
    <w:name w:val="Table Paragraph"/>
    <w:basedOn w:val="1"/>
    <w:qFormat/>
    <w:uiPriority w:val="1"/>
    <w:pPr>
      <w:widowControl/>
      <w:autoSpaceDE w:val="0"/>
      <w:autoSpaceDN w:val="0"/>
      <w:spacing w:line="360" w:lineRule="auto"/>
      <w:jc w:val="left"/>
    </w:pPr>
    <w:rPr>
      <w:rFonts w:ascii="宋体" w:hAnsi="宋体" w:cs="宋体"/>
      <w:kern w:val="0"/>
      <w:sz w:val="22"/>
      <w:szCs w:val="22"/>
      <w:lang w:val="zh-CN" w:bidi="zh-CN"/>
    </w:rPr>
  </w:style>
  <w:style w:type="character" w:customStyle="1" w:styleId="90">
    <w:name w:val="纯文本 Char2"/>
    <w:qFormat/>
    <w:uiPriority w:val="0"/>
    <w:rPr>
      <w:rFonts w:ascii="宋体" w:hAnsi="Courier New" w:eastAsia="仿宋_GB2312" w:cs="宋体"/>
      <w:b/>
      <w:bCs/>
      <w:color w:val="000000"/>
      <w:sz w:val="21"/>
      <w:lang w:val="en-US" w:eastAsia="zh-CN" w:bidi="ar-SA"/>
    </w:rPr>
  </w:style>
  <w:style w:type="character" w:customStyle="1" w:styleId="91">
    <w:name w:val="NormalCharacter"/>
    <w:qFormat/>
    <w:uiPriority w:val="0"/>
  </w:style>
  <w:style w:type="paragraph" w:customStyle="1" w:styleId="92">
    <w:name w:val="列出段落3"/>
    <w:basedOn w:val="1"/>
    <w:qFormat/>
    <w:uiPriority w:val="0"/>
    <w:pPr>
      <w:spacing w:line="360" w:lineRule="auto"/>
      <w:ind w:firstLine="420" w:firstLineChars="200"/>
    </w:pPr>
    <w:rPr>
      <w:rFonts w:ascii="Calibri" w:hAnsi="Calibri"/>
      <w:sz w:val="24"/>
      <w:szCs w:val="22"/>
    </w:rPr>
  </w:style>
  <w:style w:type="character" w:customStyle="1" w:styleId="93">
    <w:name w:val="纯文本 Char1"/>
    <w:qFormat/>
    <w:uiPriority w:val="0"/>
    <w:rPr>
      <w:rFonts w:ascii="宋体" w:hAnsi="Courier New" w:eastAsia="仿宋_GB2312" w:cs="宋体"/>
      <w:b/>
      <w:bCs/>
      <w:color w:val="000000"/>
    </w:rPr>
  </w:style>
  <w:style w:type="character" w:customStyle="1" w:styleId="94">
    <w:name w:val="skancount"/>
    <w:basedOn w:val="43"/>
    <w:qFormat/>
    <w:uiPriority w:val="0"/>
  </w:style>
  <w:style w:type="character" w:customStyle="1" w:styleId="95">
    <w:name w:val="bookmark-item"/>
    <w:basedOn w:val="43"/>
    <w:qFormat/>
    <w:uiPriority w:val="0"/>
  </w:style>
  <w:style w:type="paragraph" w:customStyle="1" w:styleId="96">
    <w:name w:val="正文文本首行缩进1"/>
    <w:basedOn w:val="2"/>
    <w:qFormat/>
    <w:uiPriority w:val="0"/>
    <w:pPr>
      <w:spacing w:line="360" w:lineRule="auto"/>
      <w:ind w:firstLine="200" w:firstLineChars="200"/>
    </w:pPr>
    <w:rPr>
      <w:rFonts w:ascii="宋体" w:hAnsi="宋体"/>
      <w:bCs/>
      <w:sz w:val="24"/>
      <w:szCs w:val="21"/>
    </w:rPr>
  </w:style>
  <w:style w:type="paragraph" w:customStyle="1" w:styleId="97">
    <w:name w:val="列表段落1"/>
    <w:basedOn w:val="1"/>
    <w:qFormat/>
    <w:uiPriority w:val="0"/>
    <w:pPr>
      <w:ind w:firstLine="420" w:firstLineChars="200"/>
    </w:pPr>
    <w:rPr>
      <w:rFonts w:ascii="Calibri" w:hAnsi="Calibri" w:eastAsia="宋体" w:cs="Times New Roman"/>
      <w:sz w:val="24"/>
    </w:rPr>
  </w:style>
  <w:style w:type="character" w:customStyle="1" w:styleId="98">
    <w:name w:val="style11"/>
    <w:qFormat/>
    <w:uiPriority w:val="0"/>
    <w:rPr>
      <w:sz w:val="18"/>
      <w:szCs w:val="18"/>
    </w:rPr>
  </w:style>
  <w:style w:type="character" w:customStyle="1" w:styleId="99">
    <w:name w:val="Char Char2"/>
    <w:qFormat/>
    <w:uiPriority w:val="0"/>
    <w:rPr>
      <w:rFonts w:eastAsia="宋体"/>
      <w:kern w:val="2"/>
      <w:sz w:val="18"/>
      <w:szCs w:val="18"/>
      <w:lang w:val="en-US" w:eastAsia="zh-CN" w:bidi="ar-SA"/>
    </w:rPr>
  </w:style>
  <w:style w:type="character" w:customStyle="1" w:styleId="100">
    <w:name w:val="ca-6"/>
    <w:basedOn w:val="43"/>
    <w:qFormat/>
    <w:uiPriority w:val="0"/>
  </w:style>
  <w:style w:type="character" w:customStyle="1" w:styleId="101">
    <w:name w:val="unnamed11"/>
    <w:qFormat/>
    <w:uiPriority w:val="0"/>
    <w:rPr>
      <w:color w:val="000000"/>
      <w:sz w:val="20"/>
      <w:szCs w:val="20"/>
    </w:rPr>
  </w:style>
  <w:style w:type="character" w:customStyle="1" w:styleId="102">
    <w:name w:val="Texte Char Char"/>
    <w:qFormat/>
    <w:uiPriority w:val="0"/>
    <w:rPr>
      <w:rFonts w:ascii="宋体" w:hAnsi="Courier New" w:eastAsia="仿宋_GB2312" w:cs="宋体"/>
      <w:b/>
      <w:bCs/>
      <w:color w:val="000000"/>
      <w:sz w:val="21"/>
      <w:lang w:val="en-US" w:eastAsia="zh-CN" w:bidi="ar-SA"/>
    </w:rPr>
  </w:style>
  <w:style w:type="character" w:customStyle="1" w:styleId="103">
    <w:name w:val="f10"/>
    <w:basedOn w:val="43"/>
    <w:qFormat/>
    <w:uiPriority w:val="0"/>
  </w:style>
  <w:style w:type="character" w:customStyle="1" w:styleId="104">
    <w:name w:val="ca-2"/>
    <w:basedOn w:val="43"/>
    <w:qFormat/>
    <w:uiPriority w:val="0"/>
  </w:style>
  <w:style w:type="character" w:customStyle="1" w:styleId="105">
    <w:name w:val="缩进2字符 Char"/>
    <w:link w:val="106"/>
    <w:qFormat/>
    <w:locked/>
    <w:uiPriority w:val="0"/>
    <w:rPr>
      <w:rFonts w:ascii="仿宋_GB2312" w:hAnsi="仿宋_GB2312" w:eastAsia="仿宋_GB2312" w:cs="Arial"/>
      <w:snapToGrid w:val="0"/>
      <w:color w:val="000000"/>
      <w:sz w:val="28"/>
      <w:szCs w:val="28"/>
    </w:rPr>
  </w:style>
  <w:style w:type="paragraph" w:customStyle="1" w:styleId="106">
    <w:name w:val="缩进2字符"/>
    <w:basedOn w:val="1"/>
    <w:link w:val="105"/>
    <w:qFormat/>
    <w:uiPriority w:val="0"/>
    <w:pPr>
      <w:widowControl/>
      <w:ind w:firstLine="200" w:firstLineChars="200"/>
      <w:jc w:val="left"/>
    </w:pPr>
    <w:rPr>
      <w:rFonts w:ascii="仿宋_GB2312" w:hAnsi="仿宋_GB2312" w:eastAsia="仿宋_GB2312"/>
      <w:snapToGrid w:val="0"/>
      <w:color w:val="000000"/>
      <w:kern w:val="0"/>
      <w:sz w:val="28"/>
      <w:szCs w:val="28"/>
    </w:rPr>
  </w:style>
  <w:style w:type="character" w:customStyle="1" w:styleId="107">
    <w:name w:val="ca-11"/>
    <w:qFormat/>
    <w:uiPriority w:val="0"/>
    <w:rPr>
      <w:rFonts w:hint="eastAsia" w:ascii="宋体" w:hAnsi="宋体" w:eastAsia="宋体"/>
      <w:sz w:val="18"/>
      <w:szCs w:val="18"/>
    </w:rPr>
  </w:style>
  <w:style w:type="character" w:customStyle="1" w:styleId="108">
    <w:name w:val="标题 Char1"/>
    <w:qFormat/>
    <w:locked/>
    <w:uiPriority w:val="0"/>
    <w:rPr>
      <w:rFonts w:ascii="Arial" w:hAnsi="Arial" w:cs="Arial"/>
      <w:b/>
      <w:bCs/>
      <w:color w:val="000000"/>
      <w:sz w:val="32"/>
      <w:szCs w:val="32"/>
    </w:rPr>
  </w:style>
  <w:style w:type="character" w:customStyle="1" w:styleId="109">
    <w:name w:val="ca-3"/>
    <w:basedOn w:val="43"/>
    <w:qFormat/>
    <w:uiPriority w:val="0"/>
  </w:style>
  <w:style w:type="character" w:customStyle="1" w:styleId="110">
    <w:name w:val="para"/>
    <w:basedOn w:val="43"/>
    <w:qFormat/>
    <w:uiPriority w:val="0"/>
  </w:style>
  <w:style w:type="character" w:customStyle="1" w:styleId="111">
    <w:name w:val="表格文本 Char"/>
    <w:link w:val="112"/>
    <w:qFormat/>
    <w:locked/>
    <w:uiPriority w:val="0"/>
    <w:rPr>
      <w:rFonts w:ascii="宋体" w:hAnsi="宋体" w:cs="Arial"/>
      <w:snapToGrid w:val="0"/>
      <w:szCs w:val="21"/>
    </w:rPr>
  </w:style>
  <w:style w:type="paragraph" w:customStyle="1" w:styleId="112">
    <w:name w:val="表格文本"/>
    <w:basedOn w:val="1"/>
    <w:link w:val="111"/>
    <w:qFormat/>
    <w:uiPriority w:val="0"/>
    <w:pPr>
      <w:snapToGrid w:val="0"/>
      <w:jc w:val="left"/>
    </w:pPr>
    <w:rPr>
      <w:rFonts w:ascii="宋体" w:hAnsi="宋体"/>
      <w:snapToGrid w:val="0"/>
      <w:kern w:val="0"/>
      <w:sz w:val="20"/>
      <w:szCs w:val="21"/>
    </w:rPr>
  </w:style>
  <w:style w:type="character" w:customStyle="1" w:styleId="113">
    <w:name w:val="ca-8"/>
    <w:basedOn w:val="43"/>
    <w:qFormat/>
    <w:uiPriority w:val="0"/>
  </w:style>
  <w:style w:type="character" w:customStyle="1" w:styleId="114">
    <w:name w:val="smalltxt1"/>
    <w:qFormat/>
    <w:uiPriority w:val="0"/>
    <w:rPr>
      <w:rFonts w:hint="default" w:ascii="ˎ̥" w:hAnsi="ˎ̥" w:eastAsia="仿宋_GB2312"/>
      <w:b/>
      <w:sz w:val="24"/>
      <w:szCs w:val="24"/>
    </w:rPr>
  </w:style>
  <w:style w:type="character" w:customStyle="1" w:styleId="115">
    <w:name w:val="Char Char1"/>
    <w:qFormat/>
    <w:uiPriority w:val="0"/>
    <w:rPr>
      <w:rFonts w:ascii="宋体" w:hAnsi="Courier New" w:eastAsia="仿宋_GB2312" w:cs="宋体"/>
      <w:b/>
      <w:bCs/>
      <w:color w:val="000000"/>
      <w:sz w:val="21"/>
      <w:lang w:val="en-US" w:eastAsia="zh-CN" w:bidi="ar-SA"/>
    </w:rPr>
  </w:style>
  <w:style w:type="character" w:customStyle="1" w:styleId="116">
    <w:name w:val="apple-converted-space"/>
    <w:basedOn w:val="43"/>
    <w:qFormat/>
    <w:uiPriority w:val="0"/>
  </w:style>
  <w:style w:type="character" w:customStyle="1" w:styleId="117">
    <w:name w:val="bigtitle1"/>
    <w:qFormat/>
    <w:uiPriority w:val="0"/>
    <w:rPr>
      <w:sz w:val="28"/>
      <w:szCs w:val="28"/>
    </w:rPr>
  </w:style>
  <w:style w:type="character" w:customStyle="1" w:styleId="118">
    <w:name w:val="Char Char4"/>
    <w:qFormat/>
    <w:uiPriority w:val="0"/>
    <w:rPr>
      <w:rFonts w:eastAsia="宋体"/>
      <w:sz w:val="18"/>
      <w:szCs w:val="18"/>
      <w:lang w:val="en-US" w:eastAsia="zh-CN" w:bidi="ar-SA"/>
    </w:rPr>
  </w:style>
  <w:style w:type="character" w:customStyle="1" w:styleId="119">
    <w:name w:val="样式3 Char"/>
    <w:link w:val="120"/>
    <w:qFormat/>
    <w:uiPriority w:val="0"/>
    <w:rPr>
      <w:rFonts w:eastAsia="黑体"/>
      <w:kern w:val="2"/>
      <w:sz w:val="28"/>
      <w:szCs w:val="21"/>
    </w:rPr>
  </w:style>
  <w:style w:type="paragraph" w:customStyle="1" w:styleId="120">
    <w:name w:val="样式3"/>
    <w:basedOn w:val="1"/>
    <w:link w:val="119"/>
    <w:qFormat/>
    <w:uiPriority w:val="0"/>
    <w:pPr>
      <w:snapToGrid w:val="0"/>
      <w:outlineLvl w:val="2"/>
    </w:pPr>
    <w:rPr>
      <w:rFonts w:eastAsia="黑体"/>
      <w:sz w:val="28"/>
      <w:szCs w:val="21"/>
    </w:rPr>
  </w:style>
  <w:style w:type="character" w:customStyle="1" w:styleId="121">
    <w:name w:val="unnamed51"/>
    <w:qFormat/>
    <w:uiPriority w:val="0"/>
    <w:rPr>
      <w:sz w:val="22"/>
      <w:szCs w:val="22"/>
    </w:rPr>
  </w:style>
  <w:style w:type="paragraph" w:customStyle="1" w:styleId="122">
    <w:name w:val="默认段落字体 Para Char"/>
    <w:basedOn w:val="1"/>
    <w:qFormat/>
    <w:uiPriority w:val="0"/>
    <w:pPr>
      <w:adjustRightInd w:val="0"/>
      <w:spacing w:line="360" w:lineRule="auto"/>
    </w:pPr>
    <w:rPr>
      <w:kern w:val="0"/>
      <w:sz w:val="24"/>
      <w:szCs w:val="20"/>
    </w:rPr>
  </w:style>
  <w:style w:type="paragraph" w:customStyle="1" w:styleId="123">
    <w:name w:val="Char Char Char Char Char Char Char Char Char Char Char Char"/>
    <w:basedOn w:val="1"/>
    <w:qFormat/>
    <w:uiPriority w:val="0"/>
    <w:pPr>
      <w:spacing w:line="300" w:lineRule="auto"/>
    </w:pPr>
    <w:rPr>
      <w:rFonts w:ascii="宋体" w:hAnsi="宋体"/>
      <w:b/>
      <w:bCs/>
      <w:color w:val="000000"/>
      <w:spacing w:val="8"/>
      <w:kern w:val="0"/>
      <w:sz w:val="24"/>
    </w:rPr>
  </w:style>
  <w:style w:type="paragraph" w:customStyle="1" w:styleId="124">
    <w:name w:val="Char Char Char Char"/>
    <w:basedOn w:val="17"/>
    <w:qFormat/>
    <w:uiPriority w:val="0"/>
    <w:rPr>
      <w:rFonts w:ascii="Tahoma" w:hAnsi="Tahoma"/>
      <w:sz w:val="24"/>
    </w:rPr>
  </w:style>
  <w:style w:type="paragraph" w:customStyle="1" w:styleId="125">
    <w:name w:val="Char"/>
    <w:basedOn w:val="1"/>
    <w:qFormat/>
    <w:uiPriority w:val="0"/>
    <w:rPr>
      <w:rFonts w:ascii="仿宋_GB2312" w:eastAsia="仿宋_GB2312"/>
      <w:b/>
      <w:sz w:val="32"/>
      <w:szCs w:val="32"/>
    </w:rPr>
  </w:style>
  <w:style w:type="paragraph" w:customStyle="1" w:styleId="126">
    <w:name w:val="Char2"/>
    <w:basedOn w:val="1"/>
    <w:qFormat/>
    <w:uiPriority w:val="0"/>
    <w:rPr>
      <w:rFonts w:ascii="仿宋_GB2312" w:hAnsi="宋体" w:eastAsia="仿宋_GB2312" w:cs="宋体"/>
      <w:bCs/>
      <w:color w:val="000000"/>
      <w:kern w:val="0"/>
      <w:sz w:val="32"/>
      <w:szCs w:val="32"/>
    </w:rPr>
  </w:style>
  <w:style w:type="paragraph" w:customStyle="1" w:styleId="127">
    <w:name w:val="默认段落字体 Para Char Char Char Char"/>
    <w:basedOn w:val="1"/>
    <w:qFormat/>
    <w:uiPriority w:val="0"/>
  </w:style>
  <w:style w:type="paragraph" w:customStyle="1" w:styleId="128">
    <w:name w:val="样式1"/>
    <w:basedOn w:val="6"/>
    <w:qFormat/>
    <w:uiPriority w:val="0"/>
    <w:pPr>
      <w:tabs>
        <w:tab w:val="left" w:pos="432"/>
        <w:tab w:val="left" w:pos="576"/>
        <w:tab w:val="left" w:pos="2340"/>
        <w:tab w:val="left" w:pos="2700"/>
        <w:tab w:val="left" w:pos="2880"/>
        <w:tab w:val="left" w:pos="3060"/>
        <w:tab w:val="left" w:pos="3240"/>
        <w:tab w:val="left" w:pos="3420"/>
        <w:tab w:val="left" w:pos="3780"/>
      </w:tabs>
      <w:spacing w:before="120" w:after="0" w:line="360" w:lineRule="auto"/>
    </w:pPr>
    <w:rPr>
      <w:rFonts w:eastAsia="Arial"/>
      <w:color w:val="000000"/>
    </w:rPr>
  </w:style>
  <w:style w:type="paragraph" w:customStyle="1" w:styleId="129">
    <w:name w:val="pa-2"/>
    <w:basedOn w:val="1"/>
    <w:qFormat/>
    <w:uiPriority w:val="0"/>
    <w:pPr>
      <w:widowControl/>
      <w:spacing w:line="240" w:lineRule="atLeast"/>
      <w:ind w:firstLine="440"/>
    </w:pPr>
    <w:rPr>
      <w:rFonts w:ascii="宋体" w:hAnsi="宋体" w:cs="宋体"/>
      <w:kern w:val="0"/>
      <w:sz w:val="24"/>
    </w:rPr>
  </w:style>
  <w:style w:type="paragraph" w:customStyle="1" w:styleId="130">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1">
    <w:name w:val="Char1 Char Char Char"/>
    <w:basedOn w:val="1"/>
    <w:qFormat/>
    <w:uiPriority w:val="0"/>
    <w:rPr>
      <w:rFonts w:ascii="仿宋_GB2312" w:eastAsia="仿宋_GB2312"/>
      <w:b/>
      <w:sz w:val="32"/>
      <w:szCs w:val="32"/>
    </w:rPr>
  </w:style>
  <w:style w:type="paragraph" w:customStyle="1" w:styleId="132">
    <w:name w:val="Body Text(ch)"/>
    <w:basedOn w:val="1"/>
    <w:next w:val="2"/>
    <w:qFormat/>
    <w:uiPriority w:val="0"/>
    <w:pPr>
      <w:spacing w:line="500" w:lineRule="exact"/>
      <w:jc w:val="center"/>
    </w:pPr>
  </w:style>
  <w:style w:type="paragraph" w:customStyle="1" w:styleId="133">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134">
    <w:name w:val="Char Char1 Char Char Char Char Char Char Char Char Char Char"/>
    <w:basedOn w:val="1"/>
    <w:qFormat/>
    <w:uiPriority w:val="0"/>
    <w:rPr>
      <w:rFonts w:ascii="Tahoma" w:hAnsi="Tahoma" w:eastAsia="仿宋_GB2312" w:cs="宋体"/>
      <w:b/>
      <w:bCs/>
      <w:color w:val="000000"/>
      <w:kern w:val="0"/>
      <w:sz w:val="24"/>
      <w:szCs w:val="20"/>
    </w:rPr>
  </w:style>
  <w:style w:type="paragraph" w:customStyle="1" w:styleId="135">
    <w:name w:val="小点说明"/>
    <w:basedOn w:val="1"/>
    <w:qFormat/>
    <w:uiPriority w:val="0"/>
    <w:pPr>
      <w:tabs>
        <w:tab w:val="left" w:pos="0"/>
      </w:tabs>
      <w:adjustRightInd w:val="0"/>
      <w:snapToGrid w:val="0"/>
      <w:spacing w:line="340" w:lineRule="atLeast"/>
    </w:pPr>
    <w:rPr>
      <w:rFonts w:ascii="宋体" w:hAnsi="宋体"/>
      <w:bCs/>
      <w:kern w:val="0"/>
      <w:lang w:val="eu-ES"/>
    </w:rPr>
  </w:style>
  <w:style w:type="paragraph" w:customStyle="1" w:styleId="136">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37">
    <w:name w:val="Char Char Char"/>
    <w:basedOn w:val="1"/>
    <w:qFormat/>
    <w:uiPriority w:val="0"/>
    <w:rPr>
      <w:rFonts w:ascii="Tahoma" w:hAnsi="Tahoma"/>
      <w:sz w:val="24"/>
      <w:szCs w:val="20"/>
    </w:rPr>
  </w:style>
  <w:style w:type="paragraph" w:customStyle="1" w:styleId="138">
    <w:name w:val="List Paragraph1"/>
    <w:basedOn w:val="1"/>
    <w:qFormat/>
    <w:uiPriority w:val="0"/>
    <w:pPr>
      <w:ind w:firstLine="420" w:firstLineChars="200"/>
    </w:pPr>
    <w:rPr>
      <w:rFonts w:ascii="仿宋_GB2312" w:hAnsi="宋体" w:eastAsia="仿宋_GB2312" w:cs="仿宋_GB2312"/>
      <w:b/>
      <w:bCs/>
      <w:color w:val="000000"/>
      <w:kern w:val="0"/>
      <w:szCs w:val="21"/>
    </w:rPr>
  </w:style>
  <w:style w:type="paragraph" w:customStyle="1" w:styleId="139">
    <w:name w:val="默认段落字体 Para Char Char Char Char Char Char Char Char Char1 Char Char Char Char Char Char Char"/>
    <w:basedOn w:val="17"/>
    <w:qFormat/>
    <w:uiPriority w:val="0"/>
    <w:rPr>
      <w:rFonts w:ascii="Tahoma" w:hAnsi="Tahoma"/>
      <w:sz w:val="24"/>
    </w:rPr>
  </w:style>
  <w:style w:type="paragraph" w:customStyle="1" w:styleId="140">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141">
    <w:name w:val="Numbered list 2.3"/>
    <w:basedOn w:val="7"/>
    <w:next w:val="1"/>
    <w:qFormat/>
    <w:uiPriority w:val="0"/>
    <w:pPr>
      <w:keepLines w:val="0"/>
      <w:widowControl/>
      <w:tabs>
        <w:tab w:val="left" w:pos="360"/>
        <w:tab w:val="left" w:pos="705"/>
        <w:tab w:val="left" w:pos="1080"/>
        <w:tab w:val="clear" w:pos="720"/>
      </w:tabs>
      <w:spacing w:before="240" w:afterLines="0" w:line="240" w:lineRule="auto"/>
      <w:jc w:val="left"/>
    </w:pPr>
    <w:rPr>
      <w:rFonts w:eastAsia="宋体" w:cs="Times New Roman"/>
      <w:bCs/>
      <w:iCs/>
      <w:color w:val="auto"/>
      <w:spacing w:val="0"/>
      <w:sz w:val="28"/>
      <w:szCs w:val="24"/>
    </w:rPr>
  </w:style>
  <w:style w:type="paragraph" w:customStyle="1" w:styleId="142">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143">
    <w:name w:val="样式 宋体 小四 首行缩进:  0.93 厘米 段前: 11.15 磅 段后: 11.15 磅1"/>
    <w:basedOn w:val="1"/>
    <w:qFormat/>
    <w:uiPriority w:val="0"/>
    <w:pPr>
      <w:adjustRightInd w:val="0"/>
      <w:snapToGrid w:val="0"/>
      <w:ind w:left="200" w:leftChars="200"/>
    </w:pPr>
    <w:rPr>
      <w:rFonts w:ascii="宋体"/>
      <w:sz w:val="24"/>
      <w:szCs w:val="20"/>
    </w:rPr>
  </w:style>
  <w:style w:type="paragraph" w:customStyle="1" w:styleId="14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5">
    <w:name w:val="Char3"/>
    <w:basedOn w:val="1"/>
    <w:qFormat/>
    <w:uiPriority w:val="0"/>
    <w:rPr>
      <w:szCs w:val="20"/>
    </w:rPr>
  </w:style>
  <w:style w:type="paragraph" w:customStyle="1" w:styleId="146">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7">
    <w:name w:val="正文段"/>
    <w:basedOn w:val="1"/>
    <w:qFormat/>
    <w:uiPriority w:val="0"/>
    <w:pPr>
      <w:widowControl/>
      <w:snapToGrid w:val="0"/>
      <w:spacing w:afterLines="50"/>
      <w:ind w:firstLine="200" w:firstLineChars="200"/>
    </w:pPr>
    <w:rPr>
      <w:kern w:val="0"/>
      <w:sz w:val="24"/>
      <w:szCs w:val="20"/>
    </w:rPr>
  </w:style>
  <w:style w:type="paragraph" w:customStyle="1" w:styleId="14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49">
    <w:name w:val="正文－恩普"/>
    <w:basedOn w:val="8"/>
    <w:qFormat/>
    <w:uiPriority w:val="0"/>
    <w:pPr>
      <w:widowControl/>
      <w:spacing w:before="100" w:beforeAutospacing="1" w:afterLines="50" w:afterAutospacing="1" w:line="360" w:lineRule="auto"/>
      <w:ind w:firstLine="480"/>
      <w:jc w:val="left"/>
    </w:pPr>
    <w:rPr>
      <w:sz w:val="24"/>
      <w:szCs w:val="20"/>
    </w:rPr>
  </w:style>
  <w:style w:type="paragraph" w:customStyle="1" w:styleId="150">
    <w:name w:val="Char1 Char Char Char Char Char"/>
    <w:basedOn w:val="1"/>
    <w:qFormat/>
    <w:uiPriority w:val="0"/>
  </w:style>
  <w:style w:type="paragraph" w:customStyle="1" w:styleId="151">
    <w:name w:val="Char Char Char1"/>
    <w:basedOn w:val="17"/>
    <w:qFormat/>
    <w:uiPriority w:val="0"/>
    <w:rPr>
      <w:rFonts w:ascii="Tahoma" w:hAnsi="Tahoma"/>
      <w:sz w:val="24"/>
    </w:rPr>
  </w:style>
  <w:style w:type="paragraph" w:customStyle="1" w:styleId="152">
    <w:name w:val="Char1 Char Char Char Char Char Char"/>
    <w:basedOn w:val="1"/>
    <w:qFormat/>
    <w:uiPriority w:val="0"/>
    <w:rPr>
      <w:rFonts w:ascii="Tahoma" w:hAnsi="Tahoma"/>
      <w:sz w:val="24"/>
      <w:szCs w:val="20"/>
    </w:rPr>
  </w:style>
  <w:style w:type="paragraph" w:customStyle="1" w:styleId="153">
    <w:name w:val="正文－5"/>
    <w:qFormat/>
    <w:uiPriority w:val="0"/>
    <w:pPr>
      <w:widowControl w:val="0"/>
      <w:jc w:val="both"/>
    </w:pPr>
    <w:rPr>
      <w:rFonts w:ascii="宋体" w:hAnsi="宋体"/>
      <w:kern w:val="2"/>
      <w:sz w:val="24"/>
      <w:szCs w:val="24"/>
      <w:lang w:val="en-US" w:eastAsia="zh-CN" w:bidi="ar-SA"/>
    </w:rPr>
  </w:style>
  <w:style w:type="paragraph" w:customStyle="1" w:styleId="154">
    <w:name w:val="表内文字"/>
    <w:basedOn w:val="1"/>
    <w:qFormat/>
    <w:uiPriority w:val="0"/>
    <w:pPr>
      <w:spacing w:line="500" w:lineRule="atLeast"/>
      <w:jc w:val="center"/>
    </w:pPr>
    <w:rPr>
      <w:rFonts w:ascii="Arial" w:hAnsi="Arial" w:eastAsia="楷体_GB2312" w:cs="Arial"/>
      <w:sz w:val="28"/>
    </w:rPr>
  </w:style>
  <w:style w:type="character" w:customStyle="1" w:styleId="155">
    <w:name w:val="标题 4 Char1"/>
    <w:qFormat/>
    <w:uiPriority w:val="0"/>
    <w:rPr>
      <w:rFonts w:ascii="Arial" w:hAnsi="Arial" w:eastAsia="黑体"/>
      <w:b/>
      <w:bCs/>
      <w:kern w:val="2"/>
      <w:sz w:val="28"/>
      <w:szCs w:val="28"/>
      <w:lang w:val="en-US" w:eastAsia="zh-CN" w:bidi="ar-SA"/>
    </w:rPr>
  </w:style>
  <w:style w:type="paragraph" w:customStyle="1" w:styleId="156">
    <w:name w:val="正文缩进1"/>
    <w:basedOn w:val="1"/>
    <w:qFormat/>
    <w:uiPriority w:val="0"/>
    <w:pPr>
      <w:spacing w:line="360" w:lineRule="auto"/>
      <w:ind w:firstLine="454"/>
      <w:jc w:val="left"/>
    </w:pPr>
    <w:rPr>
      <w:sz w:val="24"/>
    </w:rPr>
  </w:style>
  <w:style w:type="paragraph" w:customStyle="1" w:styleId="157">
    <w:name w:val="列出段落1"/>
    <w:basedOn w:val="1"/>
    <w:qFormat/>
    <w:uiPriority w:val="0"/>
    <w:pPr>
      <w:ind w:firstLine="420" w:firstLineChars="200"/>
    </w:pPr>
    <w:rPr>
      <w:sz w:val="36"/>
      <w:szCs w:val="20"/>
    </w:rPr>
  </w:style>
  <w:style w:type="character" w:customStyle="1" w:styleId="158">
    <w:name w:val="无"/>
    <w:qFormat/>
    <w:uiPriority w:val="0"/>
  </w:style>
  <w:style w:type="paragraph" w:customStyle="1" w:styleId="159">
    <w:name w:val="Other|1"/>
    <w:basedOn w:val="1"/>
    <w:qFormat/>
    <w:uiPriority w:val="0"/>
    <w:pPr>
      <w:spacing w:line="311" w:lineRule="exact"/>
    </w:pPr>
    <w:rPr>
      <w:rFonts w:ascii="宋体" w:hAnsi="宋体" w:cs="宋体"/>
      <w:sz w:val="20"/>
      <w:szCs w:val="20"/>
      <w:lang w:val="zh-TW" w:eastAsia="zh-TW" w:bidi="zh-TW"/>
    </w:rPr>
  </w:style>
  <w:style w:type="paragraph" w:customStyle="1" w:styleId="160">
    <w:name w:val="列表段落2"/>
    <w:basedOn w:val="1"/>
    <w:qFormat/>
    <w:uiPriority w:val="34"/>
    <w:pPr>
      <w:ind w:firstLine="420" w:firstLineChars="200"/>
    </w:pPr>
    <w:rPr>
      <w:rFonts w:ascii="Calibri" w:hAnsi="Calibri"/>
    </w:rPr>
  </w:style>
  <w:style w:type="character" w:customStyle="1" w:styleId="161">
    <w:name w:val="font41"/>
    <w:basedOn w:val="43"/>
    <w:qFormat/>
    <w:uiPriority w:val="0"/>
    <w:rPr>
      <w:rFonts w:hint="eastAsia" w:ascii="宋体" w:hAnsi="宋体" w:eastAsia="宋体" w:cs="宋体"/>
      <w:color w:val="000000"/>
      <w:sz w:val="18"/>
      <w:szCs w:val="18"/>
      <w:u w:val="none"/>
    </w:rPr>
  </w:style>
  <w:style w:type="character" w:customStyle="1" w:styleId="162">
    <w:name w:val="font01"/>
    <w:basedOn w:val="43"/>
    <w:qFormat/>
    <w:uiPriority w:val="0"/>
    <w:rPr>
      <w:rFonts w:hint="eastAsia" w:ascii="宋体" w:hAnsi="宋体" w:eastAsia="宋体" w:cs="宋体"/>
      <w:color w:val="FF0000"/>
      <w:sz w:val="18"/>
      <w:szCs w:val="18"/>
      <w:u w:val="none"/>
    </w:rPr>
  </w:style>
  <w:style w:type="character" w:customStyle="1" w:styleId="163">
    <w:name w:val="font31"/>
    <w:basedOn w:val="43"/>
    <w:qFormat/>
    <w:uiPriority w:val="0"/>
    <w:rPr>
      <w:rFonts w:hint="eastAsia" w:ascii="宋体" w:hAnsi="宋体" w:eastAsia="宋体" w:cs="宋体"/>
      <w:color w:val="000000"/>
      <w:sz w:val="18"/>
      <w:szCs w:val="18"/>
      <w:u w:val="none"/>
    </w:rPr>
  </w:style>
  <w:style w:type="character" w:customStyle="1" w:styleId="164">
    <w:name w:val="font81"/>
    <w:basedOn w:val="43"/>
    <w:qFormat/>
    <w:uiPriority w:val="0"/>
    <w:rPr>
      <w:rFonts w:hint="eastAsia" w:ascii="宋体" w:hAnsi="宋体" w:eastAsia="宋体" w:cs="宋体"/>
      <w:color w:val="FF0000"/>
      <w:sz w:val="18"/>
      <w:szCs w:val="18"/>
      <w:u w:val="none"/>
    </w:rPr>
  </w:style>
  <w:style w:type="character" w:customStyle="1" w:styleId="165">
    <w:name w:val="font21"/>
    <w:basedOn w:val="43"/>
    <w:qFormat/>
    <w:uiPriority w:val="0"/>
    <w:rPr>
      <w:rFonts w:hint="eastAsia" w:ascii="宋体" w:hAnsi="宋体" w:eastAsia="宋体" w:cs="宋体"/>
      <w:color w:val="000000"/>
      <w:sz w:val="20"/>
      <w:szCs w:val="20"/>
      <w:u w:val="none"/>
    </w:rPr>
  </w:style>
  <w:style w:type="character" w:customStyle="1" w:styleId="166">
    <w:name w:val="font51"/>
    <w:basedOn w:val="43"/>
    <w:qFormat/>
    <w:uiPriority w:val="0"/>
    <w:rPr>
      <w:rFonts w:hint="eastAsia" w:ascii="宋体" w:hAnsi="宋体" w:eastAsia="宋体" w:cs="宋体"/>
      <w:color w:val="000000"/>
      <w:sz w:val="20"/>
      <w:szCs w:val="20"/>
      <w:u w:val="none"/>
    </w:rPr>
  </w:style>
  <w:style w:type="character" w:customStyle="1" w:styleId="167">
    <w:name w:val="font11"/>
    <w:basedOn w:val="43"/>
    <w:uiPriority w:val="0"/>
    <w:rPr>
      <w:rFonts w:hint="eastAsia" w:ascii="宋体" w:hAnsi="宋体" w:eastAsia="宋体" w:cs="宋体"/>
      <w:color w:val="000000"/>
      <w:sz w:val="22"/>
      <w:szCs w:val="22"/>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header4.xml" Type="http://schemas.openxmlformats.org/officeDocument/2006/relationships/header"/><Relationship Id="rId12" Target="header5.xml" Type="http://schemas.openxmlformats.org/officeDocument/2006/relationships/header"/><Relationship Id="rId13" Target="footer6.xml" Type="http://schemas.openxmlformats.org/officeDocument/2006/relationships/footer"/><Relationship Id="rId14" Target="header6.xml" Type="http://schemas.openxmlformats.org/officeDocument/2006/relationships/header"/><Relationship Id="rId15" Target="header7.xml" Type="http://schemas.openxmlformats.org/officeDocument/2006/relationships/header"/><Relationship Id="rId16" Target="footer7.xml" Type="http://schemas.openxmlformats.org/officeDocument/2006/relationships/footer"/><Relationship Id="rId17" Target="theme/theme1.xml" Type="http://schemas.openxmlformats.org/officeDocument/2006/relationships/theme"/><Relationship Id="rId18" Target="media/image1.png" Type="http://schemas.openxmlformats.org/officeDocument/2006/relationships/image"/><Relationship Id="rId19" Target="numbering.xml" Type="http://schemas.openxmlformats.org/officeDocument/2006/relationships/numbering"/><Relationship Id="rId2" Target="settings.xml" Type="http://schemas.openxmlformats.org/officeDocument/2006/relationships/settings"/><Relationship Id="rId20"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tuxin</Company>
  <Pages>89</Pages>
  <Words>51932</Words>
  <Characters>54943</Characters>
  <Lines>430</Lines>
  <Paragraphs>121</Paragraphs>
  <TotalTime>10</TotalTime>
  <ScaleCrop>false</ScaleCrop>
  <LinksUpToDate>false</LinksUpToDate>
  <CharactersWithSpaces>57221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2022-06-26T12:16:00Z</dcterms:created>
  <dc:creator>雨林木风</dc:creator>
  <cp:lastModifiedBy>WPS_1701756769</cp:lastModifiedBy>
  <cp:lastPrinted>2022-07-12T07:38:00Z</cp:lastPrinted>
  <dcterms:modified xsi:type="dcterms:W3CDTF">2024-02-22T07:50:29Z</dcterms:modified>
  <cp:revision>2</cp:revision>
  <dc:title>投标须知前附表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ED5C9C64E49C4D23A3C36CEDCF95988F_13</vt:lpwstr>
  </property>
</Properties>
</file>