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00" w:lineRule="atLeast"/>
        <w:ind w:left="956"/>
        <w:rPr>
          <w:rFonts w:cs="新宋体" w:asciiTheme="majorEastAsia" w:hAnsiTheme="majorEastAsia" w:eastAsiaTheme="majorEastAsia"/>
          <w:b/>
          <w:bCs/>
          <w:color w:val="auto"/>
          <w:sz w:val="32"/>
          <w:szCs w:val="32"/>
          <w:highlight w:val="none"/>
          <w:lang w:val="zh-CN"/>
        </w:rPr>
      </w:pPr>
    </w:p>
    <w:p>
      <w:pPr>
        <w:autoSpaceDE w:val="0"/>
        <w:autoSpaceDN w:val="0"/>
        <w:adjustRightInd w:val="0"/>
        <w:snapToGrid w:val="0"/>
        <w:spacing w:line="500" w:lineRule="atLeast"/>
        <w:rPr>
          <w:rFonts w:cs="新宋体" w:asciiTheme="majorEastAsia" w:hAnsiTheme="majorEastAsia" w:eastAsiaTheme="majorEastAsia"/>
          <w:color w:val="auto"/>
          <w:sz w:val="32"/>
          <w:szCs w:val="32"/>
          <w:highlight w:val="none"/>
          <w:lang w:val="zh-CN"/>
        </w:rPr>
      </w:pPr>
    </w:p>
    <w:p>
      <w:pPr>
        <w:spacing w:line="480" w:lineRule="auto"/>
        <w:jc w:val="center"/>
        <w:rPr>
          <w:rFonts w:asciiTheme="majorEastAsia" w:hAnsiTheme="majorEastAsia" w:eastAsiaTheme="majorEastAsia"/>
          <w:color w:val="auto"/>
          <w:sz w:val="72"/>
          <w:highlight w:val="none"/>
        </w:rPr>
      </w:pPr>
      <w:r>
        <w:rPr>
          <w:rFonts w:hint="eastAsia" w:asciiTheme="majorEastAsia" w:hAnsiTheme="majorEastAsia" w:eastAsiaTheme="majorEastAsia"/>
          <w:color w:val="auto"/>
          <w:sz w:val="72"/>
          <w:highlight w:val="none"/>
        </w:rPr>
        <w:t>永嘉县政府采购</w:t>
      </w:r>
    </w:p>
    <w:p>
      <w:pPr>
        <w:spacing w:line="480" w:lineRule="auto"/>
        <w:jc w:val="center"/>
        <w:rPr>
          <w:rFonts w:asciiTheme="majorEastAsia" w:hAnsiTheme="majorEastAsia" w:eastAsiaTheme="majorEastAsia"/>
          <w:color w:val="auto"/>
          <w:sz w:val="72"/>
          <w:highlight w:val="none"/>
        </w:rPr>
      </w:pPr>
      <w:r>
        <w:rPr>
          <w:rFonts w:hint="eastAsia" w:asciiTheme="majorEastAsia" w:hAnsiTheme="majorEastAsia" w:eastAsiaTheme="majorEastAsia"/>
          <w:color w:val="auto"/>
          <w:sz w:val="72"/>
          <w:highlight w:val="none"/>
        </w:rPr>
        <w:t>招标文件</w:t>
      </w:r>
    </w:p>
    <w:p>
      <w:pPr>
        <w:jc w:val="center"/>
        <w:rPr>
          <w:rFonts w:cs="新宋体" w:asciiTheme="majorEastAsia" w:hAnsiTheme="majorEastAsia" w:eastAsiaTheme="majorEastAsia"/>
          <w:b/>
          <w:color w:val="auto"/>
          <w:sz w:val="72"/>
          <w:szCs w:val="72"/>
          <w:highlight w:val="none"/>
        </w:rPr>
      </w:pPr>
      <w:r>
        <w:rPr>
          <w:rFonts w:hint="eastAsia" w:asciiTheme="majorEastAsia" w:hAnsiTheme="majorEastAsia" w:eastAsiaTheme="majorEastAsia"/>
          <w:color w:val="auto"/>
          <w:sz w:val="72"/>
          <w:highlight w:val="none"/>
        </w:rPr>
        <w:t>（分散委托）</w:t>
      </w:r>
    </w:p>
    <w:p>
      <w:pPr>
        <w:spacing w:line="460" w:lineRule="atLeast"/>
        <w:ind w:left="2846" w:leftChars="710" w:hanging="1355" w:hangingChars="450"/>
        <w:rPr>
          <w:rFonts w:cs="新宋体" w:asciiTheme="majorEastAsia" w:hAnsiTheme="majorEastAsia" w:eastAsiaTheme="majorEastAsia"/>
          <w:b/>
          <w:color w:val="auto"/>
          <w:sz w:val="30"/>
          <w:szCs w:val="30"/>
          <w:highlight w:val="none"/>
        </w:rPr>
      </w:pPr>
    </w:p>
    <w:p>
      <w:pPr>
        <w:pStyle w:val="2"/>
        <w:ind w:firstLine="210"/>
        <w:rPr>
          <w:rFonts w:asciiTheme="majorEastAsia" w:hAnsiTheme="majorEastAsia" w:eastAsiaTheme="majorEastAsia"/>
          <w:color w:val="auto"/>
          <w:highlight w:val="none"/>
        </w:rPr>
      </w:pPr>
    </w:p>
    <w:p>
      <w:pPr>
        <w:pStyle w:val="2"/>
        <w:ind w:firstLine="210"/>
        <w:rPr>
          <w:rFonts w:asciiTheme="majorEastAsia" w:hAnsiTheme="majorEastAsia" w:eastAsiaTheme="majorEastAsia"/>
          <w:color w:val="auto"/>
          <w:highlight w:val="none"/>
        </w:rPr>
      </w:pPr>
    </w:p>
    <w:p>
      <w:pPr>
        <w:pStyle w:val="2"/>
        <w:ind w:firstLine="210"/>
        <w:rPr>
          <w:rFonts w:asciiTheme="majorEastAsia" w:hAnsiTheme="majorEastAsia" w:eastAsiaTheme="majorEastAsia"/>
          <w:color w:val="auto"/>
          <w:highlight w:val="none"/>
        </w:rPr>
      </w:pPr>
    </w:p>
    <w:p>
      <w:pPr>
        <w:pStyle w:val="2"/>
        <w:ind w:firstLine="210"/>
        <w:rPr>
          <w:rFonts w:asciiTheme="majorEastAsia" w:hAnsiTheme="majorEastAsia" w:eastAsiaTheme="majorEastAsia"/>
          <w:color w:val="auto"/>
          <w:highlight w:val="none"/>
        </w:rPr>
      </w:pPr>
    </w:p>
    <w:p>
      <w:pPr>
        <w:spacing w:line="460" w:lineRule="atLeast"/>
        <w:ind w:left="3565" w:leftChars="726" w:hanging="2040" w:hangingChars="680"/>
        <w:rPr>
          <w:rFonts w:cs="新宋体" w:asciiTheme="majorEastAsia" w:hAnsiTheme="majorEastAsia" w:eastAsiaTheme="majorEastAsia"/>
          <w:color w:val="auto"/>
          <w:sz w:val="30"/>
          <w:szCs w:val="30"/>
          <w:highlight w:val="none"/>
        </w:rPr>
      </w:pPr>
      <w:r>
        <w:rPr>
          <w:rFonts w:hint="eastAsia" w:cs="新宋体" w:asciiTheme="majorEastAsia" w:hAnsiTheme="majorEastAsia" w:eastAsiaTheme="majorEastAsia"/>
          <w:color w:val="auto"/>
          <w:sz w:val="30"/>
          <w:szCs w:val="30"/>
          <w:highlight w:val="none"/>
        </w:rPr>
        <w:t>项目名称：永嘉县人民医院保洁护工等外包项目</w:t>
      </w:r>
    </w:p>
    <w:p>
      <w:pPr>
        <w:spacing w:line="460" w:lineRule="atLeast"/>
        <w:ind w:left="3565" w:leftChars="726" w:hanging="2040" w:hangingChars="680"/>
        <w:rPr>
          <w:rFonts w:hint="eastAsia" w:cs="新宋体" w:asciiTheme="majorEastAsia" w:hAnsiTheme="majorEastAsia" w:eastAsiaTheme="majorEastAsia"/>
          <w:color w:val="auto"/>
          <w:sz w:val="30"/>
          <w:szCs w:val="30"/>
          <w:highlight w:val="none"/>
          <w:lang w:eastAsia="zh-CN"/>
        </w:rPr>
      </w:pPr>
      <w:r>
        <w:rPr>
          <w:rFonts w:hint="eastAsia" w:cs="新宋体" w:asciiTheme="majorEastAsia" w:hAnsiTheme="majorEastAsia" w:eastAsiaTheme="majorEastAsia"/>
          <w:color w:val="auto"/>
          <w:sz w:val="30"/>
          <w:szCs w:val="30"/>
          <w:highlight w:val="none"/>
        </w:rPr>
        <w:t>项目编号：</w:t>
      </w:r>
      <w:r>
        <w:rPr>
          <w:rFonts w:hint="eastAsia" w:asciiTheme="majorEastAsia" w:hAnsiTheme="majorEastAsia" w:eastAsiaTheme="majorEastAsia"/>
          <w:color w:val="auto"/>
          <w:sz w:val="30"/>
          <w:szCs w:val="30"/>
          <w:highlight w:val="none"/>
          <w:lang w:eastAsia="zh-CN"/>
        </w:rPr>
        <w:t>F-GB202205200551</w:t>
      </w:r>
    </w:p>
    <w:p>
      <w:pPr>
        <w:spacing w:line="500" w:lineRule="atLeast"/>
        <w:ind w:left="3565" w:leftChars="726" w:hanging="2040" w:hangingChars="680"/>
        <w:rPr>
          <w:rFonts w:cs="新宋体" w:asciiTheme="majorEastAsia" w:hAnsiTheme="majorEastAsia" w:eastAsiaTheme="majorEastAsia"/>
          <w:color w:val="auto"/>
          <w:sz w:val="30"/>
          <w:szCs w:val="30"/>
          <w:highlight w:val="none"/>
        </w:rPr>
      </w:pPr>
    </w:p>
    <w:p>
      <w:pPr>
        <w:pStyle w:val="2"/>
        <w:ind w:firstLine="210"/>
        <w:rPr>
          <w:rFonts w:asciiTheme="majorEastAsia" w:hAnsiTheme="majorEastAsia" w:eastAsiaTheme="majorEastAsia"/>
          <w:color w:val="auto"/>
          <w:highlight w:val="none"/>
        </w:rPr>
      </w:pPr>
    </w:p>
    <w:p>
      <w:pPr>
        <w:pStyle w:val="2"/>
        <w:ind w:firstLine="210"/>
        <w:rPr>
          <w:rFonts w:asciiTheme="majorEastAsia" w:hAnsiTheme="majorEastAsia" w:eastAsiaTheme="majorEastAsia"/>
          <w:color w:val="auto"/>
          <w:highlight w:val="none"/>
        </w:rPr>
      </w:pPr>
    </w:p>
    <w:p>
      <w:pPr>
        <w:pStyle w:val="2"/>
        <w:ind w:firstLine="210"/>
        <w:rPr>
          <w:rFonts w:asciiTheme="majorEastAsia" w:hAnsiTheme="majorEastAsia" w:eastAsiaTheme="majorEastAsia"/>
          <w:color w:val="auto"/>
          <w:highlight w:val="none"/>
        </w:rPr>
      </w:pPr>
    </w:p>
    <w:p>
      <w:pPr>
        <w:pStyle w:val="2"/>
        <w:ind w:firstLine="210"/>
        <w:rPr>
          <w:rFonts w:asciiTheme="majorEastAsia" w:hAnsiTheme="majorEastAsia" w:eastAsiaTheme="majorEastAsia"/>
          <w:color w:val="auto"/>
          <w:highlight w:val="none"/>
        </w:rPr>
      </w:pPr>
    </w:p>
    <w:p>
      <w:pPr>
        <w:pStyle w:val="2"/>
        <w:ind w:firstLine="210"/>
        <w:rPr>
          <w:rFonts w:asciiTheme="majorEastAsia" w:hAnsiTheme="majorEastAsia" w:eastAsiaTheme="majorEastAsia"/>
          <w:color w:val="auto"/>
          <w:highlight w:val="none"/>
        </w:rPr>
      </w:pPr>
    </w:p>
    <w:p>
      <w:pPr>
        <w:pStyle w:val="2"/>
        <w:ind w:firstLine="210"/>
        <w:rPr>
          <w:rFonts w:asciiTheme="majorEastAsia" w:hAnsiTheme="majorEastAsia" w:eastAsiaTheme="majorEastAsia"/>
          <w:color w:val="auto"/>
          <w:highlight w:val="none"/>
        </w:rPr>
      </w:pPr>
    </w:p>
    <w:p>
      <w:pPr>
        <w:pStyle w:val="2"/>
        <w:ind w:firstLine="210"/>
        <w:rPr>
          <w:rFonts w:asciiTheme="majorEastAsia" w:hAnsiTheme="majorEastAsia" w:eastAsiaTheme="majorEastAsia"/>
          <w:color w:val="auto"/>
          <w:highlight w:val="none"/>
        </w:rPr>
      </w:pPr>
    </w:p>
    <w:p>
      <w:pPr>
        <w:spacing w:line="460" w:lineRule="atLeast"/>
        <w:ind w:left="2841" w:leftChars="710" w:hanging="1350" w:hangingChars="450"/>
        <w:rPr>
          <w:rFonts w:cs="新宋体" w:asciiTheme="majorEastAsia" w:hAnsiTheme="majorEastAsia" w:eastAsiaTheme="majorEastAsia"/>
          <w:color w:val="auto"/>
          <w:sz w:val="30"/>
          <w:szCs w:val="30"/>
          <w:highlight w:val="none"/>
        </w:rPr>
      </w:pPr>
      <w:r>
        <w:rPr>
          <w:rFonts w:hint="eastAsia" w:cs="新宋体" w:asciiTheme="majorEastAsia" w:hAnsiTheme="majorEastAsia" w:eastAsiaTheme="majorEastAsia"/>
          <w:color w:val="auto"/>
          <w:sz w:val="30"/>
          <w:szCs w:val="30"/>
          <w:highlight w:val="none"/>
        </w:rPr>
        <w:t>采 购 人：</w:t>
      </w:r>
      <w:bookmarkStart w:id="0" w:name="_Hlk97031895"/>
      <w:r>
        <w:rPr>
          <w:rFonts w:hint="eastAsia" w:cs="新宋体" w:asciiTheme="majorEastAsia" w:hAnsiTheme="majorEastAsia" w:eastAsiaTheme="majorEastAsia"/>
          <w:color w:val="auto"/>
          <w:sz w:val="30"/>
          <w:szCs w:val="30"/>
          <w:highlight w:val="none"/>
        </w:rPr>
        <w:t>永嘉县人民医院</w:t>
      </w:r>
      <w:bookmarkEnd w:id="0"/>
    </w:p>
    <w:p>
      <w:pPr>
        <w:spacing w:line="460" w:lineRule="atLeast"/>
        <w:ind w:left="2841" w:leftChars="710" w:hanging="1350" w:hangingChars="450"/>
        <w:rPr>
          <w:rFonts w:cs="新宋体" w:asciiTheme="majorEastAsia" w:hAnsiTheme="majorEastAsia" w:eastAsiaTheme="majorEastAsia"/>
          <w:color w:val="auto"/>
          <w:sz w:val="30"/>
          <w:szCs w:val="30"/>
          <w:highlight w:val="none"/>
        </w:rPr>
      </w:pPr>
      <w:r>
        <w:rPr>
          <w:rFonts w:hint="eastAsia" w:cs="新宋体" w:asciiTheme="majorEastAsia" w:hAnsiTheme="majorEastAsia" w:eastAsiaTheme="majorEastAsia"/>
          <w:color w:val="auto"/>
          <w:sz w:val="30"/>
          <w:szCs w:val="30"/>
          <w:highlight w:val="none"/>
        </w:rPr>
        <w:t>代理机构：温州市中概工程管理咨询有限公司</w:t>
      </w:r>
    </w:p>
    <w:p>
      <w:pPr>
        <w:spacing w:line="500" w:lineRule="atLeast"/>
        <w:ind w:left="3565" w:leftChars="726" w:hanging="2040" w:hangingChars="680"/>
        <w:rPr>
          <w:rFonts w:cs="新宋体" w:asciiTheme="majorEastAsia" w:hAnsiTheme="majorEastAsia" w:eastAsiaTheme="majorEastAsia"/>
          <w:color w:val="auto"/>
          <w:sz w:val="30"/>
          <w:szCs w:val="30"/>
          <w:highlight w:val="none"/>
        </w:rPr>
      </w:pPr>
    </w:p>
    <w:p>
      <w:pPr>
        <w:spacing w:line="500" w:lineRule="atLeast"/>
        <w:jc w:val="center"/>
        <w:rPr>
          <w:rFonts w:ascii="宋体"/>
          <w:color w:val="auto"/>
          <w:sz w:val="24"/>
          <w:szCs w:val="24"/>
          <w:highlight w:val="none"/>
        </w:rPr>
      </w:pPr>
      <w:r>
        <w:rPr>
          <w:rFonts w:hint="eastAsia" w:cs="新宋体" w:asciiTheme="majorEastAsia" w:hAnsiTheme="majorEastAsia" w:eastAsiaTheme="majorEastAsia"/>
          <w:color w:val="auto"/>
          <w:sz w:val="30"/>
          <w:szCs w:val="30"/>
          <w:highlight w:val="none"/>
        </w:rPr>
        <w:t>二○二二年</w:t>
      </w:r>
      <w:r>
        <w:rPr>
          <w:rFonts w:hint="eastAsia" w:cs="新宋体" w:asciiTheme="majorEastAsia" w:hAnsiTheme="majorEastAsia" w:eastAsiaTheme="majorEastAsia"/>
          <w:color w:val="auto"/>
          <w:sz w:val="30"/>
          <w:szCs w:val="30"/>
          <w:highlight w:val="none"/>
          <w:lang w:val="en-US" w:eastAsia="zh-CN"/>
        </w:rPr>
        <w:t>五</w:t>
      </w:r>
      <w:r>
        <w:rPr>
          <w:rFonts w:hint="eastAsia" w:cs="新宋体" w:asciiTheme="majorEastAsia" w:hAnsiTheme="majorEastAsia" w:eastAsiaTheme="majorEastAsia"/>
          <w:color w:val="auto"/>
          <w:sz w:val="30"/>
          <w:szCs w:val="30"/>
          <w:highlight w:val="none"/>
        </w:rPr>
        <w:t>月</w:t>
      </w:r>
    </w:p>
    <w:p>
      <w:pPr>
        <w:widowControl/>
        <w:jc w:val="left"/>
        <w:rPr>
          <w:rFonts w:ascii="宋体" w:hAnsi="宋体" w:cs="宋体"/>
          <w:b/>
          <w:bCs/>
          <w:color w:val="auto"/>
          <w:sz w:val="32"/>
          <w:szCs w:val="32"/>
          <w:highlight w:val="none"/>
        </w:rPr>
      </w:pPr>
      <w:bookmarkStart w:id="1" w:name="_Toc496116237"/>
      <w:bookmarkStart w:id="2" w:name="_Toc293038713"/>
      <w:r>
        <w:rPr>
          <w:rFonts w:ascii="宋体" w:hAnsi="宋体" w:cs="宋体"/>
          <w:b/>
          <w:bCs/>
          <w:color w:val="auto"/>
          <w:sz w:val="32"/>
          <w:szCs w:val="32"/>
          <w:highlight w:val="none"/>
        </w:rPr>
        <w:br w:type="page"/>
      </w:r>
    </w:p>
    <w:p>
      <w:pPr>
        <w:widowControl/>
        <w:spacing w:line="500" w:lineRule="atLeas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招标文件目录</w:t>
      </w:r>
    </w:p>
    <w:p>
      <w:pPr>
        <w:pStyle w:val="2"/>
        <w:ind w:firstLine="210"/>
        <w:rPr>
          <w:color w:val="auto"/>
          <w:highlight w:val="none"/>
        </w:rPr>
      </w:pP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color w:val="auto"/>
          <w:sz w:val="22"/>
          <w:szCs w:val="22"/>
          <w:highlight w:val="none"/>
        </w:rPr>
        <w:instrText xml:space="preserve"> TOC \o "1-2" \h \z \u </w:instrText>
      </w:r>
      <w:r>
        <w:rPr>
          <w:rFonts w:hint="eastAsia" w:asciiTheme="majorEastAsia" w:hAnsiTheme="majorEastAsia" w:eastAsiaTheme="majorEastAsia" w:cstheme="majorEastAsia"/>
          <w:color w:val="auto"/>
          <w:sz w:val="22"/>
          <w:szCs w:val="22"/>
          <w:highlight w:val="none"/>
        </w:rPr>
        <w:fldChar w:fldCharType="separate"/>
      </w: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_Toc1518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温州市中概工程管理咨询有限公司关于永嘉县人民医院保洁护工等外包项目的公开招标公告</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_Toc1518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2</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_Toc30684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lang w:val="en-US" w:eastAsia="zh-CN"/>
        </w:rPr>
        <w:t xml:space="preserve">第一部分  </w:t>
      </w:r>
      <w:r>
        <w:rPr>
          <w:rFonts w:hint="eastAsia" w:asciiTheme="majorEastAsia" w:hAnsiTheme="majorEastAsia" w:eastAsiaTheme="majorEastAsia" w:cstheme="majorEastAsia"/>
          <w:sz w:val="22"/>
          <w:szCs w:val="22"/>
          <w:highlight w:val="none"/>
        </w:rPr>
        <w:t>投标通知(邀请)书</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_Toc30684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5</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_Toc23509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第</w:t>
      </w:r>
      <w:r>
        <w:rPr>
          <w:rFonts w:hint="eastAsia" w:asciiTheme="majorEastAsia" w:hAnsiTheme="majorEastAsia" w:eastAsiaTheme="majorEastAsia" w:cstheme="majorEastAsia"/>
          <w:sz w:val="22"/>
          <w:szCs w:val="22"/>
          <w:highlight w:val="none"/>
          <w:lang w:val="en-US" w:eastAsia="zh-CN"/>
        </w:rPr>
        <w:t>二</w:t>
      </w:r>
      <w:r>
        <w:rPr>
          <w:rFonts w:hint="eastAsia" w:asciiTheme="majorEastAsia" w:hAnsiTheme="majorEastAsia" w:eastAsiaTheme="majorEastAsia" w:cstheme="majorEastAsia"/>
          <w:sz w:val="22"/>
          <w:szCs w:val="22"/>
          <w:highlight w:val="none"/>
        </w:rPr>
        <w:t>部份 招标内容及要求</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_Toc23509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9</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_Toc10123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一、项目基本要求</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_Toc10123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9</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_Toc11954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二、工作标准及要求</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_Toc11954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12</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_Toc9941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三、工作流程要求</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_Toc9941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20</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_Toc28760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四、主要职责要求</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_Toc28760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28</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_Toc11773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五、相关说明及要求</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_Toc11773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31</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_Toc22196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六、其他要求及说明</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_Toc22196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32</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_Toc26382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第三部分 供应商须知</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_Toc26382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34</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_Toc18477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第四部分   合同格式（仅供参考）</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_Toc18477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46</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_Toc2073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第五部分   合同主要条款</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_Toc2073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47</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_Toc6121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第六部分 投标文件格式</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_Toc6121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53</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_Toc3012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一、资格文件部分格式</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_Toc3012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53</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_Toc28947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二、报价文件部分格式</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_Toc28947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62</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_Toc26385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三、商务技术文件部分格式</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_Toc26385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64</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_Toc17126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三、技术标部分格式</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_Toc17126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68</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pStyle w:val="29"/>
        <w:keepNext w:val="0"/>
        <w:keepLines w:val="0"/>
        <w:pageBreakBefore w:val="0"/>
        <w:widowControl w:val="0"/>
        <w:tabs>
          <w:tab w:val="right" w:leader="dot" w:pos="9638"/>
          <w:tab w:val="clear" w:pos="8777"/>
        </w:tabs>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HYPERLINK \l _Toc1824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第七部分 评标定标办法</w:t>
      </w:r>
      <w:r>
        <w:rPr>
          <w:rFonts w:hint="eastAsia" w:asciiTheme="majorEastAsia" w:hAnsiTheme="majorEastAsia" w:eastAsiaTheme="majorEastAsia" w:cstheme="majorEastAsia"/>
          <w:sz w:val="22"/>
          <w:szCs w:val="22"/>
        </w:rPr>
        <w:tab/>
      </w: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 PAGEREF _Toc1824 </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rPr>
        <w:t>71</w:t>
      </w:r>
      <w:r>
        <w:rPr>
          <w:rFonts w:hint="eastAsia" w:asciiTheme="majorEastAsia" w:hAnsiTheme="majorEastAsia" w:eastAsiaTheme="majorEastAsia" w:cstheme="majorEastAsia"/>
          <w:sz w:val="22"/>
          <w:szCs w:val="22"/>
        </w:rPr>
        <w:fldChar w:fldCharType="end"/>
      </w:r>
      <w:r>
        <w:rPr>
          <w:rFonts w:hint="eastAsia" w:asciiTheme="majorEastAsia" w:hAnsiTheme="majorEastAsia" w:eastAsiaTheme="majorEastAsia" w:cstheme="majorEastAsia"/>
          <w:color w:val="auto"/>
          <w:sz w:val="22"/>
          <w:szCs w:val="22"/>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color w:val="auto"/>
          <w:highlight w:val="none"/>
        </w:rPr>
      </w:pPr>
      <w:r>
        <w:rPr>
          <w:rFonts w:hint="eastAsia" w:asciiTheme="majorEastAsia" w:hAnsiTheme="majorEastAsia" w:eastAsiaTheme="majorEastAsia" w:cstheme="majorEastAsia"/>
          <w:color w:val="auto"/>
          <w:sz w:val="22"/>
          <w:szCs w:val="22"/>
          <w:highlight w:val="none"/>
        </w:rPr>
        <w:fldChar w:fldCharType="end"/>
      </w:r>
    </w:p>
    <w:p>
      <w:pPr>
        <w:pStyle w:val="39"/>
        <w:rPr>
          <w:rFonts w:ascii="宋体" w:cs="Times New Roman"/>
          <w:color w:val="auto"/>
          <w:sz w:val="30"/>
          <w:szCs w:val="30"/>
          <w:highlight w:val="none"/>
        </w:rPr>
      </w:pPr>
      <w:bookmarkStart w:id="3" w:name="_Toc498343162"/>
    </w:p>
    <w:p>
      <w:pPr>
        <w:widowControl/>
        <w:jc w:val="left"/>
        <w:rPr>
          <w:rFonts w:cs="新宋体" w:asciiTheme="majorEastAsia" w:hAnsiTheme="majorEastAsia" w:eastAsiaTheme="majorEastAsia"/>
          <w:b/>
          <w:bCs/>
          <w:color w:val="auto"/>
          <w:sz w:val="30"/>
          <w:szCs w:val="30"/>
          <w:highlight w:val="none"/>
        </w:rPr>
      </w:pPr>
      <w:bookmarkStart w:id="4" w:name="_Toc97033049"/>
      <w:r>
        <w:rPr>
          <w:rFonts w:cs="新宋体" w:asciiTheme="majorEastAsia" w:hAnsiTheme="majorEastAsia" w:eastAsiaTheme="majorEastAsia"/>
          <w:color w:val="auto"/>
          <w:sz w:val="30"/>
          <w:szCs w:val="30"/>
          <w:highlight w:val="none"/>
        </w:rPr>
        <w:br w:type="page"/>
      </w:r>
    </w:p>
    <w:p>
      <w:pPr>
        <w:pStyle w:val="39"/>
        <w:rPr>
          <w:rFonts w:cs="新宋体" w:asciiTheme="majorEastAsia" w:hAnsiTheme="majorEastAsia" w:eastAsiaTheme="majorEastAsia"/>
          <w:color w:val="auto"/>
          <w:sz w:val="30"/>
          <w:szCs w:val="30"/>
          <w:highlight w:val="none"/>
        </w:rPr>
      </w:pPr>
      <w:bookmarkStart w:id="5" w:name="_Toc1518"/>
      <w:r>
        <w:rPr>
          <w:rFonts w:cs="新宋体" w:asciiTheme="majorEastAsia" w:hAnsiTheme="majorEastAsia" w:eastAsiaTheme="majorEastAsia"/>
          <w:color w:val="auto"/>
          <w:sz w:val="30"/>
          <w:szCs w:val="30"/>
          <w:highlight w:val="none"/>
        </w:rPr>
        <w:t>温州市中概工程管理咨询有限公司关于永嘉县人民医院保洁护工等外包项目的公开招标公告</w:t>
      </w:r>
      <w:bookmarkEnd w:id="4"/>
      <w:bookmarkEnd w:id="5"/>
    </w:p>
    <w:p>
      <w:pPr>
        <w:pStyle w:val="38"/>
        <w:keepNext w:val="0"/>
        <w:keepLines w:val="0"/>
        <w:widowControl/>
        <w:suppressLineNumbers w:val="0"/>
        <w:spacing w:before="50" w:beforeAutospacing="0" w:after="50" w:afterAutospacing="0"/>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项目概况                                                    </w:t>
      </w:r>
    </w:p>
    <w:p>
      <w:pPr>
        <w:pStyle w:val="38"/>
        <w:keepNext w:val="0"/>
        <w:keepLines w:val="0"/>
        <w:widowControl/>
        <w:suppressLineNumbers w:val="0"/>
        <w:spacing w:before="50" w:beforeAutospacing="0" w:after="50" w:afterAutospacing="0"/>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永嘉县人民医院保洁护工等外包项目招标项目的潜在投标人应在</w:t>
      </w:r>
      <w:r>
        <w:rPr>
          <w:rFonts w:hint="eastAsia" w:asciiTheme="minorEastAsia" w:hAnsiTheme="minorEastAsia" w:eastAsiaTheme="minorEastAsia" w:cstheme="minorEastAsia"/>
          <w:i w:val="0"/>
          <w:caps w:val="0"/>
          <w:color w:val="000000"/>
          <w:spacing w:val="0"/>
          <w:sz w:val="22"/>
          <w:szCs w:val="22"/>
          <w:u w:val="none"/>
        </w:rPr>
        <w:t>政采云平台（http://zfcg.czt.zj.gov.cn） </w:t>
      </w:r>
      <w:r>
        <w:rPr>
          <w:rFonts w:hint="eastAsia" w:asciiTheme="minorEastAsia" w:hAnsiTheme="minorEastAsia" w:eastAsiaTheme="minorEastAsia" w:cstheme="minorEastAsia"/>
          <w:i w:val="0"/>
          <w:caps w:val="0"/>
          <w:color w:val="000000"/>
          <w:spacing w:val="0"/>
          <w:sz w:val="22"/>
          <w:szCs w:val="22"/>
        </w:rPr>
        <w:t>获取（下载）招标文件，并于 2022年06月13日 09:30（北京时间）前递交（上传）投标文件。                             </w:t>
      </w:r>
    </w:p>
    <w:p>
      <w:pPr>
        <w:pStyle w:val="38"/>
        <w:keepNext w:val="0"/>
        <w:keepLines w:val="0"/>
        <w:widowControl/>
        <w:suppressLineNumbers w:val="0"/>
        <w:spacing w:before="170" w:beforeAutospacing="0" w:after="170" w:afterAutospacing="0" w:line="200" w:lineRule="atLeast"/>
        <w:ind w:left="0" w:right="0"/>
        <w:jc w:val="both"/>
        <w:rPr>
          <w:rFonts w:hint="eastAsia" w:asciiTheme="minorEastAsia" w:hAnsiTheme="minorEastAsia" w:eastAsiaTheme="minorEastAsia" w:cstheme="minorEastAsia"/>
          <w:sz w:val="22"/>
          <w:szCs w:val="22"/>
        </w:rPr>
      </w:pPr>
      <w:r>
        <w:rPr>
          <w:rStyle w:val="44"/>
          <w:rFonts w:hint="eastAsia" w:asciiTheme="minorEastAsia" w:hAnsiTheme="minorEastAsia" w:eastAsiaTheme="minorEastAsia" w:cstheme="minorEastAsia"/>
          <w:i w:val="0"/>
          <w:caps w:val="0"/>
          <w:color w:val="000000"/>
          <w:spacing w:val="0"/>
          <w:sz w:val="22"/>
          <w:szCs w:val="22"/>
        </w:rPr>
        <w:t>一、项目基本情况</w:t>
      </w:r>
      <w:r>
        <w:rPr>
          <w:rFonts w:hint="eastAsia" w:asciiTheme="minorEastAsia" w:hAnsiTheme="minorEastAsia" w:eastAsiaTheme="minorEastAsia" w:cstheme="minorEastAsia"/>
          <w:i w:val="0"/>
          <w:caps w:val="0"/>
          <w:color w:val="000000"/>
          <w:spacing w:val="0"/>
          <w:sz w:val="22"/>
          <w:szCs w:val="22"/>
        </w:rPr>
        <w:t>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项目编号：F-GB202205200551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项目名称：永嘉县人民医院保洁护工等外包项目</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预算金额（元）：16350000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最高限价（元）：/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采购需求：</w:t>
      </w:r>
    </w:p>
    <w:p>
      <w:pPr>
        <w:pStyle w:val="38"/>
        <w:keepNext w:val="0"/>
        <w:keepLines w:val="0"/>
        <w:widowControl/>
        <w:suppressLineNumbers w:val="0"/>
        <w:spacing w:before="50" w:beforeAutospacing="0" w:after="50" w:afterAutospacing="0" w:line="315"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w:t>
      </w:r>
      <w:r>
        <w:rPr>
          <w:rFonts w:hint="eastAsia" w:asciiTheme="minorEastAsia" w:hAnsiTheme="minorEastAsia" w:eastAsiaTheme="minorEastAsia" w:cstheme="minorEastAsia"/>
          <w:i w:val="0"/>
          <w:caps w:val="0"/>
          <w:color w:val="000000"/>
          <w:spacing w:val="0"/>
          <w:sz w:val="22"/>
          <w:szCs w:val="22"/>
        </w:rPr>
        <w:br w:type="textWrapping"/>
      </w:r>
      <w:r>
        <w:rPr>
          <w:rFonts w:hint="eastAsia" w:asciiTheme="minorEastAsia" w:hAnsiTheme="minorEastAsia" w:eastAsiaTheme="minorEastAsia" w:cstheme="minorEastAsia"/>
          <w:i w:val="0"/>
          <w:caps w:val="0"/>
          <w:color w:val="000000"/>
          <w:spacing w:val="0"/>
          <w:sz w:val="22"/>
          <w:szCs w:val="22"/>
        </w:rPr>
        <w:t>    标项名称: 永嘉县人民医院卫生保洁、护工、物资配送、疫情防控 </w:t>
      </w:r>
      <w:r>
        <w:rPr>
          <w:rFonts w:hint="eastAsia" w:asciiTheme="minorEastAsia" w:hAnsiTheme="minorEastAsia" w:eastAsiaTheme="minorEastAsia" w:cstheme="minorEastAsia"/>
          <w:i w:val="0"/>
          <w:caps w:val="0"/>
          <w:color w:val="000000"/>
          <w:spacing w:val="0"/>
          <w:sz w:val="22"/>
          <w:szCs w:val="22"/>
        </w:rPr>
        <w:br w:type="textWrapping"/>
      </w:r>
      <w:r>
        <w:rPr>
          <w:rFonts w:hint="eastAsia" w:asciiTheme="minorEastAsia" w:hAnsiTheme="minorEastAsia" w:eastAsiaTheme="minorEastAsia" w:cstheme="minorEastAsia"/>
          <w:i w:val="0"/>
          <w:caps w:val="0"/>
          <w:color w:val="000000"/>
          <w:spacing w:val="0"/>
          <w:sz w:val="22"/>
          <w:szCs w:val="22"/>
        </w:rPr>
        <w:t>    数量: 不限  </w:t>
      </w:r>
      <w:r>
        <w:rPr>
          <w:rFonts w:hint="eastAsia" w:asciiTheme="minorEastAsia" w:hAnsiTheme="minorEastAsia" w:eastAsiaTheme="minorEastAsia" w:cstheme="minorEastAsia"/>
          <w:i w:val="0"/>
          <w:caps w:val="0"/>
          <w:color w:val="000000"/>
          <w:spacing w:val="0"/>
          <w:sz w:val="22"/>
          <w:szCs w:val="22"/>
        </w:rPr>
        <w:br w:type="textWrapping"/>
      </w:r>
      <w:r>
        <w:rPr>
          <w:rFonts w:hint="eastAsia" w:asciiTheme="minorEastAsia" w:hAnsiTheme="minorEastAsia" w:eastAsiaTheme="minorEastAsia" w:cstheme="minorEastAsia"/>
          <w:i w:val="0"/>
          <w:caps w:val="0"/>
          <w:color w:val="000000"/>
          <w:spacing w:val="0"/>
          <w:sz w:val="22"/>
          <w:szCs w:val="22"/>
        </w:rPr>
        <w:t>    预算金额（元）: 16350000 </w:t>
      </w:r>
      <w:r>
        <w:rPr>
          <w:rFonts w:hint="eastAsia" w:asciiTheme="minorEastAsia" w:hAnsiTheme="minorEastAsia" w:eastAsiaTheme="minorEastAsia" w:cstheme="minorEastAsia"/>
          <w:i w:val="0"/>
          <w:caps w:val="0"/>
          <w:color w:val="000000"/>
          <w:spacing w:val="0"/>
          <w:sz w:val="22"/>
          <w:szCs w:val="22"/>
        </w:rPr>
        <w:br w:type="textWrapping"/>
      </w:r>
      <w:r>
        <w:rPr>
          <w:rFonts w:hint="eastAsia" w:asciiTheme="minorEastAsia" w:hAnsiTheme="minorEastAsia" w:eastAsiaTheme="minorEastAsia" w:cstheme="minorEastAsia"/>
          <w:i w:val="0"/>
          <w:caps w:val="0"/>
          <w:color w:val="000000"/>
          <w:spacing w:val="0"/>
          <w:sz w:val="22"/>
          <w:szCs w:val="22"/>
        </w:rPr>
        <w:t>    简要规格描述或项目基本概况介绍、用途：永嘉县人民医院保洁护工等外包项目，具体详见招标文件 </w:t>
      </w:r>
      <w:r>
        <w:rPr>
          <w:rFonts w:hint="eastAsia" w:asciiTheme="minorEastAsia" w:hAnsiTheme="minorEastAsia" w:eastAsiaTheme="minorEastAsia" w:cstheme="minorEastAsia"/>
          <w:i w:val="0"/>
          <w:caps w:val="0"/>
          <w:color w:val="000000"/>
          <w:spacing w:val="0"/>
          <w:sz w:val="22"/>
          <w:szCs w:val="22"/>
        </w:rPr>
        <w:br w:type="textWrapping"/>
      </w:r>
      <w:r>
        <w:rPr>
          <w:rFonts w:hint="eastAsia" w:asciiTheme="minorEastAsia" w:hAnsiTheme="minorEastAsia" w:eastAsiaTheme="minorEastAsia" w:cstheme="minorEastAsia"/>
          <w:i w:val="0"/>
          <w:caps w:val="0"/>
          <w:color w:val="000000"/>
          <w:spacing w:val="0"/>
          <w:sz w:val="22"/>
          <w:szCs w:val="22"/>
        </w:rPr>
        <w:t>    备注：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合同履约期限：标项 1，3年</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本项目（否）接受联合体投标。</w:t>
      </w:r>
    </w:p>
    <w:p>
      <w:pPr>
        <w:pStyle w:val="38"/>
        <w:keepNext w:val="0"/>
        <w:keepLines w:val="0"/>
        <w:widowControl/>
        <w:suppressLineNumbers w:val="0"/>
        <w:spacing w:before="150" w:beforeAutospacing="0" w:after="150" w:afterAutospacing="0" w:line="200" w:lineRule="atLeast"/>
        <w:ind w:left="0" w:right="0"/>
        <w:rPr>
          <w:rFonts w:hint="eastAsia" w:asciiTheme="minorEastAsia" w:hAnsiTheme="minorEastAsia" w:eastAsiaTheme="minorEastAsia" w:cstheme="minorEastAsia"/>
          <w:sz w:val="22"/>
          <w:szCs w:val="22"/>
        </w:rPr>
      </w:pPr>
      <w:r>
        <w:rPr>
          <w:rStyle w:val="44"/>
          <w:rFonts w:hint="eastAsia" w:asciiTheme="minorEastAsia" w:hAnsiTheme="minorEastAsia" w:eastAsiaTheme="minorEastAsia" w:cstheme="minorEastAsia"/>
          <w:i w:val="0"/>
          <w:caps w:val="0"/>
          <w:color w:val="000000"/>
          <w:spacing w:val="0"/>
          <w:sz w:val="22"/>
          <w:szCs w:val="22"/>
        </w:rPr>
        <w:t>二、申请人的资格要求：</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2.落实政府采购政策需满足的资格要求：标项1：供应商为中小企业/小微企业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3.本项目的特定资格要求：无 </w:t>
      </w:r>
    </w:p>
    <w:p>
      <w:pPr>
        <w:pStyle w:val="38"/>
        <w:keepNext w:val="0"/>
        <w:keepLines w:val="0"/>
        <w:widowControl/>
        <w:suppressLineNumbers w:val="0"/>
        <w:spacing w:before="170" w:beforeAutospacing="0" w:after="170" w:afterAutospacing="0" w:line="200" w:lineRule="atLeast"/>
        <w:ind w:left="0" w:right="0"/>
        <w:jc w:val="both"/>
        <w:rPr>
          <w:rFonts w:hint="eastAsia" w:asciiTheme="minorEastAsia" w:hAnsiTheme="minorEastAsia" w:eastAsiaTheme="minorEastAsia" w:cstheme="minorEastAsia"/>
          <w:sz w:val="22"/>
          <w:szCs w:val="22"/>
        </w:rPr>
      </w:pPr>
      <w:r>
        <w:rPr>
          <w:rStyle w:val="44"/>
          <w:rFonts w:hint="eastAsia" w:asciiTheme="minorEastAsia" w:hAnsiTheme="minorEastAsia" w:eastAsiaTheme="minorEastAsia" w:cstheme="minorEastAsia"/>
          <w:i w:val="0"/>
          <w:caps w:val="0"/>
          <w:color w:val="000000"/>
          <w:spacing w:val="0"/>
          <w:sz w:val="22"/>
          <w:szCs w:val="22"/>
        </w:rPr>
        <w:t>三、获取招标文件</w:t>
      </w:r>
      <w:r>
        <w:rPr>
          <w:rFonts w:hint="eastAsia" w:asciiTheme="minorEastAsia" w:hAnsiTheme="minorEastAsia" w:eastAsiaTheme="minorEastAsia" w:cstheme="minorEastAsia"/>
          <w:i w:val="0"/>
          <w:caps w:val="0"/>
          <w:color w:val="000000"/>
          <w:spacing w:val="0"/>
          <w:sz w:val="22"/>
          <w:szCs w:val="22"/>
        </w:rPr>
        <w:t>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w:t>
      </w:r>
      <w:r>
        <w:rPr>
          <w:rFonts w:hint="eastAsia" w:asciiTheme="minorEastAsia" w:hAnsiTheme="minorEastAsia" w:eastAsiaTheme="minorEastAsia" w:cstheme="minorEastAsia"/>
          <w:i w:val="0"/>
          <w:caps w:val="0"/>
          <w:color w:val="000000"/>
          <w:spacing w:val="0"/>
          <w:sz w:val="22"/>
          <w:szCs w:val="22"/>
          <w:u w:val="none"/>
        </w:rPr>
        <w:t>时间：/至2022年06月13日 ，每天上午00:00至12:00 ，下午12:00至23:59（北京时间，线上获取法定节假日均可，线下获取文件法定节假日除外）</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地点（网址）：政采云平台（http://zfcg.czt.zj.gov.cn）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方式：供应商登录政采云平台https://www.zcygov.cn/在线申请获取采购文件（进入“项目采购”应用，在获取采购文件菜单中选择项目，申请获取采购文件）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售价（元）：0 </w:t>
      </w:r>
    </w:p>
    <w:p>
      <w:pPr>
        <w:pStyle w:val="38"/>
        <w:keepNext w:val="0"/>
        <w:keepLines w:val="0"/>
        <w:widowControl/>
        <w:suppressLineNumbers w:val="0"/>
        <w:spacing w:before="170" w:beforeAutospacing="0" w:after="170" w:afterAutospacing="0" w:line="200" w:lineRule="atLeast"/>
        <w:ind w:left="0" w:right="0"/>
        <w:jc w:val="both"/>
        <w:rPr>
          <w:rFonts w:hint="eastAsia" w:asciiTheme="minorEastAsia" w:hAnsiTheme="minorEastAsia" w:eastAsiaTheme="minorEastAsia" w:cstheme="minorEastAsia"/>
          <w:sz w:val="22"/>
          <w:szCs w:val="22"/>
        </w:rPr>
      </w:pPr>
      <w:r>
        <w:rPr>
          <w:rStyle w:val="44"/>
          <w:rFonts w:hint="eastAsia" w:asciiTheme="minorEastAsia" w:hAnsiTheme="minorEastAsia" w:eastAsiaTheme="minorEastAsia" w:cstheme="minorEastAsia"/>
          <w:i w:val="0"/>
          <w:caps w:val="0"/>
          <w:color w:val="000000"/>
          <w:spacing w:val="0"/>
          <w:sz w:val="22"/>
          <w:szCs w:val="22"/>
        </w:rPr>
        <w:t>四、提交投标文件截止时间、开标时间和地点</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w:t>
      </w:r>
      <w:r>
        <w:rPr>
          <w:rFonts w:hint="eastAsia" w:asciiTheme="minorEastAsia" w:hAnsiTheme="minorEastAsia" w:eastAsiaTheme="minorEastAsia" w:cstheme="minorEastAsia"/>
          <w:i w:val="0"/>
          <w:caps w:val="0"/>
          <w:color w:val="000000"/>
          <w:spacing w:val="0"/>
          <w:sz w:val="22"/>
          <w:szCs w:val="22"/>
          <w:u w:val="none"/>
        </w:rPr>
        <w:t> 提交投标文件截止时间：2022年06月13日 09:30（北京时间）</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w:t>
      </w:r>
      <w:r>
        <w:rPr>
          <w:rFonts w:hint="eastAsia" w:asciiTheme="minorEastAsia" w:hAnsiTheme="minorEastAsia" w:eastAsiaTheme="minorEastAsia" w:cstheme="minorEastAsia"/>
          <w:i w:val="0"/>
          <w:caps w:val="0"/>
          <w:color w:val="000000"/>
          <w:spacing w:val="0"/>
          <w:sz w:val="22"/>
          <w:szCs w:val="22"/>
          <w:u w:val="none"/>
        </w:rPr>
        <w:t> 投标地点（网址）：政采云电子投标客户端在线提交</w:t>
      </w:r>
      <w:r>
        <w:rPr>
          <w:rFonts w:hint="eastAsia" w:asciiTheme="minorEastAsia" w:hAnsiTheme="minorEastAsia" w:eastAsiaTheme="minorEastAsia" w:cstheme="minorEastAsia"/>
          <w:i w:val="0"/>
          <w:caps w:val="0"/>
          <w:color w:val="000000"/>
          <w:spacing w:val="0"/>
          <w:sz w:val="22"/>
          <w:szCs w:val="22"/>
        </w:rPr>
        <w:t>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u w:val="none"/>
        </w:rPr>
        <w:t>    开标时间：2022年06月13日 09:30</w:t>
      </w:r>
      <w:r>
        <w:rPr>
          <w:rFonts w:hint="eastAsia" w:asciiTheme="minorEastAsia" w:hAnsiTheme="minorEastAsia" w:eastAsiaTheme="minorEastAsia" w:cstheme="minorEastAsia"/>
          <w:i w:val="0"/>
          <w:caps w:val="0"/>
          <w:color w:val="000000"/>
          <w:spacing w:val="0"/>
          <w:sz w:val="22"/>
          <w:szCs w:val="22"/>
        </w:rPr>
        <w:t>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u w:val="none"/>
        </w:rPr>
        <w:t>    开标地点（网址）：永嘉县公共资源交易中心评标室（永嘉上塘广场路建设大厦三楼）</w:t>
      </w:r>
      <w:r>
        <w:rPr>
          <w:rFonts w:hint="eastAsia" w:asciiTheme="minorEastAsia" w:hAnsiTheme="minorEastAsia" w:eastAsiaTheme="minorEastAsia" w:cstheme="minorEastAsia"/>
          <w:i w:val="0"/>
          <w:caps w:val="0"/>
          <w:color w:val="000000"/>
          <w:spacing w:val="0"/>
          <w:sz w:val="22"/>
          <w:szCs w:val="22"/>
        </w:rPr>
        <w:t>  </w:t>
      </w:r>
    </w:p>
    <w:p>
      <w:pPr>
        <w:pStyle w:val="38"/>
        <w:keepNext w:val="0"/>
        <w:keepLines w:val="0"/>
        <w:widowControl/>
        <w:suppressLineNumbers w:val="0"/>
        <w:spacing w:before="170" w:beforeAutospacing="0" w:after="170" w:afterAutospacing="0" w:line="200" w:lineRule="atLeast"/>
        <w:ind w:left="0" w:right="0"/>
        <w:jc w:val="both"/>
        <w:rPr>
          <w:rFonts w:hint="eastAsia" w:asciiTheme="minorEastAsia" w:hAnsiTheme="minorEastAsia" w:eastAsiaTheme="minorEastAsia" w:cstheme="minorEastAsia"/>
          <w:sz w:val="22"/>
          <w:szCs w:val="22"/>
        </w:rPr>
      </w:pPr>
      <w:r>
        <w:rPr>
          <w:rStyle w:val="44"/>
          <w:rFonts w:hint="eastAsia" w:asciiTheme="minorEastAsia" w:hAnsiTheme="minorEastAsia" w:eastAsiaTheme="minorEastAsia" w:cstheme="minorEastAsia"/>
          <w:i w:val="0"/>
          <w:caps w:val="0"/>
          <w:color w:val="000000"/>
          <w:spacing w:val="0"/>
          <w:sz w:val="22"/>
          <w:szCs w:val="22"/>
        </w:rPr>
        <w:t>五、公告期限</w:t>
      </w:r>
      <w:r>
        <w:rPr>
          <w:rFonts w:hint="eastAsia" w:asciiTheme="minorEastAsia" w:hAnsiTheme="minorEastAsia" w:eastAsiaTheme="minorEastAsia" w:cstheme="minorEastAsia"/>
          <w:i w:val="0"/>
          <w:caps w:val="0"/>
          <w:color w:val="000000"/>
          <w:spacing w:val="0"/>
          <w:sz w:val="22"/>
          <w:szCs w:val="22"/>
        </w:rPr>
        <w:t> </w:t>
      </w:r>
    </w:p>
    <w:p>
      <w:pPr>
        <w:pStyle w:val="38"/>
        <w:keepNext w:val="0"/>
        <w:keepLines w:val="0"/>
        <w:widowControl/>
        <w:suppressLineNumbers w:val="0"/>
        <w:spacing w:before="50" w:beforeAutospacing="0" w:after="50" w:afterAutospacing="0"/>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自本公告发布之日起5个工作日。</w:t>
      </w:r>
    </w:p>
    <w:p>
      <w:pPr>
        <w:pStyle w:val="38"/>
        <w:keepNext w:val="0"/>
        <w:keepLines w:val="0"/>
        <w:widowControl/>
        <w:suppressLineNumbers w:val="0"/>
        <w:spacing w:before="170" w:beforeAutospacing="0" w:after="170" w:afterAutospacing="0" w:line="200" w:lineRule="atLeast"/>
        <w:ind w:left="0" w:right="0"/>
        <w:jc w:val="both"/>
        <w:rPr>
          <w:rFonts w:hint="eastAsia" w:asciiTheme="minorEastAsia" w:hAnsiTheme="minorEastAsia" w:eastAsiaTheme="minorEastAsia" w:cstheme="minorEastAsia"/>
          <w:sz w:val="22"/>
          <w:szCs w:val="22"/>
        </w:rPr>
      </w:pPr>
      <w:r>
        <w:rPr>
          <w:rStyle w:val="44"/>
          <w:rFonts w:hint="eastAsia" w:asciiTheme="minorEastAsia" w:hAnsiTheme="minorEastAsia" w:eastAsiaTheme="minorEastAsia" w:cstheme="minorEastAsia"/>
          <w:i w:val="0"/>
          <w:caps w:val="0"/>
          <w:color w:val="000000"/>
          <w:spacing w:val="0"/>
          <w:sz w:val="22"/>
          <w:szCs w:val="22"/>
        </w:rPr>
        <w:t>六、其他补充事宜</w:t>
      </w:r>
    </w:p>
    <w:p>
      <w:pPr>
        <w:pStyle w:val="38"/>
        <w:keepNext w:val="0"/>
        <w:keepLines w:val="0"/>
        <w:widowControl/>
        <w:suppressLineNumbers w:val="0"/>
        <w:spacing w:before="170" w:beforeAutospacing="0" w:after="170" w:afterAutospacing="0" w:line="200" w:lineRule="atLeast"/>
        <w:ind w:left="0" w:right="0" w:firstLine="42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8"/>
        <w:keepNext w:val="0"/>
        <w:keepLines w:val="0"/>
        <w:widowControl/>
        <w:suppressLineNumbers w:val="0"/>
        <w:spacing w:before="170" w:beforeAutospacing="0" w:after="170" w:afterAutospacing="0" w:line="200" w:lineRule="atLeast"/>
        <w:ind w:left="0" w:right="0" w:firstLine="42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38"/>
        <w:keepNext w:val="0"/>
        <w:keepLines w:val="0"/>
        <w:widowControl/>
        <w:suppressLineNumbers w:val="0"/>
        <w:spacing w:before="50" w:beforeAutospacing="0" w:after="50" w:afterAutospacing="0" w:line="315" w:lineRule="atLeast"/>
        <w:ind w:left="0" w:right="0" w:firstLine="4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3.其他事项：在线投标响应（电子投标）说明 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3、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 注：请供应商按上述要求获取采购文件，如未在“政采云”系统内完成相关流程，引起的投标无效责任自负。  </w:t>
      </w:r>
    </w:p>
    <w:p>
      <w:pPr>
        <w:pStyle w:val="38"/>
        <w:keepNext w:val="0"/>
        <w:keepLines w:val="0"/>
        <w:widowControl/>
        <w:suppressLineNumbers w:val="0"/>
        <w:spacing w:before="170" w:beforeAutospacing="0" w:after="170" w:afterAutospacing="0" w:line="320" w:lineRule="atLeast"/>
        <w:ind w:left="0" w:right="0"/>
        <w:jc w:val="both"/>
        <w:rPr>
          <w:rFonts w:hint="eastAsia" w:asciiTheme="minorEastAsia" w:hAnsiTheme="minorEastAsia" w:eastAsiaTheme="minorEastAsia" w:cstheme="minorEastAsia"/>
          <w:sz w:val="22"/>
          <w:szCs w:val="22"/>
        </w:rPr>
      </w:pPr>
      <w:r>
        <w:rPr>
          <w:rStyle w:val="44"/>
          <w:rFonts w:hint="eastAsia" w:asciiTheme="minorEastAsia" w:hAnsiTheme="minorEastAsia" w:eastAsiaTheme="minorEastAsia" w:cstheme="minorEastAsia"/>
          <w:i w:val="0"/>
          <w:caps w:val="0"/>
          <w:color w:val="000000"/>
          <w:spacing w:val="0"/>
          <w:sz w:val="22"/>
          <w:szCs w:val="22"/>
        </w:rPr>
        <w:t>七、对本次采购提出询问、质疑、投诉，请按以下方式联系</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1.采购人信息</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名    称：永嘉县人民医院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地    址：上塘镇永中路37号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传    真：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项目联系人（询问）：周先生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项目联系方式（询问）：0577-66966623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质疑联系人：周先生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质疑联系方式：0577-66966623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w:t>
      </w:r>
      <w:r>
        <w:rPr>
          <w:rFonts w:hint="eastAsia" w:asciiTheme="minorEastAsia" w:hAnsiTheme="minorEastAsia" w:eastAsiaTheme="minorEastAsia" w:cstheme="minorEastAsia"/>
          <w:i w:val="0"/>
          <w:caps w:val="0"/>
          <w:color w:val="000000"/>
          <w:spacing w:val="0"/>
          <w:sz w:val="22"/>
          <w:szCs w:val="22"/>
        </w:rPr>
        <w:br w:type="textWrapping"/>
      </w:r>
      <w:r>
        <w:rPr>
          <w:rFonts w:hint="eastAsia" w:asciiTheme="minorEastAsia" w:hAnsiTheme="minorEastAsia" w:eastAsiaTheme="minorEastAsia" w:cstheme="minorEastAsia"/>
          <w:i w:val="0"/>
          <w:caps w:val="0"/>
          <w:color w:val="000000"/>
          <w:spacing w:val="0"/>
          <w:sz w:val="22"/>
          <w:szCs w:val="22"/>
        </w:rPr>
        <w:t>    2.采购代理机构信息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名    称：温州市中概工程管理咨询有限公司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地    址：温州市永嘉县南城街道环城北路618号云碓大厦503室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传    真：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项目联系人（询问）：胡可可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项目联系方式（询问）：15258683545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质疑联系人：余茜茜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质疑联系方式：13567723502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w:t>
      </w:r>
      <w:r>
        <w:rPr>
          <w:rFonts w:hint="eastAsia" w:asciiTheme="minorEastAsia" w:hAnsiTheme="minorEastAsia" w:eastAsiaTheme="minorEastAsia" w:cstheme="minorEastAsia"/>
          <w:i w:val="0"/>
          <w:caps w:val="0"/>
          <w:color w:val="000000"/>
          <w:spacing w:val="0"/>
          <w:sz w:val="22"/>
          <w:szCs w:val="22"/>
        </w:rPr>
        <w:br w:type="textWrapping"/>
      </w:r>
      <w:r>
        <w:rPr>
          <w:rFonts w:hint="eastAsia" w:asciiTheme="minorEastAsia" w:hAnsiTheme="minorEastAsia" w:eastAsiaTheme="minorEastAsia" w:cstheme="minorEastAsia"/>
          <w:i w:val="0"/>
          <w:caps w:val="0"/>
          <w:color w:val="000000"/>
          <w:spacing w:val="0"/>
          <w:sz w:val="22"/>
          <w:szCs w:val="22"/>
        </w:rPr>
        <w:t>    3.同级政府采购监督管理部门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名    称：永嘉县财政局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地    址：/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传    真：/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联系人 ：胡先生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监督投诉电话：0577-67230257              </w:t>
      </w:r>
    </w:p>
    <w:p>
      <w:pPr>
        <w:pStyle w:val="38"/>
        <w:keepNext w:val="0"/>
        <w:keepLines w:val="0"/>
        <w:widowControl/>
        <w:suppressLineNumbers w:val="0"/>
        <w:spacing w:before="50" w:beforeAutospacing="0" w:after="50" w:afterAutospacing="0" w:line="200" w:lineRule="atLeast"/>
        <w:ind w:left="0" w:right="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i w:val="0"/>
          <w:caps w:val="0"/>
          <w:color w:val="000000"/>
          <w:spacing w:val="0"/>
          <w:sz w:val="22"/>
          <w:szCs w:val="22"/>
        </w:rPr>
        <w:t>         </w:t>
      </w:r>
    </w:p>
    <w:p>
      <w:pPr>
        <w:pStyle w:val="38"/>
        <w:keepNext w:val="0"/>
        <w:keepLines w:val="0"/>
        <w:widowControl/>
        <w:suppressLineNumbers w:val="0"/>
        <w:spacing w:before="50" w:beforeAutospacing="0" w:after="50" w:afterAutospacing="0"/>
        <w:ind w:left="0" w:right="0"/>
        <w:rPr>
          <w:rFonts w:hint="eastAsia" w:asciiTheme="minorEastAsia" w:hAnsiTheme="minorEastAsia" w:eastAsiaTheme="minorEastAsia" w:cstheme="minorEastAsia"/>
          <w:sz w:val="22"/>
          <w:szCs w:val="22"/>
        </w:rPr>
      </w:pPr>
    </w:p>
    <w:p>
      <w:pPr>
        <w:keepNext w:val="0"/>
        <w:keepLines w:val="0"/>
        <w:widowControl/>
        <w:suppressLineNumbers w:val="0"/>
        <w:ind w:left="0" w:firstLine="0"/>
        <w:jc w:val="left"/>
        <w:rPr>
          <w:rFonts w:hint="eastAsia" w:asciiTheme="minorEastAsia" w:hAnsiTheme="minorEastAsia" w:eastAsiaTheme="minorEastAsia" w:cstheme="minorEastAsia"/>
          <w:i w:val="0"/>
          <w:caps w:val="0"/>
          <w:color w:val="000000"/>
          <w:spacing w:val="0"/>
          <w:sz w:val="22"/>
          <w:szCs w:val="22"/>
        </w:rPr>
      </w:pPr>
      <w:r>
        <w:rPr>
          <w:rFonts w:hint="eastAsia" w:asciiTheme="minorEastAsia" w:hAnsiTheme="minorEastAsia" w:eastAsiaTheme="minorEastAsia" w:cstheme="minorEastAsia"/>
          <w:i w:val="0"/>
          <w:caps w:val="0"/>
          <w:color w:val="000000"/>
          <w:spacing w:val="0"/>
          <w:kern w:val="0"/>
          <w:sz w:val="22"/>
          <w:szCs w:val="22"/>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ind w:left="0" w:firstLine="0"/>
        <w:jc w:val="lef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i w:val="0"/>
          <w:caps w:val="0"/>
          <w:color w:val="000000"/>
          <w:spacing w:val="0"/>
          <w:kern w:val="0"/>
          <w:sz w:val="22"/>
          <w:szCs w:val="22"/>
          <w:lang w:val="en-US" w:eastAsia="zh-CN" w:bidi="ar"/>
        </w:rPr>
        <w:t>CA问题联系电话（人工）：汇信CA 400-888-4636；天谷CA 400-087-8198。</w:t>
      </w:r>
    </w:p>
    <w:p>
      <w:pPr>
        <w:pStyle w:val="38"/>
        <w:rPr>
          <w:color w:val="auto"/>
          <w:highlight w:val="none"/>
        </w:rPr>
      </w:pPr>
    </w:p>
    <w:p>
      <w:pPr>
        <w:pStyle w:val="39"/>
        <w:rPr>
          <w:rFonts w:ascii="宋体" w:cs="Times New Roman"/>
          <w:color w:val="auto"/>
          <w:sz w:val="30"/>
          <w:szCs w:val="30"/>
          <w:highlight w:val="none"/>
        </w:rPr>
      </w:pPr>
    </w:p>
    <w:bookmarkEnd w:id="1"/>
    <w:bookmarkEnd w:id="3"/>
    <w:p>
      <w:pPr>
        <w:spacing w:line="360" w:lineRule="auto"/>
        <w:jc w:val="center"/>
        <w:outlineLvl w:val="0"/>
        <w:rPr>
          <w:rFonts w:ascii="宋体"/>
          <w:color w:val="auto"/>
          <w:sz w:val="30"/>
          <w:szCs w:val="30"/>
          <w:highlight w:val="none"/>
        </w:rPr>
      </w:pPr>
      <w:bookmarkStart w:id="6" w:name="_Toc496116238"/>
      <w:bookmarkStart w:id="7" w:name="_Toc498343163"/>
      <w:bookmarkStart w:id="8" w:name="_Toc486964700"/>
      <w:r>
        <w:rPr>
          <w:rFonts w:ascii="宋体"/>
          <w:color w:val="auto"/>
          <w:sz w:val="30"/>
          <w:szCs w:val="30"/>
          <w:highlight w:val="none"/>
        </w:rPr>
        <w:br w:type="page"/>
      </w:r>
      <w:bookmarkEnd w:id="6"/>
      <w:bookmarkEnd w:id="7"/>
      <w:bookmarkEnd w:id="8"/>
      <w:bookmarkStart w:id="9" w:name="_Toc496116239"/>
      <w:bookmarkStart w:id="10" w:name="_Toc498343164"/>
      <w:bookmarkStart w:id="11" w:name="_Toc30684"/>
      <w:r>
        <w:rPr>
          <w:rFonts w:hint="eastAsia" w:ascii="宋体"/>
          <w:color w:val="auto"/>
          <w:sz w:val="30"/>
          <w:szCs w:val="30"/>
          <w:highlight w:val="none"/>
          <w:lang w:val="en-US" w:eastAsia="zh-CN"/>
        </w:rPr>
        <w:t xml:space="preserve">第一部分  </w:t>
      </w:r>
      <w:r>
        <w:rPr>
          <w:rFonts w:hint="eastAsia" w:ascii="宋体" w:hAnsi="宋体" w:cs="宋体"/>
          <w:color w:val="auto"/>
          <w:sz w:val="30"/>
          <w:szCs w:val="30"/>
          <w:highlight w:val="none"/>
        </w:rPr>
        <w:t>投标通知</w:t>
      </w:r>
      <w:r>
        <w:rPr>
          <w:rFonts w:ascii="宋体" w:hAnsi="宋体" w:cs="宋体"/>
          <w:color w:val="auto"/>
          <w:sz w:val="30"/>
          <w:szCs w:val="30"/>
          <w:highlight w:val="none"/>
        </w:rPr>
        <w:t>(</w:t>
      </w:r>
      <w:r>
        <w:rPr>
          <w:rFonts w:hint="eastAsia" w:ascii="宋体" w:hAnsi="宋体" w:cs="宋体"/>
          <w:color w:val="auto"/>
          <w:sz w:val="30"/>
          <w:szCs w:val="30"/>
          <w:highlight w:val="none"/>
        </w:rPr>
        <w:t>邀请</w:t>
      </w:r>
      <w:r>
        <w:rPr>
          <w:rFonts w:ascii="宋体" w:hAnsi="宋体" w:cs="宋体"/>
          <w:color w:val="auto"/>
          <w:sz w:val="30"/>
          <w:szCs w:val="30"/>
          <w:highlight w:val="none"/>
        </w:rPr>
        <w:t>)</w:t>
      </w:r>
      <w:r>
        <w:rPr>
          <w:rFonts w:hint="eastAsia" w:ascii="宋体" w:hAnsi="宋体" w:cs="宋体"/>
          <w:color w:val="auto"/>
          <w:sz w:val="30"/>
          <w:szCs w:val="30"/>
          <w:highlight w:val="none"/>
        </w:rPr>
        <w:t>书</w:t>
      </w:r>
      <w:bookmarkEnd w:id="9"/>
      <w:bookmarkEnd w:id="10"/>
      <w:bookmarkEnd w:id="11"/>
    </w:p>
    <w:tbl>
      <w:tblPr>
        <w:tblStyle w:val="41"/>
        <w:tblW w:w="1023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4"/>
        <w:gridCol w:w="1715"/>
        <w:gridCol w:w="7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12" w:hRule="atLeast"/>
          <w:jc w:val="center"/>
        </w:trPr>
        <w:tc>
          <w:tcPr>
            <w:tcW w:w="694" w:type="dxa"/>
            <w:tcBorders>
              <w:top w:val="single" w:color="auto" w:sz="12" w:space="0"/>
            </w:tcBorders>
            <w:vAlign w:val="center"/>
          </w:tcPr>
          <w:p>
            <w:pPr>
              <w:spacing w:line="400" w:lineRule="atLeast"/>
              <w:jc w:val="center"/>
              <w:rPr>
                <w:rFonts w:ascii="宋体"/>
                <w:color w:val="auto"/>
                <w:sz w:val="22"/>
                <w:highlight w:val="none"/>
              </w:rPr>
            </w:pPr>
            <w:r>
              <w:rPr>
                <w:rFonts w:hint="eastAsia" w:ascii="宋体" w:cs="宋体"/>
                <w:color w:val="auto"/>
                <w:sz w:val="22"/>
                <w:szCs w:val="22"/>
                <w:highlight w:val="none"/>
              </w:rPr>
              <w:t>序号</w:t>
            </w:r>
          </w:p>
        </w:tc>
        <w:tc>
          <w:tcPr>
            <w:tcW w:w="1715" w:type="dxa"/>
            <w:tcBorders>
              <w:top w:val="single" w:color="auto" w:sz="12" w:space="0"/>
            </w:tcBorders>
            <w:vAlign w:val="center"/>
          </w:tcPr>
          <w:p>
            <w:pPr>
              <w:spacing w:line="400" w:lineRule="atLeast"/>
              <w:jc w:val="center"/>
              <w:rPr>
                <w:rFonts w:ascii="宋体"/>
                <w:color w:val="auto"/>
                <w:sz w:val="22"/>
                <w:highlight w:val="none"/>
              </w:rPr>
            </w:pPr>
            <w:r>
              <w:rPr>
                <w:rFonts w:hint="eastAsia" w:ascii="宋体" w:cs="宋体"/>
                <w:color w:val="auto"/>
                <w:sz w:val="22"/>
                <w:szCs w:val="22"/>
                <w:highlight w:val="none"/>
              </w:rPr>
              <w:t>内容</w:t>
            </w:r>
          </w:p>
        </w:tc>
        <w:tc>
          <w:tcPr>
            <w:tcW w:w="7821" w:type="dxa"/>
            <w:tcBorders>
              <w:top w:val="single" w:color="auto" w:sz="12" w:space="0"/>
            </w:tcBorders>
            <w:vAlign w:val="center"/>
          </w:tcPr>
          <w:p>
            <w:pPr>
              <w:spacing w:line="400" w:lineRule="atLeast"/>
              <w:jc w:val="center"/>
              <w:rPr>
                <w:rFonts w:ascii="宋体"/>
                <w:color w:val="auto"/>
                <w:sz w:val="22"/>
                <w:highlight w:val="none"/>
              </w:rPr>
            </w:pPr>
            <w:r>
              <w:rPr>
                <w:rFonts w:hint="eastAsia" w:ascii="宋体" w:cs="宋体"/>
                <w:color w:val="auto"/>
                <w:sz w:val="22"/>
                <w:szCs w:val="22"/>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color w:val="auto"/>
                <w:sz w:val="22"/>
                <w:highlight w:val="none"/>
              </w:rPr>
            </w:pPr>
            <w:r>
              <w:rPr>
                <w:rFonts w:ascii="宋体" w:cs="宋体"/>
                <w:color w:val="auto"/>
                <w:sz w:val="22"/>
                <w:szCs w:val="22"/>
                <w:highlight w:val="none"/>
              </w:rPr>
              <w:t>1</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项目名称</w:t>
            </w:r>
          </w:p>
        </w:tc>
        <w:tc>
          <w:tcPr>
            <w:tcW w:w="7821" w:type="dxa"/>
            <w:vAlign w:val="center"/>
          </w:tcPr>
          <w:p>
            <w:pPr>
              <w:rPr>
                <w:rFonts w:ascii="宋体"/>
                <w:color w:val="auto"/>
                <w:sz w:val="22"/>
                <w:highlight w:val="none"/>
              </w:rPr>
            </w:pPr>
            <w:r>
              <w:rPr>
                <w:rFonts w:hint="eastAsia" w:ascii="宋体" w:hAnsi="宋体" w:cs="宋体"/>
                <w:color w:val="auto"/>
                <w:sz w:val="22"/>
                <w:szCs w:val="22"/>
                <w:highlight w:val="none"/>
              </w:rPr>
              <w:t>永嘉县人民医院保洁护工等外包项目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color w:val="auto"/>
                <w:sz w:val="22"/>
                <w:highlight w:val="none"/>
              </w:rPr>
            </w:pPr>
            <w:r>
              <w:rPr>
                <w:rFonts w:ascii="宋体" w:cs="宋体"/>
                <w:color w:val="auto"/>
                <w:sz w:val="22"/>
                <w:szCs w:val="22"/>
                <w:highlight w:val="none"/>
              </w:rPr>
              <w:t>2</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项目编号</w:t>
            </w:r>
          </w:p>
        </w:tc>
        <w:tc>
          <w:tcPr>
            <w:tcW w:w="7821" w:type="dxa"/>
            <w:vAlign w:val="center"/>
          </w:tcPr>
          <w:p>
            <w:pPr>
              <w:rPr>
                <w:rFonts w:hint="eastAsia" w:ascii="宋体" w:eastAsia="宋体"/>
                <w:color w:val="auto"/>
                <w:sz w:val="22"/>
                <w:highlight w:val="none"/>
                <w:lang w:eastAsia="zh-CN"/>
              </w:rPr>
            </w:pPr>
            <w:r>
              <w:rPr>
                <w:rFonts w:hint="eastAsia" w:ascii="宋体" w:cs="宋体"/>
                <w:color w:val="auto"/>
                <w:sz w:val="22"/>
                <w:szCs w:val="22"/>
                <w:highlight w:val="none"/>
                <w:lang w:eastAsia="zh-CN"/>
              </w:rPr>
              <w:t>F-GB202205200551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color w:val="auto"/>
                <w:sz w:val="22"/>
                <w:highlight w:val="none"/>
              </w:rPr>
            </w:pPr>
            <w:r>
              <w:rPr>
                <w:rFonts w:ascii="宋体" w:cs="宋体"/>
                <w:color w:val="auto"/>
                <w:sz w:val="22"/>
                <w:szCs w:val="22"/>
                <w:highlight w:val="none"/>
              </w:rPr>
              <w:t>3</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采购预算</w:t>
            </w:r>
          </w:p>
        </w:tc>
        <w:tc>
          <w:tcPr>
            <w:tcW w:w="7821" w:type="dxa"/>
            <w:vAlign w:val="center"/>
          </w:tcPr>
          <w:p>
            <w:pPr>
              <w:rPr>
                <w:rFonts w:ascii="宋体"/>
                <w:color w:val="auto"/>
                <w:sz w:val="22"/>
                <w:highlight w:val="none"/>
              </w:rPr>
            </w:pPr>
            <w:r>
              <w:rPr>
                <w:rFonts w:hint="eastAsia" w:ascii="宋体" w:cs="宋体"/>
                <w:color w:val="auto"/>
                <w:sz w:val="22"/>
                <w:szCs w:val="22"/>
                <w:highlight w:val="none"/>
              </w:rPr>
              <w:t>三年预算：</w:t>
            </w:r>
            <w:r>
              <w:rPr>
                <w:rFonts w:ascii="宋体" w:cs="宋体"/>
                <w:color w:val="auto"/>
                <w:sz w:val="22"/>
                <w:szCs w:val="22"/>
                <w:highlight w:val="none"/>
              </w:rPr>
              <w:t>1635</w:t>
            </w:r>
            <w:r>
              <w:rPr>
                <w:rFonts w:hint="eastAsia" w:ascii="宋体" w:cs="宋体"/>
                <w:color w:val="auto"/>
                <w:sz w:val="22"/>
                <w:szCs w:val="22"/>
                <w:highlight w:val="none"/>
              </w:rPr>
              <w:t>万元，一年预算：</w:t>
            </w:r>
            <w:r>
              <w:rPr>
                <w:rFonts w:ascii="宋体" w:cs="宋体"/>
                <w:color w:val="auto"/>
                <w:sz w:val="22"/>
                <w:szCs w:val="22"/>
                <w:highlight w:val="none"/>
              </w:rPr>
              <w:t>545</w:t>
            </w:r>
            <w:r>
              <w:rPr>
                <w:rFonts w:hint="eastAsia" w:ascii="宋体" w:cs="宋体"/>
                <w:color w:val="auto"/>
                <w:sz w:val="22"/>
                <w:szCs w:val="22"/>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color w:val="auto"/>
                <w:sz w:val="22"/>
                <w:highlight w:val="none"/>
              </w:rPr>
            </w:pPr>
            <w:r>
              <w:rPr>
                <w:rFonts w:ascii="宋体" w:cs="宋体"/>
                <w:color w:val="auto"/>
                <w:sz w:val="22"/>
                <w:szCs w:val="22"/>
                <w:highlight w:val="none"/>
              </w:rPr>
              <w:t>4</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采购方式</w:t>
            </w:r>
          </w:p>
        </w:tc>
        <w:tc>
          <w:tcPr>
            <w:tcW w:w="7821" w:type="dxa"/>
            <w:vAlign w:val="center"/>
          </w:tcPr>
          <w:p>
            <w:pPr>
              <w:rPr>
                <w:rFonts w:ascii="宋体"/>
                <w:color w:val="auto"/>
                <w:sz w:val="22"/>
                <w:highlight w:val="none"/>
              </w:rPr>
            </w:pPr>
            <w:r>
              <w:rPr>
                <w:rFonts w:hint="eastAsia" w:ascii="宋体" w:cs="宋体"/>
                <w:color w:val="auto"/>
                <w:sz w:val="22"/>
                <w:szCs w:val="22"/>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color w:val="auto"/>
                <w:sz w:val="22"/>
                <w:highlight w:val="none"/>
              </w:rPr>
            </w:pPr>
            <w:r>
              <w:rPr>
                <w:rFonts w:ascii="宋体" w:cs="宋体"/>
                <w:color w:val="auto"/>
                <w:sz w:val="22"/>
                <w:szCs w:val="22"/>
                <w:highlight w:val="none"/>
              </w:rPr>
              <w:t>5</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采购人</w:t>
            </w:r>
          </w:p>
        </w:tc>
        <w:tc>
          <w:tcPr>
            <w:tcW w:w="7821" w:type="dxa"/>
            <w:vAlign w:val="center"/>
          </w:tcPr>
          <w:p>
            <w:pPr>
              <w:adjustRightInd w:val="0"/>
              <w:rPr>
                <w:rFonts w:ascii="宋体"/>
                <w:color w:val="auto"/>
                <w:sz w:val="22"/>
                <w:highlight w:val="none"/>
              </w:rPr>
            </w:pPr>
            <w:r>
              <w:rPr>
                <w:rFonts w:hint="eastAsia" w:ascii="宋体" w:hAnsi="宋体" w:cs="宋体"/>
                <w:color w:val="auto"/>
                <w:sz w:val="22"/>
                <w:szCs w:val="22"/>
                <w:highlight w:val="none"/>
              </w:rPr>
              <w:t>名称：永嘉县人民医院</w:t>
            </w:r>
          </w:p>
          <w:p>
            <w:pPr>
              <w:adjustRightInd w:val="0"/>
              <w:rPr>
                <w:rFonts w:ascii="宋体" w:hAnsi="宋体" w:cs="宋体"/>
                <w:color w:val="auto"/>
                <w:sz w:val="22"/>
                <w:szCs w:val="22"/>
                <w:highlight w:val="none"/>
              </w:rPr>
            </w:pPr>
            <w:r>
              <w:rPr>
                <w:rFonts w:hint="eastAsia" w:ascii="宋体" w:hAnsi="宋体" w:cs="宋体"/>
                <w:color w:val="auto"/>
                <w:sz w:val="22"/>
                <w:szCs w:val="22"/>
                <w:highlight w:val="none"/>
              </w:rPr>
              <w:t>联 系 人：周先生</w:t>
            </w:r>
          </w:p>
          <w:p>
            <w:pPr>
              <w:rPr>
                <w:rFonts w:ascii="宋体"/>
                <w:color w:val="auto"/>
                <w:sz w:val="22"/>
                <w:highlight w:val="none"/>
              </w:rPr>
            </w:pPr>
            <w:r>
              <w:rPr>
                <w:rFonts w:hint="eastAsia" w:ascii="宋体" w:hAnsi="宋体" w:cs="宋体"/>
                <w:color w:val="auto"/>
                <w:sz w:val="22"/>
                <w:szCs w:val="22"/>
                <w:highlight w:val="none"/>
              </w:rPr>
              <w:t>联系方式：</w:t>
            </w:r>
            <w:r>
              <w:rPr>
                <w:rFonts w:asciiTheme="majorEastAsia" w:hAnsiTheme="majorEastAsia" w:eastAsiaTheme="majorEastAsia"/>
                <w:color w:val="auto"/>
                <w:sz w:val="22"/>
                <w:szCs w:val="22"/>
                <w:highlight w:val="none"/>
              </w:rPr>
              <w:t>0577-66966623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color w:val="auto"/>
                <w:sz w:val="22"/>
                <w:highlight w:val="none"/>
              </w:rPr>
            </w:pPr>
            <w:r>
              <w:rPr>
                <w:rFonts w:ascii="宋体" w:cs="宋体"/>
                <w:color w:val="auto"/>
                <w:sz w:val="22"/>
                <w:szCs w:val="22"/>
                <w:highlight w:val="none"/>
              </w:rPr>
              <w:t>6</w:t>
            </w:r>
          </w:p>
        </w:tc>
        <w:tc>
          <w:tcPr>
            <w:tcW w:w="1715" w:type="dxa"/>
            <w:vAlign w:val="center"/>
          </w:tcPr>
          <w:p>
            <w:pPr>
              <w:adjustRightInd w:val="0"/>
              <w:jc w:val="center"/>
              <w:rPr>
                <w:rFonts w:ascii="宋体"/>
                <w:color w:val="auto"/>
                <w:sz w:val="22"/>
                <w:highlight w:val="none"/>
              </w:rPr>
            </w:pPr>
            <w:r>
              <w:rPr>
                <w:rFonts w:hint="eastAsia" w:ascii="宋体" w:cs="宋体"/>
                <w:color w:val="auto"/>
                <w:sz w:val="22"/>
                <w:szCs w:val="22"/>
                <w:highlight w:val="none"/>
              </w:rPr>
              <w:t>采购代理机构</w:t>
            </w:r>
          </w:p>
        </w:tc>
        <w:tc>
          <w:tcPr>
            <w:tcW w:w="7821" w:type="dxa"/>
            <w:vAlign w:val="center"/>
          </w:tcPr>
          <w:p>
            <w:pPr>
              <w:adjustRightInd w:val="0"/>
              <w:rPr>
                <w:rFonts w:ascii="宋体"/>
                <w:color w:val="auto"/>
                <w:sz w:val="22"/>
                <w:highlight w:val="none"/>
              </w:rPr>
            </w:pPr>
            <w:r>
              <w:rPr>
                <w:rFonts w:hint="eastAsia" w:ascii="宋体" w:cs="宋体"/>
                <w:color w:val="auto"/>
                <w:sz w:val="22"/>
                <w:szCs w:val="22"/>
                <w:highlight w:val="none"/>
              </w:rPr>
              <w:t>采购代理机构名称：</w:t>
            </w:r>
            <w:bookmarkStart w:id="12" w:name="_Hlk96954669"/>
            <w:r>
              <w:rPr>
                <w:rFonts w:hint="eastAsia" w:ascii="宋体" w:cs="宋体"/>
                <w:color w:val="auto"/>
                <w:sz w:val="22"/>
                <w:szCs w:val="22"/>
                <w:highlight w:val="none"/>
              </w:rPr>
              <w:t>温州市中概工程管理咨询有限公司</w:t>
            </w:r>
            <w:bookmarkEnd w:id="12"/>
          </w:p>
          <w:p>
            <w:pPr>
              <w:adjustRightInd w:val="0"/>
              <w:rPr>
                <w:rFonts w:ascii="宋体"/>
                <w:color w:val="auto"/>
                <w:sz w:val="22"/>
                <w:highlight w:val="none"/>
              </w:rPr>
            </w:pPr>
            <w:r>
              <w:rPr>
                <w:rFonts w:hint="eastAsia" w:ascii="宋体" w:cs="宋体"/>
                <w:color w:val="auto"/>
                <w:sz w:val="22"/>
                <w:szCs w:val="22"/>
                <w:highlight w:val="none"/>
              </w:rPr>
              <w:t>地</w:t>
            </w:r>
            <w:r>
              <w:rPr>
                <w:rFonts w:ascii="宋体" w:cs="宋体"/>
                <w:color w:val="auto"/>
                <w:sz w:val="22"/>
                <w:szCs w:val="22"/>
                <w:highlight w:val="none"/>
              </w:rPr>
              <w:t xml:space="preserve">    </w:t>
            </w:r>
            <w:r>
              <w:rPr>
                <w:rFonts w:hint="eastAsia" w:ascii="宋体" w:cs="宋体"/>
                <w:color w:val="auto"/>
                <w:sz w:val="22"/>
                <w:szCs w:val="22"/>
                <w:highlight w:val="none"/>
              </w:rPr>
              <w:t>点：温州市永嘉县南城街道环城北路618号云碓大厦503室</w:t>
            </w:r>
          </w:p>
          <w:p>
            <w:pPr>
              <w:adjustRightInd w:val="0"/>
              <w:rPr>
                <w:rFonts w:ascii="宋体"/>
                <w:color w:val="auto"/>
                <w:sz w:val="22"/>
                <w:highlight w:val="none"/>
              </w:rPr>
            </w:pPr>
            <w:r>
              <w:rPr>
                <w:rFonts w:hint="eastAsia" w:ascii="宋体" w:cs="宋体"/>
                <w:color w:val="auto"/>
                <w:sz w:val="22"/>
                <w:szCs w:val="22"/>
                <w:highlight w:val="none"/>
              </w:rPr>
              <w:t>联</w:t>
            </w:r>
            <w:r>
              <w:rPr>
                <w:rFonts w:ascii="宋体" w:cs="宋体"/>
                <w:color w:val="auto"/>
                <w:sz w:val="22"/>
                <w:szCs w:val="22"/>
                <w:highlight w:val="none"/>
              </w:rPr>
              <w:t xml:space="preserve"> </w:t>
            </w:r>
            <w:r>
              <w:rPr>
                <w:rFonts w:hint="eastAsia" w:ascii="宋体" w:cs="宋体"/>
                <w:color w:val="auto"/>
                <w:sz w:val="22"/>
                <w:szCs w:val="22"/>
                <w:highlight w:val="none"/>
              </w:rPr>
              <w:t>系</w:t>
            </w:r>
            <w:r>
              <w:rPr>
                <w:rFonts w:ascii="宋体" w:cs="宋体"/>
                <w:color w:val="auto"/>
                <w:sz w:val="22"/>
                <w:szCs w:val="22"/>
                <w:highlight w:val="none"/>
              </w:rPr>
              <w:t xml:space="preserve"> </w:t>
            </w:r>
            <w:r>
              <w:rPr>
                <w:rFonts w:hint="eastAsia" w:ascii="宋体" w:cs="宋体"/>
                <w:color w:val="auto"/>
                <w:sz w:val="22"/>
                <w:szCs w:val="22"/>
                <w:highlight w:val="none"/>
              </w:rPr>
              <w:t>人：胡可可</w:t>
            </w:r>
          </w:p>
          <w:p>
            <w:pPr>
              <w:adjustRightInd w:val="0"/>
              <w:rPr>
                <w:rFonts w:ascii="宋体"/>
                <w:color w:val="auto"/>
                <w:sz w:val="22"/>
                <w:highlight w:val="none"/>
              </w:rPr>
            </w:pPr>
            <w:r>
              <w:rPr>
                <w:rFonts w:hint="eastAsia" w:ascii="宋体" w:cs="宋体"/>
                <w:color w:val="auto"/>
                <w:sz w:val="22"/>
                <w:szCs w:val="22"/>
                <w:highlight w:val="none"/>
              </w:rPr>
              <w:t>联系电话：</w:t>
            </w:r>
            <w:r>
              <w:rPr>
                <w:rFonts w:asciiTheme="minorEastAsia" w:hAnsiTheme="minorEastAsia" w:eastAsiaTheme="minorEastAsia"/>
                <w:color w:val="auto"/>
                <w:sz w:val="22"/>
                <w:highlight w:val="none"/>
              </w:rPr>
              <w:t>15258683545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color w:val="auto"/>
                <w:sz w:val="22"/>
                <w:highlight w:val="none"/>
              </w:rPr>
            </w:pPr>
            <w:r>
              <w:rPr>
                <w:rFonts w:ascii="宋体" w:cs="宋体"/>
                <w:color w:val="auto"/>
                <w:sz w:val="22"/>
                <w:szCs w:val="22"/>
                <w:highlight w:val="none"/>
              </w:rPr>
              <w:t>7</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评标办法</w:t>
            </w:r>
          </w:p>
        </w:tc>
        <w:tc>
          <w:tcPr>
            <w:tcW w:w="7821" w:type="dxa"/>
            <w:vAlign w:val="center"/>
          </w:tcPr>
          <w:p>
            <w:pPr>
              <w:adjustRightInd w:val="0"/>
              <w:rPr>
                <w:rFonts w:ascii="宋体"/>
                <w:color w:val="auto"/>
                <w:sz w:val="22"/>
                <w:highlight w:val="none"/>
              </w:rPr>
            </w:pPr>
            <w:r>
              <w:rPr>
                <w:rFonts w:hint="eastAsia" w:ascii="宋体" w:cs="宋体"/>
                <w:color w:val="auto"/>
                <w:sz w:val="22"/>
                <w:szCs w:val="22"/>
                <w:highlight w:val="none"/>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color w:val="auto"/>
                <w:sz w:val="22"/>
                <w:highlight w:val="none"/>
              </w:rPr>
            </w:pPr>
            <w:r>
              <w:rPr>
                <w:rFonts w:ascii="宋体" w:cs="宋体"/>
                <w:color w:val="auto"/>
                <w:sz w:val="22"/>
                <w:szCs w:val="22"/>
                <w:highlight w:val="none"/>
              </w:rPr>
              <w:t>8</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采购内容</w:t>
            </w:r>
          </w:p>
        </w:tc>
        <w:tc>
          <w:tcPr>
            <w:tcW w:w="7821" w:type="dxa"/>
            <w:vAlign w:val="center"/>
          </w:tcPr>
          <w:p>
            <w:pPr>
              <w:adjustRightInd w:val="0"/>
              <w:rPr>
                <w:rFonts w:ascii="宋体"/>
                <w:color w:val="auto"/>
                <w:sz w:val="22"/>
                <w:highlight w:val="none"/>
              </w:rPr>
            </w:pPr>
            <w:r>
              <w:rPr>
                <w:rFonts w:hint="eastAsia" w:ascii="宋体" w:cs="宋体"/>
                <w:color w:val="auto"/>
                <w:sz w:val="22"/>
                <w:szCs w:val="22"/>
                <w:highlight w:val="none"/>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12" w:hRule="atLeast"/>
          <w:jc w:val="center"/>
        </w:trPr>
        <w:tc>
          <w:tcPr>
            <w:tcW w:w="694" w:type="dxa"/>
            <w:vAlign w:val="center"/>
          </w:tcPr>
          <w:p>
            <w:pPr>
              <w:widowControl/>
              <w:tabs>
                <w:tab w:val="left" w:pos="420"/>
                <w:tab w:val="left" w:pos="720"/>
              </w:tabs>
              <w:ind w:right="1100"/>
              <w:jc w:val="center"/>
              <w:rPr>
                <w:rFonts w:ascii="宋体"/>
                <w:color w:val="auto"/>
                <w:sz w:val="22"/>
                <w:highlight w:val="none"/>
              </w:rPr>
            </w:pPr>
            <w:r>
              <w:rPr>
                <w:rFonts w:ascii="宋体" w:cs="宋体"/>
                <w:color w:val="auto"/>
                <w:sz w:val="22"/>
                <w:szCs w:val="22"/>
                <w:highlight w:val="none"/>
              </w:rPr>
              <w:t>9</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供应商资格要求</w:t>
            </w:r>
          </w:p>
        </w:tc>
        <w:tc>
          <w:tcPr>
            <w:tcW w:w="7821" w:type="dxa"/>
            <w:vAlign w:val="center"/>
          </w:tcPr>
          <w:p>
            <w:pPr>
              <w:adjustRightInd w:val="0"/>
              <w:rPr>
                <w:rFonts w:ascii="宋体" w:cs="宋体"/>
                <w:color w:val="auto"/>
                <w:sz w:val="22"/>
                <w:szCs w:val="22"/>
                <w:highlight w:val="none"/>
              </w:rPr>
            </w:pPr>
            <w:r>
              <w:rPr>
                <w:rFonts w:hint="eastAsia" w:ascii="宋体" w:cs="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rPr>
                <w:rFonts w:ascii="宋体" w:cs="宋体"/>
                <w:color w:val="auto"/>
                <w:sz w:val="22"/>
                <w:szCs w:val="22"/>
                <w:highlight w:val="none"/>
              </w:rPr>
            </w:pPr>
            <w:r>
              <w:rPr>
                <w:rFonts w:hint="eastAsia" w:ascii="宋体" w:cs="宋体"/>
                <w:color w:val="auto"/>
                <w:sz w:val="22"/>
                <w:szCs w:val="22"/>
                <w:highlight w:val="none"/>
              </w:rPr>
              <w:t>2.落实政府采购政策需满足的资格要求：标项1：供应商为中小企业（含残疾人福利性单位）。</w:t>
            </w:r>
          </w:p>
          <w:p>
            <w:pPr>
              <w:adjustRightInd w:val="0"/>
              <w:rPr>
                <w:rFonts w:ascii="宋体"/>
                <w:color w:val="auto"/>
                <w:sz w:val="22"/>
                <w:highlight w:val="none"/>
              </w:rPr>
            </w:pPr>
            <w:r>
              <w:rPr>
                <w:rFonts w:hint="eastAsia" w:ascii="宋体" w:cs="宋体"/>
                <w:color w:val="auto"/>
                <w:sz w:val="22"/>
                <w:szCs w:val="22"/>
                <w:highlight w:val="none"/>
              </w:rPr>
              <w:t>3.本项目的特定资格要求：无。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10</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是否接受联合体投标</w:t>
            </w:r>
          </w:p>
        </w:tc>
        <w:tc>
          <w:tcPr>
            <w:tcW w:w="7821" w:type="dxa"/>
            <w:vAlign w:val="center"/>
          </w:tcPr>
          <w:p>
            <w:pPr>
              <w:adjustRightInd w:val="0"/>
              <w:rPr>
                <w:rFonts w:ascii="宋体"/>
                <w:color w:val="auto"/>
                <w:sz w:val="22"/>
                <w:highlight w:val="none"/>
              </w:rPr>
            </w:pPr>
            <w:r>
              <w:rPr>
                <w:rFonts w:ascii="宋体" w:cs="宋体"/>
                <w:color w:val="auto"/>
                <w:sz w:val="22"/>
                <w:szCs w:val="22"/>
                <w:highlight w:val="none"/>
              </w:rPr>
              <w:fldChar w:fldCharType="begin"/>
            </w:r>
            <w:r>
              <w:rPr>
                <w:rFonts w:ascii="宋体" w:cs="宋体"/>
                <w:color w:val="auto"/>
                <w:sz w:val="22"/>
                <w:szCs w:val="22"/>
                <w:highlight w:val="none"/>
              </w:rPr>
              <w:instrText xml:space="preserve"> eq \o\ac(</w:instrText>
            </w:r>
            <w:r>
              <w:rPr>
                <w:rFonts w:hint="eastAsia" w:ascii="宋体" w:cs="宋体"/>
                <w:color w:val="auto"/>
                <w:sz w:val="22"/>
                <w:szCs w:val="22"/>
                <w:highlight w:val="none"/>
              </w:rPr>
              <w:instrText xml:space="preserve">□</w:instrText>
            </w:r>
            <w:r>
              <w:rPr>
                <w:rFonts w:ascii="宋体" w:cs="宋体"/>
                <w:color w:val="auto"/>
                <w:sz w:val="22"/>
                <w:szCs w:val="22"/>
                <w:highlight w:val="none"/>
              </w:rPr>
              <w:instrText xml:space="preserve">,</w:instrText>
            </w:r>
            <w:r>
              <w:rPr>
                <w:rFonts w:hint="eastAsia" w:ascii="宋体" w:cs="宋体"/>
                <w:color w:val="auto"/>
                <w:sz w:val="22"/>
                <w:szCs w:val="22"/>
                <w:highlight w:val="none"/>
              </w:rPr>
              <w:instrText xml:space="preserve">√</w:instrText>
            </w:r>
            <w:r>
              <w:rPr>
                <w:rFonts w:ascii="宋体" w:cs="宋体"/>
                <w:color w:val="auto"/>
                <w:sz w:val="22"/>
                <w:szCs w:val="22"/>
                <w:highlight w:val="none"/>
              </w:rPr>
              <w:instrText xml:space="preserve">)</w:instrText>
            </w:r>
            <w:r>
              <w:rPr>
                <w:rFonts w:ascii="宋体" w:cs="宋体"/>
                <w:color w:val="auto"/>
                <w:sz w:val="22"/>
                <w:szCs w:val="22"/>
                <w:highlight w:val="none"/>
              </w:rPr>
              <w:fldChar w:fldCharType="end"/>
            </w:r>
            <w:r>
              <w:rPr>
                <w:rFonts w:hint="eastAsia" w:ascii="宋体" w:cs="宋体"/>
                <w:color w:val="auto"/>
                <w:sz w:val="22"/>
                <w:szCs w:val="22"/>
                <w:highlight w:val="none"/>
              </w:rPr>
              <w:t>不接受</w:t>
            </w:r>
          </w:p>
          <w:p>
            <w:pPr>
              <w:adjustRightInd w:val="0"/>
              <w:rPr>
                <w:rFonts w:ascii="宋体"/>
                <w:color w:val="auto"/>
                <w:sz w:val="22"/>
                <w:highlight w:val="none"/>
              </w:rPr>
            </w:pPr>
            <w:r>
              <w:rPr>
                <w:rFonts w:hint="eastAsia" w:ascii="宋体" w:cs="宋体"/>
                <w:color w:val="auto"/>
                <w:sz w:val="22"/>
                <w:szCs w:val="22"/>
                <w:highlight w:val="none"/>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11</w:t>
            </w:r>
          </w:p>
        </w:tc>
        <w:tc>
          <w:tcPr>
            <w:tcW w:w="1715" w:type="dxa"/>
            <w:vAlign w:val="center"/>
          </w:tcPr>
          <w:p>
            <w:pPr>
              <w:adjustRightInd w:val="0"/>
              <w:jc w:val="center"/>
              <w:rPr>
                <w:rFonts w:ascii="宋体"/>
                <w:color w:val="auto"/>
                <w:sz w:val="22"/>
                <w:highlight w:val="none"/>
              </w:rPr>
            </w:pPr>
            <w:r>
              <w:rPr>
                <w:rFonts w:hint="eastAsia" w:ascii="宋体" w:cs="宋体"/>
                <w:color w:val="auto"/>
                <w:sz w:val="22"/>
                <w:szCs w:val="22"/>
                <w:highlight w:val="none"/>
              </w:rPr>
              <w:t>踏勘现场</w:t>
            </w:r>
          </w:p>
        </w:tc>
        <w:tc>
          <w:tcPr>
            <w:tcW w:w="7821" w:type="dxa"/>
            <w:vAlign w:val="center"/>
          </w:tcPr>
          <w:p>
            <w:pPr>
              <w:adjustRightInd w:val="0"/>
              <w:rPr>
                <w:rFonts w:ascii="宋体"/>
                <w:color w:val="auto"/>
                <w:sz w:val="22"/>
                <w:highlight w:val="none"/>
              </w:rPr>
            </w:pPr>
            <w:r>
              <w:rPr>
                <w:rFonts w:ascii="宋体" w:cs="宋体"/>
                <w:color w:val="auto"/>
                <w:sz w:val="22"/>
                <w:szCs w:val="22"/>
                <w:highlight w:val="none"/>
              </w:rPr>
              <w:fldChar w:fldCharType="begin"/>
            </w:r>
            <w:r>
              <w:rPr>
                <w:rFonts w:ascii="宋体" w:cs="宋体"/>
                <w:color w:val="auto"/>
                <w:sz w:val="22"/>
                <w:szCs w:val="22"/>
                <w:highlight w:val="none"/>
              </w:rPr>
              <w:instrText xml:space="preserve"> eq \o\ac(</w:instrText>
            </w:r>
            <w:r>
              <w:rPr>
                <w:rFonts w:hint="eastAsia" w:ascii="宋体" w:cs="宋体"/>
                <w:color w:val="auto"/>
                <w:sz w:val="22"/>
                <w:szCs w:val="22"/>
                <w:highlight w:val="none"/>
              </w:rPr>
              <w:instrText xml:space="preserve">□</w:instrText>
            </w:r>
            <w:r>
              <w:rPr>
                <w:rFonts w:ascii="宋体" w:cs="宋体"/>
                <w:color w:val="auto"/>
                <w:sz w:val="22"/>
                <w:szCs w:val="22"/>
                <w:highlight w:val="none"/>
              </w:rPr>
              <w:instrText xml:space="preserve">,</w:instrText>
            </w:r>
            <w:r>
              <w:rPr>
                <w:rFonts w:hint="eastAsia" w:ascii="宋体" w:cs="宋体"/>
                <w:color w:val="auto"/>
                <w:sz w:val="22"/>
                <w:szCs w:val="22"/>
                <w:highlight w:val="none"/>
              </w:rPr>
              <w:instrText xml:space="preserve">√</w:instrText>
            </w:r>
            <w:r>
              <w:rPr>
                <w:rFonts w:ascii="宋体" w:cs="宋体"/>
                <w:color w:val="auto"/>
                <w:sz w:val="22"/>
                <w:szCs w:val="22"/>
                <w:highlight w:val="none"/>
              </w:rPr>
              <w:instrText xml:space="preserve">)</w:instrText>
            </w:r>
            <w:r>
              <w:rPr>
                <w:rFonts w:ascii="宋体" w:cs="宋体"/>
                <w:color w:val="auto"/>
                <w:sz w:val="22"/>
                <w:szCs w:val="22"/>
                <w:highlight w:val="none"/>
              </w:rPr>
              <w:fldChar w:fldCharType="end"/>
            </w:r>
            <w:r>
              <w:rPr>
                <w:rFonts w:hint="eastAsia" w:ascii="宋体" w:cs="宋体"/>
                <w:color w:val="auto"/>
                <w:sz w:val="22"/>
                <w:szCs w:val="22"/>
                <w:highlight w:val="none"/>
              </w:rPr>
              <w:t>不组织</w:t>
            </w:r>
          </w:p>
          <w:p>
            <w:pPr>
              <w:adjustRightInd w:val="0"/>
              <w:rPr>
                <w:rFonts w:ascii="宋体"/>
                <w:color w:val="auto"/>
                <w:sz w:val="22"/>
                <w:highlight w:val="none"/>
              </w:rPr>
            </w:pPr>
            <w:r>
              <w:rPr>
                <w:rFonts w:hint="eastAsia" w:ascii="宋体" w:cs="宋体"/>
                <w:color w:val="auto"/>
                <w:sz w:val="22"/>
                <w:szCs w:val="22"/>
                <w:highlight w:val="none"/>
              </w:rPr>
              <w:t>□组织</w:t>
            </w:r>
            <w:r>
              <w:rPr>
                <w:rFonts w:ascii="宋体" w:cs="宋体"/>
                <w:color w:val="auto"/>
                <w:sz w:val="22"/>
                <w:szCs w:val="22"/>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12</w:t>
            </w:r>
          </w:p>
        </w:tc>
        <w:tc>
          <w:tcPr>
            <w:tcW w:w="1715" w:type="dxa"/>
            <w:vAlign w:val="center"/>
          </w:tcPr>
          <w:p>
            <w:pPr>
              <w:adjustRightInd w:val="0"/>
              <w:jc w:val="center"/>
              <w:rPr>
                <w:rFonts w:ascii="宋体"/>
                <w:color w:val="auto"/>
                <w:sz w:val="22"/>
                <w:highlight w:val="none"/>
              </w:rPr>
            </w:pPr>
            <w:r>
              <w:rPr>
                <w:rFonts w:hint="eastAsia" w:ascii="宋体" w:cs="宋体"/>
                <w:color w:val="auto"/>
                <w:sz w:val="22"/>
                <w:szCs w:val="22"/>
                <w:highlight w:val="none"/>
              </w:rPr>
              <w:t>是否允许递交备选投标方案</w:t>
            </w:r>
          </w:p>
        </w:tc>
        <w:tc>
          <w:tcPr>
            <w:tcW w:w="7821" w:type="dxa"/>
            <w:vAlign w:val="center"/>
          </w:tcPr>
          <w:p>
            <w:pPr>
              <w:adjustRightInd w:val="0"/>
              <w:rPr>
                <w:rFonts w:ascii="宋体"/>
                <w:color w:val="auto"/>
                <w:sz w:val="22"/>
                <w:highlight w:val="none"/>
              </w:rPr>
            </w:pPr>
            <w:r>
              <w:rPr>
                <w:rFonts w:ascii="宋体" w:cs="宋体"/>
                <w:color w:val="auto"/>
                <w:sz w:val="22"/>
                <w:szCs w:val="22"/>
                <w:highlight w:val="none"/>
              </w:rPr>
              <w:fldChar w:fldCharType="begin"/>
            </w:r>
            <w:r>
              <w:rPr>
                <w:rFonts w:ascii="宋体" w:cs="宋体"/>
                <w:color w:val="auto"/>
                <w:sz w:val="22"/>
                <w:szCs w:val="22"/>
                <w:highlight w:val="none"/>
              </w:rPr>
              <w:instrText xml:space="preserve"> eq \o\ac(</w:instrText>
            </w:r>
            <w:r>
              <w:rPr>
                <w:rFonts w:hint="eastAsia" w:ascii="宋体" w:cs="宋体"/>
                <w:color w:val="auto"/>
                <w:sz w:val="22"/>
                <w:szCs w:val="22"/>
                <w:highlight w:val="none"/>
              </w:rPr>
              <w:instrText xml:space="preserve">□</w:instrText>
            </w:r>
            <w:r>
              <w:rPr>
                <w:rFonts w:ascii="宋体" w:cs="宋体"/>
                <w:color w:val="auto"/>
                <w:sz w:val="22"/>
                <w:szCs w:val="22"/>
                <w:highlight w:val="none"/>
              </w:rPr>
              <w:instrText xml:space="preserve">,</w:instrText>
            </w:r>
            <w:r>
              <w:rPr>
                <w:rFonts w:hint="eastAsia" w:ascii="宋体" w:cs="宋体"/>
                <w:color w:val="auto"/>
                <w:sz w:val="22"/>
                <w:szCs w:val="22"/>
                <w:highlight w:val="none"/>
              </w:rPr>
              <w:instrText xml:space="preserve">√</w:instrText>
            </w:r>
            <w:r>
              <w:rPr>
                <w:rFonts w:ascii="宋体" w:cs="宋体"/>
                <w:color w:val="auto"/>
                <w:sz w:val="22"/>
                <w:szCs w:val="22"/>
                <w:highlight w:val="none"/>
              </w:rPr>
              <w:instrText xml:space="preserve">)</w:instrText>
            </w:r>
            <w:r>
              <w:rPr>
                <w:rFonts w:ascii="宋体" w:cs="宋体"/>
                <w:color w:val="auto"/>
                <w:sz w:val="22"/>
                <w:szCs w:val="22"/>
                <w:highlight w:val="none"/>
              </w:rPr>
              <w:fldChar w:fldCharType="end"/>
            </w:r>
            <w:r>
              <w:rPr>
                <w:rFonts w:ascii="宋体" w:cs="宋体"/>
                <w:color w:val="auto"/>
                <w:sz w:val="22"/>
                <w:szCs w:val="22"/>
                <w:highlight w:val="none"/>
              </w:rPr>
              <w:t xml:space="preserve"> </w:t>
            </w:r>
            <w:r>
              <w:rPr>
                <w:rFonts w:hint="eastAsia" w:ascii="宋体" w:cs="宋体"/>
                <w:color w:val="auto"/>
                <w:sz w:val="22"/>
                <w:szCs w:val="22"/>
                <w:highlight w:val="none"/>
              </w:rPr>
              <w:t>不允许</w:t>
            </w:r>
          </w:p>
          <w:p>
            <w:pPr>
              <w:adjustRightInd w:val="0"/>
              <w:rPr>
                <w:rFonts w:ascii="宋体"/>
                <w:color w:val="auto"/>
                <w:sz w:val="22"/>
                <w:highlight w:val="none"/>
              </w:rPr>
            </w:pPr>
            <w:r>
              <w:rPr>
                <w:rFonts w:hint="eastAsia" w:ascii="宋体" w:cs="宋体"/>
                <w:color w:val="auto"/>
                <w:sz w:val="22"/>
                <w:szCs w:val="22"/>
                <w:highlight w:val="none"/>
              </w:rPr>
              <w:t>□</w:t>
            </w:r>
            <w:r>
              <w:rPr>
                <w:rFonts w:ascii="宋体" w:cs="宋体"/>
                <w:color w:val="auto"/>
                <w:sz w:val="22"/>
                <w:szCs w:val="22"/>
                <w:highlight w:val="none"/>
              </w:rPr>
              <w:t xml:space="preserve"> </w:t>
            </w:r>
            <w:r>
              <w:rPr>
                <w:rFonts w:hint="eastAsia" w:ascii="宋体" w:cs="宋体"/>
                <w:color w:val="auto"/>
                <w:sz w:val="22"/>
                <w:szCs w:val="22"/>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13</w:t>
            </w:r>
          </w:p>
        </w:tc>
        <w:tc>
          <w:tcPr>
            <w:tcW w:w="1715" w:type="dxa"/>
            <w:vAlign w:val="center"/>
          </w:tcPr>
          <w:p>
            <w:pPr>
              <w:adjustRightInd w:val="0"/>
              <w:jc w:val="center"/>
              <w:rPr>
                <w:rFonts w:ascii="宋体"/>
                <w:color w:val="auto"/>
                <w:sz w:val="22"/>
                <w:highlight w:val="none"/>
              </w:rPr>
            </w:pPr>
            <w:r>
              <w:rPr>
                <w:rFonts w:hint="eastAsia" w:ascii="宋体" w:cs="宋体"/>
                <w:color w:val="auto"/>
                <w:sz w:val="22"/>
                <w:szCs w:val="22"/>
                <w:highlight w:val="none"/>
              </w:rPr>
              <w:t>分包</w:t>
            </w:r>
          </w:p>
        </w:tc>
        <w:tc>
          <w:tcPr>
            <w:tcW w:w="7821" w:type="dxa"/>
            <w:vAlign w:val="center"/>
          </w:tcPr>
          <w:p>
            <w:pPr>
              <w:adjustRightInd w:val="0"/>
              <w:rPr>
                <w:rFonts w:ascii="宋体"/>
                <w:color w:val="auto"/>
                <w:sz w:val="22"/>
                <w:highlight w:val="none"/>
              </w:rPr>
            </w:pPr>
            <w:r>
              <w:rPr>
                <w:rFonts w:hint="eastAsia" w:ascii="宋体" w:cs="宋体"/>
                <w:color w:val="auto"/>
                <w:sz w:val="22"/>
                <w:szCs w:val="22"/>
                <w:highlight w:val="none"/>
              </w:rPr>
              <w:t>□允许</w:t>
            </w:r>
          </w:p>
          <w:p>
            <w:pPr>
              <w:adjustRightInd w:val="0"/>
              <w:rPr>
                <w:rFonts w:ascii="宋体"/>
                <w:color w:val="auto"/>
                <w:sz w:val="22"/>
                <w:highlight w:val="none"/>
              </w:rPr>
            </w:pPr>
            <w:r>
              <w:rPr>
                <w:rFonts w:hint="eastAsia" w:ascii="宋体" w:hAnsi="Wingdings"/>
                <w:color w:val="auto"/>
                <w:sz w:val="22"/>
                <w:szCs w:val="22"/>
                <w:highlight w:val="none"/>
              </w:rPr>
              <w:sym w:font="Wingdings" w:char="F0FE"/>
            </w:r>
            <w:r>
              <w:rPr>
                <w:rFonts w:hint="eastAsia" w:ascii="宋体" w:cs="宋体"/>
                <w:color w:val="auto"/>
                <w:sz w:val="22"/>
                <w:szCs w:val="22"/>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91"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14</w:t>
            </w:r>
          </w:p>
        </w:tc>
        <w:tc>
          <w:tcPr>
            <w:tcW w:w="1715" w:type="dxa"/>
            <w:vAlign w:val="center"/>
          </w:tcPr>
          <w:p>
            <w:pPr>
              <w:adjustRightInd w:val="0"/>
              <w:jc w:val="center"/>
              <w:rPr>
                <w:rFonts w:ascii="宋体"/>
                <w:color w:val="auto"/>
                <w:sz w:val="22"/>
                <w:highlight w:val="none"/>
              </w:rPr>
            </w:pPr>
            <w:r>
              <w:rPr>
                <w:rFonts w:hint="eastAsia" w:ascii="宋体" w:cs="宋体"/>
                <w:color w:val="auto"/>
                <w:sz w:val="22"/>
                <w:szCs w:val="22"/>
                <w:highlight w:val="none"/>
              </w:rPr>
              <w:t>报价货币</w:t>
            </w:r>
          </w:p>
        </w:tc>
        <w:tc>
          <w:tcPr>
            <w:tcW w:w="7821" w:type="dxa"/>
            <w:vAlign w:val="center"/>
          </w:tcPr>
          <w:p>
            <w:pPr>
              <w:adjustRightInd w:val="0"/>
              <w:rPr>
                <w:rFonts w:ascii="宋体"/>
                <w:color w:val="auto"/>
                <w:sz w:val="22"/>
                <w:highlight w:val="none"/>
              </w:rPr>
            </w:pPr>
            <w:r>
              <w:rPr>
                <w:rFonts w:hint="eastAsia" w:ascii="宋体" w:cs="宋体"/>
                <w:color w:val="auto"/>
                <w:sz w:val="22"/>
                <w:szCs w:val="22"/>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80"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15</w:t>
            </w:r>
          </w:p>
        </w:tc>
        <w:tc>
          <w:tcPr>
            <w:tcW w:w="1715" w:type="dxa"/>
            <w:vAlign w:val="center"/>
          </w:tcPr>
          <w:p>
            <w:pPr>
              <w:adjustRightInd w:val="0"/>
              <w:jc w:val="center"/>
              <w:rPr>
                <w:rFonts w:ascii="宋体"/>
                <w:color w:val="auto"/>
                <w:sz w:val="22"/>
                <w:highlight w:val="none"/>
              </w:rPr>
            </w:pPr>
            <w:r>
              <w:rPr>
                <w:rFonts w:hint="eastAsia" w:ascii="宋体" w:cs="宋体"/>
                <w:color w:val="auto"/>
                <w:sz w:val="22"/>
                <w:szCs w:val="22"/>
                <w:highlight w:val="none"/>
              </w:rPr>
              <w:t>报价语言</w:t>
            </w:r>
          </w:p>
        </w:tc>
        <w:tc>
          <w:tcPr>
            <w:tcW w:w="7821" w:type="dxa"/>
            <w:vAlign w:val="center"/>
          </w:tcPr>
          <w:p>
            <w:pPr>
              <w:adjustRightInd w:val="0"/>
              <w:rPr>
                <w:rFonts w:ascii="宋体"/>
                <w:color w:val="auto"/>
                <w:sz w:val="22"/>
                <w:highlight w:val="none"/>
              </w:rPr>
            </w:pPr>
            <w:r>
              <w:rPr>
                <w:rFonts w:hint="eastAsia" w:ascii="宋体" w:cs="宋体"/>
                <w:color w:val="auto"/>
                <w:sz w:val="22"/>
                <w:szCs w:val="22"/>
                <w:highlight w:val="none"/>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0"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16</w:t>
            </w:r>
          </w:p>
        </w:tc>
        <w:tc>
          <w:tcPr>
            <w:tcW w:w="1715" w:type="dxa"/>
            <w:vAlign w:val="center"/>
          </w:tcPr>
          <w:p>
            <w:pPr>
              <w:adjustRightInd w:val="0"/>
              <w:jc w:val="center"/>
              <w:rPr>
                <w:rFonts w:ascii="宋体"/>
                <w:color w:val="auto"/>
                <w:sz w:val="22"/>
                <w:highlight w:val="none"/>
              </w:rPr>
            </w:pPr>
            <w:r>
              <w:rPr>
                <w:rFonts w:hint="eastAsia" w:ascii="宋体" w:cs="宋体"/>
                <w:color w:val="auto"/>
                <w:sz w:val="22"/>
                <w:szCs w:val="22"/>
                <w:highlight w:val="none"/>
              </w:rPr>
              <w:t>投标文件的编制</w:t>
            </w:r>
          </w:p>
        </w:tc>
        <w:tc>
          <w:tcPr>
            <w:tcW w:w="7821" w:type="dxa"/>
            <w:vAlign w:val="center"/>
          </w:tcPr>
          <w:p>
            <w:pPr>
              <w:adjustRightInd w:val="0"/>
              <w:rPr>
                <w:rFonts w:ascii="宋体"/>
                <w:color w:val="auto"/>
                <w:sz w:val="22"/>
                <w:highlight w:val="none"/>
              </w:rPr>
            </w:pPr>
            <w:r>
              <w:rPr>
                <w:rFonts w:hint="eastAsia" w:ascii="宋体" w:cs="宋体"/>
                <w:color w:val="auto"/>
                <w:sz w:val="22"/>
                <w:szCs w:val="22"/>
                <w:highlight w:val="none"/>
              </w:rPr>
              <w:t>供应商应先安装“政采云电子交易客户端”，并按照本采购文件和“政采云平台”的要求，通过“政采云电子交易客户端”编制并加密投标文件。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17</w:t>
            </w:r>
          </w:p>
        </w:tc>
        <w:tc>
          <w:tcPr>
            <w:tcW w:w="1715" w:type="dxa"/>
            <w:vAlign w:val="center"/>
          </w:tcPr>
          <w:p>
            <w:pPr>
              <w:adjustRightInd w:val="0"/>
              <w:rPr>
                <w:rFonts w:ascii="宋体"/>
                <w:color w:val="auto"/>
                <w:sz w:val="22"/>
                <w:highlight w:val="none"/>
              </w:rPr>
            </w:pPr>
            <w:r>
              <w:rPr>
                <w:rFonts w:hint="eastAsia" w:ascii="宋体" w:cs="宋体"/>
                <w:color w:val="auto"/>
                <w:sz w:val="22"/>
                <w:szCs w:val="22"/>
                <w:highlight w:val="none"/>
              </w:rPr>
              <w:t>报价有效期</w:t>
            </w:r>
          </w:p>
        </w:tc>
        <w:tc>
          <w:tcPr>
            <w:tcW w:w="7821" w:type="dxa"/>
            <w:vAlign w:val="center"/>
          </w:tcPr>
          <w:p>
            <w:pPr>
              <w:adjustRightInd w:val="0"/>
              <w:rPr>
                <w:rFonts w:ascii="宋体"/>
                <w:color w:val="auto"/>
                <w:sz w:val="22"/>
                <w:highlight w:val="none"/>
              </w:rPr>
            </w:pPr>
            <w:r>
              <w:rPr>
                <w:rFonts w:hint="eastAsia" w:ascii="宋体" w:cs="宋体"/>
                <w:color w:val="auto"/>
                <w:sz w:val="22"/>
                <w:szCs w:val="22"/>
                <w:highlight w:val="none"/>
              </w:rPr>
              <w:t>提交响应文件截止时间起</w:t>
            </w:r>
            <w:r>
              <w:rPr>
                <w:rFonts w:ascii="宋体" w:cs="宋体"/>
                <w:color w:val="auto"/>
                <w:sz w:val="22"/>
                <w:szCs w:val="22"/>
                <w:highlight w:val="none"/>
              </w:rPr>
              <w:t>90</w:t>
            </w:r>
            <w:r>
              <w:rPr>
                <w:rFonts w:hint="eastAsia" w:ascii="宋体" w:cs="宋体"/>
                <w:color w:val="auto"/>
                <w:sz w:val="22"/>
                <w:szCs w:val="22"/>
                <w:highlight w:val="none"/>
              </w:rPr>
              <w:t>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18</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签字或盖章要求</w:t>
            </w:r>
          </w:p>
        </w:tc>
        <w:tc>
          <w:tcPr>
            <w:tcW w:w="7821" w:type="dxa"/>
            <w:vAlign w:val="center"/>
          </w:tcPr>
          <w:p>
            <w:pPr>
              <w:rPr>
                <w:rFonts w:ascii="宋体"/>
                <w:color w:val="auto"/>
                <w:sz w:val="22"/>
                <w:highlight w:val="none"/>
              </w:rPr>
            </w:pPr>
            <w:r>
              <w:rPr>
                <w:rFonts w:hint="eastAsia" w:ascii="宋体" w:cs="宋体"/>
                <w:color w:val="auto"/>
                <w:sz w:val="22"/>
                <w:szCs w:val="22"/>
                <w:highlight w:val="none"/>
              </w:rPr>
              <w:t>投标文件的相应位置应加盖：电子签章。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19</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投标文件的形式、制作及组成</w:t>
            </w:r>
          </w:p>
        </w:tc>
        <w:tc>
          <w:tcPr>
            <w:tcW w:w="7821" w:type="dxa"/>
            <w:vAlign w:val="center"/>
          </w:tcPr>
          <w:p>
            <w:pPr>
              <w:rPr>
                <w:rFonts w:ascii="宋体"/>
                <w:color w:val="auto"/>
                <w:sz w:val="22"/>
                <w:highlight w:val="none"/>
              </w:rPr>
            </w:pPr>
            <w:r>
              <w:rPr>
                <w:rFonts w:hint="eastAsia" w:ascii="宋体" w:cs="宋体"/>
                <w:color w:val="auto"/>
                <w:sz w:val="22"/>
                <w:szCs w:val="22"/>
                <w:highlight w:val="none"/>
              </w:rPr>
              <w:t>本项目实行在线投标响应（电子投标）。</w:t>
            </w:r>
          </w:p>
          <w:p>
            <w:pPr>
              <w:rPr>
                <w:rFonts w:ascii="宋体"/>
                <w:color w:val="auto"/>
                <w:sz w:val="22"/>
                <w:highlight w:val="none"/>
              </w:rPr>
            </w:pPr>
            <w:r>
              <w:rPr>
                <w:rFonts w:hint="eastAsia" w:ascii="宋体" w:cs="宋体"/>
                <w:color w:val="auto"/>
                <w:sz w:val="22"/>
                <w:szCs w:val="22"/>
                <w:highlight w:val="none"/>
              </w:rPr>
              <w:t>投标人须准备电子投标文件（包括“电子加密投标文件”和“备份投标文件”两类，在投标文件编制完成后同时生成）。</w:t>
            </w:r>
          </w:p>
          <w:p>
            <w:pPr>
              <w:rPr>
                <w:rFonts w:ascii="宋体"/>
                <w:color w:val="auto"/>
                <w:sz w:val="22"/>
                <w:highlight w:val="none"/>
              </w:rPr>
            </w:pPr>
            <w:r>
              <w:rPr>
                <w:rFonts w:hint="eastAsia" w:ascii="宋体" w:cs="宋体"/>
                <w:color w:val="auto"/>
                <w:sz w:val="22"/>
                <w:szCs w:val="22"/>
                <w:highlight w:val="none"/>
              </w:rPr>
              <w:t>（</w:t>
            </w:r>
            <w:r>
              <w:rPr>
                <w:rFonts w:ascii="宋体" w:cs="宋体"/>
                <w:color w:val="auto"/>
                <w:sz w:val="22"/>
                <w:szCs w:val="22"/>
                <w:highlight w:val="none"/>
              </w:rPr>
              <w:t>1</w:t>
            </w:r>
            <w:r>
              <w:rPr>
                <w:rFonts w:hint="eastAsia" w:ascii="宋体" w:cs="宋体"/>
                <w:color w:val="auto"/>
                <w:sz w:val="22"/>
                <w:szCs w:val="22"/>
                <w:highlight w:val="none"/>
              </w:rPr>
              <w:t>）“电子加密投标文件”是指通过“政采云电子交易客户端”完成投标文件编制后生成并加密的数据电文形式的投标文件。</w:t>
            </w:r>
          </w:p>
          <w:p>
            <w:pPr>
              <w:rPr>
                <w:rFonts w:ascii="宋体"/>
                <w:color w:val="auto"/>
                <w:sz w:val="22"/>
                <w:highlight w:val="none"/>
              </w:rPr>
            </w:pPr>
            <w:r>
              <w:rPr>
                <w:rFonts w:hint="eastAsia" w:ascii="宋体" w:cs="宋体"/>
                <w:color w:val="auto"/>
                <w:sz w:val="22"/>
                <w:szCs w:val="22"/>
                <w:highlight w:val="none"/>
              </w:rPr>
              <w:t>（</w:t>
            </w:r>
            <w:r>
              <w:rPr>
                <w:rFonts w:ascii="宋体" w:cs="宋体"/>
                <w:color w:val="auto"/>
                <w:sz w:val="22"/>
                <w:szCs w:val="22"/>
                <w:highlight w:val="none"/>
              </w:rPr>
              <w:t>2</w:t>
            </w:r>
            <w:r>
              <w:rPr>
                <w:rFonts w:hint="eastAsia" w:ascii="宋体" w:cs="宋体"/>
                <w:color w:val="auto"/>
                <w:sz w:val="22"/>
                <w:szCs w:val="22"/>
                <w:highlight w:val="none"/>
              </w:rPr>
              <w:t>）“备份投标文件”是指与“电子加密投标文件”同时生成的数据电文形式的电子文件（备份标书），其他方式编制的备份投标文件视为无效备份投标文件。</w:t>
            </w:r>
          </w:p>
          <w:p>
            <w:pPr>
              <w:rPr>
                <w:rFonts w:ascii="宋体"/>
                <w:color w:val="auto"/>
                <w:sz w:val="22"/>
                <w:highlight w:val="none"/>
              </w:rPr>
            </w:pPr>
            <w:r>
              <w:rPr>
                <w:rFonts w:hint="eastAsia" w:ascii="宋体" w:cs="宋体"/>
                <w:color w:val="auto"/>
                <w:sz w:val="22"/>
                <w:szCs w:val="22"/>
                <w:highlight w:val="none"/>
              </w:rPr>
              <w:t>以上两类投标文件均由资格文件、报价文件、商务技术文件三部分组成。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20</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投标样品</w:t>
            </w:r>
          </w:p>
        </w:tc>
        <w:tc>
          <w:tcPr>
            <w:tcW w:w="7821" w:type="dxa"/>
            <w:vAlign w:val="center"/>
          </w:tcPr>
          <w:p>
            <w:pPr>
              <w:rPr>
                <w:rFonts w:ascii="宋体"/>
                <w:color w:val="auto"/>
                <w:sz w:val="22"/>
                <w:highlight w:val="none"/>
              </w:rPr>
            </w:pPr>
            <w:r>
              <w:rPr>
                <w:rFonts w:ascii="宋体" w:cs="宋体"/>
                <w:color w:val="auto"/>
                <w:sz w:val="22"/>
                <w:szCs w:val="22"/>
                <w:highlight w:val="none"/>
              </w:rPr>
              <w:fldChar w:fldCharType="begin"/>
            </w:r>
            <w:r>
              <w:rPr>
                <w:rFonts w:ascii="宋体" w:cs="宋体"/>
                <w:color w:val="auto"/>
                <w:sz w:val="22"/>
                <w:szCs w:val="22"/>
                <w:highlight w:val="none"/>
              </w:rPr>
              <w:instrText xml:space="preserve"> eq \o\ac(</w:instrText>
            </w:r>
            <w:r>
              <w:rPr>
                <w:rFonts w:hint="eastAsia" w:ascii="宋体" w:cs="宋体"/>
                <w:color w:val="auto"/>
                <w:sz w:val="22"/>
                <w:szCs w:val="22"/>
                <w:highlight w:val="none"/>
              </w:rPr>
              <w:instrText xml:space="preserve">□</w:instrText>
            </w:r>
            <w:r>
              <w:rPr>
                <w:rFonts w:ascii="宋体" w:cs="宋体"/>
                <w:color w:val="auto"/>
                <w:sz w:val="22"/>
                <w:szCs w:val="22"/>
                <w:highlight w:val="none"/>
              </w:rPr>
              <w:instrText xml:space="preserve">,</w:instrText>
            </w:r>
            <w:r>
              <w:rPr>
                <w:rFonts w:hint="eastAsia" w:ascii="宋体" w:cs="宋体"/>
                <w:color w:val="auto"/>
                <w:sz w:val="22"/>
                <w:szCs w:val="22"/>
                <w:highlight w:val="none"/>
              </w:rPr>
              <w:instrText xml:space="preserve">√</w:instrText>
            </w:r>
            <w:r>
              <w:rPr>
                <w:rFonts w:ascii="宋体" w:cs="宋体"/>
                <w:color w:val="auto"/>
                <w:sz w:val="22"/>
                <w:szCs w:val="22"/>
                <w:highlight w:val="none"/>
              </w:rPr>
              <w:instrText xml:space="preserve">)</w:instrText>
            </w:r>
            <w:r>
              <w:rPr>
                <w:rFonts w:ascii="宋体" w:cs="宋体"/>
                <w:color w:val="auto"/>
                <w:sz w:val="22"/>
                <w:szCs w:val="22"/>
                <w:highlight w:val="none"/>
              </w:rPr>
              <w:fldChar w:fldCharType="end"/>
            </w:r>
            <w:r>
              <w:rPr>
                <w:rFonts w:hint="eastAsia" w:ascii="宋体" w:cs="宋体"/>
                <w:color w:val="auto"/>
                <w:sz w:val="22"/>
                <w:szCs w:val="22"/>
                <w:highlight w:val="none"/>
              </w:rPr>
              <w:t>不需要</w:t>
            </w:r>
          </w:p>
          <w:p>
            <w:pPr>
              <w:rPr>
                <w:rFonts w:ascii="宋体"/>
                <w:color w:val="auto"/>
                <w:sz w:val="22"/>
                <w:highlight w:val="none"/>
              </w:rPr>
            </w:pPr>
            <w:r>
              <w:rPr>
                <w:rFonts w:hint="eastAsia" w:ascii="宋体" w:cs="宋体"/>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21</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投标保证金</w:t>
            </w:r>
          </w:p>
        </w:tc>
        <w:tc>
          <w:tcPr>
            <w:tcW w:w="7821" w:type="dxa"/>
            <w:vAlign w:val="center"/>
          </w:tcPr>
          <w:p>
            <w:pPr>
              <w:rPr>
                <w:rFonts w:ascii="宋体"/>
                <w:color w:val="auto"/>
                <w:sz w:val="22"/>
                <w:highlight w:val="none"/>
              </w:rPr>
            </w:pPr>
            <w:r>
              <w:rPr>
                <w:rFonts w:ascii="宋体" w:cs="宋体"/>
                <w:color w:val="auto"/>
                <w:sz w:val="22"/>
                <w:szCs w:val="22"/>
                <w:highlight w:val="none"/>
              </w:rPr>
              <w:fldChar w:fldCharType="begin"/>
            </w:r>
            <w:r>
              <w:rPr>
                <w:rFonts w:ascii="宋体" w:cs="宋体"/>
                <w:color w:val="auto"/>
                <w:sz w:val="22"/>
                <w:szCs w:val="22"/>
                <w:highlight w:val="none"/>
              </w:rPr>
              <w:instrText xml:space="preserve"> eq \o\ac(</w:instrText>
            </w:r>
            <w:r>
              <w:rPr>
                <w:rFonts w:hint="eastAsia" w:ascii="宋体" w:cs="宋体"/>
                <w:color w:val="auto"/>
                <w:sz w:val="22"/>
                <w:szCs w:val="22"/>
                <w:highlight w:val="none"/>
              </w:rPr>
              <w:instrText xml:space="preserve">□</w:instrText>
            </w:r>
            <w:r>
              <w:rPr>
                <w:rFonts w:ascii="宋体" w:cs="宋体"/>
                <w:color w:val="auto"/>
                <w:sz w:val="22"/>
                <w:szCs w:val="22"/>
                <w:highlight w:val="none"/>
              </w:rPr>
              <w:instrText xml:space="preserve">,</w:instrText>
            </w:r>
            <w:r>
              <w:rPr>
                <w:rFonts w:hint="eastAsia" w:ascii="宋体" w:cs="宋体"/>
                <w:color w:val="auto"/>
                <w:sz w:val="22"/>
                <w:szCs w:val="22"/>
                <w:highlight w:val="none"/>
              </w:rPr>
              <w:instrText xml:space="preserve">√</w:instrText>
            </w:r>
            <w:r>
              <w:rPr>
                <w:rFonts w:ascii="宋体" w:cs="宋体"/>
                <w:color w:val="auto"/>
                <w:sz w:val="22"/>
                <w:szCs w:val="22"/>
                <w:highlight w:val="none"/>
              </w:rPr>
              <w:instrText xml:space="preserve">)</w:instrText>
            </w:r>
            <w:r>
              <w:rPr>
                <w:rFonts w:ascii="宋体" w:cs="宋体"/>
                <w:color w:val="auto"/>
                <w:sz w:val="22"/>
                <w:szCs w:val="22"/>
                <w:highlight w:val="none"/>
              </w:rPr>
              <w:fldChar w:fldCharType="end"/>
            </w:r>
            <w:r>
              <w:rPr>
                <w:rFonts w:hint="eastAsia" w:ascii="宋体" w:cs="宋体"/>
                <w:color w:val="auto"/>
                <w:sz w:val="22"/>
                <w:szCs w:val="22"/>
                <w:highlight w:val="none"/>
              </w:rPr>
              <w:t>不需要</w:t>
            </w:r>
          </w:p>
          <w:p>
            <w:pPr>
              <w:rPr>
                <w:rFonts w:ascii="宋体"/>
                <w:color w:val="auto"/>
                <w:sz w:val="22"/>
                <w:highlight w:val="none"/>
              </w:rPr>
            </w:pPr>
            <w:r>
              <w:rPr>
                <w:rFonts w:hint="eastAsia" w:ascii="宋体" w:cs="宋体"/>
                <w:color w:val="auto"/>
                <w:sz w:val="22"/>
                <w:szCs w:val="22"/>
                <w:highlight w:val="none"/>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08"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22</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履约担保</w:t>
            </w:r>
          </w:p>
        </w:tc>
        <w:tc>
          <w:tcPr>
            <w:tcW w:w="7821" w:type="dxa"/>
            <w:vAlign w:val="center"/>
          </w:tcPr>
          <w:p>
            <w:pPr>
              <w:rPr>
                <w:rFonts w:ascii="宋体"/>
                <w:color w:val="auto"/>
                <w:sz w:val="22"/>
                <w:highlight w:val="none"/>
              </w:rPr>
            </w:pPr>
            <w:r>
              <w:rPr>
                <w:rFonts w:hint="eastAsia" w:ascii="宋体" w:cs="宋体"/>
                <w:color w:val="auto"/>
                <w:sz w:val="22"/>
                <w:szCs w:val="22"/>
                <w:highlight w:val="none"/>
              </w:rPr>
              <w:t>□不需要</w:t>
            </w:r>
          </w:p>
          <w:p>
            <w:pPr>
              <w:rPr>
                <w:rFonts w:ascii="宋体"/>
                <w:color w:val="auto"/>
                <w:sz w:val="22"/>
                <w:highlight w:val="none"/>
              </w:rPr>
            </w:pPr>
            <w:r>
              <w:rPr>
                <w:rFonts w:ascii="宋体" w:cs="宋体"/>
                <w:color w:val="auto"/>
                <w:sz w:val="22"/>
                <w:szCs w:val="22"/>
                <w:highlight w:val="none"/>
              </w:rPr>
              <w:fldChar w:fldCharType="begin"/>
            </w:r>
            <w:r>
              <w:rPr>
                <w:rFonts w:ascii="宋体" w:cs="宋体"/>
                <w:color w:val="auto"/>
                <w:sz w:val="22"/>
                <w:szCs w:val="22"/>
                <w:highlight w:val="none"/>
              </w:rPr>
              <w:instrText xml:space="preserve"> eq \o\ac(</w:instrText>
            </w:r>
            <w:r>
              <w:rPr>
                <w:rFonts w:hint="eastAsia" w:ascii="宋体" w:cs="宋体"/>
                <w:color w:val="auto"/>
                <w:sz w:val="22"/>
                <w:szCs w:val="22"/>
                <w:highlight w:val="none"/>
              </w:rPr>
              <w:instrText xml:space="preserve">□</w:instrText>
            </w:r>
            <w:r>
              <w:rPr>
                <w:rFonts w:ascii="宋体" w:cs="宋体"/>
                <w:color w:val="auto"/>
                <w:sz w:val="22"/>
                <w:szCs w:val="22"/>
                <w:highlight w:val="none"/>
              </w:rPr>
              <w:instrText xml:space="preserve">,</w:instrText>
            </w:r>
            <w:r>
              <w:rPr>
                <w:rFonts w:hint="eastAsia" w:ascii="宋体" w:cs="宋体"/>
                <w:color w:val="auto"/>
                <w:sz w:val="22"/>
                <w:szCs w:val="22"/>
                <w:highlight w:val="none"/>
              </w:rPr>
              <w:instrText xml:space="preserve">√</w:instrText>
            </w:r>
            <w:r>
              <w:rPr>
                <w:rFonts w:ascii="宋体" w:cs="宋体"/>
                <w:color w:val="auto"/>
                <w:sz w:val="22"/>
                <w:szCs w:val="22"/>
                <w:highlight w:val="none"/>
              </w:rPr>
              <w:instrText xml:space="preserve">)</w:instrText>
            </w:r>
            <w:r>
              <w:rPr>
                <w:rFonts w:ascii="宋体" w:cs="宋体"/>
                <w:color w:val="auto"/>
                <w:sz w:val="22"/>
                <w:szCs w:val="22"/>
                <w:highlight w:val="none"/>
              </w:rPr>
              <w:fldChar w:fldCharType="end"/>
            </w:r>
            <w:r>
              <w:rPr>
                <w:rFonts w:hint="eastAsia" w:ascii="宋体" w:cs="宋体"/>
                <w:color w:val="auto"/>
                <w:sz w:val="22"/>
                <w:szCs w:val="22"/>
                <w:highlight w:val="none"/>
              </w:rPr>
              <w:t>需要</w:t>
            </w:r>
            <w:r>
              <w:rPr>
                <w:rFonts w:ascii="宋体" w:cs="宋体"/>
                <w:color w:val="auto"/>
                <w:sz w:val="22"/>
                <w:szCs w:val="22"/>
                <w:highlight w:val="none"/>
              </w:rPr>
              <w:t xml:space="preserve">  </w:t>
            </w:r>
            <w:r>
              <w:rPr>
                <w:rFonts w:hint="eastAsia" w:ascii="宋体" w:cs="宋体"/>
                <w:color w:val="auto"/>
                <w:sz w:val="22"/>
                <w:szCs w:val="22"/>
                <w:highlight w:val="none"/>
              </w:rPr>
              <w:t>合同签订后成交供应商应提供合同总金额2</w:t>
            </w:r>
            <w:r>
              <w:rPr>
                <w:rFonts w:ascii="宋体" w:cs="宋体"/>
                <w:color w:val="auto"/>
                <w:sz w:val="22"/>
                <w:szCs w:val="22"/>
                <w:highlight w:val="none"/>
              </w:rPr>
              <w:t>%</w:t>
            </w:r>
            <w:r>
              <w:rPr>
                <w:rFonts w:hint="eastAsia" w:ascii="宋体" w:cs="宋体"/>
                <w:color w:val="auto"/>
                <w:sz w:val="22"/>
                <w:szCs w:val="22"/>
                <w:highlight w:val="none"/>
              </w:rPr>
              <w:t>的履约保证金至采购人指定账户，履约保证金可以以银行或保险公司出具的保函作为履约保函。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07"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23</w:t>
            </w:r>
          </w:p>
        </w:tc>
        <w:tc>
          <w:tcPr>
            <w:tcW w:w="1715" w:type="dxa"/>
            <w:vAlign w:val="center"/>
          </w:tcPr>
          <w:p>
            <w:pPr>
              <w:adjustRightInd w:val="0"/>
              <w:jc w:val="center"/>
              <w:rPr>
                <w:rFonts w:ascii="宋体"/>
                <w:color w:val="auto"/>
                <w:sz w:val="22"/>
                <w:highlight w:val="none"/>
              </w:rPr>
            </w:pPr>
            <w:r>
              <w:rPr>
                <w:rFonts w:hint="eastAsia" w:ascii="宋体" w:cs="宋体"/>
                <w:color w:val="auto"/>
                <w:sz w:val="22"/>
                <w:szCs w:val="22"/>
                <w:highlight w:val="none"/>
              </w:rPr>
              <w:t>投标文件份数</w:t>
            </w:r>
          </w:p>
        </w:tc>
        <w:tc>
          <w:tcPr>
            <w:tcW w:w="7821" w:type="dxa"/>
            <w:vAlign w:val="center"/>
          </w:tcPr>
          <w:p>
            <w:pPr>
              <w:adjustRightInd w:val="0"/>
              <w:jc w:val="left"/>
              <w:rPr>
                <w:rFonts w:ascii="宋体"/>
                <w:color w:val="auto"/>
                <w:sz w:val="22"/>
                <w:highlight w:val="none"/>
              </w:rPr>
            </w:pPr>
            <w:r>
              <w:rPr>
                <w:rFonts w:hint="eastAsia" w:ascii="宋体" w:cs="宋体"/>
                <w:color w:val="auto"/>
                <w:sz w:val="22"/>
                <w:szCs w:val="22"/>
                <w:highlight w:val="none"/>
              </w:rPr>
              <w:t>（</w:t>
            </w:r>
            <w:r>
              <w:rPr>
                <w:rFonts w:ascii="宋体" w:cs="宋体"/>
                <w:color w:val="auto"/>
                <w:sz w:val="22"/>
                <w:szCs w:val="22"/>
                <w:highlight w:val="none"/>
              </w:rPr>
              <w:t>1</w:t>
            </w:r>
            <w:r>
              <w:rPr>
                <w:rFonts w:hint="eastAsia" w:ascii="宋体" w:cs="宋体"/>
                <w:color w:val="auto"/>
                <w:sz w:val="22"/>
                <w:szCs w:val="22"/>
                <w:highlight w:val="none"/>
              </w:rPr>
              <w:t>）“电子加密投标文件”：在线上传递交、一份。</w:t>
            </w:r>
          </w:p>
          <w:p>
            <w:pPr>
              <w:adjustRightInd w:val="0"/>
              <w:ind w:left="440" w:hanging="440" w:hangingChars="200"/>
              <w:rPr>
                <w:rFonts w:ascii="宋体"/>
                <w:color w:val="auto"/>
                <w:sz w:val="22"/>
                <w:highlight w:val="none"/>
              </w:rPr>
            </w:pPr>
            <w:r>
              <w:rPr>
                <w:rFonts w:hint="eastAsia" w:ascii="宋体" w:cs="宋体"/>
                <w:color w:val="auto"/>
                <w:sz w:val="22"/>
                <w:szCs w:val="22"/>
                <w:highlight w:val="none"/>
              </w:rPr>
              <w:t>（</w:t>
            </w:r>
            <w:r>
              <w:rPr>
                <w:rFonts w:ascii="宋体" w:cs="宋体"/>
                <w:color w:val="auto"/>
                <w:sz w:val="22"/>
                <w:szCs w:val="22"/>
                <w:highlight w:val="none"/>
              </w:rPr>
              <w:t>2</w:t>
            </w:r>
            <w:r>
              <w:rPr>
                <w:rFonts w:hint="eastAsia" w:ascii="宋体" w:cs="宋体"/>
                <w:color w:val="auto"/>
                <w:sz w:val="22"/>
                <w:szCs w:val="22"/>
                <w:highlight w:val="none"/>
              </w:rPr>
              <w:t>）“备份投标文件”：以</w:t>
            </w:r>
            <w:r>
              <w:rPr>
                <w:rFonts w:ascii="宋体" w:cs="宋体"/>
                <w:color w:val="auto"/>
                <w:sz w:val="22"/>
                <w:szCs w:val="22"/>
                <w:highlight w:val="none"/>
              </w:rPr>
              <w:t>U</w:t>
            </w:r>
            <w:r>
              <w:rPr>
                <w:rFonts w:hint="eastAsia" w:ascii="宋体" w:cs="宋体"/>
                <w:color w:val="auto"/>
                <w:sz w:val="22"/>
                <w:szCs w:val="22"/>
                <w:highlight w:val="none"/>
              </w:rPr>
              <w:t>盘存储，密封包装后（顺丰快递形式）在</w:t>
            </w:r>
            <w:r>
              <w:rPr>
                <w:rFonts w:ascii="宋体" w:cs="宋体"/>
                <w:color w:val="auto"/>
                <w:sz w:val="22"/>
                <w:szCs w:val="22"/>
                <w:highlight w:val="none"/>
                <w:u w:val="single"/>
              </w:rPr>
              <w:t>2022</w:t>
            </w:r>
            <w:r>
              <w:rPr>
                <w:rFonts w:hint="eastAsia" w:ascii="宋体" w:cs="宋体"/>
                <w:color w:val="auto"/>
                <w:sz w:val="22"/>
                <w:szCs w:val="22"/>
                <w:highlight w:val="none"/>
                <w:u w:val="single"/>
              </w:rPr>
              <w:t>年</w:t>
            </w:r>
            <w:r>
              <w:rPr>
                <w:rFonts w:hint="eastAsia" w:ascii="宋体" w:cs="宋体"/>
                <w:color w:val="auto"/>
                <w:sz w:val="22"/>
                <w:szCs w:val="22"/>
                <w:highlight w:val="none"/>
                <w:u w:val="single"/>
                <w:lang w:val="en-US" w:eastAsia="zh-CN"/>
              </w:rPr>
              <w:t>6</w:t>
            </w:r>
            <w:r>
              <w:rPr>
                <w:rFonts w:hint="eastAsia" w:ascii="宋体" w:cs="宋体"/>
                <w:color w:val="auto"/>
                <w:sz w:val="22"/>
                <w:szCs w:val="22"/>
                <w:highlight w:val="none"/>
                <w:u w:val="single"/>
              </w:rPr>
              <w:t>月</w:t>
            </w:r>
            <w:r>
              <w:rPr>
                <w:rFonts w:hint="eastAsia" w:ascii="宋体" w:cs="宋体"/>
                <w:color w:val="auto"/>
                <w:sz w:val="22"/>
                <w:szCs w:val="22"/>
                <w:highlight w:val="none"/>
                <w:u w:val="single"/>
                <w:lang w:val="en-US" w:eastAsia="zh-CN"/>
              </w:rPr>
              <w:t>10</w:t>
            </w:r>
            <w:r>
              <w:rPr>
                <w:rFonts w:hint="eastAsia" w:ascii="宋体" w:cs="宋体"/>
                <w:color w:val="auto"/>
                <w:sz w:val="22"/>
                <w:szCs w:val="22"/>
                <w:highlight w:val="none"/>
                <w:u w:val="single"/>
              </w:rPr>
              <w:t>日</w:t>
            </w:r>
            <w:r>
              <w:rPr>
                <w:rFonts w:ascii="宋体" w:cs="宋体"/>
                <w:color w:val="auto"/>
                <w:sz w:val="22"/>
                <w:szCs w:val="22"/>
                <w:highlight w:val="none"/>
                <w:u w:val="single"/>
              </w:rPr>
              <w:t>16</w:t>
            </w:r>
            <w:r>
              <w:rPr>
                <w:rFonts w:hint="eastAsia" w:ascii="宋体" w:cs="宋体"/>
                <w:color w:val="auto"/>
                <w:sz w:val="22"/>
                <w:szCs w:val="22"/>
                <w:highlight w:val="none"/>
                <w:u w:val="single"/>
              </w:rPr>
              <w:t>时</w:t>
            </w:r>
            <w:r>
              <w:rPr>
                <w:rFonts w:ascii="宋体" w:cs="宋体"/>
                <w:color w:val="auto"/>
                <w:sz w:val="22"/>
                <w:szCs w:val="22"/>
                <w:highlight w:val="none"/>
                <w:u w:val="single"/>
              </w:rPr>
              <w:t>00</w:t>
            </w:r>
            <w:r>
              <w:rPr>
                <w:rFonts w:hint="eastAsia" w:ascii="宋体" w:cs="宋体"/>
                <w:color w:val="auto"/>
                <w:sz w:val="22"/>
                <w:szCs w:val="22"/>
                <w:highlight w:val="none"/>
                <w:u w:val="single"/>
              </w:rPr>
              <w:t>分</w:t>
            </w:r>
            <w:r>
              <w:rPr>
                <w:rFonts w:hint="eastAsia" w:ascii="宋体" w:cs="宋体"/>
                <w:color w:val="auto"/>
                <w:sz w:val="22"/>
                <w:szCs w:val="22"/>
                <w:highlight w:val="none"/>
              </w:rPr>
              <w:t>前递交，一份，邮寄地址：温州市永嘉县南城街道环城北路618号云碓大厦503室，黄曼曼收，联系电话：</w:t>
            </w:r>
            <w:r>
              <w:rPr>
                <w:rFonts w:asciiTheme="minorEastAsia" w:hAnsiTheme="minorEastAsia" w:eastAsiaTheme="minorEastAsia"/>
                <w:color w:val="auto"/>
                <w:sz w:val="22"/>
                <w:highlight w:val="none"/>
              </w:rPr>
              <w:t>15858728890</w:t>
            </w:r>
            <w:r>
              <w:rPr>
                <w:rFonts w:hint="eastAsia" w:ascii="宋体" w:cs="宋体"/>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032"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24</w:t>
            </w:r>
          </w:p>
        </w:tc>
        <w:tc>
          <w:tcPr>
            <w:tcW w:w="1715" w:type="dxa"/>
            <w:vAlign w:val="center"/>
          </w:tcPr>
          <w:p>
            <w:pPr>
              <w:adjustRightInd w:val="0"/>
              <w:jc w:val="center"/>
              <w:rPr>
                <w:rFonts w:ascii="宋体"/>
                <w:color w:val="auto"/>
                <w:sz w:val="22"/>
                <w:highlight w:val="none"/>
              </w:rPr>
            </w:pPr>
            <w:r>
              <w:rPr>
                <w:rFonts w:hint="eastAsia" w:ascii="宋体" w:cs="宋体"/>
                <w:color w:val="auto"/>
                <w:sz w:val="22"/>
                <w:szCs w:val="22"/>
                <w:highlight w:val="none"/>
              </w:rPr>
              <w:t>响应文件递交截止时间及开标时间</w:t>
            </w:r>
          </w:p>
        </w:tc>
        <w:tc>
          <w:tcPr>
            <w:tcW w:w="7821" w:type="dxa"/>
            <w:vAlign w:val="center"/>
          </w:tcPr>
          <w:p>
            <w:pPr>
              <w:adjustRightInd w:val="0"/>
              <w:jc w:val="left"/>
              <w:rPr>
                <w:rFonts w:ascii="宋体"/>
                <w:color w:val="auto"/>
                <w:sz w:val="22"/>
                <w:highlight w:val="none"/>
              </w:rPr>
            </w:pPr>
            <w:r>
              <w:rPr>
                <w:rFonts w:ascii="宋体" w:cs="宋体"/>
                <w:i/>
                <w:iCs/>
                <w:color w:val="auto"/>
                <w:sz w:val="22"/>
                <w:szCs w:val="22"/>
                <w:highlight w:val="none"/>
              </w:rPr>
              <w:t>2022</w:t>
            </w:r>
            <w:r>
              <w:rPr>
                <w:rFonts w:hint="eastAsia" w:ascii="宋体" w:cs="宋体"/>
                <w:i/>
                <w:iCs/>
                <w:color w:val="auto"/>
                <w:sz w:val="22"/>
                <w:szCs w:val="22"/>
                <w:highlight w:val="none"/>
              </w:rPr>
              <w:t>年</w:t>
            </w:r>
            <w:r>
              <w:rPr>
                <w:rFonts w:hint="eastAsia" w:ascii="宋体" w:cs="宋体"/>
                <w:i/>
                <w:iCs/>
                <w:color w:val="auto"/>
                <w:sz w:val="22"/>
                <w:szCs w:val="22"/>
                <w:highlight w:val="none"/>
                <w:lang w:val="en-US" w:eastAsia="zh-CN"/>
              </w:rPr>
              <w:t>6</w:t>
            </w:r>
            <w:r>
              <w:rPr>
                <w:rFonts w:hint="eastAsia" w:ascii="宋体" w:cs="宋体"/>
                <w:i/>
                <w:iCs/>
                <w:color w:val="auto"/>
                <w:sz w:val="22"/>
                <w:szCs w:val="22"/>
                <w:highlight w:val="none"/>
              </w:rPr>
              <w:t>月</w:t>
            </w:r>
            <w:r>
              <w:rPr>
                <w:rFonts w:hint="eastAsia" w:ascii="宋体" w:cs="宋体"/>
                <w:i/>
                <w:iCs/>
                <w:color w:val="auto"/>
                <w:sz w:val="22"/>
                <w:szCs w:val="22"/>
                <w:highlight w:val="none"/>
                <w:lang w:val="en-US" w:eastAsia="zh-CN"/>
              </w:rPr>
              <w:t>13</w:t>
            </w:r>
            <w:r>
              <w:rPr>
                <w:rFonts w:hint="eastAsia" w:ascii="宋体" w:cs="宋体"/>
                <w:i/>
                <w:iCs/>
                <w:color w:val="auto"/>
                <w:sz w:val="22"/>
                <w:szCs w:val="22"/>
                <w:highlight w:val="none"/>
              </w:rPr>
              <w:t>日　</w:t>
            </w:r>
            <w:r>
              <w:rPr>
                <w:rFonts w:ascii="宋体" w:cs="宋体"/>
                <w:i/>
                <w:iCs/>
                <w:color w:val="auto"/>
                <w:sz w:val="22"/>
                <w:szCs w:val="22"/>
                <w:highlight w:val="none"/>
              </w:rPr>
              <w:t xml:space="preserve">09:30 </w:t>
            </w:r>
            <w:r>
              <w:rPr>
                <w:rFonts w:hint="eastAsia" w:ascii="宋体" w:cs="宋体"/>
                <w:i/>
                <w:iCs/>
                <w:color w:val="auto"/>
                <w:sz w:val="22"/>
                <w:szCs w:val="22"/>
                <w:highlight w:val="none"/>
              </w:rPr>
              <w:t>截</w:t>
            </w:r>
            <w:r>
              <w:rPr>
                <w:rFonts w:hint="eastAsia" w:ascii="宋体" w:cs="宋体"/>
                <w:color w:val="auto"/>
                <w:sz w:val="22"/>
                <w:szCs w:val="22"/>
                <w:highlight w:val="none"/>
              </w:rPr>
              <w:t>止</w:t>
            </w:r>
            <w:r>
              <w:rPr>
                <w:rFonts w:ascii="宋体" w:cs="宋体"/>
                <w:color w:val="auto"/>
                <w:sz w:val="22"/>
                <w:szCs w:val="22"/>
                <w:highlight w:val="none"/>
              </w:rPr>
              <w:t>(</w:t>
            </w:r>
            <w:r>
              <w:rPr>
                <w:rFonts w:hint="eastAsia" w:ascii="宋体" w:cs="宋体"/>
                <w:color w:val="auto"/>
                <w:sz w:val="22"/>
                <w:szCs w:val="22"/>
                <w:highlight w:val="none"/>
              </w:rPr>
              <w:t>北京时间</w:t>
            </w:r>
            <w:r>
              <w:rPr>
                <w:rFonts w:ascii="宋体" w:cs="宋体"/>
                <w:color w:val="auto"/>
                <w:sz w:val="22"/>
                <w:szCs w:val="22"/>
                <w:highlight w:val="none"/>
              </w:rPr>
              <w:t>)</w:t>
            </w:r>
            <w:r>
              <w:rPr>
                <w:rFonts w:hint="eastAsia" w:ascii="宋体" w:cs="宋体"/>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07"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25</w:t>
            </w:r>
          </w:p>
        </w:tc>
        <w:tc>
          <w:tcPr>
            <w:tcW w:w="1715" w:type="dxa"/>
            <w:vAlign w:val="center"/>
          </w:tcPr>
          <w:p>
            <w:pPr>
              <w:jc w:val="center"/>
              <w:rPr>
                <w:rFonts w:ascii="宋体"/>
                <w:color w:val="auto"/>
                <w:sz w:val="22"/>
                <w:highlight w:val="none"/>
              </w:rPr>
            </w:pPr>
            <w:r>
              <w:rPr>
                <w:rFonts w:hint="eastAsia" w:ascii="新宋体" w:hAnsi="新宋体" w:eastAsia="新宋体" w:cs="新宋体"/>
                <w:color w:val="auto"/>
                <w:sz w:val="22"/>
                <w:szCs w:val="22"/>
                <w:highlight w:val="none"/>
                <w:lang w:val="zh-CN"/>
              </w:rPr>
              <w:t>投标文件的上传和递交</w:t>
            </w:r>
          </w:p>
        </w:tc>
        <w:tc>
          <w:tcPr>
            <w:tcW w:w="7821" w:type="dxa"/>
            <w:vAlign w:val="center"/>
          </w:tcPr>
          <w:p>
            <w:pPr>
              <w:pStyle w:val="73"/>
              <w:autoSpaceDE w:val="0"/>
              <w:autoSpaceDN w:val="0"/>
              <w:adjustRightInd w:val="0"/>
              <w:spacing w:line="300" w:lineRule="atLeast"/>
              <w:jc w:val="both"/>
              <w:rPr>
                <w:rFonts w:ascii="新宋体" w:hAnsi="新宋体" w:eastAsia="新宋体" w:cs="Times New Roman"/>
                <w:color w:val="auto"/>
                <w:sz w:val="22"/>
                <w:szCs w:val="22"/>
                <w:highlight w:val="none"/>
              </w:rPr>
            </w:pPr>
            <w:r>
              <w:rPr>
                <w:rFonts w:hint="eastAsia" w:ascii="新宋体" w:hAnsi="新宋体" w:eastAsia="新宋体" w:cs="新宋体"/>
                <w:color w:val="auto"/>
                <w:sz w:val="22"/>
                <w:szCs w:val="22"/>
                <w:highlight w:val="none"/>
              </w:rPr>
              <w:t>一、“电子加密投标文件”的上传、递交：</w:t>
            </w:r>
          </w:p>
          <w:p>
            <w:pPr>
              <w:pStyle w:val="73"/>
              <w:autoSpaceDE w:val="0"/>
              <w:autoSpaceDN w:val="0"/>
              <w:adjustRightInd w:val="0"/>
              <w:spacing w:line="300" w:lineRule="atLeast"/>
              <w:ind w:firstLine="440" w:firstLineChars="200"/>
              <w:jc w:val="both"/>
              <w:rPr>
                <w:rFonts w:ascii="新宋体" w:hAnsi="新宋体" w:eastAsia="新宋体" w:cs="Times New Roman"/>
                <w:color w:val="auto"/>
                <w:sz w:val="22"/>
                <w:szCs w:val="22"/>
                <w:highlight w:val="none"/>
              </w:rPr>
            </w:pPr>
            <w:r>
              <w:rPr>
                <w:rFonts w:ascii="新宋体" w:hAnsi="新宋体" w:eastAsia="新宋体" w:cs="新宋体"/>
                <w:color w:val="auto"/>
                <w:sz w:val="22"/>
                <w:szCs w:val="22"/>
                <w:highlight w:val="none"/>
              </w:rPr>
              <w:t>a.</w:t>
            </w:r>
            <w:r>
              <w:rPr>
                <w:rFonts w:hint="eastAsia" w:ascii="新宋体" w:hAnsi="新宋体" w:eastAsia="新宋体" w:cs="新宋体"/>
                <w:color w:val="auto"/>
                <w:sz w:val="22"/>
                <w:szCs w:val="22"/>
                <w:highlight w:val="none"/>
              </w:rPr>
              <w:t>投标人应在投标文件递交截止时间前将“电子加密投标文件”成功上传递交至“政采云平台”，否则投标无效。</w:t>
            </w:r>
          </w:p>
          <w:p>
            <w:pPr>
              <w:pStyle w:val="73"/>
              <w:autoSpaceDE w:val="0"/>
              <w:autoSpaceDN w:val="0"/>
              <w:adjustRightInd w:val="0"/>
              <w:spacing w:line="300" w:lineRule="atLeast"/>
              <w:ind w:firstLine="440" w:firstLineChars="200"/>
              <w:jc w:val="both"/>
              <w:rPr>
                <w:rFonts w:ascii="新宋体" w:hAnsi="新宋体" w:eastAsia="新宋体" w:cs="Times New Roman"/>
                <w:color w:val="auto"/>
                <w:sz w:val="22"/>
                <w:szCs w:val="22"/>
                <w:highlight w:val="none"/>
              </w:rPr>
            </w:pPr>
            <w:r>
              <w:rPr>
                <w:rFonts w:ascii="新宋体" w:hAnsi="新宋体" w:eastAsia="新宋体" w:cs="新宋体"/>
                <w:color w:val="auto"/>
                <w:sz w:val="22"/>
                <w:szCs w:val="22"/>
                <w:highlight w:val="none"/>
              </w:rPr>
              <w:t>b.</w:t>
            </w:r>
            <w:r>
              <w:rPr>
                <w:rFonts w:hint="eastAsia" w:ascii="新宋体" w:hAnsi="新宋体" w:eastAsia="新宋体" w:cs="新宋体"/>
                <w:color w:val="auto"/>
                <w:sz w:val="22"/>
                <w:szCs w:val="22"/>
                <w:highlight w:val="none"/>
              </w:rPr>
              <w:t>“电子加密投标文件”成功上传递交后，供应商可自行打印投标文件接收回执。</w:t>
            </w:r>
          </w:p>
          <w:p>
            <w:pPr>
              <w:pStyle w:val="73"/>
              <w:autoSpaceDE w:val="0"/>
              <w:autoSpaceDN w:val="0"/>
              <w:adjustRightInd w:val="0"/>
              <w:spacing w:line="300" w:lineRule="atLeast"/>
              <w:jc w:val="both"/>
              <w:rPr>
                <w:rFonts w:ascii="新宋体" w:hAnsi="新宋体" w:eastAsia="新宋体" w:cs="Times New Roman"/>
                <w:color w:val="auto"/>
                <w:sz w:val="22"/>
                <w:szCs w:val="22"/>
                <w:highlight w:val="none"/>
              </w:rPr>
            </w:pPr>
            <w:r>
              <w:rPr>
                <w:rFonts w:hint="eastAsia" w:ascii="新宋体" w:hAnsi="新宋体" w:eastAsia="新宋体" w:cs="新宋体"/>
                <w:color w:val="auto"/>
                <w:sz w:val="22"/>
                <w:szCs w:val="22"/>
                <w:highlight w:val="none"/>
              </w:rPr>
              <w:t>二、“备份投标文件”的密封包装、递交：</w:t>
            </w:r>
          </w:p>
          <w:p>
            <w:pPr>
              <w:pStyle w:val="73"/>
              <w:autoSpaceDE w:val="0"/>
              <w:autoSpaceDN w:val="0"/>
              <w:adjustRightInd w:val="0"/>
              <w:spacing w:line="300" w:lineRule="atLeast"/>
              <w:ind w:firstLine="440" w:firstLineChars="200"/>
              <w:jc w:val="both"/>
              <w:rPr>
                <w:rFonts w:ascii="新宋体" w:hAnsi="新宋体" w:eastAsia="新宋体" w:cs="Times New Roman"/>
                <w:color w:val="auto"/>
                <w:sz w:val="22"/>
                <w:szCs w:val="22"/>
                <w:highlight w:val="none"/>
              </w:rPr>
            </w:pPr>
            <w:r>
              <w:rPr>
                <w:rFonts w:ascii="新宋体" w:hAnsi="新宋体" w:eastAsia="新宋体" w:cs="新宋体"/>
                <w:color w:val="auto"/>
                <w:sz w:val="22"/>
                <w:szCs w:val="22"/>
                <w:highlight w:val="none"/>
              </w:rPr>
              <w:t>a.</w:t>
            </w:r>
            <w:r>
              <w:rPr>
                <w:rFonts w:hint="eastAsia" w:ascii="新宋体" w:hAnsi="新宋体" w:eastAsia="新宋体" w:cs="新宋体"/>
                <w:color w:val="auto"/>
                <w:sz w:val="22"/>
                <w:szCs w:val="22"/>
                <w:highlight w:val="none"/>
              </w:rPr>
              <w:t>投标人在“政采云平台”完成“电子加密投标文件”的上传递交后，还可以（建议顺丰快递形式）递交以介质（</w:t>
            </w:r>
            <w:r>
              <w:rPr>
                <w:rFonts w:ascii="新宋体" w:hAnsi="新宋体" w:eastAsia="新宋体" w:cs="新宋体"/>
                <w:color w:val="auto"/>
                <w:sz w:val="22"/>
                <w:szCs w:val="22"/>
                <w:highlight w:val="none"/>
              </w:rPr>
              <w:t>U</w:t>
            </w:r>
            <w:r>
              <w:rPr>
                <w:rFonts w:hint="eastAsia" w:ascii="新宋体" w:hAnsi="新宋体" w:eastAsia="新宋体" w:cs="新宋体"/>
                <w:color w:val="auto"/>
                <w:sz w:val="22"/>
                <w:szCs w:val="22"/>
                <w:highlight w:val="none"/>
              </w:rPr>
              <w:t>盘）存储的</w:t>
            </w:r>
            <w:r>
              <w:rPr>
                <w:rFonts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rPr>
              <w:t>“备份投标文件”（一份）；顺丰快递形式快递至采购代理机构地址（地址详见招标采购文件，防疫期间不建议供应商本代表抵达开评标地点）；解密</w:t>
            </w:r>
            <w:r>
              <w:rPr>
                <w:rFonts w:ascii="新宋体" w:hAnsi="新宋体" w:eastAsia="新宋体" w:cs="新宋体"/>
                <w:color w:val="auto"/>
                <w:sz w:val="22"/>
                <w:szCs w:val="22"/>
                <w:highlight w:val="none"/>
              </w:rPr>
              <w:t>CA</w:t>
            </w:r>
            <w:r>
              <w:rPr>
                <w:rFonts w:hint="eastAsia" w:ascii="新宋体" w:hAnsi="新宋体" w:eastAsia="新宋体" w:cs="新宋体"/>
                <w:color w:val="auto"/>
                <w:sz w:val="22"/>
                <w:szCs w:val="22"/>
                <w:highlight w:val="none"/>
              </w:rPr>
              <w:t>必须是上传并制作电子投标文件</w:t>
            </w:r>
            <w:r>
              <w:rPr>
                <w:rFonts w:ascii="新宋体" w:hAnsi="新宋体" w:eastAsia="新宋体" w:cs="新宋体"/>
                <w:color w:val="auto"/>
                <w:sz w:val="22"/>
                <w:szCs w:val="22"/>
                <w:highlight w:val="none"/>
              </w:rPr>
              <w:t>CA</w:t>
            </w:r>
            <w:r>
              <w:rPr>
                <w:rFonts w:hint="eastAsia" w:ascii="新宋体" w:hAnsi="新宋体" w:eastAsia="新宋体" w:cs="新宋体"/>
                <w:color w:val="auto"/>
                <w:sz w:val="22"/>
                <w:szCs w:val="22"/>
                <w:highlight w:val="none"/>
              </w:rPr>
              <w:t>锁。</w:t>
            </w:r>
          </w:p>
          <w:p>
            <w:pPr>
              <w:autoSpaceDE w:val="0"/>
              <w:autoSpaceDN w:val="0"/>
              <w:adjustRightInd w:val="0"/>
              <w:spacing w:line="300" w:lineRule="atLeast"/>
              <w:ind w:firstLine="440" w:firstLineChars="200"/>
              <w:rPr>
                <w:rFonts w:ascii="新宋体" w:hAnsi="新宋体" w:eastAsia="新宋体"/>
                <w:color w:val="auto"/>
                <w:sz w:val="22"/>
                <w:highlight w:val="none"/>
                <w:lang w:val="zh-CN"/>
              </w:rPr>
            </w:pPr>
            <w:r>
              <w:rPr>
                <w:rFonts w:ascii="新宋体" w:hAnsi="新宋体" w:eastAsia="新宋体" w:cs="新宋体"/>
                <w:color w:val="auto"/>
                <w:sz w:val="22"/>
                <w:szCs w:val="22"/>
                <w:highlight w:val="none"/>
                <w:lang w:val="zh-CN"/>
              </w:rPr>
              <w:t>b.</w:t>
            </w:r>
            <w:r>
              <w:rPr>
                <w:rFonts w:hint="eastAsia" w:ascii="新宋体" w:hAnsi="新宋体" w:eastAsia="新宋体" w:cs="新宋体"/>
                <w:color w:val="auto"/>
                <w:sz w:val="22"/>
                <w:szCs w:val="22"/>
                <w:highlight w:val="none"/>
                <w:lang w:val="zh-CN"/>
              </w:rPr>
              <w:t>“备份投标文件”应当密封包装，并在包装上标注投标项目名称、投标单位名称并加盖公章。没有密封包装或者逾期邮寄送达至投标地点的“备份投标文件”将不予接收。</w:t>
            </w:r>
          </w:p>
          <w:p>
            <w:pPr>
              <w:ind w:firstLine="440" w:firstLineChars="200"/>
              <w:rPr>
                <w:rFonts w:ascii="宋体"/>
                <w:color w:val="auto"/>
                <w:sz w:val="22"/>
                <w:highlight w:val="none"/>
              </w:rPr>
            </w:pPr>
            <w:r>
              <w:rPr>
                <w:rFonts w:ascii="新宋体" w:hAnsi="新宋体" w:eastAsia="新宋体" w:cs="新宋体"/>
                <w:color w:val="auto"/>
                <w:sz w:val="22"/>
                <w:szCs w:val="22"/>
                <w:highlight w:val="none"/>
                <w:lang w:val="zh-CN"/>
              </w:rPr>
              <w:t>c.</w:t>
            </w:r>
            <w:r>
              <w:rPr>
                <w:rFonts w:hint="eastAsia" w:ascii="新宋体" w:hAnsi="新宋体" w:eastAsia="新宋体" w:cs="新宋体"/>
                <w:color w:val="auto"/>
                <w:sz w:val="22"/>
                <w:szCs w:val="22"/>
                <w:highlight w:val="none"/>
                <w:lang w:val="zh-CN"/>
              </w:rPr>
              <w:t>通过“政采云平台”成功上传递交的“电子加密投标文件”已按时解密的，“备份投标文件”自动失效。投标文件递交截止时间前，投标人仅递交了“备份投标文件”而未将“电子加密投标文件”成功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97"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26</w:t>
            </w:r>
          </w:p>
        </w:tc>
        <w:tc>
          <w:tcPr>
            <w:tcW w:w="1715" w:type="dxa"/>
            <w:vAlign w:val="center"/>
          </w:tcPr>
          <w:p>
            <w:pPr>
              <w:autoSpaceDE w:val="0"/>
              <w:autoSpaceDN w:val="0"/>
              <w:adjustRightInd w:val="0"/>
              <w:spacing w:line="300" w:lineRule="atLeast"/>
              <w:rPr>
                <w:rFonts w:ascii="新宋体" w:hAnsi="新宋体" w:eastAsia="新宋体"/>
                <w:color w:val="auto"/>
                <w:sz w:val="22"/>
                <w:highlight w:val="none"/>
                <w:lang w:val="zh-CN"/>
              </w:rPr>
            </w:pPr>
            <w:r>
              <w:rPr>
                <w:rFonts w:hint="eastAsia" w:ascii="新宋体" w:hAnsi="新宋体" w:eastAsia="新宋体" w:cs="新宋体"/>
                <w:color w:val="auto"/>
                <w:sz w:val="22"/>
                <w:szCs w:val="22"/>
                <w:highlight w:val="none"/>
                <w:lang w:val="zh-CN"/>
              </w:rPr>
              <w:t>电子加密投标文件的解密和异常情况处理</w:t>
            </w:r>
          </w:p>
        </w:tc>
        <w:tc>
          <w:tcPr>
            <w:tcW w:w="7821" w:type="dxa"/>
            <w:vAlign w:val="center"/>
          </w:tcPr>
          <w:p>
            <w:pPr>
              <w:autoSpaceDE w:val="0"/>
              <w:autoSpaceDN w:val="0"/>
              <w:adjustRightInd w:val="0"/>
              <w:spacing w:line="300" w:lineRule="atLeast"/>
              <w:rPr>
                <w:rFonts w:ascii="新宋体" w:hAnsi="新宋体" w:eastAsia="新宋体"/>
                <w:color w:val="auto"/>
                <w:sz w:val="22"/>
                <w:highlight w:val="none"/>
                <w:lang w:val="zh-CN"/>
              </w:rPr>
            </w:pPr>
            <w:r>
              <w:rPr>
                <w:rFonts w:hint="eastAsia" w:ascii="新宋体" w:hAnsi="新宋体" w:eastAsia="新宋体" w:cs="新宋体"/>
                <w:color w:val="auto"/>
                <w:sz w:val="22"/>
                <w:szCs w:val="22"/>
                <w:highlight w:val="none"/>
                <w:lang w:val="zh-CN"/>
              </w:rPr>
              <w:t>（</w:t>
            </w:r>
            <w:r>
              <w:rPr>
                <w:rFonts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lang w:val="zh-CN"/>
              </w:rPr>
              <w:t>）开标后，采购组织机构将向各投标人发出“电子加密投标文件”的解密通知，各投标人代表应当在接到解密通知后</w:t>
            </w:r>
            <w:r>
              <w:rPr>
                <w:rFonts w:ascii="新宋体" w:hAnsi="新宋体" w:eastAsia="新宋体" w:cs="新宋体"/>
                <w:color w:val="auto"/>
                <w:sz w:val="22"/>
                <w:szCs w:val="22"/>
                <w:highlight w:val="none"/>
                <w:lang w:val="zh-CN"/>
              </w:rPr>
              <w:t>30</w:t>
            </w:r>
            <w:r>
              <w:rPr>
                <w:rFonts w:hint="eastAsia" w:ascii="新宋体" w:hAnsi="新宋体" w:eastAsia="新宋体" w:cs="新宋体"/>
                <w:color w:val="auto"/>
                <w:sz w:val="22"/>
                <w:szCs w:val="22"/>
                <w:highlight w:val="none"/>
                <w:lang w:val="zh-CN"/>
              </w:rPr>
              <w:t>分钟内自行完成“电子加密投标文件”的在线解密。</w:t>
            </w:r>
          </w:p>
          <w:p>
            <w:pPr>
              <w:autoSpaceDE w:val="0"/>
              <w:autoSpaceDN w:val="0"/>
              <w:adjustRightInd w:val="0"/>
              <w:spacing w:line="300" w:lineRule="atLeast"/>
              <w:rPr>
                <w:rFonts w:ascii="新宋体" w:hAnsi="新宋体" w:eastAsia="新宋体"/>
                <w:color w:val="auto"/>
                <w:sz w:val="22"/>
                <w:highlight w:val="none"/>
                <w:lang w:val="zh-CN"/>
              </w:rPr>
            </w:pPr>
            <w:r>
              <w:rPr>
                <w:rFonts w:hint="eastAsia" w:ascii="新宋体" w:hAnsi="新宋体" w:eastAsia="新宋体" w:cs="新宋体"/>
                <w:color w:val="auto"/>
                <w:sz w:val="22"/>
                <w:szCs w:val="22"/>
                <w:highlight w:val="none"/>
                <w:lang w:val="zh-CN"/>
              </w:rPr>
              <w:t>（</w:t>
            </w:r>
            <w:r>
              <w:rPr>
                <w:rFonts w:ascii="新宋体" w:hAnsi="新宋体" w:eastAsia="新宋体" w:cs="新宋体"/>
                <w:color w:val="auto"/>
                <w:sz w:val="22"/>
                <w:szCs w:val="22"/>
                <w:highlight w:val="none"/>
                <w:lang w:val="zh-CN"/>
              </w:rPr>
              <w:t>2</w:t>
            </w:r>
            <w:r>
              <w:rPr>
                <w:rFonts w:hint="eastAsia" w:ascii="新宋体" w:hAnsi="新宋体" w:eastAsia="新宋体" w:cs="新宋体"/>
                <w:color w:val="auto"/>
                <w:sz w:val="22"/>
                <w:szCs w:val="22"/>
                <w:highlight w:val="none"/>
                <w:lang w:val="zh-CN"/>
              </w:rPr>
              <w:t>）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300" w:lineRule="atLeast"/>
              <w:rPr>
                <w:rFonts w:ascii="新宋体" w:hAnsi="新宋体" w:eastAsia="新宋体"/>
                <w:color w:val="auto"/>
                <w:sz w:val="22"/>
                <w:highlight w:val="none"/>
                <w:lang w:val="zh-CN"/>
              </w:rPr>
            </w:pPr>
            <w:r>
              <w:rPr>
                <w:rFonts w:hint="eastAsia" w:ascii="新宋体" w:hAnsi="新宋体" w:eastAsia="新宋体" w:cs="新宋体"/>
                <w:color w:val="auto"/>
                <w:sz w:val="22"/>
                <w:szCs w:val="22"/>
                <w:highlight w:val="none"/>
                <w:lang w:val="zh-CN"/>
              </w:rPr>
              <w:t>（</w:t>
            </w:r>
            <w:r>
              <w:rPr>
                <w:rFonts w:ascii="新宋体" w:hAnsi="新宋体" w:eastAsia="新宋体" w:cs="新宋体"/>
                <w:color w:val="auto"/>
                <w:sz w:val="22"/>
                <w:szCs w:val="22"/>
                <w:highlight w:val="none"/>
                <w:lang w:val="zh-CN"/>
              </w:rPr>
              <w:t>3</w:t>
            </w:r>
            <w:r>
              <w:rPr>
                <w:rFonts w:hint="eastAsia" w:ascii="新宋体" w:hAnsi="新宋体" w:eastAsia="新宋体" w:cs="新宋体"/>
                <w:color w:val="auto"/>
                <w:sz w:val="22"/>
                <w:szCs w:val="22"/>
                <w:highlight w:val="none"/>
                <w:lang w:val="zh-CN"/>
              </w:rPr>
              <w:t>）投标文件递交截止时间前，投标人仅递交了“备份投标文件”而未将电子加密投标文件上传至“政采云平台”的，投标无效。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426"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27</w:t>
            </w:r>
          </w:p>
        </w:tc>
        <w:tc>
          <w:tcPr>
            <w:tcW w:w="1715" w:type="dxa"/>
            <w:vAlign w:val="center"/>
          </w:tcPr>
          <w:p>
            <w:pPr>
              <w:autoSpaceDE w:val="0"/>
              <w:autoSpaceDN w:val="0"/>
              <w:adjustRightInd w:val="0"/>
              <w:spacing w:line="300" w:lineRule="atLeast"/>
              <w:rPr>
                <w:rFonts w:ascii="新宋体" w:hAnsi="新宋体" w:eastAsia="新宋体"/>
                <w:color w:val="auto"/>
                <w:sz w:val="22"/>
                <w:highlight w:val="none"/>
                <w:lang w:val="zh-CN"/>
              </w:rPr>
            </w:pPr>
            <w:r>
              <w:rPr>
                <w:rFonts w:hint="eastAsia" w:ascii="宋体" w:cs="宋体"/>
                <w:color w:val="auto"/>
                <w:sz w:val="22"/>
                <w:szCs w:val="22"/>
                <w:highlight w:val="none"/>
              </w:rPr>
              <w:t>评标委员会成员的组建</w:t>
            </w:r>
          </w:p>
        </w:tc>
        <w:tc>
          <w:tcPr>
            <w:tcW w:w="7821" w:type="dxa"/>
            <w:vAlign w:val="center"/>
          </w:tcPr>
          <w:p>
            <w:pPr>
              <w:autoSpaceDE w:val="0"/>
              <w:autoSpaceDN w:val="0"/>
              <w:adjustRightInd w:val="0"/>
              <w:spacing w:line="300" w:lineRule="atLeast"/>
              <w:rPr>
                <w:rFonts w:ascii="新宋体" w:hAnsi="新宋体" w:eastAsia="新宋体"/>
                <w:color w:val="auto"/>
                <w:sz w:val="22"/>
                <w:highlight w:val="none"/>
                <w:lang w:val="zh-CN"/>
              </w:rPr>
            </w:pPr>
            <w:r>
              <w:rPr>
                <w:rFonts w:hint="eastAsia" w:ascii="宋体" w:cs="宋体"/>
                <w:color w:val="auto"/>
                <w:sz w:val="22"/>
                <w:szCs w:val="22"/>
                <w:highlight w:val="none"/>
              </w:rPr>
              <w:t>评标委员会成员构成：</w:t>
            </w:r>
            <w:r>
              <w:rPr>
                <w:rFonts w:ascii="宋体" w:cs="宋体"/>
                <w:color w:val="auto"/>
                <w:sz w:val="22"/>
                <w:szCs w:val="22"/>
                <w:highlight w:val="none"/>
              </w:rPr>
              <w:t xml:space="preserve"> </w:t>
            </w:r>
            <w:r>
              <w:rPr>
                <w:rFonts w:hint="eastAsia" w:ascii="宋体" w:cs="宋体"/>
                <w:color w:val="auto"/>
                <w:sz w:val="22"/>
                <w:szCs w:val="22"/>
                <w:highlight w:val="none"/>
              </w:rPr>
              <w:t>由采购人代表以及有关技术、经济等方面的专家组成，成员为</w:t>
            </w:r>
            <w:r>
              <w:rPr>
                <w:rFonts w:ascii="宋体" w:cs="宋体"/>
                <w:color w:val="auto"/>
                <w:sz w:val="22"/>
                <w:szCs w:val="22"/>
                <w:highlight w:val="none"/>
              </w:rPr>
              <w:t>5</w:t>
            </w:r>
            <w:r>
              <w:rPr>
                <w:rFonts w:hint="eastAsia" w:ascii="宋体" w:cs="宋体"/>
                <w:color w:val="auto"/>
                <w:sz w:val="22"/>
                <w:szCs w:val="22"/>
                <w:highlight w:val="none"/>
              </w:rPr>
              <w:t>人及以上单数，其中技术、经济类专家不得少于总人数的</w:t>
            </w:r>
            <w:r>
              <w:rPr>
                <w:rFonts w:ascii="宋体" w:cs="宋体"/>
                <w:color w:val="auto"/>
                <w:sz w:val="22"/>
                <w:szCs w:val="22"/>
                <w:highlight w:val="none"/>
              </w:rPr>
              <w:t>2/3</w:t>
            </w:r>
            <w:r>
              <w:rPr>
                <w:rFonts w:hint="eastAsia" w:ascii="宋体" w:cs="宋体"/>
                <w:color w:val="auto"/>
                <w:sz w:val="22"/>
                <w:szCs w:val="22"/>
                <w:highlight w:val="none"/>
              </w:rPr>
              <w:t>；评标专家确定方式：按相关规定从专家库中抽取。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686"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28</w:t>
            </w:r>
          </w:p>
        </w:tc>
        <w:tc>
          <w:tcPr>
            <w:tcW w:w="1715" w:type="dxa"/>
            <w:vAlign w:val="center"/>
          </w:tcPr>
          <w:p>
            <w:pPr>
              <w:adjustRightInd w:val="0"/>
              <w:jc w:val="center"/>
              <w:rPr>
                <w:rFonts w:ascii="宋体"/>
                <w:color w:val="auto"/>
                <w:sz w:val="22"/>
                <w:highlight w:val="none"/>
              </w:rPr>
            </w:pPr>
            <w:r>
              <w:rPr>
                <w:rFonts w:hint="eastAsia" w:ascii="宋体" w:cs="宋体"/>
                <w:color w:val="auto"/>
                <w:sz w:val="22"/>
                <w:szCs w:val="22"/>
                <w:highlight w:val="none"/>
              </w:rPr>
              <w:t>政府采购</w:t>
            </w:r>
          </w:p>
          <w:p>
            <w:pPr>
              <w:jc w:val="center"/>
              <w:rPr>
                <w:rFonts w:ascii="宋体"/>
                <w:color w:val="auto"/>
                <w:sz w:val="22"/>
                <w:highlight w:val="none"/>
              </w:rPr>
            </w:pPr>
            <w:r>
              <w:rPr>
                <w:rFonts w:hint="eastAsia" w:ascii="宋体" w:cs="宋体"/>
                <w:color w:val="auto"/>
                <w:sz w:val="22"/>
                <w:szCs w:val="22"/>
                <w:highlight w:val="none"/>
              </w:rPr>
              <w:t>扶持政策</w:t>
            </w:r>
          </w:p>
        </w:tc>
        <w:tc>
          <w:tcPr>
            <w:tcW w:w="7821" w:type="dxa"/>
            <w:vAlign w:val="center"/>
          </w:tcPr>
          <w:p>
            <w:pPr>
              <w:rPr>
                <w:rFonts w:ascii="宋体"/>
                <w:color w:val="auto"/>
                <w:sz w:val="22"/>
                <w:highlight w:val="none"/>
              </w:rPr>
            </w:pPr>
            <w:r>
              <w:rPr>
                <w:rFonts w:hint="eastAsia" w:ascii="新宋体" w:hAnsi="新宋体" w:eastAsia="新宋体" w:cs="新宋体"/>
                <w:bCs/>
                <w:color w:val="auto"/>
                <w:sz w:val="22"/>
                <w:szCs w:val="22"/>
                <w:highlight w:val="none"/>
              </w:rPr>
              <w:t>1.对节能、环保产品优先采购。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71"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29</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供应商信用</w:t>
            </w:r>
          </w:p>
          <w:p>
            <w:pPr>
              <w:adjustRightInd w:val="0"/>
              <w:jc w:val="center"/>
              <w:rPr>
                <w:rFonts w:ascii="宋体"/>
                <w:color w:val="auto"/>
                <w:sz w:val="22"/>
                <w:highlight w:val="none"/>
              </w:rPr>
            </w:pPr>
            <w:r>
              <w:rPr>
                <w:rFonts w:hint="eastAsia" w:ascii="宋体" w:cs="宋体"/>
                <w:color w:val="auto"/>
                <w:sz w:val="22"/>
                <w:szCs w:val="22"/>
                <w:highlight w:val="none"/>
              </w:rPr>
              <w:t>查询</w:t>
            </w:r>
          </w:p>
        </w:tc>
        <w:tc>
          <w:tcPr>
            <w:tcW w:w="7821" w:type="dxa"/>
            <w:vAlign w:val="center"/>
          </w:tcPr>
          <w:p>
            <w:pPr>
              <w:rPr>
                <w:rFonts w:ascii="宋体"/>
                <w:color w:val="auto"/>
                <w:sz w:val="22"/>
                <w:highlight w:val="none"/>
              </w:rPr>
            </w:pPr>
            <w:r>
              <w:rPr>
                <w:rFonts w:ascii="宋体" w:cs="宋体"/>
                <w:color w:val="auto"/>
                <w:sz w:val="22"/>
                <w:szCs w:val="22"/>
                <w:highlight w:val="none"/>
              </w:rPr>
              <w:t>1</w:t>
            </w:r>
            <w:r>
              <w:rPr>
                <w:rFonts w:hint="eastAsia" w:ascii="宋体" w:cs="宋体"/>
                <w:color w:val="auto"/>
                <w:sz w:val="22"/>
                <w:szCs w:val="22"/>
                <w:highlight w:val="none"/>
              </w:rPr>
              <w:t>、投标供应商信用信息查询的查询渠道：</w:t>
            </w:r>
            <w:r>
              <w:rPr>
                <w:rFonts w:ascii="宋体"/>
                <w:color w:val="auto"/>
                <w:sz w:val="22"/>
                <w:szCs w:val="22"/>
                <w:highlight w:val="none"/>
              </w:rPr>
              <w:t>“</w:t>
            </w:r>
            <w:r>
              <w:rPr>
                <w:rFonts w:hint="eastAsia" w:ascii="宋体" w:cs="宋体"/>
                <w:color w:val="auto"/>
                <w:sz w:val="22"/>
                <w:szCs w:val="22"/>
                <w:highlight w:val="none"/>
              </w:rPr>
              <w:t>信用中国</w:t>
            </w:r>
            <w:r>
              <w:rPr>
                <w:rFonts w:ascii="宋体"/>
                <w:color w:val="auto"/>
                <w:sz w:val="22"/>
                <w:szCs w:val="22"/>
                <w:highlight w:val="none"/>
              </w:rPr>
              <w:t>”</w:t>
            </w:r>
            <w:r>
              <w:rPr>
                <w:rFonts w:ascii="宋体" w:cs="宋体"/>
                <w:color w:val="auto"/>
                <w:sz w:val="22"/>
                <w:szCs w:val="22"/>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cs="宋体"/>
                <w:color w:val="auto"/>
                <w:sz w:val="22"/>
                <w:szCs w:val="22"/>
                <w:highlight w:val="none"/>
              </w:rPr>
              <w:t>www.creditchina.gov.cn</w:t>
            </w:r>
            <w:r>
              <w:rPr>
                <w:rFonts w:ascii="宋体" w:cs="宋体"/>
                <w:color w:val="auto"/>
                <w:sz w:val="22"/>
                <w:szCs w:val="22"/>
                <w:highlight w:val="none"/>
              </w:rPr>
              <w:fldChar w:fldCharType="end"/>
            </w:r>
            <w:r>
              <w:rPr>
                <w:rFonts w:ascii="宋体" w:cs="宋体"/>
                <w:color w:val="auto"/>
                <w:sz w:val="22"/>
                <w:szCs w:val="22"/>
                <w:highlight w:val="none"/>
              </w:rPr>
              <w:t>)</w:t>
            </w:r>
            <w:r>
              <w:rPr>
                <w:rFonts w:hint="eastAsia" w:ascii="宋体" w:cs="宋体"/>
                <w:color w:val="auto"/>
                <w:sz w:val="22"/>
                <w:szCs w:val="22"/>
                <w:highlight w:val="none"/>
              </w:rPr>
              <w:t>；“中国政府采购网”（</w:t>
            </w:r>
            <w:r>
              <w:rPr>
                <w:rFonts w:ascii="宋体" w:cs="宋体"/>
                <w:color w:val="auto"/>
                <w:sz w:val="22"/>
                <w:szCs w:val="22"/>
                <w:highlight w:val="none"/>
              </w:rPr>
              <w:t>http://www.ccgp.gov.cn/</w:t>
            </w:r>
            <w:r>
              <w:rPr>
                <w:rFonts w:hint="eastAsia" w:ascii="宋体" w:cs="宋体"/>
                <w:color w:val="auto"/>
                <w:sz w:val="22"/>
                <w:szCs w:val="22"/>
                <w:highlight w:val="none"/>
              </w:rPr>
              <w:t>）；</w:t>
            </w:r>
          </w:p>
          <w:p>
            <w:pPr>
              <w:rPr>
                <w:rFonts w:ascii="宋体"/>
                <w:color w:val="auto"/>
                <w:sz w:val="22"/>
                <w:highlight w:val="none"/>
              </w:rPr>
            </w:pPr>
            <w:r>
              <w:rPr>
                <w:rFonts w:ascii="宋体" w:cs="宋体"/>
                <w:color w:val="auto"/>
                <w:sz w:val="22"/>
                <w:szCs w:val="22"/>
                <w:highlight w:val="none"/>
              </w:rPr>
              <w:t>2</w:t>
            </w:r>
            <w:r>
              <w:rPr>
                <w:rFonts w:hint="eastAsia" w:ascii="宋体" w:cs="宋体"/>
                <w:color w:val="auto"/>
                <w:sz w:val="22"/>
                <w:szCs w:val="22"/>
                <w:highlight w:val="none"/>
              </w:rPr>
              <w:t>、投标供应商信用信息查询截止时点：招标公告发布之日至投标截止时间前；</w:t>
            </w:r>
          </w:p>
          <w:p>
            <w:pPr>
              <w:rPr>
                <w:rFonts w:ascii="宋体"/>
                <w:color w:val="auto"/>
                <w:sz w:val="22"/>
                <w:highlight w:val="none"/>
              </w:rPr>
            </w:pPr>
            <w:r>
              <w:rPr>
                <w:rFonts w:ascii="宋体" w:cs="宋体"/>
                <w:color w:val="auto"/>
                <w:sz w:val="22"/>
                <w:szCs w:val="22"/>
                <w:highlight w:val="none"/>
              </w:rPr>
              <w:t>3</w:t>
            </w:r>
            <w:r>
              <w:rPr>
                <w:rFonts w:hint="eastAsia" w:ascii="宋体" w:cs="宋体"/>
                <w:color w:val="auto"/>
                <w:sz w:val="22"/>
                <w:szCs w:val="22"/>
                <w:highlight w:val="none"/>
              </w:rPr>
              <w:t>、投标供应商信用信息查询记录和证据留存的具体方式：网页截图打印；</w:t>
            </w:r>
          </w:p>
          <w:p>
            <w:pPr>
              <w:rPr>
                <w:rFonts w:ascii="宋体"/>
                <w:color w:val="auto"/>
                <w:sz w:val="22"/>
                <w:highlight w:val="none"/>
              </w:rPr>
            </w:pPr>
            <w:r>
              <w:rPr>
                <w:rFonts w:ascii="宋体" w:cs="宋体"/>
                <w:color w:val="auto"/>
                <w:sz w:val="22"/>
                <w:szCs w:val="22"/>
                <w:highlight w:val="none"/>
              </w:rPr>
              <w:t>4</w:t>
            </w:r>
            <w:r>
              <w:rPr>
                <w:rFonts w:hint="eastAsia" w:ascii="宋体" w:cs="宋体"/>
                <w:color w:val="auto"/>
                <w:sz w:val="22"/>
                <w:szCs w:val="22"/>
                <w:highlight w:val="none"/>
              </w:rPr>
              <w:t>、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rPr>
                <w:rFonts w:ascii="宋体"/>
                <w:color w:val="auto"/>
                <w:sz w:val="22"/>
                <w:highlight w:val="none"/>
                <w:u w:val="single"/>
              </w:rPr>
            </w:pPr>
            <w:r>
              <w:rPr>
                <w:rFonts w:ascii="宋体" w:cs="宋体"/>
                <w:color w:val="auto"/>
                <w:sz w:val="22"/>
                <w:szCs w:val="22"/>
                <w:highlight w:val="none"/>
              </w:rPr>
              <w:t>5</w:t>
            </w:r>
            <w:r>
              <w:rPr>
                <w:rFonts w:hint="eastAsia" w:ascii="宋体" w:cs="宋体"/>
                <w:color w:val="auto"/>
                <w:sz w:val="22"/>
                <w:szCs w:val="22"/>
                <w:highlight w:val="none"/>
              </w:rPr>
              <w:t>、</w:t>
            </w:r>
            <w:r>
              <w:rPr>
                <w:rFonts w:ascii="宋体"/>
                <w:color w:val="auto"/>
                <w:sz w:val="22"/>
                <w:szCs w:val="22"/>
                <w:highlight w:val="none"/>
              </w:rPr>
              <w:t>▲</w:t>
            </w:r>
            <w:r>
              <w:rPr>
                <w:rFonts w:hint="eastAsia" w:ascii="宋体" w:cs="宋体"/>
                <w:color w:val="auto"/>
                <w:sz w:val="22"/>
                <w:szCs w:val="22"/>
                <w:highlight w:val="none"/>
                <w:u w:val="single"/>
              </w:rPr>
              <w:t>关于</w:t>
            </w:r>
            <w:r>
              <w:rPr>
                <w:rFonts w:ascii="宋体"/>
                <w:color w:val="auto"/>
                <w:sz w:val="22"/>
                <w:szCs w:val="22"/>
                <w:highlight w:val="none"/>
                <w:u w:val="single"/>
              </w:rPr>
              <w:t>“</w:t>
            </w:r>
            <w:r>
              <w:rPr>
                <w:rFonts w:hint="eastAsia" w:ascii="宋体" w:cs="宋体"/>
                <w:color w:val="auto"/>
                <w:sz w:val="22"/>
                <w:szCs w:val="22"/>
                <w:highlight w:val="none"/>
                <w:u w:val="single"/>
              </w:rPr>
              <w:t>信用中国</w:t>
            </w:r>
            <w:r>
              <w:rPr>
                <w:rFonts w:ascii="宋体"/>
                <w:color w:val="auto"/>
                <w:sz w:val="22"/>
                <w:szCs w:val="22"/>
                <w:highlight w:val="none"/>
                <w:u w:val="single"/>
              </w:rPr>
              <w:t>”</w:t>
            </w:r>
            <w:r>
              <w:rPr>
                <w:rFonts w:ascii="宋体" w:cs="宋体"/>
                <w:color w:val="auto"/>
                <w:sz w:val="22"/>
                <w:szCs w:val="22"/>
                <w:highlight w:val="none"/>
                <w:u w:val="single"/>
              </w:rPr>
              <w:t xml:space="preserve">(www.creditchina.gov.cn) </w:t>
            </w:r>
            <w:r>
              <w:rPr>
                <w:rFonts w:hint="eastAsia" w:ascii="宋体" w:cs="宋体"/>
                <w:color w:val="auto"/>
                <w:sz w:val="22"/>
                <w:szCs w:val="22"/>
                <w:highlight w:val="none"/>
                <w:u w:val="single"/>
              </w:rPr>
              <w:t>信用记录网页截图相关说明：</w:t>
            </w:r>
          </w:p>
          <w:p>
            <w:pPr>
              <w:rPr>
                <w:rFonts w:ascii="宋体"/>
                <w:color w:val="auto"/>
                <w:sz w:val="22"/>
                <w:highlight w:val="none"/>
              </w:rPr>
            </w:pPr>
            <w:r>
              <w:rPr>
                <w:rFonts w:hint="eastAsia" w:ascii="宋体" w:cs="宋体"/>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pPr>
              <w:rPr>
                <w:rFonts w:ascii="宋体"/>
                <w:color w:val="auto"/>
                <w:sz w:val="22"/>
                <w:highlight w:val="none"/>
              </w:rPr>
            </w:pPr>
            <w:r>
              <w:rPr>
                <w:rFonts w:hint="eastAsia" w:ascii="宋体" w:cs="宋体"/>
                <w:color w:val="auto"/>
                <w:sz w:val="22"/>
                <w:szCs w:val="22"/>
                <w:highlight w:val="none"/>
              </w:rPr>
              <w:t>②若供应商在“信用中国”无数据，亦须将搜索结果页面打印，并附说明。</w:t>
            </w:r>
          </w:p>
          <w:p>
            <w:pPr>
              <w:spacing w:line="360" w:lineRule="exact"/>
              <w:rPr>
                <w:rFonts w:ascii="宋体"/>
                <w:color w:val="auto"/>
                <w:sz w:val="22"/>
                <w:highlight w:val="none"/>
              </w:rPr>
            </w:pPr>
            <w:r>
              <w:rPr>
                <w:rFonts w:hint="eastAsia" w:ascii="宋体" w:cs="宋体"/>
                <w:color w:val="auto"/>
                <w:sz w:val="22"/>
                <w:szCs w:val="22"/>
                <w:highlight w:val="none"/>
              </w:rPr>
              <w:t>③未按照以上①</w:t>
            </w:r>
            <w:r>
              <w:rPr>
                <w:rFonts w:ascii="宋体" w:cs="宋体"/>
                <w:color w:val="auto"/>
                <w:sz w:val="22"/>
                <w:szCs w:val="22"/>
                <w:highlight w:val="none"/>
              </w:rPr>
              <w:t>-</w:t>
            </w:r>
            <w:r>
              <w:rPr>
                <w:rFonts w:hint="eastAsia" w:ascii="宋体" w:cs="宋体"/>
                <w:color w:val="auto"/>
                <w:sz w:val="22"/>
                <w:szCs w:val="22"/>
                <w:highlight w:val="none"/>
              </w:rPr>
              <w:t>②条要求提供</w:t>
            </w:r>
            <w:r>
              <w:rPr>
                <w:rFonts w:ascii="宋体"/>
                <w:color w:val="auto"/>
                <w:sz w:val="22"/>
                <w:szCs w:val="22"/>
                <w:highlight w:val="none"/>
              </w:rPr>
              <w:t>“</w:t>
            </w:r>
            <w:r>
              <w:rPr>
                <w:rFonts w:hint="eastAsia" w:ascii="宋体" w:cs="宋体"/>
                <w:color w:val="auto"/>
                <w:sz w:val="22"/>
                <w:szCs w:val="22"/>
                <w:highlight w:val="none"/>
              </w:rPr>
              <w:t>信用中国</w:t>
            </w:r>
            <w:r>
              <w:rPr>
                <w:rFonts w:ascii="宋体"/>
                <w:color w:val="auto"/>
                <w:sz w:val="22"/>
                <w:szCs w:val="22"/>
                <w:highlight w:val="none"/>
              </w:rPr>
              <w:t>”</w:t>
            </w:r>
            <w:r>
              <w:rPr>
                <w:rFonts w:hint="eastAsia" w:ascii="宋体" w:cs="宋体"/>
                <w:color w:val="auto"/>
                <w:sz w:val="22"/>
                <w:szCs w:val="22"/>
                <w:highlight w:val="none"/>
              </w:rPr>
              <w:t>查询结果记录的，将按照资格审查不通过处理。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05"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30</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合同备案</w:t>
            </w:r>
          </w:p>
        </w:tc>
        <w:tc>
          <w:tcPr>
            <w:tcW w:w="7821" w:type="dxa"/>
            <w:vAlign w:val="center"/>
          </w:tcPr>
          <w:p>
            <w:pPr>
              <w:rPr>
                <w:rFonts w:ascii="宋体"/>
                <w:color w:val="auto"/>
                <w:sz w:val="22"/>
                <w:highlight w:val="none"/>
              </w:rPr>
            </w:pPr>
            <w:r>
              <w:rPr>
                <w:rFonts w:ascii="宋体" w:cs="宋体"/>
                <w:color w:val="auto"/>
                <w:sz w:val="22"/>
                <w:szCs w:val="22"/>
                <w:highlight w:val="none"/>
              </w:rPr>
              <w:t>1</w:t>
            </w:r>
            <w:r>
              <w:rPr>
                <w:rFonts w:hint="eastAsia" w:ascii="宋体" w:cs="宋体"/>
                <w:color w:val="auto"/>
                <w:sz w:val="22"/>
                <w:szCs w:val="22"/>
                <w:highlight w:val="none"/>
              </w:rPr>
              <w:t>、中标供应商须在发出中标通知书之日起</w:t>
            </w:r>
            <w:r>
              <w:rPr>
                <w:rFonts w:ascii="宋体" w:cs="宋体"/>
                <w:color w:val="auto"/>
                <w:sz w:val="22"/>
                <w:szCs w:val="22"/>
                <w:highlight w:val="none"/>
              </w:rPr>
              <w:t>30</w:t>
            </w:r>
            <w:r>
              <w:rPr>
                <w:rFonts w:hint="eastAsia" w:ascii="宋体" w:cs="宋体"/>
                <w:color w:val="auto"/>
                <w:sz w:val="22"/>
                <w:szCs w:val="22"/>
                <w:highlight w:val="none"/>
              </w:rPr>
              <w:t>日历天内与采购人签订合同。</w:t>
            </w:r>
          </w:p>
          <w:p>
            <w:pPr>
              <w:rPr>
                <w:rFonts w:ascii="宋体"/>
                <w:color w:val="auto"/>
                <w:sz w:val="22"/>
                <w:highlight w:val="none"/>
              </w:rPr>
            </w:pPr>
            <w:r>
              <w:rPr>
                <w:rFonts w:ascii="宋体" w:cs="宋体"/>
                <w:color w:val="auto"/>
                <w:sz w:val="22"/>
                <w:szCs w:val="22"/>
                <w:highlight w:val="none"/>
              </w:rPr>
              <w:t>2</w:t>
            </w:r>
            <w:r>
              <w:rPr>
                <w:rFonts w:hint="eastAsia" w:ascii="宋体" w:cs="宋体"/>
                <w:color w:val="auto"/>
                <w:sz w:val="22"/>
                <w:szCs w:val="22"/>
                <w:highlight w:val="none"/>
              </w:rPr>
              <w:t>、中标供应商与采购人签订合同后，</w:t>
            </w:r>
            <w:r>
              <w:rPr>
                <w:rFonts w:ascii="宋体" w:cs="宋体"/>
                <w:color w:val="auto"/>
                <w:sz w:val="22"/>
                <w:szCs w:val="22"/>
                <w:highlight w:val="none"/>
              </w:rPr>
              <w:t>2</w:t>
            </w:r>
            <w:r>
              <w:rPr>
                <w:rFonts w:hint="eastAsia" w:ascii="宋体" w:cs="宋体"/>
                <w:color w:val="auto"/>
                <w:sz w:val="22"/>
                <w:szCs w:val="22"/>
                <w:highlight w:val="none"/>
              </w:rPr>
              <w:t>日历天内将合同原件交温州市中概工程管理咨询有限公司备案。合同原件扫描件电子版发给温州市中概工程管理咨询有限公司：邮箱：</w:t>
            </w:r>
            <w:r>
              <w:rPr>
                <w:color w:val="auto"/>
                <w:highlight w:val="none"/>
              </w:rPr>
              <w:fldChar w:fldCharType="begin"/>
            </w:r>
            <w:r>
              <w:rPr>
                <w:color w:val="auto"/>
                <w:highlight w:val="none"/>
              </w:rPr>
              <w:instrText xml:space="preserve"> HYPERLINK "mailto:250453502@qq.com" </w:instrText>
            </w:r>
            <w:r>
              <w:rPr>
                <w:color w:val="auto"/>
                <w:highlight w:val="none"/>
              </w:rPr>
              <w:fldChar w:fldCharType="separate"/>
            </w:r>
            <w:r>
              <w:rPr>
                <w:rStyle w:val="48"/>
                <w:rFonts w:ascii="宋体" w:cs="宋体"/>
                <w:color w:val="auto"/>
                <w:sz w:val="22"/>
                <w:szCs w:val="22"/>
                <w:highlight w:val="none"/>
              </w:rPr>
              <w:t>1437567478 @qq.com</w:t>
            </w:r>
            <w:r>
              <w:rPr>
                <w:rStyle w:val="48"/>
                <w:rFonts w:ascii="宋体" w:cs="宋体"/>
                <w:color w:val="auto"/>
                <w:sz w:val="22"/>
                <w:szCs w:val="22"/>
                <w:highlight w:val="none"/>
              </w:rPr>
              <w:fldChar w:fldCharType="end"/>
            </w:r>
            <w:r>
              <w:rPr>
                <w:rFonts w:hint="eastAsia" w:ascii="宋体" w:cs="宋体"/>
                <w:color w:val="auto"/>
                <w:sz w:val="22"/>
                <w:szCs w:val="22"/>
                <w:highlight w:val="none"/>
              </w:rPr>
              <w:t>；</w:t>
            </w:r>
          </w:p>
          <w:p>
            <w:pPr>
              <w:rPr>
                <w:rFonts w:ascii="宋体"/>
                <w:color w:val="auto"/>
                <w:sz w:val="22"/>
                <w:highlight w:val="none"/>
              </w:rPr>
            </w:pPr>
            <w:r>
              <w:rPr>
                <w:rFonts w:ascii="宋体" w:cs="宋体"/>
                <w:color w:val="auto"/>
                <w:sz w:val="22"/>
                <w:szCs w:val="22"/>
                <w:highlight w:val="none"/>
              </w:rPr>
              <w:t>3</w:t>
            </w:r>
            <w:r>
              <w:rPr>
                <w:rFonts w:hint="eastAsia" w:ascii="宋体" w:cs="宋体"/>
                <w:color w:val="auto"/>
                <w:sz w:val="22"/>
                <w:szCs w:val="22"/>
                <w:highlight w:val="none"/>
              </w:rPr>
              <w:t>、本项目政府采购合同按规定在浙江政府采购网（</w:t>
            </w:r>
            <w:r>
              <w:rPr>
                <w:rFonts w:ascii="宋体" w:cs="宋体"/>
                <w:color w:val="auto"/>
                <w:sz w:val="22"/>
                <w:szCs w:val="22"/>
                <w:highlight w:val="none"/>
              </w:rPr>
              <w:t>http://www.zjzfcg.gov.cn</w:t>
            </w:r>
            <w:r>
              <w:rPr>
                <w:rFonts w:hint="eastAsia" w:ascii="宋体" w:cs="宋体"/>
                <w:color w:val="auto"/>
                <w:sz w:val="22"/>
                <w:szCs w:val="22"/>
                <w:highlight w:val="none"/>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776"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31</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合同履约管理</w:t>
            </w:r>
          </w:p>
        </w:tc>
        <w:tc>
          <w:tcPr>
            <w:tcW w:w="7821" w:type="dxa"/>
            <w:vAlign w:val="center"/>
          </w:tcPr>
          <w:p>
            <w:pPr>
              <w:rPr>
                <w:rFonts w:ascii="宋体"/>
                <w:color w:val="auto"/>
                <w:sz w:val="22"/>
                <w:highlight w:val="none"/>
              </w:rPr>
            </w:pPr>
            <w:r>
              <w:rPr>
                <w:rFonts w:hint="eastAsia" w:ascii="宋体" w:cs="宋体"/>
                <w:color w:val="auto"/>
                <w:sz w:val="22"/>
                <w:szCs w:val="22"/>
                <w:highlight w:val="none"/>
              </w:rPr>
              <w:t>合同签订后，采购人依法加强对合同履约进行管理，并在成交供应商服务、项目验收等重要关节，如实填写《合同验收报告》，并及时向同级财政部门报告验收过程中遇到的问题。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776"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32</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免责声明</w:t>
            </w:r>
          </w:p>
        </w:tc>
        <w:tc>
          <w:tcPr>
            <w:tcW w:w="7821" w:type="dxa"/>
            <w:vAlign w:val="center"/>
          </w:tcPr>
          <w:p>
            <w:pPr>
              <w:rPr>
                <w:rFonts w:ascii="宋体"/>
                <w:color w:val="auto"/>
                <w:sz w:val="22"/>
                <w:highlight w:val="none"/>
              </w:rPr>
            </w:pPr>
            <w:r>
              <w:rPr>
                <w:rFonts w:ascii="宋体" w:cs="宋体"/>
                <w:color w:val="auto"/>
                <w:sz w:val="22"/>
                <w:szCs w:val="22"/>
                <w:highlight w:val="none"/>
              </w:rPr>
              <w:t>1</w:t>
            </w:r>
            <w:r>
              <w:rPr>
                <w:rFonts w:hint="eastAsia" w:ascii="宋体" w:cs="宋体"/>
                <w:color w:val="auto"/>
                <w:sz w:val="22"/>
                <w:szCs w:val="22"/>
                <w:highlight w:val="none"/>
              </w:rPr>
              <w:t>、供应商自行承担投标过程中产生的费用。无论何种因素导致采购项目延期开标、废标（流标）、供应商未成交、项目终止采购的，采购人与代理机构均不承担供应商投标费用。</w:t>
            </w:r>
          </w:p>
          <w:p>
            <w:pPr>
              <w:rPr>
                <w:rFonts w:ascii="宋体"/>
                <w:color w:val="auto"/>
                <w:sz w:val="22"/>
                <w:highlight w:val="none"/>
              </w:rPr>
            </w:pPr>
            <w:r>
              <w:rPr>
                <w:rFonts w:ascii="宋体" w:cs="宋体"/>
                <w:color w:val="auto"/>
                <w:sz w:val="22"/>
                <w:szCs w:val="22"/>
                <w:highlight w:val="none"/>
              </w:rPr>
              <w:t>2</w:t>
            </w:r>
            <w:r>
              <w:rPr>
                <w:rFonts w:hint="eastAsia" w:ascii="宋体" w:cs="宋体"/>
                <w:color w:val="auto"/>
                <w:sz w:val="22"/>
                <w:szCs w:val="22"/>
                <w:highlight w:val="none"/>
              </w:rPr>
              <w:t>、供应商在投标、合同履行过程中必须做好安全保障工作，不因项目实施而危及自身及第三方人员、财产安全。若发生任何安全事故，由成交供应商自行承担一切责任并赔偿损失。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490" w:hRule="atLeast"/>
          <w:jc w:val="center"/>
        </w:trPr>
        <w:tc>
          <w:tcPr>
            <w:tcW w:w="694" w:type="dxa"/>
            <w:vAlign w:val="center"/>
          </w:tcPr>
          <w:p>
            <w:pPr>
              <w:jc w:val="center"/>
              <w:rPr>
                <w:rFonts w:ascii="宋体"/>
                <w:color w:val="auto"/>
                <w:sz w:val="22"/>
                <w:highlight w:val="none"/>
              </w:rPr>
            </w:pPr>
            <w:r>
              <w:rPr>
                <w:rFonts w:ascii="宋体" w:cs="宋体"/>
                <w:color w:val="auto"/>
                <w:sz w:val="22"/>
                <w:szCs w:val="22"/>
                <w:highlight w:val="none"/>
              </w:rPr>
              <w:t>33</w:t>
            </w:r>
          </w:p>
        </w:tc>
        <w:tc>
          <w:tcPr>
            <w:tcW w:w="1715" w:type="dxa"/>
            <w:vAlign w:val="center"/>
          </w:tcPr>
          <w:p>
            <w:pPr>
              <w:jc w:val="center"/>
              <w:rPr>
                <w:rFonts w:ascii="宋体"/>
                <w:color w:val="auto"/>
                <w:sz w:val="22"/>
                <w:highlight w:val="none"/>
              </w:rPr>
            </w:pPr>
            <w:r>
              <w:rPr>
                <w:rFonts w:hint="eastAsia" w:ascii="宋体" w:cs="宋体"/>
                <w:color w:val="auto"/>
                <w:sz w:val="22"/>
                <w:szCs w:val="22"/>
                <w:highlight w:val="none"/>
              </w:rPr>
              <w:t>解释权</w:t>
            </w:r>
          </w:p>
        </w:tc>
        <w:tc>
          <w:tcPr>
            <w:tcW w:w="7821" w:type="dxa"/>
            <w:vAlign w:val="center"/>
          </w:tcPr>
          <w:p>
            <w:pPr>
              <w:rPr>
                <w:rFonts w:ascii="宋体"/>
                <w:color w:val="auto"/>
                <w:sz w:val="22"/>
                <w:highlight w:val="none"/>
              </w:rPr>
            </w:pPr>
            <w:r>
              <w:rPr>
                <w:rFonts w:hint="eastAsia" w:ascii="宋体" w:cs="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采购阶段的约定，按采购公告、供应商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rPr>
          <w:color w:val="auto"/>
          <w:highlight w:val="none"/>
        </w:rPr>
      </w:pPr>
    </w:p>
    <w:p>
      <w:pPr>
        <w:pStyle w:val="2"/>
        <w:ind w:firstLine="210"/>
        <w:rPr>
          <w:color w:val="auto"/>
          <w:highlight w:val="none"/>
        </w:rPr>
      </w:pPr>
    </w:p>
    <w:p>
      <w:pPr>
        <w:pStyle w:val="2"/>
        <w:ind w:firstLine="210"/>
        <w:rPr>
          <w:color w:val="auto"/>
          <w:highlight w:val="none"/>
        </w:rPr>
      </w:pPr>
    </w:p>
    <w:p>
      <w:pPr>
        <w:pStyle w:val="2"/>
        <w:ind w:firstLine="210"/>
        <w:rPr>
          <w:color w:val="auto"/>
          <w:highlight w:val="none"/>
        </w:rPr>
      </w:pPr>
    </w:p>
    <w:p>
      <w:pPr>
        <w:pStyle w:val="39"/>
        <w:rPr>
          <w:rFonts w:ascii="宋体" w:cs="Times New Roman"/>
          <w:color w:val="auto"/>
          <w:sz w:val="30"/>
          <w:szCs w:val="30"/>
          <w:highlight w:val="none"/>
        </w:rPr>
      </w:pPr>
      <w:bookmarkStart w:id="13" w:name="_Toc461563840"/>
      <w:bookmarkStart w:id="14" w:name="_Toc498343165"/>
      <w:r>
        <w:rPr>
          <w:rFonts w:ascii="宋体" w:cs="Times New Roman"/>
          <w:color w:val="auto"/>
          <w:sz w:val="30"/>
          <w:szCs w:val="30"/>
          <w:highlight w:val="none"/>
        </w:rPr>
        <w:br w:type="page"/>
      </w:r>
      <w:bookmarkStart w:id="15" w:name="_Toc23509"/>
      <w:r>
        <w:rPr>
          <w:rFonts w:hint="eastAsia" w:ascii="宋体" w:hAnsi="宋体" w:cs="宋体"/>
          <w:color w:val="auto"/>
          <w:sz w:val="30"/>
          <w:szCs w:val="30"/>
          <w:highlight w:val="none"/>
        </w:rPr>
        <w:t>第</w:t>
      </w:r>
      <w:r>
        <w:rPr>
          <w:rFonts w:hint="eastAsia" w:ascii="宋体" w:hAnsi="宋体" w:cs="宋体"/>
          <w:color w:val="auto"/>
          <w:sz w:val="30"/>
          <w:szCs w:val="30"/>
          <w:highlight w:val="none"/>
          <w:lang w:val="en-US" w:eastAsia="zh-CN"/>
        </w:rPr>
        <w:t>二</w:t>
      </w:r>
      <w:r>
        <w:rPr>
          <w:rFonts w:hint="eastAsia" w:ascii="宋体" w:hAnsi="宋体" w:cs="宋体"/>
          <w:color w:val="auto"/>
          <w:sz w:val="30"/>
          <w:szCs w:val="30"/>
          <w:highlight w:val="none"/>
        </w:rPr>
        <w:t>部份</w:t>
      </w:r>
      <w:r>
        <w:rPr>
          <w:rFonts w:ascii="宋体" w:hAnsi="宋体" w:cs="宋体"/>
          <w:color w:val="auto"/>
          <w:sz w:val="30"/>
          <w:szCs w:val="30"/>
          <w:highlight w:val="none"/>
        </w:rPr>
        <w:t xml:space="preserve"> </w:t>
      </w:r>
      <w:bookmarkEnd w:id="13"/>
      <w:bookmarkEnd w:id="14"/>
      <w:r>
        <w:rPr>
          <w:rFonts w:hint="eastAsia" w:cs="新宋体" w:asciiTheme="majorEastAsia" w:hAnsiTheme="majorEastAsia" w:eastAsiaTheme="majorEastAsia"/>
          <w:color w:val="auto"/>
          <w:sz w:val="30"/>
          <w:szCs w:val="30"/>
          <w:highlight w:val="none"/>
        </w:rPr>
        <w:t>招标内容及要求</w:t>
      </w:r>
      <w:bookmarkEnd w:id="15"/>
    </w:p>
    <w:p>
      <w:pPr>
        <w:pStyle w:val="39"/>
        <w:rPr>
          <w:rFonts w:ascii="宋体" w:hAnsi="宋体" w:cs="新宋体"/>
          <w:color w:val="auto"/>
          <w:sz w:val="22"/>
          <w:szCs w:val="22"/>
          <w:highlight w:val="none"/>
        </w:rPr>
      </w:pPr>
      <w:bookmarkStart w:id="16" w:name="_Toc461563842"/>
      <w:bookmarkStart w:id="17" w:name="_Toc13421818"/>
      <w:bookmarkStart w:id="18" w:name="_Toc10123"/>
      <w:bookmarkStart w:id="19" w:name="_Toc461563851"/>
      <w:bookmarkStart w:id="20" w:name="_Toc498343168"/>
      <w:r>
        <w:rPr>
          <w:rFonts w:hint="eastAsia" w:ascii="宋体" w:hAnsi="宋体" w:cs="新宋体"/>
          <w:color w:val="auto"/>
          <w:sz w:val="22"/>
          <w:szCs w:val="22"/>
          <w:highlight w:val="none"/>
        </w:rPr>
        <w:t>一、</w:t>
      </w:r>
      <w:bookmarkEnd w:id="16"/>
      <w:r>
        <w:rPr>
          <w:rFonts w:hint="eastAsia" w:ascii="宋体" w:hAnsi="宋体" w:cs="新宋体"/>
          <w:color w:val="auto"/>
          <w:sz w:val="22"/>
          <w:szCs w:val="22"/>
          <w:highlight w:val="none"/>
        </w:rPr>
        <w:t>项目基本要求</w:t>
      </w:r>
      <w:bookmarkEnd w:id="17"/>
      <w:bookmarkEnd w:id="18"/>
    </w:p>
    <w:p>
      <w:pPr>
        <w:spacing w:line="340" w:lineRule="exact"/>
        <w:rPr>
          <w:rFonts w:cs="新宋体" w:asciiTheme="minorEastAsia" w:hAnsiTheme="minorEastAsia" w:eastAsiaTheme="minorEastAsia"/>
          <w:b/>
          <w:color w:val="auto"/>
          <w:kern w:val="0"/>
          <w:sz w:val="22"/>
          <w:szCs w:val="22"/>
          <w:highlight w:val="none"/>
          <w:u w:val="single"/>
        </w:rPr>
      </w:pPr>
      <w:r>
        <w:rPr>
          <w:rFonts w:hint="eastAsia" w:cs="新宋体" w:asciiTheme="minorEastAsia" w:hAnsiTheme="minorEastAsia" w:eastAsiaTheme="minorEastAsia"/>
          <w:b/>
          <w:color w:val="auto"/>
          <w:kern w:val="0"/>
          <w:sz w:val="22"/>
          <w:szCs w:val="22"/>
          <w:highlight w:val="none"/>
          <w:u w:val="single"/>
        </w:rPr>
        <w:t>1. 人员配备要求：13</w:t>
      </w:r>
      <w:r>
        <w:rPr>
          <w:rFonts w:cs="新宋体" w:asciiTheme="minorEastAsia" w:hAnsiTheme="minorEastAsia" w:eastAsiaTheme="minorEastAsia"/>
          <w:b/>
          <w:color w:val="auto"/>
          <w:kern w:val="0"/>
          <w:sz w:val="22"/>
          <w:szCs w:val="22"/>
          <w:highlight w:val="none"/>
          <w:u w:val="single"/>
        </w:rPr>
        <w:t>3</w:t>
      </w:r>
      <w:r>
        <w:rPr>
          <w:rFonts w:hint="eastAsia" w:cs="新宋体" w:asciiTheme="minorEastAsia" w:hAnsiTheme="minorEastAsia" w:eastAsiaTheme="minorEastAsia"/>
          <w:b/>
          <w:color w:val="auto"/>
          <w:kern w:val="0"/>
          <w:sz w:val="22"/>
          <w:szCs w:val="22"/>
          <w:highlight w:val="none"/>
          <w:u w:val="single"/>
        </w:rPr>
        <w:t>名，其中：项目经理：1名；保洁主管1名；日常保洁员：</w:t>
      </w:r>
      <w:r>
        <w:rPr>
          <w:rFonts w:cs="新宋体" w:asciiTheme="minorEastAsia" w:hAnsiTheme="minorEastAsia" w:eastAsiaTheme="minorEastAsia"/>
          <w:b/>
          <w:color w:val="auto"/>
          <w:kern w:val="0"/>
          <w:sz w:val="22"/>
          <w:szCs w:val="22"/>
          <w:highlight w:val="none"/>
          <w:u w:val="single"/>
        </w:rPr>
        <w:t>43</w:t>
      </w:r>
      <w:r>
        <w:rPr>
          <w:rFonts w:hint="eastAsia" w:cs="新宋体" w:asciiTheme="minorEastAsia" w:hAnsiTheme="minorEastAsia" w:eastAsiaTheme="minorEastAsia"/>
          <w:b/>
          <w:color w:val="auto"/>
          <w:kern w:val="0"/>
          <w:sz w:val="22"/>
          <w:szCs w:val="22"/>
          <w:highlight w:val="none"/>
          <w:u w:val="single"/>
        </w:rPr>
        <w:t>名；护理及专用人员：51名；物资配送中心人员：1</w:t>
      </w:r>
      <w:r>
        <w:rPr>
          <w:rFonts w:cs="新宋体" w:asciiTheme="minorEastAsia" w:hAnsiTheme="minorEastAsia" w:eastAsiaTheme="minorEastAsia"/>
          <w:b/>
          <w:color w:val="auto"/>
          <w:kern w:val="0"/>
          <w:sz w:val="22"/>
          <w:szCs w:val="22"/>
          <w:highlight w:val="none"/>
          <w:u w:val="single"/>
        </w:rPr>
        <w:t>2</w:t>
      </w:r>
      <w:r>
        <w:rPr>
          <w:rFonts w:hint="eastAsia" w:cs="新宋体" w:asciiTheme="minorEastAsia" w:hAnsiTheme="minorEastAsia" w:eastAsiaTheme="minorEastAsia"/>
          <w:b/>
          <w:color w:val="auto"/>
          <w:kern w:val="0"/>
          <w:sz w:val="22"/>
          <w:szCs w:val="22"/>
          <w:highlight w:val="none"/>
          <w:u w:val="single"/>
        </w:rPr>
        <w:t>名；疫情管控员：25名；具体人员配备如下：</w:t>
      </w:r>
    </w:p>
    <w:p>
      <w:pPr>
        <w:tabs>
          <w:tab w:val="left" w:pos="720"/>
        </w:tabs>
        <w:spacing w:line="340" w:lineRule="exact"/>
        <w:rPr>
          <w:rFonts w:cs="新宋体" w:asciiTheme="minorEastAsia" w:hAnsiTheme="minorEastAsia" w:eastAsiaTheme="minorEastAsia"/>
          <w:b/>
          <w:snapToGrid w:val="0"/>
          <w:color w:val="auto"/>
          <w:kern w:val="0"/>
          <w:sz w:val="22"/>
          <w:szCs w:val="22"/>
          <w:highlight w:val="none"/>
        </w:rPr>
      </w:pPr>
      <w:r>
        <w:rPr>
          <w:rFonts w:hint="eastAsia" w:cs="新宋体" w:asciiTheme="minorEastAsia" w:hAnsiTheme="minorEastAsia" w:eastAsiaTheme="minorEastAsia"/>
          <w:b/>
          <w:snapToGrid w:val="0"/>
          <w:color w:val="auto"/>
          <w:kern w:val="0"/>
          <w:sz w:val="22"/>
          <w:szCs w:val="22"/>
          <w:highlight w:val="none"/>
          <w:u w:val="single"/>
        </w:rPr>
        <w:t>1</w:t>
      </w:r>
      <w:r>
        <w:rPr>
          <w:rFonts w:cs="新宋体" w:asciiTheme="minorEastAsia" w:hAnsiTheme="minorEastAsia" w:eastAsiaTheme="minorEastAsia"/>
          <w:b/>
          <w:snapToGrid w:val="0"/>
          <w:color w:val="auto"/>
          <w:kern w:val="0"/>
          <w:sz w:val="22"/>
          <w:szCs w:val="22"/>
          <w:highlight w:val="none"/>
          <w:u w:val="single"/>
        </w:rPr>
        <w:t>.1</w:t>
      </w:r>
      <w:r>
        <w:rPr>
          <w:rFonts w:hint="eastAsia" w:cs="新宋体" w:asciiTheme="minorEastAsia" w:hAnsiTheme="minorEastAsia" w:eastAsiaTheme="minorEastAsia"/>
          <w:b/>
          <w:snapToGrid w:val="0"/>
          <w:color w:val="auto"/>
          <w:kern w:val="0"/>
          <w:sz w:val="22"/>
          <w:szCs w:val="22"/>
          <w:highlight w:val="none"/>
          <w:u w:val="single"/>
        </w:rPr>
        <w:t>管理人员配备表</w:t>
      </w:r>
    </w:p>
    <w:tbl>
      <w:tblPr>
        <w:tblStyle w:val="41"/>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3"/>
        <w:gridCol w:w="4054"/>
        <w:gridCol w:w="2464"/>
        <w:gridCol w:w="2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73" w:type="dxa"/>
            <w:vAlign w:val="center"/>
          </w:tcPr>
          <w:p>
            <w:pPr>
              <w:spacing w:line="340" w:lineRule="exact"/>
              <w:jc w:val="center"/>
              <w:rPr>
                <w:rFonts w:cs="新宋体" w:asciiTheme="minorEastAsia" w:hAnsiTheme="minorEastAsia" w:eastAsiaTheme="minorEastAsia"/>
                <w:b/>
                <w:bCs/>
                <w:snapToGrid w:val="0"/>
                <w:color w:val="auto"/>
                <w:kern w:val="0"/>
                <w:sz w:val="22"/>
                <w:szCs w:val="22"/>
                <w:highlight w:val="none"/>
              </w:rPr>
            </w:pPr>
            <w:r>
              <w:rPr>
                <w:rFonts w:hint="eastAsia" w:cs="新宋体" w:asciiTheme="minorEastAsia" w:hAnsiTheme="minorEastAsia" w:eastAsiaTheme="minorEastAsia"/>
                <w:b/>
                <w:bCs/>
                <w:snapToGrid w:val="0"/>
                <w:color w:val="auto"/>
                <w:kern w:val="0"/>
                <w:sz w:val="22"/>
                <w:szCs w:val="22"/>
                <w:highlight w:val="none"/>
              </w:rPr>
              <w:t>序号</w:t>
            </w:r>
          </w:p>
        </w:tc>
        <w:tc>
          <w:tcPr>
            <w:tcW w:w="4054" w:type="dxa"/>
            <w:vAlign w:val="center"/>
          </w:tcPr>
          <w:p>
            <w:pPr>
              <w:spacing w:line="340" w:lineRule="exact"/>
              <w:jc w:val="center"/>
              <w:rPr>
                <w:rFonts w:cs="新宋体" w:asciiTheme="minorEastAsia" w:hAnsiTheme="minorEastAsia" w:eastAsiaTheme="minorEastAsia"/>
                <w:b/>
                <w:bCs/>
                <w:snapToGrid w:val="0"/>
                <w:color w:val="auto"/>
                <w:kern w:val="0"/>
                <w:sz w:val="22"/>
                <w:szCs w:val="22"/>
                <w:highlight w:val="none"/>
              </w:rPr>
            </w:pPr>
            <w:r>
              <w:rPr>
                <w:rFonts w:hint="eastAsia" w:cs="新宋体" w:asciiTheme="minorEastAsia" w:hAnsiTheme="minorEastAsia" w:eastAsiaTheme="minorEastAsia"/>
                <w:b/>
                <w:bCs/>
                <w:snapToGrid w:val="0"/>
                <w:color w:val="auto"/>
                <w:kern w:val="0"/>
                <w:sz w:val="22"/>
                <w:szCs w:val="22"/>
                <w:highlight w:val="none"/>
              </w:rPr>
              <w:t>岗位</w:t>
            </w:r>
          </w:p>
        </w:tc>
        <w:tc>
          <w:tcPr>
            <w:tcW w:w="2464" w:type="dxa"/>
            <w:vAlign w:val="center"/>
          </w:tcPr>
          <w:p>
            <w:pPr>
              <w:spacing w:line="340" w:lineRule="exact"/>
              <w:jc w:val="center"/>
              <w:rPr>
                <w:rFonts w:cs="新宋体" w:asciiTheme="minorEastAsia" w:hAnsiTheme="minorEastAsia" w:eastAsiaTheme="minorEastAsia"/>
                <w:b/>
                <w:bCs/>
                <w:snapToGrid w:val="0"/>
                <w:color w:val="auto"/>
                <w:kern w:val="0"/>
                <w:sz w:val="22"/>
                <w:szCs w:val="22"/>
                <w:highlight w:val="none"/>
              </w:rPr>
            </w:pPr>
            <w:r>
              <w:rPr>
                <w:rFonts w:hint="eastAsia" w:cs="新宋体" w:asciiTheme="minorEastAsia" w:hAnsiTheme="minorEastAsia" w:eastAsiaTheme="minorEastAsia"/>
                <w:b/>
                <w:bCs/>
                <w:snapToGrid w:val="0"/>
                <w:color w:val="auto"/>
                <w:kern w:val="0"/>
                <w:sz w:val="22"/>
                <w:szCs w:val="22"/>
                <w:highlight w:val="none"/>
              </w:rPr>
              <w:t>人数</w:t>
            </w:r>
          </w:p>
        </w:tc>
        <w:tc>
          <w:tcPr>
            <w:tcW w:w="2463" w:type="dxa"/>
            <w:vAlign w:val="center"/>
          </w:tcPr>
          <w:p>
            <w:pPr>
              <w:spacing w:line="340" w:lineRule="exact"/>
              <w:jc w:val="center"/>
              <w:rPr>
                <w:rFonts w:cs="新宋体" w:asciiTheme="minorEastAsia" w:hAnsiTheme="minorEastAsia" w:eastAsiaTheme="minorEastAsia"/>
                <w:b/>
                <w:bCs/>
                <w:snapToGrid w:val="0"/>
                <w:color w:val="auto"/>
                <w:kern w:val="0"/>
                <w:sz w:val="22"/>
                <w:szCs w:val="22"/>
                <w:highlight w:val="none"/>
              </w:rPr>
            </w:pPr>
            <w:r>
              <w:rPr>
                <w:rFonts w:hint="eastAsia" w:cs="新宋体" w:asciiTheme="minorEastAsia" w:hAnsiTheme="minorEastAsia" w:eastAsiaTheme="minorEastAsia"/>
                <w:b/>
                <w:bCs/>
                <w:snapToGrid w:val="0"/>
                <w:color w:val="auto"/>
                <w:kern w:val="0"/>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73" w:type="dxa"/>
            <w:vAlign w:val="center"/>
          </w:tcPr>
          <w:p>
            <w:pPr>
              <w:spacing w:line="340" w:lineRule="exact"/>
              <w:jc w:val="center"/>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1</w:t>
            </w:r>
          </w:p>
        </w:tc>
        <w:tc>
          <w:tcPr>
            <w:tcW w:w="4054" w:type="dxa"/>
            <w:vAlign w:val="center"/>
          </w:tcPr>
          <w:p>
            <w:pPr>
              <w:jc w:val="center"/>
              <w:rPr>
                <w:rFonts w:cs="宋体"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项目经理</w:t>
            </w:r>
          </w:p>
        </w:tc>
        <w:tc>
          <w:tcPr>
            <w:tcW w:w="2464" w:type="dxa"/>
            <w:vAlign w:val="center"/>
          </w:tcPr>
          <w:p>
            <w:pPr>
              <w:jc w:val="center"/>
              <w:rPr>
                <w:rFonts w:cs="宋体"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 xml:space="preserve">1 </w:t>
            </w:r>
          </w:p>
        </w:tc>
        <w:tc>
          <w:tcPr>
            <w:tcW w:w="2463" w:type="dxa"/>
            <w:vAlign w:val="center"/>
          </w:tcPr>
          <w:p>
            <w:pPr>
              <w:spacing w:line="340" w:lineRule="exact"/>
              <w:jc w:val="center"/>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负责全面管理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73" w:type="dxa"/>
            <w:vAlign w:val="center"/>
          </w:tcPr>
          <w:p>
            <w:pPr>
              <w:spacing w:line="340" w:lineRule="exact"/>
              <w:jc w:val="center"/>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2</w:t>
            </w:r>
          </w:p>
        </w:tc>
        <w:tc>
          <w:tcPr>
            <w:tcW w:w="4054" w:type="dxa"/>
            <w:vAlign w:val="center"/>
          </w:tcPr>
          <w:p>
            <w:pPr>
              <w:jc w:val="center"/>
              <w:rPr>
                <w:rFonts w:cs="宋体"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保洁主管</w:t>
            </w:r>
          </w:p>
        </w:tc>
        <w:tc>
          <w:tcPr>
            <w:tcW w:w="2464" w:type="dxa"/>
            <w:vAlign w:val="center"/>
          </w:tcPr>
          <w:p>
            <w:pPr>
              <w:jc w:val="center"/>
              <w:rPr>
                <w:rFonts w:cs="宋体" w:asciiTheme="minorEastAsia" w:hAnsiTheme="minorEastAsia" w:eastAsiaTheme="minorEastAsia"/>
                <w:color w:val="auto"/>
                <w:sz w:val="22"/>
                <w:szCs w:val="22"/>
                <w:highlight w:val="none"/>
              </w:rPr>
            </w:pPr>
            <w:r>
              <w:rPr>
                <w:rFonts w:hint="eastAsia" w:asciiTheme="minorEastAsia" w:hAnsiTheme="minorEastAsia" w:eastAsiaTheme="minorEastAsia"/>
                <w:color w:val="auto"/>
                <w:sz w:val="22"/>
                <w:szCs w:val="22"/>
                <w:highlight w:val="none"/>
              </w:rPr>
              <w:t xml:space="preserve">1 </w:t>
            </w:r>
          </w:p>
        </w:tc>
        <w:tc>
          <w:tcPr>
            <w:tcW w:w="2463" w:type="dxa"/>
            <w:vAlign w:val="center"/>
          </w:tcPr>
          <w:p>
            <w:pPr>
              <w:spacing w:line="340" w:lineRule="exact"/>
              <w:jc w:val="center"/>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负责保洁工作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27" w:type="dxa"/>
            <w:gridSpan w:val="2"/>
            <w:vAlign w:val="center"/>
          </w:tcPr>
          <w:p>
            <w:pPr>
              <w:spacing w:line="340" w:lineRule="exact"/>
              <w:jc w:val="center"/>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合计</w:t>
            </w:r>
          </w:p>
        </w:tc>
        <w:tc>
          <w:tcPr>
            <w:tcW w:w="4927" w:type="dxa"/>
            <w:gridSpan w:val="2"/>
            <w:vAlign w:val="center"/>
          </w:tcPr>
          <w:p>
            <w:pPr>
              <w:spacing w:line="340" w:lineRule="exact"/>
              <w:jc w:val="center"/>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2</w:t>
            </w:r>
          </w:p>
        </w:tc>
      </w:tr>
    </w:tbl>
    <w:p>
      <w:pPr>
        <w:spacing w:line="340" w:lineRule="exact"/>
        <w:rPr>
          <w:rFonts w:cs="新宋体" w:asciiTheme="minorEastAsia" w:hAnsiTheme="minorEastAsia" w:eastAsiaTheme="minorEastAsia"/>
          <w:b/>
          <w:color w:val="auto"/>
          <w:kern w:val="0"/>
          <w:sz w:val="22"/>
          <w:szCs w:val="22"/>
          <w:highlight w:val="none"/>
        </w:rPr>
      </w:pPr>
    </w:p>
    <w:p>
      <w:pPr>
        <w:spacing w:line="340" w:lineRule="exact"/>
        <w:rPr>
          <w:rFonts w:cs="新宋体" w:asciiTheme="minorEastAsia" w:hAnsiTheme="minorEastAsia" w:eastAsiaTheme="minorEastAsia"/>
          <w:b/>
          <w:color w:val="auto"/>
          <w:kern w:val="0"/>
          <w:sz w:val="22"/>
          <w:szCs w:val="22"/>
          <w:highlight w:val="none"/>
        </w:rPr>
      </w:pPr>
      <w:r>
        <w:rPr>
          <w:rFonts w:hint="eastAsia" w:cs="新宋体" w:asciiTheme="minorEastAsia" w:hAnsiTheme="minorEastAsia" w:eastAsiaTheme="minorEastAsia"/>
          <w:b/>
          <w:color w:val="auto"/>
          <w:kern w:val="0"/>
          <w:sz w:val="22"/>
          <w:szCs w:val="22"/>
          <w:highlight w:val="none"/>
        </w:rPr>
        <w:t>1.</w:t>
      </w:r>
      <w:r>
        <w:rPr>
          <w:rFonts w:cs="新宋体" w:asciiTheme="minorEastAsia" w:hAnsiTheme="minorEastAsia" w:eastAsiaTheme="minorEastAsia"/>
          <w:b/>
          <w:color w:val="auto"/>
          <w:kern w:val="0"/>
          <w:sz w:val="22"/>
          <w:szCs w:val="22"/>
          <w:highlight w:val="none"/>
        </w:rPr>
        <w:t>2</w:t>
      </w:r>
      <w:r>
        <w:rPr>
          <w:rFonts w:hint="eastAsia" w:cs="新宋体" w:asciiTheme="minorEastAsia" w:hAnsiTheme="minorEastAsia" w:eastAsiaTheme="minorEastAsia"/>
          <w:b/>
          <w:color w:val="auto"/>
          <w:kern w:val="0"/>
          <w:sz w:val="22"/>
          <w:szCs w:val="22"/>
          <w:highlight w:val="none"/>
        </w:rPr>
        <w:t xml:space="preserve"> 院区保洁人员及运送人员配备表</w:t>
      </w:r>
    </w:p>
    <w:tbl>
      <w:tblPr>
        <w:tblStyle w:val="41"/>
        <w:tblW w:w="9854" w:type="dxa"/>
        <w:jc w:val="righ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898"/>
        <w:gridCol w:w="3260"/>
        <w:gridCol w:w="1626"/>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tcBorders>
              <w:top w:val="single" w:color="auto" w:sz="12" w:space="0"/>
              <w:left w:val="single" w:color="auto" w:sz="12"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b/>
                <w:bCs/>
                <w:color w:val="auto"/>
                <w:kern w:val="0"/>
                <w:sz w:val="22"/>
                <w:szCs w:val="22"/>
                <w:highlight w:val="none"/>
              </w:rPr>
            </w:pPr>
            <w:r>
              <w:rPr>
                <w:rFonts w:cs="Arial" w:asciiTheme="minorEastAsia" w:hAnsiTheme="minorEastAsia" w:eastAsiaTheme="minorEastAsia"/>
                <w:b/>
                <w:bCs/>
                <w:color w:val="auto"/>
                <w:kern w:val="0"/>
                <w:sz w:val="22"/>
                <w:szCs w:val="22"/>
                <w:highlight w:val="none"/>
              </w:rPr>
              <w:t>楼号</w:t>
            </w:r>
          </w:p>
        </w:tc>
        <w:tc>
          <w:tcPr>
            <w:tcW w:w="1898" w:type="dxa"/>
            <w:tcBorders>
              <w:top w:val="single" w:color="auto" w:sz="12"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b/>
                <w:bCs/>
                <w:color w:val="auto"/>
                <w:kern w:val="0"/>
                <w:sz w:val="22"/>
                <w:szCs w:val="22"/>
                <w:highlight w:val="none"/>
              </w:rPr>
            </w:pPr>
            <w:r>
              <w:rPr>
                <w:rFonts w:cs="Arial" w:asciiTheme="minorEastAsia" w:hAnsiTheme="minorEastAsia" w:eastAsiaTheme="minorEastAsia"/>
                <w:b/>
                <w:bCs/>
                <w:color w:val="auto"/>
                <w:kern w:val="0"/>
                <w:sz w:val="22"/>
                <w:szCs w:val="22"/>
                <w:highlight w:val="none"/>
              </w:rPr>
              <w:t>楼层</w:t>
            </w:r>
          </w:p>
        </w:tc>
        <w:tc>
          <w:tcPr>
            <w:tcW w:w="3260" w:type="dxa"/>
            <w:tcBorders>
              <w:top w:val="single" w:color="auto" w:sz="12"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b/>
                <w:bCs/>
                <w:color w:val="auto"/>
                <w:kern w:val="0"/>
                <w:sz w:val="22"/>
                <w:szCs w:val="22"/>
                <w:highlight w:val="none"/>
              </w:rPr>
            </w:pPr>
            <w:r>
              <w:rPr>
                <w:rFonts w:cs="Arial" w:asciiTheme="minorEastAsia" w:hAnsiTheme="minorEastAsia" w:eastAsiaTheme="minorEastAsia"/>
                <w:b/>
                <w:bCs/>
                <w:color w:val="auto"/>
                <w:kern w:val="0"/>
                <w:sz w:val="22"/>
                <w:szCs w:val="22"/>
                <w:highlight w:val="none"/>
              </w:rPr>
              <w:t>科室</w:t>
            </w:r>
          </w:p>
        </w:tc>
        <w:tc>
          <w:tcPr>
            <w:tcW w:w="1626" w:type="dxa"/>
            <w:tcBorders>
              <w:top w:val="single" w:color="auto" w:sz="12"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b/>
                <w:bCs/>
                <w:color w:val="auto"/>
                <w:kern w:val="0"/>
                <w:sz w:val="22"/>
                <w:szCs w:val="22"/>
                <w:highlight w:val="none"/>
              </w:rPr>
            </w:pPr>
            <w:r>
              <w:rPr>
                <w:rFonts w:hint="eastAsia" w:cs="Arial" w:asciiTheme="minorEastAsia" w:hAnsiTheme="minorEastAsia" w:eastAsiaTheme="minorEastAsia"/>
                <w:b/>
                <w:bCs/>
                <w:color w:val="auto"/>
                <w:kern w:val="0"/>
                <w:sz w:val="22"/>
                <w:szCs w:val="22"/>
                <w:highlight w:val="none"/>
              </w:rPr>
              <w:t>人员配置</w:t>
            </w:r>
          </w:p>
        </w:tc>
        <w:tc>
          <w:tcPr>
            <w:tcW w:w="1827" w:type="dxa"/>
            <w:tcBorders>
              <w:top w:val="single" w:color="auto" w:sz="12"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b/>
                <w:bCs/>
                <w:color w:val="auto"/>
                <w:kern w:val="0"/>
                <w:sz w:val="22"/>
                <w:szCs w:val="22"/>
                <w:highlight w:val="none"/>
              </w:rPr>
            </w:pPr>
            <w:r>
              <w:rPr>
                <w:rFonts w:cs="Arial" w:asciiTheme="minorEastAsia" w:hAnsiTheme="minorEastAsia" w:eastAsiaTheme="minorEastAsia"/>
                <w:b/>
                <w:bCs/>
                <w:color w:val="auto"/>
                <w:kern w:val="0"/>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restart"/>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住院部大楼</w:t>
            </w: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大厅及其他一楼科室</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2F（东侧）</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ICU</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3F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手术室</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3</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日班2、晚班1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4 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康复科</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shd w:val="pct10" w:color="auto" w:fill="FFFFFF"/>
              </w:rPr>
            </w:pPr>
            <w:r>
              <w:rPr>
                <w:rFonts w:hint="eastAsia" w:cs="Arial" w:asciiTheme="minorEastAsia" w:hAnsiTheme="minorEastAsia" w:eastAsiaTheme="minorEastAsia"/>
                <w:color w:val="auto"/>
                <w:kern w:val="0"/>
                <w:sz w:val="22"/>
                <w:szCs w:val="22"/>
                <w:highlight w:val="none"/>
                <w:shd w:val="pct10" w:color="auto" w:fill="FFFFFF"/>
              </w:rPr>
              <w:t>5F</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呼吸内科</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6F</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消化内科</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7F</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外一科</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8F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外二科</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9F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外三科</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10F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骨一科</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11F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骨二科</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12F+2F（西侧）</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5万管核酸实验基地+7200核酸实验室+120车辆洗消中心</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restart"/>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门诊楼</w:t>
            </w: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门诊各诊室</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2F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门诊各诊室</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3F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门诊各诊室</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4F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门诊各诊室</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5F、6F、7F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门诊各诊室</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1F-6F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门诊公厕</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restart"/>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感染楼</w:t>
            </w: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发热门诊</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2F-3F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传染科病区</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restart"/>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急诊综合楼</w:t>
            </w:r>
          </w:p>
          <w:p>
            <w:pPr>
              <w:spacing w:line="340" w:lineRule="exact"/>
              <w:jc w:val="center"/>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急诊室、MRI、输液大厅夜班</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3</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早、中、夜班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2F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输液大厅、检验科各1</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3F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血透室、三楼</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2</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日中班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4F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内科一病区（神经内科）</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5F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内科二病区（心血管内科）</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6F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内科三病区（内分泌、肾内科）</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7F、8F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DSA、会议室</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restart"/>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行政楼</w:t>
            </w: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1F-2F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体检中心、一楼外围（含大院公厕）</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3F-5F</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行政办公</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right"/>
        </w:trPr>
        <w:tc>
          <w:tcPr>
            <w:tcW w:w="1243" w:type="dxa"/>
            <w:vMerge w:val="restart"/>
            <w:tcBorders>
              <w:top w:val="single" w:color="auto" w:sz="4" w:space="0"/>
              <w:left w:val="single" w:color="auto" w:sz="12"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其他</w:t>
            </w:r>
          </w:p>
          <w:p>
            <w:pPr>
              <w:spacing w:line="340" w:lineRule="exact"/>
              <w:jc w:val="center"/>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p>
        </w:tc>
        <w:tc>
          <w:tcPr>
            <w:tcW w:w="3260" w:type="dxa"/>
            <w:tcBorders>
              <w:top w:val="single" w:color="auto" w:sz="4" w:space="0"/>
              <w:left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原急诊楼1F（结核门诊）+原急诊楼2F－3F、总务务仓库区、120中心2F－3F值班室、设备科</w:t>
            </w:r>
          </w:p>
        </w:tc>
        <w:tc>
          <w:tcPr>
            <w:tcW w:w="1626" w:type="dxa"/>
            <w:tcBorders>
              <w:top w:val="single" w:color="auto" w:sz="4" w:space="0"/>
              <w:left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left w:val="single" w:color="auto" w:sz="12"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门诊外围打扫</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left w:val="single" w:color="auto" w:sz="12"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住院部外围打扫</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left w:val="single" w:color="auto" w:sz="12"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急诊综合楼外围打扫</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1243" w:type="dxa"/>
            <w:vMerge w:val="continue"/>
            <w:tcBorders>
              <w:left w:val="single" w:color="auto" w:sz="12"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专项保洁（地面、玻璃、不锈钢保养）</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3</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right"/>
        </w:trPr>
        <w:tc>
          <w:tcPr>
            <w:tcW w:w="1243" w:type="dxa"/>
            <w:vMerge w:val="continue"/>
            <w:tcBorders>
              <w:left w:val="single" w:color="auto" w:sz="12"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p>
        </w:tc>
        <w:tc>
          <w:tcPr>
            <w:tcW w:w="3260" w:type="dxa"/>
            <w:tcBorders>
              <w:top w:val="single" w:color="auto" w:sz="4" w:space="0"/>
              <w:left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清运垃圾</w:t>
            </w:r>
          </w:p>
        </w:tc>
        <w:tc>
          <w:tcPr>
            <w:tcW w:w="1626" w:type="dxa"/>
            <w:tcBorders>
              <w:top w:val="single" w:color="auto" w:sz="4" w:space="0"/>
              <w:left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日班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right"/>
        </w:trPr>
        <w:tc>
          <w:tcPr>
            <w:tcW w:w="1243" w:type="dxa"/>
            <w:vMerge w:val="continue"/>
            <w:tcBorders>
              <w:left w:val="single" w:color="auto" w:sz="12"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2"/>
                <w:szCs w:val="22"/>
                <w:highlight w:val="none"/>
              </w:rPr>
            </w:pPr>
          </w:p>
        </w:tc>
        <w:tc>
          <w:tcPr>
            <w:tcW w:w="189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住院部楼道、全院外围晚班保洁</w:t>
            </w:r>
          </w:p>
        </w:tc>
        <w:tc>
          <w:tcPr>
            <w:tcW w:w="16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1</w:t>
            </w:r>
          </w:p>
        </w:tc>
        <w:tc>
          <w:tcPr>
            <w:tcW w:w="1827" w:type="dxa"/>
            <w:tcBorders>
              <w:top w:val="single" w:color="auto" w:sz="4" w:space="0"/>
              <w:left w:val="single" w:color="auto" w:sz="4" w:space="0"/>
              <w:bottom w:val="single" w:color="auto" w:sz="4"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晚班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6401" w:type="dxa"/>
            <w:gridSpan w:val="3"/>
            <w:tcBorders>
              <w:top w:val="single" w:color="auto" w:sz="4" w:space="0"/>
              <w:left w:val="single" w:color="auto" w:sz="12" w:space="0"/>
              <w:bottom w:val="single" w:color="auto" w:sz="12"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hint="eastAsia" w:cs="Arial" w:asciiTheme="minorEastAsia" w:hAnsiTheme="minorEastAsia" w:eastAsiaTheme="minorEastAsia"/>
                <w:color w:val="auto"/>
                <w:kern w:val="0"/>
                <w:sz w:val="22"/>
                <w:szCs w:val="22"/>
                <w:highlight w:val="none"/>
              </w:rPr>
              <w:t>合计</w:t>
            </w:r>
          </w:p>
        </w:tc>
        <w:tc>
          <w:tcPr>
            <w:tcW w:w="1626" w:type="dxa"/>
            <w:tcBorders>
              <w:top w:val="single" w:color="auto" w:sz="4" w:space="0"/>
              <w:left w:val="single" w:color="auto" w:sz="4" w:space="0"/>
              <w:bottom w:val="single" w:color="auto" w:sz="12" w:space="0"/>
              <w:right w:val="single" w:color="auto" w:sz="4"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r>
              <w:rPr>
                <w:rFonts w:cs="Arial" w:asciiTheme="minorEastAsia" w:hAnsiTheme="minorEastAsia" w:eastAsiaTheme="minorEastAsia"/>
                <w:color w:val="auto"/>
                <w:kern w:val="0"/>
                <w:sz w:val="22"/>
                <w:szCs w:val="22"/>
                <w:highlight w:val="none"/>
              </w:rPr>
              <w:t>43</w:t>
            </w:r>
          </w:p>
        </w:tc>
        <w:tc>
          <w:tcPr>
            <w:tcW w:w="1827" w:type="dxa"/>
            <w:tcBorders>
              <w:top w:val="single" w:color="auto" w:sz="4" w:space="0"/>
              <w:left w:val="single" w:color="auto" w:sz="4" w:space="0"/>
              <w:bottom w:val="single" w:color="auto" w:sz="12" w:space="0"/>
              <w:right w:val="single" w:color="auto" w:sz="12" w:space="0"/>
            </w:tcBorders>
            <w:vAlign w:val="center"/>
          </w:tcPr>
          <w:p>
            <w:pPr>
              <w:spacing w:line="340" w:lineRule="exact"/>
              <w:jc w:val="center"/>
              <w:rPr>
                <w:rFonts w:cs="Arial" w:asciiTheme="minorEastAsia" w:hAnsiTheme="minorEastAsia" w:eastAsiaTheme="minorEastAsia"/>
                <w:color w:val="auto"/>
                <w:kern w:val="0"/>
                <w:sz w:val="22"/>
                <w:szCs w:val="22"/>
                <w:highlight w:val="none"/>
              </w:rPr>
            </w:pPr>
          </w:p>
        </w:tc>
      </w:tr>
    </w:tbl>
    <w:p>
      <w:pPr>
        <w:spacing w:line="340" w:lineRule="exact"/>
        <w:rPr>
          <w:rFonts w:cs="新宋体" w:asciiTheme="minorEastAsia" w:hAnsiTheme="minorEastAsia" w:eastAsiaTheme="minorEastAsia"/>
          <w:b/>
          <w:color w:val="auto"/>
          <w:kern w:val="0"/>
          <w:sz w:val="22"/>
          <w:szCs w:val="22"/>
          <w:highlight w:val="none"/>
          <w:u w:val="single"/>
        </w:rPr>
      </w:pPr>
    </w:p>
    <w:p>
      <w:pPr>
        <w:spacing w:line="340" w:lineRule="exact"/>
        <w:rPr>
          <w:rFonts w:cs="新宋体" w:asciiTheme="minorEastAsia" w:hAnsiTheme="minorEastAsia" w:eastAsiaTheme="minorEastAsia"/>
          <w:b/>
          <w:color w:val="auto"/>
          <w:kern w:val="0"/>
          <w:sz w:val="22"/>
          <w:szCs w:val="22"/>
          <w:highlight w:val="none"/>
          <w:u w:val="single"/>
        </w:rPr>
      </w:pPr>
      <w:r>
        <w:rPr>
          <w:rFonts w:hint="eastAsia" w:cs="新宋体" w:asciiTheme="minorEastAsia" w:hAnsiTheme="minorEastAsia" w:eastAsiaTheme="minorEastAsia"/>
          <w:b/>
          <w:color w:val="auto"/>
          <w:kern w:val="0"/>
          <w:sz w:val="22"/>
          <w:szCs w:val="22"/>
          <w:highlight w:val="none"/>
          <w:u w:val="single"/>
        </w:rPr>
        <w:t>1.</w:t>
      </w:r>
      <w:r>
        <w:rPr>
          <w:rFonts w:cs="新宋体" w:asciiTheme="minorEastAsia" w:hAnsiTheme="minorEastAsia" w:eastAsiaTheme="minorEastAsia"/>
          <w:b/>
          <w:color w:val="auto"/>
          <w:kern w:val="0"/>
          <w:sz w:val="22"/>
          <w:szCs w:val="22"/>
          <w:highlight w:val="none"/>
          <w:u w:val="single"/>
        </w:rPr>
        <w:t>3</w:t>
      </w:r>
      <w:r>
        <w:rPr>
          <w:rFonts w:hint="eastAsia" w:cs="新宋体" w:asciiTheme="minorEastAsia" w:hAnsiTheme="minorEastAsia" w:eastAsiaTheme="minorEastAsia"/>
          <w:b/>
          <w:color w:val="auto"/>
          <w:kern w:val="0"/>
          <w:sz w:val="22"/>
          <w:szCs w:val="22"/>
          <w:highlight w:val="none"/>
          <w:u w:val="single"/>
        </w:rPr>
        <w:t>护理及专用人员配备表</w:t>
      </w:r>
    </w:p>
    <w:tbl>
      <w:tblPr>
        <w:tblStyle w:val="41"/>
        <w:tblW w:w="9860" w:type="dxa"/>
        <w:tblInd w:w="0" w:type="dxa"/>
        <w:tblLayout w:type="fixed"/>
        <w:tblCellMar>
          <w:top w:w="0" w:type="dxa"/>
          <w:left w:w="108" w:type="dxa"/>
          <w:bottom w:w="0" w:type="dxa"/>
          <w:right w:w="108" w:type="dxa"/>
        </w:tblCellMar>
      </w:tblPr>
      <w:tblGrid>
        <w:gridCol w:w="929"/>
        <w:gridCol w:w="1175"/>
        <w:gridCol w:w="4139"/>
        <w:gridCol w:w="1850"/>
        <w:gridCol w:w="1761"/>
        <w:gridCol w:w="6"/>
      </w:tblGrid>
      <w:tr>
        <w:tblPrEx>
          <w:tblLayout w:type="fixed"/>
          <w:tblCellMar>
            <w:top w:w="0" w:type="dxa"/>
            <w:left w:w="108" w:type="dxa"/>
            <w:bottom w:w="0" w:type="dxa"/>
            <w:right w:w="108" w:type="dxa"/>
          </w:tblCellMar>
        </w:tblPrEx>
        <w:trPr>
          <w:gridAfter w:val="1"/>
          <w:wAfter w:w="6" w:type="dxa"/>
          <w:trHeight w:val="285" w:hRule="atLeast"/>
        </w:trPr>
        <w:tc>
          <w:tcPr>
            <w:tcW w:w="9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b/>
                <w:bCs/>
                <w:color w:val="auto"/>
                <w:kern w:val="0"/>
                <w:sz w:val="22"/>
                <w:szCs w:val="22"/>
                <w:highlight w:val="none"/>
              </w:rPr>
            </w:pPr>
            <w:r>
              <w:rPr>
                <w:rFonts w:hint="eastAsia" w:asciiTheme="minorEastAsia" w:hAnsiTheme="minorEastAsia" w:eastAsiaTheme="minorEastAsia"/>
                <w:b/>
                <w:bCs/>
                <w:color w:val="auto"/>
                <w:kern w:val="0"/>
                <w:sz w:val="22"/>
                <w:szCs w:val="22"/>
                <w:highlight w:val="none"/>
              </w:rPr>
              <w:t>楼号</w:t>
            </w:r>
          </w:p>
        </w:tc>
        <w:tc>
          <w:tcPr>
            <w:tcW w:w="117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b/>
                <w:bCs/>
                <w:color w:val="auto"/>
                <w:kern w:val="0"/>
                <w:sz w:val="22"/>
                <w:szCs w:val="22"/>
                <w:highlight w:val="none"/>
              </w:rPr>
            </w:pPr>
            <w:r>
              <w:rPr>
                <w:rFonts w:hint="eastAsia" w:asciiTheme="minorEastAsia" w:hAnsiTheme="minorEastAsia" w:eastAsiaTheme="minorEastAsia"/>
                <w:b/>
                <w:bCs/>
                <w:color w:val="auto"/>
                <w:kern w:val="0"/>
                <w:sz w:val="22"/>
                <w:szCs w:val="22"/>
                <w:highlight w:val="none"/>
              </w:rPr>
              <w:t>楼层</w:t>
            </w:r>
          </w:p>
        </w:tc>
        <w:tc>
          <w:tcPr>
            <w:tcW w:w="413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b/>
                <w:bCs/>
                <w:color w:val="auto"/>
                <w:kern w:val="0"/>
                <w:sz w:val="22"/>
                <w:szCs w:val="22"/>
                <w:highlight w:val="none"/>
              </w:rPr>
            </w:pPr>
            <w:r>
              <w:rPr>
                <w:rFonts w:hint="eastAsia" w:asciiTheme="minorEastAsia" w:hAnsiTheme="minorEastAsia" w:eastAsiaTheme="minorEastAsia"/>
                <w:b/>
                <w:bCs/>
                <w:color w:val="auto"/>
                <w:kern w:val="0"/>
                <w:sz w:val="22"/>
                <w:szCs w:val="22"/>
                <w:highlight w:val="none"/>
              </w:rPr>
              <w:t>用工岗位</w:t>
            </w:r>
          </w:p>
        </w:tc>
        <w:tc>
          <w:tcPr>
            <w:tcW w:w="1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b/>
                <w:bCs/>
                <w:color w:val="auto"/>
                <w:kern w:val="0"/>
                <w:sz w:val="22"/>
                <w:szCs w:val="22"/>
                <w:highlight w:val="none"/>
              </w:rPr>
            </w:pPr>
            <w:r>
              <w:rPr>
                <w:rFonts w:hint="eastAsia" w:asciiTheme="minorEastAsia" w:hAnsiTheme="minorEastAsia" w:eastAsiaTheme="minorEastAsia"/>
                <w:b/>
                <w:bCs/>
                <w:color w:val="auto"/>
                <w:kern w:val="0"/>
                <w:sz w:val="22"/>
                <w:szCs w:val="22"/>
                <w:highlight w:val="none"/>
              </w:rPr>
              <w:t>数量</w:t>
            </w:r>
          </w:p>
        </w:tc>
        <w:tc>
          <w:tcPr>
            <w:tcW w:w="1761" w:type="dxa"/>
            <w:tcBorders>
              <w:top w:val="single" w:color="auto" w:sz="4" w:space="0"/>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b/>
                <w:bCs/>
                <w:color w:val="auto"/>
                <w:kern w:val="0"/>
                <w:sz w:val="22"/>
                <w:szCs w:val="22"/>
                <w:highlight w:val="none"/>
              </w:rPr>
            </w:pPr>
            <w:r>
              <w:rPr>
                <w:rFonts w:hint="eastAsia" w:asciiTheme="minorEastAsia" w:hAnsiTheme="minorEastAsia" w:eastAsiaTheme="minorEastAsia"/>
                <w:b/>
                <w:bCs/>
                <w:color w:val="auto"/>
                <w:kern w:val="0"/>
                <w:sz w:val="22"/>
                <w:szCs w:val="22"/>
                <w:highlight w:val="none"/>
              </w:rPr>
              <w:t>备注</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restart"/>
            <w:tcBorders>
              <w:top w:val="nil"/>
              <w:left w:val="single" w:color="auto" w:sz="4" w:space="0"/>
              <w:bottom w:val="nil"/>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住院大楼</w:t>
            </w:r>
          </w:p>
          <w:p>
            <w:pPr>
              <w:jc w:val="center"/>
              <w:rPr>
                <w:rFonts w:asciiTheme="minorEastAsia" w:hAnsiTheme="minorEastAsia" w:eastAsiaTheme="minorEastAsia"/>
                <w:color w:val="auto"/>
                <w:kern w:val="0"/>
                <w:sz w:val="22"/>
                <w:szCs w:val="22"/>
                <w:highlight w:val="none"/>
              </w:rPr>
            </w:pPr>
          </w:p>
        </w:tc>
        <w:tc>
          <w:tcPr>
            <w:tcW w:w="1175" w:type="dxa"/>
            <w:vMerge w:val="restart"/>
            <w:tcBorders>
              <w:top w:val="nil"/>
              <w:left w:val="nil"/>
              <w:bottom w:val="nil"/>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1F</w:t>
            </w: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供应室护理员</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2</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1175" w:type="dxa"/>
            <w:vMerge w:val="continue"/>
            <w:tcBorders>
              <w:top w:val="nil"/>
              <w:left w:val="nil"/>
              <w:bottom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供应室护理员（洗工）</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3</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1175" w:type="dxa"/>
            <w:vMerge w:val="continue"/>
            <w:tcBorders>
              <w:top w:val="nil"/>
              <w:left w:val="nil"/>
              <w:bottom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住院部药房护工</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2F</w:t>
            </w: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ICU护理员</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3</w:t>
            </w:r>
          </w:p>
        </w:tc>
        <w:tc>
          <w:tcPr>
            <w:tcW w:w="176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auto"/>
                <w:kern w:val="0"/>
                <w:sz w:val="22"/>
                <w:szCs w:val="22"/>
                <w:highlight w:val="none"/>
              </w:rPr>
            </w:pPr>
            <w:r>
              <w:rPr>
                <w:rFonts w:hint="eastAsia" w:asciiTheme="minorEastAsia" w:hAnsiTheme="minorEastAsia" w:eastAsiaTheme="minorEastAsia"/>
                <w:b/>
                <w:color w:val="auto"/>
                <w:kern w:val="0"/>
                <w:sz w:val="22"/>
                <w:szCs w:val="22"/>
                <w:highlight w:val="none"/>
              </w:rPr>
              <w:t>特殊岗位（24小时轮值）</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vMerge w:val="restart"/>
            <w:tcBorders>
              <w:top w:val="nil"/>
              <w:left w:val="nil"/>
              <w:bottom w:val="nil"/>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3F</w:t>
            </w: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手术室护理员</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1175" w:type="dxa"/>
            <w:vMerge w:val="continue"/>
            <w:tcBorders>
              <w:top w:val="nil"/>
              <w:left w:val="nil"/>
              <w:bottom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手术室接送病人</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2</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日夜班各1</w:t>
            </w:r>
          </w:p>
        </w:tc>
      </w:tr>
      <w:tr>
        <w:tblPrEx>
          <w:tblLayout w:type="fixed"/>
          <w:tblCellMar>
            <w:top w:w="0" w:type="dxa"/>
            <w:left w:w="108" w:type="dxa"/>
            <w:bottom w:w="0" w:type="dxa"/>
            <w:right w:w="108" w:type="dxa"/>
          </w:tblCellMar>
        </w:tblPrEx>
        <w:trPr>
          <w:gridAfter w:val="1"/>
          <w:wAfter w:w="6" w:type="dxa"/>
          <w:trHeight w:val="467"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4F</w:t>
            </w: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康复科护理员</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300"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tcBorders>
              <w:top w:val="single" w:color="auto" w:sz="4" w:space="0"/>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5F</w:t>
            </w:r>
          </w:p>
        </w:tc>
        <w:tc>
          <w:tcPr>
            <w:tcW w:w="4139" w:type="dxa"/>
            <w:tcBorders>
              <w:top w:val="single" w:color="auto" w:sz="4" w:space="0"/>
              <w:left w:val="nil"/>
              <w:bottom w:val="single" w:color="auto" w:sz="4" w:space="0"/>
              <w:right w:val="single" w:color="auto" w:sz="4" w:space="0"/>
            </w:tcBorders>
            <w:noWrap/>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呼息内科护理员</w:t>
            </w:r>
          </w:p>
        </w:tc>
        <w:tc>
          <w:tcPr>
            <w:tcW w:w="1850" w:type="dxa"/>
            <w:tcBorders>
              <w:top w:val="single" w:color="auto" w:sz="4" w:space="0"/>
              <w:left w:val="nil"/>
              <w:bottom w:val="single" w:color="auto" w:sz="4" w:space="0"/>
              <w:right w:val="single" w:color="auto" w:sz="4" w:space="0"/>
            </w:tcBorders>
            <w:noWrap/>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7F</w:t>
            </w:r>
          </w:p>
        </w:tc>
        <w:tc>
          <w:tcPr>
            <w:tcW w:w="4139"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外科1护理员</w:t>
            </w:r>
          </w:p>
        </w:tc>
        <w:tc>
          <w:tcPr>
            <w:tcW w:w="1850"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8F</w:t>
            </w: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外2护理员</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9F</w:t>
            </w: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外科3护理员</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10F</w:t>
            </w: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骨科1护理员</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11F</w:t>
            </w: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骨2护理员</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restart"/>
            <w:tcBorders>
              <w:top w:val="nil"/>
              <w:left w:val="single" w:color="auto" w:sz="4" w:space="0"/>
              <w:bottom w:val="nil"/>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急诊大楼</w:t>
            </w:r>
          </w:p>
          <w:p>
            <w:pPr>
              <w:jc w:val="center"/>
              <w:rPr>
                <w:rFonts w:asciiTheme="minorEastAsia" w:hAnsiTheme="minorEastAsia" w:eastAsiaTheme="minorEastAsia"/>
                <w:color w:val="auto"/>
                <w:kern w:val="0"/>
                <w:sz w:val="22"/>
                <w:szCs w:val="22"/>
                <w:highlight w:val="none"/>
              </w:rPr>
            </w:pPr>
          </w:p>
        </w:tc>
        <w:tc>
          <w:tcPr>
            <w:tcW w:w="1175" w:type="dxa"/>
            <w:vMerge w:val="restart"/>
            <w:tcBorders>
              <w:top w:val="nil"/>
              <w:left w:val="nil"/>
              <w:bottom w:val="nil"/>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1F</w:t>
            </w: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急诊夜班护理员</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1175" w:type="dxa"/>
            <w:vMerge w:val="continue"/>
            <w:tcBorders>
              <w:top w:val="nil"/>
              <w:left w:val="nil"/>
              <w:bottom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急诊接送病人</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2</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日夜班各1</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1175" w:type="dxa"/>
            <w:vMerge w:val="continue"/>
            <w:tcBorders>
              <w:top w:val="nil"/>
              <w:left w:val="nil"/>
              <w:bottom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急诊日班护理员</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2F</w:t>
            </w: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检验科护理员</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3F</w:t>
            </w: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血透室护理员</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3</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4F</w:t>
            </w: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内1护理员（神经内科）</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5F</w:t>
            </w: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内科2护理员（心血管内科）</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6F</w:t>
            </w: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内3护理员（内分泌、肾内科）</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390"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tcBorders>
              <w:top w:val="single" w:color="auto" w:sz="4" w:space="0"/>
              <w:left w:val="nil"/>
              <w:bottom w:val="single" w:color="auto" w:sz="4" w:space="0"/>
              <w:right w:val="single" w:color="auto" w:sz="4" w:space="0"/>
            </w:tcBorders>
            <w:shd w:val="clear" w:color="auto" w:fill="FFFFFF"/>
            <w:vAlign w:val="center"/>
          </w:tcPr>
          <w:p>
            <w:pPr>
              <w:jc w:val="center"/>
              <w:rPr>
                <w:rFonts w:asciiTheme="minorEastAsia" w:hAnsiTheme="minorEastAsia" w:eastAsiaTheme="minorEastAsia"/>
                <w:color w:val="auto"/>
                <w:kern w:val="0"/>
                <w:sz w:val="22"/>
                <w:szCs w:val="22"/>
                <w:highlight w:val="none"/>
              </w:rPr>
            </w:pPr>
          </w:p>
        </w:tc>
        <w:tc>
          <w:tcPr>
            <w:tcW w:w="4139" w:type="dxa"/>
            <w:tcBorders>
              <w:top w:val="single" w:color="auto" w:sz="4" w:space="0"/>
              <w:left w:val="nil"/>
              <w:bottom w:val="single" w:color="auto" w:sz="4" w:space="0"/>
              <w:right w:val="single" w:color="auto" w:sz="4" w:space="0"/>
            </w:tcBorders>
            <w:noWrap/>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轮转护理员</w:t>
            </w:r>
          </w:p>
        </w:tc>
        <w:tc>
          <w:tcPr>
            <w:tcW w:w="1850" w:type="dxa"/>
            <w:tcBorders>
              <w:top w:val="single" w:color="auto" w:sz="4" w:space="0"/>
              <w:left w:val="nil"/>
              <w:bottom w:val="single" w:color="auto" w:sz="4" w:space="0"/>
              <w:right w:val="single" w:color="auto" w:sz="4" w:space="0"/>
            </w:tcBorders>
            <w:noWrap/>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2</w:t>
            </w:r>
          </w:p>
        </w:tc>
        <w:tc>
          <w:tcPr>
            <w:tcW w:w="176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1255" w:hRule="atLeast"/>
        </w:trPr>
        <w:tc>
          <w:tcPr>
            <w:tcW w:w="929" w:type="dxa"/>
            <w:vMerge w:val="restart"/>
            <w:tcBorders>
              <w:top w:val="nil"/>
              <w:left w:val="single" w:color="auto" w:sz="4" w:space="0"/>
              <w:bottom w:val="nil"/>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门诊大楼</w:t>
            </w: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1F</w:t>
            </w: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中药房护工</w:t>
            </w:r>
          </w:p>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西药库护工</w:t>
            </w:r>
          </w:p>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门诊药房护工</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p>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3</w:t>
            </w:r>
          </w:p>
        </w:tc>
        <w:tc>
          <w:tcPr>
            <w:tcW w:w="1761"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vMerge w:val="restart"/>
            <w:tcBorders>
              <w:top w:val="nil"/>
              <w:left w:val="nil"/>
              <w:bottom w:val="nil"/>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3F</w:t>
            </w:r>
          </w:p>
        </w:tc>
        <w:tc>
          <w:tcPr>
            <w:tcW w:w="4139"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 xml:space="preserve">门诊手术室 </w:t>
            </w:r>
          </w:p>
        </w:tc>
        <w:tc>
          <w:tcPr>
            <w:tcW w:w="1850"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1175" w:type="dxa"/>
            <w:vMerge w:val="continue"/>
            <w:tcBorders>
              <w:top w:val="nil"/>
              <w:left w:val="nil"/>
              <w:bottom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门诊内镜室洗涤工</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2</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heme="minorEastAsia" w:hAnsiTheme="minorEastAsia" w:eastAsiaTheme="minorEastAsia"/>
                <w:color w:val="auto"/>
                <w:kern w:val="0"/>
                <w:sz w:val="22"/>
                <w:szCs w:val="22"/>
                <w:highlight w:val="none"/>
              </w:rPr>
            </w:pPr>
          </w:p>
        </w:tc>
        <w:tc>
          <w:tcPr>
            <w:tcW w:w="1175" w:type="dxa"/>
            <w:tcBorders>
              <w:top w:val="nil"/>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（七科）门诊护理员</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70" w:hRule="atLeast"/>
        </w:trPr>
        <w:tc>
          <w:tcPr>
            <w:tcW w:w="929" w:type="dxa"/>
            <w:vMerge w:val="restart"/>
            <w:tcBorders>
              <w:top w:val="nil"/>
              <w:left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感染楼</w:t>
            </w:r>
          </w:p>
        </w:tc>
        <w:tc>
          <w:tcPr>
            <w:tcW w:w="1175" w:type="dxa"/>
            <w:vMerge w:val="restart"/>
            <w:tcBorders>
              <w:top w:val="nil"/>
              <w:left w:val="nil"/>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p>
        </w:tc>
        <w:tc>
          <w:tcPr>
            <w:tcW w:w="41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感染科护理员</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450" w:hRule="atLeast"/>
        </w:trPr>
        <w:tc>
          <w:tcPr>
            <w:tcW w:w="929" w:type="dxa"/>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p>
        </w:tc>
        <w:tc>
          <w:tcPr>
            <w:tcW w:w="1175" w:type="dxa"/>
            <w:vMerge w:val="continue"/>
            <w:tcBorders>
              <w:left w:val="nil"/>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p>
        </w:tc>
        <w:tc>
          <w:tcPr>
            <w:tcW w:w="4139" w:type="dxa"/>
            <w:tcBorders>
              <w:top w:val="single" w:color="auto" w:sz="4" w:space="0"/>
              <w:left w:val="nil"/>
              <w:bottom w:val="single" w:color="auto" w:sz="4" w:space="0"/>
              <w:right w:val="single" w:color="auto" w:sz="4" w:space="0"/>
            </w:tcBorders>
            <w:noWrap/>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发热门诊护理员</w:t>
            </w:r>
          </w:p>
        </w:tc>
        <w:tc>
          <w:tcPr>
            <w:tcW w:w="1850" w:type="dxa"/>
            <w:tcBorders>
              <w:top w:val="single" w:color="auto" w:sz="4" w:space="0"/>
              <w:left w:val="nil"/>
              <w:bottom w:val="single" w:color="auto" w:sz="4" w:space="0"/>
              <w:right w:val="single" w:color="auto" w:sz="4" w:space="0"/>
            </w:tcBorders>
            <w:noWrap/>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restart"/>
            <w:tcBorders>
              <w:top w:val="nil"/>
              <w:left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p>
        </w:tc>
        <w:tc>
          <w:tcPr>
            <w:tcW w:w="1175" w:type="dxa"/>
            <w:vMerge w:val="restart"/>
            <w:tcBorders>
              <w:top w:val="nil"/>
              <w:left w:val="nil"/>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p>
        </w:tc>
        <w:tc>
          <w:tcPr>
            <w:tcW w:w="4139" w:type="dxa"/>
            <w:tcBorders>
              <w:top w:val="nil"/>
              <w:left w:val="nil"/>
              <w:bottom w:val="nil"/>
              <w:right w:val="single" w:color="auto" w:sz="4" w:space="0"/>
            </w:tcBorders>
            <w:noWrap/>
            <w:vAlign w:val="bottom"/>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洗衣房洗衣工</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5</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Pr>
        <w:tc>
          <w:tcPr>
            <w:tcW w:w="929"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1175" w:type="dxa"/>
            <w:vMerge w:val="continue"/>
            <w:tcBorders>
              <w:left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4139" w:type="dxa"/>
            <w:tcBorders>
              <w:top w:val="single" w:color="auto" w:sz="4" w:space="0"/>
              <w:left w:val="nil"/>
              <w:bottom w:val="single" w:color="auto" w:sz="4" w:space="0"/>
              <w:right w:val="single" w:color="auto" w:sz="4" w:space="0"/>
            </w:tcBorders>
            <w:noWrap/>
            <w:vAlign w:val="bottom"/>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水工</w:t>
            </w:r>
          </w:p>
        </w:tc>
        <w:tc>
          <w:tcPr>
            <w:tcW w:w="1850"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85" w:hRule="atLeast"/>
        </w:trPr>
        <w:tc>
          <w:tcPr>
            <w:tcW w:w="929"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1175" w:type="dxa"/>
            <w:vMerge w:val="continue"/>
            <w:tcBorders>
              <w:left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4139" w:type="dxa"/>
            <w:tcBorders>
              <w:top w:val="nil"/>
              <w:left w:val="nil"/>
              <w:bottom w:val="single" w:color="auto" w:sz="4" w:space="0"/>
              <w:right w:val="single" w:color="auto" w:sz="4" w:space="0"/>
            </w:tcBorders>
            <w:noWrap/>
            <w:vAlign w:val="bottom"/>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木工</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240" w:hRule="atLeast"/>
        </w:trPr>
        <w:tc>
          <w:tcPr>
            <w:tcW w:w="929"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1175" w:type="dxa"/>
            <w:vMerge w:val="continue"/>
            <w:tcBorders>
              <w:left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4139" w:type="dxa"/>
            <w:tcBorders>
              <w:top w:val="nil"/>
              <w:left w:val="nil"/>
              <w:bottom w:val="single" w:color="auto" w:sz="4" w:space="0"/>
              <w:right w:val="single" w:color="auto" w:sz="4" w:space="0"/>
            </w:tcBorders>
            <w:noWrap/>
            <w:vAlign w:val="bottom"/>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医疗废物管理员</w:t>
            </w:r>
          </w:p>
        </w:tc>
        <w:tc>
          <w:tcPr>
            <w:tcW w:w="185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2</w:t>
            </w:r>
          </w:p>
        </w:tc>
        <w:tc>
          <w:tcPr>
            <w:tcW w:w="1761"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gridAfter w:val="1"/>
          <w:wAfter w:w="6" w:type="dxa"/>
          <w:trHeight w:val="300" w:hRule="atLeast"/>
        </w:trPr>
        <w:tc>
          <w:tcPr>
            <w:tcW w:w="929" w:type="dxa"/>
            <w:vMerge w:val="continue"/>
            <w:tcBorders>
              <w:left w:val="single" w:color="auto" w:sz="4" w:space="0"/>
              <w:bottom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1175" w:type="dxa"/>
            <w:vMerge w:val="continue"/>
            <w:tcBorders>
              <w:left w:val="nil"/>
              <w:bottom w:val="nil"/>
              <w:right w:val="single" w:color="auto" w:sz="4" w:space="0"/>
            </w:tcBorders>
            <w:vAlign w:val="center"/>
          </w:tcPr>
          <w:p>
            <w:pPr>
              <w:widowControl/>
              <w:jc w:val="left"/>
              <w:rPr>
                <w:rFonts w:asciiTheme="minorEastAsia" w:hAnsiTheme="minorEastAsia" w:eastAsiaTheme="minorEastAsia"/>
                <w:color w:val="auto"/>
                <w:kern w:val="0"/>
                <w:sz w:val="22"/>
                <w:szCs w:val="22"/>
                <w:highlight w:val="none"/>
              </w:rPr>
            </w:pPr>
          </w:p>
        </w:tc>
        <w:tc>
          <w:tcPr>
            <w:tcW w:w="4139" w:type="dxa"/>
            <w:tcBorders>
              <w:top w:val="single" w:color="auto" w:sz="4" w:space="0"/>
              <w:left w:val="nil"/>
              <w:bottom w:val="single" w:color="auto" w:sz="4" w:space="0"/>
              <w:right w:val="single" w:color="auto" w:sz="4" w:space="0"/>
            </w:tcBorders>
            <w:noWrap/>
            <w:vAlign w:val="bottom"/>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发热门诊、感染科医疗废物管理员</w:t>
            </w:r>
          </w:p>
        </w:tc>
        <w:tc>
          <w:tcPr>
            <w:tcW w:w="1850" w:type="dxa"/>
            <w:tcBorders>
              <w:top w:val="single" w:color="auto" w:sz="4" w:space="0"/>
              <w:left w:val="nil"/>
              <w:bottom w:val="single" w:color="auto" w:sz="4" w:space="0"/>
              <w:right w:val="single" w:color="auto" w:sz="4" w:space="0"/>
            </w:tcBorders>
            <w:noWrap/>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1</w:t>
            </w:r>
          </w:p>
        </w:tc>
        <w:tc>
          <w:tcPr>
            <w:tcW w:w="1761"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trHeight w:val="285" w:hRule="atLeast"/>
        </w:trPr>
        <w:tc>
          <w:tcPr>
            <w:tcW w:w="624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合计</w:t>
            </w:r>
          </w:p>
        </w:tc>
        <w:tc>
          <w:tcPr>
            <w:tcW w:w="3617" w:type="dxa"/>
            <w:gridSpan w:val="3"/>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auto"/>
                <w:kern w:val="0"/>
                <w:sz w:val="22"/>
                <w:szCs w:val="22"/>
                <w:highlight w:val="none"/>
              </w:rPr>
            </w:pPr>
            <w:r>
              <w:rPr>
                <w:rFonts w:hint="eastAsia" w:asciiTheme="minorEastAsia" w:hAnsiTheme="minorEastAsia" w:eastAsiaTheme="minorEastAsia"/>
                <w:color w:val="auto"/>
                <w:kern w:val="0"/>
                <w:sz w:val="22"/>
                <w:szCs w:val="22"/>
                <w:highlight w:val="none"/>
              </w:rPr>
              <w:t>5</w:t>
            </w:r>
            <w:r>
              <w:rPr>
                <w:rFonts w:asciiTheme="minorEastAsia" w:hAnsiTheme="minorEastAsia" w:eastAsiaTheme="minorEastAsia"/>
                <w:color w:val="auto"/>
                <w:kern w:val="0"/>
                <w:sz w:val="22"/>
                <w:szCs w:val="22"/>
                <w:highlight w:val="none"/>
              </w:rPr>
              <w:t>1</w:t>
            </w:r>
          </w:p>
        </w:tc>
      </w:tr>
    </w:tbl>
    <w:p>
      <w:pPr>
        <w:pStyle w:val="2"/>
        <w:ind w:firstLine="221"/>
        <w:rPr>
          <w:rFonts w:cs="新宋体" w:asciiTheme="minorEastAsia" w:hAnsiTheme="minorEastAsia" w:eastAsiaTheme="minorEastAsia"/>
          <w:b/>
          <w:snapToGrid w:val="0"/>
          <w:color w:val="auto"/>
          <w:kern w:val="0"/>
          <w:sz w:val="22"/>
          <w:szCs w:val="22"/>
          <w:highlight w:val="none"/>
          <w:u w:val="single"/>
        </w:rPr>
      </w:pPr>
    </w:p>
    <w:p>
      <w:pPr>
        <w:pStyle w:val="2"/>
        <w:ind w:firstLine="221"/>
        <w:rPr>
          <w:rFonts w:cs="新宋体" w:asciiTheme="minorEastAsia" w:hAnsiTheme="minorEastAsia" w:eastAsiaTheme="minorEastAsia"/>
          <w:b/>
          <w:snapToGrid w:val="0"/>
          <w:color w:val="auto"/>
          <w:kern w:val="0"/>
          <w:sz w:val="22"/>
          <w:szCs w:val="22"/>
          <w:highlight w:val="none"/>
          <w:u w:val="single"/>
        </w:rPr>
      </w:pPr>
      <w:r>
        <w:rPr>
          <w:rFonts w:hint="eastAsia" w:cs="宋体" w:asciiTheme="minorEastAsia" w:hAnsiTheme="minorEastAsia" w:eastAsiaTheme="minorEastAsia"/>
          <w:b/>
          <w:bCs/>
          <w:color w:val="auto"/>
          <w:kern w:val="0"/>
          <w:sz w:val="22"/>
          <w:szCs w:val="22"/>
          <w:highlight w:val="none"/>
        </w:rPr>
        <w:t>1、4物流配送中心人员配置</w:t>
      </w:r>
    </w:p>
    <w:tbl>
      <w:tblPr>
        <w:tblStyle w:val="41"/>
        <w:tblW w:w="9854" w:type="dxa"/>
        <w:tblInd w:w="0" w:type="dxa"/>
        <w:tblLayout w:type="fixed"/>
        <w:tblCellMar>
          <w:top w:w="0" w:type="dxa"/>
          <w:left w:w="108" w:type="dxa"/>
          <w:bottom w:w="0" w:type="dxa"/>
          <w:right w:w="108" w:type="dxa"/>
        </w:tblCellMar>
      </w:tblPr>
      <w:tblGrid>
        <w:gridCol w:w="835"/>
        <w:gridCol w:w="5093"/>
        <w:gridCol w:w="1364"/>
        <w:gridCol w:w="2562"/>
      </w:tblGrid>
      <w:tr>
        <w:tblPrEx>
          <w:tblLayout w:type="fixed"/>
          <w:tblCellMar>
            <w:top w:w="0" w:type="dxa"/>
            <w:left w:w="108" w:type="dxa"/>
            <w:bottom w:w="0" w:type="dxa"/>
            <w:right w:w="108" w:type="dxa"/>
          </w:tblCellMar>
        </w:tblPrEx>
        <w:trPr>
          <w:trHeight w:val="28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auto"/>
                <w:kern w:val="0"/>
                <w:sz w:val="22"/>
                <w:szCs w:val="22"/>
                <w:highlight w:val="none"/>
              </w:rPr>
            </w:pPr>
            <w:r>
              <w:rPr>
                <w:rFonts w:hint="eastAsia" w:cs="宋体" w:asciiTheme="minorEastAsia" w:hAnsiTheme="minorEastAsia" w:eastAsiaTheme="minorEastAsia"/>
                <w:b/>
                <w:bCs/>
                <w:color w:val="auto"/>
                <w:kern w:val="0"/>
                <w:sz w:val="22"/>
                <w:szCs w:val="22"/>
                <w:highlight w:val="none"/>
              </w:rPr>
              <w:t>序号</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auto"/>
                <w:kern w:val="0"/>
                <w:sz w:val="22"/>
                <w:szCs w:val="22"/>
                <w:highlight w:val="none"/>
              </w:rPr>
            </w:pPr>
            <w:r>
              <w:rPr>
                <w:rFonts w:hint="eastAsia" w:cs="宋体" w:asciiTheme="minorEastAsia" w:hAnsiTheme="minorEastAsia" w:eastAsiaTheme="minorEastAsia"/>
                <w:b/>
                <w:bCs/>
                <w:color w:val="auto"/>
                <w:kern w:val="0"/>
                <w:sz w:val="22"/>
                <w:szCs w:val="22"/>
                <w:highlight w:val="none"/>
              </w:rPr>
              <w:t>岗位</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auto"/>
                <w:kern w:val="0"/>
                <w:sz w:val="22"/>
                <w:szCs w:val="22"/>
                <w:highlight w:val="none"/>
              </w:rPr>
            </w:pPr>
            <w:r>
              <w:rPr>
                <w:rFonts w:hint="eastAsia" w:cs="宋体" w:asciiTheme="minorEastAsia" w:hAnsiTheme="minorEastAsia" w:eastAsiaTheme="minorEastAsia"/>
                <w:b/>
                <w:bCs/>
                <w:color w:val="auto"/>
                <w:kern w:val="0"/>
                <w:sz w:val="22"/>
                <w:szCs w:val="22"/>
                <w:highlight w:val="none"/>
              </w:rPr>
              <w:t>数量</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b/>
                <w:bCs/>
                <w:color w:val="auto"/>
                <w:kern w:val="0"/>
                <w:sz w:val="22"/>
                <w:szCs w:val="22"/>
                <w:highlight w:val="none"/>
              </w:rPr>
            </w:pPr>
            <w:r>
              <w:rPr>
                <w:rFonts w:hint="eastAsia" w:cs="宋体" w:asciiTheme="minorEastAsia" w:hAnsiTheme="minorEastAsia" w:eastAsiaTheme="minorEastAsia"/>
                <w:b/>
                <w:bCs/>
                <w:color w:val="auto"/>
                <w:kern w:val="0"/>
                <w:sz w:val="22"/>
                <w:szCs w:val="22"/>
                <w:highlight w:val="none"/>
              </w:rPr>
              <w:t>备注</w:t>
            </w:r>
          </w:p>
        </w:tc>
      </w:tr>
      <w:tr>
        <w:tblPrEx>
          <w:tblLayout w:type="fixed"/>
          <w:tblCellMar>
            <w:top w:w="0" w:type="dxa"/>
            <w:left w:w="108" w:type="dxa"/>
            <w:bottom w:w="0" w:type="dxa"/>
            <w:right w:w="108" w:type="dxa"/>
          </w:tblCellMar>
        </w:tblPrEx>
        <w:trPr>
          <w:trHeight w:val="285" w:hRule="atLeast"/>
        </w:trPr>
        <w:tc>
          <w:tcPr>
            <w:tcW w:w="83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w:t>
            </w:r>
          </w:p>
        </w:tc>
        <w:tc>
          <w:tcPr>
            <w:tcW w:w="509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管理人员</w:t>
            </w:r>
          </w:p>
        </w:tc>
        <w:tc>
          <w:tcPr>
            <w:tcW w:w="136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w:t>
            </w:r>
          </w:p>
        </w:tc>
        <w:tc>
          <w:tcPr>
            <w:tcW w:w="256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trHeight w:val="425" w:hRule="atLeast"/>
        </w:trPr>
        <w:tc>
          <w:tcPr>
            <w:tcW w:w="83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w:t>
            </w:r>
          </w:p>
        </w:tc>
        <w:tc>
          <w:tcPr>
            <w:tcW w:w="509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物流配送员</w:t>
            </w:r>
          </w:p>
        </w:tc>
        <w:tc>
          <w:tcPr>
            <w:tcW w:w="136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9</w:t>
            </w:r>
          </w:p>
        </w:tc>
        <w:tc>
          <w:tcPr>
            <w:tcW w:w="256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日班</w:t>
            </w:r>
            <w:r>
              <w:rPr>
                <w:rFonts w:cs="宋体" w:asciiTheme="minorEastAsia" w:hAnsiTheme="minorEastAsia" w:eastAsiaTheme="minorEastAsia"/>
                <w:color w:val="auto"/>
                <w:kern w:val="0"/>
                <w:sz w:val="22"/>
                <w:szCs w:val="22"/>
                <w:highlight w:val="none"/>
              </w:rPr>
              <w:t>6</w:t>
            </w:r>
            <w:r>
              <w:rPr>
                <w:rFonts w:hint="eastAsia" w:cs="宋体" w:asciiTheme="minorEastAsia" w:hAnsiTheme="minorEastAsia" w:eastAsiaTheme="minorEastAsia"/>
                <w:color w:val="auto"/>
                <w:kern w:val="0"/>
                <w:sz w:val="22"/>
                <w:szCs w:val="22"/>
                <w:highlight w:val="none"/>
              </w:rPr>
              <w:t>名，中夜班</w:t>
            </w:r>
            <w:r>
              <w:rPr>
                <w:rFonts w:cs="宋体" w:asciiTheme="minorEastAsia" w:hAnsiTheme="minorEastAsia" w:eastAsiaTheme="minorEastAsia"/>
                <w:color w:val="auto"/>
                <w:kern w:val="0"/>
                <w:sz w:val="22"/>
                <w:szCs w:val="22"/>
                <w:highlight w:val="none"/>
              </w:rPr>
              <w:t>2</w:t>
            </w:r>
            <w:r>
              <w:rPr>
                <w:rFonts w:hint="eastAsia" w:cs="宋体" w:asciiTheme="minorEastAsia" w:hAnsiTheme="minorEastAsia" w:eastAsiaTheme="minorEastAsia"/>
                <w:color w:val="auto"/>
                <w:kern w:val="0"/>
                <w:sz w:val="22"/>
                <w:szCs w:val="22"/>
                <w:highlight w:val="none"/>
              </w:rPr>
              <w:t>名，轮班1名</w:t>
            </w:r>
          </w:p>
        </w:tc>
      </w:tr>
      <w:tr>
        <w:tblPrEx>
          <w:tblLayout w:type="fixed"/>
          <w:tblCellMar>
            <w:top w:w="0" w:type="dxa"/>
            <w:left w:w="108" w:type="dxa"/>
            <w:bottom w:w="0" w:type="dxa"/>
            <w:right w:w="108" w:type="dxa"/>
          </w:tblCellMar>
        </w:tblPrEx>
        <w:trPr>
          <w:trHeight w:val="172" w:hRule="atLeast"/>
        </w:trPr>
        <w:tc>
          <w:tcPr>
            <w:tcW w:w="83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3</w:t>
            </w:r>
          </w:p>
        </w:tc>
        <w:tc>
          <w:tcPr>
            <w:tcW w:w="50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地巾、布巾洗涤员</w:t>
            </w:r>
          </w:p>
        </w:tc>
        <w:tc>
          <w:tcPr>
            <w:tcW w:w="136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w:t>
            </w:r>
          </w:p>
        </w:tc>
        <w:tc>
          <w:tcPr>
            <w:tcW w:w="256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trHeight w:val="317"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4</w:t>
            </w:r>
          </w:p>
        </w:tc>
        <w:tc>
          <w:tcPr>
            <w:tcW w:w="509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低温洗消员</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日班</w:t>
            </w:r>
          </w:p>
        </w:tc>
      </w:tr>
      <w:tr>
        <w:tblPrEx>
          <w:tblLayout w:type="fixed"/>
          <w:tblCellMar>
            <w:top w:w="0" w:type="dxa"/>
            <w:left w:w="108" w:type="dxa"/>
            <w:bottom w:w="0" w:type="dxa"/>
            <w:right w:w="108" w:type="dxa"/>
          </w:tblCellMar>
        </w:tblPrEx>
        <w:trPr>
          <w:trHeight w:val="285" w:hRule="atLeast"/>
        </w:trPr>
        <w:tc>
          <w:tcPr>
            <w:tcW w:w="5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合计</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w:t>
            </w:r>
            <w:r>
              <w:rPr>
                <w:rFonts w:cs="宋体" w:asciiTheme="minorEastAsia" w:hAnsiTheme="minorEastAsia" w:eastAsiaTheme="minorEastAsia"/>
                <w:color w:val="auto"/>
                <w:kern w:val="0"/>
                <w:sz w:val="22"/>
                <w:szCs w:val="22"/>
                <w:highlight w:val="none"/>
              </w:rPr>
              <w:t>2</w:t>
            </w:r>
          </w:p>
        </w:tc>
      </w:tr>
    </w:tbl>
    <w:p>
      <w:pPr>
        <w:pStyle w:val="2"/>
        <w:ind w:firstLine="221"/>
        <w:rPr>
          <w:rFonts w:cs="新宋体" w:asciiTheme="minorEastAsia" w:hAnsiTheme="minorEastAsia" w:eastAsiaTheme="minorEastAsia"/>
          <w:b/>
          <w:snapToGrid w:val="0"/>
          <w:color w:val="auto"/>
          <w:kern w:val="0"/>
          <w:sz w:val="22"/>
          <w:szCs w:val="22"/>
          <w:highlight w:val="none"/>
          <w:u w:val="single"/>
        </w:rPr>
      </w:pPr>
    </w:p>
    <w:p>
      <w:pPr>
        <w:pStyle w:val="2"/>
        <w:ind w:firstLine="221"/>
        <w:rPr>
          <w:rFonts w:cs="新宋体" w:asciiTheme="minorEastAsia" w:hAnsiTheme="minorEastAsia" w:eastAsiaTheme="minorEastAsia"/>
          <w:b/>
          <w:snapToGrid w:val="0"/>
          <w:color w:val="auto"/>
          <w:kern w:val="0"/>
          <w:sz w:val="22"/>
          <w:szCs w:val="22"/>
          <w:highlight w:val="none"/>
          <w:u w:val="single"/>
        </w:rPr>
      </w:pPr>
      <w:r>
        <w:rPr>
          <w:rFonts w:hint="eastAsia" w:cs="新宋体" w:asciiTheme="minorEastAsia" w:hAnsiTheme="minorEastAsia" w:eastAsiaTheme="minorEastAsia"/>
          <w:b/>
          <w:snapToGrid w:val="0"/>
          <w:color w:val="auto"/>
          <w:kern w:val="0"/>
          <w:sz w:val="22"/>
          <w:szCs w:val="22"/>
          <w:highlight w:val="none"/>
          <w:u w:val="single"/>
        </w:rPr>
        <w:t>1</w:t>
      </w:r>
      <w:r>
        <w:rPr>
          <w:rFonts w:cs="新宋体" w:asciiTheme="minorEastAsia" w:hAnsiTheme="minorEastAsia" w:eastAsiaTheme="minorEastAsia"/>
          <w:b/>
          <w:snapToGrid w:val="0"/>
          <w:color w:val="auto"/>
          <w:kern w:val="0"/>
          <w:sz w:val="22"/>
          <w:szCs w:val="22"/>
          <w:highlight w:val="none"/>
          <w:u w:val="single"/>
        </w:rPr>
        <w:t>.5</w:t>
      </w:r>
      <w:r>
        <w:rPr>
          <w:rFonts w:hint="eastAsia" w:cs="新宋体" w:asciiTheme="minorEastAsia" w:hAnsiTheme="minorEastAsia" w:eastAsiaTheme="minorEastAsia"/>
          <w:b/>
          <w:snapToGrid w:val="0"/>
          <w:color w:val="auto"/>
          <w:kern w:val="0"/>
          <w:sz w:val="22"/>
          <w:szCs w:val="22"/>
          <w:highlight w:val="none"/>
          <w:u w:val="single"/>
        </w:rPr>
        <w:t>疫情管控人员配备表</w:t>
      </w:r>
    </w:p>
    <w:tbl>
      <w:tblPr>
        <w:tblStyle w:val="4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5093"/>
        <w:gridCol w:w="1364"/>
        <w:gridCol w:w="2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5" w:type="dxa"/>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序号</w:t>
            </w:r>
          </w:p>
        </w:tc>
        <w:tc>
          <w:tcPr>
            <w:tcW w:w="5093" w:type="dxa"/>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岗位</w:t>
            </w:r>
          </w:p>
        </w:tc>
        <w:tc>
          <w:tcPr>
            <w:tcW w:w="1364" w:type="dxa"/>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数量</w:t>
            </w:r>
          </w:p>
        </w:tc>
        <w:tc>
          <w:tcPr>
            <w:tcW w:w="2562" w:type="dxa"/>
            <w:shd w:val="clear" w:color="auto" w:fill="auto"/>
            <w:vAlign w:val="center"/>
          </w:tcPr>
          <w:p>
            <w:pPr>
              <w:widowControl/>
              <w:jc w:val="center"/>
              <w:rPr>
                <w:rFonts w:cs="宋体" w:asciiTheme="minorEastAsia" w:hAnsiTheme="minorEastAsia" w:eastAsiaTheme="minorEastAsia"/>
                <w:b/>
                <w:bCs/>
                <w:color w:val="auto"/>
                <w:kern w:val="0"/>
                <w:sz w:val="22"/>
                <w:szCs w:val="22"/>
                <w:highlight w:val="none"/>
              </w:rPr>
            </w:pPr>
            <w:r>
              <w:rPr>
                <w:rFonts w:hint="eastAsia" w:cs="宋体" w:asciiTheme="minorEastAsia" w:hAnsiTheme="minorEastAsia" w:eastAsiaTheme="minorEastAsia"/>
                <w:b/>
                <w:bCs/>
                <w:color w:val="auto"/>
                <w:kern w:val="0"/>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5" w:type="dxa"/>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1</w:t>
            </w:r>
          </w:p>
        </w:tc>
        <w:tc>
          <w:tcPr>
            <w:tcW w:w="5093" w:type="dxa"/>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疫情管控员</w:t>
            </w:r>
          </w:p>
        </w:tc>
        <w:tc>
          <w:tcPr>
            <w:tcW w:w="1364" w:type="dxa"/>
            <w:shd w:val="clear" w:color="auto" w:fill="auto"/>
            <w:vAlign w:val="center"/>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25</w:t>
            </w:r>
          </w:p>
        </w:tc>
        <w:tc>
          <w:tcPr>
            <w:tcW w:w="2562" w:type="dxa"/>
            <w:shd w:val="clear" w:color="auto" w:fill="auto"/>
          </w:tcPr>
          <w:p>
            <w:pPr>
              <w:widowControl/>
              <w:jc w:val="center"/>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根据医院疫情防控规定排班，按实际到岗人员支付费用</w:t>
            </w:r>
          </w:p>
        </w:tc>
      </w:tr>
    </w:tbl>
    <w:p>
      <w:pPr>
        <w:pStyle w:val="2"/>
        <w:ind w:firstLine="221"/>
        <w:rPr>
          <w:rFonts w:cs="新宋体" w:asciiTheme="minorEastAsia" w:hAnsiTheme="minorEastAsia" w:eastAsiaTheme="minorEastAsia"/>
          <w:b/>
          <w:snapToGrid w:val="0"/>
          <w:color w:val="auto"/>
          <w:kern w:val="0"/>
          <w:sz w:val="22"/>
          <w:szCs w:val="22"/>
          <w:highlight w:val="none"/>
          <w:u w:val="single"/>
        </w:rPr>
      </w:pPr>
    </w:p>
    <w:p>
      <w:pPr>
        <w:spacing w:line="340" w:lineRule="exact"/>
        <w:rPr>
          <w:rFonts w:cs="新宋体" w:asciiTheme="minorEastAsia" w:hAnsiTheme="minorEastAsia" w:eastAsiaTheme="minorEastAsia"/>
          <w:b/>
          <w:snapToGrid w:val="0"/>
          <w:color w:val="auto"/>
          <w:kern w:val="0"/>
          <w:sz w:val="22"/>
          <w:szCs w:val="22"/>
          <w:highlight w:val="none"/>
          <w:u w:val="single"/>
        </w:rPr>
      </w:pPr>
      <w:r>
        <w:rPr>
          <w:rFonts w:hint="eastAsia" w:cs="新宋体" w:asciiTheme="minorEastAsia" w:hAnsiTheme="minorEastAsia" w:eastAsiaTheme="minorEastAsia"/>
          <w:b/>
          <w:snapToGrid w:val="0"/>
          <w:color w:val="auto"/>
          <w:kern w:val="0"/>
          <w:sz w:val="22"/>
          <w:szCs w:val="22"/>
          <w:highlight w:val="none"/>
          <w:u w:val="single"/>
        </w:rPr>
        <w:t>注：</w:t>
      </w:r>
    </w:p>
    <w:p>
      <w:pPr>
        <w:spacing w:line="340" w:lineRule="exact"/>
        <w:rPr>
          <w:rFonts w:cs="新宋体" w:asciiTheme="minorEastAsia" w:hAnsiTheme="minorEastAsia" w:eastAsiaTheme="minorEastAsia"/>
          <w:b/>
          <w:snapToGrid w:val="0"/>
          <w:color w:val="auto"/>
          <w:kern w:val="0"/>
          <w:sz w:val="22"/>
          <w:szCs w:val="22"/>
          <w:highlight w:val="none"/>
          <w:u w:val="single"/>
        </w:rPr>
      </w:pPr>
      <w:r>
        <w:rPr>
          <w:rFonts w:hint="eastAsia" w:cs="新宋体" w:asciiTheme="minorEastAsia" w:hAnsiTheme="minorEastAsia" w:eastAsiaTheme="minorEastAsia"/>
          <w:b/>
          <w:snapToGrid w:val="0"/>
          <w:color w:val="auto"/>
          <w:kern w:val="0"/>
          <w:sz w:val="22"/>
          <w:szCs w:val="22"/>
          <w:highlight w:val="none"/>
          <w:u w:val="single"/>
        </w:rPr>
        <w:t>1、生活垃圾袋、拖把等消耗品由中标人提供。</w:t>
      </w:r>
    </w:p>
    <w:p>
      <w:pPr>
        <w:spacing w:line="340" w:lineRule="exact"/>
        <w:rPr>
          <w:rFonts w:cs="新宋体" w:asciiTheme="minorEastAsia" w:hAnsiTheme="minorEastAsia" w:eastAsiaTheme="minorEastAsia"/>
          <w:b/>
          <w:snapToGrid w:val="0"/>
          <w:color w:val="auto"/>
          <w:kern w:val="0"/>
          <w:sz w:val="22"/>
          <w:szCs w:val="22"/>
          <w:highlight w:val="none"/>
          <w:u w:val="single"/>
        </w:rPr>
      </w:pPr>
      <w:r>
        <w:rPr>
          <w:rFonts w:cs="新宋体" w:asciiTheme="minorEastAsia" w:hAnsiTheme="minorEastAsia" w:eastAsiaTheme="minorEastAsia"/>
          <w:b/>
          <w:snapToGrid w:val="0"/>
          <w:color w:val="auto"/>
          <w:kern w:val="0"/>
          <w:sz w:val="22"/>
          <w:szCs w:val="22"/>
          <w:highlight w:val="none"/>
          <w:u w:val="single"/>
        </w:rPr>
        <w:t>2</w:t>
      </w:r>
      <w:r>
        <w:rPr>
          <w:rFonts w:hint="eastAsia" w:cs="新宋体" w:asciiTheme="minorEastAsia" w:hAnsiTheme="minorEastAsia" w:eastAsiaTheme="minorEastAsia"/>
          <w:b/>
          <w:snapToGrid w:val="0"/>
          <w:color w:val="auto"/>
          <w:kern w:val="0"/>
          <w:sz w:val="22"/>
          <w:szCs w:val="22"/>
          <w:highlight w:val="none"/>
          <w:u w:val="single"/>
        </w:rPr>
        <w:t>、疫情管控人员按实际到岗人数支付费用，根据国家防疫变化要求，采购人有权调整或取消该项服务。</w:t>
      </w:r>
    </w:p>
    <w:p>
      <w:pPr>
        <w:spacing w:line="340" w:lineRule="exact"/>
        <w:rPr>
          <w:rFonts w:cs="新宋体" w:asciiTheme="minorEastAsia" w:hAnsiTheme="minorEastAsia" w:eastAsiaTheme="minorEastAsia"/>
          <w:b/>
          <w:snapToGrid w:val="0"/>
          <w:color w:val="auto"/>
          <w:kern w:val="0"/>
          <w:sz w:val="22"/>
          <w:szCs w:val="22"/>
          <w:highlight w:val="none"/>
          <w:u w:val="single"/>
        </w:rPr>
      </w:pPr>
      <w:r>
        <w:rPr>
          <w:rFonts w:cs="新宋体" w:asciiTheme="minorEastAsia" w:hAnsiTheme="minorEastAsia" w:eastAsiaTheme="minorEastAsia"/>
          <w:b/>
          <w:snapToGrid w:val="0"/>
          <w:color w:val="auto"/>
          <w:kern w:val="0"/>
          <w:sz w:val="22"/>
          <w:szCs w:val="22"/>
          <w:highlight w:val="none"/>
          <w:u w:val="single"/>
        </w:rPr>
        <w:t>3</w:t>
      </w:r>
      <w:r>
        <w:rPr>
          <w:rFonts w:hint="eastAsia" w:cs="新宋体" w:asciiTheme="minorEastAsia" w:hAnsiTheme="minorEastAsia" w:eastAsiaTheme="minorEastAsia"/>
          <w:b/>
          <w:snapToGrid w:val="0"/>
          <w:color w:val="auto"/>
          <w:kern w:val="0"/>
          <w:sz w:val="22"/>
          <w:szCs w:val="22"/>
          <w:highlight w:val="none"/>
          <w:u w:val="single"/>
        </w:rPr>
        <w:t>、上述人员配备为基本配备要求，投标人可根据医院实际情况，在满足基本配备要求的基础上，另行优化，最终优化方案须经采购人批准后实施。因方案优化原因，需另行增加相关管理人员及服务人员的，相关费用由投标人自行承担。</w:t>
      </w:r>
    </w:p>
    <w:p>
      <w:pPr>
        <w:pStyle w:val="2"/>
        <w:ind w:firstLine="220"/>
        <w:rPr>
          <w:rFonts w:asciiTheme="minorEastAsia" w:hAnsiTheme="minorEastAsia" w:eastAsiaTheme="minorEastAsia"/>
          <w:color w:val="auto"/>
          <w:sz w:val="22"/>
          <w:szCs w:val="22"/>
          <w:highlight w:val="none"/>
        </w:rPr>
      </w:pPr>
    </w:p>
    <w:p>
      <w:p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2. 有关技术标准及规范等都应符合下列最新版本的国家标准/规范要求。（不限于此）</w:t>
      </w:r>
    </w:p>
    <w:p>
      <w:pPr>
        <w:tabs>
          <w:tab w:val="left" w:pos="72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2.1 《医院消毒技术规范》</w:t>
      </w:r>
    </w:p>
    <w:p>
      <w:pPr>
        <w:tabs>
          <w:tab w:val="left" w:pos="72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2.2 《医院消毒卫生标准》GB15982-1995</w:t>
      </w:r>
    </w:p>
    <w:p>
      <w:pPr>
        <w:tabs>
          <w:tab w:val="left" w:pos="72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2.3 《污水排放标准》</w:t>
      </w:r>
    </w:p>
    <w:p>
      <w:pPr>
        <w:tabs>
          <w:tab w:val="left" w:pos="720"/>
        </w:tabs>
        <w:spacing w:line="340" w:lineRule="exact"/>
        <w:rPr>
          <w:rFonts w:cs="新宋体" w:asciiTheme="minorEastAsia" w:hAnsiTheme="minorEastAsia" w:eastAsiaTheme="minorEastAsia"/>
          <w:bCs/>
          <w:color w:val="auto"/>
          <w:sz w:val="22"/>
          <w:szCs w:val="22"/>
          <w:highlight w:val="none"/>
        </w:rPr>
      </w:pPr>
      <w:r>
        <w:rPr>
          <w:rFonts w:hint="eastAsia" w:cs="新宋体" w:asciiTheme="minorEastAsia" w:hAnsiTheme="minorEastAsia" w:eastAsiaTheme="minorEastAsia"/>
          <w:snapToGrid w:val="0"/>
          <w:color w:val="auto"/>
          <w:kern w:val="0"/>
          <w:sz w:val="22"/>
          <w:szCs w:val="22"/>
          <w:highlight w:val="none"/>
        </w:rPr>
        <w:t>2.4 《医院感染管理规范（试行）》</w:t>
      </w:r>
    </w:p>
    <w:p>
      <w:pPr>
        <w:tabs>
          <w:tab w:val="left" w:pos="720"/>
        </w:tabs>
        <w:spacing w:line="340" w:lineRule="exact"/>
        <w:rPr>
          <w:rFonts w:cs="新宋体" w:asciiTheme="minorEastAsia" w:hAnsiTheme="minorEastAsia" w:eastAsiaTheme="minorEastAsia"/>
          <w:bCs/>
          <w:color w:val="auto"/>
          <w:sz w:val="22"/>
          <w:szCs w:val="22"/>
          <w:highlight w:val="none"/>
        </w:rPr>
      </w:pPr>
      <w:r>
        <w:rPr>
          <w:rFonts w:hint="eastAsia" w:cs="新宋体" w:asciiTheme="minorEastAsia" w:hAnsiTheme="minorEastAsia" w:eastAsiaTheme="minorEastAsia"/>
          <w:snapToGrid w:val="0"/>
          <w:color w:val="auto"/>
          <w:kern w:val="0"/>
          <w:sz w:val="22"/>
          <w:szCs w:val="22"/>
          <w:highlight w:val="none"/>
        </w:rPr>
        <w:t>2.5 《医疗废物管理条例》</w:t>
      </w:r>
    </w:p>
    <w:p>
      <w:pPr>
        <w:pStyle w:val="39"/>
        <w:jc w:val="both"/>
        <w:rPr>
          <w:rFonts w:cs="新宋体" w:asciiTheme="minorEastAsia" w:hAnsiTheme="minorEastAsia" w:eastAsiaTheme="minorEastAsia"/>
          <w:color w:val="auto"/>
          <w:sz w:val="22"/>
          <w:szCs w:val="22"/>
          <w:highlight w:val="none"/>
        </w:rPr>
      </w:pPr>
    </w:p>
    <w:p>
      <w:pPr>
        <w:pStyle w:val="39"/>
        <w:rPr>
          <w:rFonts w:ascii="宋体" w:hAnsi="宋体" w:cs="新宋体"/>
          <w:color w:val="auto"/>
          <w:sz w:val="22"/>
          <w:szCs w:val="22"/>
          <w:highlight w:val="none"/>
        </w:rPr>
      </w:pPr>
      <w:bookmarkStart w:id="21" w:name="_Toc13421819"/>
      <w:bookmarkStart w:id="22" w:name="_Toc11954"/>
      <w:r>
        <w:rPr>
          <w:rFonts w:hint="eastAsia" w:ascii="宋体" w:hAnsi="宋体" w:cs="新宋体"/>
          <w:color w:val="auto"/>
          <w:sz w:val="22"/>
          <w:szCs w:val="22"/>
          <w:highlight w:val="none"/>
        </w:rPr>
        <w:t>二、工作标准及要求</w:t>
      </w:r>
      <w:bookmarkEnd w:id="21"/>
      <w:bookmarkEnd w:id="22"/>
    </w:p>
    <w:p>
      <w:pPr>
        <w:numPr>
          <w:ilvl w:val="0"/>
          <w:numId w:val="1"/>
        </w:num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保洁要求</w:t>
      </w:r>
    </w:p>
    <w:p>
      <w:pPr>
        <w:numPr>
          <w:ilvl w:val="2"/>
          <w:numId w:val="1"/>
        </w:num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投标人应根据医院各科室的特点，对院内所有大楼及周围环境提供24小时的室内外清洁服务，使其拥有一个整洁、舒适、安静、安全的诊治环境，同时针对医院的特殊环境及各个不同的服务区域制定防止交叉感染、消毒隔离制度和工作标准、作业流程。规范医疗区、办公区的保洁工作，确保卫生良好、环境整洁，符合相关保洁、消毒标准。另外，配合做好预防与隐蔽性和活动性虫害，如白蚁、消杀老鼠、蟑螂、蚊子、苍蝇等。</w:t>
      </w:r>
    </w:p>
    <w:p>
      <w:pPr>
        <w:numPr>
          <w:ilvl w:val="0"/>
          <w:numId w:val="1"/>
        </w:num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保洁服务工作内容</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服务内容：病房、电梯厅、通道、楼梯、卫生间、开水间、配餐房、办公室、护士站、医护值班室及其他用房地面、墙面、天花板、门窗玻璃、门及门窗框，墙壁附体、办公家具、设备，普通机器（如空调表面及过滤网、电梯表面及沟槽、电视机等，下同）、病床、床头柜、设备带、储衣柜、椅、凳等表面，病区推车去线条上油及规定的消毒要求，及医技科室（消毒任务不多的科室）等必须严格按消毒要求清洁。</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办公用房服务内容：办公室、楼道、楼梯、卫生间及其他用房地面、墙面、天花板、门窗玻璃、门及门窗框，墙壁附体、办公家具、设备（包括电脑、打印机、传真机等），桌面简单整理，烟缸倒灰等。</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公共场所服务内容：水泥、大理石、花岗岩、水磨石地面、扶手、垃圾桶、门窗玻璃、门及门窗框、幕玻璃，附体、候诊椅、桌子、各类宣传牌、橱窗及有关附体，天花板、栏杆、绿化区域等。</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后勤保障用房服务内容：地面、墙面、天花板、门窗玻璃、门及门窗框、墙壁附体，办公家具表面、普通机器设备表面（无特殊要求的）。</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顶篷、露天阳台等边缘区域，包括各幢楼的顶楼、露天阳台、边角区域等服务内容：沟槽、地面、雨篷及边角区域，各种附体的表面。</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保障及医疗等设施类务内容：一般机器表面清洁（院方有特殊规定的机器除外），消防设施、空调的过滤网际外壳洗尘与保洁。</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推车轮上油服务内容：医疗区域推车轮去线条及上油。</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窗帘及各类治疗桌服务内容：根据窗帘清洁情况定时拆装清洗，治疗桌擦拭、消毒，包括床单更换及清点（考虑门诊室）</w:t>
      </w:r>
      <w:r>
        <w:rPr>
          <w:rFonts w:hint="eastAsia" w:cs="新宋体" w:asciiTheme="minorEastAsia" w:hAnsiTheme="minorEastAsia" w:eastAsiaTheme="minorEastAsia"/>
          <w:snapToGrid w:val="0"/>
          <w:color w:val="auto"/>
          <w:kern w:val="0"/>
          <w:sz w:val="22"/>
          <w:szCs w:val="22"/>
          <w:highlight w:val="none"/>
          <w:lang w:eastAsia="zh-CN"/>
        </w:rPr>
        <w:t>。</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垃圾清运服务内容：各类垃圾运到规定的地方，再将垃圾从本院运到垃圾转运站，其中病区、卫生间无堆积垃圾。对专用器具进行维护，垃圾处理费用由医院承担。</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医院感管方面的擦拭服务内容：如医院感管方面的服务内容发生变化，公司要完成将发生变化的内容（医院不另支付费用）</w:t>
      </w:r>
      <w:r>
        <w:rPr>
          <w:rFonts w:hint="eastAsia" w:cs="新宋体" w:asciiTheme="minorEastAsia" w:hAnsiTheme="minorEastAsia" w:eastAsiaTheme="minorEastAsia"/>
          <w:snapToGrid w:val="0"/>
          <w:color w:val="auto"/>
          <w:kern w:val="0"/>
          <w:sz w:val="22"/>
          <w:szCs w:val="22"/>
          <w:highlight w:val="none"/>
          <w:lang w:eastAsia="zh-CN"/>
        </w:rPr>
        <w:t>。</w:t>
      </w:r>
    </w:p>
    <w:p>
      <w:pPr>
        <w:numPr>
          <w:ilvl w:val="0"/>
          <w:numId w:val="1"/>
        </w:num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保洁标准</w:t>
      </w:r>
    </w:p>
    <w:tbl>
      <w:tblPr>
        <w:tblStyle w:val="41"/>
        <w:tblW w:w="966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9"/>
        <w:gridCol w:w="1787"/>
        <w:gridCol w:w="3132"/>
        <w:gridCol w:w="2145"/>
        <w:gridCol w:w="16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tcPr>
          <w:p>
            <w:pPr>
              <w:pStyle w:val="23"/>
              <w:tabs>
                <w:tab w:val="left" w:pos="0"/>
                <w:tab w:val="left" w:pos="540"/>
              </w:tabs>
              <w:snapToGrid w:val="0"/>
              <w:rPr>
                <w:rFonts w:cs="新宋体" w:asciiTheme="minorEastAsia" w:hAnsiTheme="minorEastAsia" w:eastAsiaTheme="minorEastAsia"/>
                <w:b/>
                <w:snapToGrid w:val="0"/>
                <w:color w:val="auto"/>
                <w:sz w:val="22"/>
                <w:szCs w:val="22"/>
                <w:highlight w:val="none"/>
              </w:rPr>
            </w:pPr>
            <w:r>
              <w:rPr>
                <w:rFonts w:hint="eastAsia" w:cs="新宋体" w:asciiTheme="minorEastAsia" w:hAnsiTheme="minorEastAsia" w:eastAsiaTheme="minorEastAsia"/>
                <w:b/>
                <w:snapToGrid w:val="0"/>
                <w:color w:val="auto"/>
                <w:sz w:val="22"/>
                <w:szCs w:val="22"/>
                <w:highlight w:val="none"/>
              </w:rPr>
              <w:t>区  域</w:t>
            </w:r>
          </w:p>
        </w:tc>
        <w:tc>
          <w:tcPr>
            <w:tcW w:w="1787" w:type="dxa"/>
          </w:tcPr>
          <w:p>
            <w:pPr>
              <w:pStyle w:val="23"/>
              <w:tabs>
                <w:tab w:val="left" w:pos="0"/>
                <w:tab w:val="left" w:pos="540"/>
              </w:tabs>
              <w:snapToGrid w:val="0"/>
              <w:jc w:val="center"/>
              <w:rPr>
                <w:rFonts w:cs="新宋体" w:asciiTheme="minorEastAsia" w:hAnsiTheme="minorEastAsia" w:eastAsiaTheme="minorEastAsia"/>
                <w:b/>
                <w:snapToGrid w:val="0"/>
                <w:color w:val="auto"/>
                <w:sz w:val="22"/>
                <w:szCs w:val="22"/>
                <w:highlight w:val="none"/>
              </w:rPr>
            </w:pPr>
            <w:r>
              <w:rPr>
                <w:rFonts w:hint="eastAsia" w:cs="新宋体" w:asciiTheme="minorEastAsia" w:hAnsiTheme="minorEastAsia" w:eastAsiaTheme="minorEastAsia"/>
                <w:b/>
                <w:snapToGrid w:val="0"/>
                <w:color w:val="auto"/>
                <w:sz w:val="22"/>
                <w:szCs w:val="22"/>
                <w:highlight w:val="none"/>
              </w:rPr>
              <w:t>保洁频率</w:t>
            </w:r>
          </w:p>
        </w:tc>
        <w:tc>
          <w:tcPr>
            <w:tcW w:w="3132" w:type="dxa"/>
          </w:tcPr>
          <w:p>
            <w:pPr>
              <w:pStyle w:val="23"/>
              <w:tabs>
                <w:tab w:val="left" w:pos="0"/>
                <w:tab w:val="left" w:pos="540"/>
              </w:tabs>
              <w:snapToGrid w:val="0"/>
              <w:jc w:val="center"/>
              <w:rPr>
                <w:rFonts w:cs="新宋体" w:asciiTheme="minorEastAsia" w:hAnsiTheme="minorEastAsia" w:eastAsiaTheme="minorEastAsia"/>
                <w:b/>
                <w:snapToGrid w:val="0"/>
                <w:color w:val="auto"/>
                <w:sz w:val="22"/>
                <w:szCs w:val="22"/>
                <w:highlight w:val="none"/>
              </w:rPr>
            </w:pPr>
            <w:r>
              <w:rPr>
                <w:rFonts w:hint="eastAsia" w:cs="新宋体" w:asciiTheme="minorEastAsia" w:hAnsiTheme="minorEastAsia" w:eastAsiaTheme="minorEastAsia"/>
                <w:b/>
                <w:snapToGrid w:val="0"/>
                <w:color w:val="auto"/>
                <w:sz w:val="22"/>
                <w:szCs w:val="22"/>
                <w:highlight w:val="none"/>
              </w:rPr>
              <w:t>保 洁 内 容</w:t>
            </w:r>
          </w:p>
        </w:tc>
        <w:tc>
          <w:tcPr>
            <w:tcW w:w="2145" w:type="dxa"/>
          </w:tcPr>
          <w:p>
            <w:pPr>
              <w:pStyle w:val="23"/>
              <w:tabs>
                <w:tab w:val="left" w:pos="0"/>
                <w:tab w:val="left" w:pos="540"/>
              </w:tabs>
              <w:snapToGrid w:val="0"/>
              <w:jc w:val="center"/>
              <w:rPr>
                <w:rFonts w:cs="新宋体" w:asciiTheme="minorEastAsia" w:hAnsiTheme="minorEastAsia" w:eastAsiaTheme="minorEastAsia"/>
                <w:b/>
                <w:snapToGrid w:val="0"/>
                <w:color w:val="auto"/>
                <w:sz w:val="22"/>
                <w:szCs w:val="22"/>
                <w:highlight w:val="none"/>
              </w:rPr>
            </w:pPr>
            <w:r>
              <w:rPr>
                <w:rFonts w:hint="eastAsia" w:cs="新宋体" w:asciiTheme="minorEastAsia" w:hAnsiTheme="minorEastAsia" w:eastAsiaTheme="minorEastAsia"/>
                <w:b/>
                <w:snapToGrid w:val="0"/>
                <w:color w:val="auto"/>
                <w:sz w:val="22"/>
                <w:szCs w:val="22"/>
                <w:highlight w:val="none"/>
              </w:rPr>
              <w:t>保 洁 要 求</w:t>
            </w:r>
          </w:p>
        </w:tc>
        <w:tc>
          <w:tcPr>
            <w:tcW w:w="1695" w:type="dxa"/>
          </w:tcPr>
          <w:p>
            <w:pPr>
              <w:pStyle w:val="23"/>
              <w:tabs>
                <w:tab w:val="left" w:pos="0"/>
                <w:tab w:val="left" w:pos="540"/>
              </w:tabs>
              <w:snapToGrid w:val="0"/>
              <w:jc w:val="center"/>
              <w:rPr>
                <w:rFonts w:cs="新宋体" w:asciiTheme="minorEastAsia" w:hAnsiTheme="minorEastAsia" w:eastAsiaTheme="minorEastAsia"/>
                <w:b/>
                <w:snapToGrid w:val="0"/>
                <w:color w:val="auto"/>
                <w:sz w:val="22"/>
                <w:szCs w:val="22"/>
                <w:highlight w:val="none"/>
              </w:rPr>
            </w:pPr>
            <w:r>
              <w:rPr>
                <w:rFonts w:hint="eastAsia" w:cs="新宋体" w:asciiTheme="minorEastAsia" w:hAnsiTheme="minorEastAsia" w:eastAsiaTheme="minorEastAsia"/>
                <w:b/>
                <w:snapToGrid w:val="0"/>
                <w:color w:val="auto"/>
                <w:sz w:val="22"/>
                <w:szCs w:val="22"/>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地面</w:t>
            </w:r>
          </w:p>
        </w:tc>
        <w:tc>
          <w:tcPr>
            <w:tcW w:w="1787" w:type="dxa"/>
            <w:vAlign w:val="center"/>
          </w:tcPr>
          <w:p>
            <w:pPr>
              <w:pStyle w:val="23"/>
              <w:tabs>
                <w:tab w:val="left" w:pos="432"/>
                <w:tab w:val="left" w:pos="792"/>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地面每日清扫三次，每月清洗一次，有垃圾及时清理</w:t>
            </w:r>
          </w:p>
        </w:tc>
        <w:tc>
          <w:tcPr>
            <w:tcW w:w="3132" w:type="dxa"/>
            <w:vAlign w:val="center"/>
          </w:tcPr>
          <w:p>
            <w:pPr>
              <w:pStyle w:val="23"/>
              <w:tabs>
                <w:tab w:val="left" w:pos="0"/>
                <w:tab w:val="left" w:pos="72"/>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每日用全能清洁剂1：128稀释溶液拖地每日不少于三次。其中一次消毒液拖地。</w:t>
            </w:r>
          </w:p>
        </w:tc>
        <w:tc>
          <w:tcPr>
            <w:tcW w:w="2145" w:type="dxa"/>
            <w:vAlign w:val="center"/>
          </w:tcPr>
          <w:p>
            <w:pPr>
              <w:pStyle w:val="23"/>
              <w:tabs>
                <w:tab w:val="left" w:pos="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地面无污渍、无痰迹、无垃圾、无积灰、无脚印，干净明亮</w:t>
            </w:r>
          </w:p>
        </w:tc>
        <w:tc>
          <w:tcPr>
            <w:tcW w:w="1695" w:type="dxa"/>
            <w:vAlign w:val="center"/>
          </w:tcPr>
          <w:p>
            <w:pPr>
              <w:pStyle w:val="23"/>
              <w:tabs>
                <w:tab w:val="left" w:pos="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PVC地板、花岗岩、抛光砖等地面按规定时间上蜡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墙面</w:t>
            </w:r>
          </w:p>
        </w:tc>
        <w:tc>
          <w:tcPr>
            <w:tcW w:w="1787"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每日保洁</w:t>
            </w:r>
          </w:p>
        </w:tc>
        <w:tc>
          <w:tcPr>
            <w:tcW w:w="3132" w:type="dxa"/>
            <w:vAlign w:val="center"/>
          </w:tcPr>
          <w:p>
            <w:pPr>
              <w:pStyle w:val="23"/>
              <w:tabs>
                <w:tab w:val="left" w:pos="0"/>
                <w:tab w:val="left" w:pos="72"/>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3米以下每日清洁</w:t>
            </w:r>
          </w:p>
        </w:tc>
        <w:tc>
          <w:tcPr>
            <w:tcW w:w="2145" w:type="dxa"/>
            <w:vAlign w:val="center"/>
          </w:tcPr>
          <w:p>
            <w:pPr>
              <w:pStyle w:val="23"/>
              <w:tabs>
                <w:tab w:val="left" w:pos="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无污渍、无水迹、无浮灰、无蜘蛛网</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走廊扶手</w:t>
            </w: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每日保洁</w:t>
            </w:r>
          </w:p>
        </w:tc>
        <w:tc>
          <w:tcPr>
            <w:tcW w:w="3132" w:type="dxa"/>
            <w:vAlign w:val="center"/>
          </w:tcPr>
          <w:p>
            <w:pPr>
              <w:pStyle w:val="23"/>
              <w:tabs>
                <w:tab w:val="left" w:pos="0"/>
                <w:tab w:val="left" w:pos="72"/>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每日用全能清洁剂1：64稀释溶液清洁，每日用消毒液1：50檫洗一次</w:t>
            </w:r>
          </w:p>
        </w:tc>
        <w:tc>
          <w:tcPr>
            <w:tcW w:w="2145" w:type="dxa"/>
            <w:vAlign w:val="center"/>
          </w:tcPr>
          <w:p>
            <w:pPr>
              <w:pStyle w:val="23"/>
              <w:tabs>
                <w:tab w:val="left" w:pos="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无污渍、无浮灰、无水迹、无烟蒂</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玻璃</w:t>
            </w: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每周保洁</w:t>
            </w:r>
          </w:p>
        </w:tc>
        <w:tc>
          <w:tcPr>
            <w:tcW w:w="3132" w:type="dxa"/>
            <w:vAlign w:val="center"/>
          </w:tcPr>
          <w:p>
            <w:pPr>
              <w:pStyle w:val="23"/>
              <w:tabs>
                <w:tab w:val="left" w:pos="0"/>
                <w:tab w:val="left" w:pos="72"/>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用玻璃清洁剂1：65稀释溶液清洁玻璃，每周一次，室内玻璃循环清洁</w:t>
            </w:r>
          </w:p>
        </w:tc>
        <w:tc>
          <w:tcPr>
            <w:tcW w:w="2145" w:type="dxa"/>
            <w:vAlign w:val="center"/>
          </w:tcPr>
          <w:p>
            <w:pPr>
              <w:tabs>
                <w:tab w:val="left" w:pos="0"/>
              </w:tabs>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玻璃明亮光洁，无污渍、无水迹</w:t>
            </w:r>
          </w:p>
        </w:tc>
        <w:tc>
          <w:tcPr>
            <w:tcW w:w="1695" w:type="dxa"/>
            <w:vAlign w:val="center"/>
          </w:tcPr>
          <w:p>
            <w:pPr>
              <w:pStyle w:val="23"/>
              <w:tabs>
                <w:tab w:val="left" w:pos="0"/>
                <w:tab w:val="left" w:pos="72"/>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根据实际情况安排各房间循环清洁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卫生间</w:t>
            </w: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坐便器随时保洁</w:t>
            </w:r>
          </w:p>
        </w:tc>
        <w:tc>
          <w:tcPr>
            <w:tcW w:w="3132" w:type="dxa"/>
            <w:vAlign w:val="center"/>
          </w:tcPr>
          <w:p>
            <w:pPr>
              <w:pStyle w:val="23"/>
              <w:numPr>
                <w:ilvl w:val="0"/>
                <w:numId w:val="2"/>
              </w:numPr>
              <w:tabs>
                <w:tab w:val="left" w:pos="0"/>
                <w:tab w:val="left" w:pos="540"/>
              </w:tabs>
              <w:snapToGrid w:val="0"/>
              <w:ind w:left="0" w:firstLine="0"/>
              <w:jc w:val="both"/>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打开换气扇或窗户进行通风。</w:t>
            </w:r>
          </w:p>
          <w:p>
            <w:pPr>
              <w:pStyle w:val="23"/>
              <w:numPr>
                <w:ilvl w:val="0"/>
                <w:numId w:val="2"/>
              </w:numPr>
              <w:tabs>
                <w:tab w:val="left" w:pos="0"/>
                <w:tab w:val="left" w:pos="540"/>
              </w:tabs>
              <w:snapToGrid w:val="0"/>
              <w:ind w:left="0" w:firstLine="0"/>
              <w:jc w:val="both"/>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台盆、便器等放水冲洗。</w:t>
            </w:r>
          </w:p>
          <w:p>
            <w:pPr>
              <w:pStyle w:val="23"/>
              <w:numPr>
                <w:ilvl w:val="0"/>
                <w:numId w:val="2"/>
              </w:numPr>
              <w:tabs>
                <w:tab w:val="left" w:pos="0"/>
                <w:tab w:val="left" w:pos="540"/>
              </w:tabs>
              <w:snapToGrid w:val="0"/>
              <w:ind w:left="0" w:firstLine="0"/>
              <w:jc w:val="both"/>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收集垃圾、清洁垃圾桶、换新垃圾袋。</w:t>
            </w:r>
          </w:p>
          <w:p>
            <w:pPr>
              <w:pStyle w:val="23"/>
              <w:numPr>
                <w:ilvl w:val="0"/>
                <w:numId w:val="2"/>
              </w:numPr>
              <w:tabs>
                <w:tab w:val="left" w:pos="0"/>
                <w:tab w:val="left" w:pos="540"/>
              </w:tabs>
              <w:snapToGrid w:val="0"/>
              <w:ind w:left="0" w:firstLine="0"/>
              <w:jc w:val="both"/>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清洗台盆及水龙头。</w:t>
            </w:r>
          </w:p>
          <w:p>
            <w:pPr>
              <w:pStyle w:val="23"/>
              <w:numPr>
                <w:ilvl w:val="0"/>
                <w:numId w:val="2"/>
              </w:numPr>
              <w:tabs>
                <w:tab w:val="left" w:pos="0"/>
                <w:tab w:val="left" w:pos="540"/>
              </w:tabs>
              <w:snapToGrid w:val="0"/>
              <w:ind w:left="0" w:firstLine="0"/>
              <w:jc w:val="both"/>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用洁厕消毒液清洗便器并冲洗。</w:t>
            </w:r>
          </w:p>
          <w:p>
            <w:pPr>
              <w:pStyle w:val="23"/>
              <w:numPr>
                <w:ilvl w:val="0"/>
                <w:numId w:val="2"/>
              </w:numPr>
              <w:tabs>
                <w:tab w:val="left" w:pos="0"/>
                <w:tab w:val="left" w:pos="540"/>
              </w:tabs>
              <w:snapToGrid w:val="0"/>
              <w:ind w:left="0" w:firstLine="0"/>
              <w:jc w:val="both"/>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搽拭台面和墙面四周、门等。</w:t>
            </w:r>
          </w:p>
          <w:p>
            <w:pPr>
              <w:pStyle w:val="23"/>
              <w:numPr>
                <w:ilvl w:val="0"/>
                <w:numId w:val="2"/>
              </w:numPr>
              <w:tabs>
                <w:tab w:val="left" w:pos="0"/>
                <w:tab w:val="left" w:pos="540"/>
              </w:tabs>
              <w:snapToGrid w:val="0"/>
              <w:ind w:left="0" w:firstLine="0"/>
              <w:jc w:val="both"/>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搽拭地面。</w:t>
            </w:r>
          </w:p>
          <w:p>
            <w:pPr>
              <w:pStyle w:val="23"/>
              <w:numPr>
                <w:ilvl w:val="0"/>
                <w:numId w:val="2"/>
              </w:numPr>
              <w:tabs>
                <w:tab w:val="left" w:pos="0"/>
                <w:tab w:val="left" w:pos="540"/>
              </w:tabs>
              <w:snapToGrid w:val="0"/>
              <w:ind w:left="0" w:firstLine="0"/>
              <w:jc w:val="both"/>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点上盘香。</w:t>
            </w:r>
          </w:p>
          <w:p>
            <w:pPr>
              <w:pStyle w:val="23"/>
              <w:numPr>
                <w:ilvl w:val="0"/>
                <w:numId w:val="2"/>
              </w:numPr>
              <w:tabs>
                <w:tab w:val="left" w:pos="0"/>
                <w:tab w:val="left" w:pos="540"/>
              </w:tabs>
              <w:snapToGrid w:val="0"/>
              <w:ind w:left="0" w:firstLine="0"/>
              <w:jc w:val="both"/>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便器放置樟脑丸</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随时保持畅通，无漏水，无异味、无污垢，垃圾袋定时更换</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23" w:hRule="atLeast"/>
          <w:jc w:val="center"/>
        </w:trPr>
        <w:tc>
          <w:tcPr>
            <w:tcW w:w="909" w:type="dxa"/>
            <w:vMerge w:val="restart"/>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电梯</w:t>
            </w: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每日二次</w:t>
            </w:r>
          </w:p>
        </w:tc>
        <w:tc>
          <w:tcPr>
            <w:tcW w:w="3132" w:type="dxa"/>
            <w:vAlign w:val="center"/>
          </w:tcPr>
          <w:p>
            <w:pPr>
              <w:pStyle w:val="23"/>
              <w:tabs>
                <w:tab w:val="left" w:pos="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每日地面保洁，每日轿厢内消毒一次。</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无障碍、无划痕、无脱落；无灰尘、无污迹</w:t>
            </w:r>
          </w:p>
        </w:tc>
        <w:tc>
          <w:tcPr>
            <w:tcW w:w="1695" w:type="dxa"/>
            <w:vMerge w:val="restart"/>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85" w:hRule="atLeast"/>
          <w:jc w:val="center"/>
        </w:trPr>
        <w:tc>
          <w:tcPr>
            <w:tcW w:w="909" w:type="dxa"/>
            <w:vMerge w:val="continue"/>
            <w:vAlign w:val="center"/>
          </w:tcPr>
          <w:p>
            <w:pPr>
              <w:adjustRightInd w:val="0"/>
              <w:snapToGrid w:val="0"/>
              <w:rPr>
                <w:rFonts w:cs="新宋体" w:asciiTheme="minorEastAsia" w:hAnsiTheme="minorEastAsia" w:eastAsiaTheme="minorEastAsia"/>
                <w:snapToGrid w:val="0"/>
                <w:color w:val="auto"/>
                <w:kern w:val="0"/>
                <w:sz w:val="22"/>
                <w:szCs w:val="22"/>
                <w:highlight w:val="none"/>
              </w:rPr>
            </w:pP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每周一次</w:t>
            </w:r>
          </w:p>
        </w:tc>
        <w:tc>
          <w:tcPr>
            <w:tcW w:w="3132" w:type="dxa"/>
            <w:vAlign w:val="center"/>
          </w:tcPr>
          <w:p>
            <w:pPr>
              <w:pStyle w:val="23"/>
              <w:tabs>
                <w:tab w:val="left" w:pos="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不锈钢光亮剂全面保洁。</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均匀有光泽</w:t>
            </w:r>
          </w:p>
        </w:tc>
        <w:tc>
          <w:tcPr>
            <w:tcW w:w="1695" w:type="dxa"/>
            <w:vMerge w:val="continue"/>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公共设施</w:t>
            </w: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每日保洁</w:t>
            </w:r>
          </w:p>
        </w:tc>
        <w:tc>
          <w:tcPr>
            <w:tcW w:w="3132" w:type="dxa"/>
            <w:vAlign w:val="center"/>
          </w:tcPr>
          <w:p>
            <w:pPr>
              <w:pStyle w:val="23"/>
              <w:tabs>
                <w:tab w:val="left" w:pos="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每日用全能清洁剂1：64稀释溶液清洁一次。</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无污渍，无积灰、无蜘蛛网</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病人等候区</w:t>
            </w: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每日保洁</w:t>
            </w:r>
          </w:p>
        </w:tc>
        <w:tc>
          <w:tcPr>
            <w:tcW w:w="3132" w:type="dxa"/>
            <w:vAlign w:val="center"/>
          </w:tcPr>
          <w:p>
            <w:pPr>
              <w:pStyle w:val="23"/>
              <w:tabs>
                <w:tab w:val="left" w:pos="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等候椅每日用全能清洁剂1：64稀释溶液清洁，每日用施康1：50消毒一次。</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无垃圾、无浮灰、无烟蒂、无水迹</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诊察桌</w:t>
            </w: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每日一次</w:t>
            </w:r>
          </w:p>
        </w:tc>
        <w:tc>
          <w:tcPr>
            <w:tcW w:w="3132" w:type="dxa"/>
            <w:vAlign w:val="center"/>
          </w:tcPr>
          <w:p>
            <w:pPr>
              <w:pStyle w:val="23"/>
              <w:tabs>
                <w:tab w:val="left" w:pos="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每日1：50施康消毒搽拭一次。</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无积灰、无污渍</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909" w:type="dxa"/>
            <w:vMerge w:val="restart"/>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床单位</w:t>
            </w: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每日清洁一次</w:t>
            </w:r>
          </w:p>
        </w:tc>
        <w:tc>
          <w:tcPr>
            <w:tcW w:w="3132" w:type="dxa"/>
            <w:vAlign w:val="center"/>
          </w:tcPr>
          <w:p>
            <w:pPr>
              <w:pStyle w:val="23"/>
              <w:tabs>
                <w:tab w:val="left" w:pos="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每日用全能清洁剂1：64稀释溶液清洁一次</w:t>
            </w:r>
          </w:p>
        </w:tc>
        <w:tc>
          <w:tcPr>
            <w:tcW w:w="2145" w:type="dxa"/>
            <w:vMerge w:val="restart"/>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无灰</w:t>
            </w:r>
          </w:p>
        </w:tc>
        <w:tc>
          <w:tcPr>
            <w:tcW w:w="1695" w:type="dxa"/>
            <w:vMerge w:val="restart"/>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909" w:type="dxa"/>
            <w:vMerge w:val="continue"/>
            <w:vAlign w:val="center"/>
          </w:tcPr>
          <w:p>
            <w:pPr>
              <w:adjustRightInd w:val="0"/>
              <w:snapToGrid w:val="0"/>
              <w:rPr>
                <w:rFonts w:cs="新宋体" w:asciiTheme="minorEastAsia" w:hAnsiTheme="minorEastAsia" w:eastAsiaTheme="minorEastAsia"/>
                <w:snapToGrid w:val="0"/>
                <w:color w:val="auto"/>
                <w:kern w:val="0"/>
                <w:sz w:val="22"/>
                <w:szCs w:val="22"/>
                <w:highlight w:val="none"/>
              </w:rPr>
            </w:pP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出院后终末消毒</w:t>
            </w:r>
          </w:p>
        </w:tc>
        <w:tc>
          <w:tcPr>
            <w:tcW w:w="3132" w:type="dxa"/>
            <w:vAlign w:val="center"/>
          </w:tcPr>
          <w:p>
            <w:pPr>
              <w:pStyle w:val="23"/>
              <w:tabs>
                <w:tab w:val="left" w:pos="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用1：50施康搽拭床栏、床头柜、床档、凳子。</w:t>
            </w:r>
          </w:p>
        </w:tc>
        <w:tc>
          <w:tcPr>
            <w:tcW w:w="2145" w:type="dxa"/>
            <w:vMerge w:val="continue"/>
            <w:vAlign w:val="center"/>
          </w:tcPr>
          <w:p>
            <w:pPr>
              <w:adjustRightInd w:val="0"/>
              <w:snapToGrid w:val="0"/>
              <w:rPr>
                <w:rFonts w:cs="新宋体" w:asciiTheme="minorEastAsia" w:hAnsiTheme="minorEastAsia" w:eastAsiaTheme="minorEastAsia"/>
                <w:snapToGrid w:val="0"/>
                <w:color w:val="auto"/>
                <w:kern w:val="0"/>
                <w:sz w:val="22"/>
                <w:szCs w:val="22"/>
                <w:highlight w:val="none"/>
              </w:rPr>
            </w:pPr>
          </w:p>
        </w:tc>
        <w:tc>
          <w:tcPr>
            <w:tcW w:w="1695" w:type="dxa"/>
            <w:vMerge w:val="continue"/>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输液架</w:t>
            </w: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每日一次</w:t>
            </w:r>
          </w:p>
        </w:tc>
        <w:tc>
          <w:tcPr>
            <w:tcW w:w="3132" w:type="dxa"/>
            <w:vAlign w:val="center"/>
          </w:tcPr>
          <w:p>
            <w:pPr>
              <w:pStyle w:val="23"/>
              <w:tabs>
                <w:tab w:val="left" w:pos="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每日用全能清洁剂1：64稀释溶液清洁一次</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无灰</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推车</w:t>
            </w: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每日搽拭</w:t>
            </w:r>
          </w:p>
        </w:tc>
        <w:tc>
          <w:tcPr>
            <w:tcW w:w="3132" w:type="dxa"/>
            <w:vAlign w:val="center"/>
          </w:tcPr>
          <w:p>
            <w:pPr>
              <w:pStyle w:val="23"/>
              <w:tabs>
                <w:tab w:val="left" w:pos="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每周添加润滑油</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无结灰、无异响</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吸顶灯具</w:t>
            </w: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每周一次</w:t>
            </w:r>
          </w:p>
        </w:tc>
        <w:tc>
          <w:tcPr>
            <w:tcW w:w="3132" w:type="dxa"/>
            <w:vAlign w:val="center"/>
          </w:tcPr>
          <w:p>
            <w:pPr>
              <w:pStyle w:val="23"/>
              <w:tabs>
                <w:tab w:val="left" w:pos="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每日用全能清洁剂1：64稀释溶液清洁一次</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无灰</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787" w:hRule="atLeast"/>
          <w:jc w:val="center"/>
        </w:trPr>
        <w:tc>
          <w:tcPr>
            <w:tcW w:w="909"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室内公共区域</w:t>
            </w: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每日一次</w:t>
            </w:r>
          </w:p>
        </w:tc>
        <w:tc>
          <w:tcPr>
            <w:tcW w:w="3132" w:type="dxa"/>
            <w:vAlign w:val="center"/>
          </w:tcPr>
          <w:p>
            <w:pPr>
              <w:pStyle w:val="23"/>
              <w:numPr>
                <w:ilvl w:val="0"/>
                <w:numId w:val="3"/>
              </w:numPr>
              <w:tabs>
                <w:tab w:val="left" w:pos="0"/>
                <w:tab w:val="left" w:pos="540"/>
              </w:tabs>
              <w:snapToGrid w:val="0"/>
              <w:ind w:left="0" w:firstLine="0"/>
              <w:jc w:val="both"/>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收集垃圾、清洁垃圾桶、换新垃圾袋。</w:t>
            </w:r>
          </w:p>
          <w:p>
            <w:pPr>
              <w:pStyle w:val="23"/>
              <w:numPr>
                <w:ilvl w:val="0"/>
                <w:numId w:val="3"/>
              </w:numPr>
              <w:tabs>
                <w:tab w:val="left" w:pos="0"/>
                <w:tab w:val="left" w:pos="540"/>
              </w:tabs>
              <w:snapToGrid w:val="0"/>
              <w:ind w:left="0" w:firstLine="0"/>
              <w:jc w:val="both"/>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清扫地面垃圾。</w:t>
            </w:r>
          </w:p>
          <w:p>
            <w:pPr>
              <w:pStyle w:val="23"/>
              <w:numPr>
                <w:ilvl w:val="0"/>
                <w:numId w:val="3"/>
              </w:numPr>
              <w:tabs>
                <w:tab w:val="left" w:pos="0"/>
                <w:tab w:val="left" w:pos="540"/>
              </w:tabs>
              <w:snapToGrid w:val="0"/>
              <w:ind w:left="0" w:firstLine="0"/>
              <w:jc w:val="both"/>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拖</w:t>
            </w:r>
            <w:r>
              <w:rPr>
                <w:rFonts w:hint="eastAsia" w:cs="新宋体" w:asciiTheme="minorEastAsia" w:hAnsiTheme="minorEastAsia" w:eastAsiaTheme="minorEastAsia"/>
                <w:snapToGrid w:val="0"/>
                <w:color w:val="auto"/>
                <w:sz w:val="22"/>
                <w:szCs w:val="22"/>
                <w:highlight w:val="none"/>
                <w:lang w:val="en-US" w:eastAsia="zh-CN"/>
              </w:rPr>
              <w:t>洗</w:t>
            </w:r>
            <w:r>
              <w:rPr>
                <w:rFonts w:hint="eastAsia" w:cs="新宋体" w:asciiTheme="minorEastAsia" w:hAnsiTheme="minorEastAsia" w:eastAsiaTheme="minorEastAsia"/>
                <w:snapToGrid w:val="0"/>
                <w:color w:val="auto"/>
                <w:sz w:val="22"/>
                <w:szCs w:val="22"/>
                <w:highlight w:val="none"/>
              </w:rPr>
              <w:t>大厅、过道、走廊地面。</w:t>
            </w:r>
          </w:p>
          <w:p>
            <w:pPr>
              <w:pStyle w:val="23"/>
              <w:numPr>
                <w:ilvl w:val="0"/>
                <w:numId w:val="3"/>
              </w:numPr>
              <w:tabs>
                <w:tab w:val="left" w:pos="0"/>
                <w:tab w:val="left" w:pos="540"/>
              </w:tabs>
              <w:snapToGrid w:val="0"/>
              <w:ind w:left="0" w:firstLine="0"/>
              <w:jc w:val="both"/>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清洁户墙、厅柱、盆景。</w:t>
            </w:r>
          </w:p>
          <w:p>
            <w:pPr>
              <w:pStyle w:val="23"/>
              <w:numPr>
                <w:ilvl w:val="0"/>
                <w:numId w:val="3"/>
              </w:numPr>
              <w:tabs>
                <w:tab w:val="left" w:pos="0"/>
                <w:tab w:val="left" w:pos="540"/>
              </w:tabs>
              <w:snapToGrid w:val="0"/>
              <w:ind w:left="0" w:firstLine="0"/>
              <w:jc w:val="both"/>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搽拭窗台、窗框、木门。</w:t>
            </w:r>
          </w:p>
          <w:p>
            <w:pPr>
              <w:pStyle w:val="23"/>
              <w:numPr>
                <w:ilvl w:val="0"/>
                <w:numId w:val="3"/>
              </w:numPr>
              <w:tabs>
                <w:tab w:val="left" w:pos="0"/>
                <w:tab w:val="left" w:pos="540"/>
              </w:tabs>
              <w:snapToGrid w:val="0"/>
              <w:ind w:left="0" w:firstLine="0"/>
              <w:jc w:val="both"/>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搽拭楼梯扶手、拖楼梯地面。</w:t>
            </w:r>
          </w:p>
          <w:p>
            <w:pPr>
              <w:pStyle w:val="23"/>
              <w:numPr>
                <w:ilvl w:val="0"/>
                <w:numId w:val="3"/>
              </w:numPr>
              <w:tabs>
                <w:tab w:val="left" w:pos="0"/>
                <w:tab w:val="left" w:pos="540"/>
              </w:tabs>
              <w:snapToGrid w:val="0"/>
              <w:ind w:left="0" w:firstLine="0"/>
              <w:jc w:val="both"/>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清洁天花板及灯具。</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无垃圾、无浮灰、无烟蒂、无水迹</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8" w:hRule="atLeast"/>
          <w:jc w:val="center"/>
        </w:trPr>
        <w:tc>
          <w:tcPr>
            <w:tcW w:w="909"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办公桌椅、电话、电脑等室内设施</w:t>
            </w: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每日一次</w:t>
            </w:r>
          </w:p>
        </w:tc>
        <w:tc>
          <w:tcPr>
            <w:tcW w:w="3132" w:type="dxa"/>
            <w:vAlign w:val="center"/>
          </w:tcPr>
          <w:p>
            <w:pPr>
              <w:pStyle w:val="23"/>
              <w:tabs>
                <w:tab w:val="left" w:pos="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每日1：50施康消毒搽拭一次，烟灰缸倾倒清洗。</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无积灰、无污渍</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Merge w:val="restart"/>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外围及外环境</w:t>
            </w: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循环保洁；每日清扫一次</w:t>
            </w:r>
          </w:p>
        </w:tc>
        <w:tc>
          <w:tcPr>
            <w:tcW w:w="3132"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地面清扫、不定期冲洗</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干净、无杂物树叶、无污迹、无明显泥沙</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Merge w:val="continue"/>
            <w:vAlign w:val="center"/>
          </w:tcPr>
          <w:p>
            <w:pPr>
              <w:adjustRightInd w:val="0"/>
              <w:snapToGrid w:val="0"/>
              <w:rPr>
                <w:rFonts w:cs="新宋体" w:asciiTheme="minorEastAsia" w:hAnsiTheme="minorEastAsia" w:eastAsiaTheme="minorEastAsia"/>
                <w:snapToGrid w:val="0"/>
                <w:color w:val="auto"/>
                <w:kern w:val="0"/>
                <w:sz w:val="22"/>
                <w:szCs w:val="22"/>
                <w:highlight w:val="none"/>
              </w:rPr>
            </w:pP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循环保洁</w:t>
            </w:r>
          </w:p>
        </w:tc>
        <w:tc>
          <w:tcPr>
            <w:tcW w:w="3132"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绿化带清扫，收集垃圾</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干净、无杂物枯叶、无大石头</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Merge w:val="continue"/>
            <w:vAlign w:val="center"/>
          </w:tcPr>
          <w:p>
            <w:pPr>
              <w:adjustRightInd w:val="0"/>
              <w:snapToGrid w:val="0"/>
              <w:rPr>
                <w:rFonts w:cs="新宋体" w:asciiTheme="minorEastAsia" w:hAnsiTheme="minorEastAsia" w:eastAsiaTheme="minorEastAsia"/>
                <w:snapToGrid w:val="0"/>
                <w:color w:val="auto"/>
                <w:kern w:val="0"/>
                <w:sz w:val="22"/>
                <w:szCs w:val="22"/>
                <w:highlight w:val="none"/>
              </w:rPr>
            </w:pP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每日及时发现及时清理</w:t>
            </w:r>
          </w:p>
        </w:tc>
        <w:tc>
          <w:tcPr>
            <w:tcW w:w="3132" w:type="dxa"/>
            <w:vAlign w:val="center"/>
          </w:tcPr>
          <w:p>
            <w:pPr>
              <w:pStyle w:val="23"/>
              <w:tabs>
                <w:tab w:val="left" w:pos="0"/>
                <w:tab w:val="left" w:pos="72"/>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各类明沟、雨水井、排水井清洁堵塞物。</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干净、无杂物、排水通畅</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Merge w:val="continue"/>
            <w:vAlign w:val="center"/>
          </w:tcPr>
          <w:p>
            <w:pPr>
              <w:adjustRightInd w:val="0"/>
              <w:snapToGrid w:val="0"/>
              <w:rPr>
                <w:rFonts w:cs="新宋体" w:asciiTheme="minorEastAsia" w:hAnsiTheme="minorEastAsia" w:eastAsiaTheme="minorEastAsia"/>
                <w:snapToGrid w:val="0"/>
                <w:color w:val="auto"/>
                <w:kern w:val="0"/>
                <w:sz w:val="22"/>
                <w:szCs w:val="22"/>
                <w:highlight w:val="none"/>
              </w:rPr>
            </w:pP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每日保洁</w:t>
            </w:r>
          </w:p>
        </w:tc>
        <w:tc>
          <w:tcPr>
            <w:tcW w:w="3132" w:type="dxa"/>
            <w:vAlign w:val="center"/>
          </w:tcPr>
          <w:p>
            <w:pPr>
              <w:pStyle w:val="23"/>
              <w:tabs>
                <w:tab w:val="left" w:pos="0"/>
                <w:tab w:val="left" w:pos="72"/>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公共设施抹擦</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干净、无灰网</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Merge w:val="continue"/>
            <w:vAlign w:val="center"/>
          </w:tcPr>
          <w:p>
            <w:pPr>
              <w:adjustRightInd w:val="0"/>
              <w:snapToGrid w:val="0"/>
              <w:rPr>
                <w:rFonts w:cs="新宋体" w:asciiTheme="minorEastAsia" w:hAnsiTheme="minorEastAsia" w:eastAsiaTheme="minorEastAsia"/>
                <w:snapToGrid w:val="0"/>
                <w:color w:val="auto"/>
                <w:kern w:val="0"/>
                <w:sz w:val="22"/>
                <w:szCs w:val="22"/>
                <w:highlight w:val="none"/>
              </w:rPr>
            </w:pP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每日保洁</w:t>
            </w:r>
          </w:p>
        </w:tc>
        <w:tc>
          <w:tcPr>
            <w:tcW w:w="3132" w:type="dxa"/>
            <w:vAlign w:val="center"/>
          </w:tcPr>
          <w:p>
            <w:pPr>
              <w:pStyle w:val="23"/>
              <w:tabs>
                <w:tab w:val="left" w:pos="0"/>
                <w:tab w:val="left" w:pos="72"/>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花盆、垃圾桶抹擦、清倒</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干净、无积灰、无污迹、无杂物、无烟灰</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909"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顶篷、露天阳台等边缘区域</w:t>
            </w:r>
          </w:p>
        </w:tc>
        <w:tc>
          <w:tcPr>
            <w:tcW w:w="1787"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每日保洁</w:t>
            </w:r>
          </w:p>
        </w:tc>
        <w:tc>
          <w:tcPr>
            <w:tcW w:w="3132" w:type="dxa"/>
            <w:vAlign w:val="center"/>
          </w:tcPr>
          <w:p>
            <w:pPr>
              <w:pStyle w:val="23"/>
              <w:tabs>
                <w:tab w:val="left" w:pos="0"/>
                <w:tab w:val="left" w:pos="72"/>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沟槽、地面、篷面不定期清扫、冲洗，清洁堵塞物</w:t>
            </w:r>
          </w:p>
        </w:tc>
        <w:tc>
          <w:tcPr>
            <w:tcW w:w="2145" w:type="dxa"/>
            <w:vAlign w:val="center"/>
          </w:tcPr>
          <w:p>
            <w:pPr>
              <w:adjustRightInd w:val="0"/>
              <w:snapToGrid w:val="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沟槽无堵塞物，地面、篷面无污迹，无杂物堆放，边缘区域无蛛丝、脏物</w:t>
            </w:r>
          </w:p>
        </w:tc>
        <w:tc>
          <w:tcPr>
            <w:tcW w:w="1695" w:type="dxa"/>
            <w:vAlign w:val="center"/>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668" w:type="dxa"/>
            <w:gridSpan w:val="5"/>
          </w:tcPr>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随时清洁、循环清洁，保证区域内无垃圾等目视污物，整体干净明亮。</w:t>
            </w:r>
          </w:p>
          <w:p>
            <w:pPr>
              <w:pStyle w:val="23"/>
              <w:tabs>
                <w:tab w:val="left" w:pos="0"/>
                <w:tab w:val="left" w:pos="540"/>
              </w:tabs>
              <w:snapToGrid w:val="0"/>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保洁员在每天下班前半小时对各自承包区域进行自查，发现问题及时处理。</w:t>
            </w:r>
          </w:p>
        </w:tc>
      </w:tr>
    </w:tbl>
    <w:p>
      <w:pPr>
        <w:numPr>
          <w:ilvl w:val="0"/>
          <w:numId w:val="1"/>
        </w:numPr>
        <w:tabs>
          <w:tab w:val="left" w:pos="680"/>
        </w:tabs>
        <w:spacing w:line="340" w:lineRule="exact"/>
        <w:rPr>
          <w:rFonts w:cs="新宋体" w:asciiTheme="minorEastAsia" w:hAnsiTheme="minorEastAsia" w:eastAsiaTheme="minorEastAsia"/>
          <w:b/>
          <w:snapToGrid w:val="0"/>
          <w:color w:val="auto"/>
          <w:kern w:val="0"/>
          <w:sz w:val="22"/>
          <w:szCs w:val="22"/>
          <w:highlight w:val="none"/>
        </w:rPr>
      </w:pPr>
      <w:r>
        <w:rPr>
          <w:rFonts w:hint="eastAsia" w:cs="新宋体" w:asciiTheme="minorEastAsia" w:hAnsiTheme="minorEastAsia" w:eastAsiaTheme="minorEastAsia"/>
          <w:b/>
          <w:snapToGrid w:val="0"/>
          <w:color w:val="auto"/>
          <w:kern w:val="0"/>
          <w:sz w:val="22"/>
          <w:szCs w:val="22"/>
          <w:highlight w:val="none"/>
        </w:rPr>
        <w:t>保洁工作质量标准</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病房、分诊室、医技工作室、护士站等</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标准：整洁、舒适、安全、无灰、无明显污垢、无烟蒂，室内东西摆放整齐。</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医护办公室（包括教务室、学科中心、值班室等）</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标准：定时清毒、清洁明亮，干净无积灰、无烟蒂。</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开水间、洗涤室、配餐室</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标准：摆放整齐、无积水、干净无积灰、无烟蒂，开水器干净无锈斑。</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休息等候处</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标准：地面无垃圾杂物，候诊椅无灰、无渍、无烟蒂。</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会议室</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标准：家具摆放整齐、墙面、天花板无尘、无蛛网、无烟蒂。</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行政办公室</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标准：整体感觉整洁明亮，表面无积灰、无烟蒂。</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手术室及医技科室</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标准：无尘、无污迹、无烟蒂及手术室及医技科室应有专项要求。</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后勤保障用房</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标准：无积灰、无蛛网、无烟蒂。</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绿地、道路、地下通道、河道沿岸、地沟、顶篷、阳台及边缘区域</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标准：绿地与河道沿岸50平方米杂物不超过3个，室外20平方米内烟头不超过1个</w:t>
      </w:r>
      <w:r>
        <w:rPr>
          <w:rFonts w:hint="eastAsia" w:cs="新宋体" w:asciiTheme="minorEastAsia" w:hAnsiTheme="minorEastAsia" w:eastAsiaTheme="minorEastAsia"/>
          <w:snapToGrid w:val="0"/>
          <w:color w:val="auto"/>
          <w:kern w:val="0"/>
          <w:sz w:val="22"/>
          <w:szCs w:val="22"/>
          <w:highlight w:val="none"/>
          <w:lang w:eastAsia="zh-CN"/>
        </w:rPr>
        <w:t>；</w:t>
      </w:r>
      <w:r>
        <w:rPr>
          <w:rFonts w:hint="eastAsia" w:cs="新宋体" w:asciiTheme="minorEastAsia" w:hAnsiTheme="minorEastAsia" w:eastAsiaTheme="minorEastAsia"/>
          <w:snapToGrid w:val="0"/>
          <w:color w:val="auto"/>
          <w:kern w:val="0"/>
          <w:sz w:val="22"/>
          <w:szCs w:val="22"/>
          <w:highlight w:val="none"/>
        </w:rPr>
        <w:t>沟槽无阻塞物，地面或篷面无污迹及堆放的杂物、边缘区域无蛛丝、无烟蒂、脏物。</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地面</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标准：定时与不定时保洁，地面达到无废弃物、无污迹、无痰迹、地见光亮，要求打蜡的地板要发亮；外围地面无堆积物或废弃物，无积水、污物、砂石；外围绿化带内，无烟头、果壳、纸屑等污物。</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墙面</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标准：定时与不定时保洁，定时擦洗，无灰，石材、瓷砖表面光亮、无污迹；挂件表面无灰、整齐；外墙下沿无污迹。</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玻璃与门、窗及框</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标准：定时与不定时保洁，一般玻璃及窗框每周擦洗一次，门玻璃及其他特殊玻璃要每日一次；达到无污迹、清洁透明。</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天花板</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标准：每月一次擦拭，特殊情况及时清洁，无灰、无蛛丝，排风口、灯架无污迹、光亮。</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卫生间</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标准：定时与不定时保洁，马桶、洗手槽畅通、无漏水（如有要及时汇报）、无烟蒂，无异味，干净、清爽，瓷面无污迹。</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办公家具</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标准：办公桌椅、电话、电脑等室内设施表面无尘、简单的物品叠放、整理。</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垃圾、垃圾容器</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标准：定时与不定时清理各类垃圾，垃圾堆放在规定的地方，容器内不放过夜或超过3/4的垃圾，每天至少一次清洗或擦拭垃圾容器，按时更换垃圾袋。达到医疗垃圾管理要求：</w:t>
      </w:r>
    </w:p>
    <w:p>
      <w:pPr>
        <w:pStyle w:val="67"/>
        <w:numPr>
          <w:ilvl w:val="0"/>
          <w:numId w:val="5"/>
        </w:numPr>
        <w:tabs>
          <w:tab w:val="left" w:pos="1080"/>
          <w:tab w:val="left" w:pos="1418"/>
          <w:tab w:val="left" w:pos="1701"/>
          <w:tab w:val="clear" w:pos="2591"/>
        </w:tabs>
        <w:spacing w:line="360" w:lineRule="exact"/>
        <w:ind w:left="1276" w:firstLine="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专人管理暂存区，专人管理医疗垃圾处置的材料；</w:t>
      </w:r>
    </w:p>
    <w:p>
      <w:pPr>
        <w:pStyle w:val="67"/>
        <w:numPr>
          <w:ilvl w:val="0"/>
          <w:numId w:val="5"/>
        </w:numPr>
        <w:tabs>
          <w:tab w:val="left" w:pos="1080"/>
          <w:tab w:val="left" w:pos="1418"/>
          <w:tab w:val="left" w:pos="1701"/>
          <w:tab w:val="clear" w:pos="2591"/>
        </w:tabs>
        <w:spacing w:line="360" w:lineRule="exact"/>
        <w:ind w:left="1276" w:firstLine="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使用医疗废物专用车由专人负责运送；</w:t>
      </w:r>
    </w:p>
    <w:p>
      <w:pPr>
        <w:pStyle w:val="67"/>
        <w:numPr>
          <w:ilvl w:val="0"/>
          <w:numId w:val="5"/>
        </w:numPr>
        <w:tabs>
          <w:tab w:val="left" w:pos="1080"/>
          <w:tab w:val="left" w:pos="1418"/>
          <w:tab w:val="left" w:pos="1701"/>
          <w:tab w:val="clear" w:pos="2591"/>
        </w:tabs>
        <w:spacing w:line="360" w:lineRule="exact"/>
        <w:ind w:left="1276" w:firstLine="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熟悉医疗废物分类收集、运送、暂时贮存、处置流程；</w:t>
      </w:r>
    </w:p>
    <w:p>
      <w:pPr>
        <w:pStyle w:val="67"/>
        <w:numPr>
          <w:ilvl w:val="0"/>
          <w:numId w:val="5"/>
        </w:numPr>
        <w:tabs>
          <w:tab w:val="left" w:pos="1080"/>
          <w:tab w:val="left" w:pos="1418"/>
          <w:tab w:val="left" w:pos="1701"/>
          <w:tab w:val="clear" w:pos="2591"/>
        </w:tabs>
        <w:spacing w:line="360" w:lineRule="exact"/>
        <w:ind w:left="1276" w:firstLine="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职业卫生防护措施齐全并使用；</w:t>
      </w:r>
    </w:p>
    <w:p>
      <w:pPr>
        <w:pStyle w:val="67"/>
        <w:numPr>
          <w:ilvl w:val="0"/>
          <w:numId w:val="5"/>
        </w:numPr>
        <w:tabs>
          <w:tab w:val="left" w:pos="1080"/>
          <w:tab w:val="left" w:pos="1418"/>
          <w:tab w:val="left" w:pos="1701"/>
          <w:tab w:val="clear" w:pos="2591"/>
        </w:tabs>
        <w:spacing w:line="360" w:lineRule="exact"/>
        <w:ind w:left="1276" w:firstLine="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清洁和消毒医疗废物运送工具（每天2次）；</w:t>
      </w:r>
    </w:p>
    <w:p>
      <w:pPr>
        <w:pStyle w:val="67"/>
        <w:numPr>
          <w:ilvl w:val="0"/>
          <w:numId w:val="5"/>
        </w:numPr>
        <w:tabs>
          <w:tab w:val="left" w:pos="1080"/>
          <w:tab w:val="left" w:pos="1418"/>
          <w:tab w:val="left" w:pos="1701"/>
          <w:tab w:val="clear" w:pos="2591"/>
        </w:tabs>
        <w:spacing w:line="360" w:lineRule="exact"/>
        <w:ind w:left="1276" w:firstLine="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收集医疗废物，特殊科室需增加收集频率。</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PVC、石材上蜡</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标准：表面干净有蜡感，有一定光亮度；各科室病区、门诊、急诊、手术室PVC地板每星期保养一次，一季度打蜡一次。</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普通机器（无特殊要求的）</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标准：不损坏机器，表面无尘，光亮。</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保洁工具</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标准：摆放整齐、干净、整齐，无异味、发霉现象。</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警示牌及防滑地毯</w:t>
      </w:r>
    </w:p>
    <w:p>
      <w:pPr>
        <w:numPr>
          <w:ilvl w:val="2"/>
          <w:numId w:val="4"/>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标准：按规定放置及清洁。</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其它</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病房内、病床、床头柜、设备带等干净，做到一桌一巾，病人出院或死亡后应及时对床位进行消毒处理。</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所有保洁必须按有关要求进行</w:t>
      </w:r>
      <w:r>
        <w:rPr>
          <w:rFonts w:hint="eastAsia" w:cs="新宋体" w:asciiTheme="minorEastAsia" w:hAnsiTheme="minorEastAsia" w:eastAsiaTheme="minorEastAsia"/>
          <w:snapToGrid w:val="0"/>
          <w:color w:val="auto"/>
          <w:sz w:val="22"/>
          <w:szCs w:val="22"/>
          <w:highlight w:val="none"/>
          <w:lang w:eastAsia="zh-CN"/>
        </w:rPr>
        <w:t>。</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关好水源、电源、门窗。</w:t>
      </w:r>
    </w:p>
    <w:p>
      <w:pPr>
        <w:numPr>
          <w:ilvl w:val="0"/>
          <w:numId w:val="1"/>
        </w:numPr>
        <w:tabs>
          <w:tab w:val="left" w:pos="680"/>
        </w:tabs>
        <w:spacing w:line="340" w:lineRule="exact"/>
        <w:rPr>
          <w:rFonts w:cs="新宋体" w:asciiTheme="minorEastAsia" w:hAnsiTheme="minorEastAsia" w:eastAsiaTheme="minorEastAsia"/>
          <w:b/>
          <w:snapToGrid w:val="0"/>
          <w:color w:val="auto"/>
          <w:kern w:val="0"/>
          <w:sz w:val="22"/>
          <w:szCs w:val="22"/>
          <w:highlight w:val="none"/>
        </w:rPr>
      </w:pPr>
      <w:r>
        <w:rPr>
          <w:rFonts w:hint="eastAsia" w:cs="新宋体" w:asciiTheme="minorEastAsia" w:hAnsiTheme="minorEastAsia" w:eastAsiaTheme="minorEastAsia"/>
          <w:b/>
          <w:snapToGrid w:val="0"/>
          <w:color w:val="auto"/>
          <w:kern w:val="0"/>
          <w:sz w:val="22"/>
          <w:szCs w:val="22"/>
          <w:highlight w:val="none"/>
        </w:rPr>
        <w:t>运送工作标准</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标本运送</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戴一次性手套，使用不同标本类型的专用工具。</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核对标本数量与化验单上病人姓名、号码是否一致。</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运送员在工作记录本上登记，由发出和接收人员签名认可。</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若运送大量标本，运送地点不在同一科室，运送过程中要有人照看。</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药物运送</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不同药物使用专用工具。</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领玻璃容器装的药品要轻拿、轻放。</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反复核对药品种类、总数。</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运送员详细登记药物数量、种类，由发出和接收人员签名认可。</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若运送大量药物，运送目的地不在同一科室，运送过程中要有人照看。</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运送员不允许在领取药物的单据上擅自删改添加任何字句。</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文件运送</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带专用放文件的运送篮。</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反复清点文件的数量，运送员在工作记录本上登记，有发出和接收人员签名。</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运送员不允许在文件上擅自删改添加任何字句。</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运送文件时，正面向下，不要让他人看见病人资料。</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运送大量文件时，运送地点不在同一科室，运送过程中要有人照看。</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物品运送</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使用所要运送物品类型的工具。</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一般物品的运送由运送员在工作记录本上登记，有发出和接收人员签名。</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运送特殊物品，如贵重医疗机器等，要有足够人员，使用正确的搬运方法</w:t>
      </w:r>
      <w:r>
        <w:rPr>
          <w:rFonts w:hint="eastAsia" w:cs="新宋体" w:asciiTheme="minorEastAsia" w:hAnsiTheme="minorEastAsia" w:eastAsiaTheme="minorEastAsia"/>
          <w:snapToGrid w:val="0"/>
          <w:color w:val="auto"/>
          <w:sz w:val="22"/>
          <w:szCs w:val="22"/>
          <w:highlight w:val="none"/>
          <w:lang w:eastAsia="zh-CN"/>
        </w:rPr>
        <w:t>。</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主动询问发出人员，在运送过程中所要注意的事项，体积较大、较贵重的物品，运送过程中一直要有专人照看。</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盐水运送</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使用合适的运送工具。</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搬运整箱盐水时，注意安全，正确使用搬运方法。</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按具体服务要求，分类上架。</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反复核对数量，运送员记录登记，由发出和接收人员签字认可。</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抬举重物</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抓紧物品。</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站稳身体让体重均匀分配。</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膝盖弯曲，后背挺直。</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将物品靠近身体抱住。</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通过腿部肌肉将重物抬起。</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使用正常的步行步伐。</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确保行走路线上没有障碍，可以看见行走路线。</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将物品放在指定位置上。</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消毒包运送</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选择专用车辆，消毒包不宜</w:t>
      </w:r>
      <w:r>
        <w:rPr>
          <w:rFonts w:hint="eastAsia" w:cs="新宋体" w:asciiTheme="minorEastAsia" w:hAnsiTheme="minorEastAsia" w:eastAsiaTheme="minorEastAsia"/>
          <w:snapToGrid w:val="0"/>
          <w:color w:val="auto"/>
          <w:sz w:val="22"/>
          <w:szCs w:val="22"/>
          <w:highlight w:val="none"/>
          <w:lang w:val="en-US" w:eastAsia="zh-CN"/>
        </w:rPr>
        <w:t>被</w:t>
      </w:r>
      <w:r>
        <w:rPr>
          <w:rFonts w:hint="eastAsia" w:cs="新宋体" w:asciiTheme="minorEastAsia" w:hAnsiTheme="minorEastAsia" w:eastAsiaTheme="minorEastAsia"/>
          <w:snapToGrid w:val="0"/>
          <w:color w:val="auto"/>
          <w:sz w:val="22"/>
          <w:szCs w:val="22"/>
          <w:highlight w:val="none"/>
        </w:rPr>
        <w:t>空气污染。</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收发时，消毒包应是包扎好，有标牌和日期。</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清点并记录数量，有发出和接受人员签字认可。</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医疗垃圾的运送</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选择专用车辆，戴较厚的橡胶手套，一次性帽子、口罩。</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带好各种指定颜色的垃圾袋。</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按设计好的路线到指定地点收集，包括空盐水瓶、一次性针头、皮条，棉球等。</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在收集过程中，随时清理地面上遗漏的垃圾。</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使用污物电梯。</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收集到指定地点，根据具体要求结束收尾工作。</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病人轮椅运送</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使用已消毒的轮椅车，检查设备是否完好。</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拿到病人检查单核对姓名、床号、年龄是否吻合。</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发生医疗设备障碍物，请求医护人员帮助。</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将轮椅椅背与床位尾齐平，面向床头，翻起踏脚板，放下车闸，运送员站在轮椅背后，固定轮椅防前倾，扶助病人转移到轮椅上。</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嘱患者坐轮椅时，手扶轮椅车扶手，尽量靠后坐，勿前倾或自行下车。</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进门时，应以自己的背部把门推开，轮椅倒着进。</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推送时，不宜过快，转弯处应缓慢，防止病人眩晕。</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下斜坡时，减慢速度，轮椅车前端应适当翘起或倒退下坡。</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随时观察患者面色，有无疲劳及头晕不适等。</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病人平车运送</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使用已消毒的专用车辆，检查设备是否完好。</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拿到病人检查单核对姓名、床号、年龄是否吻合。</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发生医疗设备障碍，请求医护人员帮助。</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询问病人痛处，在搬运时注意不能过重。</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将病人转移到平车上，必要时盖好被单。</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翻好安全拦，推送时病人的头部靠自己的正面。</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出门时病人头部先出，以自己的背部把门推开。</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进门时，病人脚</w:t>
      </w:r>
      <w:r>
        <w:rPr>
          <w:rFonts w:hint="eastAsia" w:cs="新宋体" w:asciiTheme="minorEastAsia" w:hAnsiTheme="minorEastAsia" w:eastAsiaTheme="minorEastAsia"/>
          <w:snapToGrid w:val="0"/>
          <w:color w:val="auto"/>
          <w:sz w:val="22"/>
          <w:szCs w:val="22"/>
          <w:highlight w:val="none"/>
          <w:lang w:val="en-US" w:eastAsia="zh-CN"/>
        </w:rPr>
        <w:t>部</w:t>
      </w:r>
      <w:r>
        <w:rPr>
          <w:rFonts w:hint="eastAsia" w:cs="新宋体" w:asciiTheme="minorEastAsia" w:hAnsiTheme="minorEastAsia" w:eastAsiaTheme="minorEastAsia"/>
          <w:snapToGrid w:val="0"/>
          <w:color w:val="auto"/>
          <w:sz w:val="22"/>
          <w:szCs w:val="22"/>
          <w:highlight w:val="none"/>
        </w:rPr>
        <w:t>先进。</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随时观察患者面色，有无疲劳及头晕不适等。</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病人搬运</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挪动法</w:t>
      </w:r>
    </w:p>
    <w:p>
      <w:pPr>
        <w:widowControl/>
        <w:spacing w:line="360" w:lineRule="exact"/>
        <w:ind w:left="899" w:leftChars="428" w:firstLine="393" w:firstLineChars="179"/>
        <w:rPr>
          <w:rFonts w:cs="新宋体" w:asciiTheme="minorEastAsia" w:hAnsiTheme="minorEastAsia" w:eastAsiaTheme="minorEastAsia"/>
          <w:color w:val="auto"/>
          <w:kern w:val="0"/>
          <w:sz w:val="22"/>
          <w:szCs w:val="22"/>
          <w:highlight w:val="none"/>
        </w:rPr>
      </w:pPr>
      <w:r>
        <w:rPr>
          <w:rFonts w:hint="eastAsia" w:cs="新宋体" w:asciiTheme="minorEastAsia" w:hAnsiTheme="minorEastAsia" w:eastAsiaTheme="minorEastAsia"/>
          <w:color w:val="auto"/>
          <w:kern w:val="0"/>
          <w:sz w:val="22"/>
          <w:szCs w:val="22"/>
          <w:highlight w:val="none"/>
        </w:rPr>
        <w:t>a.病情许可，能在床上活动者可采用。</w:t>
      </w:r>
    </w:p>
    <w:p>
      <w:pPr>
        <w:widowControl/>
        <w:spacing w:line="360" w:lineRule="exact"/>
        <w:ind w:left="899" w:leftChars="428" w:firstLine="393" w:firstLineChars="179"/>
        <w:rPr>
          <w:rFonts w:cs="新宋体" w:asciiTheme="minorEastAsia" w:hAnsiTheme="minorEastAsia" w:eastAsiaTheme="minorEastAsia"/>
          <w:color w:val="auto"/>
          <w:kern w:val="0"/>
          <w:sz w:val="22"/>
          <w:szCs w:val="22"/>
          <w:highlight w:val="none"/>
        </w:rPr>
      </w:pPr>
      <w:r>
        <w:rPr>
          <w:rFonts w:hint="eastAsia" w:cs="新宋体" w:asciiTheme="minorEastAsia" w:hAnsiTheme="minorEastAsia" w:eastAsiaTheme="minorEastAsia"/>
          <w:color w:val="auto"/>
          <w:kern w:val="0"/>
          <w:sz w:val="22"/>
          <w:szCs w:val="22"/>
          <w:highlight w:val="none"/>
        </w:rPr>
        <w:t>b.移床边桌椅，推平车与床平行紧靠床边。</w:t>
      </w:r>
    </w:p>
    <w:p>
      <w:pPr>
        <w:widowControl/>
        <w:spacing w:line="360" w:lineRule="exact"/>
        <w:ind w:left="899" w:leftChars="428" w:firstLine="393" w:firstLineChars="179"/>
        <w:rPr>
          <w:rFonts w:cs="新宋体" w:asciiTheme="minorEastAsia" w:hAnsiTheme="minorEastAsia" w:eastAsiaTheme="minorEastAsia"/>
          <w:color w:val="auto"/>
          <w:kern w:val="0"/>
          <w:sz w:val="22"/>
          <w:szCs w:val="22"/>
          <w:highlight w:val="none"/>
        </w:rPr>
      </w:pPr>
      <w:r>
        <w:rPr>
          <w:rFonts w:hint="eastAsia" w:cs="新宋体" w:asciiTheme="minorEastAsia" w:hAnsiTheme="minorEastAsia" w:eastAsiaTheme="minorEastAsia"/>
          <w:color w:val="auto"/>
          <w:kern w:val="0"/>
          <w:sz w:val="22"/>
          <w:szCs w:val="22"/>
          <w:highlight w:val="none"/>
        </w:rPr>
        <w:t>c.搬运者抵住平车，并助患者将上身，臀部，下肢依次向平车挪动（回床时，先移下肢，后移上身）。</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中单搬运法</w:t>
      </w:r>
    </w:p>
    <w:p>
      <w:pPr>
        <w:widowControl/>
        <w:spacing w:line="360" w:lineRule="exact"/>
        <w:ind w:left="899" w:leftChars="428" w:firstLine="393" w:firstLineChars="179"/>
        <w:rPr>
          <w:rFonts w:cs="新宋体" w:asciiTheme="minorEastAsia" w:hAnsiTheme="minorEastAsia" w:eastAsiaTheme="minorEastAsia"/>
          <w:color w:val="auto"/>
          <w:kern w:val="0"/>
          <w:sz w:val="22"/>
          <w:szCs w:val="22"/>
          <w:highlight w:val="none"/>
        </w:rPr>
      </w:pPr>
      <w:r>
        <w:rPr>
          <w:rFonts w:hint="eastAsia" w:cs="新宋体" w:asciiTheme="minorEastAsia" w:hAnsiTheme="minorEastAsia" w:eastAsiaTheme="minorEastAsia"/>
          <w:color w:val="auto"/>
          <w:kern w:val="0"/>
          <w:sz w:val="22"/>
          <w:szCs w:val="22"/>
          <w:highlight w:val="none"/>
        </w:rPr>
        <w:t>a.适用患者体重较重，且不会挪动者。</w:t>
      </w:r>
    </w:p>
    <w:p>
      <w:pPr>
        <w:widowControl/>
        <w:spacing w:line="360" w:lineRule="exact"/>
        <w:ind w:left="899" w:leftChars="428" w:firstLine="393" w:firstLineChars="179"/>
        <w:rPr>
          <w:rFonts w:cs="新宋体" w:asciiTheme="minorEastAsia" w:hAnsiTheme="minorEastAsia" w:eastAsiaTheme="minorEastAsia"/>
          <w:color w:val="auto"/>
          <w:kern w:val="0"/>
          <w:sz w:val="22"/>
          <w:szCs w:val="22"/>
          <w:highlight w:val="none"/>
        </w:rPr>
      </w:pPr>
      <w:r>
        <w:rPr>
          <w:rFonts w:hint="eastAsia" w:cs="新宋体" w:asciiTheme="minorEastAsia" w:hAnsiTheme="minorEastAsia" w:eastAsiaTheme="minorEastAsia"/>
          <w:color w:val="auto"/>
          <w:kern w:val="0"/>
          <w:sz w:val="22"/>
          <w:szCs w:val="22"/>
          <w:highlight w:val="none"/>
        </w:rPr>
        <w:t>b.拆松中单两侧，同挪动法。</w:t>
      </w:r>
    </w:p>
    <w:p>
      <w:pPr>
        <w:widowControl/>
        <w:spacing w:line="360" w:lineRule="exact"/>
        <w:ind w:left="899" w:leftChars="428" w:firstLine="393" w:firstLineChars="179"/>
        <w:rPr>
          <w:rFonts w:cs="新宋体" w:asciiTheme="minorEastAsia" w:hAnsiTheme="minorEastAsia" w:eastAsiaTheme="minorEastAsia"/>
          <w:color w:val="auto"/>
          <w:kern w:val="0"/>
          <w:sz w:val="22"/>
          <w:szCs w:val="22"/>
          <w:highlight w:val="none"/>
        </w:rPr>
      </w:pPr>
      <w:r>
        <w:rPr>
          <w:rFonts w:hint="eastAsia" w:cs="新宋体" w:asciiTheme="minorEastAsia" w:hAnsiTheme="minorEastAsia" w:eastAsiaTheme="minorEastAsia"/>
          <w:color w:val="auto"/>
          <w:kern w:val="0"/>
          <w:sz w:val="22"/>
          <w:szCs w:val="22"/>
          <w:highlight w:val="none"/>
        </w:rPr>
        <w:t>c.甲乙两人站在平车边，丙站对侧床边，三人合力抬起中单，将患者移至车上。</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单人搬运法</w:t>
      </w:r>
    </w:p>
    <w:p>
      <w:pPr>
        <w:widowControl/>
        <w:spacing w:line="360" w:lineRule="exact"/>
        <w:ind w:left="899" w:leftChars="428" w:firstLine="393" w:firstLineChars="179"/>
        <w:rPr>
          <w:rFonts w:cs="新宋体" w:asciiTheme="minorEastAsia" w:hAnsiTheme="minorEastAsia" w:eastAsiaTheme="minorEastAsia"/>
          <w:color w:val="auto"/>
          <w:kern w:val="0"/>
          <w:sz w:val="22"/>
          <w:szCs w:val="22"/>
          <w:highlight w:val="none"/>
        </w:rPr>
      </w:pPr>
      <w:r>
        <w:rPr>
          <w:rFonts w:hint="eastAsia" w:cs="新宋体" w:asciiTheme="minorEastAsia" w:hAnsiTheme="minorEastAsia" w:eastAsiaTheme="minorEastAsia"/>
          <w:color w:val="auto"/>
          <w:kern w:val="0"/>
          <w:sz w:val="22"/>
          <w:szCs w:val="22"/>
          <w:highlight w:val="none"/>
        </w:rPr>
        <w:t>a.适用于病情许可，体重较轻者。</w:t>
      </w:r>
    </w:p>
    <w:p>
      <w:pPr>
        <w:widowControl/>
        <w:spacing w:line="360" w:lineRule="exact"/>
        <w:ind w:left="899" w:leftChars="428" w:firstLine="393" w:firstLineChars="179"/>
        <w:rPr>
          <w:rFonts w:cs="新宋体" w:asciiTheme="minorEastAsia" w:hAnsiTheme="minorEastAsia" w:eastAsiaTheme="minorEastAsia"/>
          <w:color w:val="auto"/>
          <w:kern w:val="0"/>
          <w:sz w:val="22"/>
          <w:szCs w:val="22"/>
          <w:highlight w:val="none"/>
        </w:rPr>
      </w:pPr>
      <w:r>
        <w:rPr>
          <w:rFonts w:hint="eastAsia" w:cs="新宋体" w:asciiTheme="minorEastAsia" w:hAnsiTheme="minorEastAsia" w:eastAsiaTheme="minorEastAsia"/>
          <w:color w:val="auto"/>
          <w:kern w:val="0"/>
          <w:sz w:val="22"/>
          <w:szCs w:val="22"/>
          <w:highlight w:val="none"/>
        </w:rPr>
        <w:t>b.移床边椅至对侧床尾，置平车端和床尾成钝角。</w:t>
      </w:r>
    </w:p>
    <w:p>
      <w:pPr>
        <w:widowControl/>
        <w:spacing w:line="360" w:lineRule="exact"/>
        <w:ind w:left="899" w:leftChars="428" w:firstLine="393" w:firstLineChars="179"/>
        <w:rPr>
          <w:rFonts w:cs="新宋体" w:asciiTheme="minorEastAsia" w:hAnsiTheme="minorEastAsia" w:eastAsiaTheme="minorEastAsia"/>
          <w:color w:val="auto"/>
          <w:kern w:val="0"/>
          <w:sz w:val="22"/>
          <w:szCs w:val="22"/>
          <w:highlight w:val="none"/>
        </w:rPr>
      </w:pPr>
      <w:r>
        <w:rPr>
          <w:rFonts w:hint="eastAsia" w:cs="新宋体" w:asciiTheme="minorEastAsia" w:hAnsiTheme="minorEastAsia" w:eastAsiaTheme="minorEastAsia"/>
          <w:color w:val="auto"/>
          <w:kern w:val="0"/>
          <w:sz w:val="22"/>
          <w:szCs w:val="22"/>
          <w:highlight w:val="none"/>
        </w:rPr>
        <w:t>c.搬运者一臂自患者腋下伸至肩外侧，另一臂伸入患者股下，嘱患者双臂交叉依附于搬运者颈部，并用力握住，搬运者抱起患者，轻放于平车上。</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多人搬运法</w:t>
      </w:r>
    </w:p>
    <w:p>
      <w:pPr>
        <w:widowControl/>
        <w:spacing w:line="360" w:lineRule="exact"/>
        <w:ind w:left="899" w:leftChars="428" w:firstLine="393" w:firstLineChars="179"/>
        <w:rPr>
          <w:rFonts w:cs="新宋体" w:asciiTheme="minorEastAsia" w:hAnsiTheme="minorEastAsia" w:eastAsiaTheme="minorEastAsia"/>
          <w:color w:val="auto"/>
          <w:kern w:val="0"/>
          <w:sz w:val="22"/>
          <w:szCs w:val="22"/>
          <w:highlight w:val="none"/>
        </w:rPr>
      </w:pPr>
      <w:r>
        <w:rPr>
          <w:rFonts w:hint="eastAsia" w:cs="新宋体" w:asciiTheme="minorEastAsia" w:hAnsiTheme="minorEastAsia" w:eastAsiaTheme="minorEastAsia"/>
          <w:color w:val="auto"/>
          <w:kern w:val="0"/>
          <w:sz w:val="22"/>
          <w:szCs w:val="22"/>
          <w:highlight w:val="none"/>
        </w:rPr>
        <w:t>a.适用于病情许可，体重较重者。</w:t>
      </w:r>
    </w:p>
    <w:p>
      <w:pPr>
        <w:widowControl/>
        <w:spacing w:line="360" w:lineRule="exact"/>
        <w:ind w:left="899" w:leftChars="428" w:firstLine="393" w:firstLineChars="179"/>
        <w:rPr>
          <w:rFonts w:cs="新宋体" w:asciiTheme="minorEastAsia" w:hAnsiTheme="minorEastAsia" w:eastAsiaTheme="minorEastAsia"/>
          <w:color w:val="auto"/>
          <w:kern w:val="0"/>
          <w:sz w:val="22"/>
          <w:szCs w:val="22"/>
          <w:highlight w:val="none"/>
        </w:rPr>
      </w:pPr>
      <w:r>
        <w:rPr>
          <w:rFonts w:hint="eastAsia" w:cs="新宋体" w:asciiTheme="minorEastAsia" w:hAnsiTheme="minorEastAsia" w:eastAsiaTheme="minorEastAsia"/>
          <w:color w:val="auto"/>
          <w:kern w:val="0"/>
          <w:sz w:val="22"/>
          <w:szCs w:val="22"/>
          <w:highlight w:val="none"/>
        </w:rPr>
        <w:t>b.移床椅至对侧床尾，置车头端和床尾成钝角。</w:t>
      </w:r>
    </w:p>
    <w:p>
      <w:pPr>
        <w:widowControl/>
        <w:spacing w:line="360" w:lineRule="exact"/>
        <w:ind w:left="899" w:leftChars="428" w:firstLine="393" w:firstLineChars="179"/>
        <w:rPr>
          <w:rFonts w:cs="新宋体" w:asciiTheme="minorEastAsia" w:hAnsiTheme="minorEastAsia" w:eastAsiaTheme="minorEastAsia"/>
          <w:color w:val="auto"/>
          <w:kern w:val="0"/>
          <w:sz w:val="22"/>
          <w:szCs w:val="22"/>
          <w:highlight w:val="none"/>
        </w:rPr>
      </w:pPr>
      <w:r>
        <w:rPr>
          <w:rFonts w:hint="eastAsia" w:cs="新宋体" w:asciiTheme="minorEastAsia" w:hAnsiTheme="minorEastAsia" w:eastAsiaTheme="minorEastAsia"/>
          <w:color w:val="auto"/>
          <w:kern w:val="0"/>
          <w:sz w:val="22"/>
          <w:szCs w:val="22"/>
          <w:highlight w:val="none"/>
        </w:rPr>
        <w:t>c.患者上肢交叉于自己胸前，移至床边。</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二人搬运时，甲一手托住患者头颈、肩部，另一手托腰部，乙一手托患者臀部，另一手托住窝部。</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三人搬运时，甲托患者头、肩胛部，乙托患者背、臀部，丙托住患者窝部、腿部。患者身体稍向搬运者倾斜，搬运者合力抬起，轻放于平车上。</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四人搬运法</w:t>
      </w:r>
    </w:p>
    <w:p>
      <w:pPr>
        <w:widowControl/>
        <w:spacing w:line="360" w:lineRule="exact"/>
        <w:ind w:left="899" w:leftChars="428" w:firstLine="393" w:firstLineChars="179"/>
        <w:rPr>
          <w:rFonts w:cs="新宋体" w:asciiTheme="minorEastAsia" w:hAnsiTheme="minorEastAsia" w:eastAsiaTheme="minorEastAsia"/>
          <w:color w:val="auto"/>
          <w:kern w:val="0"/>
          <w:sz w:val="22"/>
          <w:szCs w:val="22"/>
          <w:highlight w:val="none"/>
        </w:rPr>
      </w:pPr>
      <w:r>
        <w:rPr>
          <w:rFonts w:hint="eastAsia" w:cs="新宋体" w:asciiTheme="minorEastAsia" w:hAnsiTheme="minorEastAsia" w:eastAsiaTheme="minorEastAsia"/>
          <w:color w:val="auto"/>
          <w:kern w:val="0"/>
          <w:sz w:val="22"/>
          <w:szCs w:val="22"/>
          <w:highlight w:val="none"/>
        </w:rPr>
        <w:t>a.适用于病情危重，颈、腰椎骨折患者。</w:t>
      </w:r>
    </w:p>
    <w:p>
      <w:pPr>
        <w:widowControl/>
        <w:spacing w:line="360" w:lineRule="exact"/>
        <w:ind w:left="899" w:leftChars="428" w:firstLine="393" w:firstLineChars="179"/>
        <w:rPr>
          <w:rFonts w:cs="新宋体" w:asciiTheme="minorEastAsia" w:hAnsiTheme="minorEastAsia" w:eastAsiaTheme="minorEastAsia"/>
          <w:color w:val="auto"/>
          <w:kern w:val="0"/>
          <w:sz w:val="22"/>
          <w:szCs w:val="22"/>
          <w:highlight w:val="none"/>
        </w:rPr>
      </w:pPr>
      <w:r>
        <w:rPr>
          <w:rFonts w:hint="eastAsia" w:cs="新宋体" w:asciiTheme="minorEastAsia" w:hAnsiTheme="minorEastAsia" w:eastAsiaTheme="minorEastAsia"/>
          <w:color w:val="auto"/>
          <w:kern w:val="0"/>
          <w:sz w:val="22"/>
          <w:szCs w:val="22"/>
          <w:highlight w:val="none"/>
        </w:rPr>
        <w:t>b.患者腰、臀下铺大单或拆松大单。</w:t>
      </w:r>
    </w:p>
    <w:p>
      <w:pPr>
        <w:widowControl/>
        <w:spacing w:line="360" w:lineRule="exact"/>
        <w:ind w:left="899" w:leftChars="428" w:firstLine="393" w:firstLineChars="179"/>
        <w:rPr>
          <w:rFonts w:cs="新宋体" w:asciiTheme="minorEastAsia" w:hAnsiTheme="minorEastAsia" w:eastAsiaTheme="minorEastAsia"/>
          <w:color w:val="auto"/>
          <w:kern w:val="0"/>
          <w:sz w:val="22"/>
          <w:szCs w:val="22"/>
          <w:highlight w:val="none"/>
        </w:rPr>
      </w:pPr>
      <w:r>
        <w:rPr>
          <w:rFonts w:hint="eastAsia" w:cs="新宋体" w:asciiTheme="minorEastAsia" w:hAnsiTheme="minorEastAsia" w:eastAsiaTheme="minorEastAsia"/>
          <w:color w:val="auto"/>
          <w:kern w:val="0"/>
          <w:sz w:val="22"/>
          <w:szCs w:val="22"/>
          <w:highlight w:val="none"/>
        </w:rPr>
        <w:t>c.平车与床平行紧靠床边。</w:t>
      </w:r>
    </w:p>
    <w:p>
      <w:pPr>
        <w:widowControl/>
        <w:spacing w:line="360" w:lineRule="exact"/>
        <w:ind w:left="899" w:leftChars="428" w:firstLine="393" w:firstLineChars="179"/>
        <w:rPr>
          <w:rFonts w:cs="新宋体" w:asciiTheme="minorEastAsia" w:hAnsiTheme="minorEastAsia" w:eastAsiaTheme="minorEastAsia"/>
          <w:color w:val="auto"/>
          <w:kern w:val="0"/>
          <w:sz w:val="22"/>
          <w:szCs w:val="22"/>
          <w:highlight w:val="none"/>
        </w:rPr>
      </w:pPr>
      <w:r>
        <w:rPr>
          <w:rFonts w:hint="eastAsia" w:cs="新宋体" w:asciiTheme="minorEastAsia" w:hAnsiTheme="minorEastAsia" w:eastAsiaTheme="minorEastAsia"/>
          <w:color w:val="auto"/>
          <w:kern w:val="0"/>
          <w:sz w:val="22"/>
          <w:szCs w:val="22"/>
          <w:highlight w:val="none"/>
        </w:rPr>
        <w:t>d.甲站病床头端，托住患者头、肩，乙站病床尾端，托住患者两腿，丙、丁两人分别站于病床和平车两侧，紧抓大单，四人合力抬起。</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备皮</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将2-3块纱布放置于塑料盒内，倒入浓度为10%的肥皂水，使纱布完全浸透。</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装刀片，仔细检查刀架和刀片是否紧合。</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用浸透的纱布彻底擦拭备皮部位。</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按从上到下，从外至内的顺序操作。</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用手将病人备皮部位褶皱的皮肤撑开进行备皮，动作要轻缓。</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结束前，用棉签蘸取松节油擦拭肚脐，为防止感染。</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使用完的一次性塑料盒、纱布、棉签扔至指定地方。</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刀片应丢弃，刀架清洗后防回备皮专用柜内2%的戊二醛溶液中浸泡消毒。</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清洁水池及床单毛发。</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其他特殊运送、压缩气瓶等等。</w:t>
      </w:r>
    </w:p>
    <w:p>
      <w:pPr>
        <w:numPr>
          <w:ilvl w:val="0"/>
          <w:numId w:val="1"/>
        </w:numPr>
        <w:tabs>
          <w:tab w:val="left" w:pos="680"/>
        </w:tabs>
        <w:spacing w:line="340" w:lineRule="exact"/>
        <w:rPr>
          <w:rFonts w:cs="新宋体" w:asciiTheme="minorEastAsia" w:hAnsiTheme="minorEastAsia" w:eastAsiaTheme="minorEastAsia"/>
          <w:b/>
          <w:snapToGrid w:val="0"/>
          <w:color w:val="auto"/>
          <w:kern w:val="0"/>
          <w:sz w:val="22"/>
          <w:szCs w:val="22"/>
          <w:highlight w:val="none"/>
        </w:rPr>
      </w:pPr>
      <w:r>
        <w:rPr>
          <w:rFonts w:hint="eastAsia" w:cs="新宋体" w:asciiTheme="minorEastAsia" w:hAnsiTheme="minorEastAsia" w:eastAsiaTheme="minorEastAsia"/>
          <w:b/>
          <w:snapToGrid w:val="0"/>
          <w:color w:val="auto"/>
          <w:kern w:val="0"/>
          <w:sz w:val="22"/>
          <w:szCs w:val="22"/>
          <w:highlight w:val="none"/>
        </w:rPr>
        <w:t>健康护理员工作职责</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协助做好患者的简单生活料理</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协助新入院患者熟悉本科室的环境，并讲解相关安全、就医注意事项。</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协助患者洗漱，并按照医院规定给患者换病员服、进餐、剪指甲、洗头、入厕等日常卫生护理。</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协助配餐员把饭菜送到患者床前。</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保持床位的整洁、舒适。</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定期更换患者床单、被套。</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保证每位患者的饮用开水。</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协助做好基础护理</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协助护士给患者翻身、简单患者功能恢复锻炼。</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满足患者在治疗过程中的合理要求(工作范围内、力所能及的要求)。</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协助无陪人患者转床，引导患者本科室治疗(换药、清理伤口等)。</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协助并监督患者吃餐前、餐后的口服药。</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病房管理</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协助科室管理好陪人床(早锁、晚开)，并做好登记。</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查房时间，请退陪人并与护士一同查房。</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协助并监督患者及陪人的物品规范放置。</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晚间探视时间后，请退陪人，锁好门窗、关闭电灯，开启地灯。</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协助科室处理突发情况。</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晚值班时间协助护士整理医生办公室、护士站、治疗室等。</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安全生产</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协助科室对患者做好安全护理(防止坠床、跌倒、走失等意外发生)</w:t>
      </w:r>
      <w:r>
        <w:rPr>
          <w:rFonts w:hint="eastAsia" w:cs="新宋体" w:asciiTheme="minorEastAsia" w:hAnsiTheme="minorEastAsia" w:eastAsiaTheme="minorEastAsia"/>
          <w:snapToGrid w:val="0"/>
          <w:color w:val="auto"/>
          <w:sz w:val="22"/>
          <w:szCs w:val="22"/>
          <w:highlight w:val="none"/>
          <w:lang w:eastAsia="zh-CN"/>
        </w:rPr>
        <w:t>。</w:t>
      </w:r>
    </w:p>
    <w:p>
      <w:pPr>
        <w:pStyle w:val="67"/>
        <w:numPr>
          <w:ilvl w:val="0"/>
          <w:numId w:val="6"/>
        </w:numPr>
        <w:tabs>
          <w:tab w:val="left" w:pos="1080"/>
          <w:tab w:val="clear" w:pos="2591"/>
        </w:tabs>
        <w:spacing w:line="360" w:lineRule="exact"/>
        <w:ind w:left="1080" w:hanging="360"/>
        <w:jc w:val="left"/>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协助科室防治任何人在科室使用危害科室安全的物品及利器。</w:t>
      </w:r>
    </w:p>
    <w:p>
      <w:pPr>
        <w:numPr>
          <w:ilvl w:val="0"/>
          <w:numId w:val="1"/>
        </w:num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洗衣房专用人员</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负责全院被服管理工作，负责被品的清洗、养护、储存与配送工作，为医疗工作提供支持与保障，确保医疗工作正常开展。</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负责与科室的交接及与外包科室的交接，严格执行各类物品的消毒隔离制度，执行物品的交接手续，防止丢失。</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患者出院后及时把被品收回清点后进行清洗消毒。遵守洗涤规范要求，防止交叉感染。</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对入库被品要按规定逐项检查对照，负责填写验收记录。</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会同会计定期对库存被品清查，每季度盘存一次，发现问题及时登记、上报，做到帐物相符。</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做好防霉、防虫、防火、防盗等安全防范工作。</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严格执行安全责任制及应急预案，预防各类安全事故及灾害发生。做好防水、防盗、防腐等管理工作，室内禁止存放易燃易爆物品。</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坚持修旧利废，爱护公物，履行节约。</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按时完成直接领导交办的临时性任务。</w:t>
      </w:r>
    </w:p>
    <w:p>
      <w:pPr>
        <w:numPr>
          <w:ilvl w:val="0"/>
          <w:numId w:val="1"/>
        </w:num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医疗废物专用人员</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专人收集、专门路线、密闭运送，不与生活垃圾混运混放</w:t>
      </w:r>
      <w:r>
        <w:rPr>
          <w:rFonts w:hint="eastAsia" w:cs="新宋体" w:asciiTheme="minorEastAsia" w:hAnsiTheme="minorEastAsia" w:eastAsiaTheme="minorEastAsia"/>
          <w:snapToGrid w:val="0"/>
          <w:color w:val="auto"/>
          <w:kern w:val="0"/>
          <w:sz w:val="22"/>
          <w:szCs w:val="22"/>
          <w:highlight w:val="none"/>
          <w:lang w:eastAsia="zh-CN"/>
        </w:rPr>
        <w:t>。</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做好与固废处置中心的交接登记</w:t>
      </w:r>
      <w:r>
        <w:rPr>
          <w:rFonts w:hint="eastAsia" w:cs="新宋体" w:asciiTheme="minorEastAsia" w:hAnsiTheme="minorEastAsia" w:eastAsiaTheme="minorEastAsia"/>
          <w:snapToGrid w:val="0"/>
          <w:color w:val="auto"/>
          <w:kern w:val="0"/>
          <w:sz w:val="22"/>
          <w:szCs w:val="22"/>
          <w:highlight w:val="none"/>
          <w:lang w:eastAsia="zh-CN"/>
        </w:rPr>
        <w:t>。</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做好防护，按规定消毒。</w:t>
      </w:r>
    </w:p>
    <w:p>
      <w:pPr>
        <w:numPr>
          <w:ilvl w:val="0"/>
          <w:numId w:val="1"/>
        </w:num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水、木工专用人员</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水工负责全院办公医疗、生活用水的日常管理和维修</w:t>
      </w:r>
    </w:p>
    <w:p>
      <w:pPr>
        <w:numPr>
          <w:ilvl w:val="2"/>
          <w:numId w:val="1"/>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木工负责全院办公场所木铁窗柜等的检查和维修</w:t>
      </w:r>
    </w:p>
    <w:p>
      <w:pPr>
        <w:numPr>
          <w:ilvl w:val="0"/>
          <w:numId w:val="1"/>
        </w:num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疫情管控人员</w:t>
      </w:r>
    </w:p>
    <w:p>
      <w:pPr>
        <w:numPr>
          <w:ilvl w:val="2"/>
          <w:numId w:val="1"/>
        </w:numPr>
        <w:tabs>
          <w:tab w:val="left" w:pos="1156"/>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门卫岗对进入的车辆进行测温并出示绿码，做到每人每次，超过疫情防控温度要求拒绝其进入。</w:t>
      </w:r>
    </w:p>
    <w:p>
      <w:pPr>
        <w:numPr>
          <w:ilvl w:val="2"/>
          <w:numId w:val="1"/>
        </w:numPr>
        <w:tabs>
          <w:tab w:val="left" w:pos="1156"/>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门卫岗对进入的人员进行测温并监督其戴好口罩、出示绿码，做到每人每次，超过疫情防控温度要求拒绝其进入。</w:t>
      </w:r>
    </w:p>
    <w:p>
      <w:pPr>
        <w:numPr>
          <w:ilvl w:val="2"/>
          <w:numId w:val="1"/>
        </w:numPr>
        <w:tabs>
          <w:tab w:val="left" w:pos="1156"/>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对进入大楼的人员进行二次测温并监督其戴好口罩、出示绿码及行程码，做到每人每次，超过疫情防控温度要求拒绝其进入并上报管理岗位，注意隔离防护工作。</w:t>
      </w:r>
    </w:p>
    <w:p>
      <w:pPr>
        <w:numPr>
          <w:ilvl w:val="0"/>
          <w:numId w:val="1"/>
        </w:num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物流配送中心人员</w:t>
      </w:r>
    </w:p>
    <w:p>
      <w:pPr>
        <w:numPr>
          <w:ilvl w:val="2"/>
          <w:numId w:val="1"/>
        </w:numPr>
        <w:tabs>
          <w:tab w:val="left" w:pos="1156"/>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提供2</w:t>
      </w:r>
      <w:r>
        <w:rPr>
          <w:rFonts w:cs="新宋体" w:asciiTheme="minorEastAsia" w:hAnsiTheme="minorEastAsia" w:eastAsiaTheme="minorEastAsia"/>
          <w:snapToGrid w:val="0"/>
          <w:color w:val="auto"/>
          <w:kern w:val="0"/>
          <w:sz w:val="22"/>
          <w:szCs w:val="22"/>
          <w:highlight w:val="none"/>
        </w:rPr>
        <w:t>4</w:t>
      </w:r>
      <w:r>
        <w:rPr>
          <w:rFonts w:hint="eastAsia" w:cs="新宋体" w:asciiTheme="minorEastAsia" w:hAnsiTheme="minorEastAsia" w:eastAsiaTheme="minorEastAsia"/>
          <w:snapToGrid w:val="0"/>
          <w:color w:val="auto"/>
          <w:kern w:val="0"/>
          <w:sz w:val="22"/>
          <w:szCs w:val="22"/>
          <w:highlight w:val="none"/>
        </w:rPr>
        <w:t>小时服务，提供及时、快速、准确的分发物资等。</w:t>
      </w:r>
    </w:p>
    <w:p>
      <w:pPr>
        <w:pStyle w:val="2"/>
        <w:ind w:firstLine="220"/>
        <w:rPr>
          <w:rFonts w:asciiTheme="minorEastAsia" w:hAnsiTheme="minorEastAsia" w:eastAsiaTheme="minorEastAsia"/>
          <w:color w:val="auto"/>
          <w:sz w:val="22"/>
          <w:szCs w:val="22"/>
          <w:highlight w:val="none"/>
        </w:rPr>
      </w:pPr>
    </w:p>
    <w:p>
      <w:pPr>
        <w:numPr>
          <w:ilvl w:val="0"/>
          <w:numId w:val="1"/>
        </w:num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院内感染控制、消毒隔离标准：</w:t>
      </w:r>
    </w:p>
    <w:tbl>
      <w:tblPr>
        <w:tblStyle w:val="41"/>
        <w:tblW w:w="9819" w:type="dxa"/>
        <w:tblInd w:w="-16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65"/>
        <w:gridCol w:w="3285"/>
        <w:gridCol w:w="1785"/>
        <w:gridCol w:w="1785"/>
        <w:gridCol w:w="18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trPr>
        <w:tc>
          <w:tcPr>
            <w:tcW w:w="1065" w:type="dxa"/>
            <w:vMerge w:val="restart"/>
            <w:vAlign w:val="center"/>
          </w:tcPr>
          <w:p>
            <w:pPr>
              <w:pStyle w:val="23"/>
              <w:tabs>
                <w:tab w:val="left" w:pos="0"/>
                <w:tab w:val="left" w:pos="540"/>
              </w:tabs>
              <w:snapToGrid w:val="0"/>
              <w:jc w:val="center"/>
              <w:rPr>
                <w:rFonts w:cs="新宋体" w:asciiTheme="minorEastAsia" w:hAnsiTheme="minorEastAsia" w:eastAsiaTheme="minorEastAsia"/>
                <w:b/>
                <w:snapToGrid w:val="0"/>
                <w:color w:val="auto"/>
                <w:sz w:val="22"/>
                <w:szCs w:val="22"/>
                <w:highlight w:val="none"/>
              </w:rPr>
            </w:pPr>
            <w:r>
              <w:rPr>
                <w:rFonts w:hint="eastAsia" w:cs="新宋体" w:asciiTheme="minorEastAsia" w:hAnsiTheme="minorEastAsia" w:eastAsiaTheme="minorEastAsia"/>
                <w:b/>
                <w:snapToGrid w:val="0"/>
                <w:color w:val="auto"/>
                <w:sz w:val="22"/>
                <w:szCs w:val="22"/>
                <w:highlight w:val="none"/>
              </w:rPr>
              <w:t>环境类别</w:t>
            </w:r>
          </w:p>
        </w:tc>
        <w:tc>
          <w:tcPr>
            <w:tcW w:w="3285" w:type="dxa"/>
            <w:vMerge w:val="restart"/>
            <w:vAlign w:val="center"/>
          </w:tcPr>
          <w:p>
            <w:pPr>
              <w:pStyle w:val="23"/>
              <w:tabs>
                <w:tab w:val="left" w:pos="0"/>
                <w:tab w:val="left" w:pos="540"/>
              </w:tabs>
              <w:snapToGrid w:val="0"/>
              <w:jc w:val="center"/>
              <w:rPr>
                <w:rFonts w:cs="新宋体" w:asciiTheme="minorEastAsia" w:hAnsiTheme="minorEastAsia" w:eastAsiaTheme="minorEastAsia"/>
                <w:b/>
                <w:snapToGrid w:val="0"/>
                <w:color w:val="auto"/>
                <w:sz w:val="22"/>
                <w:szCs w:val="22"/>
                <w:highlight w:val="none"/>
              </w:rPr>
            </w:pPr>
            <w:r>
              <w:rPr>
                <w:rFonts w:hint="eastAsia" w:cs="新宋体" w:asciiTheme="minorEastAsia" w:hAnsiTheme="minorEastAsia" w:eastAsiaTheme="minorEastAsia"/>
                <w:b/>
                <w:snapToGrid w:val="0"/>
                <w:color w:val="auto"/>
                <w:sz w:val="22"/>
                <w:szCs w:val="22"/>
                <w:highlight w:val="none"/>
              </w:rPr>
              <w:t>范围</w:t>
            </w:r>
          </w:p>
        </w:tc>
        <w:tc>
          <w:tcPr>
            <w:tcW w:w="5469" w:type="dxa"/>
            <w:gridSpan w:val="3"/>
            <w:vAlign w:val="center"/>
          </w:tcPr>
          <w:p>
            <w:pPr>
              <w:pStyle w:val="23"/>
              <w:tabs>
                <w:tab w:val="left" w:pos="0"/>
                <w:tab w:val="left" w:pos="540"/>
              </w:tabs>
              <w:snapToGrid w:val="0"/>
              <w:jc w:val="center"/>
              <w:rPr>
                <w:rFonts w:cs="新宋体" w:asciiTheme="minorEastAsia" w:hAnsiTheme="minorEastAsia" w:eastAsiaTheme="minorEastAsia"/>
                <w:b/>
                <w:snapToGrid w:val="0"/>
                <w:color w:val="auto"/>
                <w:sz w:val="22"/>
                <w:szCs w:val="22"/>
                <w:highlight w:val="none"/>
              </w:rPr>
            </w:pPr>
            <w:r>
              <w:rPr>
                <w:rFonts w:hint="eastAsia" w:cs="新宋体" w:asciiTheme="minorEastAsia" w:hAnsiTheme="minorEastAsia" w:eastAsiaTheme="minorEastAsia"/>
                <w:b/>
                <w:snapToGrid w:val="0"/>
                <w:color w:val="auto"/>
                <w:sz w:val="22"/>
                <w:szCs w:val="22"/>
                <w:highlight w:val="none"/>
              </w:rPr>
              <w:t>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trPr>
        <w:tc>
          <w:tcPr>
            <w:tcW w:w="1065" w:type="dxa"/>
            <w:vMerge w:val="continue"/>
            <w:vAlign w:val="center"/>
          </w:tcPr>
          <w:p>
            <w:pPr>
              <w:pStyle w:val="23"/>
              <w:tabs>
                <w:tab w:val="left" w:pos="0"/>
                <w:tab w:val="left" w:pos="540"/>
              </w:tabs>
              <w:snapToGrid w:val="0"/>
              <w:jc w:val="center"/>
              <w:rPr>
                <w:rFonts w:cs="新宋体" w:asciiTheme="minorEastAsia" w:hAnsiTheme="minorEastAsia" w:eastAsiaTheme="minorEastAsia"/>
                <w:b/>
                <w:snapToGrid w:val="0"/>
                <w:color w:val="auto"/>
                <w:sz w:val="22"/>
                <w:szCs w:val="22"/>
                <w:highlight w:val="none"/>
              </w:rPr>
            </w:pPr>
          </w:p>
        </w:tc>
        <w:tc>
          <w:tcPr>
            <w:tcW w:w="3285" w:type="dxa"/>
            <w:vMerge w:val="continue"/>
            <w:vAlign w:val="center"/>
          </w:tcPr>
          <w:p>
            <w:pPr>
              <w:pStyle w:val="23"/>
              <w:tabs>
                <w:tab w:val="left" w:pos="0"/>
                <w:tab w:val="left" w:pos="540"/>
              </w:tabs>
              <w:snapToGrid w:val="0"/>
              <w:jc w:val="center"/>
              <w:rPr>
                <w:rFonts w:cs="新宋体" w:asciiTheme="minorEastAsia" w:hAnsiTheme="minorEastAsia" w:eastAsiaTheme="minorEastAsia"/>
                <w:b/>
                <w:snapToGrid w:val="0"/>
                <w:color w:val="auto"/>
                <w:sz w:val="22"/>
                <w:szCs w:val="22"/>
                <w:highlight w:val="none"/>
              </w:rPr>
            </w:pPr>
          </w:p>
        </w:tc>
        <w:tc>
          <w:tcPr>
            <w:tcW w:w="1785" w:type="dxa"/>
            <w:vAlign w:val="center"/>
          </w:tcPr>
          <w:p>
            <w:pPr>
              <w:pStyle w:val="23"/>
              <w:tabs>
                <w:tab w:val="left" w:pos="0"/>
                <w:tab w:val="left" w:pos="540"/>
              </w:tabs>
              <w:snapToGrid w:val="0"/>
              <w:jc w:val="center"/>
              <w:rPr>
                <w:rFonts w:cs="新宋体" w:asciiTheme="minorEastAsia" w:hAnsiTheme="minorEastAsia" w:eastAsiaTheme="minorEastAsia"/>
                <w:b/>
                <w:snapToGrid w:val="0"/>
                <w:color w:val="auto"/>
                <w:sz w:val="22"/>
                <w:szCs w:val="22"/>
                <w:highlight w:val="none"/>
              </w:rPr>
            </w:pPr>
            <w:r>
              <w:rPr>
                <w:rFonts w:hint="eastAsia" w:cs="新宋体" w:asciiTheme="minorEastAsia" w:hAnsiTheme="minorEastAsia" w:eastAsiaTheme="minorEastAsia"/>
                <w:b/>
                <w:snapToGrid w:val="0"/>
                <w:color w:val="auto"/>
                <w:sz w:val="22"/>
                <w:szCs w:val="22"/>
                <w:highlight w:val="none"/>
              </w:rPr>
              <w:t>空气cfu/m³</w:t>
            </w:r>
          </w:p>
        </w:tc>
        <w:tc>
          <w:tcPr>
            <w:tcW w:w="1785" w:type="dxa"/>
            <w:vAlign w:val="center"/>
          </w:tcPr>
          <w:p>
            <w:pPr>
              <w:pStyle w:val="23"/>
              <w:tabs>
                <w:tab w:val="left" w:pos="0"/>
                <w:tab w:val="left" w:pos="540"/>
              </w:tabs>
              <w:snapToGrid w:val="0"/>
              <w:jc w:val="center"/>
              <w:rPr>
                <w:rFonts w:cs="新宋体" w:asciiTheme="minorEastAsia" w:hAnsiTheme="minorEastAsia" w:eastAsiaTheme="minorEastAsia"/>
                <w:b/>
                <w:snapToGrid w:val="0"/>
                <w:color w:val="auto"/>
                <w:sz w:val="22"/>
                <w:szCs w:val="22"/>
                <w:highlight w:val="none"/>
              </w:rPr>
            </w:pPr>
            <w:r>
              <w:rPr>
                <w:rFonts w:hint="eastAsia" w:cs="新宋体" w:asciiTheme="minorEastAsia" w:hAnsiTheme="minorEastAsia" w:eastAsiaTheme="minorEastAsia"/>
                <w:b/>
                <w:snapToGrid w:val="0"/>
                <w:color w:val="auto"/>
                <w:sz w:val="22"/>
                <w:szCs w:val="22"/>
                <w:highlight w:val="none"/>
              </w:rPr>
              <w:t>物体表面cfu/m³</w:t>
            </w:r>
          </w:p>
        </w:tc>
        <w:tc>
          <w:tcPr>
            <w:tcW w:w="1899" w:type="dxa"/>
            <w:vAlign w:val="center"/>
          </w:tcPr>
          <w:p>
            <w:pPr>
              <w:pStyle w:val="23"/>
              <w:tabs>
                <w:tab w:val="left" w:pos="0"/>
                <w:tab w:val="left" w:pos="540"/>
              </w:tabs>
              <w:snapToGrid w:val="0"/>
              <w:jc w:val="center"/>
              <w:rPr>
                <w:rFonts w:cs="新宋体" w:asciiTheme="minorEastAsia" w:hAnsiTheme="minorEastAsia" w:eastAsiaTheme="minorEastAsia"/>
                <w:b/>
                <w:snapToGrid w:val="0"/>
                <w:color w:val="auto"/>
                <w:sz w:val="22"/>
                <w:szCs w:val="22"/>
                <w:highlight w:val="none"/>
              </w:rPr>
            </w:pPr>
            <w:r>
              <w:rPr>
                <w:rFonts w:hint="eastAsia" w:cs="新宋体" w:asciiTheme="minorEastAsia" w:hAnsiTheme="minorEastAsia" w:eastAsiaTheme="minorEastAsia"/>
                <w:b/>
                <w:snapToGrid w:val="0"/>
                <w:color w:val="auto"/>
                <w:sz w:val="22"/>
                <w:szCs w:val="22"/>
                <w:highlight w:val="none"/>
              </w:rPr>
              <w:t>工作人员手cfu/m³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trPr>
        <w:tc>
          <w:tcPr>
            <w:tcW w:w="1065" w:type="dxa"/>
            <w:vAlign w:val="center"/>
          </w:tcPr>
          <w:p>
            <w:pPr>
              <w:pStyle w:val="23"/>
              <w:tabs>
                <w:tab w:val="left" w:pos="0"/>
                <w:tab w:val="left" w:pos="540"/>
              </w:tabs>
              <w:snapToGrid w:val="0"/>
              <w:jc w:val="center"/>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一类</w:t>
            </w:r>
          </w:p>
        </w:tc>
        <w:tc>
          <w:tcPr>
            <w:tcW w:w="3285" w:type="dxa"/>
            <w:vAlign w:val="center"/>
          </w:tcPr>
          <w:p>
            <w:pPr>
              <w:pStyle w:val="23"/>
              <w:tabs>
                <w:tab w:val="left" w:pos="0"/>
                <w:tab w:val="left" w:pos="540"/>
              </w:tabs>
              <w:snapToGrid w:val="0"/>
              <w:jc w:val="center"/>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层流洁净手术室、层流洁净病房</w:t>
            </w:r>
          </w:p>
        </w:tc>
        <w:tc>
          <w:tcPr>
            <w:tcW w:w="1785" w:type="dxa"/>
            <w:vAlign w:val="center"/>
          </w:tcPr>
          <w:p>
            <w:pPr>
              <w:pStyle w:val="23"/>
              <w:tabs>
                <w:tab w:val="left" w:pos="0"/>
                <w:tab w:val="left" w:pos="540"/>
              </w:tabs>
              <w:snapToGrid w:val="0"/>
              <w:jc w:val="center"/>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≤10</w:t>
            </w:r>
          </w:p>
        </w:tc>
        <w:tc>
          <w:tcPr>
            <w:tcW w:w="1785" w:type="dxa"/>
            <w:vAlign w:val="center"/>
          </w:tcPr>
          <w:p>
            <w:pPr>
              <w:pStyle w:val="23"/>
              <w:tabs>
                <w:tab w:val="left" w:pos="0"/>
                <w:tab w:val="left" w:pos="540"/>
              </w:tabs>
              <w:snapToGrid w:val="0"/>
              <w:jc w:val="center"/>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≤5</w:t>
            </w:r>
          </w:p>
        </w:tc>
        <w:tc>
          <w:tcPr>
            <w:tcW w:w="1899" w:type="dxa"/>
            <w:vAlign w:val="center"/>
          </w:tcPr>
          <w:p>
            <w:pPr>
              <w:pStyle w:val="23"/>
              <w:tabs>
                <w:tab w:val="left" w:pos="0"/>
                <w:tab w:val="left" w:pos="540"/>
              </w:tabs>
              <w:snapToGrid w:val="0"/>
              <w:jc w:val="center"/>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53" w:hRule="atLeast"/>
        </w:trPr>
        <w:tc>
          <w:tcPr>
            <w:tcW w:w="1065" w:type="dxa"/>
            <w:vAlign w:val="center"/>
          </w:tcPr>
          <w:p>
            <w:pPr>
              <w:pStyle w:val="23"/>
              <w:tabs>
                <w:tab w:val="left" w:pos="0"/>
                <w:tab w:val="left" w:pos="540"/>
              </w:tabs>
              <w:snapToGrid w:val="0"/>
              <w:jc w:val="center"/>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二类</w:t>
            </w:r>
          </w:p>
        </w:tc>
        <w:tc>
          <w:tcPr>
            <w:tcW w:w="3285" w:type="dxa"/>
            <w:vAlign w:val="center"/>
          </w:tcPr>
          <w:p>
            <w:pPr>
              <w:pStyle w:val="23"/>
              <w:tabs>
                <w:tab w:val="left" w:pos="0"/>
                <w:tab w:val="left" w:pos="72"/>
              </w:tabs>
              <w:snapToGrid w:val="0"/>
              <w:jc w:val="center"/>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普通病房、产房、婴儿室、早产儿室、普通保护性隔离室、供应室无菌室、重症监护室</w:t>
            </w:r>
          </w:p>
        </w:tc>
        <w:tc>
          <w:tcPr>
            <w:tcW w:w="1785" w:type="dxa"/>
            <w:vAlign w:val="center"/>
          </w:tcPr>
          <w:p>
            <w:pPr>
              <w:pStyle w:val="23"/>
              <w:tabs>
                <w:tab w:val="left" w:pos="0"/>
                <w:tab w:val="left" w:pos="540"/>
              </w:tabs>
              <w:snapToGrid w:val="0"/>
              <w:jc w:val="center"/>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≤200</w:t>
            </w:r>
          </w:p>
        </w:tc>
        <w:tc>
          <w:tcPr>
            <w:tcW w:w="1785" w:type="dxa"/>
            <w:vAlign w:val="center"/>
          </w:tcPr>
          <w:p>
            <w:pPr>
              <w:pStyle w:val="23"/>
              <w:tabs>
                <w:tab w:val="left" w:pos="0"/>
                <w:tab w:val="left" w:pos="540"/>
              </w:tabs>
              <w:snapToGrid w:val="0"/>
              <w:jc w:val="center"/>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≤5</w:t>
            </w:r>
          </w:p>
        </w:tc>
        <w:tc>
          <w:tcPr>
            <w:tcW w:w="1899" w:type="dxa"/>
            <w:vAlign w:val="center"/>
          </w:tcPr>
          <w:p>
            <w:pPr>
              <w:pStyle w:val="23"/>
              <w:tabs>
                <w:tab w:val="left" w:pos="0"/>
                <w:tab w:val="left" w:pos="540"/>
              </w:tabs>
              <w:snapToGrid w:val="0"/>
              <w:jc w:val="center"/>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66" w:hRule="atLeast"/>
        </w:trPr>
        <w:tc>
          <w:tcPr>
            <w:tcW w:w="1065" w:type="dxa"/>
            <w:vAlign w:val="center"/>
          </w:tcPr>
          <w:p>
            <w:pPr>
              <w:pStyle w:val="23"/>
              <w:tabs>
                <w:tab w:val="left" w:pos="0"/>
                <w:tab w:val="left" w:pos="540"/>
              </w:tabs>
              <w:snapToGrid w:val="0"/>
              <w:jc w:val="center"/>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三类</w:t>
            </w:r>
          </w:p>
        </w:tc>
        <w:tc>
          <w:tcPr>
            <w:tcW w:w="3285" w:type="dxa"/>
            <w:vAlign w:val="center"/>
          </w:tcPr>
          <w:p>
            <w:pPr>
              <w:pStyle w:val="23"/>
              <w:tabs>
                <w:tab w:val="left" w:pos="0"/>
                <w:tab w:val="left" w:pos="72"/>
              </w:tabs>
              <w:snapToGrid w:val="0"/>
              <w:jc w:val="center"/>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妇产科检查室、注射室、换药室、治疗室、供应室、清洁室、急诊室、化验室、各类普通病房和房间</w:t>
            </w:r>
          </w:p>
        </w:tc>
        <w:tc>
          <w:tcPr>
            <w:tcW w:w="1785" w:type="dxa"/>
            <w:vAlign w:val="center"/>
          </w:tcPr>
          <w:p>
            <w:pPr>
              <w:pStyle w:val="23"/>
              <w:tabs>
                <w:tab w:val="left" w:pos="0"/>
                <w:tab w:val="left" w:pos="540"/>
              </w:tabs>
              <w:snapToGrid w:val="0"/>
              <w:jc w:val="center"/>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≤500</w:t>
            </w:r>
          </w:p>
        </w:tc>
        <w:tc>
          <w:tcPr>
            <w:tcW w:w="1785" w:type="dxa"/>
            <w:vAlign w:val="center"/>
          </w:tcPr>
          <w:p>
            <w:pPr>
              <w:pStyle w:val="23"/>
              <w:tabs>
                <w:tab w:val="left" w:pos="0"/>
                <w:tab w:val="left" w:pos="540"/>
              </w:tabs>
              <w:snapToGrid w:val="0"/>
              <w:jc w:val="center"/>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≤10</w:t>
            </w:r>
          </w:p>
        </w:tc>
        <w:tc>
          <w:tcPr>
            <w:tcW w:w="1899" w:type="dxa"/>
            <w:vAlign w:val="center"/>
          </w:tcPr>
          <w:p>
            <w:pPr>
              <w:pStyle w:val="23"/>
              <w:tabs>
                <w:tab w:val="left" w:pos="0"/>
                <w:tab w:val="left" w:pos="540"/>
              </w:tabs>
              <w:snapToGrid w:val="0"/>
              <w:jc w:val="center"/>
              <w:rPr>
                <w:rFonts w:cs="新宋体" w:asciiTheme="minorEastAsia" w:hAnsiTheme="minorEastAsia" w:eastAsiaTheme="minorEastAsia"/>
                <w:snapToGrid w:val="0"/>
                <w:color w:val="auto"/>
                <w:sz w:val="22"/>
                <w:szCs w:val="22"/>
                <w:highlight w:val="none"/>
              </w:rPr>
            </w:pPr>
            <w:r>
              <w:rPr>
                <w:rFonts w:hint="eastAsia" w:cs="新宋体" w:asciiTheme="minorEastAsia" w:hAnsiTheme="minorEastAsia" w:eastAsiaTheme="minorEastAsia"/>
                <w:snapToGrid w:val="0"/>
                <w:color w:val="auto"/>
                <w:sz w:val="22"/>
                <w:szCs w:val="22"/>
                <w:highlight w:val="none"/>
              </w:rPr>
              <w:t>≤10</w:t>
            </w:r>
          </w:p>
        </w:tc>
      </w:tr>
    </w:tbl>
    <w:p>
      <w:pPr>
        <w:pStyle w:val="39"/>
        <w:jc w:val="both"/>
        <w:rPr>
          <w:rFonts w:cs="新宋体" w:asciiTheme="minorEastAsia" w:hAnsiTheme="minorEastAsia" w:eastAsiaTheme="minorEastAsia"/>
          <w:color w:val="auto"/>
          <w:sz w:val="22"/>
          <w:szCs w:val="22"/>
          <w:highlight w:val="none"/>
        </w:rPr>
      </w:pPr>
    </w:p>
    <w:p>
      <w:pPr>
        <w:pStyle w:val="39"/>
        <w:rPr>
          <w:rFonts w:ascii="宋体" w:hAnsi="宋体" w:cs="新宋体"/>
          <w:color w:val="auto"/>
          <w:sz w:val="22"/>
          <w:szCs w:val="22"/>
          <w:highlight w:val="none"/>
        </w:rPr>
      </w:pPr>
      <w:bookmarkStart w:id="23" w:name="_Toc13421820"/>
      <w:bookmarkStart w:id="24" w:name="_Toc9941"/>
      <w:r>
        <w:rPr>
          <w:rFonts w:hint="eastAsia" w:ascii="宋体" w:hAnsi="宋体" w:cs="新宋体"/>
          <w:color w:val="auto"/>
          <w:sz w:val="22"/>
          <w:szCs w:val="22"/>
          <w:highlight w:val="none"/>
        </w:rPr>
        <w:t>三、工作流程要求</w:t>
      </w:r>
      <w:bookmarkEnd w:id="23"/>
      <w:bookmarkEnd w:id="24"/>
    </w:p>
    <w:p>
      <w:pPr>
        <w:numPr>
          <w:ilvl w:val="0"/>
          <w:numId w:val="7"/>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急诊日常保洁</w:t>
      </w:r>
    </w:p>
    <w:p>
      <w:pPr>
        <w:numPr>
          <w:ilvl w:val="1"/>
          <w:numId w:val="7"/>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急诊(一)</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工作区域: 急诊</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 xml:space="preserve">工作时间: </w:t>
      </w:r>
      <w:r>
        <w:rPr>
          <w:rFonts w:hint="eastAsia" w:cs="新宋体" w:asciiTheme="minorEastAsia" w:hAnsiTheme="minorEastAsia" w:eastAsiaTheme="minorEastAsia"/>
          <w:color w:val="auto"/>
          <w:sz w:val="22"/>
          <w:szCs w:val="22"/>
          <w:highlight w:val="none"/>
          <w:shd w:val="pct10" w:color="auto" w:fill="FFFFFF"/>
        </w:rPr>
        <w:t>6:00~14:00</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清洁频率: 7天</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工作程序：①高位除尘；②重点清洁与消毒；③清洁与消毒卫生间；④清空垃圾与烟灰缸；⑤干拖地面；⑥湿拖地面</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工作流程如下表：</w:t>
      </w:r>
    </w:p>
    <w:tbl>
      <w:tblPr>
        <w:tblStyle w:val="41"/>
        <w:tblW w:w="9854" w:type="dxa"/>
        <w:jc w:val="right"/>
        <w:tblInd w:w="0" w:type="dxa"/>
        <w:tblLayout w:type="fixed"/>
        <w:tblCellMar>
          <w:top w:w="0" w:type="dxa"/>
          <w:left w:w="108" w:type="dxa"/>
          <w:bottom w:w="0" w:type="dxa"/>
          <w:right w:w="108" w:type="dxa"/>
        </w:tblCellMar>
      </w:tblPr>
      <w:tblGrid>
        <w:gridCol w:w="1647"/>
        <w:gridCol w:w="4222"/>
        <w:gridCol w:w="3985"/>
      </w:tblGrid>
      <w:tr>
        <w:tblPrEx>
          <w:tblLayout w:type="fixed"/>
          <w:tblCellMar>
            <w:top w:w="0" w:type="dxa"/>
            <w:left w:w="108" w:type="dxa"/>
            <w:bottom w:w="0" w:type="dxa"/>
            <w:right w:w="108" w:type="dxa"/>
          </w:tblCellMar>
        </w:tblPrEx>
        <w:trPr>
          <w:trHeight w:val="340" w:hRule="atLeast"/>
          <w:jc w:val="right"/>
        </w:trPr>
        <w:tc>
          <w:tcPr>
            <w:tcW w:w="1647" w:type="dxa"/>
            <w:tcBorders>
              <w:top w:val="single" w:color="000000" w:sz="12"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时 间</w:t>
            </w:r>
          </w:p>
        </w:tc>
        <w:tc>
          <w:tcPr>
            <w:tcW w:w="4222" w:type="dxa"/>
            <w:tcBorders>
              <w:top w:val="single" w:color="000000" w:sz="12"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区 域</w:t>
            </w:r>
          </w:p>
        </w:tc>
        <w:tc>
          <w:tcPr>
            <w:tcW w:w="3985" w:type="dxa"/>
            <w:tcBorders>
              <w:top w:val="single" w:color="000000" w:sz="12"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责 任</w:t>
            </w:r>
          </w:p>
        </w:tc>
      </w:tr>
      <w:tr>
        <w:tblPrEx>
          <w:tblLayout w:type="fixed"/>
          <w:tblCellMar>
            <w:top w:w="0" w:type="dxa"/>
            <w:left w:w="108" w:type="dxa"/>
            <w:bottom w:w="0" w:type="dxa"/>
            <w:right w:w="108" w:type="dxa"/>
          </w:tblCellMar>
        </w:tblPrEx>
        <w:trPr>
          <w:trHeight w:val="340" w:hRule="atLeast"/>
          <w:jc w:val="right"/>
        </w:trPr>
        <w:tc>
          <w:tcPr>
            <w:tcW w:w="1647"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6:00</w:t>
            </w:r>
          </w:p>
        </w:tc>
        <w:tc>
          <w:tcPr>
            <w:tcW w:w="4222"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到岗</w:t>
            </w:r>
          </w:p>
        </w:tc>
        <w:tc>
          <w:tcPr>
            <w:tcW w:w="398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完成刷卡,更换工作服,佩</w:t>
            </w:r>
            <w:r>
              <w:rPr>
                <w:rFonts w:hint="eastAsia" w:cs="新宋体" w:asciiTheme="minorEastAsia" w:hAnsiTheme="minorEastAsia" w:eastAsiaTheme="minorEastAsia"/>
                <w:color w:val="auto"/>
                <w:sz w:val="22"/>
                <w:szCs w:val="22"/>
                <w:highlight w:val="none"/>
                <w:lang w:eastAsia="zh-CN"/>
              </w:rPr>
              <w:t>戴</w:t>
            </w:r>
            <w:r>
              <w:rPr>
                <w:rFonts w:hint="eastAsia" w:cs="新宋体" w:asciiTheme="minorEastAsia" w:hAnsiTheme="minorEastAsia" w:eastAsiaTheme="minorEastAsia"/>
                <w:color w:val="auto"/>
                <w:sz w:val="22"/>
                <w:szCs w:val="22"/>
                <w:highlight w:val="none"/>
              </w:rPr>
              <w:t>工号牌,完成岗前准备工作</w:t>
            </w:r>
          </w:p>
        </w:tc>
      </w:tr>
      <w:tr>
        <w:tblPrEx>
          <w:tblLayout w:type="fixed"/>
          <w:tblCellMar>
            <w:top w:w="0" w:type="dxa"/>
            <w:left w:w="108" w:type="dxa"/>
            <w:bottom w:w="0" w:type="dxa"/>
            <w:right w:w="108" w:type="dxa"/>
          </w:tblCellMar>
        </w:tblPrEx>
        <w:trPr>
          <w:trHeight w:val="340" w:hRule="atLeast"/>
          <w:jc w:val="right"/>
        </w:trPr>
        <w:tc>
          <w:tcPr>
            <w:tcW w:w="1647"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6:00~7:00</w:t>
            </w:r>
          </w:p>
        </w:tc>
        <w:tc>
          <w:tcPr>
            <w:tcW w:w="4222"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收集急诊各科室的垃圾,尘推,湿拖急诊大厅,走道,公用卫生间清洁,候诊椅清洁,消毒</w:t>
            </w:r>
          </w:p>
        </w:tc>
        <w:tc>
          <w:tcPr>
            <w:tcW w:w="398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将收集的垃圾扎好袋口运送到指定垃圾站,放好小心地滑牌,保持急诊大厅地面、候诊椅清洁</w:t>
            </w:r>
          </w:p>
        </w:tc>
      </w:tr>
      <w:tr>
        <w:tblPrEx>
          <w:tblLayout w:type="fixed"/>
          <w:tblCellMar>
            <w:top w:w="0" w:type="dxa"/>
            <w:left w:w="108" w:type="dxa"/>
            <w:bottom w:w="0" w:type="dxa"/>
            <w:right w:w="108" w:type="dxa"/>
          </w:tblCellMar>
        </w:tblPrEx>
        <w:trPr>
          <w:trHeight w:val="340" w:hRule="atLeast"/>
          <w:jc w:val="right"/>
        </w:trPr>
        <w:tc>
          <w:tcPr>
            <w:tcW w:w="1647" w:type="dxa"/>
            <w:tcBorders>
              <w:top w:val="single" w:color="000000" w:sz="4" w:space="0"/>
              <w:left w:val="single" w:color="000000" w:sz="12" w:space="0"/>
              <w:bottom w:val="single" w:color="000000" w:sz="4" w:space="0"/>
              <w:right w:val="single" w:color="000000" w:sz="4" w:space="0"/>
            </w:tcBorders>
            <w:vAlign w:val="center"/>
          </w:tcPr>
          <w:p>
            <w:pPr>
              <w:pStyle w:val="70"/>
              <w:adjustRightInd w:val="0"/>
              <w:snapToGrid w:val="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7:00~8:30</w:t>
            </w:r>
          </w:p>
        </w:tc>
        <w:tc>
          <w:tcPr>
            <w:tcW w:w="4222"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清洁急诊室,抢救室,尘推,湿拖扩创室,儿科,骨科,妇科,内外科,护士站,急诊收费、挂号等诊室</w:t>
            </w:r>
          </w:p>
        </w:tc>
        <w:tc>
          <w:tcPr>
            <w:tcW w:w="398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放好小心地滑牌,防止地面湿滑,正确配制消毒液,正确使用拖头、毛巾、地面无灰尘,无垃圾,无污垢</w:t>
            </w:r>
            <w:r>
              <w:rPr>
                <w:rFonts w:hint="eastAsia" w:cs="新宋体" w:asciiTheme="minorEastAsia" w:hAnsiTheme="minorEastAsia" w:eastAsiaTheme="minorEastAsia"/>
                <w:snapToGrid w:val="0"/>
                <w:color w:val="auto"/>
                <w:sz w:val="22"/>
                <w:szCs w:val="22"/>
                <w:highlight w:val="none"/>
              </w:rPr>
              <w:t>、无烟蒂</w:t>
            </w:r>
          </w:p>
        </w:tc>
      </w:tr>
      <w:tr>
        <w:tblPrEx>
          <w:tblLayout w:type="fixed"/>
          <w:tblCellMar>
            <w:top w:w="0" w:type="dxa"/>
            <w:left w:w="108" w:type="dxa"/>
            <w:bottom w:w="0" w:type="dxa"/>
            <w:right w:w="108" w:type="dxa"/>
          </w:tblCellMar>
        </w:tblPrEx>
        <w:trPr>
          <w:trHeight w:val="340" w:hRule="atLeast"/>
          <w:jc w:val="right"/>
        </w:trPr>
        <w:tc>
          <w:tcPr>
            <w:tcW w:w="1647" w:type="dxa"/>
            <w:tcBorders>
              <w:top w:val="single" w:color="000000" w:sz="4" w:space="0"/>
              <w:left w:val="single" w:color="000000" w:sz="12" w:space="0"/>
              <w:bottom w:val="single" w:color="000000" w:sz="4" w:space="0"/>
              <w:right w:val="single" w:color="000000" w:sz="4" w:space="0"/>
            </w:tcBorders>
            <w:vAlign w:val="center"/>
          </w:tcPr>
          <w:p>
            <w:pPr>
              <w:pStyle w:val="70"/>
              <w:adjustRightInd w:val="0"/>
              <w:snapToGrid w:val="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8:30~10:00</w:t>
            </w:r>
          </w:p>
        </w:tc>
        <w:tc>
          <w:tcPr>
            <w:tcW w:w="4222"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公共卫生间巡视维护,急诊大厅、走道、安全通道清洁巡视,急诊各科室,台面,家具,窗台,窗框,玻璃,开关擦座擦拭</w:t>
            </w:r>
          </w:p>
        </w:tc>
        <w:tc>
          <w:tcPr>
            <w:tcW w:w="398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急诊大厅地面整洁,光亮,卫生间无异味,各诊室无灰尘</w:t>
            </w:r>
            <w:r>
              <w:rPr>
                <w:rFonts w:hint="eastAsia" w:cs="新宋体" w:asciiTheme="minorEastAsia" w:hAnsiTheme="minorEastAsia" w:eastAsiaTheme="minorEastAsia"/>
                <w:snapToGrid w:val="0"/>
                <w:color w:val="auto"/>
                <w:sz w:val="22"/>
                <w:szCs w:val="22"/>
                <w:highlight w:val="none"/>
              </w:rPr>
              <w:t>、无烟蒂</w:t>
            </w:r>
            <w:r>
              <w:rPr>
                <w:rFonts w:hint="eastAsia" w:cs="新宋体" w:asciiTheme="minorEastAsia" w:hAnsiTheme="minorEastAsia" w:eastAsiaTheme="minorEastAsia"/>
                <w:color w:val="auto"/>
                <w:sz w:val="22"/>
                <w:szCs w:val="22"/>
                <w:highlight w:val="none"/>
              </w:rPr>
              <w:t>,地面无血渍,污渍,唾液,水渍</w:t>
            </w:r>
          </w:p>
        </w:tc>
      </w:tr>
      <w:tr>
        <w:tblPrEx>
          <w:tblLayout w:type="fixed"/>
          <w:tblCellMar>
            <w:top w:w="0" w:type="dxa"/>
            <w:left w:w="108" w:type="dxa"/>
            <w:bottom w:w="0" w:type="dxa"/>
            <w:right w:w="108" w:type="dxa"/>
          </w:tblCellMar>
        </w:tblPrEx>
        <w:trPr>
          <w:trHeight w:val="340" w:hRule="atLeast"/>
          <w:jc w:val="right"/>
        </w:trPr>
        <w:tc>
          <w:tcPr>
            <w:tcW w:w="1647" w:type="dxa"/>
            <w:tcBorders>
              <w:top w:val="single" w:color="000000" w:sz="4" w:space="0"/>
              <w:left w:val="single" w:color="000000" w:sz="12" w:space="0"/>
              <w:bottom w:val="single" w:color="000000" w:sz="4" w:space="0"/>
              <w:right w:val="single" w:color="000000" w:sz="4" w:space="0"/>
            </w:tcBorders>
            <w:vAlign w:val="center"/>
          </w:tcPr>
          <w:p>
            <w:pPr>
              <w:pStyle w:val="70"/>
              <w:adjustRightInd w:val="0"/>
              <w:snapToGrid w:val="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10:00~10:50</w:t>
            </w:r>
          </w:p>
        </w:tc>
        <w:tc>
          <w:tcPr>
            <w:tcW w:w="4222"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巡视清洁急诊室,抢救室,扩创室,治疗室,妇、婴室,公共卫生间清洁维护,大厅垃圾筒,烟灰桶清洁</w:t>
            </w:r>
          </w:p>
        </w:tc>
        <w:tc>
          <w:tcPr>
            <w:tcW w:w="398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根据工作中的情况及时有效的处理问题</w:t>
            </w:r>
          </w:p>
        </w:tc>
      </w:tr>
      <w:tr>
        <w:tblPrEx>
          <w:tblLayout w:type="fixed"/>
          <w:tblCellMar>
            <w:top w:w="0" w:type="dxa"/>
            <w:left w:w="108" w:type="dxa"/>
            <w:bottom w:w="0" w:type="dxa"/>
            <w:right w:w="108" w:type="dxa"/>
          </w:tblCellMar>
        </w:tblPrEx>
        <w:trPr>
          <w:trHeight w:val="340" w:hRule="atLeast"/>
          <w:jc w:val="right"/>
        </w:trPr>
        <w:tc>
          <w:tcPr>
            <w:tcW w:w="1647" w:type="dxa"/>
            <w:tcBorders>
              <w:top w:val="single" w:color="000000" w:sz="4" w:space="0"/>
              <w:left w:val="single" w:color="000000" w:sz="12" w:space="0"/>
              <w:bottom w:val="single" w:color="000000" w:sz="4" w:space="0"/>
              <w:right w:val="single" w:color="000000" w:sz="4" w:space="0"/>
            </w:tcBorders>
            <w:vAlign w:val="center"/>
          </w:tcPr>
          <w:p>
            <w:pPr>
              <w:pStyle w:val="70"/>
              <w:adjustRightInd w:val="0"/>
              <w:snapToGrid w:val="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10:50~11:00</w:t>
            </w:r>
          </w:p>
        </w:tc>
        <w:tc>
          <w:tcPr>
            <w:tcW w:w="4222"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清洁浸泡,消毒擦拭毛巾,拖头,尘推,清洁整理污物间</w:t>
            </w:r>
          </w:p>
        </w:tc>
        <w:tc>
          <w:tcPr>
            <w:tcW w:w="398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配制相应的消毒液分容器浸泡,消毒毛巾,拖头,保持污渍间的清洁整理,清洗使用工具</w:t>
            </w:r>
            <w:r>
              <w:rPr>
                <w:rFonts w:hint="eastAsia" w:cs="新宋体" w:asciiTheme="minorEastAsia" w:hAnsiTheme="minorEastAsia" w:eastAsiaTheme="minorEastAsia"/>
                <w:color w:val="auto"/>
                <w:sz w:val="22"/>
                <w:szCs w:val="22"/>
                <w:highlight w:val="none"/>
                <w:lang w:eastAsia="zh-CN"/>
              </w:rPr>
              <w:t>，</w:t>
            </w:r>
            <w:r>
              <w:rPr>
                <w:rFonts w:hint="eastAsia" w:cs="新宋体" w:asciiTheme="minorEastAsia" w:hAnsiTheme="minorEastAsia" w:eastAsiaTheme="minorEastAsia"/>
                <w:color w:val="auto"/>
                <w:sz w:val="22"/>
                <w:szCs w:val="22"/>
                <w:highlight w:val="none"/>
              </w:rPr>
              <w:t>分区域摆放</w:t>
            </w:r>
          </w:p>
        </w:tc>
      </w:tr>
      <w:tr>
        <w:tblPrEx>
          <w:tblLayout w:type="fixed"/>
          <w:tblCellMar>
            <w:top w:w="0" w:type="dxa"/>
            <w:left w:w="108" w:type="dxa"/>
            <w:bottom w:w="0" w:type="dxa"/>
            <w:right w:w="108" w:type="dxa"/>
          </w:tblCellMar>
        </w:tblPrEx>
        <w:trPr>
          <w:trHeight w:val="340" w:hRule="atLeast"/>
          <w:jc w:val="right"/>
        </w:trPr>
        <w:tc>
          <w:tcPr>
            <w:tcW w:w="1647"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11:00~12:00</w:t>
            </w:r>
          </w:p>
        </w:tc>
        <w:tc>
          <w:tcPr>
            <w:tcW w:w="4222"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午餐</w:t>
            </w:r>
          </w:p>
        </w:tc>
        <w:tc>
          <w:tcPr>
            <w:tcW w:w="398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由于急诊环境特殊,请就餐后不要离开岗位</w:t>
            </w:r>
          </w:p>
        </w:tc>
      </w:tr>
      <w:tr>
        <w:tblPrEx>
          <w:tblLayout w:type="fixed"/>
          <w:tblCellMar>
            <w:top w:w="0" w:type="dxa"/>
            <w:left w:w="108" w:type="dxa"/>
            <w:bottom w:w="0" w:type="dxa"/>
            <w:right w:w="108" w:type="dxa"/>
          </w:tblCellMar>
        </w:tblPrEx>
        <w:trPr>
          <w:trHeight w:val="340" w:hRule="atLeast"/>
          <w:jc w:val="right"/>
        </w:trPr>
        <w:tc>
          <w:tcPr>
            <w:tcW w:w="1647"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12:00~13:00</w:t>
            </w:r>
          </w:p>
        </w:tc>
        <w:tc>
          <w:tcPr>
            <w:tcW w:w="4222"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急诊大厅,走廊,安全通道,公共卫生间巡视清洁,各科室巡视清洁,候诊椅,平车摆放整齐</w:t>
            </w:r>
          </w:p>
        </w:tc>
        <w:tc>
          <w:tcPr>
            <w:tcW w:w="398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保持急诊整个环境清洁,整齐,有条不紊</w:t>
            </w:r>
          </w:p>
        </w:tc>
      </w:tr>
      <w:tr>
        <w:tblPrEx>
          <w:tblLayout w:type="fixed"/>
          <w:tblCellMar>
            <w:top w:w="0" w:type="dxa"/>
            <w:left w:w="108" w:type="dxa"/>
            <w:bottom w:w="0" w:type="dxa"/>
            <w:right w:w="108" w:type="dxa"/>
          </w:tblCellMar>
        </w:tblPrEx>
        <w:trPr>
          <w:trHeight w:val="340" w:hRule="atLeast"/>
          <w:jc w:val="right"/>
        </w:trPr>
        <w:tc>
          <w:tcPr>
            <w:tcW w:w="1647"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13:00~13:50</w:t>
            </w:r>
          </w:p>
        </w:tc>
        <w:tc>
          <w:tcPr>
            <w:tcW w:w="4222"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急诊大厅公共部位墙壁,开关插座,设备,告示牌,窗台,植物壶等,宣传区擦拭</w:t>
            </w:r>
          </w:p>
        </w:tc>
        <w:tc>
          <w:tcPr>
            <w:tcW w:w="398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公共设备无灰尘,植物壶等无垃圾、无烟蒂</w:t>
            </w:r>
          </w:p>
        </w:tc>
      </w:tr>
      <w:tr>
        <w:tblPrEx>
          <w:tblLayout w:type="fixed"/>
          <w:tblCellMar>
            <w:top w:w="0" w:type="dxa"/>
            <w:left w:w="108" w:type="dxa"/>
            <w:bottom w:w="0" w:type="dxa"/>
            <w:right w:w="108" w:type="dxa"/>
          </w:tblCellMar>
        </w:tblPrEx>
        <w:trPr>
          <w:trHeight w:val="340" w:hRule="atLeast"/>
          <w:jc w:val="right"/>
        </w:trPr>
        <w:tc>
          <w:tcPr>
            <w:tcW w:w="1647"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13:50~14:00</w:t>
            </w:r>
          </w:p>
        </w:tc>
        <w:tc>
          <w:tcPr>
            <w:tcW w:w="4222"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清洁整理清洁车,急诊大厅、诊室巡视并交接班</w:t>
            </w:r>
          </w:p>
        </w:tc>
        <w:tc>
          <w:tcPr>
            <w:tcW w:w="398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向接班员工讲明交班工作情况,交接清洁工具</w:t>
            </w:r>
          </w:p>
        </w:tc>
      </w:tr>
      <w:tr>
        <w:tblPrEx>
          <w:tblLayout w:type="fixed"/>
          <w:tblCellMar>
            <w:top w:w="0" w:type="dxa"/>
            <w:left w:w="108" w:type="dxa"/>
            <w:bottom w:w="0" w:type="dxa"/>
            <w:right w:w="108" w:type="dxa"/>
          </w:tblCellMar>
        </w:tblPrEx>
        <w:trPr>
          <w:trHeight w:val="340" w:hRule="atLeast"/>
          <w:jc w:val="right"/>
        </w:trPr>
        <w:tc>
          <w:tcPr>
            <w:tcW w:w="1647" w:type="dxa"/>
            <w:tcBorders>
              <w:top w:val="single" w:color="000000" w:sz="4" w:space="0"/>
              <w:left w:val="single" w:color="000000" w:sz="12" w:space="0"/>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14:00</w:t>
            </w:r>
          </w:p>
        </w:tc>
        <w:tc>
          <w:tcPr>
            <w:tcW w:w="4222" w:type="dxa"/>
            <w:tcBorders>
              <w:top w:val="single" w:color="000000" w:sz="4" w:space="0"/>
              <w:left w:val="nil"/>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签退</w:t>
            </w:r>
          </w:p>
        </w:tc>
        <w:tc>
          <w:tcPr>
            <w:tcW w:w="3985" w:type="dxa"/>
            <w:tcBorders>
              <w:top w:val="single" w:color="000000" w:sz="4" w:space="0"/>
              <w:left w:val="nil"/>
              <w:bottom w:val="single" w:color="000000" w:sz="12"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遵守作息时间,严禁代考考勤卡</w:t>
            </w:r>
          </w:p>
        </w:tc>
      </w:tr>
    </w:tbl>
    <w:p>
      <w:pPr>
        <w:numPr>
          <w:ilvl w:val="1"/>
          <w:numId w:val="7"/>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急诊(二)</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工作区域: 急诊</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工作时间: 14:00~22:00</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清洁频率: 7天</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工作程序：①高位除尘；②重点清洁与消毒；③清洁与消毒卫生间；④清空垃圾与烟灰缸；⑤干拖地面；⑥湿拖地面</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工作流程如下表：</w:t>
      </w:r>
    </w:p>
    <w:tbl>
      <w:tblPr>
        <w:tblStyle w:val="41"/>
        <w:tblW w:w="9854" w:type="dxa"/>
        <w:jc w:val="right"/>
        <w:tblInd w:w="0" w:type="dxa"/>
        <w:tblLayout w:type="fixed"/>
        <w:tblCellMar>
          <w:top w:w="0" w:type="dxa"/>
          <w:left w:w="108" w:type="dxa"/>
          <w:bottom w:w="0" w:type="dxa"/>
          <w:right w:w="108" w:type="dxa"/>
        </w:tblCellMar>
      </w:tblPr>
      <w:tblGrid>
        <w:gridCol w:w="1646"/>
        <w:gridCol w:w="4130"/>
        <w:gridCol w:w="4078"/>
      </w:tblGrid>
      <w:tr>
        <w:tblPrEx>
          <w:tblLayout w:type="fixed"/>
          <w:tblCellMar>
            <w:top w:w="0" w:type="dxa"/>
            <w:left w:w="108" w:type="dxa"/>
            <w:bottom w:w="0" w:type="dxa"/>
            <w:right w:w="108" w:type="dxa"/>
          </w:tblCellMar>
        </w:tblPrEx>
        <w:trPr>
          <w:trHeight w:val="610" w:hRule="atLeast"/>
          <w:jc w:val="right"/>
        </w:trPr>
        <w:tc>
          <w:tcPr>
            <w:tcW w:w="1646" w:type="dxa"/>
            <w:tcBorders>
              <w:top w:val="single" w:color="000000" w:sz="12"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时 间</w:t>
            </w:r>
          </w:p>
        </w:tc>
        <w:tc>
          <w:tcPr>
            <w:tcW w:w="4130" w:type="dxa"/>
            <w:tcBorders>
              <w:top w:val="single" w:color="000000" w:sz="12" w:space="0"/>
              <w:left w:val="nil"/>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区 域</w:t>
            </w:r>
          </w:p>
        </w:tc>
        <w:tc>
          <w:tcPr>
            <w:tcW w:w="4078" w:type="dxa"/>
            <w:tcBorders>
              <w:top w:val="single" w:color="000000" w:sz="12" w:space="0"/>
              <w:left w:val="nil"/>
              <w:bottom w:val="single" w:color="000000" w:sz="4" w:space="0"/>
              <w:right w:val="single" w:color="000000" w:sz="12"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责 任</w:t>
            </w:r>
          </w:p>
        </w:tc>
      </w:tr>
      <w:tr>
        <w:tblPrEx>
          <w:tblLayout w:type="fixed"/>
          <w:tblCellMar>
            <w:top w:w="0" w:type="dxa"/>
            <w:left w:w="108" w:type="dxa"/>
            <w:bottom w:w="0" w:type="dxa"/>
            <w:right w:w="108" w:type="dxa"/>
          </w:tblCellMar>
        </w:tblPrEx>
        <w:trPr>
          <w:trHeight w:val="851" w:hRule="atLeast"/>
          <w:jc w:val="right"/>
        </w:trPr>
        <w:tc>
          <w:tcPr>
            <w:tcW w:w="1646" w:type="dxa"/>
            <w:tcBorders>
              <w:top w:val="single" w:color="000000" w:sz="4"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14:00</w:t>
            </w:r>
          </w:p>
        </w:tc>
        <w:tc>
          <w:tcPr>
            <w:tcW w:w="4130"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到岗</w:t>
            </w:r>
          </w:p>
        </w:tc>
        <w:tc>
          <w:tcPr>
            <w:tcW w:w="4078"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完成刷卡,更换工作服,佩</w:t>
            </w:r>
            <w:r>
              <w:rPr>
                <w:rFonts w:hint="eastAsia" w:cs="新宋体" w:asciiTheme="minorEastAsia" w:hAnsiTheme="minorEastAsia" w:eastAsiaTheme="minorEastAsia"/>
                <w:color w:val="auto"/>
                <w:sz w:val="22"/>
                <w:szCs w:val="22"/>
                <w:highlight w:val="none"/>
                <w:lang w:eastAsia="zh-CN"/>
              </w:rPr>
              <w:t>戴</w:t>
            </w:r>
            <w:r>
              <w:rPr>
                <w:rFonts w:hint="eastAsia" w:cs="新宋体" w:asciiTheme="minorEastAsia" w:hAnsiTheme="minorEastAsia" w:eastAsiaTheme="minorEastAsia"/>
                <w:color w:val="auto"/>
                <w:sz w:val="22"/>
                <w:szCs w:val="22"/>
                <w:highlight w:val="none"/>
              </w:rPr>
              <w:t>工号牌,完成岗前准备工作</w:t>
            </w:r>
          </w:p>
        </w:tc>
      </w:tr>
      <w:tr>
        <w:tblPrEx>
          <w:tblLayout w:type="fixed"/>
          <w:tblCellMar>
            <w:top w:w="0" w:type="dxa"/>
            <w:left w:w="108" w:type="dxa"/>
            <w:bottom w:w="0" w:type="dxa"/>
            <w:right w:w="108" w:type="dxa"/>
          </w:tblCellMar>
        </w:tblPrEx>
        <w:trPr>
          <w:trHeight w:val="851" w:hRule="atLeast"/>
          <w:jc w:val="right"/>
        </w:trPr>
        <w:tc>
          <w:tcPr>
            <w:tcW w:w="1646" w:type="dxa"/>
            <w:tcBorders>
              <w:top w:val="single" w:color="000000" w:sz="4"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14:00~15:00</w:t>
            </w:r>
          </w:p>
        </w:tc>
        <w:tc>
          <w:tcPr>
            <w:tcW w:w="4130"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收集急诊各科室的垃圾,尘推,湿拖部分诊室、急诊室,抢救室,治疗室,扩创室,妇、婴室,骨科</w:t>
            </w:r>
          </w:p>
        </w:tc>
        <w:tc>
          <w:tcPr>
            <w:tcW w:w="4078"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扎紧袋口将垃圾配送到指定垃圾站,放置小心地滑牌,保持地面干燥,无血渍</w:t>
            </w:r>
            <w:r>
              <w:rPr>
                <w:rFonts w:hint="eastAsia" w:cs="新宋体" w:asciiTheme="minorEastAsia" w:hAnsiTheme="minorEastAsia" w:eastAsiaTheme="minorEastAsia"/>
                <w:snapToGrid w:val="0"/>
                <w:color w:val="auto"/>
                <w:sz w:val="22"/>
                <w:szCs w:val="22"/>
                <w:highlight w:val="none"/>
              </w:rPr>
              <w:t>、无烟蒂</w:t>
            </w:r>
            <w:r>
              <w:rPr>
                <w:rFonts w:hint="eastAsia" w:cs="新宋体" w:asciiTheme="minorEastAsia" w:hAnsiTheme="minorEastAsia" w:eastAsiaTheme="minorEastAsia"/>
                <w:color w:val="auto"/>
                <w:sz w:val="22"/>
                <w:szCs w:val="22"/>
                <w:highlight w:val="none"/>
              </w:rPr>
              <w:t>、污渍、唾液,垃圾</w:t>
            </w:r>
          </w:p>
        </w:tc>
      </w:tr>
      <w:tr>
        <w:tblPrEx>
          <w:tblLayout w:type="fixed"/>
          <w:tblCellMar>
            <w:top w:w="0" w:type="dxa"/>
            <w:left w:w="108" w:type="dxa"/>
            <w:bottom w:w="0" w:type="dxa"/>
            <w:right w:w="108" w:type="dxa"/>
          </w:tblCellMar>
        </w:tblPrEx>
        <w:trPr>
          <w:trHeight w:val="851" w:hRule="atLeast"/>
          <w:jc w:val="right"/>
        </w:trPr>
        <w:tc>
          <w:tcPr>
            <w:tcW w:w="1646" w:type="dxa"/>
            <w:tcBorders>
              <w:top w:val="single" w:color="000000" w:sz="4"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15:00~16:00</w:t>
            </w:r>
          </w:p>
        </w:tc>
        <w:tc>
          <w:tcPr>
            <w:tcW w:w="4130"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急诊大厅,走廊,安全通道,公共卫生间巡视,清洁维护,其它诊室维护,各诊室台面,家具,窗台,开关,墙壁擦拭</w:t>
            </w:r>
          </w:p>
        </w:tc>
        <w:tc>
          <w:tcPr>
            <w:tcW w:w="4078"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保持通道畅通,地面无血渍,污渍,水渍,唾液,卫生间无异味</w:t>
            </w:r>
            <w:r>
              <w:rPr>
                <w:rFonts w:hint="eastAsia" w:cs="新宋体" w:asciiTheme="minorEastAsia" w:hAnsiTheme="minorEastAsia" w:eastAsiaTheme="minorEastAsia"/>
                <w:snapToGrid w:val="0"/>
                <w:color w:val="auto"/>
                <w:sz w:val="22"/>
                <w:szCs w:val="22"/>
                <w:highlight w:val="none"/>
              </w:rPr>
              <w:t>、无烟蒂</w:t>
            </w:r>
            <w:r>
              <w:rPr>
                <w:rFonts w:hint="eastAsia" w:cs="新宋体" w:asciiTheme="minorEastAsia" w:hAnsiTheme="minorEastAsia" w:eastAsiaTheme="minorEastAsia"/>
                <w:color w:val="auto"/>
                <w:sz w:val="22"/>
                <w:szCs w:val="22"/>
                <w:highlight w:val="none"/>
              </w:rPr>
              <w:t>,诊室台面,窗台,窗框无灰尘</w:t>
            </w:r>
          </w:p>
        </w:tc>
      </w:tr>
      <w:tr>
        <w:tblPrEx>
          <w:tblLayout w:type="fixed"/>
          <w:tblCellMar>
            <w:top w:w="0" w:type="dxa"/>
            <w:left w:w="108" w:type="dxa"/>
            <w:bottom w:w="0" w:type="dxa"/>
            <w:right w:w="108" w:type="dxa"/>
          </w:tblCellMar>
        </w:tblPrEx>
        <w:trPr>
          <w:trHeight w:val="851" w:hRule="atLeast"/>
          <w:jc w:val="right"/>
        </w:trPr>
        <w:tc>
          <w:tcPr>
            <w:tcW w:w="1646" w:type="dxa"/>
            <w:tcBorders>
              <w:top w:val="single" w:color="000000" w:sz="4"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16:00~17:00</w:t>
            </w:r>
          </w:p>
        </w:tc>
        <w:tc>
          <w:tcPr>
            <w:tcW w:w="4130"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护士站,急诊收费,挂号处,医护人员更换室,休息室,卫生间尘推,湿拖,公共卫生间洗刷,家具,窗台擦拭</w:t>
            </w:r>
          </w:p>
        </w:tc>
        <w:tc>
          <w:tcPr>
            <w:tcW w:w="4078"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保持医护人员的休息环境整洁</w:t>
            </w:r>
          </w:p>
        </w:tc>
      </w:tr>
      <w:tr>
        <w:tblPrEx>
          <w:tblLayout w:type="fixed"/>
          <w:tblCellMar>
            <w:top w:w="0" w:type="dxa"/>
            <w:left w:w="108" w:type="dxa"/>
            <w:bottom w:w="0" w:type="dxa"/>
            <w:right w:w="108" w:type="dxa"/>
          </w:tblCellMar>
        </w:tblPrEx>
        <w:trPr>
          <w:trHeight w:val="851" w:hRule="atLeast"/>
          <w:jc w:val="right"/>
        </w:trPr>
        <w:tc>
          <w:tcPr>
            <w:tcW w:w="1646" w:type="dxa"/>
            <w:tcBorders>
              <w:top w:val="single" w:color="000000" w:sz="4"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17:00~18:00</w:t>
            </w:r>
          </w:p>
        </w:tc>
        <w:tc>
          <w:tcPr>
            <w:tcW w:w="4130"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晚餐</w:t>
            </w:r>
          </w:p>
        </w:tc>
        <w:tc>
          <w:tcPr>
            <w:tcW w:w="4078"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由于急诊环境特殊,就餐后请不要离开岗位</w:t>
            </w:r>
          </w:p>
        </w:tc>
      </w:tr>
      <w:tr>
        <w:tblPrEx>
          <w:tblLayout w:type="fixed"/>
          <w:tblCellMar>
            <w:top w:w="0" w:type="dxa"/>
            <w:left w:w="108" w:type="dxa"/>
            <w:bottom w:w="0" w:type="dxa"/>
            <w:right w:w="108" w:type="dxa"/>
          </w:tblCellMar>
        </w:tblPrEx>
        <w:trPr>
          <w:trHeight w:val="851" w:hRule="atLeast"/>
          <w:jc w:val="right"/>
        </w:trPr>
        <w:tc>
          <w:tcPr>
            <w:tcW w:w="1646" w:type="dxa"/>
            <w:tcBorders>
              <w:top w:val="single" w:color="000000" w:sz="4"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18:00~19:00</w:t>
            </w:r>
          </w:p>
        </w:tc>
        <w:tc>
          <w:tcPr>
            <w:tcW w:w="4130"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急诊治疗室,抢救室,扩创室等主要科室,湿拖维护,急诊大厅尘推,协助配送人员做好急诊抢救工作</w:t>
            </w:r>
          </w:p>
        </w:tc>
        <w:tc>
          <w:tcPr>
            <w:tcW w:w="4078"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重点科室,重点维护,及时协助运送抢救病人</w:t>
            </w:r>
          </w:p>
        </w:tc>
      </w:tr>
      <w:tr>
        <w:tblPrEx>
          <w:tblLayout w:type="fixed"/>
          <w:tblCellMar>
            <w:top w:w="0" w:type="dxa"/>
            <w:left w:w="108" w:type="dxa"/>
            <w:bottom w:w="0" w:type="dxa"/>
            <w:right w:w="108" w:type="dxa"/>
          </w:tblCellMar>
        </w:tblPrEx>
        <w:trPr>
          <w:trHeight w:val="851" w:hRule="atLeast"/>
          <w:jc w:val="right"/>
        </w:trPr>
        <w:tc>
          <w:tcPr>
            <w:tcW w:w="1646" w:type="dxa"/>
            <w:tcBorders>
              <w:top w:val="single" w:color="000000" w:sz="4"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19:00~20:00</w:t>
            </w:r>
          </w:p>
        </w:tc>
        <w:tc>
          <w:tcPr>
            <w:tcW w:w="4130"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急诊大厅公共设备擦拭,地面维护,诊室巡视,卫生间清洗,运送抢救病人</w:t>
            </w:r>
          </w:p>
        </w:tc>
        <w:tc>
          <w:tcPr>
            <w:tcW w:w="4078"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保持环境,卫生,诊室清洁</w:t>
            </w:r>
          </w:p>
        </w:tc>
      </w:tr>
      <w:tr>
        <w:tblPrEx>
          <w:tblLayout w:type="fixed"/>
          <w:tblCellMar>
            <w:top w:w="0" w:type="dxa"/>
            <w:left w:w="108" w:type="dxa"/>
            <w:bottom w:w="0" w:type="dxa"/>
            <w:right w:w="108" w:type="dxa"/>
          </w:tblCellMar>
        </w:tblPrEx>
        <w:trPr>
          <w:trHeight w:val="851" w:hRule="atLeast"/>
          <w:jc w:val="right"/>
        </w:trPr>
        <w:tc>
          <w:tcPr>
            <w:tcW w:w="1646" w:type="dxa"/>
            <w:tcBorders>
              <w:top w:val="single" w:color="000000" w:sz="4"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20:00~21:00</w:t>
            </w:r>
          </w:p>
        </w:tc>
        <w:tc>
          <w:tcPr>
            <w:tcW w:w="4130"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垃圾筒,烟灰缸清洗,植物壶等捡除垃圾,候诊椅摆放整齐,收、挂号处窗台、地面清洁,运送抢救病人</w:t>
            </w:r>
          </w:p>
        </w:tc>
        <w:tc>
          <w:tcPr>
            <w:tcW w:w="4078"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要求地面干净,候诊椅整齐,公共卫生间无异味</w:t>
            </w:r>
            <w:r>
              <w:rPr>
                <w:rFonts w:hint="eastAsia" w:cs="新宋体" w:asciiTheme="minorEastAsia" w:hAnsiTheme="minorEastAsia" w:eastAsiaTheme="minorEastAsia"/>
                <w:snapToGrid w:val="0"/>
                <w:color w:val="auto"/>
                <w:sz w:val="22"/>
                <w:szCs w:val="22"/>
                <w:highlight w:val="none"/>
              </w:rPr>
              <w:t>、无烟蒂</w:t>
            </w:r>
          </w:p>
        </w:tc>
      </w:tr>
      <w:tr>
        <w:tblPrEx>
          <w:tblLayout w:type="fixed"/>
          <w:tblCellMar>
            <w:top w:w="0" w:type="dxa"/>
            <w:left w:w="108" w:type="dxa"/>
            <w:bottom w:w="0" w:type="dxa"/>
            <w:right w:w="108" w:type="dxa"/>
          </w:tblCellMar>
        </w:tblPrEx>
        <w:trPr>
          <w:trHeight w:val="851" w:hRule="atLeast"/>
          <w:jc w:val="right"/>
        </w:trPr>
        <w:tc>
          <w:tcPr>
            <w:tcW w:w="1646" w:type="dxa"/>
            <w:tcBorders>
              <w:top w:val="single" w:color="000000" w:sz="4"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21:00~21:50</w:t>
            </w:r>
          </w:p>
        </w:tc>
        <w:tc>
          <w:tcPr>
            <w:tcW w:w="4130"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诊室巡视治疗室,抢救室,扩创室清洁湿拖,大厅巡视,公共卫生间清洁,运送抢救病人</w:t>
            </w:r>
          </w:p>
        </w:tc>
        <w:tc>
          <w:tcPr>
            <w:tcW w:w="4078"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p>
        </w:tc>
      </w:tr>
      <w:tr>
        <w:tblPrEx>
          <w:tblLayout w:type="fixed"/>
          <w:tblCellMar>
            <w:top w:w="0" w:type="dxa"/>
            <w:left w:w="108" w:type="dxa"/>
            <w:bottom w:w="0" w:type="dxa"/>
            <w:right w:w="108" w:type="dxa"/>
          </w:tblCellMar>
        </w:tblPrEx>
        <w:trPr>
          <w:trHeight w:val="851" w:hRule="atLeast"/>
          <w:jc w:val="right"/>
        </w:trPr>
        <w:tc>
          <w:tcPr>
            <w:tcW w:w="1646" w:type="dxa"/>
            <w:tcBorders>
              <w:top w:val="single" w:color="000000" w:sz="4"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21:50~22:00</w:t>
            </w:r>
          </w:p>
        </w:tc>
        <w:tc>
          <w:tcPr>
            <w:tcW w:w="4130"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擦拭毛巾,拖头,尘推清洗,消毒,清洗整理保洁车,做好交接班</w:t>
            </w:r>
          </w:p>
        </w:tc>
        <w:tc>
          <w:tcPr>
            <w:tcW w:w="4078"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毛巾,拖头,尘推应放置在不同的容器浸泡,消毒,清洗</w:t>
            </w:r>
          </w:p>
        </w:tc>
      </w:tr>
      <w:tr>
        <w:tblPrEx>
          <w:tblLayout w:type="fixed"/>
          <w:tblCellMar>
            <w:top w:w="0" w:type="dxa"/>
            <w:left w:w="108" w:type="dxa"/>
            <w:bottom w:w="0" w:type="dxa"/>
            <w:right w:w="108" w:type="dxa"/>
          </w:tblCellMar>
        </w:tblPrEx>
        <w:trPr>
          <w:trHeight w:val="667" w:hRule="atLeast"/>
          <w:jc w:val="right"/>
        </w:trPr>
        <w:tc>
          <w:tcPr>
            <w:tcW w:w="1646" w:type="dxa"/>
            <w:tcBorders>
              <w:top w:val="single" w:color="000000" w:sz="4" w:space="0"/>
              <w:left w:val="single" w:color="000000" w:sz="12" w:space="0"/>
              <w:bottom w:val="single" w:color="000000" w:sz="12" w:space="0"/>
              <w:right w:val="single" w:color="000000" w:sz="4" w:space="0"/>
            </w:tcBorders>
            <w:vAlign w:val="center"/>
          </w:tcPr>
          <w:p>
            <w:pPr>
              <w:pStyle w:val="70"/>
              <w:ind w:firstLine="0"/>
              <w:jc w:val="center"/>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22:00</w:t>
            </w:r>
          </w:p>
        </w:tc>
        <w:tc>
          <w:tcPr>
            <w:tcW w:w="4130" w:type="dxa"/>
            <w:tcBorders>
              <w:top w:val="single" w:color="000000" w:sz="4" w:space="0"/>
              <w:left w:val="nil"/>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签退</w:t>
            </w:r>
          </w:p>
        </w:tc>
        <w:tc>
          <w:tcPr>
            <w:tcW w:w="4078" w:type="dxa"/>
            <w:tcBorders>
              <w:top w:val="single" w:color="000000" w:sz="4" w:space="0"/>
              <w:left w:val="nil"/>
              <w:bottom w:val="single" w:color="000000" w:sz="12"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遵守作息时间,严禁代考考勤卡</w:t>
            </w:r>
          </w:p>
        </w:tc>
      </w:tr>
    </w:tbl>
    <w:p>
      <w:pPr>
        <w:numPr>
          <w:ilvl w:val="1"/>
          <w:numId w:val="7"/>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急诊(三)</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工作区域: 急诊</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工作时间: 22:00~6:00</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清洁频率: 7天</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工作程序：</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1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①</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高位除尘；</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2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②</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重点清洁与消毒；</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3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③</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清洁与消毒卫生间；</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4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④</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清空垃圾与烟灰缸；</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5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⑤</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干拖地面；</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6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⑥</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湿拖地面</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工作流程如下表：</w:t>
      </w:r>
    </w:p>
    <w:tbl>
      <w:tblPr>
        <w:tblStyle w:val="41"/>
        <w:tblW w:w="9854" w:type="dxa"/>
        <w:jc w:val="right"/>
        <w:tblInd w:w="0" w:type="dxa"/>
        <w:tblLayout w:type="fixed"/>
        <w:tblCellMar>
          <w:top w:w="0" w:type="dxa"/>
          <w:left w:w="108" w:type="dxa"/>
          <w:bottom w:w="0" w:type="dxa"/>
          <w:right w:w="108" w:type="dxa"/>
        </w:tblCellMar>
      </w:tblPr>
      <w:tblGrid>
        <w:gridCol w:w="1656"/>
        <w:gridCol w:w="4123"/>
        <w:gridCol w:w="4075"/>
      </w:tblGrid>
      <w:tr>
        <w:tblPrEx>
          <w:tblLayout w:type="fixed"/>
          <w:tblCellMar>
            <w:top w:w="0" w:type="dxa"/>
            <w:left w:w="108" w:type="dxa"/>
            <w:bottom w:w="0" w:type="dxa"/>
            <w:right w:w="108" w:type="dxa"/>
          </w:tblCellMar>
        </w:tblPrEx>
        <w:trPr>
          <w:trHeight w:val="766" w:hRule="atLeast"/>
          <w:jc w:val="right"/>
        </w:trPr>
        <w:tc>
          <w:tcPr>
            <w:tcW w:w="1656" w:type="dxa"/>
            <w:tcBorders>
              <w:top w:val="single" w:color="000000" w:sz="12"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时 间</w:t>
            </w:r>
          </w:p>
        </w:tc>
        <w:tc>
          <w:tcPr>
            <w:tcW w:w="4123" w:type="dxa"/>
            <w:tcBorders>
              <w:top w:val="single" w:color="000000" w:sz="12"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区 域</w:t>
            </w:r>
          </w:p>
        </w:tc>
        <w:tc>
          <w:tcPr>
            <w:tcW w:w="4075" w:type="dxa"/>
            <w:tcBorders>
              <w:top w:val="single" w:color="000000" w:sz="12"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责 任</w:t>
            </w:r>
          </w:p>
        </w:tc>
      </w:tr>
      <w:tr>
        <w:tblPrEx>
          <w:tblLayout w:type="fixed"/>
          <w:tblCellMar>
            <w:top w:w="0" w:type="dxa"/>
            <w:left w:w="108" w:type="dxa"/>
            <w:bottom w:w="0" w:type="dxa"/>
            <w:right w:w="108" w:type="dxa"/>
          </w:tblCellMar>
        </w:tblPrEx>
        <w:trPr>
          <w:trHeight w:val="762"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22:00</w:t>
            </w:r>
          </w:p>
        </w:tc>
        <w:tc>
          <w:tcPr>
            <w:tcW w:w="4123"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到岗</w:t>
            </w:r>
          </w:p>
        </w:tc>
        <w:tc>
          <w:tcPr>
            <w:tcW w:w="407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完成刷卡,更换工作服,佩带</w:t>
            </w:r>
            <w:r>
              <w:rPr>
                <w:rFonts w:hint="eastAsia" w:cs="新宋体" w:asciiTheme="minorEastAsia" w:hAnsiTheme="minorEastAsia" w:eastAsiaTheme="minorEastAsia"/>
                <w:color w:val="auto"/>
                <w:sz w:val="22"/>
                <w:szCs w:val="22"/>
                <w:highlight w:val="none"/>
                <w:lang w:eastAsia="zh-CN"/>
              </w:rPr>
              <w:t>戴</w:t>
            </w:r>
            <w:r>
              <w:rPr>
                <w:rFonts w:hint="eastAsia" w:cs="新宋体" w:asciiTheme="minorEastAsia" w:hAnsiTheme="minorEastAsia" w:eastAsiaTheme="minorEastAsia"/>
                <w:color w:val="auto"/>
                <w:sz w:val="22"/>
                <w:szCs w:val="22"/>
                <w:highlight w:val="none"/>
              </w:rPr>
              <w:t>工号牌,完成岗前准备工作</w:t>
            </w:r>
          </w:p>
        </w:tc>
      </w:tr>
      <w:tr>
        <w:tblPrEx>
          <w:tblLayout w:type="fixed"/>
          <w:tblCellMar>
            <w:top w:w="0" w:type="dxa"/>
            <w:left w:w="108" w:type="dxa"/>
            <w:bottom w:w="0" w:type="dxa"/>
            <w:right w:w="108" w:type="dxa"/>
          </w:tblCellMar>
        </w:tblPrEx>
        <w:trPr>
          <w:trHeight w:val="851"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22:00~23:00</w:t>
            </w:r>
          </w:p>
        </w:tc>
        <w:tc>
          <w:tcPr>
            <w:tcW w:w="4123"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收集急诊各科室的垃圾,各诊室台面擦拭,家具,窗台,玻璃,墙壁擦拭及急诊大厅走廊,公共卫生间巡视</w:t>
            </w:r>
          </w:p>
        </w:tc>
        <w:tc>
          <w:tcPr>
            <w:tcW w:w="407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将收集好垃圾扎好袋口放在指定垃圾站,诊室内无灰尘,无异味</w:t>
            </w:r>
            <w:r>
              <w:rPr>
                <w:rFonts w:hint="eastAsia" w:cs="新宋体" w:asciiTheme="minorEastAsia" w:hAnsiTheme="minorEastAsia" w:eastAsiaTheme="minorEastAsia"/>
                <w:snapToGrid w:val="0"/>
                <w:color w:val="auto"/>
                <w:sz w:val="22"/>
                <w:szCs w:val="22"/>
                <w:highlight w:val="none"/>
              </w:rPr>
              <w:t>，无烟蒂</w:t>
            </w:r>
            <w:r>
              <w:rPr>
                <w:rFonts w:hint="eastAsia" w:cs="新宋体" w:asciiTheme="minorEastAsia" w:hAnsiTheme="minorEastAsia" w:eastAsiaTheme="minorEastAsia"/>
                <w:color w:val="auto"/>
                <w:sz w:val="22"/>
                <w:szCs w:val="22"/>
                <w:highlight w:val="none"/>
              </w:rPr>
              <w:t>,地面无水渍,血渍、污渍</w:t>
            </w:r>
          </w:p>
        </w:tc>
      </w:tr>
      <w:tr>
        <w:tblPrEx>
          <w:tblLayout w:type="fixed"/>
          <w:tblCellMar>
            <w:top w:w="0" w:type="dxa"/>
            <w:left w:w="108" w:type="dxa"/>
            <w:bottom w:w="0" w:type="dxa"/>
            <w:right w:w="108" w:type="dxa"/>
          </w:tblCellMar>
        </w:tblPrEx>
        <w:trPr>
          <w:trHeight w:val="851"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23:00~0:00</w:t>
            </w:r>
          </w:p>
        </w:tc>
        <w:tc>
          <w:tcPr>
            <w:tcW w:w="4123"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诊室巡视清洁,治疗室,抢救室,扩创室,儿科,骨科地面湿拖,公共卫生间清洗,护送急诊病人拍片</w:t>
            </w:r>
          </w:p>
        </w:tc>
        <w:tc>
          <w:tcPr>
            <w:tcW w:w="407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工作时放好小心地滑牌,保持地面无积水,无垃圾,卫生间无异味</w:t>
            </w:r>
            <w:r>
              <w:rPr>
                <w:rFonts w:hint="eastAsia" w:cs="新宋体" w:asciiTheme="minorEastAsia" w:hAnsiTheme="minorEastAsia" w:eastAsiaTheme="minorEastAsia"/>
                <w:snapToGrid w:val="0"/>
                <w:color w:val="auto"/>
                <w:sz w:val="22"/>
                <w:szCs w:val="22"/>
                <w:highlight w:val="none"/>
              </w:rPr>
              <w:t>、无烟蒂</w:t>
            </w:r>
            <w:r>
              <w:rPr>
                <w:rFonts w:hint="eastAsia" w:cs="新宋体" w:asciiTheme="minorEastAsia" w:hAnsiTheme="minorEastAsia" w:eastAsiaTheme="minorEastAsia"/>
                <w:color w:val="auto"/>
                <w:sz w:val="22"/>
                <w:szCs w:val="22"/>
                <w:highlight w:val="none"/>
              </w:rPr>
              <w:t>,水斗,台面,镜面清洁</w:t>
            </w:r>
          </w:p>
        </w:tc>
      </w:tr>
      <w:tr>
        <w:tblPrEx>
          <w:tblLayout w:type="fixed"/>
          <w:tblCellMar>
            <w:top w:w="0" w:type="dxa"/>
            <w:left w:w="108" w:type="dxa"/>
            <w:bottom w:w="0" w:type="dxa"/>
            <w:right w:w="108" w:type="dxa"/>
          </w:tblCellMar>
        </w:tblPrEx>
        <w:trPr>
          <w:trHeight w:val="851"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0:00~1:00</w:t>
            </w:r>
          </w:p>
        </w:tc>
        <w:tc>
          <w:tcPr>
            <w:tcW w:w="4123"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夜餐</w:t>
            </w:r>
          </w:p>
        </w:tc>
        <w:tc>
          <w:tcPr>
            <w:tcW w:w="407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由于急诊环境特殊,就餐后请不要离开工作岗位</w:t>
            </w:r>
          </w:p>
        </w:tc>
      </w:tr>
      <w:tr>
        <w:tblPrEx>
          <w:tblLayout w:type="fixed"/>
          <w:tblCellMar>
            <w:top w:w="0" w:type="dxa"/>
            <w:left w:w="108" w:type="dxa"/>
            <w:bottom w:w="0" w:type="dxa"/>
            <w:right w:w="108" w:type="dxa"/>
          </w:tblCellMar>
        </w:tblPrEx>
        <w:trPr>
          <w:trHeight w:val="851"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1:00~2:00</w:t>
            </w:r>
          </w:p>
        </w:tc>
        <w:tc>
          <w:tcPr>
            <w:tcW w:w="4123"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急诊大厅,走廊尘推维护,护士站,急诊收费,挂号处窗台,地面清洗,告示牌,垃圾筒,烟灰缸,壶墨设施清洗</w:t>
            </w:r>
          </w:p>
        </w:tc>
        <w:tc>
          <w:tcPr>
            <w:tcW w:w="407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保持夜间环境整洁,走道畅通</w:t>
            </w:r>
          </w:p>
        </w:tc>
      </w:tr>
      <w:tr>
        <w:tblPrEx>
          <w:tblLayout w:type="fixed"/>
          <w:tblCellMar>
            <w:top w:w="0" w:type="dxa"/>
            <w:left w:w="108" w:type="dxa"/>
            <w:bottom w:w="0" w:type="dxa"/>
            <w:right w:w="108" w:type="dxa"/>
          </w:tblCellMar>
        </w:tblPrEx>
        <w:trPr>
          <w:trHeight w:val="851"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2:00~3:00</w:t>
            </w:r>
          </w:p>
        </w:tc>
        <w:tc>
          <w:tcPr>
            <w:tcW w:w="4123"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急诊各诊室边角,就诊卡,床头柜,就诊凳椅清洗、消毒,公共卫生间洗刷,手斗,台面,镜面清洗</w:t>
            </w:r>
          </w:p>
        </w:tc>
        <w:tc>
          <w:tcPr>
            <w:tcW w:w="407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确保诊室床位,床头柜,椅凳无灰尘,无卫生死角</w:t>
            </w:r>
          </w:p>
        </w:tc>
      </w:tr>
      <w:tr>
        <w:tblPrEx>
          <w:tblLayout w:type="fixed"/>
          <w:tblCellMar>
            <w:top w:w="0" w:type="dxa"/>
            <w:left w:w="108" w:type="dxa"/>
            <w:bottom w:w="0" w:type="dxa"/>
            <w:right w:w="108" w:type="dxa"/>
          </w:tblCellMar>
        </w:tblPrEx>
        <w:trPr>
          <w:trHeight w:val="851"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3:00~4:00</w:t>
            </w:r>
          </w:p>
        </w:tc>
        <w:tc>
          <w:tcPr>
            <w:tcW w:w="4123"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污物间清洁整理,闲置急救平车清洗,候诊椅清洗消毒并摆放整齐,急诊大厅门玻璃,收费</w:t>
            </w:r>
            <w:r>
              <w:rPr>
                <w:rFonts w:hint="eastAsia" w:cs="新宋体" w:asciiTheme="minorEastAsia" w:hAnsiTheme="minorEastAsia" w:eastAsiaTheme="minorEastAsia"/>
                <w:color w:val="auto"/>
                <w:sz w:val="22"/>
                <w:szCs w:val="22"/>
                <w:highlight w:val="none"/>
                <w:lang w:eastAsia="zh-CN"/>
              </w:rPr>
              <w:t>、</w:t>
            </w:r>
            <w:r>
              <w:rPr>
                <w:rFonts w:hint="eastAsia" w:cs="新宋体" w:asciiTheme="minorEastAsia" w:hAnsiTheme="minorEastAsia" w:eastAsiaTheme="minorEastAsia"/>
                <w:color w:val="auto"/>
                <w:sz w:val="22"/>
                <w:szCs w:val="22"/>
                <w:highlight w:val="none"/>
              </w:rPr>
              <w:t>挂号处玻璃清洗</w:t>
            </w:r>
          </w:p>
        </w:tc>
        <w:tc>
          <w:tcPr>
            <w:tcW w:w="407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保证急救车辆清洁卫生,安全,玻璃清洁,光亮</w:t>
            </w:r>
          </w:p>
        </w:tc>
      </w:tr>
      <w:tr>
        <w:tblPrEx>
          <w:tblLayout w:type="fixed"/>
          <w:tblCellMar>
            <w:top w:w="0" w:type="dxa"/>
            <w:left w:w="108" w:type="dxa"/>
            <w:bottom w:w="0" w:type="dxa"/>
            <w:right w:w="108" w:type="dxa"/>
          </w:tblCellMar>
        </w:tblPrEx>
        <w:trPr>
          <w:trHeight w:val="851"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4:00~5:00</w:t>
            </w:r>
          </w:p>
        </w:tc>
        <w:tc>
          <w:tcPr>
            <w:tcW w:w="4123"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每日重点清洗及运送急诊,抢救病人、拍片、化验</w:t>
            </w:r>
          </w:p>
        </w:tc>
        <w:tc>
          <w:tcPr>
            <w:tcW w:w="407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重点保洁按说明内容完成工作</w:t>
            </w:r>
          </w:p>
        </w:tc>
      </w:tr>
      <w:tr>
        <w:tblPrEx>
          <w:tblLayout w:type="fixed"/>
          <w:tblCellMar>
            <w:top w:w="0" w:type="dxa"/>
            <w:left w:w="108" w:type="dxa"/>
            <w:bottom w:w="0" w:type="dxa"/>
            <w:right w:w="108" w:type="dxa"/>
          </w:tblCellMar>
        </w:tblPrEx>
        <w:trPr>
          <w:trHeight w:val="851"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5:00~5:40</w:t>
            </w:r>
          </w:p>
        </w:tc>
        <w:tc>
          <w:tcPr>
            <w:tcW w:w="4123"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急诊室巡视,打扫(全部)急诊大厅,走廊,安全通道,消防楼梯,电梯尘推,消防箱,通风口擦拭</w:t>
            </w:r>
          </w:p>
        </w:tc>
        <w:tc>
          <w:tcPr>
            <w:tcW w:w="407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保证地面无垃圾,纸条,果壳,污渍,血渍,唾液</w:t>
            </w:r>
          </w:p>
        </w:tc>
      </w:tr>
      <w:tr>
        <w:tblPrEx>
          <w:tblLayout w:type="fixed"/>
          <w:tblCellMar>
            <w:top w:w="0" w:type="dxa"/>
            <w:left w:w="108" w:type="dxa"/>
            <w:bottom w:w="0" w:type="dxa"/>
            <w:right w:w="108" w:type="dxa"/>
          </w:tblCellMar>
        </w:tblPrEx>
        <w:trPr>
          <w:trHeight w:val="851"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5:40~6:00</w:t>
            </w:r>
          </w:p>
        </w:tc>
        <w:tc>
          <w:tcPr>
            <w:tcW w:w="4123"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清洗擦拭毛巾,拖头,尘推清洗,消毒,清洗整理保洁车,做好交接班</w:t>
            </w:r>
          </w:p>
        </w:tc>
        <w:tc>
          <w:tcPr>
            <w:tcW w:w="407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将擦拭毛巾,拖头,尘推应放置在不同的容器浸泡,消毒,清洗,将垃圾送往指定垃圾站</w:t>
            </w:r>
          </w:p>
        </w:tc>
      </w:tr>
      <w:tr>
        <w:tblPrEx>
          <w:tblLayout w:type="fixed"/>
          <w:tblCellMar>
            <w:top w:w="0" w:type="dxa"/>
            <w:left w:w="108" w:type="dxa"/>
            <w:bottom w:w="0" w:type="dxa"/>
            <w:right w:w="108" w:type="dxa"/>
          </w:tblCellMar>
        </w:tblPrEx>
        <w:trPr>
          <w:trHeight w:val="851" w:hRule="atLeast"/>
          <w:jc w:val="right"/>
        </w:trPr>
        <w:tc>
          <w:tcPr>
            <w:tcW w:w="1656" w:type="dxa"/>
            <w:tcBorders>
              <w:top w:val="single" w:color="000000" w:sz="4" w:space="0"/>
              <w:left w:val="single" w:color="000000" w:sz="12" w:space="0"/>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6:00</w:t>
            </w:r>
          </w:p>
        </w:tc>
        <w:tc>
          <w:tcPr>
            <w:tcW w:w="4123" w:type="dxa"/>
            <w:tcBorders>
              <w:top w:val="single" w:color="000000" w:sz="4" w:space="0"/>
              <w:left w:val="nil"/>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签退</w:t>
            </w:r>
          </w:p>
        </w:tc>
        <w:tc>
          <w:tcPr>
            <w:tcW w:w="4075" w:type="dxa"/>
            <w:tcBorders>
              <w:top w:val="single" w:color="000000" w:sz="4" w:space="0"/>
              <w:left w:val="nil"/>
              <w:bottom w:val="single" w:color="000000" w:sz="12"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遵守作息时间,严禁代考考勤卡</w:t>
            </w:r>
          </w:p>
        </w:tc>
      </w:tr>
    </w:tbl>
    <w:p>
      <w:pPr>
        <w:numPr>
          <w:ilvl w:val="0"/>
          <w:numId w:val="7"/>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门诊大厅日常保洁工作流程</w:t>
      </w:r>
    </w:p>
    <w:p>
      <w:pPr>
        <w:numPr>
          <w:ilvl w:val="1"/>
          <w:numId w:val="7"/>
        </w:numPr>
        <w:tabs>
          <w:tab w:val="left" w:pos="720"/>
        </w:tabs>
        <w:spacing w:line="340" w:lineRule="exact"/>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工作区域：门诊大厅</w:t>
      </w:r>
    </w:p>
    <w:p>
      <w:pPr>
        <w:numPr>
          <w:ilvl w:val="1"/>
          <w:numId w:val="7"/>
        </w:numPr>
        <w:tabs>
          <w:tab w:val="left" w:pos="720"/>
        </w:tabs>
        <w:spacing w:line="340" w:lineRule="exact"/>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工作时间： 6:30~17:00</w:t>
      </w:r>
    </w:p>
    <w:p>
      <w:pPr>
        <w:numPr>
          <w:ilvl w:val="1"/>
          <w:numId w:val="7"/>
        </w:numPr>
        <w:tabs>
          <w:tab w:val="left" w:pos="720"/>
        </w:tabs>
        <w:spacing w:line="340" w:lineRule="exact"/>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清洁频率：7天</w:t>
      </w:r>
    </w:p>
    <w:p>
      <w:pPr>
        <w:numPr>
          <w:ilvl w:val="1"/>
          <w:numId w:val="7"/>
        </w:numPr>
        <w:tabs>
          <w:tab w:val="left" w:pos="720"/>
        </w:tabs>
        <w:spacing w:line="340" w:lineRule="exact"/>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工作程序：</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1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①</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高位除尘；</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2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②</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重点清洁与消毒；</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3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③</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清洁与消毒卫生间；</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4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④</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清空垃圾与烟灰缸；</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5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⑤</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干拖地面；</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6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⑥</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湿拖地面</w:t>
      </w:r>
    </w:p>
    <w:p>
      <w:pPr>
        <w:numPr>
          <w:ilvl w:val="1"/>
          <w:numId w:val="7"/>
        </w:numPr>
        <w:tabs>
          <w:tab w:val="left" w:pos="720"/>
          <w:tab w:val="clear" w:pos="680"/>
        </w:tabs>
        <w:spacing w:line="340" w:lineRule="exact"/>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工作流程如下表：</w:t>
      </w:r>
    </w:p>
    <w:tbl>
      <w:tblPr>
        <w:tblStyle w:val="41"/>
        <w:tblW w:w="9854" w:type="dxa"/>
        <w:jc w:val="right"/>
        <w:tblInd w:w="0" w:type="dxa"/>
        <w:tblLayout w:type="fixed"/>
        <w:tblCellMar>
          <w:top w:w="0" w:type="dxa"/>
          <w:left w:w="108" w:type="dxa"/>
          <w:bottom w:w="0" w:type="dxa"/>
          <w:right w:w="108" w:type="dxa"/>
        </w:tblCellMar>
      </w:tblPr>
      <w:tblGrid>
        <w:gridCol w:w="1656"/>
        <w:gridCol w:w="4116"/>
        <w:gridCol w:w="4082"/>
      </w:tblGrid>
      <w:tr>
        <w:tblPrEx>
          <w:tblLayout w:type="fixed"/>
          <w:tblCellMar>
            <w:top w:w="0" w:type="dxa"/>
            <w:left w:w="108" w:type="dxa"/>
            <w:bottom w:w="0" w:type="dxa"/>
            <w:right w:w="108" w:type="dxa"/>
          </w:tblCellMar>
        </w:tblPrEx>
        <w:trPr>
          <w:trHeight w:val="613" w:hRule="atLeast"/>
          <w:jc w:val="right"/>
        </w:trPr>
        <w:tc>
          <w:tcPr>
            <w:tcW w:w="1656" w:type="dxa"/>
            <w:tcBorders>
              <w:top w:val="single" w:color="000000" w:sz="12"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时 间</w:t>
            </w:r>
          </w:p>
        </w:tc>
        <w:tc>
          <w:tcPr>
            <w:tcW w:w="4116" w:type="dxa"/>
            <w:tcBorders>
              <w:top w:val="single" w:color="000000" w:sz="12"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区 域</w:t>
            </w:r>
          </w:p>
        </w:tc>
        <w:tc>
          <w:tcPr>
            <w:tcW w:w="4082" w:type="dxa"/>
            <w:tcBorders>
              <w:top w:val="single" w:color="000000" w:sz="12"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责 任</w:t>
            </w:r>
          </w:p>
        </w:tc>
      </w:tr>
      <w:tr>
        <w:tblPrEx>
          <w:tblLayout w:type="fixed"/>
          <w:tblCellMar>
            <w:top w:w="0" w:type="dxa"/>
            <w:left w:w="108" w:type="dxa"/>
            <w:bottom w:w="0" w:type="dxa"/>
            <w:right w:w="108" w:type="dxa"/>
          </w:tblCellMar>
        </w:tblPrEx>
        <w:trPr>
          <w:trHeight w:val="525"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6:30</w:t>
            </w:r>
          </w:p>
        </w:tc>
        <w:tc>
          <w:tcPr>
            <w:tcW w:w="4116"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到岗</w:t>
            </w:r>
          </w:p>
        </w:tc>
        <w:tc>
          <w:tcPr>
            <w:tcW w:w="4082"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完成刷卡,更换工作服,佩</w:t>
            </w:r>
            <w:r>
              <w:rPr>
                <w:rFonts w:hint="eastAsia" w:cs="新宋体" w:asciiTheme="minorEastAsia" w:hAnsiTheme="minorEastAsia" w:eastAsiaTheme="minorEastAsia"/>
                <w:color w:val="auto"/>
                <w:sz w:val="22"/>
                <w:szCs w:val="22"/>
                <w:highlight w:val="none"/>
                <w:lang w:eastAsia="zh-CN"/>
              </w:rPr>
              <w:t>戴</w:t>
            </w:r>
            <w:r>
              <w:rPr>
                <w:rFonts w:hint="eastAsia" w:cs="新宋体" w:asciiTheme="minorEastAsia" w:hAnsiTheme="minorEastAsia" w:eastAsiaTheme="minorEastAsia"/>
                <w:color w:val="auto"/>
                <w:sz w:val="22"/>
                <w:szCs w:val="22"/>
                <w:highlight w:val="none"/>
              </w:rPr>
              <w:t>工号牌,完成岗前准备工作</w:t>
            </w:r>
          </w:p>
        </w:tc>
      </w:tr>
      <w:tr>
        <w:tblPrEx>
          <w:tblLayout w:type="fixed"/>
          <w:tblCellMar>
            <w:top w:w="0" w:type="dxa"/>
            <w:left w:w="108" w:type="dxa"/>
            <w:bottom w:w="0" w:type="dxa"/>
            <w:right w:w="108" w:type="dxa"/>
          </w:tblCellMar>
        </w:tblPrEx>
        <w:trPr>
          <w:trHeight w:val="851"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6:30~8:00</w:t>
            </w:r>
          </w:p>
        </w:tc>
        <w:tc>
          <w:tcPr>
            <w:tcW w:w="4116"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收集门诊卫生间,收、挂号室,药房,寻医台,询问处及大厅垃圾,清洗卫生间,尘推,湿推大厅,收费,挂号,药房等地面</w:t>
            </w:r>
          </w:p>
        </w:tc>
        <w:tc>
          <w:tcPr>
            <w:tcW w:w="4082"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将收集的垃圾扎好袋口运送到指定垃圾站,卫生间无异味</w:t>
            </w:r>
            <w:r>
              <w:rPr>
                <w:rFonts w:hint="eastAsia" w:cs="新宋体" w:asciiTheme="minorEastAsia" w:hAnsiTheme="minorEastAsia" w:eastAsiaTheme="minorEastAsia"/>
                <w:snapToGrid w:val="0"/>
                <w:color w:val="auto"/>
                <w:sz w:val="22"/>
                <w:szCs w:val="22"/>
                <w:highlight w:val="none"/>
              </w:rPr>
              <w:t>、无烟蒂</w:t>
            </w:r>
            <w:r>
              <w:rPr>
                <w:rFonts w:hint="eastAsia" w:cs="新宋体" w:asciiTheme="minorEastAsia" w:hAnsiTheme="minorEastAsia" w:eastAsiaTheme="minorEastAsia"/>
                <w:color w:val="auto"/>
                <w:sz w:val="22"/>
                <w:szCs w:val="22"/>
                <w:highlight w:val="none"/>
              </w:rPr>
              <w:t>、污垢,大厅地面无垃圾、烟蒂、水渍</w:t>
            </w:r>
          </w:p>
        </w:tc>
      </w:tr>
      <w:tr>
        <w:tblPrEx>
          <w:tblLayout w:type="fixed"/>
          <w:tblCellMar>
            <w:top w:w="0" w:type="dxa"/>
            <w:left w:w="108" w:type="dxa"/>
            <w:bottom w:w="0" w:type="dxa"/>
            <w:right w:w="108" w:type="dxa"/>
          </w:tblCellMar>
        </w:tblPrEx>
        <w:trPr>
          <w:trHeight w:val="851"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8:00~9:00</w:t>
            </w:r>
          </w:p>
        </w:tc>
        <w:tc>
          <w:tcPr>
            <w:tcW w:w="4116"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尘推,湿拖医护人员休息,更衣室,寻医站台面清洗,出、入院收费,结帐处,候诊椅消毒,公共设施擦拭</w:t>
            </w:r>
          </w:p>
        </w:tc>
        <w:tc>
          <w:tcPr>
            <w:tcW w:w="4082"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放好小心地滑牌,保持医护人员生活区清洁,候诊椅要清洁整齐,设施无灰尘</w:t>
            </w:r>
          </w:p>
        </w:tc>
      </w:tr>
      <w:tr>
        <w:tblPrEx>
          <w:tblLayout w:type="fixed"/>
          <w:tblCellMar>
            <w:top w:w="0" w:type="dxa"/>
            <w:left w:w="108" w:type="dxa"/>
            <w:bottom w:w="0" w:type="dxa"/>
            <w:right w:w="108" w:type="dxa"/>
          </w:tblCellMar>
        </w:tblPrEx>
        <w:trPr>
          <w:trHeight w:val="851"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9:00~10:00</w:t>
            </w:r>
          </w:p>
        </w:tc>
        <w:tc>
          <w:tcPr>
            <w:tcW w:w="4116"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维护清洁门玻璃,窗台玻璃,告示牌,柱面清洗,植物壶等,卫生间巡视清洗,大厅巡视清洗</w:t>
            </w:r>
          </w:p>
        </w:tc>
        <w:tc>
          <w:tcPr>
            <w:tcW w:w="4082"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玻璃无污渍,印渍,盆景内无垃圾,便池,便器无异味,地面清洗,镜面清洁</w:t>
            </w:r>
          </w:p>
        </w:tc>
      </w:tr>
      <w:tr>
        <w:tblPrEx>
          <w:tblLayout w:type="fixed"/>
          <w:tblCellMar>
            <w:top w:w="0" w:type="dxa"/>
            <w:left w:w="108" w:type="dxa"/>
            <w:bottom w:w="0" w:type="dxa"/>
            <w:right w:w="108" w:type="dxa"/>
          </w:tblCellMar>
        </w:tblPrEx>
        <w:trPr>
          <w:trHeight w:val="567"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10:00~11:00</w:t>
            </w:r>
          </w:p>
        </w:tc>
        <w:tc>
          <w:tcPr>
            <w:tcW w:w="4116"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墙面清洗,开关,插座擦拭,边角清洗,垃圾筒,烟灰缸清洗,地面尘推,地垫清洗,卫生间巡视</w:t>
            </w:r>
          </w:p>
        </w:tc>
        <w:tc>
          <w:tcPr>
            <w:tcW w:w="4082"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墙面无灰尘,大厅无卫生死角,垃圾筒,烟灰缸外表无污渍,地面无垃圾</w:t>
            </w:r>
            <w:r>
              <w:rPr>
                <w:rFonts w:hint="eastAsia" w:cs="新宋体" w:asciiTheme="minorEastAsia" w:hAnsiTheme="minorEastAsia" w:eastAsiaTheme="minorEastAsia"/>
                <w:snapToGrid w:val="0"/>
                <w:color w:val="auto"/>
                <w:sz w:val="22"/>
                <w:szCs w:val="22"/>
                <w:highlight w:val="none"/>
              </w:rPr>
              <w:t>、无烟蒂</w:t>
            </w:r>
            <w:r>
              <w:rPr>
                <w:rFonts w:hint="eastAsia" w:cs="新宋体" w:asciiTheme="minorEastAsia" w:hAnsiTheme="minorEastAsia" w:eastAsiaTheme="minorEastAsia"/>
                <w:color w:val="auto"/>
                <w:sz w:val="22"/>
                <w:szCs w:val="22"/>
                <w:highlight w:val="none"/>
              </w:rPr>
              <w:t>,地垫无沙子、灰尘、粘物</w:t>
            </w:r>
          </w:p>
        </w:tc>
      </w:tr>
      <w:tr>
        <w:tblPrEx>
          <w:tblLayout w:type="fixed"/>
          <w:tblCellMar>
            <w:top w:w="0" w:type="dxa"/>
            <w:left w:w="108" w:type="dxa"/>
            <w:bottom w:w="0" w:type="dxa"/>
            <w:right w:w="108" w:type="dxa"/>
          </w:tblCellMar>
        </w:tblPrEx>
        <w:trPr>
          <w:trHeight w:val="552"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11:00~13:30</w:t>
            </w:r>
          </w:p>
        </w:tc>
        <w:tc>
          <w:tcPr>
            <w:tcW w:w="4116"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午餐休息</w:t>
            </w:r>
          </w:p>
        </w:tc>
        <w:tc>
          <w:tcPr>
            <w:tcW w:w="4082"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指定专人在午休期间进行大厅地面,卫生间的清洗巡视工作</w:t>
            </w:r>
          </w:p>
        </w:tc>
      </w:tr>
      <w:tr>
        <w:tblPrEx>
          <w:tblLayout w:type="fixed"/>
          <w:tblCellMar>
            <w:top w:w="0" w:type="dxa"/>
            <w:left w:w="108" w:type="dxa"/>
            <w:bottom w:w="0" w:type="dxa"/>
            <w:right w:w="108" w:type="dxa"/>
          </w:tblCellMar>
        </w:tblPrEx>
        <w:trPr>
          <w:trHeight w:val="851"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13:30~14:30</w:t>
            </w:r>
          </w:p>
        </w:tc>
        <w:tc>
          <w:tcPr>
            <w:tcW w:w="4116"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地面尘推,卫生间重点清洗,盆景植物绿化擦拭,烟灰缸,垃圾筒清洗,各收费、挂号,药房,寻医站,询问处清洗</w:t>
            </w:r>
          </w:p>
        </w:tc>
        <w:tc>
          <w:tcPr>
            <w:tcW w:w="4082"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盆景绿化叶无灰尘,环境整洁,地面无垃圾、果壳、纸条</w:t>
            </w:r>
          </w:p>
        </w:tc>
      </w:tr>
      <w:tr>
        <w:tblPrEx>
          <w:tblLayout w:type="fixed"/>
          <w:tblCellMar>
            <w:top w:w="0" w:type="dxa"/>
            <w:left w:w="108" w:type="dxa"/>
            <w:bottom w:w="0" w:type="dxa"/>
            <w:right w:w="108" w:type="dxa"/>
          </w:tblCellMar>
        </w:tblPrEx>
        <w:trPr>
          <w:trHeight w:val="668"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14:30~15:30</w:t>
            </w:r>
          </w:p>
        </w:tc>
        <w:tc>
          <w:tcPr>
            <w:tcW w:w="4116"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再次清洗收费,挂号,药房,出入院收费,结帐处等室内台面,办公室,凳椅及地面打扫</w:t>
            </w:r>
            <w:r>
              <w:rPr>
                <w:rFonts w:hint="eastAsia" w:cs="新宋体" w:asciiTheme="minorEastAsia" w:hAnsiTheme="minorEastAsia" w:eastAsiaTheme="minorEastAsia"/>
                <w:color w:val="auto"/>
                <w:sz w:val="22"/>
                <w:szCs w:val="22"/>
                <w:highlight w:val="none"/>
                <w:lang w:eastAsia="zh-CN"/>
              </w:rPr>
              <w:t>、</w:t>
            </w:r>
            <w:r>
              <w:rPr>
                <w:rFonts w:hint="eastAsia" w:cs="新宋体" w:asciiTheme="minorEastAsia" w:hAnsiTheme="minorEastAsia" w:eastAsiaTheme="minorEastAsia"/>
                <w:color w:val="auto"/>
                <w:sz w:val="22"/>
                <w:szCs w:val="22"/>
                <w:highlight w:val="none"/>
                <w:lang w:val="en-US" w:eastAsia="zh-CN"/>
              </w:rPr>
              <w:t>大厅</w:t>
            </w:r>
            <w:r>
              <w:rPr>
                <w:rFonts w:hint="eastAsia" w:cs="新宋体" w:asciiTheme="minorEastAsia" w:hAnsiTheme="minorEastAsia" w:eastAsiaTheme="minorEastAsia"/>
                <w:color w:val="auto"/>
                <w:sz w:val="22"/>
                <w:szCs w:val="22"/>
                <w:highlight w:val="none"/>
              </w:rPr>
              <w:t>,卫生间巡视</w:t>
            </w:r>
          </w:p>
        </w:tc>
        <w:tc>
          <w:tcPr>
            <w:tcW w:w="4082"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室内无灰尘,无卫生死角,家具,台面,地面清洁</w:t>
            </w:r>
          </w:p>
        </w:tc>
      </w:tr>
      <w:tr>
        <w:tblPrEx>
          <w:tblLayout w:type="fixed"/>
          <w:tblCellMar>
            <w:top w:w="0" w:type="dxa"/>
            <w:left w:w="108" w:type="dxa"/>
            <w:bottom w:w="0" w:type="dxa"/>
            <w:right w:w="108" w:type="dxa"/>
          </w:tblCellMar>
        </w:tblPrEx>
        <w:trPr>
          <w:trHeight w:val="851"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15:30~16:10</w:t>
            </w:r>
          </w:p>
        </w:tc>
        <w:tc>
          <w:tcPr>
            <w:tcW w:w="4116"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再次清洁工作人员办公室,休息室,更衣室,家具,台面,窗台,墙面,凳椅,专用卫浴,垃圾收集</w:t>
            </w:r>
          </w:p>
        </w:tc>
        <w:tc>
          <w:tcPr>
            <w:tcW w:w="4082"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保持工作人员办公,休息场所清洁,整齐,卫、浴干净,无异味</w:t>
            </w:r>
          </w:p>
        </w:tc>
      </w:tr>
      <w:tr>
        <w:tblPrEx>
          <w:tblLayout w:type="fixed"/>
          <w:tblCellMar>
            <w:top w:w="0" w:type="dxa"/>
            <w:left w:w="108" w:type="dxa"/>
            <w:bottom w:w="0" w:type="dxa"/>
            <w:right w:w="108" w:type="dxa"/>
          </w:tblCellMar>
        </w:tblPrEx>
        <w:trPr>
          <w:trHeight w:val="851"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16:10~16:30</w:t>
            </w:r>
          </w:p>
        </w:tc>
        <w:tc>
          <w:tcPr>
            <w:tcW w:w="4116"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收集门诊大厅,公用卫生间及各科室内的垃圾,大厅</w:t>
            </w:r>
            <w:r>
              <w:rPr>
                <w:rFonts w:hint="eastAsia" w:cs="新宋体" w:asciiTheme="minorEastAsia" w:hAnsiTheme="minorEastAsia" w:eastAsiaTheme="minorEastAsia"/>
                <w:color w:val="auto"/>
                <w:sz w:val="22"/>
                <w:szCs w:val="22"/>
                <w:highlight w:val="none"/>
                <w:lang w:eastAsia="zh-CN"/>
              </w:rPr>
              <w:t>、</w:t>
            </w:r>
            <w:r>
              <w:rPr>
                <w:rFonts w:hint="eastAsia" w:cs="新宋体" w:asciiTheme="minorEastAsia" w:hAnsiTheme="minorEastAsia" w:eastAsiaTheme="minorEastAsia"/>
                <w:color w:val="auto"/>
                <w:sz w:val="22"/>
                <w:szCs w:val="22"/>
                <w:highlight w:val="none"/>
              </w:rPr>
              <w:t>公用卫生间巡视,清洁,清洗,整理,消毒保洁工具</w:t>
            </w:r>
          </w:p>
        </w:tc>
        <w:tc>
          <w:tcPr>
            <w:tcW w:w="4082"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将收集的垃圾扎紧袋口送往指定的垃圾站</w:t>
            </w:r>
          </w:p>
        </w:tc>
      </w:tr>
      <w:tr>
        <w:tblPrEx>
          <w:tblLayout w:type="fixed"/>
          <w:tblCellMar>
            <w:top w:w="0" w:type="dxa"/>
            <w:left w:w="108" w:type="dxa"/>
            <w:bottom w:w="0" w:type="dxa"/>
            <w:right w:w="108" w:type="dxa"/>
          </w:tblCellMar>
        </w:tblPrEx>
        <w:trPr>
          <w:trHeight w:val="263" w:hRule="atLeast"/>
          <w:jc w:val="right"/>
        </w:trPr>
        <w:tc>
          <w:tcPr>
            <w:tcW w:w="1656"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16:30~17:00</w:t>
            </w:r>
          </w:p>
        </w:tc>
        <w:tc>
          <w:tcPr>
            <w:tcW w:w="4116"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清洁整理保洁车,整理保洁工具,清洗消毒毛巾,拖头,尘推,做好交接班准备</w:t>
            </w:r>
          </w:p>
        </w:tc>
        <w:tc>
          <w:tcPr>
            <w:tcW w:w="4082"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将毛巾,拖头分容器浸泡,消毒,清洗并将当班工作情况与交接班员说明注意事项</w:t>
            </w:r>
          </w:p>
        </w:tc>
      </w:tr>
      <w:tr>
        <w:tblPrEx>
          <w:tblLayout w:type="fixed"/>
          <w:tblCellMar>
            <w:top w:w="0" w:type="dxa"/>
            <w:left w:w="108" w:type="dxa"/>
            <w:bottom w:w="0" w:type="dxa"/>
            <w:right w:w="108" w:type="dxa"/>
          </w:tblCellMar>
        </w:tblPrEx>
        <w:trPr>
          <w:trHeight w:val="263" w:hRule="atLeast"/>
          <w:jc w:val="right"/>
        </w:trPr>
        <w:tc>
          <w:tcPr>
            <w:tcW w:w="1656" w:type="dxa"/>
            <w:tcBorders>
              <w:top w:val="single" w:color="000000" w:sz="4" w:space="0"/>
              <w:left w:val="single" w:color="000000" w:sz="12" w:space="0"/>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17:00</w:t>
            </w:r>
          </w:p>
        </w:tc>
        <w:tc>
          <w:tcPr>
            <w:tcW w:w="4116" w:type="dxa"/>
            <w:tcBorders>
              <w:top w:val="single" w:color="000000" w:sz="4" w:space="0"/>
              <w:left w:val="nil"/>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签退</w:t>
            </w:r>
          </w:p>
        </w:tc>
        <w:tc>
          <w:tcPr>
            <w:tcW w:w="4082" w:type="dxa"/>
            <w:tcBorders>
              <w:top w:val="single" w:color="000000" w:sz="4" w:space="0"/>
              <w:left w:val="nil"/>
              <w:bottom w:val="single" w:color="000000" w:sz="12"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遵守休息时间,严禁代考考勤卡</w:t>
            </w:r>
          </w:p>
        </w:tc>
      </w:tr>
    </w:tbl>
    <w:p>
      <w:pPr>
        <w:numPr>
          <w:ilvl w:val="0"/>
          <w:numId w:val="7"/>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办公楼日常保洁工作流程</w:t>
      </w:r>
    </w:p>
    <w:p>
      <w:pPr>
        <w:numPr>
          <w:ilvl w:val="1"/>
          <w:numId w:val="7"/>
        </w:numPr>
        <w:tabs>
          <w:tab w:val="left" w:pos="720"/>
        </w:tabs>
        <w:spacing w:line="340" w:lineRule="exact"/>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工作区域：办公楼</w:t>
      </w:r>
    </w:p>
    <w:p>
      <w:pPr>
        <w:numPr>
          <w:ilvl w:val="1"/>
          <w:numId w:val="7"/>
        </w:numPr>
        <w:tabs>
          <w:tab w:val="left" w:pos="720"/>
        </w:tabs>
        <w:spacing w:line="340" w:lineRule="exact"/>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工作时间：7:00~17:00</w:t>
      </w:r>
    </w:p>
    <w:p>
      <w:pPr>
        <w:numPr>
          <w:ilvl w:val="1"/>
          <w:numId w:val="7"/>
        </w:numPr>
        <w:tabs>
          <w:tab w:val="left" w:pos="720"/>
        </w:tabs>
        <w:spacing w:line="340" w:lineRule="exact"/>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清洁频率：7天</w:t>
      </w:r>
    </w:p>
    <w:p>
      <w:pPr>
        <w:numPr>
          <w:ilvl w:val="1"/>
          <w:numId w:val="7"/>
        </w:numPr>
        <w:tabs>
          <w:tab w:val="left" w:pos="720"/>
        </w:tabs>
        <w:spacing w:line="340" w:lineRule="exact"/>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工作程序：</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1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①</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高位除尘；</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2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②</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重点清洁与消毒；</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3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③</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清洁与消毒卫生间；</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4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④</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清空垃圾与烟灰缸；</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5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⑤</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干拖地面；</w:t>
      </w:r>
      <w:r>
        <w:rPr>
          <w:rFonts w:hint="eastAsia" w:cs="新宋体" w:asciiTheme="minorEastAsia" w:hAnsiTheme="minorEastAsia" w:eastAsiaTheme="minorEastAsia"/>
          <w:color w:val="auto"/>
          <w:sz w:val="22"/>
          <w:szCs w:val="22"/>
          <w:highlight w:val="none"/>
        </w:rPr>
        <w:fldChar w:fldCharType="begin"/>
      </w:r>
      <w:r>
        <w:rPr>
          <w:rFonts w:hint="eastAsia" w:cs="新宋体" w:asciiTheme="minorEastAsia" w:hAnsiTheme="minorEastAsia" w:eastAsiaTheme="minorEastAsia"/>
          <w:color w:val="auto"/>
          <w:sz w:val="22"/>
          <w:szCs w:val="22"/>
          <w:highlight w:val="none"/>
        </w:rPr>
        <w:instrText xml:space="preserve"> = 6 \* GB3 </w:instrText>
      </w:r>
      <w:r>
        <w:rPr>
          <w:rFonts w:hint="eastAsia" w:cs="新宋体" w:asciiTheme="minorEastAsia" w:hAnsiTheme="minorEastAsia" w:eastAsiaTheme="minorEastAsia"/>
          <w:color w:val="auto"/>
          <w:sz w:val="22"/>
          <w:szCs w:val="22"/>
          <w:highlight w:val="none"/>
        </w:rPr>
        <w:fldChar w:fldCharType="separate"/>
      </w:r>
      <w:r>
        <w:rPr>
          <w:rFonts w:hint="eastAsia" w:cs="新宋体" w:asciiTheme="minorEastAsia" w:hAnsiTheme="minorEastAsia" w:eastAsiaTheme="minorEastAsia"/>
          <w:color w:val="auto"/>
          <w:sz w:val="22"/>
          <w:szCs w:val="22"/>
          <w:highlight w:val="none"/>
        </w:rPr>
        <w:t>⑥</w:t>
      </w:r>
      <w:r>
        <w:rPr>
          <w:rFonts w:hint="eastAsia" w:cs="新宋体" w:asciiTheme="minorEastAsia" w:hAnsiTheme="minorEastAsia" w:eastAsiaTheme="minorEastAsia"/>
          <w:color w:val="auto"/>
          <w:sz w:val="22"/>
          <w:szCs w:val="22"/>
          <w:highlight w:val="none"/>
        </w:rPr>
        <w:fldChar w:fldCharType="end"/>
      </w:r>
      <w:r>
        <w:rPr>
          <w:rFonts w:hint="eastAsia" w:cs="新宋体" w:asciiTheme="minorEastAsia" w:hAnsiTheme="minorEastAsia" w:eastAsiaTheme="minorEastAsia"/>
          <w:color w:val="auto"/>
          <w:sz w:val="22"/>
          <w:szCs w:val="22"/>
          <w:highlight w:val="none"/>
        </w:rPr>
        <w:t>湿拖地面</w:t>
      </w:r>
    </w:p>
    <w:p>
      <w:pPr>
        <w:numPr>
          <w:ilvl w:val="1"/>
          <w:numId w:val="7"/>
        </w:numPr>
        <w:tabs>
          <w:tab w:val="left" w:pos="720"/>
        </w:tabs>
        <w:spacing w:line="340" w:lineRule="exact"/>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工作流程如下表：</w:t>
      </w:r>
    </w:p>
    <w:tbl>
      <w:tblPr>
        <w:tblStyle w:val="41"/>
        <w:tblW w:w="9854" w:type="dxa"/>
        <w:jc w:val="right"/>
        <w:tblInd w:w="0" w:type="dxa"/>
        <w:tblLayout w:type="fixed"/>
        <w:tblCellMar>
          <w:top w:w="0" w:type="dxa"/>
          <w:left w:w="108" w:type="dxa"/>
          <w:bottom w:w="0" w:type="dxa"/>
          <w:right w:w="108" w:type="dxa"/>
        </w:tblCellMar>
      </w:tblPr>
      <w:tblGrid>
        <w:gridCol w:w="1765"/>
        <w:gridCol w:w="4007"/>
        <w:gridCol w:w="4082"/>
      </w:tblGrid>
      <w:tr>
        <w:tblPrEx>
          <w:tblLayout w:type="fixed"/>
          <w:tblCellMar>
            <w:top w:w="0" w:type="dxa"/>
            <w:left w:w="108" w:type="dxa"/>
            <w:bottom w:w="0" w:type="dxa"/>
            <w:right w:w="108" w:type="dxa"/>
          </w:tblCellMar>
        </w:tblPrEx>
        <w:trPr>
          <w:trHeight w:val="851" w:hRule="atLeast"/>
          <w:jc w:val="right"/>
        </w:trPr>
        <w:tc>
          <w:tcPr>
            <w:tcW w:w="1765" w:type="dxa"/>
            <w:tcBorders>
              <w:top w:val="single" w:color="000000" w:sz="12"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时 间</w:t>
            </w:r>
          </w:p>
        </w:tc>
        <w:tc>
          <w:tcPr>
            <w:tcW w:w="4007" w:type="dxa"/>
            <w:tcBorders>
              <w:top w:val="single" w:color="000000" w:sz="12"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区 域</w:t>
            </w:r>
          </w:p>
        </w:tc>
        <w:tc>
          <w:tcPr>
            <w:tcW w:w="4082" w:type="dxa"/>
            <w:tcBorders>
              <w:top w:val="single" w:color="000000" w:sz="12"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责 任</w:t>
            </w:r>
          </w:p>
        </w:tc>
      </w:tr>
      <w:tr>
        <w:tblPrEx>
          <w:tblLayout w:type="fixed"/>
          <w:tblCellMar>
            <w:top w:w="0" w:type="dxa"/>
            <w:left w:w="108" w:type="dxa"/>
            <w:bottom w:w="0" w:type="dxa"/>
            <w:right w:w="108" w:type="dxa"/>
          </w:tblCellMar>
        </w:tblPrEx>
        <w:trPr>
          <w:trHeight w:val="674" w:hRule="atLeast"/>
          <w:jc w:val="right"/>
        </w:trPr>
        <w:tc>
          <w:tcPr>
            <w:tcW w:w="1765"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7:00</w:t>
            </w:r>
          </w:p>
        </w:tc>
        <w:tc>
          <w:tcPr>
            <w:tcW w:w="4007"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到岗</w:t>
            </w:r>
          </w:p>
        </w:tc>
        <w:tc>
          <w:tcPr>
            <w:tcW w:w="4082"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完成刷卡,更换工作服,佩</w:t>
            </w:r>
            <w:r>
              <w:rPr>
                <w:rFonts w:hint="eastAsia" w:cs="新宋体" w:asciiTheme="minorEastAsia" w:hAnsiTheme="minorEastAsia" w:eastAsiaTheme="minorEastAsia"/>
                <w:color w:val="auto"/>
                <w:sz w:val="22"/>
                <w:szCs w:val="22"/>
                <w:highlight w:val="none"/>
                <w:lang w:eastAsia="zh-CN"/>
              </w:rPr>
              <w:t>戴</w:t>
            </w:r>
            <w:r>
              <w:rPr>
                <w:rFonts w:hint="eastAsia" w:cs="新宋体" w:asciiTheme="minorEastAsia" w:hAnsiTheme="minorEastAsia" w:eastAsiaTheme="minorEastAsia"/>
                <w:color w:val="auto"/>
                <w:sz w:val="22"/>
                <w:szCs w:val="22"/>
                <w:highlight w:val="none"/>
              </w:rPr>
              <w:t>工号牌,完成岗前准备工作</w:t>
            </w:r>
          </w:p>
        </w:tc>
      </w:tr>
      <w:tr>
        <w:tblPrEx>
          <w:tblLayout w:type="fixed"/>
          <w:tblCellMar>
            <w:top w:w="0" w:type="dxa"/>
            <w:left w:w="108" w:type="dxa"/>
            <w:bottom w:w="0" w:type="dxa"/>
            <w:right w:w="108" w:type="dxa"/>
          </w:tblCellMar>
        </w:tblPrEx>
        <w:trPr>
          <w:trHeight w:val="851" w:hRule="atLeast"/>
          <w:jc w:val="right"/>
        </w:trPr>
        <w:tc>
          <w:tcPr>
            <w:tcW w:w="1765"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7:00~8:00</w:t>
            </w:r>
          </w:p>
        </w:tc>
        <w:tc>
          <w:tcPr>
            <w:tcW w:w="4007"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公共部位走廊,安全通道,消防楼梯尘推,湿拖,公共卫生间重点清洗,清点工作人员工作服</w:t>
            </w:r>
          </w:p>
        </w:tc>
        <w:tc>
          <w:tcPr>
            <w:tcW w:w="4082"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工作中放好小心地滑牌,地面无水渍</w:t>
            </w:r>
            <w:r>
              <w:rPr>
                <w:rFonts w:hint="eastAsia" w:cs="新宋体" w:asciiTheme="minorEastAsia" w:hAnsiTheme="minorEastAsia" w:eastAsiaTheme="minorEastAsia"/>
                <w:snapToGrid w:val="0"/>
                <w:color w:val="auto"/>
                <w:sz w:val="22"/>
                <w:szCs w:val="22"/>
                <w:highlight w:val="none"/>
              </w:rPr>
              <w:t>、无烟蒂</w:t>
            </w:r>
            <w:r>
              <w:rPr>
                <w:rFonts w:hint="eastAsia" w:cs="新宋体" w:asciiTheme="minorEastAsia" w:hAnsiTheme="minorEastAsia" w:eastAsiaTheme="minorEastAsia"/>
                <w:color w:val="auto"/>
                <w:sz w:val="22"/>
                <w:szCs w:val="22"/>
                <w:highlight w:val="none"/>
              </w:rPr>
              <w:t>、垃圾</w:t>
            </w:r>
          </w:p>
        </w:tc>
      </w:tr>
      <w:tr>
        <w:tblPrEx>
          <w:tblLayout w:type="fixed"/>
          <w:tblCellMar>
            <w:top w:w="0" w:type="dxa"/>
            <w:left w:w="108" w:type="dxa"/>
            <w:bottom w:w="0" w:type="dxa"/>
            <w:right w:w="108" w:type="dxa"/>
          </w:tblCellMar>
        </w:tblPrEx>
        <w:trPr>
          <w:trHeight w:val="758" w:hRule="atLeast"/>
          <w:jc w:val="right"/>
        </w:trPr>
        <w:tc>
          <w:tcPr>
            <w:tcW w:w="1765"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8:00~10:00</w:t>
            </w:r>
          </w:p>
        </w:tc>
        <w:tc>
          <w:tcPr>
            <w:tcW w:w="4007"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尘推,湿拖卫生间及其他用房地面等</w:t>
            </w:r>
          </w:p>
        </w:tc>
        <w:tc>
          <w:tcPr>
            <w:tcW w:w="4082"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按照操作程序进行工作</w:t>
            </w:r>
          </w:p>
        </w:tc>
      </w:tr>
      <w:tr>
        <w:tblPrEx>
          <w:tblLayout w:type="fixed"/>
          <w:tblCellMar>
            <w:top w:w="0" w:type="dxa"/>
            <w:left w:w="108" w:type="dxa"/>
            <w:bottom w:w="0" w:type="dxa"/>
            <w:right w:w="108" w:type="dxa"/>
          </w:tblCellMar>
        </w:tblPrEx>
        <w:trPr>
          <w:trHeight w:val="567" w:hRule="atLeast"/>
          <w:jc w:val="right"/>
        </w:trPr>
        <w:tc>
          <w:tcPr>
            <w:tcW w:w="1765"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10:00~11:00</w:t>
            </w:r>
          </w:p>
        </w:tc>
        <w:tc>
          <w:tcPr>
            <w:tcW w:w="4007"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擦拭各办公室的台面,家具,卫生间,浴室,办公凳椅,烟灰缸清洗</w:t>
            </w:r>
          </w:p>
        </w:tc>
        <w:tc>
          <w:tcPr>
            <w:tcW w:w="4082"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室内无灰尘</w:t>
            </w:r>
            <w:r>
              <w:rPr>
                <w:rFonts w:hint="eastAsia" w:cs="新宋体" w:asciiTheme="minorEastAsia" w:hAnsiTheme="minorEastAsia" w:eastAsiaTheme="minorEastAsia"/>
                <w:snapToGrid w:val="0"/>
                <w:color w:val="auto"/>
                <w:sz w:val="22"/>
                <w:szCs w:val="22"/>
                <w:highlight w:val="none"/>
              </w:rPr>
              <w:t>、无烟蒂</w:t>
            </w:r>
            <w:r>
              <w:rPr>
                <w:rFonts w:hint="eastAsia" w:cs="新宋体" w:asciiTheme="minorEastAsia" w:hAnsiTheme="minorEastAsia" w:eastAsiaTheme="minorEastAsia"/>
                <w:color w:val="auto"/>
                <w:sz w:val="22"/>
                <w:szCs w:val="22"/>
                <w:highlight w:val="none"/>
              </w:rPr>
              <w:t>,卫浴清洁无污垢,无异味</w:t>
            </w:r>
          </w:p>
        </w:tc>
      </w:tr>
      <w:tr>
        <w:tblPrEx>
          <w:tblLayout w:type="fixed"/>
          <w:tblCellMar>
            <w:top w:w="0" w:type="dxa"/>
            <w:left w:w="108" w:type="dxa"/>
            <w:bottom w:w="0" w:type="dxa"/>
            <w:right w:w="108" w:type="dxa"/>
          </w:tblCellMar>
        </w:tblPrEx>
        <w:trPr>
          <w:trHeight w:val="569" w:hRule="atLeast"/>
          <w:jc w:val="right"/>
        </w:trPr>
        <w:tc>
          <w:tcPr>
            <w:tcW w:w="1765"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11:00~13:00</w:t>
            </w:r>
          </w:p>
        </w:tc>
        <w:tc>
          <w:tcPr>
            <w:tcW w:w="4007"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午餐休息</w:t>
            </w:r>
          </w:p>
        </w:tc>
        <w:tc>
          <w:tcPr>
            <w:tcW w:w="4082" w:type="dxa"/>
            <w:tcBorders>
              <w:top w:val="single" w:color="000000" w:sz="4" w:space="0"/>
              <w:left w:val="nil"/>
              <w:bottom w:val="single" w:color="000000" w:sz="4" w:space="0"/>
              <w:right w:val="single" w:color="000000" w:sz="12" w:space="0"/>
            </w:tcBorders>
            <w:vAlign w:val="center"/>
          </w:tcPr>
          <w:p>
            <w:pPr>
              <w:pStyle w:val="70"/>
              <w:rPr>
                <w:rFonts w:cs="新宋体" w:asciiTheme="minorEastAsia" w:hAnsiTheme="minorEastAsia" w:eastAsiaTheme="minorEastAsia"/>
                <w:color w:val="auto"/>
                <w:sz w:val="22"/>
                <w:szCs w:val="22"/>
                <w:highlight w:val="none"/>
              </w:rPr>
            </w:pPr>
          </w:p>
        </w:tc>
      </w:tr>
      <w:tr>
        <w:tblPrEx>
          <w:tblLayout w:type="fixed"/>
          <w:tblCellMar>
            <w:top w:w="0" w:type="dxa"/>
            <w:left w:w="108" w:type="dxa"/>
            <w:bottom w:w="0" w:type="dxa"/>
            <w:right w:w="108" w:type="dxa"/>
          </w:tblCellMar>
        </w:tblPrEx>
        <w:trPr>
          <w:trHeight w:val="851" w:hRule="atLeast"/>
          <w:jc w:val="right"/>
        </w:trPr>
        <w:tc>
          <w:tcPr>
            <w:tcW w:w="1765"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13:00~14:00</w:t>
            </w:r>
          </w:p>
        </w:tc>
        <w:tc>
          <w:tcPr>
            <w:tcW w:w="4007"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擦拭公共部位扶手,画框,告示牌,门,窗,植物盆景,垃圾筒,烟灰筒,公共卫生间清洗,公共走廊尘推</w:t>
            </w:r>
          </w:p>
        </w:tc>
        <w:tc>
          <w:tcPr>
            <w:tcW w:w="4082"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公共区域环境整洁</w:t>
            </w:r>
          </w:p>
        </w:tc>
      </w:tr>
      <w:tr>
        <w:tblPrEx>
          <w:tblLayout w:type="fixed"/>
          <w:tblCellMar>
            <w:top w:w="0" w:type="dxa"/>
            <w:left w:w="108" w:type="dxa"/>
            <w:bottom w:w="0" w:type="dxa"/>
            <w:right w:w="108" w:type="dxa"/>
          </w:tblCellMar>
        </w:tblPrEx>
        <w:trPr>
          <w:trHeight w:val="668" w:hRule="atLeast"/>
          <w:jc w:val="right"/>
        </w:trPr>
        <w:tc>
          <w:tcPr>
            <w:tcW w:w="1765"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14:00~15:00</w:t>
            </w:r>
          </w:p>
        </w:tc>
        <w:tc>
          <w:tcPr>
            <w:tcW w:w="4007"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擦拭各办公室内窗玻璃,,窗台,窗槽,地面尘推,卫生间维护清洗,公共区域清洗维护</w:t>
            </w:r>
          </w:p>
        </w:tc>
        <w:tc>
          <w:tcPr>
            <w:tcW w:w="4082" w:type="dxa"/>
            <w:tcBorders>
              <w:top w:val="single" w:color="000000" w:sz="4" w:space="0"/>
              <w:left w:val="nil"/>
              <w:bottom w:val="single" w:color="000000" w:sz="4" w:space="0"/>
              <w:right w:val="single" w:color="000000" w:sz="12" w:space="0"/>
            </w:tcBorders>
            <w:vAlign w:val="center"/>
          </w:tcPr>
          <w:p>
            <w:pPr>
              <w:pStyle w:val="70"/>
              <w:rPr>
                <w:rFonts w:cs="新宋体" w:asciiTheme="minorEastAsia" w:hAnsiTheme="minorEastAsia" w:eastAsiaTheme="minorEastAsia"/>
                <w:color w:val="auto"/>
                <w:sz w:val="22"/>
                <w:szCs w:val="22"/>
                <w:highlight w:val="none"/>
              </w:rPr>
            </w:pPr>
          </w:p>
        </w:tc>
      </w:tr>
      <w:tr>
        <w:tblPrEx>
          <w:tblLayout w:type="fixed"/>
          <w:tblCellMar>
            <w:top w:w="0" w:type="dxa"/>
            <w:left w:w="108" w:type="dxa"/>
            <w:bottom w:w="0" w:type="dxa"/>
            <w:right w:w="108" w:type="dxa"/>
          </w:tblCellMar>
        </w:tblPrEx>
        <w:trPr>
          <w:trHeight w:val="633" w:hRule="atLeast"/>
          <w:jc w:val="right"/>
        </w:trPr>
        <w:tc>
          <w:tcPr>
            <w:tcW w:w="1765"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15:00~16:00</w:t>
            </w:r>
          </w:p>
        </w:tc>
        <w:tc>
          <w:tcPr>
            <w:tcW w:w="4007"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擦拭各办公室墙面,开关,插座,卫生间台盆,台面,镜面,浴室清洗</w:t>
            </w:r>
          </w:p>
        </w:tc>
        <w:tc>
          <w:tcPr>
            <w:tcW w:w="4082" w:type="dxa"/>
            <w:tcBorders>
              <w:top w:val="single" w:color="000000" w:sz="4" w:space="0"/>
              <w:left w:val="nil"/>
              <w:bottom w:val="single" w:color="000000" w:sz="4" w:space="0"/>
              <w:right w:val="single" w:color="000000" w:sz="12" w:space="0"/>
            </w:tcBorders>
            <w:vAlign w:val="center"/>
          </w:tcPr>
          <w:p>
            <w:pPr>
              <w:pStyle w:val="70"/>
              <w:rPr>
                <w:rFonts w:cs="新宋体" w:asciiTheme="minorEastAsia" w:hAnsiTheme="minorEastAsia" w:eastAsiaTheme="minorEastAsia"/>
                <w:color w:val="auto"/>
                <w:sz w:val="22"/>
                <w:szCs w:val="22"/>
                <w:highlight w:val="none"/>
              </w:rPr>
            </w:pPr>
          </w:p>
        </w:tc>
      </w:tr>
      <w:tr>
        <w:tblPrEx>
          <w:tblLayout w:type="fixed"/>
          <w:tblCellMar>
            <w:top w:w="0" w:type="dxa"/>
            <w:left w:w="108" w:type="dxa"/>
            <w:bottom w:w="0" w:type="dxa"/>
            <w:right w:w="108" w:type="dxa"/>
          </w:tblCellMar>
        </w:tblPrEx>
        <w:trPr>
          <w:trHeight w:val="700" w:hRule="atLeast"/>
          <w:jc w:val="right"/>
        </w:trPr>
        <w:tc>
          <w:tcPr>
            <w:tcW w:w="1765"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16:00~16:50</w:t>
            </w:r>
          </w:p>
        </w:tc>
        <w:tc>
          <w:tcPr>
            <w:tcW w:w="4007"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擦拭公共部位玻璃,消防箱,通风口,边角,公共走廊,卫生间清洗维护</w:t>
            </w:r>
          </w:p>
        </w:tc>
        <w:tc>
          <w:tcPr>
            <w:tcW w:w="4082" w:type="dxa"/>
            <w:tcBorders>
              <w:top w:val="single" w:color="000000" w:sz="4" w:space="0"/>
              <w:left w:val="nil"/>
              <w:bottom w:val="single" w:color="000000" w:sz="4" w:space="0"/>
              <w:right w:val="single" w:color="000000" w:sz="12" w:space="0"/>
            </w:tcBorders>
            <w:vAlign w:val="center"/>
          </w:tcPr>
          <w:p>
            <w:pPr>
              <w:pStyle w:val="70"/>
              <w:rPr>
                <w:rFonts w:cs="新宋体" w:asciiTheme="minorEastAsia" w:hAnsiTheme="minorEastAsia" w:eastAsiaTheme="minorEastAsia"/>
                <w:color w:val="auto"/>
                <w:sz w:val="22"/>
                <w:szCs w:val="22"/>
                <w:highlight w:val="none"/>
              </w:rPr>
            </w:pPr>
          </w:p>
        </w:tc>
      </w:tr>
      <w:tr>
        <w:tblPrEx>
          <w:tblLayout w:type="fixed"/>
          <w:tblCellMar>
            <w:top w:w="0" w:type="dxa"/>
            <w:left w:w="108" w:type="dxa"/>
            <w:bottom w:w="0" w:type="dxa"/>
            <w:right w:w="108" w:type="dxa"/>
          </w:tblCellMar>
        </w:tblPrEx>
        <w:trPr>
          <w:trHeight w:val="527" w:hRule="atLeast"/>
          <w:jc w:val="right"/>
        </w:trPr>
        <w:tc>
          <w:tcPr>
            <w:tcW w:w="1765"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16:50~17:00</w:t>
            </w:r>
          </w:p>
        </w:tc>
        <w:tc>
          <w:tcPr>
            <w:tcW w:w="4007"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收集行政,办公区域及卫生间的垃圾,清洗整理保洁工具,巡视安全</w:t>
            </w:r>
          </w:p>
        </w:tc>
        <w:tc>
          <w:tcPr>
            <w:tcW w:w="4082" w:type="dxa"/>
            <w:tcBorders>
              <w:top w:val="single" w:color="000000" w:sz="4" w:space="0"/>
              <w:left w:val="nil"/>
              <w:bottom w:val="single" w:color="000000" w:sz="4" w:space="0"/>
              <w:right w:val="single" w:color="000000" w:sz="12" w:space="0"/>
            </w:tcBorders>
            <w:vAlign w:val="center"/>
          </w:tcPr>
          <w:p>
            <w:pPr>
              <w:pStyle w:val="70"/>
              <w:rPr>
                <w:rFonts w:cs="新宋体" w:asciiTheme="minorEastAsia" w:hAnsiTheme="minorEastAsia" w:eastAsiaTheme="minorEastAsia"/>
                <w:color w:val="auto"/>
                <w:sz w:val="22"/>
                <w:szCs w:val="22"/>
                <w:highlight w:val="none"/>
              </w:rPr>
            </w:pPr>
          </w:p>
        </w:tc>
      </w:tr>
      <w:tr>
        <w:tblPrEx>
          <w:tblLayout w:type="fixed"/>
          <w:tblCellMar>
            <w:top w:w="0" w:type="dxa"/>
            <w:left w:w="108" w:type="dxa"/>
            <w:bottom w:w="0" w:type="dxa"/>
            <w:right w:w="108" w:type="dxa"/>
          </w:tblCellMar>
        </w:tblPrEx>
        <w:trPr>
          <w:trHeight w:val="527" w:hRule="atLeast"/>
          <w:jc w:val="right"/>
        </w:trPr>
        <w:tc>
          <w:tcPr>
            <w:tcW w:w="1765" w:type="dxa"/>
            <w:tcBorders>
              <w:top w:val="single" w:color="000000" w:sz="4" w:space="0"/>
              <w:left w:val="single" w:color="000000" w:sz="12" w:space="0"/>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17:00</w:t>
            </w:r>
          </w:p>
        </w:tc>
        <w:tc>
          <w:tcPr>
            <w:tcW w:w="4007" w:type="dxa"/>
            <w:tcBorders>
              <w:top w:val="single" w:color="000000" w:sz="4" w:space="0"/>
              <w:left w:val="nil"/>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签退</w:t>
            </w:r>
          </w:p>
        </w:tc>
        <w:tc>
          <w:tcPr>
            <w:tcW w:w="4082" w:type="dxa"/>
            <w:tcBorders>
              <w:top w:val="single" w:color="000000" w:sz="4" w:space="0"/>
              <w:left w:val="nil"/>
              <w:bottom w:val="single" w:color="000000" w:sz="12" w:space="0"/>
              <w:right w:val="single" w:color="000000" w:sz="12" w:space="0"/>
            </w:tcBorders>
            <w:vAlign w:val="center"/>
          </w:tcPr>
          <w:p>
            <w:pPr>
              <w:pStyle w:val="70"/>
              <w:rPr>
                <w:rFonts w:cs="新宋体" w:asciiTheme="minorEastAsia" w:hAnsiTheme="minorEastAsia" w:eastAsiaTheme="minorEastAsia"/>
                <w:color w:val="auto"/>
                <w:sz w:val="22"/>
                <w:szCs w:val="22"/>
                <w:highlight w:val="none"/>
              </w:rPr>
            </w:pPr>
          </w:p>
        </w:tc>
      </w:tr>
    </w:tbl>
    <w:p>
      <w:pPr>
        <w:numPr>
          <w:ilvl w:val="0"/>
          <w:numId w:val="7"/>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住院部日常保洁工作流程</w:t>
      </w:r>
    </w:p>
    <w:p>
      <w:pPr>
        <w:numPr>
          <w:ilvl w:val="1"/>
          <w:numId w:val="7"/>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住院部</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工作区域: 住院部</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工作时间: 6:00~17:00</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清洁频率: 7天</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工作程序：①高位除尘；②重点清洁与消毒；③清洁与消毒卫生间；④清空垃圾与烟灰缸；⑤干拖地面；⑥湿拖地面</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 xml:space="preserve">工作流程如下表： </w:t>
      </w:r>
    </w:p>
    <w:tbl>
      <w:tblPr>
        <w:tblStyle w:val="41"/>
        <w:tblW w:w="9854" w:type="dxa"/>
        <w:tblInd w:w="0" w:type="dxa"/>
        <w:tblLayout w:type="fixed"/>
        <w:tblCellMar>
          <w:top w:w="0" w:type="dxa"/>
          <w:left w:w="108" w:type="dxa"/>
          <w:bottom w:w="0" w:type="dxa"/>
          <w:right w:w="108" w:type="dxa"/>
        </w:tblCellMar>
      </w:tblPr>
      <w:tblGrid>
        <w:gridCol w:w="1488"/>
        <w:gridCol w:w="4201"/>
        <w:gridCol w:w="4165"/>
      </w:tblGrid>
      <w:tr>
        <w:tblPrEx>
          <w:tblLayout w:type="fixed"/>
          <w:tblCellMar>
            <w:top w:w="0" w:type="dxa"/>
            <w:left w:w="108" w:type="dxa"/>
            <w:bottom w:w="0" w:type="dxa"/>
            <w:right w:w="108" w:type="dxa"/>
          </w:tblCellMar>
        </w:tblPrEx>
        <w:trPr>
          <w:trHeight w:val="613" w:hRule="atLeast"/>
        </w:trPr>
        <w:tc>
          <w:tcPr>
            <w:tcW w:w="1488" w:type="dxa"/>
            <w:tcBorders>
              <w:top w:val="single" w:color="000000" w:sz="12"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时 间</w:t>
            </w:r>
          </w:p>
        </w:tc>
        <w:tc>
          <w:tcPr>
            <w:tcW w:w="4201" w:type="dxa"/>
            <w:tcBorders>
              <w:top w:val="single" w:color="000000" w:sz="12" w:space="0"/>
              <w:left w:val="nil"/>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区 域</w:t>
            </w:r>
          </w:p>
        </w:tc>
        <w:tc>
          <w:tcPr>
            <w:tcW w:w="4165" w:type="dxa"/>
            <w:tcBorders>
              <w:top w:val="single" w:color="000000" w:sz="12" w:space="0"/>
              <w:left w:val="nil"/>
              <w:bottom w:val="single" w:color="000000" w:sz="4" w:space="0"/>
              <w:right w:val="single" w:color="000000" w:sz="12"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责 任</w:t>
            </w:r>
          </w:p>
        </w:tc>
      </w:tr>
      <w:tr>
        <w:tblPrEx>
          <w:tblLayout w:type="fixed"/>
          <w:tblCellMar>
            <w:top w:w="0" w:type="dxa"/>
            <w:left w:w="108" w:type="dxa"/>
            <w:bottom w:w="0" w:type="dxa"/>
            <w:right w:w="108" w:type="dxa"/>
          </w:tblCellMar>
        </w:tblPrEx>
        <w:trPr>
          <w:trHeight w:val="674"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6:00</w:t>
            </w:r>
          </w:p>
        </w:tc>
        <w:tc>
          <w:tcPr>
            <w:tcW w:w="4201"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到岗</w:t>
            </w:r>
          </w:p>
        </w:tc>
        <w:tc>
          <w:tcPr>
            <w:tcW w:w="416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完成刷卡,更换工作服,佩</w:t>
            </w:r>
            <w:r>
              <w:rPr>
                <w:rFonts w:hint="eastAsia" w:cs="新宋体" w:asciiTheme="minorEastAsia" w:hAnsiTheme="minorEastAsia" w:eastAsiaTheme="minorEastAsia"/>
                <w:color w:val="auto"/>
                <w:sz w:val="22"/>
                <w:szCs w:val="22"/>
                <w:highlight w:val="none"/>
                <w:lang w:eastAsia="zh-CN"/>
              </w:rPr>
              <w:t>戴</w:t>
            </w:r>
            <w:r>
              <w:rPr>
                <w:rFonts w:hint="eastAsia" w:cs="新宋体" w:asciiTheme="minorEastAsia" w:hAnsiTheme="minorEastAsia" w:eastAsiaTheme="minorEastAsia"/>
                <w:color w:val="auto"/>
                <w:sz w:val="22"/>
                <w:szCs w:val="22"/>
                <w:highlight w:val="none"/>
              </w:rPr>
              <w:t>工号牌,完成岗前准备工作</w:t>
            </w:r>
          </w:p>
        </w:tc>
      </w:tr>
      <w:tr>
        <w:tblPrEx>
          <w:tblLayout w:type="fixed"/>
          <w:tblCellMar>
            <w:top w:w="0" w:type="dxa"/>
            <w:left w:w="108" w:type="dxa"/>
            <w:bottom w:w="0" w:type="dxa"/>
            <w:right w:w="108" w:type="dxa"/>
          </w:tblCellMar>
        </w:tblPrEx>
        <w:trPr>
          <w:trHeight w:val="851"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6:00~7:30</w:t>
            </w:r>
          </w:p>
        </w:tc>
        <w:tc>
          <w:tcPr>
            <w:tcW w:w="4201"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病区病房尘推,湿拖,卫生间初步打扫</w:t>
            </w:r>
          </w:p>
        </w:tc>
        <w:tc>
          <w:tcPr>
            <w:tcW w:w="416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工作时放好小心地滑牌,按照不同病区要求配制500ml~1000ml含氯消毒液湿拖,更换消毒液</w:t>
            </w:r>
          </w:p>
        </w:tc>
      </w:tr>
      <w:tr>
        <w:tblPrEx>
          <w:tblLayout w:type="fixed"/>
          <w:tblCellMar>
            <w:top w:w="0" w:type="dxa"/>
            <w:left w:w="108" w:type="dxa"/>
            <w:bottom w:w="0" w:type="dxa"/>
            <w:right w:w="108" w:type="dxa"/>
          </w:tblCellMar>
        </w:tblPrEx>
        <w:trPr>
          <w:trHeight w:val="851"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7:30~9:00</w:t>
            </w:r>
          </w:p>
        </w:tc>
        <w:tc>
          <w:tcPr>
            <w:tcW w:w="4201"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氧气管道,病床,床头柜,凳椅,水斗,台面,笼头,墙壁,坐便池,病房重点清洗与消毒,卫生间重点清洗与消毒</w:t>
            </w:r>
          </w:p>
        </w:tc>
        <w:tc>
          <w:tcPr>
            <w:tcW w:w="416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按不同区域使用不同颜色的毛巾配制500ml~1000ml含氯消毒液擦拭</w:t>
            </w:r>
          </w:p>
        </w:tc>
      </w:tr>
      <w:tr>
        <w:tblPrEx>
          <w:tblLayout w:type="fixed"/>
          <w:tblCellMar>
            <w:top w:w="0" w:type="dxa"/>
            <w:left w:w="108" w:type="dxa"/>
            <w:bottom w:w="0" w:type="dxa"/>
            <w:right w:w="108" w:type="dxa"/>
          </w:tblCellMar>
        </w:tblPrEx>
        <w:trPr>
          <w:trHeight w:val="761"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9:00~10:00</w:t>
            </w:r>
          </w:p>
        </w:tc>
        <w:tc>
          <w:tcPr>
            <w:tcW w:w="4201"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出院病人床位终末消毒和闲置床位擦拭</w:t>
            </w:r>
          </w:p>
        </w:tc>
        <w:tc>
          <w:tcPr>
            <w:tcW w:w="416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配制500ml含氯消毒液擦拭</w:t>
            </w:r>
          </w:p>
        </w:tc>
      </w:tr>
      <w:tr>
        <w:tblPrEx>
          <w:tblLayout w:type="fixed"/>
          <w:tblCellMar>
            <w:top w:w="0" w:type="dxa"/>
            <w:left w:w="108" w:type="dxa"/>
            <w:bottom w:w="0" w:type="dxa"/>
            <w:right w:w="108" w:type="dxa"/>
          </w:tblCellMar>
        </w:tblPrEx>
        <w:trPr>
          <w:trHeight w:val="567"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10:00~10:50</w:t>
            </w:r>
          </w:p>
        </w:tc>
        <w:tc>
          <w:tcPr>
            <w:tcW w:w="4201"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病房高位除尘,病房玻璃清洗,窗台,窗框,开关插座,门壁,门头,扶手,屏风擦拭</w:t>
            </w:r>
          </w:p>
        </w:tc>
        <w:tc>
          <w:tcPr>
            <w:tcW w:w="416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使用清洗剂擦玻璃,配制500ml含氯消毒擦拭</w:t>
            </w:r>
          </w:p>
        </w:tc>
      </w:tr>
      <w:tr>
        <w:tblPrEx>
          <w:tblLayout w:type="fixed"/>
          <w:tblCellMar>
            <w:top w:w="0" w:type="dxa"/>
            <w:left w:w="108" w:type="dxa"/>
            <w:bottom w:w="0" w:type="dxa"/>
            <w:right w:w="108" w:type="dxa"/>
          </w:tblCellMar>
        </w:tblPrEx>
        <w:trPr>
          <w:trHeight w:val="851"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10:50~11:00</w:t>
            </w:r>
          </w:p>
        </w:tc>
        <w:tc>
          <w:tcPr>
            <w:tcW w:w="4201"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擦拭病房毛巾消毒,湿拖,拖头消毒,湿拖</w:t>
            </w:r>
          </w:p>
        </w:tc>
        <w:tc>
          <w:tcPr>
            <w:tcW w:w="416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城市病房毛巾配制500ml含氯消毒液浸泡,清洗,拖头配制1000ml含氯消毒液浸泡清洗</w:t>
            </w:r>
          </w:p>
        </w:tc>
      </w:tr>
      <w:tr>
        <w:tblPrEx>
          <w:tblLayout w:type="fixed"/>
          <w:tblCellMar>
            <w:top w:w="0" w:type="dxa"/>
            <w:left w:w="108" w:type="dxa"/>
            <w:bottom w:w="0" w:type="dxa"/>
            <w:right w:w="108" w:type="dxa"/>
          </w:tblCellMar>
        </w:tblPrEx>
        <w:trPr>
          <w:trHeight w:val="667"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11:00~13:00</w:t>
            </w:r>
          </w:p>
        </w:tc>
        <w:tc>
          <w:tcPr>
            <w:tcW w:w="4201"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午餐休息</w:t>
            </w:r>
          </w:p>
        </w:tc>
        <w:tc>
          <w:tcPr>
            <w:tcW w:w="416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由于病区是特殊环境,在午休时请不要离开工作岗位</w:t>
            </w:r>
          </w:p>
        </w:tc>
      </w:tr>
      <w:tr>
        <w:tblPrEx>
          <w:tblLayout w:type="fixed"/>
          <w:tblCellMar>
            <w:top w:w="0" w:type="dxa"/>
            <w:left w:w="108" w:type="dxa"/>
            <w:bottom w:w="0" w:type="dxa"/>
            <w:right w:w="108" w:type="dxa"/>
          </w:tblCellMar>
        </w:tblPrEx>
        <w:trPr>
          <w:trHeight w:val="668"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13:00~13:30</w:t>
            </w:r>
          </w:p>
        </w:tc>
        <w:tc>
          <w:tcPr>
            <w:tcW w:w="4201"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清洗整理污物间,收集病区垃圾,清洗与尘推护士站,公共走廊,电梯厅,安全通道巡视</w:t>
            </w:r>
          </w:p>
        </w:tc>
        <w:tc>
          <w:tcPr>
            <w:tcW w:w="416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将收集的垃圾扎好袋口送往指定垃圾站</w:t>
            </w:r>
          </w:p>
        </w:tc>
      </w:tr>
      <w:tr>
        <w:tblPrEx>
          <w:tblLayout w:type="fixed"/>
          <w:tblCellMar>
            <w:top w:w="0" w:type="dxa"/>
            <w:left w:w="108" w:type="dxa"/>
            <w:bottom w:w="0" w:type="dxa"/>
            <w:right w:w="108" w:type="dxa"/>
          </w:tblCellMar>
        </w:tblPrEx>
        <w:trPr>
          <w:trHeight w:val="463"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13:30~14:10</w:t>
            </w:r>
          </w:p>
        </w:tc>
        <w:tc>
          <w:tcPr>
            <w:tcW w:w="4201"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清洗护士站,治疗室,处置室,整理医护人员休息室及打扫医护人员卫生间</w:t>
            </w:r>
          </w:p>
        </w:tc>
        <w:tc>
          <w:tcPr>
            <w:tcW w:w="416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分清区域使用拖头,毛巾</w:t>
            </w:r>
          </w:p>
        </w:tc>
      </w:tr>
      <w:tr>
        <w:tblPrEx>
          <w:tblLayout w:type="fixed"/>
          <w:tblCellMar>
            <w:top w:w="0" w:type="dxa"/>
            <w:left w:w="108" w:type="dxa"/>
            <w:bottom w:w="0" w:type="dxa"/>
            <w:right w:w="108" w:type="dxa"/>
          </w:tblCellMar>
        </w:tblPrEx>
        <w:trPr>
          <w:trHeight w:val="650"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14:10~15:50</w:t>
            </w:r>
          </w:p>
        </w:tc>
        <w:tc>
          <w:tcPr>
            <w:tcW w:w="4201"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病区房间及卫生间打扫并湿拖</w:t>
            </w:r>
          </w:p>
        </w:tc>
        <w:tc>
          <w:tcPr>
            <w:tcW w:w="416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工作时放好小心地滑牌,湿拖地面按区域分清配制消毒液浓度之比</w:t>
            </w:r>
          </w:p>
        </w:tc>
      </w:tr>
      <w:tr>
        <w:tblPrEx>
          <w:tblLayout w:type="fixed"/>
          <w:tblCellMar>
            <w:top w:w="0" w:type="dxa"/>
            <w:left w:w="108" w:type="dxa"/>
            <w:bottom w:w="0" w:type="dxa"/>
            <w:right w:w="108" w:type="dxa"/>
          </w:tblCellMar>
        </w:tblPrEx>
        <w:trPr>
          <w:trHeight w:val="527"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15:50~16:30</w:t>
            </w:r>
          </w:p>
        </w:tc>
        <w:tc>
          <w:tcPr>
            <w:tcW w:w="4201"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病区重点保洁</w:t>
            </w:r>
          </w:p>
        </w:tc>
        <w:tc>
          <w:tcPr>
            <w:tcW w:w="416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按重点保洁说明每日应该所做工作去完成</w:t>
            </w:r>
          </w:p>
        </w:tc>
      </w:tr>
      <w:tr>
        <w:tblPrEx>
          <w:tblLayout w:type="fixed"/>
          <w:tblCellMar>
            <w:top w:w="0" w:type="dxa"/>
            <w:left w:w="108" w:type="dxa"/>
            <w:bottom w:w="0" w:type="dxa"/>
            <w:right w:w="108" w:type="dxa"/>
          </w:tblCellMar>
        </w:tblPrEx>
        <w:trPr>
          <w:trHeight w:val="527"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16:30~16:50</w:t>
            </w:r>
          </w:p>
        </w:tc>
        <w:tc>
          <w:tcPr>
            <w:tcW w:w="4201"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病区病房,走廊,电梯厅,楼梯口,护士站巡视</w:t>
            </w:r>
          </w:p>
        </w:tc>
        <w:tc>
          <w:tcPr>
            <w:tcW w:w="416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保持地面无水渍、污渍、垃圾、烟蒂</w:t>
            </w:r>
          </w:p>
        </w:tc>
      </w:tr>
      <w:tr>
        <w:tblPrEx>
          <w:tblLayout w:type="fixed"/>
          <w:tblCellMar>
            <w:top w:w="0" w:type="dxa"/>
            <w:left w:w="108" w:type="dxa"/>
            <w:bottom w:w="0" w:type="dxa"/>
            <w:right w:w="108" w:type="dxa"/>
          </w:tblCellMar>
        </w:tblPrEx>
        <w:trPr>
          <w:trHeight w:val="527"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16:50~17:00</w:t>
            </w:r>
          </w:p>
        </w:tc>
        <w:tc>
          <w:tcPr>
            <w:tcW w:w="4201"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再次收集病区垃圾,清洗整理保洁车</w:t>
            </w:r>
          </w:p>
        </w:tc>
        <w:tc>
          <w:tcPr>
            <w:tcW w:w="416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将收集的垃圾扎紧袋口送往指定垃圾站</w:t>
            </w:r>
          </w:p>
        </w:tc>
      </w:tr>
      <w:tr>
        <w:tblPrEx>
          <w:tblLayout w:type="fixed"/>
          <w:tblCellMar>
            <w:top w:w="0" w:type="dxa"/>
            <w:left w:w="108" w:type="dxa"/>
            <w:bottom w:w="0" w:type="dxa"/>
            <w:right w:w="108" w:type="dxa"/>
          </w:tblCellMar>
        </w:tblPrEx>
        <w:trPr>
          <w:trHeight w:val="293" w:hRule="atLeast"/>
        </w:trPr>
        <w:tc>
          <w:tcPr>
            <w:tcW w:w="1488" w:type="dxa"/>
            <w:tcBorders>
              <w:top w:val="single" w:color="000000" w:sz="4" w:space="0"/>
              <w:left w:val="single" w:color="000000" w:sz="12" w:space="0"/>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17:00</w:t>
            </w:r>
          </w:p>
        </w:tc>
        <w:tc>
          <w:tcPr>
            <w:tcW w:w="4201" w:type="dxa"/>
            <w:tcBorders>
              <w:top w:val="single" w:color="000000" w:sz="4" w:space="0"/>
              <w:left w:val="nil"/>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签退</w:t>
            </w:r>
          </w:p>
        </w:tc>
        <w:tc>
          <w:tcPr>
            <w:tcW w:w="4165" w:type="dxa"/>
            <w:tcBorders>
              <w:top w:val="single" w:color="000000" w:sz="4" w:space="0"/>
              <w:left w:val="nil"/>
              <w:bottom w:val="single" w:color="000000" w:sz="12"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遵守休息时间,严禁代考考勤卡</w:t>
            </w:r>
          </w:p>
        </w:tc>
      </w:tr>
    </w:tbl>
    <w:p>
      <w:pPr>
        <w:numPr>
          <w:ilvl w:val="1"/>
          <w:numId w:val="7"/>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住院部楼道、全院外围晚班保洁</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工作区域: 住院部楼道、全院外围</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工作时间: 17:00~22:00</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清洁频率: 7天</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 xml:space="preserve">工作流程如下表： </w:t>
      </w:r>
    </w:p>
    <w:tbl>
      <w:tblPr>
        <w:tblStyle w:val="41"/>
        <w:tblW w:w="9854" w:type="dxa"/>
        <w:tblInd w:w="0" w:type="dxa"/>
        <w:tblLayout w:type="fixed"/>
        <w:tblCellMar>
          <w:top w:w="0" w:type="dxa"/>
          <w:left w:w="108" w:type="dxa"/>
          <w:bottom w:w="0" w:type="dxa"/>
          <w:right w:w="108" w:type="dxa"/>
        </w:tblCellMar>
      </w:tblPr>
      <w:tblGrid>
        <w:gridCol w:w="1488"/>
        <w:gridCol w:w="4201"/>
        <w:gridCol w:w="4165"/>
      </w:tblGrid>
      <w:tr>
        <w:tblPrEx>
          <w:tblLayout w:type="fixed"/>
          <w:tblCellMar>
            <w:top w:w="0" w:type="dxa"/>
            <w:left w:w="108" w:type="dxa"/>
            <w:bottom w:w="0" w:type="dxa"/>
            <w:right w:w="108" w:type="dxa"/>
          </w:tblCellMar>
        </w:tblPrEx>
        <w:trPr>
          <w:trHeight w:val="613" w:hRule="atLeast"/>
        </w:trPr>
        <w:tc>
          <w:tcPr>
            <w:tcW w:w="1488" w:type="dxa"/>
            <w:tcBorders>
              <w:top w:val="single" w:color="000000" w:sz="12"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时 间</w:t>
            </w:r>
          </w:p>
        </w:tc>
        <w:tc>
          <w:tcPr>
            <w:tcW w:w="4201" w:type="dxa"/>
            <w:tcBorders>
              <w:top w:val="single" w:color="000000" w:sz="12" w:space="0"/>
              <w:left w:val="nil"/>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区 域</w:t>
            </w:r>
          </w:p>
        </w:tc>
        <w:tc>
          <w:tcPr>
            <w:tcW w:w="4165" w:type="dxa"/>
            <w:tcBorders>
              <w:top w:val="single" w:color="000000" w:sz="12" w:space="0"/>
              <w:left w:val="nil"/>
              <w:bottom w:val="single" w:color="000000" w:sz="4" w:space="0"/>
              <w:right w:val="single" w:color="000000" w:sz="12"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责 任</w:t>
            </w:r>
          </w:p>
        </w:tc>
      </w:tr>
      <w:tr>
        <w:tblPrEx>
          <w:tblLayout w:type="fixed"/>
          <w:tblCellMar>
            <w:top w:w="0" w:type="dxa"/>
            <w:left w:w="108" w:type="dxa"/>
            <w:bottom w:w="0" w:type="dxa"/>
            <w:right w:w="108" w:type="dxa"/>
          </w:tblCellMar>
        </w:tblPrEx>
        <w:trPr>
          <w:trHeight w:val="674"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17:00</w:t>
            </w:r>
          </w:p>
        </w:tc>
        <w:tc>
          <w:tcPr>
            <w:tcW w:w="4201"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到岗</w:t>
            </w:r>
          </w:p>
        </w:tc>
        <w:tc>
          <w:tcPr>
            <w:tcW w:w="416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完成刷卡,更换工作服,佩</w:t>
            </w:r>
            <w:r>
              <w:rPr>
                <w:rFonts w:hint="eastAsia" w:cs="新宋体" w:asciiTheme="minorEastAsia" w:hAnsiTheme="minorEastAsia" w:eastAsiaTheme="minorEastAsia"/>
                <w:color w:val="auto"/>
                <w:sz w:val="22"/>
                <w:szCs w:val="22"/>
                <w:highlight w:val="none"/>
                <w:lang w:eastAsia="zh-CN"/>
              </w:rPr>
              <w:t>戴</w:t>
            </w:r>
            <w:r>
              <w:rPr>
                <w:rFonts w:hint="eastAsia" w:cs="新宋体" w:asciiTheme="minorEastAsia" w:hAnsiTheme="minorEastAsia" w:eastAsiaTheme="minorEastAsia"/>
                <w:color w:val="auto"/>
                <w:sz w:val="22"/>
                <w:szCs w:val="22"/>
                <w:highlight w:val="none"/>
              </w:rPr>
              <w:t>工号牌,完成岗前准备工作</w:t>
            </w:r>
          </w:p>
        </w:tc>
      </w:tr>
      <w:tr>
        <w:tblPrEx>
          <w:tblLayout w:type="fixed"/>
          <w:tblCellMar>
            <w:top w:w="0" w:type="dxa"/>
            <w:left w:w="108" w:type="dxa"/>
            <w:bottom w:w="0" w:type="dxa"/>
            <w:right w:w="108" w:type="dxa"/>
          </w:tblCellMar>
        </w:tblPrEx>
        <w:trPr>
          <w:trHeight w:val="293"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17：00~22:00</w:t>
            </w:r>
          </w:p>
        </w:tc>
        <w:tc>
          <w:tcPr>
            <w:tcW w:w="4201"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对公共区域进行垃圾清理（如电梯口、走廊、楼梯等）</w:t>
            </w:r>
          </w:p>
        </w:tc>
        <w:tc>
          <w:tcPr>
            <w:tcW w:w="4165"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工作中放好小心地滑牌,地面无水渍</w:t>
            </w:r>
            <w:r>
              <w:rPr>
                <w:rFonts w:hint="eastAsia" w:cs="新宋体" w:asciiTheme="minorEastAsia" w:hAnsiTheme="minorEastAsia" w:eastAsiaTheme="minorEastAsia"/>
                <w:snapToGrid w:val="0"/>
                <w:color w:val="auto"/>
                <w:sz w:val="22"/>
                <w:szCs w:val="22"/>
                <w:highlight w:val="none"/>
              </w:rPr>
              <w:t>、无烟蒂</w:t>
            </w:r>
            <w:r>
              <w:rPr>
                <w:rFonts w:hint="eastAsia" w:cs="新宋体" w:asciiTheme="minorEastAsia" w:hAnsiTheme="minorEastAsia" w:eastAsiaTheme="minorEastAsia"/>
                <w:color w:val="auto"/>
                <w:sz w:val="22"/>
                <w:szCs w:val="22"/>
                <w:highlight w:val="none"/>
              </w:rPr>
              <w:t>、垃圾</w:t>
            </w:r>
          </w:p>
        </w:tc>
      </w:tr>
      <w:tr>
        <w:tblPrEx>
          <w:tblLayout w:type="fixed"/>
          <w:tblCellMar>
            <w:top w:w="0" w:type="dxa"/>
            <w:left w:w="108" w:type="dxa"/>
            <w:bottom w:w="0" w:type="dxa"/>
            <w:right w:w="108" w:type="dxa"/>
          </w:tblCellMar>
        </w:tblPrEx>
        <w:trPr>
          <w:trHeight w:val="293" w:hRule="atLeast"/>
        </w:trPr>
        <w:tc>
          <w:tcPr>
            <w:tcW w:w="1488" w:type="dxa"/>
            <w:tcBorders>
              <w:top w:val="single" w:color="000000" w:sz="4" w:space="0"/>
              <w:left w:val="single" w:color="000000" w:sz="12" w:space="0"/>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22:00</w:t>
            </w:r>
          </w:p>
        </w:tc>
        <w:tc>
          <w:tcPr>
            <w:tcW w:w="4201" w:type="dxa"/>
            <w:tcBorders>
              <w:top w:val="single" w:color="000000" w:sz="4" w:space="0"/>
              <w:left w:val="nil"/>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签退</w:t>
            </w:r>
          </w:p>
        </w:tc>
        <w:tc>
          <w:tcPr>
            <w:tcW w:w="4165" w:type="dxa"/>
            <w:tcBorders>
              <w:top w:val="single" w:color="000000" w:sz="4" w:space="0"/>
              <w:left w:val="nil"/>
              <w:bottom w:val="single" w:color="000000" w:sz="12"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遵守休息时间,严禁代考考勤卡</w:t>
            </w:r>
          </w:p>
        </w:tc>
      </w:tr>
    </w:tbl>
    <w:p>
      <w:pPr>
        <w:pStyle w:val="2"/>
        <w:ind w:firstLine="220"/>
        <w:rPr>
          <w:rFonts w:asciiTheme="minorEastAsia" w:hAnsiTheme="minorEastAsia" w:eastAsiaTheme="minorEastAsia"/>
          <w:color w:val="auto"/>
          <w:sz w:val="22"/>
          <w:szCs w:val="22"/>
          <w:highlight w:val="none"/>
        </w:rPr>
      </w:pPr>
    </w:p>
    <w:p>
      <w:pPr>
        <w:numPr>
          <w:ilvl w:val="0"/>
          <w:numId w:val="7"/>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医院外围日常保洁工作流程</w:t>
      </w:r>
    </w:p>
    <w:p>
      <w:pPr>
        <w:numPr>
          <w:ilvl w:val="1"/>
          <w:numId w:val="7"/>
        </w:numPr>
        <w:tabs>
          <w:tab w:val="left" w:pos="720"/>
        </w:tabs>
        <w:spacing w:line="340" w:lineRule="exact"/>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工作区域：医院外围</w:t>
      </w:r>
    </w:p>
    <w:p>
      <w:pPr>
        <w:numPr>
          <w:ilvl w:val="1"/>
          <w:numId w:val="7"/>
        </w:numPr>
        <w:tabs>
          <w:tab w:val="left" w:pos="720"/>
        </w:tabs>
        <w:spacing w:line="340" w:lineRule="exact"/>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工作流程如下表：</w:t>
      </w:r>
    </w:p>
    <w:tbl>
      <w:tblPr>
        <w:tblStyle w:val="41"/>
        <w:tblW w:w="9854" w:type="dxa"/>
        <w:tblInd w:w="0" w:type="dxa"/>
        <w:tblLayout w:type="fixed"/>
        <w:tblCellMar>
          <w:top w:w="0" w:type="dxa"/>
          <w:left w:w="108" w:type="dxa"/>
          <w:bottom w:w="0" w:type="dxa"/>
          <w:right w:w="108" w:type="dxa"/>
        </w:tblCellMar>
      </w:tblPr>
      <w:tblGrid>
        <w:gridCol w:w="2420"/>
        <w:gridCol w:w="7434"/>
      </w:tblGrid>
      <w:tr>
        <w:tblPrEx>
          <w:tblLayout w:type="fixed"/>
          <w:tblCellMar>
            <w:top w:w="0" w:type="dxa"/>
            <w:left w:w="108" w:type="dxa"/>
            <w:bottom w:w="0" w:type="dxa"/>
            <w:right w:w="108" w:type="dxa"/>
          </w:tblCellMar>
        </w:tblPrEx>
        <w:trPr>
          <w:trHeight w:val="567" w:hRule="atLeast"/>
        </w:trPr>
        <w:tc>
          <w:tcPr>
            <w:tcW w:w="2420" w:type="dxa"/>
            <w:tcBorders>
              <w:top w:val="single" w:color="000000" w:sz="12"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时 间</w:t>
            </w:r>
          </w:p>
        </w:tc>
        <w:tc>
          <w:tcPr>
            <w:tcW w:w="7434" w:type="dxa"/>
            <w:tcBorders>
              <w:top w:val="single" w:color="000000" w:sz="12" w:space="0"/>
              <w:left w:val="nil"/>
              <w:bottom w:val="single" w:color="000000" w:sz="4" w:space="0"/>
              <w:right w:val="single" w:color="000000" w:sz="12"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责 任</w:t>
            </w:r>
          </w:p>
        </w:tc>
      </w:tr>
      <w:tr>
        <w:tblPrEx>
          <w:tblLayout w:type="fixed"/>
          <w:tblCellMar>
            <w:top w:w="0" w:type="dxa"/>
            <w:left w:w="108" w:type="dxa"/>
            <w:bottom w:w="0" w:type="dxa"/>
            <w:right w:w="108" w:type="dxa"/>
          </w:tblCellMar>
        </w:tblPrEx>
        <w:trPr>
          <w:trHeight w:val="567" w:hRule="atLeast"/>
        </w:trPr>
        <w:tc>
          <w:tcPr>
            <w:tcW w:w="2420" w:type="dxa"/>
            <w:tcBorders>
              <w:top w:val="single" w:color="000000" w:sz="4" w:space="0"/>
              <w:left w:val="single" w:color="000000" w:sz="12" w:space="0"/>
              <w:bottom w:val="single" w:color="000000" w:sz="4" w:space="0"/>
              <w:right w:val="single" w:color="000000" w:sz="4" w:space="0"/>
            </w:tcBorders>
            <w:vAlign w:val="center"/>
          </w:tcPr>
          <w:p>
            <w:pPr>
              <w:pStyle w:val="70"/>
              <w:spacing w:line="308" w:lineRule="atLeast"/>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color w:val="auto"/>
                <w:sz w:val="22"/>
                <w:szCs w:val="22"/>
                <w:highlight w:val="none"/>
              </w:rPr>
              <w:t>5:30</w:t>
            </w:r>
            <w:r>
              <w:rPr>
                <w:rFonts w:hint="eastAsia" w:cs="新宋体" w:asciiTheme="minorEastAsia" w:hAnsiTheme="minorEastAsia" w:eastAsiaTheme="minorEastAsia"/>
                <w:color w:val="auto"/>
                <w:sz w:val="22"/>
                <w:szCs w:val="22"/>
                <w:highlight w:val="none"/>
              </w:rPr>
              <w:tab/>
            </w:r>
          </w:p>
        </w:tc>
        <w:tc>
          <w:tcPr>
            <w:tcW w:w="7434" w:type="dxa"/>
            <w:tcBorders>
              <w:top w:val="single" w:color="000000" w:sz="4" w:space="0"/>
              <w:left w:val="nil"/>
              <w:bottom w:val="single" w:color="000000" w:sz="4" w:space="0"/>
              <w:right w:val="single" w:color="000000" w:sz="12" w:space="0"/>
            </w:tcBorders>
            <w:vAlign w:val="center"/>
          </w:tcPr>
          <w:p>
            <w:pPr>
              <w:pStyle w:val="70"/>
              <w:spacing w:line="308" w:lineRule="atLeast"/>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color w:val="auto"/>
                <w:sz w:val="22"/>
                <w:szCs w:val="22"/>
                <w:highlight w:val="none"/>
              </w:rPr>
              <w:t>到岗，刷卡，更换工作服，佩</w:t>
            </w:r>
            <w:r>
              <w:rPr>
                <w:rFonts w:hint="eastAsia" w:cs="新宋体" w:asciiTheme="minorEastAsia" w:hAnsiTheme="minorEastAsia" w:eastAsiaTheme="minorEastAsia"/>
                <w:color w:val="auto"/>
                <w:sz w:val="22"/>
                <w:szCs w:val="22"/>
                <w:highlight w:val="none"/>
                <w:lang w:eastAsia="zh-CN"/>
              </w:rPr>
              <w:t>戴</w:t>
            </w:r>
            <w:r>
              <w:rPr>
                <w:rFonts w:hint="eastAsia" w:cs="新宋体" w:asciiTheme="minorEastAsia" w:hAnsiTheme="minorEastAsia" w:eastAsiaTheme="minorEastAsia"/>
                <w:color w:val="auto"/>
                <w:sz w:val="22"/>
                <w:szCs w:val="22"/>
                <w:highlight w:val="none"/>
              </w:rPr>
              <w:t>工号牌，完成岗位前的准备工作。</w:t>
            </w:r>
          </w:p>
        </w:tc>
      </w:tr>
      <w:tr>
        <w:tblPrEx>
          <w:tblLayout w:type="fixed"/>
          <w:tblCellMar>
            <w:top w:w="0" w:type="dxa"/>
            <w:left w:w="108" w:type="dxa"/>
            <w:bottom w:w="0" w:type="dxa"/>
            <w:right w:w="108" w:type="dxa"/>
          </w:tblCellMar>
        </w:tblPrEx>
        <w:trPr>
          <w:trHeight w:val="567" w:hRule="atLeast"/>
        </w:trPr>
        <w:tc>
          <w:tcPr>
            <w:tcW w:w="2420"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color w:val="auto"/>
                <w:sz w:val="22"/>
                <w:szCs w:val="22"/>
                <w:highlight w:val="none"/>
              </w:rPr>
              <w:t>5:30~7:00</w:t>
            </w:r>
          </w:p>
        </w:tc>
        <w:tc>
          <w:tcPr>
            <w:tcW w:w="7434"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color w:val="auto"/>
                <w:sz w:val="22"/>
                <w:szCs w:val="22"/>
                <w:highlight w:val="none"/>
              </w:rPr>
              <w:t>清洁打扫医院门诊，急诊，医院正门口，绿化地带，行政楼，住院部，发热门诊，肠道门诊，医技楼，药剂楼等院内主干道的卫生工作。</w:t>
            </w:r>
          </w:p>
        </w:tc>
      </w:tr>
      <w:tr>
        <w:tblPrEx>
          <w:tblLayout w:type="fixed"/>
          <w:tblCellMar>
            <w:top w:w="0" w:type="dxa"/>
            <w:left w:w="108" w:type="dxa"/>
            <w:bottom w:w="0" w:type="dxa"/>
            <w:right w:w="108" w:type="dxa"/>
          </w:tblCellMar>
        </w:tblPrEx>
        <w:trPr>
          <w:trHeight w:val="567" w:hRule="atLeast"/>
        </w:trPr>
        <w:tc>
          <w:tcPr>
            <w:tcW w:w="2420"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color w:val="auto"/>
                <w:sz w:val="22"/>
                <w:szCs w:val="22"/>
                <w:highlight w:val="none"/>
              </w:rPr>
              <w:t>7:00~8:00</w:t>
            </w:r>
          </w:p>
        </w:tc>
        <w:tc>
          <w:tcPr>
            <w:tcW w:w="7434"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color w:val="auto"/>
                <w:sz w:val="22"/>
                <w:szCs w:val="22"/>
                <w:highlight w:val="none"/>
              </w:rPr>
              <w:t>清洁打扫医院内绿化带，及地下车库斜坡，停车场，收集院内公共部位垃圾箱的垃圾，清洁烟灰缸。</w:t>
            </w:r>
          </w:p>
        </w:tc>
      </w:tr>
      <w:tr>
        <w:tblPrEx>
          <w:tblLayout w:type="fixed"/>
          <w:tblCellMar>
            <w:top w:w="0" w:type="dxa"/>
            <w:left w:w="108" w:type="dxa"/>
            <w:bottom w:w="0" w:type="dxa"/>
            <w:right w:w="108" w:type="dxa"/>
          </w:tblCellMar>
        </w:tblPrEx>
        <w:trPr>
          <w:trHeight w:val="567" w:hRule="atLeast"/>
        </w:trPr>
        <w:tc>
          <w:tcPr>
            <w:tcW w:w="2420" w:type="dxa"/>
            <w:tcBorders>
              <w:top w:val="single" w:color="000000" w:sz="4" w:space="0"/>
              <w:left w:val="single" w:color="000000" w:sz="12" w:space="0"/>
              <w:bottom w:val="single" w:color="000000" w:sz="4" w:space="0"/>
              <w:right w:val="single" w:color="000000" w:sz="4" w:space="0"/>
            </w:tcBorders>
            <w:vAlign w:val="center"/>
          </w:tcPr>
          <w:p>
            <w:pPr>
              <w:pStyle w:val="70"/>
              <w:spacing w:line="308" w:lineRule="atLeast"/>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color w:val="auto"/>
                <w:sz w:val="22"/>
                <w:szCs w:val="22"/>
                <w:highlight w:val="none"/>
              </w:rPr>
              <w:t>8:00~8:30</w:t>
            </w:r>
          </w:p>
        </w:tc>
        <w:tc>
          <w:tcPr>
            <w:tcW w:w="7434" w:type="dxa"/>
            <w:tcBorders>
              <w:top w:val="single" w:color="000000" w:sz="4" w:space="0"/>
              <w:left w:val="nil"/>
              <w:bottom w:val="single" w:color="000000" w:sz="4" w:space="0"/>
              <w:right w:val="single" w:color="000000" w:sz="12" w:space="0"/>
            </w:tcBorders>
            <w:vAlign w:val="center"/>
          </w:tcPr>
          <w:p>
            <w:pPr>
              <w:pStyle w:val="70"/>
              <w:spacing w:line="308" w:lineRule="atLeast"/>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color w:val="auto"/>
                <w:sz w:val="22"/>
                <w:szCs w:val="22"/>
                <w:highlight w:val="none"/>
              </w:rPr>
              <w:t>早餐</w:t>
            </w:r>
          </w:p>
        </w:tc>
      </w:tr>
      <w:tr>
        <w:tblPrEx>
          <w:tblLayout w:type="fixed"/>
          <w:tblCellMar>
            <w:top w:w="0" w:type="dxa"/>
            <w:left w:w="108" w:type="dxa"/>
            <w:bottom w:w="0" w:type="dxa"/>
            <w:right w:w="108" w:type="dxa"/>
          </w:tblCellMar>
        </w:tblPrEx>
        <w:trPr>
          <w:trHeight w:val="567" w:hRule="atLeast"/>
        </w:trPr>
        <w:tc>
          <w:tcPr>
            <w:tcW w:w="2420" w:type="dxa"/>
            <w:tcBorders>
              <w:top w:val="single" w:color="000000" w:sz="4" w:space="0"/>
              <w:left w:val="single" w:color="000000" w:sz="12" w:space="0"/>
              <w:bottom w:val="single" w:color="000000" w:sz="4" w:space="0"/>
              <w:right w:val="single" w:color="000000" w:sz="4" w:space="0"/>
            </w:tcBorders>
            <w:vAlign w:val="center"/>
          </w:tcPr>
          <w:p>
            <w:pPr>
              <w:pStyle w:val="70"/>
              <w:spacing w:line="293" w:lineRule="atLeast"/>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color w:val="auto"/>
                <w:sz w:val="22"/>
                <w:szCs w:val="22"/>
                <w:highlight w:val="none"/>
              </w:rPr>
              <w:t>8:30~9:30</w:t>
            </w:r>
          </w:p>
        </w:tc>
        <w:tc>
          <w:tcPr>
            <w:tcW w:w="7434" w:type="dxa"/>
            <w:tcBorders>
              <w:top w:val="single" w:color="000000" w:sz="4" w:space="0"/>
              <w:left w:val="nil"/>
              <w:bottom w:val="single" w:color="000000" w:sz="4" w:space="0"/>
              <w:right w:val="single" w:color="000000" w:sz="12" w:space="0"/>
            </w:tcBorders>
            <w:vAlign w:val="center"/>
          </w:tcPr>
          <w:p>
            <w:pPr>
              <w:pStyle w:val="70"/>
              <w:spacing w:line="293" w:lineRule="atLeast"/>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color w:val="auto"/>
                <w:sz w:val="22"/>
                <w:szCs w:val="22"/>
                <w:highlight w:val="none"/>
              </w:rPr>
              <w:t>清理医院内的地沟，</w:t>
            </w:r>
            <w:r>
              <w:rPr>
                <w:rFonts w:hint="eastAsia" w:cs="新宋体" w:asciiTheme="minorEastAsia" w:hAnsiTheme="minorEastAsia" w:eastAsiaTheme="minorEastAsia"/>
                <w:color w:val="auto"/>
                <w:sz w:val="22"/>
                <w:szCs w:val="22"/>
                <w:highlight w:val="none"/>
                <w:lang w:val="en-US" w:eastAsia="zh-CN"/>
              </w:rPr>
              <w:t>窨井</w:t>
            </w:r>
            <w:r>
              <w:rPr>
                <w:rFonts w:hint="eastAsia" w:cs="新宋体" w:asciiTheme="minorEastAsia" w:hAnsiTheme="minorEastAsia" w:eastAsiaTheme="minorEastAsia"/>
                <w:color w:val="auto"/>
                <w:sz w:val="22"/>
                <w:szCs w:val="22"/>
                <w:highlight w:val="none"/>
              </w:rPr>
              <w:t>，公共区域干道，广场，绿化带巡视清洁。</w:t>
            </w:r>
          </w:p>
        </w:tc>
      </w:tr>
      <w:tr>
        <w:tblPrEx>
          <w:tblLayout w:type="fixed"/>
          <w:tblCellMar>
            <w:top w:w="0" w:type="dxa"/>
            <w:left w:w="108" w:type="dxa"/>
            <w:bottom w:w="0" w:type="dxa"/>
            <w:right w:w="108" w:type="dxa"/>
          </w:tblCellMar>
        </w:tblPrEx>
        <w:trPr>
          <w:trHeight w:val="567" w:hRule="atLeast"/>
        </w:trPr>
        <w:tc>
          <w:tcPr>
            <w:tcW w:w="2420"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color w:val="auto"/>
                <w:sz w:val="22"/>
                <w:szCs w:val="22"/>
                <w:highlight w:val="none"/>
              </w:rPr>
              <w:t>9:30~10:30</w:t>
            </w:r>
          </w:p>
        </w:tc>
        <w:tc>
          <w:tcPr>
            <w:tcW w:w="7434"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color w:val="auto"/>
                <w:sz w:val="22"/>
                <w:szCs w:val="22"/>
                <w:highlight w:val="none"/>
              </w:rPr>
              <w:t>擦拭院内公共部位的垃圾箱，石锈扶手，宣传栏，广告牌，不锈钢门栏，公共区域巡视清洁。</w:t>
            </w:r>
          </w:p>
        </w:tc>
      </w:tr>
      <w:tr>
        <w:tblPrEx>
          <w:tblLayout w:type="fixed"/>
          <w:tblCellMar>
            <w:top w:w="0" w:type="dxa"/>
            <w:left w:w="108" w:type="dxa"/>
            <w:bottom w:w="0" w:type="dxa"/>
            <w:right w:w="108" w:type="dxa"/>
          </w:tblCellMar>
        </w:tblPrEx>
        <w:trPr>
          <w:trHeight w:val="567" w:hRule="atLeast"/>
        </w:trPr>
        <w:tc>
          <w:tcPr>
            <w:tcW w:w="2420"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10:30~11:30</w:t>
            </w:r>
          </w:p>
        </w:tc>
        <w:tc>
          <w:tcPr>
            <w:tcW w:w="7434"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清洁整理垃圾站，公共区域干道，绿化巡视清洁。</w:t>
            </w:r>
          </w:p>
        </w:tc>
      </w:tr>
      <w:tr>
        <w:tblPrEx>
          <w:tblLayout w:type="fixed"/>
          <w:tblCellMar>
            <w:top w:w="0" w:type="dxa"/>
            <w:left w:w="108" w:type="dxa"/>
            <w:bottom w:w="0" w:type="dxa"/>
            <w:right w:w="108" w:type="dxa"/>
          </w:tblCellMar>
        </w:tblPrEx>
        <w:trPr>
          <w:trHeight w:val="567" w:hRule="atLeast"/>
        </w:trPr>
        <w:tc>
          <w:tcPr>
            <w:tcW w:w="2420"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11:30~12:30</w:t>
            </w:r>
          </w:p>
        </w:tc>
        <w:tc>
          <w:tcPr>
            <w:tcW w:w="7434"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院内门急诊门口重点巡视清洁，垃圾箱，烟灰筒清洁，全院公共区域巡视清洁。</w:t>
            </w:r>
          </w:p>
        </w:tc>
      </w:tr>
      <w:tr>
        <w:tblPrEx>
          <w:tblLayout w:type="fixed"/>
          <w:tblCellMar>
            <w:top w:w="0" w:type="dxa"/>
            <w:left w:w="108" w:type="dxa"/>
            <w:bottom w:w="0" w:type="dxa"/>
            <w:right w:w="108" w:type="dxa"/>
          </w:tblCellMar>
        </w:tblPrEx>
        <w:trPr>
          <w:trHeight w:val="567" w:hRule="atLeast"/>
        </w:trPr>
        <w:tc>
          <w:tcPr>
            <w:tcW w:w="2420"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12:30~13:30</w:t>
            </w:r>
          </w:p>
        </w:tc>
        <w:tc>
          <w:tcPr>
            <w:tcW w:w="7434"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院内门急诊门口，大门外重点清洁，住院部外围清洁，其他公共区域巡视清洁。</w:t>
            </w:r>
          </w:p>
        </w:tc>
      </w:tr>
      <w:tr>
        <w:tblPrEx>
          <w:tblLayout w:type="fixed"/>
          <w:tblCellMar>
            <w:top w:w="0" w:type="dxa"/>
            <w:left w:w="108" w:type="dxa"/>
            <w:bottom w:w="0" w:type="dxa"/>
            <w:right w:w="108" w:type="dxa"/>
          </w:tblCellMar>
        </w:tblPrEx>
        <w:trPr>
          <w:trHeight w:val="567" w:hRule="atLeast"/>
        </w:trPr>
        <w:tc>
          <w:tcPr>
            <w:tcW w:w="2420"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13:30~14:30</w:t>
            </w:r>
          </w:p>
        </w:tc>
        <w:tc>
          <w:tcPr>
            <w:tcW w:w="7434"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院内门急诊门口，医院门口绿化地带，地沟，下水道，</w:t>
            </w:r>
            <w:r>
              <w:rPr>
                <w:rFonts w:hint="eastAsia" w:cs="新宋体" w:asciiTheme="minorEastAsia" w:hAnsiTheme="minorEastAsia" w:eastAsiaTheme="minorEastAsia"/>
                <w:color w:val="auto"/>
                <w:sz w:val="22"/>
                <w:szCs w:val="22"/>
                <w:highlight w:val="none"/>
                <w:lang w:val="en-US" w:eastAsia="zh-CN"/>
              </w:rPr>
              <w:t>窨井</w:t>
            </w:r>
            <w:r>
              <w:rPr>
                <w:rFonts w:hint="eastAsia" w:cs="新宋体" w:asciiTheme="minorEastAsia" w:hAnsiTheme="minorEastAsia" w:eastAsiaTheme="minorEastAsia"/>
                <w:color w:val="auto"/>
                <w:sz w:val="22"/>
                <w:szCs w:val="22"/>
                <w:highlight w:val="none"/>
              </w:rPr>
              <w:t>重点清洁，其他公共区域巡视清洁。</w:t>
            </w:r>
          </w:p>
        </w:tc>
      </w:tr>
      <w:tr>
        <w:tblPrEx>
          <w:tblLayout w:type="fixed"/>
          <w:tblCellMar>
            <w:top w:w="0" w:type="dxa"/>
            <w:left w:w="108" w:type="dxa"/>
            <w:bottom w:w="0" w:type="dxa"/>
            <w:right w:w="108" w:type="dxa"/>
          </w:tblCellMar>
        </w:tblPrEx>
        <w:trPr>
          <w:trHeight w:val="567" w:hRule="atLeast"/>
        </w:trPr>
        <w:tc>
          <w:tcPr>
            <w:tcW w:w="2420"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14:30~15:30</w:t>
            </w:r>
          </w:p>
        </w:tc>
        <w:tc>
          <w:tcPr>
            <w:tcW w:w="7434"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院内路灯，绿化地带照明等擦拭，地下车库停车场，地沟，垃圾筒，烟灰筒清洁，院内公共区域巡视清洁。</w:t>
            </w:r>
          </w:p>
        </w:tc>
      </w:tr>
      <w:tr>
        <w:tblPrEx>
          <w:tblLayout w:type="fixed"/>
          <w:tblCellMar>
            <w:top w:w="0" w:type="dxa"/>
            <w:left w:w="108" w:type="dxa"/>
            <w:bottom w:w="0" w:type="dxa"/>
            <w:right w:w="108" w:type="dxa"/>
          </w:tblCellMar>
        </w:tblPrEx>
        <w:trPr>
          <w:trHeight w:val="567" w:hRule="atLeast"/>
        </w:trPr>
        <w:tc>
          <w:tcPr>
            <w:tcW w:w="2420"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15:30~16:30</w:t>
            </w:r>
            <w:r>
              <w:rPr>
                <w:rFonts w:hint="eastAsia" w:cs="新宋体" w:asciiTheme="minorEastAsia" w:hAnsiTheme="minorEastAsia" w:eastAsiaTheme="minorEastAsia"/>
                <w:color w:val="auto"/>
                <w:sz w:val="22"/>
                <w:szCs w:val="22"/>
                <w:highlight w:val="none"/>
              </w:rPr>
              <w:tab/>
            </w:r>
          </w:p>
        </w:tc>
        <w:tc>
          <w:tcPr>
            <w:tcW w:w="7434"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清洁院内道池内的垃圾，清扫地沟，下水道，整理</w:t>
            </w:r>
            <w:r>
              <w:rPr>
                <w:rFonts w:hint="eastAsia" w:cs="新宋体" w:asciiTheme="minorEastAsia" w:hAnsiTheme="minorEastAsia" w:eastAsiaTheme="minorEastAsia"/>
                <w:color w:val="auto"/>
                <w:sz w:val="22"/>
                <w:szCs w:val="22"/>
                <w:highlight w:val="none"/>
                <w:lang w:val="en-US" w:eastAsia="zh-CN"/>
              </w:rPr>
              <w:t>窨井</w:t>
            </w:r>
            <w:r>
              <w:rPr>
                <w:rFonts w:hint="eastAsia" w:cs="新宋体" w:asciiTheme="minorEastAsia" w:hAnsiTheme="minorEastAsia" w:eastAsiaTheme="minorEastAsia"/>
                <w:color w:val="auto"/>
                <w:sz w:val="22"/>
                <w:szCs w:val="22"/>
                <w:highlight w:val="none"/>
              </w:rPr>
              <w:t>盖，拾捡绿化地的垃圾，门急诊及主干道巡视清洁。</w:t>
            </w:r>
          </w:p>
        </w:tc>
      </w:tr>
      <w:tr>
        <w:tblPrEx>
          <w:tblLayout w:type="fixed"/>
          <w:tblCellMar>
            <w:top w:w="0" w:type="dxa"/>
            <w:left w:w="108" w:type="dxa"/>
            <w:bottom w:w="0" w:type="dxa"/>
            <w:right w:w="108" w:type="dxa"/>
          </w:tblCellMar>
        </w:tblPrEx>
        <w:trPr>
          <w:trHeight w:val="567" w:hRule="atLeast"/>
        </w:trPr>
        <w:tc>
          <w:tcPr>
            <w:tcW w:w="2420"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16:30~17:00</w:t>
            </w:r>
          </w:p>
        </w:tc>
        <w:tc>
          <w:tcPr>
            <w:tcW w:w="7434"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门急诊门口重点巡视清洁，其他公共区域巡视清洁，整理清洁工具，清洗毛巾。</w:t>
            </w:r>
          </w:p>
        </w:tc>
      </w:tr>
      <w:tr>
        <w:tblPrEx>
          <w:tblLayout w:type="fixed"/>
          <w:tblCellMar>
            <w:top w:w="0" w:type="dxa"/>
            <w:left w:w="108" w:type="dxa"/>
            <w:bottom w:w="0" w:type="dxa"/>
            <w:right w:w="108" w:type="dxa"/>
          </w:tblCellMar>
        </w:tblPrEx>
        <w:trPr>
          <w:trHeight w:val="567" w:hRule="atLeast"/>
        </w:trPr>
        <w:tc>
          <w:tcPr>
            <w:tcW w:w="2420"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17:00</w:t>
            </w:r>
          </w:p>
        </w:tc>
        <w:tc>
          <w:tcPr>
            <w:tcW w:w="7434"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签出。</w:t>
            </w:r>
          </w:p>
        </w:tc>
      </w:tr>
      <w:tr>
        <w:tblPrEx>
          <w:tblLayout w:type="fixed"/>
          <w:tblCellMar>
            <w:top w:w="0" w:type="dxa"/>
            <w:left w:w="108" w:type="dxa"/>
            <w:bottom w:w="0" w:type="dxa"/>
            <w:right w:w="108" w:type="dxa"/>
          </w:tblCellMar>
        </w:tblPrEx>
        <w:trPr>
          <w:trHeight w:val="567" w:hRule="atLeast"/>
        </w:trPr>
        <w:tc>
          <w:tcPr>
            <w:tcW w:w="9854" w:type="dxa"/>
            <w:gridSpan w:val="2"/>
            <w:tcBorders>
              <w:top w:val="single" w:color="000000" w:sz="4" w:space="0"/>
              <w:left w:val="single" w:color="000000" w:sz="12" w:space="0"/>
              <w:bottom w:val="single" w:color="000000" w:sz="12" w:space="0"/>
              <w:right w:val="single" w:color="000000" w:sz="12" w:space="0"/>
            </w:tcBorders>
            <w:vAlign w:val="center"/>
          </w:tcPr>
          <w:p>
            <w:pPr>
              <w:pStyle w:val="70"/>
              <w:ind w:left="1256" w:hanging="1256"/>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注：每周工作七天，分早班和日班，上班时间为：</w:t>
            </w:r>
          </w:p>
          <w:p>
            <w:pPr>
              <w:pStyle w:val="70"/>
              <w:ind w:left="1256" w:hanging="1256"/>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⒈ 早班：5：30~14：30；    11：30~13：00为午餐时间。</w:t>
            </w:r>
          </w:p>
          <w:p>
            <w:pPr>
              <w:pStyle w:val="70"/>
              <w:ind w:left="1256" w:hanging="1256"/>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⒉ 日班：8；30~17：00；    13：00~14：00为午餐休息。</w:t>
            </w:r>
          </w:p>
        </w:tc>
      </w:tr>
    </w:tbl>
    <w:p>
      <w:pPr>
        <w:tabs>
          <w:tab w:val="left" w:pos="720"/>
        </w:tabs>
        <w:spacing w:line="340" w:lineRule="exact"/>
        <w:rPr>
          <w:rFonts w:cs="新宋体" w:asciiTheme="minorEastAsia" w:hAnsiTheme="minorEastAsia" w:eastAsiaTheme="minorEastAsia"/>
          <w:color w:val="auto"/>
          <w:sz w:val="22"/>
          <w:szCs w:val="22"/>
          <w:highlight w:val="none"/>
        </w:rPr>
      </w:pPr>
    </w:p>
    <w:p>
      <w:pPr>
        <w:numPr>
          <w:ilvl w:val="0"/>
          <w:numId w:val="7"/>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运送员工工作流程</w:t>
      </w:r>
    </w:p>
    <w:tbl>
      <w:tblPr>
        <w:tblStyle w:val="41"/>
        <w:tblW w:w="9854"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395"/>
        <w:gridCol w:w="7459"/>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95" w:type="dxa"/>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时间</w:t>
            </w:r>
          </w:p>
        </w:tc>
        <w:tc>
          <w:tcPr>
            <w:tcW w:w="7459" w:type="dxa"/>
            <w:vAlign w:val="center"/>
          </w:tcPr>
          <w:p>
            <w:pPr>
              <w:pStyle w:val="70"/>
              <w:ind w:firstLine="0"/>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工作内容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95" w:type="dxa"/>
            <w:vMerge w:val="restart"/>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全天，具体时间根据院方实际安排</w:t>
            </w:r>
          </w:p>
        </w:tc>
        <w:tc>
          <w:tcPr>
            <w:tcW w:w="7459" w:type="dxa"/>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运送病人做各相应的预约检查等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95" w:type="dxa"/>
            <w:vMerge w:val="continue"/>
            <w:vAlign w:val="center"/>
          </w:tcPr>
          <w:p>
            <w:pPr>
              <w:pStyle w:val="70"/>
              <w:rPr>
                <w:rFonts w:cs="新宋体" w:asciiTheme="minorEastAsia" w:hAnsiTheme="minorEastAsia" w:eastAsiaTheme="minorEastAsia"/>
                <w:color w:val="auto"/>
                <w:sz w:val="22"/>
                <w:szCs w:val="22"/>
                <w:highlight w:val="none"/>
              </w:rPr>
            </w:pPr>
          </w:p>
        </w:tc>
        <w:tc>
          <w:tcPr>
            <w:tcW w:w="7459" w:type="dxa"/>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收送各科室的污血袋至血库等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95" w:type="dxa"/>
            <w:vMerge w:val="continue"/>
            <w:vAlign w:val="center"/>
          </w:tcPr>
          <w:p>
            <w:pPr>
              <w:pStyle w:val="70"/>
              <w:rPr>
                <w:rFonts w:cs="新宋体" w:asciiTheme="minorEastAsia" w:hAnsiTheme="minorEastAsia" w:eastAsiaTheme="minorEastAsia"/>
                <w:color w:val="auto"/>
                <w:sz w:val="22"/>
                <w:szCs w:val="22"/>
                <w:highlight w:val="none"/>
              </w:rPr>
            </w:pPr>
          </w:p>
        </w:tc>
        <w:tc>
          <w:tcPr>
            <w:tcW w:w="7459" w:type="dxa"/>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更换及运送各类消毒包等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95" w:type="dxa"/>
            <w:vMerge w:val="continue"/>
            <w:vAlign w:val="center"/>
          </w:tcPr>
          <w:p>
            <w:pPr>
              <w:pStyle w:val="70"/>
              <w:rPr>
                <w:rFonts w:cs="新宋体" w:asciiTheme="minorEastAsia" w:hAnsiTheme="minorEastAsia" w:eastAsiaTheme="minorEastAsia"/>
                <w:color w:val="auto"/>
                <w:sz w:val="22"/>
                <w:szCs w:val="22"/>
                <w:highlight w:val="none"/>
              </w:rPr>
            </w:pPr>
          </w:p>
        </w:tc>
        <w:tc>
          <w:tcPr>
            <w:tcW w:w="7459" w:type="dxa"/>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运送病人做各项常规检查等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95" w:type="dxa"/>
            <w:vMerge w:val="continue"/>
            <w:vAlign w:val="center"/>
          </w:tcPr>
          <w:p>
            <w:pPr>
              <w:pStyle w:val="70"/>
              <w:rPr>
                <w:rFonts w:cs="新宋体" w:asciiTheme="minorEastAsia" w:hAnsiTheme="minorEastAsia" w:eastAsiaTheme="minorEastAsia"/>
                <w:color w:val="auto"/>
                <w:sz w:val="22"/>
                <w:szCs w:val="22"/>
                <w:highlight w:val="none"/>
              </w:rPr>
            </w:pPr>
          </w:p>
        </w:tc>
        <w:tc>
          <w:tcPr>
            <w:tcW w:w="7459" w:type="dxa"/>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取化验单并送至相应的科室等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95" w:type="dxa"/>
            <w:vMerge w:val="continue"/>
            <w:vAlign w:val="center"/>
          </w:tcPr>
          <w:p>
            <w:pPr>
              <w:pStyle w:val="70"/>
              <w:rPr>
                <w:rFonts w:cs="新宋体" w:asciiTheme="minorEastAsia" w:hAnsiTheme="minorEastAsia" w:eastAsiaTheme="minorEastAsia"/>
                <w:color w:val="auto"/>
                <w:sz w:val="22"/>
                <w:szCs w:val="22"/>
                <w:highlight w:val="none"/>
              </w:rPr>
            </w:pPr>
          </w:p>
        </w:tc>
        <w:tc>
          <w:tcPr>
            <w:tcW w:w="7459" w:type="dxa"/>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运送各科室营养大袋等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95" w:type="dxa"/>
            <w:vMerge w:val="continue"/>
            <w:vAlign w:val="center"/>
          </w:tcPr>
          <w:p>
            <w:pPr>
              <w:pStyle w:val="70"/>
              <w:rPr>
                <w:rFonts w:cs="新宋体" w:asciiTheme="minorEastAsia" w:hAnsiTheme="minorEastAsia" w:eastAsiaTheme="minorEastAsia"/>
                <w:color w:val="auto"/>
                <w:sz w:val="22"/>
                <w:szCs w:val="22"/>
                <w:highlight w:val="none"/>
              </w:rPr>
            </w:pPr>
          </w:p>
        </w:tc>
        <w:tc>
          <w:tcPr>
            <w:tcW w:w="7459" w:type="dxa"/>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运送各病区药车及药箱等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95" w:type="dxa"/>
            <w:vMerge w:val="continue"/>
            <w:vAlign w:val="center"/>
          </w:tcPr>
          <w:p>
            <w:pPr>
              <w:pStyle w:val="70"/>
              <w:ind w:firstLine="0"/>
              <w:rPr>
                <w:rFonts w:cs="新宋体" w:asciiTheme="minorEastAsia" w:hAnsiTheme="minorEastAsia" w:eastAsiaTheme="minorEastAsia"/>
                <w:color w:val="auto"/>
                <w:sz w:val="22"/>
                <w:szCs w:val="22"/>
                <w:highlight w:val="none"/>
              </w:rPr>
            </w:pPr>
          </w:p>
        </w:tc>
        <w:tc>
          <w:tcPr>
            <w:tcW w:w="7459" w:type="dxa"/>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辅助科室驻守员工做各项运送工作等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95" w:type="dxa"/>
            <w:vMerge w:val="continue"/>
            <w:vAlign w:val="center"/>
          </w:tcPr>
          <w:p>
            <w:pPr>
              <w:rPr>
                <w:rFonts w:cs="新宋体" w:asciiTheme="minorEastAsia" w:hAnsiTheme="minorEastAsia" w:eastAsiaTheme="minorEastAsia"/>
                <w:color w:val="auto"/>
                <w:sz w:val="22"/>
                <w:szCs w:val="22"/>
                <w:highlight w:val="none"/>
              </w:rPr>
            </w:pPr>
          </w:p>
        </w:tc>
        <w:tc>
          <w:tcPr>
            <w:tcW w:w="7459" w:type="dxa"/>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运送各科室日常所需液体等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95" w:type="dxa"/>
            <w:vMerge w:val="continue"/>
            <w:vAlign w:val="center"/>
          </w:tcPr>
          <w:p>
            <w:pPr>
              <w:rPr>
                <w:rFonts w:cs="新宋体" w:asciiTheme="minorEastAsia" w:hAnsiTheme="minorEastAsia" w:eastAsiaTheme="minorEastAsia"/>
                <w:color w:val="auto"/>
                <w:sz w:val="22"/>
                <w:szCs w:val="22"/>
                <w:highlight w:val="none"/>
              </w:rPr>
            </w:pPr>
          </w:p>
        </w:tc>
        <w:tc>
          <w:tcPr>
            <w:tcW w:w="7459" w:type="dxa"/>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运送病理标本等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395" w:type="dxa"/>
            <w:vMerge w:val="continue"/>
            <w:vAlign w:val="center"/>
          </w:tcPr>
          <w:p>
            <w:pPr>
              <w:rPr>
                <w:rFonts w:cs="新宋体" w:asciiTheme="minorEastAsia" w:hAnsiTheme="minorEastAsia" w:eastAsiaTheme="minorEastAsia"/>
                <w:color w:val="auto"/>
                <w:sz w:val="22"/>
                <w:szCs w:val="22"/>
                <w:highlight w:val="none"/>
              </w:rPr>
            </w:pPr>
          </w:p>
        </w:tc>
        <w:tc>
          <w:tcPr>
            <w:tcW w:w="7459" w:type="dxa"/>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运送ICU消毒包等</w:t>
            </w:r>
          </w:p>
        </w:tc>
      </w:tr>
    </w:tbl>
    <w:p>
      <w:pPr>
        <w:numPr>
          <w:ilvl w:val="0"/>
          <w:numId w:val="7"/>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bookmarkStart w:id="25" w:name="_Toc13421821"/>
      <w:r>
        <w:rPr>
          <w:rFonts w:hint="eastAsia" w:cs="新宋体" w:asciiTheme="minorEastAsia" w:hAnsiTheme="minorEastAsia" w:eastAsiaTheme="minorEastAsia"/>
          <w:color w:val="auto"/>
          <w:sz w:val="22"/>
          <w:szCs w:val="22"/>
          <w:highlight w:val="none"/>
        </w:rPr>
        <w:t>洗衣房专用人员</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工作区域: 洗衣房</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工作时间:7:00~17:00</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清洁频率: 7天</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 xml:space="preserve">工作流程如下表： </w:t>
      </w:r>
    </w:p>
    <w:tbl>
      <w:tblPr>
        <w:tblStyle w:val="41"/>
        <w:tblW w:w="9854" w:type="dxa"/>
        <w:tblInd w:w="0" w:type="dxa"/>
        <w:tblLayout w:type="fixed"/>
        <w:tblCellMar>
          <w:top w:w="0" w:type="dxa"/>
          <w:left w:w="108" w:type="dxa"/>
          <w:bottom w:w="0" w:type="dxa"/>
          <w:right w:w="108" w:type="dxa"/>
        </w:tblCellMar>
      </w:tblPr>
      <w:tblGrid>
        <w:gridCol w:w="1488"/>
        <w:gridCol w:w="1899"/>
        <w:gridCol w:w="6467"/>
      </w:tblGrid>
      <w:tr>
        <w:tblPrEx>
          <w:tblLayout w:type="fixed"/>
          <w:tblCellMar>
            <w:top w:w="0" w:type="dxa"/>
            <w:left w:w="108" w:type="dxa"/>
            <w:bottom w:w="0" w:type="dxa"/>
            <w:right w:w="108" w:type="dxa"/>
          </w:tblCellMar>
        </w:tblPrEx>
        <w:trPr>
          <w:trHeight w:val="613" w:hRule="atLeast"/>
        </w:trPr>
        <w:tc>
          <w:tcPr>
            <w:tcW w:w="1488" w:type="dxa"/>
            <w:tcBorders>
              <w:top w:val="single" w:color="000000" w:sz="12"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时 间</w:t>
            </w:r>
          </w:p>
        </w:tc>
        <w:tc>
          <w:tcPr>
            <w:tcW w:w="1899" w:type="dxa"/>
            <w:tcBorders>
              <w:top w:val="single" w:color="000000" w:sz="12" w:space="0"/>
              <w:left w:val="nil"/>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区 域</w:t>
            </w:r>
          </w:p>
        </w:tc>
        <w:tc>
          <w:tcPr>
            <w:tcW w:w="6467" w:type="dxa"/>
            <w:tcBorders>
              <w:top w:val="single" w:color="000000" w:sz="12" w:space="0"/>
              <w:left w:val="nil"/>
              <w:bottom w:val="single" w:color="000000" w:sz="4" w:space="0"/>
              <w:right w:val="single" w:color="000000" w:sz="12"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责 任</w:t>
            </w:r>
          </w:p>
        </w:tc>
      </w:tr>
      <w:tr>
        <w:tblPrEx>
          <w:tblLayout w:type="fixed"/>
          <w:tblCellMar>
            <w:top w:w="0" w:type="dxa"/>
            <w:left w:w="108" w:type="dxa"/>
            <w:bottom w:w="0" w:type="dxa"/>
            <w:right w:w="108" w:type="dxa"/>
          </w:tblCellMar>
        </w:tblPrEx>
        <w:trPr>
          <w:trHeight w:val="674"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7:00</w:t>
            </w:r>
          </w:p>
        </w:tc>
        <w:tc>
          <w:tcPr>
            <w:tcW w:w="1899"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到岗</w:t>
            </w:r>
          </w:p>
        </w:tc>
        <w:tc>
          <w:tcPr>
            <w:tcW w:w="6467"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完成刷卡,更换工作服,佩</w:t>
            </w:r>
            <w:r>
              <w:rPr>
                <w:rFonts w:hint="eastAsia" w:cs="新宋体" w:asciiTheme="minorEastAsia" w:hAnsiTheme="minorEastAsia" w:eastAsiaTheme="minorEastAsia"/>
                <w:color w:val="auto"/>
                <w:sz w:val="22"/>
                <w:szCs w:val="22"/>
                <w:highlight w:val="none"/>
                <w:lang w:eastAsia="zh-CN"/>
              </w:rPr>
              <w:t>戴</w:t>
            </w:r>
            <w:r>
              <w:rPr>
                <w:rFonts w:hint="eastAsia" w:cs="新宋体" w:asciiTheme="minorEastAsia" w:hAnsiTheme="minorEastAsia" w:eastAsiaTheme="minorEastAsia"/>
                <w:color w:val="auto"/>
                <w:sz w:val="22"/>
                <w:szCs w:val="22"/>
                <w:highlight w:val="none"/>
              </w:rPr>
              <w:t>工号牌,完成岗前准备工作</w:t>
            </w:r>
          </w:p>
        </w:tc>
      </w:tr>
      <w:tr>
        <w:tblPrEx>
          <w:tblLayout w:type="fixed"/>
          <w:tblCellMar>
            <w:top w:w="0" w:type="dxa"/>
            <w:left w:w="108" w:type="dxa"/>
            <w:bottom w:w="0" w:type="dxa"/>
            <w:right w:w="108" w:type="dxa"/>
          </w:tblCellMar>
        </w:tblPrEx>
        <w:trPr>
          <w:trHeight w:val="293"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7：00~17:00</w:t>
            </w:r>
          </w:p>
        </w:tc>
        <w:tc>
          <w:tcPr>
            <w:tcW w:w="1899" w:type="dxa"/>
            <w:tcBorders>
              <w:top w:val="single" w:color="000000" w:sz="4" w:space="0"/>
              <w:left w:val="nil"/>
              <w:bottom w:val="single" w:color="000000" w:sz="4" w:space="0"/>
              <w:right w:val="single" w:color="000000" w:sz="4" w:space="0"/>
            </w:tcBorders>
            <w:vAlign w:val="center"/>
          </w:tcPr>
          <w:p>
            <w:p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负责全院被服管理工作</w:t>
            </w:r>
          </w:p>
        </w:tc>
        <w:tc>
          <w:tcPr>
            <w:tcW w:w="6467" w:type="dxa"/>
            <w:tcBorders>
              <w:top w:val="single" w:color="000000" w:sz="4" w:space="0"/>
              <w:left w:val="nil"/>
              <w:bottom w:val="single" w:color="000000" w:sz="4" w:space="0"/>
              <w:right w:val="single" w:color="000000" w:sz="12" w:space="0"/>
            </w:tcBorders>
            <w:vAlign w:val="center"/>
          </w:tcPr>
          <w:p>
            <w:p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1.负责被品的清洗、养护、储存与配送工作，为医疗工作提供支持与保障，确保医疗工作正常开展。</w:t>
            </w:r>
          </w:p>
          <w:p>
            <w:p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2.负责与科室的交接及与外包科室的交接，严格执行各类物品的消毒隔离制度，执行物品的交接手续，防止丢失。</w:t>
            </w:r>
          </w:p>
          <w:p>
            <w:p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3.患者出院后及时把被品收回清点后进行清洗消毒。遵守洗涤规范要求，防止交叉感染。</w:t>
            </w:r>
          </w:p>
          <w:p>
            <w:p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4.对入库被品要按规定逐项检查对照，负责填写验收记录。</w:t>
            </w:r>
          </w:p>
          <w:p>
            <w:p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5.会同会计定期对库存被品清查，每季度盘存一次，发现问题及时登记、上报，做到帐物相符。</w:t>
            </w:r>
          </w:p>
          <w:p>
            <w:p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6.做好防霉、防虫、防火、防盗等安全防范工作。</w:t>
            </w:r>
          </w:p>
          <w:p>
            <w:p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7.严格执行安全责任制及应急预案，预防各类安全事故及灾害发生。做好防水、防盗、防腐等管理工作，室内禁止存放易燃易爆物品。</w:t>
            </w:r>
          </w:p>
          <w:p>
            <w:pPr>
              <w:tabs>
                <w:tab w:val="left" w:pos="680"/>
              </w:tabs>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8.坚持修旧利废，爱护公物，履行节约。</w:t>
            </w:r>
          </w:p>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snapToGrid w:val="0"/>
                <w:color w:val="auto"/>
                <w:sz w:val="22"/>
                <w:szCs w:val="22"/>
                <w:highlight w:val="none"/>
              </w:rPr>
              <w:t>9.按时完成直接领导交办的临时性任务。</w:t>
            </w:r>
          </w:p>
        </w:tc>
      </w:tr>
      <w:tr>
        <w:tblPrEx>
          <w:tblLayout w:type="fixed"/>
          <w:tblCellMar>
            <w:top w:w="0" w:type="dxa"/>
            <w:left w:w="108" w:type="dxa"/>
            <w:bottom w:w="0" w:type="dxa"/>
            <w:right w:w="108" w:type="dxa"/>
          </w:tblCellMar>
        </w:tblPrEx>
        <w:trPr>
          <w:trHeight w:val="293" w:hRule="atLeast"/>
        </w:trPr>
        <w:tc>
          <w:tcPr>
            <w:tcW w:w="1488" w:type="dxa"/>
            <w:tcBorders>
              <w:top w:val="single" w:color="000000" w:sz="4" w:space="0"/>
              <w:left w:val="single" w:color="000000" w:sz="12" w:space="0"/>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17:00</w:t>
            </w:r>
          </w:p>
        </w:tc>
        <w:tc>
          <w:tcPr>
            <w:tcW w:w="1899" w:type="dxa"/>
            <w:tcBorders>
              <w:top w:val="single" w:color="000000" w:sz="4" w:space="0"/>
              <w:left w:val="nil"/>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签退</w:t>
            </w:r>
          </w:p>
        </w:tc>
        <w:tc>
          <w:tcPr>
            <w:tcW w:w="6467" w:type="dxa"/>
            <w:tcBorders>
              <w:top w:val="single" w:color="000000" w:sz="4" w:space="0"/>
              <w:left w:val="nil"/>
              <w:bottom w:val="single" w:color="000000" w:sz="12"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遵守休息时间,严禁代考考勤卡</w:t>
            </w:r>
          </w:p>
        </w:tc>
      </w:tr>
    </w:tbl>
    <w:p>
      <w:pPr>
        <w:numPr>
          <w:ilvl w:val="0"/>
          <w:numId w:val="7"/>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医疗废物专用人员</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工作区域: 全院各科室</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工作时间:6:00~17:00</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清洁频率: 7天</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 xml:space="preserve">工作流程如下表： </w:t>
      </w:r>
    </w:p>
    <w:tbl>
      <w:tblPr>
        <w:tblStyle w:val="41"/>
        <w:tblW w:w="9854" w:type="dxa"/>
        <w:tblInd w:w="0" w:type="dxa"/>
        <w:tblLayout w:type="fixed"/>
        <w:tblCellMar>
          <w:top w:w="0" w:type="dxa"/>
          <w:left w:w="108" w:type="dxa"/>
          <w:bottom w:w="0" w:type="dxa"/>
          <w:right w:w="108" w:type="dxa"/>
        </w:tblCellMar>
      </w:tblPr>
      <w:tblGrid>
        <w:gridCol w:w="1488"/>
        <w:gridCol w:w="1899"/>
        <w:gridCol w:w="6467"/>
      </w:tblGrid>
      <w:tr>
        <w:tblPrEx>
          <w:tblLayout w:type="fixed"/>
          <w:tblCellMar>
            <w:top w:w="0" w:type="dxa"/>
            <w:left w:w="108" w:type="dxa"/>
            <w:bottom w:w="0" w:type="dxa"/>
            <w:right w:w="108" w:type="dxa"/>
          </w:tblCellMar>
        </w:tblPrEx>
        <w:trPr>
          <w:trHeight w:val="613" w:hRule="atLeast"/>
        </w:trPr>
        <w:tc>
          <w:tcPr>
            <w:tcW w:w="1488" w:type="dxa"/>
            <w:tcBorders>
              <w:top w:val="single" w:color="000000" w:sz="12"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时 间</w:t>
            </w:r>
          </w:p>
        </w:tc>
        <w:tc>
          <w:tcPr>
            <w:tcW w:w="1899" w:type="dxa"/>
            <w:tcBorders>
              <w:top w:val="single" w:color="000000" w:sz="12" w:space="0"/>
              <w:left w:val="nil"/>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区 域</w:t>
            </w:r>
          </w:p>
        </w:tc>
        <w:tc>
          <w:tcPr>
            <w:tcW w:w="6467" w:type="dxa"/>
            <w:tcBorders>
              <w:top w:val="single" w:color="000000" w:sz="12" w:space="0"/>
              <w:left w:val="nil"/>
              <w:bottom w:val="single" w:color="000000" w:sz="4" w:space="0"/>
              <w:right w:val="single" w:color="000000" w:sz="12"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责 任</w:t>
            </w:r>
          </w:p>
        </w:tc>
      </w:tr>
      <w:tr>
        <w:tblPrEx>
          <w:tblLayout w:type="fixed"/>
          <w:tblCellMar>
            <w:top w:w="0" w:type="dxa"/>
            <w:left w:w="108" w:type="dxa"/>
            <w:bottom w:w="0" w:type="dxa"/>
            <w:right w:w="108" w:type="dxa"/>
          </w:tblCellMar>
        </w:tblPrEx>
        <w:trPr>
          <w:trHeight w:val="674"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6:00</w:t>
            </w:r>
          </w:p>
        </w:tc>
        <w:tc>
          <w:tcPr>
            <w:tcW w:w="1899"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到岗</w:t>
            </w:r>
          </w:p>
        </w:tc>
        <w:tc>
          <w:tcPr>
            <w:tcW w:w="6467"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完成刷卡,更换工作服,佩</w:t>
            </w:r>
            <w:r>
              <w:rPr>
                <w:rFonts w:hint="eastAsia" w:cs="新宋体" w:asciiTheme="minorEastAsia" w:hAnsiTheme="minorEastAsia" w:eastAsiaTheme="minorEastAsia"/>
                <w:color w:val="auto"/>
                <w:sz w:val="22"/>
                <w:szCs w:val="22"/>
                <w:highlight w:val="none"/>
                <w:lang w:eastAsia="zh-CN"/>
              </w:rPr>
              <w:t>戴</w:t>
            </w:r>
            <w:r>
              <w:rPr>
                <w:rFonts w:hint="eastAsia" w:cs="新宋体" w:asciiTheme="minorEastAsia" w:hAnsiTheme="minorEastAsia" w:eastAsiaTheme="minorEastAsia"/>
                <w:color w:val="auto"/>
                <w:sz w:val="22"/>
                <w:szCs w:val="22"/>
                <w:highlight w:val="none"/>
              </w:rPr>
              <w:t>工号牌,完成岗前准备工作</w:t>
            </w:r>
          </w:p>
        </w:tc>
      </w:tr>
      <w:tr>
        <w:tblPrEx>
          <w:tblLayout w:type="fixed"/>
          <w:tblCellMar>
            <w:top w:w="0" w:type="dxa"/>
            <w:left w:w="108" w:type="dxa"/>
            <w:bottom w:w="0" w:type="dxa"/>
            <w:right w:w="108" w:type="dxa"/>
          </w:tblCellMar>
        </w:tblPrEx>
        <w:trPr>
          <w:trHeight w:val="674"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6：00~17:00</w:t>
            </w:r>
          </w:p>
        </w:tc>
        <w:tc>
          <w:tcPr>
            <w:tcW w:w="1899"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全院各科室</w:t>
            </w:r>
          </w:p>
        </w:tc>
        <w:tc>
          <w:tcPr>
            <w:tcW w:w="6467"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收集全院各科室产生的医疗废物及危险废物，对医疗废物及危险废物进行收集、运送时，应穿戴必要的防护用品，包括工作服、帽子、口罩、防护手套、防护鞋。因违反安全操作规范所发生的损伤事件由运送人员本人及承包方负责处理，与院方无关。</w:t>
            </w:r>
          </w:p>
        </w:tc>
      </w:tr>
      <w:tr>
        <w:tblPrEx>
          <w:tblLayout w:type="fixed"/>
          <w:tblCellMar>
            <w:top w:w="0" w:type="dxa"/>
            <w:left w:w="108" w:type="dxa"/>
            <w:bottom w:w="0" w:type="dxa"/>
            <w:right w:w="108" w:type="dxa"/>
          </w:tblCellMar>
        </w:tblPrEx>
        <w:trPr>
          <w:trHeight w:val="293" w:hRule="atLeast"/>
        </w:trPr>
        <w:tc>
          <w:tcPr>
            <w:tcW w:w="1488" w:type="dxa"/>
            <w:tcBorders>
              <w:top w:val="single" w:color="000000" w:sz="4" w:space="0"/>
              <w:left w:val="single" w:color="000000" w:sz="12" w:space="0"/>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17:00</w:t>
            </w:r>
          </w:p>
        </w:tc>
        <w:tc>
          <w:tcPr>
            <w:tcW w:w="1899" w:type="dxa"/>
            <w:tcBorders>
              <w:top w:val="single" w:color="000000" w:sz="4" w:space="0"/>
              <w:left w:val="nil"/>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签退</w:t>
            </w:r>
          </w:p>
        </w:tc>
        <w:tc>
          <w:tcPr>
            <w:tcW w:w="6467" w:type="dxa"/>
            <w:tcBorders>
              <w:top w:val="single" w:color="000000" w:sz="4" w:space="0"/>
              <w:left w:val="nil"/>
              <w:bottom w:val="single" w:color="000000" w:sz="12"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遵守休息时间,严禁代考考勤卡</w:t>
            </w:r>
          </w:p>
        </w:tc>
      </w:tr>
    </w:tbl>
    <w:p>
      <w:pPr>
        <w:numPr>
          <w:ilvl w:val="0"/>
          <w:numId w:val="7"/>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水、木工专用人员</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工作时间:6:00~17:00</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清洁频率: 7天</w:t>
      </w:r>
    </w:p>
    <w:p>
      <w:pPr>
        <w:numPr>
          <w:ilvl w:val="2"/>
          <w:numId w:val="7"/>
        </w:numPr>
        <w:tabs>
          <w:tab w:val="left" w:pos="720"/>
          <w:tab w:val="clear" w:pos="1156"/>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 xml:space="preserve">工作流程如下表： </w:t>
      </w:r>
    </w:p>
    <w:tbl>
      <w:tblPr>
        <w:tblStyle w:val="41"/>
        <w:tblW w:w="9854" w:type="dxa"/>
        <w:tblInd w:w="0" w:type="dxa"/>
        <w:tblLayout w:type="fixed"/>
        <w:tblCellMar>
          <w:top w:w="0" w:type="dxa"/>
          <w:left w:w="108" w:type="dxa"/>
          <w:bottom w:w="0" w:type="dxa"/>
          <w:right w:w="108" w:type="dxa"/>
        </w:tblCellMar>
      </w:tblPr>
      <w:tblGrid>
        <w:gridCol w:w="1488"/>
        <w:gridCol w:w="1899"/>
        <w:gridCol w:w="6467"/>
      </w:tblGrid>
      <w:tr>
        <w:tblPrEx>
          <w:tblLayout w:type="fixed"/>
          <w:tblCellMar>
            <w:top w:w="0" w:type="dxa"/>
            <w:left w:w="108" w:type="dxa"/>
            <w:bottom w:w="0" w:type="dxa"/>
            <w:right w:w="108" w:type="dxa"/>
          </w:tblCellMar>
        </w:tblPrEx>
        <w:trPr>
          <w:trHeight w:val="613" w:hRule="atLeast"/>
        </w:trPr>
        <w:tc>
          <w:tcPr>
            <w:tcW w:w="1488" w:type="dxa"/>
            <w:tcBorders>
              <w:top w:val="single" w:color="000000" w:sz="12" w:space="0"/>
              <w:left w:val="single" w:color="000000" w:sz="12" w:space="0"/>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时 间</w:t>
            </w:r>
          </w:p>
        </w:tc>
        <w:tc>
          <w:tcPr>
            <w:tcW w:w="1899" w:type="dxa"/>
            <w:tcBorders>
              <w:top w:val="single" w:color="000000" w:sz="12" w:space="0"/>
              <w:left w:val="nil"/>
              <w:bottom w:val="single" w:color="000000" w:sz="4" w:space="0"/>
              <w:right w:val="single" w:color="000000" w:sz="4"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区 域</w:t>
            </w:r>
          </w:p>
        </w:tc>
        <w:tc>
          <w:tcPr>
            <w:tcW w:w="6467" w:type="dxa"/>
            <w:tcBorders>
              <w:top w:val="single" w:color="000000" w:sz="12" w:space="0"/>
              <w:left w:val="nil"/>
              <w:bottom w:val="single" w:color="000000" w:sz="4" w:space="0"/>
              <w:right w:val="single" w:color="000000" w:sz="12" w:space="0"/>
            </w:tcBorders>
            <w:vAlign w:val="center"/>
          </w:tcPr>
          <w:p>
            <w:pPr>
              <w:pStyle w:val="70"/>
              <w:ind w:firstLine="0"/>
              <w:jc w:val="center"/>
              <w:rPr>
                <w:rFonts w:cs="新宋体" w:asciiTheme="minorEastAsia" w:hAnsiTheme="minorEastAsia" w:eastAsiaTheme="minorEastAsia"/>
                <w:b/>
                <w:bCs/>
                <w:color w:val="auto"/>
                <w:sz w:val="22"/>
                <w:szCs w:val="22"/>
                <w:highlight w:val="none"/>
              </w:rPr>
            </w:pPr>
            <w:r>
              <w:rPr>
                <w:rFonts w:hint="eastAsia" w:cs="新宋体" w:asciiTheme="minorEastAsia" w:hAnsiTheme="minorEastAsia" w:eastAsiaTheme="minorEastAsia"/>
                <w:b/>
                <w:bCs/>
                <w:color w:val="auto"/>
                <w:sz w:val="22"/>
                <w:szCs w:val="22"/>
                <w:highlight w:val="none"/>
              </w:rPr>
              <w:t>工 作 责 任</w:t>
            </w:r>
          </w:p>
        </w:tc>
      </w:tr>
      <w:tr>
        <w:tblPrEx>
          <w:tblLayout w:type="fixed"/>
          <w:tblCellMar>
            <w:top w:w="0" w:type="dxa"/>
            <w:left w:w="108" w:type="dxa"/>
            <w:bottom w:w="0" w:type="dxa"/>
            <w:right w:w="108" w:type="dxa"/>
          </w:tblCellMar>
        </w:tblPrEx>
        <w:trPr>
          <w:trHeight w:val="674"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6:00</w:t>
            </w:r>
          </w:p>
        </w:tc>
        <w:tc>
          <w:tcPr>
            <w:tcW w:w="1899"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到岗</w:t>
            </w:r>
          </w:p>
        </w:tc>
        <w:tc>
          <w:tcPr>
            <w:tcW w:w="6467"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完成刷卡,更换工作服,佩</w:t>
            </w:r>
            <w:r>
              <w:rPr>
                <w:rFonts w:hint="eastAsia" w:cs="新宋体" w:asciiTheme="minorEastAsia" w:hAnsiTheme="minorEastAsia" w:eastAsiaTheme="minorEastAsia"/>
                <w:color w:val="auto"/>
                <w:sz w:val="22"/>
                <w:szCs w:val="22"/>
                <w:highlight w:val="none"/>
                <w:lang w:eastAsia="zh-CN"/>
              </w:rPr>
              <w:t>戴</w:t>
            </w:r>
            <w:r>
              <w:rPr>
                <w:rFonts w:hint="eastAsia" w:cs="新宋体" w:asciiTheme="minorEastAsia" w:hAnsiTheme="minorEastAsia" w:eastAsiaTheme="minorEastAsia"/>
                <w:color w:val="auto"/>
                <w:sz w:val="22"/>
                <w:szCs w:val="22"/>
                <w:highlight w:val="none"/>
              </w:rPr>
              <w:t>工号牌,完成岗前准备工作</w:t>
            </w:r>
          </w:p>
        </w:tc>
      </w:tr>
      <w:tr>
        <w:tblPrEx>
          <w:tblLayout w:type="fixed"/>
          <w:tblCellMar>
            <w:top w:w="0" w:type="dxa"/>
            <w:left w:w="108" w:type="dxa"/>
            <w:bottom w:w="0" w:type="dxa"/>
            <w:right w:w="108" w:type="dxa"/>
          </w:tblCellMar>
        </w:tblPrEx>
        <w:trPr>
          <w:trHeight w:val="674" w:hRule="atLeast"/>
        </w:trPr>
        <w:tc>
          <w:tcPr>
            <w:tcW w:w="1488" w:type="dxa"/>
            <w:tcBorders>
              <w:top w:val="single" w:color="000000" w:sz="4" w:space="0"/>
              <w:left w:val="single" w:color="000000" w:sz="12" w:space="0"/>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6：00~17:00</w:t>
            </w:r>
          </w:p>
        </w:tc>
        <w:tc>
          <w:tcPr>
            <w:tcW w:w="1899" w:type="dxa"/>
            <w:tcBorders>
              <w:top w:val="single" w:color="000000" w:sz="4" w:space="0"/>
              <w:left w:val="nil"/>
              <w:bottom w:val="single" w:color="000000" w:sz="4"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全院办公区域</w:t>
            </w:r>
          </w:p>
        </w:tc>
        <w:tc>
          <w:tcPr>
            <w:tcW w:w="6467" w:type="dxa"/>
            <w:tcBorders>
              <w:top w:val="single" w:color="000000" w:sz="4" w:space="0"/>
              <w:left w:val="nil"/>
              <w:bottom w:val="single" w:color="000000" w:sz="4"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w:t>
            </w:r>
            <w:r>
              <w:rPr>
                <w:rFonts w:hint="eastAsia" w:cs="新宋体" w:asciiTheme="minorEastAsia" w:hAnsiTheme="minorEastAsia" w:eastAsiaTheme="minorEastAsia"/>
                <w:color w:val="auto"/>
                <w:sz w:val="22"/>
                <w:szCs w:val="22"/>
                <w:highlight w:val="none"/>
              </w:rPr>
              <w:tab/>
            </w:r>
            <w:r>
              <w:rPr>
                <w:rFonts w:hint="eastAsia" w:cs="新宋体" w:asciiTheme="minorEastAsia" w:hAnsiTheme="minorEastAsia" w:eastAsiaTheme="minorEastAsia"/>
                <w:color w:val="auto"/>
                <w:sz w:val="22"/>
                <w:szCs w:val="22"/>
                <w:highlight w:val="none"/>
              </w:rPr>
              <w:t>水工负责全院办公医疗、生活用水的日常管理和维修</w:t>
            </w:r>
          </w:p>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2、</w:t>
            </w:r>
            <w:r>
              <w:rPr>
                <w:rFonts w:hint="eastAsia" w:cs="新宋体" w:asciiTheme="minorEastAsia" w:hAnsiTheme="minorEastAsia" w:eastAsiaTheme="minorEastAsia"/>
                <w:color w:val="auto"/>
                <w:sz w:val="22"/>
                <w:szCs w:val="22"/>
                <w:highlight w:val="none"/>
              </w:rPr>
              <w:tab/>
            </w:r>
            <w:r>
              <w:rPr>
                <w:rFonts w:hint="eastAsia" w:cs="新宋体" w:asciiTheme="minorEastAsia" w:hAnsiTheme="minorEastAsia" w:eastAsiaTheme="minorEastAsia"/>
                <w:color w:val="auto"/>
                <w:sz w:val="22"/>
                <w:szCs w:val="22"/>
                <w:highlight w:val="none"/>
              </w:rPr>
              <w:t>木工负责全院办公场所木铁窗柜等的检查和维修</w:t>
            </w:r>
          </w:p>
        </w:tc>
      </w:tr>
      <w:tr>
        <w:tblPrEx>
          <w:tblLayout w:type="fixed"/>
          <w:tblCellMar>
            <w:top w:w="0" w:type="dxa"/>
            <w:left w:w="108" w:type="dxa"/>
            <w:bottom w:w="0" w:type="dxa"/>
            <w:right w:w="108" w:type="dxa"/>
          </w:tblCellMar>
        </w:tblPrEx>
        <w:trPr>
          <w:trHeight w:val="293" w:hRule="atLeast"/>
        </w:trPr>
        <w:tc>
          <w:tcPr>
            <w:tcW w:w="1488" w:type="dxa"/>
            <w:tcBorders>
              <w:top w:val="single" w:color="000000" w:sz="4" w:space="0"/>
              <w:left w:val="single" w:color="000000" w:sz="12" w:space="0"/>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17:00</w:t>
            </w:r>
          </w:p>
        </w:tc>
        <w:tc>
          <w:tcPr>
            <w:tcW w:w="1899" w:type="dxa"/>
            <w:tcBorders>
              <w:top w:val="single" w:color="000000" w:sz="4" w:space="0"/>
              <w:left w:val="nil"/>
              <w:bottom w:val="single" w:color="000000" w:sz="12" w:space="0"/>
              <w:right w:val="single" w:color="000000" w:sz="4"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签退</w:t>
            </w:r>
          </w:p>
        </w:tc>
        <w:tc>
          <w:tcPr>
            <w:tcW w:w="6467" w:type="dxa"/>
            <w:tcBorders>
              <w:top w:val="single" w:color="000000" w:sz="4" w:space="0"/>
              <w:left w:val="nil"/>
              <w:bottom w:val="single" w:color="000000" w:sz="12" w:space="0"/>
              <w:right w:val="single" w:color="000000" w:sz="12" w:space="0"/>
            </w:tcBorders>
            <w:vAlign w:val="center"/>
          </w:tcPr>
          <w:p>
            <w:pPr>
              <w:pStyle w:val="70"/>
              <w:ind w:firstLine="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遵守休息时间,严禁代考考勤卡</w:t>
            </w:r>
          </w:p>
        </w:tc>
      </w:tr>
    </w:tbl>
    <w:p>
      <w:pPr>
        <w:pStyle w:val="2"/>
        <w:ind w:firstLine="221"/>
        <w:rPr>
          <w:rFonts w:asciiTheme="minorEastAsia" w:hAnsiTheme="minorEastAsia" w:eastAsiaTheme="minorEastAsia"/>
          <w:b/>
          <w:color w:val="auto"/>
          <w:sz w:val="22"/>
          <w:szCs w:val="22"/>
          <w:highlight w:val="none"/>
        </w:rPr>
      </w:pPr>
    </w:p>
    <w:p>
      <w:pPr>
        <w:pStyle w:val="2"/>
        <w:ind w:firstLine="221"/>
        <w:rPr>
          <w:rFonts w:asciiTheme="minorEastAsia" w:hAnsiTheme="minorEastAsia" w:eastAsiaTheme="minorEastAsia"/>
          <w:b/>
          <w:color w:val="auto"/>
          <w:sz w:val="22"/>
          <w:szCs w:val="22"/>
          <w:highlight w:val="none"/>
        </w:rPr>
      </w:pPr>
      <w:r>
        <w:rPr>
          <w:rFonts w:hint="eastAsia" w:asciiTheme="minorEastAsia" w:hAnsiTheme="minorEastAsia" w:eastAsiaTheme="minorEastAsia"/>
          <w:b/>
          <w:color w:val="auto"/>
          <w:sz w:val="22"/>
          <w:szCs w:val="22"/>
          <w:highlight w:val="none"/>
        </w:rPr>
        <w:t>注：以上所有时间为暂定时间，仅供参考，具体以采购人实际需求时间为准。</w:t>
      </w:r>
    </w:p>
    <w:p>
      <w:pPr>
        <w:pStyle w:val="39"/>
        <w:rPr>
          <w:rFonts w:ascii="宋体" w:hAnsi="宋体" w:cs="新宋体"/>
          <w:color w:val="auto"/>
          <w:sz w:val="22"/>
          <w:szCs w:val="22"/>
          <w:highlight w:val="none"/>
        </w:rPr>
      </w:pPr>
      <w:bookmarkStart w:id="26" w:name="_Toc28760"/>
      <w:r>
        <w:rPr>
          <w:rFonts w:hint="eastAsia" w:ascii="宋体" w:hAnsi="宋体" w:cs="新宋体"/>
          <w:color w:val="auto"/>
          <w:sz w:val="22"/>
          <w:szCs w:val="22"/>
          <w:highlight w:val="none"/>
        </w:rPr>
        <w:t>四、主要职责要求</w:t>
      </w:r>
      <w:bookmarkEnd w:id="25"/>
      <w:bookmarkEnd w:id="26"/>
    </w:p>
    <w:p>
      <w:pPr>
        <w:numPr>
          <w:ilvl w:val="0"/>
          <w:numId w:val="8"/>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门诊保洁员岗位职责</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在部门主管的指导下严格执行自己的职责，按工作流程，工作标准和职业道德要求，服从领导，完成各室内的卫生清洁，保洁工作。</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着装整齐，佩戴胸卡，仪表端正，主动热情。</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提前上岗，做好班前准备，不迟到，不串岗，不旷工，出满勤。</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严格消毒管理，防止交叉感染，工具分类使用，分类消毒有标记。</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工作间爱护医护、病人物品，不能乱动；要节电</w:t>
      </w:r>
      <w:r>
        <w:rPr>
          <w:rFonts w:hint="eastAsia" w:cs="新宋体" w:asciiTheme="minorEastAsia" w:hAnsiTheme="minorEastAsia" w:eastAsiaTheme="minorEastAsia"/>
          <w:color w:val="auto"/>
          <w:sz w:val="22"/>
          <w:szCs w:val="22"/>
          <w:highlight w:val="none"/>
          <w:lang w:eastAsia="zh-CN"/>
        </w:rPr>
        <w:t>、</w:t>
      </w:r>
      <w:r>
        <w:rPr>
          <w:rFonts w:hint="eastAsia" w:cs="新宋体" w:asciiTheme="minorEastAsia" w:hAnsiTheme="minorEastAsia" w:eastAsiaTheme="minorEastAsia"/>
          <w:color w:val="auto"/>
          <w:sz w:val="22"/>
          <w:szCs w:val="22"/>
          <w:highlight w:val="none"/>
        </w:rPr>
        <w:t>节水和相关耗材。</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 xml:space="preserve">清洁工作中体现人性化服务，做到四轻，求得病人的支持，重视病人感受。 </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清洁工作中做到安全防范，必要时树：“小心地滑”牌，注意不要伤害到病人和医务人员，做好个人的保护。</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完成职责内的日间和周间的保洁工作，并保证质量标准和规范服务。</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积极参加医院和公司部门的培训学习。</w:t>
      </w:r>
    </w:p>
    <w:p>
      <w:pPr>
        <w:numPr>
          <w:ilvl w:val="0"/>
          <w:numId w:val="8"/>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手术室保洁员职责</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遵守服务规范及劳动纪律，进出手术室按规定着装，坚守工作岗位。</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每日晨湿式打扫各自负责的区域，保证环境清洁、无尘。</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掌握各种消毒液的配置方法及注意事项，每日晨按时配置并定点放置。</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管理好门户，负责手术人员洗手衣、拖鞋、钥匙等的发放工作，并及时回收。注意严格控制人员进出，防止非手术人员进入。</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每台手术结束后及时回收污染敷料及废物，做好手术间的清洁工作，感染手术按要求正确处置。</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值班人员做好夜间急诊手术的术后保洁工作，及时关闭门户。</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拖鞋每日洗净、晾干、备用，走廊每日三小拖。</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每日俩次清理更衣室，将需送洗的衣服整理好装袋并定点放置。</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每周定时大扫除，保证负责区域环境一尘不染。</w:t>
      </w:r>
    </w:p>
    <w:p>
      <w:pPr>
        <w:numPr>
          <w:ilvl w:val="0"/>
          <w:numId w:val="8"/>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西药保洁人员职责</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每天2次药房、药库、办公室及公共卫生地面、桌面、卫生间打扫（与中药保洁合干）</w:t>
      </w:r>
      <w:r>
        <w:rPr>
          <w:rFonts w:hint="eastAsia" w:cs="新宋体" w:asciiTheme="minorEastAsia" w:hAnsiTheme="minorEastAsia" w:eastAsiaTheme="minorEastAsia"/>
          <w:color w:val="auto"/>
          <w:sz w:val="22"/>
          <w:szCs w:val="22"/>
          <w:highlight w:val="none"/>
          <w:lang w:eastAsia="zh-CN"/>
        </w:rPr>
        <w:t>。</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每天上午2次（10点与11点），下午1次（2点）将出院带药送到各病区。</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协助西药库做好药品上架、发药、送药等工作。</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协助病区药房做好药品上架、整理等工作。</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每周六下午打扫大输液仓库。</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每周擦拭药架、货架1次。</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每天下午发大输液到各病区。</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其他日常事务，如到总务科领取物资等。</w:t>
      </w:r>
    </w:p>
    <w:p>
      <w:pPr>
        <w:numPr>
          <w:ilvl w:val="0"/>
          <w:numId w:val="8"/>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中药保洁人员职责</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每天2次药房、药库、办公室及公共卫生地面、桌面、卫生间打扫（与西药保洁合干）</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每天上午2次（10点与11点），下午1次（2点）将出院带药送到各病区。</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协助中药库做好药品验收、上架、发药等工作。</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每天下午送药到中药房，并协助中药房人员上架、整理。</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每周擦拭药架、货架1次。</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其他日常事务。</w:t>
      </w:r>
    </w:p>
    <w:p>
      <w:pPr>
        <w:numPr>
          <w:ilvl w:val="0"/>
          <w:numId w:val="8"/>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配送人员职责</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配送：除承担全院病人抬送和物资配送，还包括：卫生材料、文件及单据、批量物品、药品、标本、供应室物品、大配方车、试管、盐水输液、病人、影像检查要求、其他特殊运送、压缩气瓶、各种检查预约并护送单据等。</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勤杂事务：包括中、西药房药材的整理、运输，到各病区收集一次性输液管及消毒，应急搬加床，抬送尸体，太平间保洁及管理等与医院工作相关的勤杂事务。</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其他日常事务，完成院方交办的其他临时性事务。</w:t>
      </w:r>
    </w:p>
    <w:p>
      <w:pPr>
        <w:spacing w:line="340" w:lineRule="exact"/>
        <w:rPr>
          <w:rFonts w:cs="新宋体" w:asciiTheme="minorEastAsia" w:hAnsiTheme="minorEastAsia" w:eastAsiaTheme="minorEastAsia"/>
          <w:color w:val="auto"/>
          <w:sz w:val="22"/>
          <w:szCs w:val="22"/>
          <w:highlight w:val="none"/>
        </w:rPr>
      </w:pPr>
    </w:p>
    <w:p>
      <w:pPr>
        <w:numPr>
          <w:ilvl w:val="0"/>
          <w:numId w:val="8"/>
        </w:numPr>
        <w:spacing w:line="340" w:lineRule="exact"/>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ICU健康护理员职责</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在护理部领导及护士长的指导下，担任病员的生活护理及病房保洁工作；</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协助翻身Q2H，拍背、按摩等。 </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每天一次擦各种仪器的外表面，及时擦除血迹、污迹。每天整理床头柜及物品。</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保持病人口腔清洁、湿润。 洗头、洗澡、剪指甲、换衣服。协助大小便。</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神志清醒病人床边安慰、管理。烦躁病人专门守护。</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大小便失禁病人保持会阴干燥、通气，避免湿疹发生 。做好病员的脸盆、茶具、痰盂、便器等清洁及消毒工作。</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抽血后予按压，送检标本。</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做好病区保洁工作及布类物品管理。</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预约各辅助检查单。</w:t>
      </w:r>
    </w:p>
    <w:p>
      <w:pPr>
        <w:numPr>
          <w:ilvl w:val="0"/>
          <w:numId w:val="8"/>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健康护理员职责</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负责供应室所有物品回收、清洗、发放和手术室布类物品的包装。</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认真核实发放物品的名称、数量，做到账物相符，发放至临床科室时做好交接工作。</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在发放过程中，随时听取临床科室对消毒灭菌物品质量信息反馈，回科室及时把反馈内容告知供应室护士或护士长。</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负责供应室各区域的清洁卫生，各区用物固定专用、分开放置，每日一小扫，每周一大扫，以及设备机器的清洁工作，每日清洁消毒回收下送车辆及容器，并做好记录。</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严格执行消毒隔离制度、树立职业防护意识，做好个人防护，确保职业安全。</w:t>
      </w:r>
    </w:p>
    <w:p>
      <w:pPr>
        <w:numPr>
          <w:ilvl w:val="0"/>
          <w:numId w:val="8"/>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手术室护工职责</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遵守服务规范及劳动纪律，进出手术室按规定着装，坚守工作岗位。</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做好门厅、交换区、复苏室的清洁工作，保持环境清洁无尘。</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检查洗手衣和口罩、帽子，及时补充、添置。</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每日晨用消毒液擦拭交换车，更换被套床单，如有污染立即更换，避免交叉感染，检查交换车性能，如有故障及时通知相关人员维修。</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及时接送手术患者，严格执行查对制度，保证患者安全，如有疑问及时与值班护士或护士长联系。</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认真做好标本送检工作，每日晨将标本核对后及时送病理科清点、交接、签字，发现问题及时与值班护士沟通。</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经常巡视各手术间，及时接送手术患者，接送患者时推车应轻巧稳妥，扶起车担，保证患者安全，严禁碰、撞、摔伤手术患者。</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每日按时摆放各类无菌包，做到定位归置，摆放有序。</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上班空闲期间协助申领各类物品，并定位摆置。</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每周定时大扫除，保证负责区域环境一尘不染。</w:t>
      </w:r>
    </w:p>
    <w:p>
      <w:pPr>
        <w:numPr>
          <w:ilvl w:val="0"/>
          <w:numId w:val="8"/>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洗衣房专用人员岗位职责</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在部门主管的指导下严格执行自己的职责，按工作流程，工作标准和职业道德要求，服从领导，完成洗衣房的工作。</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着装整齐，佩戴胸卡，仪表端正，主动热情。</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提前上岗，做好班前准备，不迟到，不串岗，不旷工，出满勤。</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严格消毒管理，防止交叉感染，工具分类使用，分类消毒有标记。</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工作间爱护医护、病人物品，不能乱动；要节电，节水和相关耗材。</w:t>
      </w:r>
    </w:p>
    <w:p>
      <w:pPr>
        <w:numPr>
          <w:ilvl w:val="0"/>
          <w:numId w:val="8"/>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医疗废物专用人员岗位职责</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 xml:space="preserve"> 医疗废物运送人员必须严格遵守医院的各项规章制度特别是医疗废物管理制度及规范，必须熟悉《医疗废物管理条例》的基本内容及医疗废物数据上传至省医疗废物智慧管理平台的相关要求。明确所有黄色医疗垃圾袋盛放的均为危险废物，均存在受伤或感染的危险；使用后的输液袋（瓶）为危险废物。</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 xml:space="preserve"> 每天医疗废物运送人员 6：00－17：00 收集全院各科室产生的医疗废物及危险废物，对医疗废物及危险废物进行收集、运送时，应穿戴必要的防护用品，包括工作服、帽子、口罩、防护手套、防护鞋。因违反安全操作规范所发生的损伤事件由运送人员本人及承包方负责处理，与院方无关。</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 xml:space="preserve"> 所有医疗废物及危险废物必须做到日产日清，院内储存时间不得超过 48 小时。</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 xml:space="preserve"> 医疗废物及危险废物运送人员必须使用专用密闭的容器，按照医院与中标人协商后规定的时间和路线将医疗废物及危险废物从产生地运送至医院医疗废物及危险废物暂时储存点。</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 xml:space="preserve"> 医疗废物运送人员在收集医疗废物前，应检查包装物有无破损和泄露，包装是否合格，是否有警示标签，标签填写完整，不得将不符合要求的医疗废物运送至医疗废物暂时储存点。</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 xml:space="preserve"> 医疗废物及危险废物收集时，严格执行内部交接制度，登记内容包括：医疗废物及危险废物产生科室、日期、废物的类别、重量或数量、交接双方签名等。</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 xml:space="preserve"> 运送人员在运送医疗废物及危险废物时，应防止发生医疗废物及危险废物流失、泄露和扩散等事故。当发现医疗废物及危险废物流失、泄露和扩散等事故时，应立即报告医院感染管理科，启动应急预案。</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 xml:space="preserve"> 每日运送工作结束后，应当对运送工具用 1000 ㎎∕L 含氯消毒剂进行清洁和消毒。</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 xml:space="preserve"> 医疗废物运送人员应当根据《医疗废物分类目录》，在接受医疗废物时对医疗废物实施分类运送，在暂存点对医疗废物实施分类管理。</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医疗废物及危险废物每天运送至暂存点必须入库，不得露天存放。</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医疗废物运送人员必须按时当面与医疗垃圾公司人员进行交接，并填写好医疗废物转运单，医疗废物转运单下月初上交医院总务科统一保管。医疗废物转交出去后，应当对暂存地点、设施及时进行清洁和消毒处理。</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医疗垃圾公司送来的利器盒、专用盒、垃圾袋等包装容器必须与医疗垃圾公司正确交接并与次日将发放单交总务科备档。及时送到仓库存放，严禁存放在医疗垃圾房内。每月按总务科发放单正确下发到科室并做好接收签字工作，一旦发生遗失照价赔偿。</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医疗废物运送人员在运送、保管时注意身体不接触医疗废物。每天工作结束后注意自身手卫生及防护用品的清洁。</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严禁偷盗、买卖医疗废物及危险废物，违反者按医院与中标人签订的《后勤物业服务合同书》予以处罚，并承担相应的法律责任。</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医院医疗废物收集、运送、贮存、处置均依靠医疗废物回收车进行，数据应及时传送至省医疗废物智慧管理平台，医疗废物数据上传至省医疗废物智慧管理平台的须符合相关要求。医疗废物回收车应在每次使用后及时清洁和消毒，并及时做好消毒记录。每月初将上一月产生的医疗废物的回收情况及重量统计打印成纸质文本，交由总务科存档。</w:t>
      </w:r>
    </w:p>
    <w:p>
      <w:pPr>
        <w:numPr>
          <w:ilvl w:val="0"/>
          <w:numId w:val="8"/>
        </w:numPr>
        <w:spacing w:line="34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水、木工专用人员</w:t>
      </w:r>
    </w:p>
    <w:p>
      <w:pPr>
        <w:numPr>
          <w:ilvl w:val="1"/>
          <w:numId w:val="8"/>
        </w:numPr>
        <w:spacing w:line="340" w:lineRule="exact"/>
        <w:ind w:hanging="254"/>
        <w:rPr>
          <w:rFonts w:asciiTheme="minorEastAsia" w:hAnsiTheme="minorEastAsia" w:eastAsiaTheme="minorEastAsia"/>
          <w:color w:val="auto"/>
          <w:sz w:val="22"/>
          <w:szCs w:val="22"/>
          <w:highlight w:val="none"/>
        </w:rPr>
      </w:pPr>
      <w:r>
        <w:rPr>
          <w:rFonts w:hint="eastAsia" w:cs="新宋体" w:asciiTheme="minorEastAsia" w:hAnsiTheme="minorEastAsia" w:eastAsiaTheme="minorEastAsia"/>
          <w:snapToGrid w:val="0"/>
          <w:color w:val="auto"/>
          <w:kern w:val="0"/>
          <w:sz w:val="22"/>
          <w:szCs w:val="22"/>
          <w:highlight w:val="none"/>
        </w:rPr>
        <w:t>水工负责全院办公医疗、生活用水的日常管理和维修</w:t>
      </w:r>
    </w:p>
    <w:p>
      <w:pPr>
        <w:numPr>
          <w:ilvl w:val="1"/>
          <w:numId w:val="8"/>
        </w:numPr>
        <w:spacing w:line="340" w:lineRule="exact"/>
        <w:ind w:hanging="254"/>
        <w:rPr>
          <w:rFonts w:asciiTheme="minorEastAsia" w:hAnsiTheme="minorEastAsia" w:eastAsiaTheme="minorEastAsia"/>
          <w:color w:val="auto"/>
          <w:sz w:val="22"/>
          <w:szCs w:val="22"/>
          <w:highlight w:val="none"/>
        </w:rPr>
      </w:pPr>
      <w:r>
        <w:rPr>
          <w:rFonts w:hint="eastAsia" w:cs="新宋体" w:asciiTheme="minorEastAsia" w:hAnsiTheme="minorEastAsia" w:eastAsiaTheme="minorEastAsia"/>
          <w:snapToGrid w:val="0"/>
          <w:color w:val="auto"/>
          <w:kern w:val="0"/>
          <w:sz w:val="22"/>
          <w:szCs w:val="22"/>
          <w:highlight w:val="none"/>
        </w:rPr>
        <w:t>木工负责全院办公场所木铁窗柜等的检查和维修</w:t>
      </w:r>
    </w:p>
    <w:p>
      <w:pPr>
        <w:numPr>
          <w:ilvl w:val="0"/>
          <w:numId w:val="8"/>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snapToGrid w:val="0"/>
          <w:color w:val="auto"/>
          <w:kern w:val="0"/>
          <w:sz w:val="22"/>
          <w:szCs w:val="22"/>
          <w:highlight w:val="none"/>
        </w:rPr>
        <w:t>物流配送中心人员</w:t>
      </w:r>
      <w:r>
        <w:rPr>
          <w:rFonts w:hint="eastAsia" w:cs="新宋体" w:asciiTheme="minorEastAsia" w:hAnsiTheme="minorEastAsia" w:eastAsiaTheme="minorEastAsia"/>
          <w:color w:val="auto"/>
          <w:sz w:val="22"/>
          <w:szCs w:val="22"/>
          <w:highlight w:val="none"/>
        </w:rPr>
        <w:t>岗位职责</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在部门主管的指导下严格执行自己的职责，按工作流程，工作标准和职业道德要求，服从领导，完成</w:t>
      </w:r>
      <w:r>
        <w:rPr>
          <w:rFonts w:hint="eastAsia" w:cs="新宋体" w:asciiTheme="minorEastAsia" w:hAnsiTheme="minorEastAsia" w:eastAsiaTheme="minorEastAsia"/>
          <w:snapToGrid w:val="0"/>
          <w:color w:val="auto"/>
          <w:kern w:val="0"/>
          <w:sz w:val="22"/>
          <w:szCs w:val="22"/>
          <w:highlight w:val="none"/>
        </w:rPr>
        <w:t>物流配送</w:t>
      </w:r>
      <w:r>
        <w:rPr>
          <w:rFonts w:hint="eastAsia" w:cs="新宋体" w:asciiTheme="minorEastAsia" w:hAnsiTheme="minorEastAsia" w:eastAsiaTheme="minorEastAsia"/>
          <w:color w:val="auto"/>
          <w:sz w:val="22"/>
          <w:szCs w:val="22"/>
          <w:highlight w:val="none"/>
        </w:rPr>
        <w:t>的工作。</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着装整齐，佩戴胸卡，仪表端正，主动热情。</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提前上岗，做好班前准备，不迟到，不串岗，不旷工，出满勤。</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严格消毒管理，防止交叉感染，工具分类使用，分类消毒有标记。</w:t>
      </w:r>
    </w:p>
    <w:p>
      <w:pPr>
        <w:numPr>
          <w:ilvl w:val="1"/>
          <w:numId w:val="8"/>
        </w:numPr>
        <w:spacing w:line="340" w:lineRule="exact"/>
        <w:ind w:hanging="254"/>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color w:val="auto"/>
          <w:sz w:val="22"/>
          <w:szCs w:val="22"/>
          <w:highlight w:val="none"/>
        </w:rPr>
        <w:t>工作间爱护物品，不能乱动；要节电</w:t>
      </w:r>
      <w:r>
        <w:rPr>
          <w:rFonts w:hint="eastAsia" w:cs="新宋体" w:asciiTheme="minorEastAsia" w:hAnsiTheme="minorEastAsia" w:eastAsiaTheme="minorEastAsia"/>
          <w:color w:val="auto"/>
          <w:sz w:val="22"/>
          <w:szCs w:val="22"/>
          <w:highlight w:val="none"/>
          <w:lang w:eastAsia="zh-CN"/>
        </w:rPr>
        <w:t>、</w:t>
      </w:r>
      <w:r>
        <w:rPr>
          <w:rFonts w:hint="eastAsia" w:cs="新宋体" w:asciiTheme="minorEastAsia" w:hAnsiTheme="minorEastAsia" w:eastAsiaTheme="minorEastAsia"/>
          <w:color w:val="auto"/>
          <w:sz w:val="22"/>
          <w:szCs w:val="22"/>
          <w:highlight w:val="none"/>
        </w:rPr>
        <w:t>节水和相关耗材。</w:t>
      </w:r>
    </w:p>
    <w:p>
      <w:pPr>
        <w:numPr>
          <w:ilvl w:val="0"/>
          <w:numId w:val="8"/>
        </w:numPr>
        <w:tabs>
          <w:tab w:val="left" w:pos="720"/>
          <w:tab w:val="clear" w:pos="680"/>
        </w:tabs>
        <w:spacing w:line="340" w:lineRule="exact"/>
        <w:ind w:left="720" w:hanging="720"/>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snapToGrid w:val="0"/>
          <w:color w:val="auto"/>
          <w:kern w:val="0"/>
          <w:sz w:val="22"/>
          <w:szCs w:val="22"/>
          <w:highlight w:val="none"/>
        </w:rPr>
        <w:t>疫情管控人员</w:t>
      </w:r>
      <w:r>
        <w:rPr>
          <w:rFonts w:hint="eastAsia" w:cs="新宋体" w:asciiTheme="minorEastAsia" w:hAnsiTheme="minorEastAsia" w:eastAsiaTheme="minorEastAsia"/>
          <w:color w:val="auto"/>
          <w:sz w:val="22"/>
          <w:szCs w:val="22"/>
          <w:highlight w:val="none"/>
        </w:rPr>
        <w:t>岗位职责</w:t>
      </w:r>
    </w:p>
    <w:p>
      <w:pPr>
        <w:numPr>
          <w:ilvl w:val="1"/>
          <w:numId w:val="8"/>
        </w:numPr>
        <w:spacing w:line="340" w:lineRule="exact"/>
        <w:ind w:hanging="254"/>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color w:val="auto"/>
          <w:sz w:val="22"/>
          <w:szCs w:val="22"/>
          <w:highlight w:val="none"/>
        </w:rPr>
        <w:t>疫情管控人员必须严格遵守医院的各项规章制度特别是医院进出人员管理制度及规范，做好</w:t>
      </w:r>
      <w:r>
        <w:rPr>
          <w:rFonts w:hint="eastAsia" w:cs="新宋体" w:asciiTheme="minorEastAsia" w:hAnsiTheme="minorEastAsia" w:eastAsiaTheme="minorEastAsia"/>
          <w:snapToGrid w:val="0"/>
          <w:color w:val="auto"/>
          <w:kern w:val="0"/>
          <w:sz w:val="22"/>
          <w:szCs w:val="22"/>
          <w:highlight w:val="none"/>
        </w:rPr>
        <w:t>隔离防护工作。</w:t>
      </w:r>
    </w:p>
    <w:p>
      <w:pPr>
        <w:pStyle w:val="2"/>
        <w:ind w:firstLine="220"/>
        <w:rPr>
          <w:rFonts w:asciiTheme="minorEastAsia" w:hAnsiTheme="minorEastAsia" w:eastAsiaTheme="minorEastAsia"/>
          <w:color w:val="auto"/>
          <w:sz w:val="22"/>
          <w:szCs w:val="22"/>
          <w:highlight w:val="none"/>
        </w:rPr>
      </w:pPr>
    </w:p>
    <w:p>
      <w:pPr>
        <w:pStyle w:val="39"/>
        <w:rPr>
          <w:rFonts w:ascii="宋体" w:hAnsi="宋体" w:cs="新宋体"/>
          <w:color w:val="auto"/>
          <w:sz w:val="22"/>
          <w:szCs w:val="22"/>
          <w:highlight w:val="none"/>
        </w:rPr>
      </w:pPr>
      <w:bookmarkStart w:id="27" w:name="_Toc13421822"/>
      <w:bookmarkStart w:id="28" w:name="_Toc11773"/>
      <w:r>
        <w:rPr>
          <w:rFonts w:hint="eastAsia" w:ascii="宋体" w:hAnsi="宋体" w:cs="新宋体"/>
          <w:color w:val="auto"/>
          <w:sz w:val="22"/>
          <w:szCs w:val="22"/>
          <w:highlight w:val="none"/>
        </w:rPr>
        <w:t>五、相关说明及要求</w:t>
      </w:r>
      <w:bookmarkEnd w:id="27"/>
      <w:bookmarkEnd w:id="28"/>
    </w:p>
    <w:p>
      <w:pPr>
        <w:numPr>
          <w:ilvl w:val="1"/>
          <w:numId w:val="9"/>
        </w:numPr>
        <w:tabs>
          <w:tab w:val="left" w:pos="360"/>
        </w:tabs>
        <w:spacing w:line="360" w:lineRule="exact"/>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管理空调、电风扇、电灯、水龙头等开与关，以及在合理时间给房间通风。</w:t>
      </w:r>
    </w:p>
    <w:p>
      <w:pPr>
        <w:numPr>
          <w:ilvl w:val="1"/>
          <w:numId w:val="9"/>
        </w:numPr>
        <w:tabs>
          <w:tab w:val="left" w:pos="36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在台风或大雨季节，如要加强抗台抗灾时及突发情况时，承包方要无条件听从院方指挥，并安排值班，费用已包括在投标价内。</w:t>
      </w:r>
    </w:p>
    <w:p>
      <w:pPr>
        <w:numPr>
          <w:ilvl w:val="1"/>
          <w:numId w:val="9"/>
        </w:numPr>
        <w:tabs>
          <w:tab w:val="left" w:pos="36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协助院方管理责任区域内的消防和防盗。</w:t>
      </w:r>
    </w:p>
    <w:p>
      <w:pPr>
        <w:numPr>
          <w:ilvl w:val="1"/>
          <w:numId w:val="9"/>
        </w:numPr>
        <w:tabs>
          <w:tab w:val="left" w:pos="36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在新生儿、产科、分娩室工作的员工应精神健康，有爱心、耐心。</w:t>
      </w:r>
    </w:p>
    <w:p>
      <w:pPr>
        <w:numPr>
          <w:ilvl w:val="1"/>
          <w:numId w:val="9"/>
        </w:numPr>
        <w:tabs>
          <w:tab w:val="left" w:pos="36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员工服从科室安排与保证员工的稳定性，特别是医技科室、重病房护工及病区护工，不能因员工变动影响工作。</w:t>
      </w:r>
    </w:p>
    <w:p>
      <w:pPr>
        <w:numPr>
          <w:ilvl w:val="1"/>
          <w:numId w:val="9"/>
        </w:numPr>
        <w:tabs>
          <w:tab w:val="left" w:pos="36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门诊楼增加少量护工内容，如换床单等，清洁工要兼带，不能认为是合同外的工作。</w:t>
      </w:r>
    </w:p>
    <w:p>
      <w:pPr>
        <w:numPr>
          <w:ilvl w:val="1"/>
          <w:numId w:val="9"/>
        </w:numPr>
        <w:tabs>
          <w:tab w:val="left" w:pos="36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协助医院劝烟。</w:t>
      </w:r>
    </w:p>
    <w:p>
      <w:pPr>
        <w:numPr>
          <w:ilvl w:val="1"/>
          <w:numId w:val="9"/>
        </w:numPr>
        <w:tabs>
          <w:tab w:val="left" w:pos="360"/>
        </w:tabs>
        <w:spacing w:line="360" w:lineRule="exact"/>
        <w:ind w:left="360" w:hanging="360"/>
        <w:rPr>
          <w:rFonts w:cs="新宋体" w:asciiTheme="minorEastAsia" w:hAnsiTheme="minorEastAsia" w:eastAsiaTheme="minorEastAsia"/>
          <w:b/>
          <w:snapToGrid w:val="0"/>
          <w:color w:val="auto"/>
          <w:kern w:val="0"/>
          <w:sz w:val="22"/>
          <w:szCs w:val="22"/>
          <w:highlight w:val="none"/>
          <w:u w:val="wave"/>
        </w:rPr>
      </w:pPr>
      <w:r>
        <w:rPr>
          <w:rFonts w:hint="eastAsia" w:cs="新宋体" w:asciiTheme="minorEastAsia" w:hAnsiTheme="minorEastAsia" w:eastAsiaTheme="minorEastAsia"/>
          <w:b/>
          <w:snapToGrid w:val="0"/>
          <w:color w:val="auto"/>
          <w:kern w:val="0"/>
          <w:sz w:val="22"/>
          <w:szCs w:val="22"/>
          <w:highlight w:val="none"/>
          <w:u w:val="wave"/>
        </w:rPr>
        <w:t>急诊室、新生儿病区、分娩室、手术室、供应室、ICU、血透室必须无条件完成科室任务，此类科室员工工资待遇，应比普通科室员工平均工资高20%~30%(24小时或一周7天工作制，请投标方充分考虑)</w:t>
      </w:r>
    </w:p>
    <w:p>
      <w:pPr>
        <w:pStyle w:val="39"/>
        <w:jc w:val="both"/>
        <w:rPr>
          <w:rFonts w:cs="新宋体" w:asciiTheme="minorEastAsia" w:hAnsiTheme="minorEastAsia" w:eastAsiaTheme="minorEastAsia"/>
          <w:color w:val="auto"/>
          <w:sz w:val="22"/>
          <w:szCs w:val="22"/>
          <w:highlight w:val="none"/>
        </w:rPr>
      </w:pPr>
      <w:bookmarkStart w:id="29" w:name="_Toc184281684"/>
      <w:bookmarkStart w:id="30" w:name="_Toc187051759"/>
    </w:p>
    <w:p>
      <w:pPr>
        <w:pStyle w:val="39"/>
        <w:rPr>
          <w:rFonts w:ascii="宋体" w:hAnsi="宋体" w:cs="新宋体"/>
          <w:color w:val="auto"/>
          <w:sz w:val="22"/>
          <w:szCs w:val="22"/>
          <w:highlight w:val="none"/>
        </w:rPr>
      </w:pPr>
      <w:bookmarkStart w:id="31" w:name="_Toc13421823"/>
      <w:bookmarkStart w:id="32" w:name="_Toc22196"/>
      <w:r>
        <w:rPr>
          <w:rFonts w:hint="eastAsia" w:ascii="宋体" w:hAnsi="宋体" w:cs="新宋体"/>
          <w:color w:val="auto"/>
          <w:sz w:val="22"/>
          <w:szCs w:val="22"/>
          <w:highlight w:val="none"/>
        </w:rPr>
        <w:t>六、其他要求及说明</w:t>
      </w:r>
      <w:bookmarkEnd w:id="29"/>
      <w:bookmarkEnd w:id="30"/>
      <w:bookmarkEnd w:id="31"/>
      <w:bookmarkEnd w:id="32"/>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服务质量标准要求按宾馆星级标准订立服务规程。投标人应制订具体的质量保证措施及质量保证及相关服务的承诺。如因质量未达到目标，承包单位应因此承担责任和经济赔偿。</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承包方必须聘请（或指定）一位经理（项目负责人），全权代表其负责管理承包区域服务工作，并与业主方保持密切联系。项目经理须具备有二年以上从事医院后勤服务管理的经验和曾担任过一年以上医院后勤服务管理负责人的经历。</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中标人应制订详细的培训计划，对员工进行岗位培训、日常培训和文明礼仪培训，确保每个员工培训合格上岗。</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所聘人员必须符合劳动部门有关用工规定，并经承包方相关专业考核合格后持证上岗，业主方有权对此进行审核并提出整改意见。</w:t>
      </w:r>
      <w:r>
        <w:rPr>
          <w:rFonts w:hint="eastAsia" w:cs="新宋体" w:asciiTheme="minorEastAsia" w:hAnsiTheme="minorEastAsia" w:eastAsiaTheme="minorEastAsia"/>
          <w:b/>
          <w:color w:val="auto"/>
          <w:sz w:val="22"/>
          <w:szCs w:val="22"/>
          <w:highlight w:val="none"/>
        </w:rPr>
        <w:t>员工构成：（1）体现年轻化（疫情管控人员原则上不超过5</w:t>
      </w:r>
      <w:r>
        <w:rPr>
          <w:rFonts w:cs="新宋体" w:asciiTheme="minorEastAsia" w:hAnsiTheme="minorEastAsia" w:eastAsiaTheme="minorEastAsia"/>
          <w:b/>
          <w:color w:val="auto"/>
          <w:sz w:val="22"/>
          <w:szCs w:val="22"/>
          <w:highlight w:val="none"/>
        </w:rPr>
        <w:t>0</w:t>
      </w:r>
      <w:r>
        <w:rPr>
          <w:rFonts w:hint="eastAsia" w:cs="新宋体" w:asciiTheme="minorEastAsia" w:hAnsiTheme="minorEastAsia" w:eastAsiaTheme="minorEastAsia"/>
          <w:b/>
          <w:color w:val="auto"/>
          <w:sz w:val="22"/>
          <w:szCs w:val="22"/>
          <w:highlight w:val="none"/>
        </w:rPr>
        <w:t>周岁；其他人员原则上女性不超过55岁，男性不超过60岁）；（2）疫情管控人员具有初中以上文化</w:t>
      </w:r>
      <w:r>
        <w:rPr>
          <w:rFonts w:hint="eastAsia" w:cs="新宋体" w:asciiTheme="minorEastAsia" w:hAnsiTheme="minorEastAsia" w:eastAsiaTheme="minorEastAsia"/>
          <w:b/>
          <w:color w:val="auto"/>
          <w:sz w:val="22"/>
          <w:szCs w:val="22"/>
          <w:highlight w:val="none"/>
          <w:lang w:val="en-US" w:eastAsia="zh-CN"/>
        </w:rPr>
        <w:t>水平</w:t>
      </w:r>
      <w:r>
        <w:rPr>
          <w:rFonts w:hint="eastAsia" w:cs="新宋体" w:asciiTheme="minorEastAsia" w:hAnsiTheme="minorEastAsia" w:eastAsiaTheme="minorEastAsia"/>
          <w:b/>
          <w:color w:val="auto"/>
          <w:sz w:val="22"/>
          <w:szCs w:val="22"/>
          <w:highlight w:val="none"/>
        </w:rPr>
        <w:t>，其他人员具有与工作相适应的文化</w:t>
      </w:r>
      <w:r>
        <w:rPr>
          <w:rFonts w:hint="eastAsia" w:cs="新宋体" w:asciiTheme="minorEastAsia" w:hAnsiTheme="minorEastAsia" w:eastAsiaTheme="minorEastAsia"/>
          <w:b/>
          <w:color w:val="auto"/>
          <w:sz w:val="22"/>
          <w:szCs w:val="22"/>
          <w:highlight w:val="none"/>
          <w:lang w:val="en-US" w:eastAsia="zh-CN"/>
        </w:rPr>
        <w:t>水平</w:t>
      </w:r>
      <w:r>
        <w:rPr>
          <w:rFonts w:hint="eastAsia" w:cs="新宋体" w:asciiTheme="minorEastAsia" w:hAnsiTheme="minorEastAsia" w:eastAsiaTheme="minorEastAsia"/>
          <w:b/>
          <w:color w:val="auto"/>
          <w:sz w:val="22"/>
          <w:szCs w:val="22"/>
          <w:highlight w:val="none"/>
        </w:rPr>
        <w:t>；（3）身体健康；（4）适合公共场所的服务要求。中标方须缴纳员工必要的社会保险，社会保险费用计入总投标价，同时要写明在这个后勤服务范围内所需的最低人数；员工辞工率控制在每年20%以内与每月5%以内。</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b/>
          <w:color w:val="auto"/>
          <w:sz w:val="22"/>
          <w:szCs w:val="22"/>
          <w:highlight w:val="none"/>
          <w:u w:val="single"/>
        </w:rPr>
        <w:t>▲根据业主方的要求，承包方应为本项目承包区域内各项服务工作配备足够人员，且投入的保洁运送等人员不得少于岗位配置人数（具体见人员分布情况表）</w:t>
      </w:r>
      <w:r>
        <w:rPr>
          <w:rFonts w:hint="eastAsia" w:cs="新宋体" w:asciiTheme="minorEastAsia" w:hAnsiTheme="minorEastAsia" w:eastAsiaTheme="minorEastAsia"/>
          <w:color w:val="auto"/>
          <w:sz w:val="22"/>
          <w:szCs w:val="22"/>
          <w:highlight w:val="none"/>
        </w:rPr>
        <w:t>，</w:t>
      </w:r>
      <w:r>
        <w:rPr>
          <w:rFonts w:hint="eastAsia" w:cs="新宋体" w:asciiTheme="minorEastAsia" w:hAnsiTheme="minorEastAsia" w:eastAsiaTheme="minorEastAsia"/>
          <w:b/>
          <w:color w:val="auto"/>
          <w:sz w:val="22"/>
          <w:szCs w:val="22"/>
          <w:highlight w:val="none"/>
          <w:u w:val="single"/>
        </w:rPr>
        <w:t>否则可能导致其投标被拒绝</w:t>
      </w:r>
      <w:r>
        <w:rPr>
          <w:rFonts w:hint="eastAsia" w:cs="新宋体" w:asciiTheme="minorEastAsia" w:hAnsiTheme="minorEastAsia" w:eastAsiaTheme="minorEastAsia"/>
          <w:b/>
          <w:color w:val="auto"/>
          <w:sz w:val="22"/>
          <w:szCs w:val="22"/>
          <w:highlight w:val="none"/>
        </w:rPr>
        <w:t>。</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员工需聘用与医院后勤服务相适应的人员。</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中标人员工服装应统一、整洁，挂牌上岗，便于管理。</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中标方工作人员应做好自身防护工作。</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为保证医院工作的正常进行，</w:t>
      </w:r>
      <w:r>
        <w:rPr>
          <w:rFonts w:hint="eastAsia" w:cs="新宋体" w:asciiTheme="minorEastAsia" w:hAnsiTheme="minorEastAsia" w:eastAsiaTheme="minorEastAsia"/>
          <w:snapToGrid w:val="0"/>
          <w:color w:val="auto"/>
          <w:kern w:val="0"/>
          <w:sz w:val="22"/>
          <w:szCs w:val="22"/>
          <w:highlight w:val="none"/>
          <w:u w:val="single"/>
        </w:rPr>
        <w:t>承包方不得随意更换人员</w:t>
      </w:r>
      <w:r>
        <w:rPr>
          <w:rFonts w:hint="eastAsia" w:cs="新宋体" w:asciiTheme="minorEastAsia" w:hAnsiTheme="minorEastAsia" w:eastAsiaTheme="minorEastAsia"/>
          <w:snapToGrid w:val="0"/>
          <w:color w:val="auto"/>
          <w:kern w:val="0"/>
          <w:sz w:val="22"/>
          <w:szCs w:val="22"/>
          <w:highlight w:val="none"/>
        </w:rPr>
        <w:t>，如需更换须与院方协商决定。</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承包方应保证在承包期内其员工最低月工资不少于永嘉县最低工资标准，并且有员工（工资福利）激励方案、员工队伍稳定方案、员工三金交纳方案、女工特殊福利方案。</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社会保险（</w:t>
      </w:r>
      <w:r>
        <w:rPr>
          <w:rFonts w:hint="eastAsia" w:cs="新宋体" w:asciiTheme="minorEastAsia" w:hAnsiTheme="minorEastAsia" w:eastAsiaTheme="minorEastAsia"/>
          <w:snapToGrid w:val="0"/>
          <w:color w:val="auto"/>
          <w:kern w:val="0"/>
          <w:sz w:val="22"/>
          <w:szCs w:val="22"/>
          <w:highlight w:val="none"/>
          <w:u w:val="single"/>
        </w:rPr>
        <w:t>除必须的养老保险外，还应包括第三者责任保险和员工人身意外保险</w:t>
      </w:r>
      <w:r>
        <w:rPr>
          <w:rFonts w:hint="eastAsia" w:cs="新宋体" w:asciiTheme="minorEastAsia" w:hAnsiTheme="minorEastAsia" w:eastAsiaTheme="minorEastAsia"/>
          <w:snapToGrid w:val="0"/>
          <w:color w:val="auto"/>
          <w:kern w:val="0"/>
          <w:sz w:val="22"/>
          <w:szCs w:val="22"/>
          <w:highlight w:val="none"/>
        </w:rPr>
        <w:t>）</w:t>
      </w:r>
    </w:p>
    <w:p>
      <w:pPr>
        <w:tabs>
          <w:tab w:val="left" w:pos="540"/>
        </w:tabs>
        <w:spacing w:line="360" w:lineRule="exact"/>
        <w:ind w:left="550" w:hanging="550" w:hangingChars="25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（1）第三者责任保险：承包方应为承包区域的物业和参与承包区域经营的工作人员（包括业主方的物业和人员以及第三方）投保，以保证在承包期间人员和财产以外遭受损失时得到补偿。</w:t>
      </w:r>
    </w:p>
    <w:p>
      <w:pPr>
        <w:tabs>
          <w:tab w:val="left" w:pos="540"/>
        </w:tabs>
        <w:spacing w:line="360" w:lineRule="exact"/>
        <w:ind w:left="550" w:hanging="550" w:hangingChars="25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（2）员工人身意外保险：在承包期内，承包方应为其员工投保人身意外险，以保证业主在承包方工作人员索偿时不受任何责任的约束。</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承包方及其员工必须遵守医院的一切行政管理、消防安全、病区等规定和制度。院方有权对承包方员工的工作行为进行监督，如发现承包方员工有违反医院的规定和制度的行为，院方将要求其改正，态度恶劣拒不改正的，院方有权要求承包方予以辞退，承包方必须无条件接受。</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u w:val="single"/>
        </w:rPr>
      </w:pPr>
      <w:r>
        <w:rPr>
          <w:rFonts w:hint="eastAsia" w:cs="新宋体" w:asciiTheme="minorEastAsia" w:hAnsiTheme="minorEastAsia" w:eastAsiaTheme="minorEastAsia"/>
          <w:snapToGrid w:val="0"/>
          <w:color w:val="auto"/>
          <w:kern w:val="0"/>
          <w:sz w:val="22"/>
          <w:szCs w:val="22"/>
          <w:highlight w:val="none"/>
        </w:rPr>
        <w:t>承包方需自行解决其员工住宿问题。</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在适当情况下，承包方应允许业主方或其授权的人员对承包区域内各项服务质量控制进行检查，有关费用由承包方承担。</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遇突发事件或安全检查时，承包方必须配合有关部门执行任务，并指定专职人员协助工作，直至完成。</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承包方不得以任何理由向甲方工作人员支付小费或赠送实物，不得在承包区域住宿或从事非法活动或有损甲方利益的活动。</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承包方不以任何形式转租、转让、抵押承包区域，在承包区域只从事业主认可的服务工作。在承包期间，承包方的任何股份配置变动应通知业主。未经业主书面批准，任何占有支配地位的股份转让者将视为乙方出租、转让的行为。</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承包区域的各项服务工作时间必须符合及满足业主的要求，包括星期天及公众假期，都不得停止工作。业主认为应向病人提供或提高服务质量时，可要求承包方调整工作时间直至全天二十四小时工作。增加的工作量，按零星工作量计费标准。如因服务范围内容变动需调整合同，由双方协商确定。</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对于额外的零星工作，如上级检查、抗台等临时性任务的，承包方须无条件配合业主方实施，不得无故推诿，相关费用由投标人自行考虑，包含在投标报价中。</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院内垃圾袋装收集，存放在指定地点。清卫、保洁及生活服务的工作质量按国家卫生城市和医院管理的有关标准严格验收。</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color w:val="auto"/>
          <w:sz w:val="22"/>
          <w:szCs w:val="22"/>
          <w:highlight w:val="none"/>
        </w:rPr>
        <w:t>公司员工发生被媒体曝光或影响医院公众形象（如卖医疗垃圾、坑害病人等）或违反医院规章制度造成不良影响，以及存在一小部份与招标文件不符合的做法，或不履行其投标文件的部份承诺，而由此产生的损失及消除影响产生的费用，由公司全部承担。</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医院的分餐工作由业主方承担。消杀器材及药剂由业主方负责提供。</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医疗垃圾袋由院方提供，保洁用消毒药剂、生活垃圾袋由承包方提供并且严格区分（感染规范），其他所涉及的辅助材料及消耗材料(如扫把、拖布、水桶等)均由供应商自行承担。</w:t>
      </w:r>
    </w:p>
    <w:p>
      <w:pPr>
        <w:numPr>
          <w:ilvl w:val="1"/>
          <w:numId w:val="10"/>
        </w:numPr>
        <w:tabs>
          <w:tab w:val="left" w:pos="360"/>
          <w:tab w:val="left" w:pos="540"/>
        </w:tabs>
        <w:spacing w:line="360" w:lineRule="exact"/>
        <w:ind w:left="360" w:hanging="360"/>
        <w:rPr>
          <w:rFonts w:cs="新宋体" w:asciiTheme="minorEastAsia" w:hAnsiTheme="minorEastAsia" w:eastAsiaTheme="minorEastAsia"/>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投标人达不到招标人要求及投标人各项服务承诺，招标人有权要求其整改，直至扣款或终止合同。</w:t>
      </w:r>
    </w:p>
    <w:p>
      <w:pPr>
        <w:numPr>
          <w:ilvl w:val="1"/>
          <w:numId w:val="10"/>
        </w:numPr>
        <w:tabs>
          <w:tab w:val="left" w:pos="360"/>
          <w:tab w:val="left" w:pos="540"/>
        </w:tabs>
        <w:spacing w:line="360" w:lineRule="exact"/>
        <w:ind w:left="360" w:hanging="360"/>
        <w:rPr>
          <w:rFonts w:cs="新宋体" w:asciiTheme="minorEastAsia" w:hAnsiTheme="minorEastAsia" w:eastAsiaTheme="minorEastAsia"/>
          <w:b/>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本次招标采取固定综合单价，院方将根据实际需要对相关人员需求的数量进行调配，中标人应无条件按要求配备，结算时根据每月实际各工种的数量核算服务费，并据实结算服务费。其他相关辅材费等则实行固定总价包干，不再调整。</w:t>
      </w:r>
    </w:p>
    <w:p>
      <w:pPr>
        <w:numPr>
          <w:ilvl w:val="1"/>
          <w:numId w:val="10"/>
        </w:numPr>
        <w:tabs>
          <w:tab w:val="left" w:pos="360"/>
          <w:tab w:val="left" w:pos="540"/>
        </w:tabs>
        <w:spacing w:line="360" w:lineRule="exact"/>
        <w:ind w:left="360" w:hanging="360"/>
        <w:rPr>
          <w:rFonts w:cs="新宋体" w:asciiTheme="minorEastAsia" w:hAnsiTheme="minorEastAsia" w:eastAsiaTheme="minorEastAsia"/>
          <w:b/>
          <w:snapToGrid w:val="0"/>
          <w:color w:val="auto"/>
          <w:kern w:val="0"/>
          <w:sz w:val="22"/>
          <w:szCs w:val="22"/>
          <w:highlight w:val="none"/>
        </w:rPr>
      </w:pPr>
      <w:r>
        <w:rPr>
          <w:rFonts w:hint="eastAsia" w:cs="新宋体" w:asciiTheme="minorEastAsia" w:hAnsiTheme="minorEastAsia" w:eastAsiaTheme="minorEastAsia"/>
          <w:b/>
          <w:bCs/>
          <w:snapToGrid w:val="0"/>
          <w:color w:val="auto"/>
          <w:kern w:val="0"/>
          <w:sz w:val="22"/>
          <w:szCs w:val="22"/>
          <w:highlight w:val="none"/>
        </w:rPr>
        <w:t>▲</w:t>
      </w:r>
      <w:r>
        <w:rPr>
          <w:rFonts w:hint="eastAsia" w:cs="新宋体" w:asciiTheme="minorEastAsia" w:hAnsiTheme="minorEastAsia" w:eastAsiaTheme="minorEastAsia"/>
          <w:b/>
          <w:bCs/>
          <w:snapToGrid w:val="0"/>
          <w:color w:val="auto"/>
          <w:kern w:val="0"/>
          <w:sz w:val="22"/>
          <w:szCs w:val="22"/>
          <w:highlight w:val="none"/>
          <w:u w:val="single"/>
        </w:rPr>
        <w:t>若因</w:t>
      </w:r>
      <w:bookmarkStart w:id="33" w:name="_Hlk101701892"/>
      <w:r>
        <w:rPr>
          <w:rFonts w:hint="eastAsia" w:cs="新宋体" w:asciiTheme="minorEastAsia" w:hAnsiTheme="minorEastAsia" w:eastAsiaTheme="minorEastAsia"/>
          <w:b/>
          <w:bCs/>
          <w:snapToGrid w:val="0"/>
          <w:color w:val="auto"/>
          <w:kern w:val="0"/>
          <w:sz w:val="22"/>
          <w:szCs w:val="22"/>
          <w:highlight w:val="none"/>
          <w:u w:val="single"/>
        </w:rPr>
        <w:t>采购人旧址搬迁至新院区的（具体以采购人发函通知为准），采购人将有权单方面无条件终止合同</w:t>
      </w:r>
      <w:bookmarkEnd w:id="33"/>
      <w:r>
        <w:rPr>
          <w:rFonts w:hint="eastAsia" w:cs="新宋体" w:asciiTheme="minorEastAsia" w:hAnsiTheme="minorEastAsia" w:eastAsiaTheme="minorEastAsia"/>
          <w:b/>
          <w:bCs/>
          <w:snapToGrid w:val="0"/>
          <w:color w:val="auto"/>
          <w:kern w:val="0"/>
          <w:sz w:val="22"/>
          <w:szCs w:val="22"/>
          <w:highlight w:val="none"/>
          <w:u w:val="single"/>
        </w:rPr>
        <w:t>，请各投标人自行考虑风险。</w:t>
      </w:r>
    </w:p>
    <w:p>
      <w:pPr>
        <w:numPr>
          <w:ilvl w:val="1"/>
          <w:numId w:val="10"/>
        </w:numPr>
        <w:tabs>
          <w:tab w:val="left" w:pos="360"/>
          <w:tab w:val="left" w:pos="540"/>
        </w:tabs>
        <w:spacing w:line="360" w:lineRule="exact"/>
        <w:ind w:left="360" w:hanging="360"/>
        <w:rPr>
          <w:rFonts w:cs="新宋体" w:asciiTheme="minorEastAsia" w:hAnsiTheme="minorEastAsia" w:eastAsiaTheme="minorEastAsia"/>
          <w:b/>
          <w:snapToGrid w:val="0"/>
          <w:color w:val="auto"/>
          <w:kern w:val="0"/>
          <w:sz w:val="22"/>
          <w:szCs w:val="22"/>
          <w:highlight w:val="none"/>
        </w:rPr>
      </w:pPr>
      <w:r>
        <w:rPr>
          <w:rFonts w:hint="eastAsia" w:cs="新宋体" w:asciiTheme="minorEastAsia" w:hAnsiTheme="minorEastAsia" w:eastAsiaTheme="minorEastAsia"/>
          <w:snapToGrid w:val="0"/>
          <w:color w:val="auto"/>
          <w:kern w:val="0"/>
          <w:sz w:val="22"/>
          <w:szCs w:val="22"/>
          <w:highlight w:val="none"/>
        </w:rPr>
        <w:t>本次招标承包期为1年；招标人有权根据供应商的履约情况及考核情况，确定是否续约，续约原则上不超过2年。</w:t>
      </w:r>
    </w:p>
    <w:p>
      <w:pPr>
        <w:widowControl/>
        <w:autoSpaceDE w:val="0"/>
        <w:autoSpaceDN w:val="0"/>
        <w:adjustRightInd w:val="0"/>
        <w:spacing w:line="460" w:lineRule="atLeast"/>
        <w:ind w:firstLine="440" w:firstLineChars="200"/>
        <w:textAlignment w:val="bottom"/>
        <w:rPr>
          <w:rFonts w:cs="新宋体" w:asciiTheme="minorEastAsia" w:hAnsiTheme="minorEastAsia" w:eastAsiaTheme="minorEastAsia"/>
          <w:color w:val="auto"/>
          <w:sz w:val="22"/>
          <w:szCs w:val="22"/>
          <w:highlight w:val="none"/>
        </w:rPr>
      </w:pPr>
      <w:r>
        <w:rPr>
          <w:rFonts w:hint="eastAsia" w:cs="新宋体" w:asciiTheme="minorEastAsia" w:hAnsiTheme="minorEastAsia" w:eastAsiaTheme="minorEastAsia"/>
          <w:snapToGrid w:val="0"/>
          <w:color w:val="auto"/>
          <w:kern w:val="0"/>
          <w:sz w:val="22"/>
          <w:szCs w:val="22"/>
          <w:highlight w:val="none"/>
        </w:rPr>
        <w:t>付款方式：7个工作日内支付预付款，服务至预付款服务月份后采购人每月向中标单位结算，采购人凭中标单位开具的正式发票进行支付</w:t>
      </w:r>
      <w:r>
        <w:rPr>
          <w:rFonts w:hint="eastAsia" w:cs="新宋体" w:asciiTheme="minorEastAsia" w:hAnsiTheme="minorEastAsia" w:eastAsiaTheme="minorEastAsia"/>
          <w:color w:val="auto"/>
          <w:sz w:val="22"/>
          <w:szCs w:val="22"/>
          <w:highlight w:val="none"/>
        </w:rPr>
        <w:t>。（</w:t>
      </w:r>
      <w:bookmarkStart w:id="34" w:name="_Hlk100329447"/>
      <w:r>
        <w:rPr>
          <w:rFonts w:hint="eastAsia" w:cs="新宋体" w:asciiTheme="minorEastAsia" w:hAnsiTheme="minorEastAsia" w:eastAsiaTheme="minorEastAsia"/>
          <w:color w:val="auto"/>
          <w:sz w:val="22"/>
          <w:szCs w:val="22"/>
          <w:highlight w:val="none"/>
        </w:rPr>
        <w:t>根据《浙江省财政厅关于进一步发挥政府采购政策功能全力推动经济稳进提质的通知》（浙财采监[2022]3号）的规定，双方协商决定付款比例，具体每笔款项支付视财政部门资金拨付情况而定。）</w:t>
      </w:r>
      <w:bookmarkEnd w:id="34"/>
      <w:r>
        <w:rPr>
          <w:rFonts w:hint="eastAsia" w:cs="新宋体" w:asciiTheme="minorEastAsia" w:hAnsiTheme="minorEastAsia" w:eastAsiaTheme="minorEastAsia"/>
          <w:color w:val="auto"/>
          <w:sz w:val="22"/>
          <w:szCs w:val="22"/>
          <w:highlight w:val="none"/>
        </w:rPr>
        <w:t>。</w:t>
      </w:r>
    </w:p>
    <w:p>
      <w:pPr>
        <w:pStyle w:val="39"/>
        <w:rPr>
          <w:rFonts w:ascii="宋体" w:cs="Times New Roman"/>
          <w:color w:val="auto"/>
          <w:sz w:val="30"/>
          <w:szCs w:val="30"/>
          <w:highlight w:val="none"/>
        </w:rPr>
        <w:sectPr>
          <w:footerReference r:id="rId3" w:type="default"/>
          <w:pgSz w:w="11906" w:h="16838"/>
          <w:pgMar w:top="1134" w:right="1134" w:bottom="1134" w:left="1134" w:header="851" w:footer="850" w:gutter="0"/>
          <w:pgNumType w:start="0"/>
          <w:cols w:space="720" w:num="1"/>
          <w:titlePg/>
          <w:docGrid w:type="lines" w:linePitch="312" w:charSpace="0"/>
        </w:sectPr>
      </w:pPr>
    </w:p>
    <w:p>
      <w:pPr>
        <w:pStyle w:val="39"/>
        <w:rPr>
          <w:rFonts w:ascii="宋体" w:cs="Times New Roman"/>
          <w:color w:val="auto"/>
          <w:sz w:val="30"/>
          <w:szCs w:val="30"/>
          <w:highlight w:val="none"/>
        </w:rPr>
      </w:pPr>
      <w:bookmarkStart w:id="35" w:name="_Toc26382"/>
      <w:r>
        <w:rPr>
          <w:rFonts w:hint="eastAsia" w:ascii="宋体" w:hAnsi="宋体" w:cs="宋体"/>
          <w:color w:val="auto"/>
          <w:sz w:val="30"/>
          <w:szCs w:val="30"/>
          <w:highlight w:val="none"/>
        </w:rPr>
        <w:t>第三部分</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供应商须知</w:t>
      </w:r>
      <w:bookmarkEnd w:id="19"/>
      <w:bookmarkEnd w:id="20"/>
      <w:bookmarkEnd w:id="35"/>
    </w:p>
    <w:p>
      <w:pPr>
        <w:widowControl/>
        <w:autoSpaceDE w:val="0"/>
        <w:autoSpaceDN w:val="0"/>
        <w:adjustRightInd w:val="0"/>
        <w:spacing w:line="460" w:lineRule="atLeast"/>
        <w:textAlignment w:val="bottom"/>
        <w:rPr>
          <w:rFonts w:ascii="宋体"/>
          <w:b/>
          <w:bCs/>
          <w:color w:val="auto"/>
          <w:sz w:val="22"/>
          <w:szCs w:val="22"/>
          <w:highlight w:val="none"/>
        </w:rPr>
      </w:pPr>
      <w:bookmarkStart w:id="36" w:name="_Toc461563852"/>
      <w:r>
        <w:rPr>
          <w:rFonts w:hint="eastAsia" w:ascii="宋体" w:hAnsi="宋体" w:cs="宋体"/>
          <w:b/>
          <w:bCs/>
          <w:color w:val="auto"/>
          <w:sz w:val="22"/>
          <w:szCs w:val="22"/>
          <w:highlight w:val="none"/>
        </w:rPr>
        <w:t>一、说明</w:t>
      </w:r>
      <w:bookmarkEnd w:id="36"/>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、本次采购工作是按照《中华人民共和国政府采购法》、《政府采购货物和服务招标投标管理办法》及相关法律规章组织和实施。</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、供应商必须对全部内容进行投标报价，只对部分内容进行投标报价的供应商将按无效投标处理。</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、无论投标过程中的作法和结果如何，供应商自行承担投标活动中所发生的全部费用。采购人有权选择中标供应商的服务范围。</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4</w:t>
      </w:r>
      <w:r>
        <w:rPr>
          <w:rFonts w:hint="eastAsia" w:ascii="宋体" w:hAnsi="宋体" w:cs="宋体"/>
          <w:color w:val="auto"/>
          <w:sz w:val="22"/>
          <w:szCs w:val="22"/>
          <w:highlight w:val="none"/>
        </w:rPr>
        <w:t>、本次采购采用商务投标文件与技术资信文件分别评审，评标委员会首先评审供应商技术资信部分，技术资信部分无效的供应商不进入商务报价评审。</w:t>
      </w:r>
    </w:p>
    <w:p>
      <w:pPr>
        <w:widowControl/>
        <w:autoSpaceDE w:val="0"/>
        <w:autoSpaceDN w:val="0"/>
        <w:adjustRightInd w:val="0"/>
        <w:spacing w:line="460" w:lineRule="atLeast"/>
        <w:ind w:firstLine="440" w:firstLineChars="200"/>
        <w:textAlignment w:val="bottom"/>
        <w:rPr>
          <w:rFonts w:ascii="宋体"/>
          <w:color w:val="auto"/>
          <w:sz w:val="22"/>
          <w:szCs w:val="22"/>
          <w:highlight w:val="none"/>
          <w:u w:val="single"/>
        </w:rPr>
      </w:pPr>
      <w:r>
        <w:rPr>
          <w:rFonts w:ascii="宋体" w:hAnsi="宋体" w:cs="宋体"/>
          <w:color w:val="auto"/>
          <w:sz w:val="22"/>
          <w:szCs w:val="22"/>
          <w:highlight w:val="none"/>
          <w:u w:val="single"/>
        </w:rPr>
        <w:t>5</w:t>
      </w:r>
      <w:r>
        <w:rPr>
          <w:rFonts w:hint="eastAsia" w:ascii="宋体" w:hAnsi="宋体" w:cs="宋体"/>
          <w:color w:val="auto"/>
          <w:sz w:val="22"/>
          <w:szCs w:val="22"/>
          <w:highlight w:val="none"/>
          <w:u w:val="single"/>
        </w:rPr>
        <w:t>、供应商须自行现场勘察，确认采购人的实际需求，取得准确的报价依据。如果认为招标文件描述或所列范围、面积与实际情况有较大出入，请在规定的招标质疑截止时间前列出详细的异议意见和数据向采购代理机构书面反映，逾期不得再对招标文件的条款提出质疑，视为接受招标文件，投标供应商中标后不得以各种理由提出增价要求，否则做投标违约处理，采购人有权取消其中标资格。</w:t>
      </w:r>
    </w:p>
    <w:p>
      <w:pPr>
        <w:widowControl/>
        <w:autoSpaceDE w:val="0"/>
        <w:autoSpaceDN w:val="0"/>
        <w:adjustRightInd w:val="0"/>
        <w:spacing w:line="460" w:lineRule="atLeast"/>
        <w:ind w:firstLine="440" w:firstLineChars="200"/>
        <w:textAlignment w:val="bottom"/>
        <w:rPr>
          <w:rFonts w:ascii="宋体"/>
          <w:b/>
          <w:bCs/>
          <w:color w:val="auto"/>
          <w:sz w:val="22"/>
          <w:szCs w:val="22"/>
          <w:highlight w:val="none"/>
          <w:u w:val="single"/>
        </w:rPr>
      </w:pPr>
      <w:r>
        <w:rPr>
          <w:rFonts w:ascii="宋体" w:hAnsi="宋体" w:cs="宋体"/>
          <w:color w:val="auto"/>
          <w:sz w:val="22"/>
          <w:szCs w:val="22"/>
          <w:highlight w:val="none"/>
        </w:rPr>
        <w:t>6</w:t>
      </w:r>
      <w:r>
        <w:rPr>
          <w:rFonts w:hint="eastAsia" w:ascii="宋体" w:hAnsi="宋体" w:cs="宋体"/>
          <w:color w:val="auto"/>
          <w:sz w:val="22"/>
          <w:szCs w:val="22"/>
          <w:highlight w:val="none"/>
        </w:rPr>
        <w:t>、</w:t>
      </w:r>
      <w:r>
        <w:rPr>
          <w:rFonts w:hint="eastAsia" w:ascii="宋体" w:hAnsi="宋体" w:cs="宋体"/>
          <w:b/>
          <w:bCs/>
          <w:color w:val="auto"/>
          <w:sz w:val="22"/>
          <w:szCs w:val="22"/>
          <w:highlight w:val="none"/>
          <w:u w:val="single"/>
        </w:rPr>
        <w:t>本项目采购预算见采购公告。</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lang w:val="zh-CN"/>
        </w:rPr>
        <w:t>7</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rPr>
        <w:t>投标供应商认为为完成本招标文件规定的项目承包内容所发生的直接成本、间接成本、利润、税金、政策性文件规定的费用等一切费用均应计入投标报价，凡未列入的将被认为均已包含在投标报价中，今后不得以任何理由追加或调整。</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8</w:t>
      </w:r>
      <w:r>
        <w:rPr>
          <w:rFonts w:hint="eastAsia" w:ascii="宋体" w:hAnsi="宋体" w:cs="宋体"/>
          <w:color w:val="auto"/>
          <w:sz w:val="22"/>
          <w:szCs w:val="22"/>
          <w:highlight w:val="none"/>
        </w:rPr>
        <w:t>、</w:t>
      </w:r>
      <w:r>
        <w:rPr>
          <w:rFonts w:hint="eastAsia" w:ascii="宋体" w:hAnsi="宋体" w:cs="宋体"/>
          <w:b/>
          <w:bCs/>
          <w:color w:val="auto"/>
          <w:sz w:val="22"/>
          <w:szCs w:val="22"/>
          <w:highlight w:val="none"/>
        </w:rPr>
        <w:t>供应商如果报名后不来参与本次投标要在投标截止前</w:t>
      </w:r>
      <w:r>
        <w:rPr>
          <w:rFonts w:ascii="宋体" w:hAnsi="宋体" w:cs="宋体"/>
          <w:b/>
          <w:bCs/>
          <w:color w:val="auto"/>
          <w:sz w:val="22"/>
          <w:szCs w:val="22"/>
          <w:highlight w:val="none"/>
        </w:rPr>
        <w:t>3</w:t>
      </w:r>
      <w:r>
        <w:rPr>
          <w:rFonts w:hint="eastAsia" w:ascii="宋体" w:hAnsi="宋体" w:cs="宋体"/>
          <w:b/>
          <w:bCs/>
          <w:color w:val="auto"/>
          <w:sz w:val="22"/>
          <w:szCs w:val="22"/>
          <w:highlight w:val="none"/>
        </w:rPr>
        <w:t>天给予书面告知及其理由。</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9</w:t>
      </w:r>
      <w:r>
        <w:rPr>
          <w:rFonts w:hint="eastAsia" w:ascii="宋体" w:hAnsi="宋体" w:cs="宋体"/>
          <w:color w:val="auto"/>
          <w:sz w:val="22"/>
          <w:szCs w:val="22"/>
          <w:highlight w:val="none"/>
        </w:rPr>
        <w:t>、采用最低评标价法的采购项目，提供相同品牌产品的不同投标供应商参加同一合同项下投标的，以其中通过资格审查、符合性审查且报价最低的参加评标；报价相同的，采取随机抽取方式确定，其他投标无效。</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hint="eastAsia" w:ascii="宋体" w:hAnsi="宋体" w:cs="宋体"/>
          <w:color w:val="auto"/>
          <w:sz w:val="22"/>
          <w:szCs w:val="22"/>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hint="eastAsia" w:ascii="宋体" w:hAnsi="宋体" w:cs="宋体"/>
          <w:color w:val="auto"/>
          <w:sz w:val="22"/>
          <w:szCs w:val="22"/>
          <w:highlight w:val="none"/>
        </w:rPr>
        <w:t>非单一产品采购项目，</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单项产品投标价格比重占总投标价</w:t>
      </w:r>
      <w:r>
        <w:rPr>
          <w:rFonts w:ascii="宋体" w:hAnsi="宋体" w:cs="宋体"/>
          <w:color w:val="auto"/>
          <w:sz w:val="22"/>
          <w:szCs w:val="22"/>
          <w:highlight w:val="none"/>
        </w:rPr>
        <w:t xml:space="preserve"> 50% </w:t>
      </w:r>
      <w:r>
        <w:rPr>
          <w:rFonts w:hint="eastAsia" w:ascii="宋体" w:hAnsi="宋体" w:cs="宋体"/>
          <w:color w:val="auto"/>
          <w:sz w:val="22"/>
          <w:szCs w:val="22"/>
          <w:highlight w:val="none"/>
        </w:rPr>
        <w:t>及以上的认定为核心产品</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（有效投标供应商中一家供应商该产品投标价格占总投标价</w:t>
      </w:r>
      <w:r>
        <w:rPr>
          <w:rFonts w:ascii="宋体" w:hAnsi="宋体" w:cs="宋体"/>
          <w:color w:val="auto"/>
          <w:sz w:val="22"/>
          <w:szCs w:val="22"/>
          <w:highlight w:val="none"/>
        </w:rPr>
        <w:t xml:space="preserve"> 50% </w:t>
      </w:r>
      <w:r>
        <w:rPr>
          <w:rFonts w:hint="eastAsia" w:ascii="宋体" w:hAnsi="宋体" w:cs="宋体"/>
          <w:color w:val="auto"/>
          <w:sz w:val="22"/>
          <w:szCs w:val="22"/>
          <w:highlight w:val="none"/>
        </w:rPr>
        <w:t>级以上即认定），</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多家投标人提供的核心产品品牌相同的，按前两款规定处理。</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10</w:t>
      </w:r>
      <w:r>
        <w:rPr>
          <w:rFonts w:hint="eastAsia" w:ascii="宋体" w:hAnsi="宋体" w:cs="宋体"/>
          <w:color w:val="auto"/>
          <w:sz w:val="22"/>
          <w:szCs w:val="22"/>
          <w:highlight w:val="none"/>
        </w:rPr>
        <w:t>、本项目对执行节能产品政府强制采购和优先采购政策，执行环境标志产品政府优先采购政策；</w:t>
      </w:r>
    </w:p>
    <w:p>
      <w:pPr>
        <w:widowControl/>
        <w:autoSpaceDE w:val="0"/>
        <w:autoSpaceDN w:val="0"/>
        <w:adjustRightInd w:val="0"/>
        <w:spacing w:line="460" w:lineRule="atLeast"/>
        <w:ind w:firstLine="440" w:firstLineChars="200"/>
        <w:textAlignment w:val="bottom"/>
        <w:rPr>
          <w:rFonts w:hint="eastAsia" w:ascii="宋体" w:hAnsi="宋体" w:cs="宋体"/>
          <w:b w:val="0"/>
          <w:bCs w:val="0"/>
          <w:color w:val="auto"/>
          <w:sz w:val="22"/>
          <w:szCs w:val="22"/>
          <w:highlight w:val="none"/>
        </w:rPr>
      </w:pPr>
      <w:r>
        <w:rPr>
          <w:rFonts w:ascii="宋体" w:hAnsi="宋体" w:cs="宋体"/>
          <w:b w:val="0"/>
          <w:bCs w:val="0"/>
          <w:color w:val="auto"/>
          <w:sz w:val="22"/>
          <w:szCs w:val="22"/>
          <w:highlight w:val="none"/>
        </w:rPr>
        <w:t>11</w:t>
      </w:r>
      <w:r>
        <w:rPr>
          <w:rFonts w:hint="eastAsia" w:ascii="宋体" w:hAnsi="宋体" w:cs="宋体"/>
          <w:b w:val="0"/>
          <w:bCs w:val="0"/>
          <w:color w:val="auto"/>
          <w:sz w:val="22"/>
          <w:szCs w:val="22"/>
          <w:highlight w:val="none"/>
        </w:rPr>
        <w:t>、</w:t>
      </w:r>
      <w:bookmarkStart w:id="37" w:name="_Hlk100329590"/>
      <w:r>
        <w:rPr>
          <w:rFonts w:hint="eastAsia" w:ascii="宋体" w:hAnsi="宋体" w:cs="宋体"/>
          <w:b w:val="0"/>
          <w:bCs w:val="0"/>
          <w:color w:val="auto"/>
          <w:sz w:val="22"/>
          <w:szCs w:val="22"/>
          <w:highlight w:val="none"/>
        </w:rPr>
        <w:t>投标供应商代表指全权代表投标供应商参加投标活动并签署投标文件的人。如果投标供应商代表是法定代表人的，仅须提供身份证扫描件；如果投标供应商代表不是法定代表人，须持有《法定代表人授权书》。</w:t>
      </w:r>
    </w:p>
    <w:p>
      <w:pPr>
        <w:widowControl/>
        <w:autoSpaceDE w:val="0"/>
        <w:autoSpaceDN w:val="0"/>
        <w:adjustRightInd w:val="0"/>
        <w:spacing w:line="460" w:lineRule="atLeast"/>
        <w:ind w:firstLine="442" w:firstLineChars="200"/>
        <w:textAlignment w:val="bottom"/>
        <w:rPr>
          <w:rFonts w:ascii="宋体"/>
          <w:b/>
          <w:bCs/>
          <w:color w:val="auto"/>
          <w:sz w:val="22"/>
          <w:szCs w:val="22"/>
          <w:highlight w:val="none"/>
        </w:rPr>
      </w:pPr>
      <w:r>
        <w:rPr>
          <w:rFonts w:hint="eastAsia" w:ascii="宋体" w:hAnsi="宋体" w:cs="宋体"/>
          <w:b/>
          <w:bCs/>
          <w:color w:val="auto"/>
          <w:sz w:val="22"/>
          <w:szCs w:val="22"/>
          <w:highlight w:val="none"/>
          <w:lang w:val="en-US" w:eastAsia="zh-CN"/>
        </w:rPr>
        <w:t>12、</w:t>
      </w:r>
      <w:r>
        <w:rPr>
          <w:rFonts w:hint="eastAsia" w:ascii="宋体" w:hAnsi="宋体" w:cs="宋体"/>
          <w:b/>
          <w:bCs/>
          <w:color w:val="auto"/>
          <w:sz w:val="22"/>
          <w:szCs w:val="22"/>
          <w:highlight w:val="none"/>
        </w:rPr>
        <w:t>“政采金融服务：政采云平台目前为供应商提供政采贷、履约保函、预付款保函等相关金融服务，相关操作帮助及情况介绍见以下链接：https://jinrong.zcygov.cn/finance-service/#/help”。</w:t>
      </w:r>
      <w:bookmarkEnd w:id="37"/>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、中标供应商必须是已申请加入浙江省政府采购供应商库的，未申请加入的请到浙江省政府采购网申请加入：</w:t>
      </w:r>
      <w:r>
        <w:rPr>
          <w:color w:val="auto"/>
          <w:highlight w:val="none"/>
        </w:rPr>
        <w:fldChar w:fldCharType="begin"/>
      </w:r>
      <w:r>
        <w:rPr>
          <w:color w:val="auto"/>
          <w:highlight w:val="none"/>
        </w:rPr>
        <w:instrText xml:space="preserve"> HYPERLINK "http://www.zjzfcg.gov.cn/new/zytz/257927.html" </w:instrText>
      </w:r>
      <w:r>
        <w:rPr>
          <w:color w:val="auto"/>
          <w:highlight w:val="none"/>
        </w:rPr>
        <w:fldChar w:fldCharType="separate"/>
      </w:r>
      <w:r>
        <w:rPr>
          <w:rFonts w:ascii="宋体" w:hAnsi="宋体" w:cs="宋体"/>
          <w:color w:val="auto"/>
          <w:sz w:val="22"/>
          <w:szCs w:val="22"/>
          <w:highlight w:val="none"/>
        </w:rPr>
        <w:t>http://www.zjzfcg.gov.cn/new/zytz/257927.html</w:t>
      </w:r>
      <w:r>
        <w:rPr>
          <w:rFonts w:ascii="宋体" w:hAnsi="宋体" w:cs="宋体"/>
          <w:color w:val="auto"/>
          <w:sz w:val="22"/>
          <w:szCs w:val="22"/>
          <w:highlight w:val="none"/>
        </w:rPr>
        <w:fldChar w:fldCharType="end"/>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w:t>
      </w:r>
    </w:p>
    <w:p>
      <w:pPr>
        <w:widowControl/>
        <w:autoSpaceDE w:val="0"/>
        <w:autoSpaceDN w:val="0"/>
        <w:adjustRightInd w:val="0"/>
        <w:spacing w:line="460" w:lineRule="atLeast"/>
        <w:textAlignment w:val="bottom"/>
        <w:rPr>
          <w:rFonts w:ascii="宋体"/>
          <w:b/>
          <w:bCs/>
          <w:color w:val="auto"/>
          <w:sz w:val="22"/>
          <w:szCs w:val="22"/>
          <w:highlight w:val="none"/>
        </w:rPr>
      </w:pPr>
      <w:bookmarkStart w:id="38" w:name="_Toc461563853"/>
      <w:r>
        <w:rPr>
          <w:rFonts w:hint="eastAsia" w:ascii="宋体" w:hAnsi="宋体" w:cs="宋体"/>
          <w:b/>
          <w:bCs/>
          <w:color w:val="auto"/>
          <w:sz w:val="22"/>
          <w:szCs w:val="22"/>
          <w:highlight w:val="none"/>
        </w:rPr>
        <w:t>二、供应商资格条件</w:t>
      </w:r>
      <w:bookmarkEnd w:id="38"/>
    </w:p>
    <w:p>
      <w:pPr>
        <w:autoSpaceDE w:val="0"/>
        <w:autoSpaceDN w:val="0"/>
        <w:adjustRightInd w:val="0"/>
        <w:spacing w:line="450" w:lineRule="exact"/>
        <w:ind w:firstLine="440" w:firstLineChars="200"/>
        <w:rPr>
          <w:rFonts w:ascii="宋体"/>
          <w:color w:val="auto"/>
          <w:sz w:val="22"/>
          <w:szCs w:val="22"/>
          <w:highlight w:val="none"/>
          <w:lang w:val="zh-CN"/>
        </w:rPr>
      </w:pPr>
      <w:r>
        <w:rPr>
          <w:rFonts w:hint="eastAsia" w:ascii="宋体" w:hAnsi="宋体" w:cs="宋体"/>
          <w:color w:val="auto"/>
          <w:sz w:val="22"/>
          <w:szCs w:val="22"/>
          <w:highlight w:val="none"/>
          <w:lang w:val="zh-CN"/>
        </w:rPr>
        <w:t>按招标公告要求。</w:t>
      </w:r>
    </w:p>
    <w:p>
      <w:pPr>
        <w:widowControl/>
        <w:autoSpaceDE w:val="0"/>
        <w:autoSpaceDN w:val="0"/>
        <w:adjustRightInd w:val="0"/>
        <w:spacing w:line="460" w:lineRule="atLeast"/>
        <w:textAlignment w:val="bottom"/>
        <w:rPr>
          <w:rFonts w:ascii="宋体"/>
          <w:b/>
          <w:bCs/>
          <w:color w:val="auto"/>
          <w:sz w:val="22"/>
          <w:szCs w:val="22"/>
          <w:highlight w:val="none"/>
        </w:rPr>
      </w:pPr>
      <w:bookmarkStart w:id="39" w:name="_Toc461563854"/>
      <w:r>
        <w:rPr>
          <w:rFonts w:hint="eastAsia" w:ascii="宋体" w:hAnsi="宋体" w:cs="宋体"/>
          <w:b/>
          <w:bCs/>
          <w:color w:val="auto"/>
          <w:sz w:val="22"/>
          <w:szCs w:val="22"/>
          <w:highlight w:val="none"/>
        </w:rPr>
        <w:t>三、招标文件</w:t>
      </w:r>
      <w:bookmarkEnd w:id="39"/>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、招标文件</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1.1</w:t>
      </w:r>
      <w:r>
        <w:rPr>
          <w:rFonts w:hint="eastAsia" w:ascii="宋体" w:hAnsi="宋体" w:cs="宋体"/>
          <w:color w:val="auto"/>
          <w:sz w:val="22"/>
          <w:szCs w:val="22"/>
          <w:highlight w:val="none"/>
        </w:rPr>
        <w:t>、招标文件约束力</w:t>
      </w:r>
    </w:p>
    <w:p>
      <w:pPr>
        <w:autoSpaceDE w:val="0"/>
        <w:autoSpaceDN w:val="0"/>
        <w:adjustRightInd w:val="0"/>
        <w:spacing w:line="460" w:lineRule="atLeast"/>
        <w:ind w:firstLine="440" w:firstLineChars="200"/>
        <w:rPr>
          <w:rFonts w:ascii="宋体"/>
          <w:color w:val="auto"/>
          <w:sz w:val="22"/>
          <w:szCs w:val="22"/>
          <w:highlight w:val="none"/>
          <w:u w:val="single"/>
        </w:rPr>
      </w:pPr>
      <w:r>
        <w:rPr>
          <w:rFonts w:hint="eastAsia" w:ascii="宋体" w:hAnsi="宋体" w:cs="宋体"/>
          <w:color w:val="auto"/>
          <w:sz w:val="22"/>
          <w:szCs w:val="22"/>
          <w:highlight w:val="none"/>
        </w:rPr>
        <w:t>▲</w:t>
      </w:r>
      <w:r>
        <w:rPr>
          <w:rFonts w:hint="eastAsia" w:ascii="宋体" w:hAnsi="宋体" w:cs="宋体"/>
          <w:b/>
          <w:bCs/>
          <w:color w:val="auto"/>
          <w:sz w:val="22"/>
          <w:szCs w:val="22"/>
          <w:highlight w:val="none"/>
          <w:u w:val="single"/>
        </w:rPr>
        <w:t>供应商一旦获取了本招标文件并参加投标，即被认为接受了本招标文件中所有条款和规定。</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1.2</w:t>
      </w:r>
      <w:r>
        <w:rPr>
          <w:rFonts w:hint="eastAsia" w:ascii="宋体" w:hAnsi="宋体" w:cs="宋体"/>
          <w:color w:val="auto"/>
          <w:sz w:val="22"/>
          <w:szCs w:val="22"/>
          <w:highlight w:val="none"/>
        </w:rPr>
        <w:t>、招标文件的组成</w:t>
      </w:r>
    </w:p>
    <w:p>
      <w:pPr>
        <w:autoSpaceDE w:val="0"/>
        <w:autoSpaceDN w:val="0"/>
        <w:adjustRightInd w:val="0"/>
        <w:spacing w:line="460" w:lineRule="atLeast"/>
        <w:ind w:firstLine="440" w:firstLineChars="200"/>
        <w:rPr>
          <w:rFonts w:ascii="宋体"/>
          <w:color w:val="auto"/>
          <w:sz w:val="22"/>
          <w:szCs w:val="22"/>
          <w:highlight w:val="none"/>
        </w:rPr>
      </w:pPr>
      <w:r>
        <w:rPr>
          <w:rFonts w:hint="eastAsia" w:ascii="宋体" w:hAnsi="宋体" w:cs="宋体"/>
          <w:color w:val="auto"/>
          <w:sz w:val="22"/>
          <w:szCs w:val="22"/>
          <w:highlight w:val="none"/>
        </w:rPr>
        <w:t>招标文件由招标文件总目录所列内容及补充资料等组成。</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、招标文件的澄清</w:t>
      </w:r>
    </w:p>
    <w:p>
      <w:pPr>
        <w:autoSpaceDE w:val="0"/>
        <w:autoSpaceDN w:val="0"/>
        <w:adjustRightInd w:val="0"/>
        <w:spacing w:line="460" w:lineRule="atLeast"/>
        <w:ind w:firstLine="440" w:firstLineChars="200"/>
        <w:rPr>
          <w:rFonts w:ascii="宋体"/>
          <w:color w:val="auto"/>
          <w:sz w:val="22"/>
          <w:szCs w:val="22"/>
          <w:highlight w:val="none"/>
        </w:rPr>
      </w:pPr>
      <w:r>
        <w:rPr>
          <w:rFonts w:hint="eastAsia" w:ascii="宋体" w:hAnsi="宋体" w:cs="宋体"/>
          <w:color w:val="auto"/>
          <w:sz w:val="22"/>
          <w:szCs w:val="22"/>
          <w:highlight w:val="none"/>
        </w:rPr>
        <w:t>供应商对招标文件如有质疑或需要澄清，以书面形式或在政采云（在线询问和质疑系统）中向采购人、采购代理机构提出，但通知不得迟于规定的质疑时间前使采购代理机构收到，采购代理机构将用书面形式予以答复。如有必要，可将不说明来源的答复书面发给各有关供应商并予以公告。</w:t>
      </w:r>
      <w:r>
        <w:rPr>
          <w:rFonts w:hint="eastAsia" w:ascii="宋体" w:hAnsi="宋体" w:cs="宋体"/>
          <w:b/>
          <w:bCs/>
          <w:color w:val="auto"/>
          <w:sz w:val="22"/>
          <w:szCs w:val="22"/>
          <w:highlight w:val="none"/>
        </w:rPr>
        <w:t>任何口头答复均不作为投标依据。</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、招标文件的修改</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3.1</w:t>
      </w:r>
      <w:r>
        <w:rPr>
          <w:rFonts w:hint="eastAsia" w:ascii="宋体" w:hAnsi="宋体" w:cs="宋体"/>
          <w:color w:val="auto"/>
          <w:sz w:val="22"/>
          <w:szCs w:val="22"/>
          <w:highlight w:val="none"/>
        </w:rPr>
        <w:t>、在投标截止时间前，采购人有权澄清或者修改招标文件，并以书面形式（补充、更正文件）通知供应商。补充、更正文件作为招标文件的组成部分，对所有投标供应商均有约束力。</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3.2</w:t>
      </w:r>
      <w:r>
        <w:rPr>
          <w:rFonts w:hint="eastAsia" w:ascii="宋体" w:hAnsi="宋体" w:cs="宋体"/>
          <w:color w:val="auto"/>
          <w:sz w:val="22"/>
          <w:szCs w:val="22"/>
          <w:highlight w:val="none"/>
        </w:rPr>
        <w:t>、澄清或者修改的内容可能影响投标文件编制的，采购人或者采购代理机构在投标截止时间至少</w:t>
      </w:r>
      <w:r>
        <w:rPr>
          <w:rFonts w:ascii="宋体" w:hAnsi="宋体" w:cs="宋体"/>
          <w:color w:val="auto"/>
          <w:sz w:val="22"/>
          <w:szCs w:val="22"/>
          <w:highlight w:val="none"/>
        </w:rPr>
        <w:t>15</w:t>
      </w:r>
      <w:r>
        <w:rPr>
          <w:rFonts w:hint="eastAsia" w:ascii="宋体" w:hAnsi="宋体" w:cs="宋体"/>
          <w:color w:val="auto"/>
          <w:sz w:val="22"/>
          <w:szCs w:val="22"/>
          <w:highlight w:val="none"/>
        </w:rPr>
        <w:t>日前，以书面形式通知所有获取招标文件的潜在投标供应商；不足</w:t>
      </w:r>
      <w:r>
        <w:rPr>
          <w:rFonts w:ascii="宋体" w:hAnsi="宋体" w:cs="宋体"/>
          <w:color w:val="auto"/>
          <w:sz w:val="22"/>
          <w:szCs w:val="22"/>
          <w:highlight w:val="none"/>
        </w:rPr>
        <w:t>15</w:t>
      </w:r>
      <w:r>
        <w:rPr>
          <w:rFonts w:hint="eastAsia" w:ascii="宋体" w:hAnsi="宋体" w:cs="宋体"/>
          <w:color w:val="auto"/>
          <w:sz w:val="22"/>
          <w:szCs w:val="22"/>
          <w:highlight w:val="none"/>
        </w:rPr>
        <w:t>日的，采购人或者采购代理机构顺延提交投标文件的截止时间。</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3.3</w:t>
      </w:r>
      <w:r>
        <w:rPr>
          <w:rFonts w:hint="eastAsia" w:ascii="宋体" w:hAnsi="宋体" w:cs="宋体"/>
          <w:color w:val="auto"/>
          <w:sz w:val="22"/>
          <w:szCs w:val="22"/>
          <w:highlight w:val="none"/>
        </w:rPr>
        <w:t>、补充、更正文件在浙江政府采购网（</w:t>
      </w:r>
      <w:r>
        <w:rPr>
          <w:rFonts w:ascii="宋体" w:hAnsi="宋体" w:cs="宋体"/>
          <w:color w:val="auto"/>
          <w:sz w:val="22"/>
          <w:szCs w:val="22"/>
          <w:highlight w:val="none"/>
        </w:rPr>
        <w:t>http://www.zjzfcg.gov.cn/</w:t>
      </w:r>
      <w:r>
        <w:rPr>
          <w:rFonts w:hint="eastAsia" w:ascii="宋体" w:hAnsi="宋体" w:cs="宋体"/>
          <w:color w:val="auto"/>
          <w:sz w:val="22"/>
          <w:szCs w:val="22"/>
          <w:highlight w:val="none"/>
        </w:rPr>
        <w:t>）予以公告公布。</w:t>
      </w:r>
      <w:bookmarkEnd w:id="2"/>
    </w:p>
    <w:p>
      <w:pPr>
        <w:widowControl/>
        <w:autoSpaceDE w:val="0"/>
        <w:autoSpaceDN w:val="0"/>
        <w:adjustRightInd w:val="0"/>
        <w:spacing w:line="460" w:lineRule="atLeast"/>
        <w:textAlignment w:val="bottom"/>
        <w:rPr>
          <w:rFonts w:ascii="宋体"/>
          <w:b/>
          <w:bCs/>
          <w:color w:val="auto"/>
          <w:sz w:val="22"/>
          <w:szCs w:val="22"/>
          <w:highlight w:val="none"/>
        </w:rPr>
      </w:pPr>
      <w:bookmarkStart w:id="40" w:name="_Toc496116252"/>
      <w:r>
        <w:rPr>
          <w:rFonts w:hint="eastAsia" w:ascii="宋体" w:hAnsi="宋体" w:cs="宋体"/>
          <w:b/>
          <w:bCs/>
          <w:color w:val="auto"/>
          <w:sz w:val="22"/>
          <w:szCs w:val="22"/>
          <w:highlight w:val="none"/>
        </w:rPr>
        <w:t>四、投标文件</w:t>
      </w:r>
      <w:bookmarkEnd w:id="40"/>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、投标文件</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1.1</w:t>
      </w:r>
      <w:r>
        <w:rPr>
          <w:rFonts w:hint="eastAsia" w:ascii="宋体" w:hAnsi="宋体" w:cs="宋体"/>
          <w:color w:val="auto"/>
          <w:sz w:val="22"/>
          <w:szCs w:val="22"/>
          <w:highlight w:val="none"/>
        </w:rPr>
        <w:t>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1.2</w:t>
      </w:r>
      <w:r>
        <w:rPr>
          <w:rFonts w:hint="eastAsia" w:ascii="宋体" w:hAnsi="宋体" w:cs="宋体"/>
          <w:color w:val="auto"/>
          <w:sz w:val="22"/>
          <w:szCs w:val="22"/>
          <w:highlight w:val="none"/>
        </w:rPr>
        <w:t>供应商提交的投标文件报价均采用人民币报价。</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1.3</w:t>
      </w:r>
      <w:r>
        <w:rPr>
          <w:rFonts w:hint="eastAsia" w:ascii="宋体" w:hAnsi="宋体" w:cs="宋体"/>
          <w:color w:val="auto"/>
          <w:sz w:val="22"/>
          <w:szCs w:val="22"/>
          <w:highlight w:val="none"/>
        </w:rPr>
        <w:t>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1.4</w:t>
      </w:r>
      <w:r>
        <w:rPr>
          <w:rFonts w:hint="eastAsia" w:ascii="宋体" w:hAnsi="宋体" w:cs="宋体"/>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1.5</w:t>
      </w:r>
      <w:r>
        <w:rPr>
          <w:rFonts w:hint="eastAsia" w:ascii="宋体" w:hAnsi="宋体" w:cs="宋体"/>
          <w:color w:val="auto"/>
          <w:sz w:val="22"/>
          <w:szCs w:val="22"/>
          <w:highlight w:val="none"/>
        </w:rPr>
        <w:t>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pacing w:line="460" w:lineRule="atLeast"/>
        <w:ind w:firstLine="440" w:firstLineChars="200"/>
        <w:rPr>
          <w:rFonts w:ascii="宋体"/>
          <w:color w:val="auto"/>
          <w:sz w:val="22"/>
          <w:szCs w:val="22"/>
          <w:highlight w:val="none"/>
          <w:lang w:val="zh-CN"/>
        </w:rPr>
      </w:pPr>
      <w:r>
        <w:rPr>
          <w:rFonts w:ascii="宋体" w:hAnsi="宋体" w:cs="宋体"/>
          <w:color w:val="auto"/>
          <w:sz w:val="22"/>
          <w:szCs w:val="22"/>
          <w:highlight w:val="none"/>
          <w:lang w:val="zh-CN"/>
        </w:rPr>
        <w:t>2</w:t>
      </w:r>
      <w:r>
        <w:rPr>
          <w:rFonts w:hint="eastAsia" w:ascii="宋体" w:hAnsi="宋体" w:cs="宋体"/>
          <w:color w:val="auto"/>
          <w:sz w:val="22"/>
          <w:szCs w:val="22"/>
          <w:highlight w:val="none"/>
          <w:lang w:val="zh-CN"/>
        </w:rPr>
        <w:t>、投标文件的组成</w:t>
      </w:r>
    </w:p>
    <w:p>
      <w:pPr>
        <w:autoSpaceDE w:val="0"/>
        <w:autoSpaceDN w:val="0"/>
        <w:adjustRightInd w:val="0"/>
        <w:spacing w:line="460" w:lineRule="atLeast"/>
        <w:ind w:firstLine="442" w:firstLineChars="200"/>
        <w:rPr>
          <w:rFonts w:ascii="宋体"/>
          <w:b/>
          <w:bCs/>
          <w:color w:val="auto"/>
          <w:sz w:val="22"/>
          <w:szCs w:val="22"/>
          <w:highlight w:val="none"/>
          <w:lang w:val="zh-CN"/>
        </w:rPr>
      </w:pPr>
      <w:r>
        <w:rPr>
          <w:rFonts w:hint="eastAsia" w:ascii="宋体" w:hAnsi="宋体" w:cs="宋体"/>
          <w:b/>
          <w:bCs/>
          <w:color w:val="auto"/>
          <w:sz w:val="22"/>
          <w:szCs w:val="22"/>
          <w:highlight w:val="none"/>
          <w:u w:val="single"/>
        </w:rPr>
        <w:t>投标文件由资格证明文件、报价文件部分和技术资信部分三部分组成。</w:t>
      </w:r>
    </w:p>
    <w:p>
      <w:pPr>
        <w:autoSpaceDE w:val="0"/>
        <w:autoSpaceDN w:val="0"/>
        <w:adjustRightInd w:val="0"/>
        <w:spacing w:line="450" w:lineRule="atLeast"/>
        <w:ind w:firstLine="442" w:firstLineChars="200"/>
        <w:rPr>
          <w:rFonts w:ascii="宋体" w:hAnsi="宋体" w:cs="宋体"/>
          <w:b/>
          <w:bCs/>
          <w:color w:val="auto"/>
          <w:sz w:val="22"/>
          <w:szCs w:val="22"/>
          <w:highlight w:val="none"/>
          <w:u w:val="single"/>
          <w:lang w:val="zh-CN"/>
        </w:rPr>
      </w:pPr>
      <w:bookmarkStart w:id="41" w:name="_Toc132122412"/>
      <w:bookmarkStart w:id="42" w:name="_Toc132122115"/>
      <w:r>
        <w:rPr>
          <w:rFonts w:ascii="宋体" w:hAnsi="宋体" w:cs="宋体"/>
          <w:b/>
          <w:bCs/>
          <w:color w:val="auto"/>
          <w:sz w:val="22"/>
          <w:szCs w:val="22"/>
          <w:highlight w:val="none"/>
          <w:u w:val="single"/>
          <w:lang w:val="zh-CN"/>
        </w:rPr>
        <w:t>2.1</w:t>
      </w:r>
      <w:r>
        <w:rPr>
          <w:rFonts w:hint="eastAsia" w:ascii="宋体" w:hAnsi="宋体" w:cs="宋体"/>
          <w:b/>
          <w:bCs/>
          <w:color w:val="auto"/>
          <w:sz w:val="22"/>
          <w:szCs w:val="22"/>
          <w:highlight w:val="none"/>
          <w:u w:val="single"/>
          <w:lang w:val="zh-CN"/>
        </w:rPr>
        <w:t>、资格证明文件部分组成</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8108"/>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30" w:lineRule="atLeast"/>
              <w:jc w:val="center"/>
              <w:rPr>
                <w:rFonts w:ascii="宋体"/>
                <w:b/>
                <w:bCs/>
                <w:color w:val="auto"/>
                <w:sz w:val="22"/>
                <w:szCs w:val="22"/>
                <w:highlight w:val="none"/>
                <w:lang w:val="zh-CN"/>
              </w:rPr>
            </w:pPr>
            <w:r>
              <w:rPr>
                <w:rFonts w:hint="eastAsia" w:ascii="宋体"/>
                <w:b/>
                <w:bCs/>
                <w:color w:val="auto"/>
                <w:sz w:val="22"/>
                <w:szCs w:val="22"/>
                <w:highlight w:val="none"/>
                <w:lang w:val="zh-CN"/>
              </w:rPr>
              <w:t>序号</w:t>
            </w:r>
          </w:p>
        </w:tc>
        <w:tc>
          <w:tcPr>
            <w:tcW w:w="8108"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jc w:val="center"/>
              <w:rPr>
                <w:rFonts w:ascii="宋体"/>
                <w:b/>
                <w:bCs/>
                <w:color w:val="auto"/>
                <w:sz w:val="22"/>
                <w:szCs w:val="22"/>
                <w:highlight w:val="none"/>
                <w:lang w:val="zh-CN"/>
              </w:rPr>
            </w:pPr>
            <w:r>
              <w:rPr>
                <w:rFonts w:hint="eastAsia" w:ascii="宋体"/>
                <w:b/>
                <w:bCs/>
                <w:color w:val="auto"/>
                <w:sz w:val="22"/>
                <w:szCs w:val="22"/>
                <w:highlight w:val="none"/>
                <w:lang w:val="zh-CN"/>
              </w:rPr>
              <w:t>内容</w:t>
            </w:r>
          </w:p>
        </w:tc>
        <w:tc>
          <w:tcPr>
            <w:tcW w:w="129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jc w:val="center"/>
              <w:rPr>
                <w:rFonts w:ascii="宋体"/>
                <w:b/>
                <w:bCs/>
                <w:color w:val="auto"/>
                <w:sz w:val="22"/>
                <w:szCs w:val="22"/>
                <w:highlight w:val="none"/>
                <w:lang w:val="zh-CN"/>
              </w:rPr>
            </w:pPr>
            <w:r>
              <w:rPr>
                <w:rFonts w:hint="eastAsia" w:ascii="宋体"/>
                <w:b/>
                <w:bCs/>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7"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bCs/>
                <w:color w:val="auto"/>
                <w:sz w:val="22"/>
                <w:szCs w:val="22"/>
                <w:highlight w:val="none"/>
                <w:lang w:val="zh-CN"/>
              </w:rPr>
            </w:pPr>
            <w:r>
              <w:rPr>
                <w:rFonts w:hint="eastAsia" w:ascii="宋体"/>
                <w:bCs/>
                <w:color w:val="auto"/>
                <w:sz w:val="22"/>
                <w:szCs w:val="22"/>
                <w:highlight w:val="none"/>
                <w:lang w:val="zh-CN"/>
              </w:rPr>
              <w:t>1</w:t>
            </w:r>
          </w:p>
        </w:tc>
        <w:tc>
          <w:tcPr>
            <w:tcW w:w="8108"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bCs/>
                <w:color w:val="auto"/>
                <w:sz w:val="22"/>
                <w:szCs w:val="22"/>
                <w:highlight w:val="none"/>
                <w:lang w:val="zh-CN"/>
              </w:rPr>
            </w:pPr>
            <w:r>
              <w:rPr>
                <w:rFonts w:hint="eastAsia" w:ascii="宋体"/>
                <w:bCs/>
                <w:color w:val="auto"/>
                <w:sz w:val="22"/>
                <w:szCs w:val="22"/>
                <w:highlight w:val="none"/>
              </w:rPr>
              <w:t>投标供应商的营业执照（或事业法人登记证书或其它工商等登记证明材料）、税务登记证（如为多证合一仅需提供营业执照（或事业法人登记证书或其它工商等登记证明材料），扫描件加盖公章）</w:t>
            </w:r>
          </w:p>
        </w:tc>
        <w:tc>
          <w:tcPr>
            <w:tcW w:w="1299"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7"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bCs/>
                <w:color w:val="auto"/>
                <w:sz w:val="22"/>
                <w:szCs w:val="22"/>
                <w:highlight w:val="none"/>
                <w:lang w:val="zh-CN"/>
              </w:rPr>
            </w:pPr>
            <w:r>
              <w:rPr>
                <w:rFonts w:hint="eastAsia" w:ascii="宋体"/>
                <w:bCs/>
                <w:color w:val="auto"/>
                <w:sz w:val="22"/>
                <w:szCs w:val="22"/>
                <w:highlight w:val="none"/>
                <w:lang w:val="zh-CN"/>
              </w:rPr>
              <w:t>2</w:t>
            </w:r>
          </w:p>
        </w:tc>
        <w:tc>
          <w:tcPr>
            <w:tcW w:w="8108"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bCs/>
                <w:color w:val="auto"/>
                <w:sz w:val="22"/>
                <w:szCs w:val="22"/>
                <w:highlight w:val="none"/>
              </w:rPr>
            </w:pPr>
            <w:r>
              <w:rPr>
                <w:rFonts w:hint="eastAsia" w:ascii="宋体"/>
                <w:color w:val="auto"/>
                <w:sz w:val="22"/>
                <w:szCs w:val="22"/>
                <w:highlight w:val="none"/>
              </w:rPr>
              <w:t>最近一年度的资产负债表、损益表或利润表(新成立的公司，必须提供情况说明）</w:t>
            </w:r>
          </w:p>
        </w:tc>
        <w:tc>
          <w:tcPr>
            <w:tcW w:w="1299"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7"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bCs/>
                <w:color w:val="auto"/>
                <w:sz w:val="22"/>
                <w:szCs w:val="22"/>
                <w:highlight w:val="none"/>
              </w:rPr>
            </w:pPr>
            <w:r>
              <w:rPr>
                <w:rFonts w:hint="eastAsia" w:ascii="宋体"/>
                <w:bCs/>
                <w:color w:val="auto"/>
                <w:sz w:val="22"/>
                <w:szCs w:val="22"/>
                <w:highlight w:val="none"/>
              </w:rPr>
              <w:t>3</w:t>
            </w:r>
          </w:p>
        </w:tc>
        <w:tc>
          <w:tcPr>
            <w:tcW w:w="8108"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bCs/>
                <w:color w:val="auto"/>
                <w:sz w:val="22"/>
                <w:szCs w:val="22"/>
                <w:highlight w:val="none"/>
              </w:rPr>
            </w:pPr>
            <w:r>
              <w:rPr>
                <w:rFonts w:ascii="宋体"/>
                <w:color w:val="auto"/>
                <w:sz w:val="22"/>
                <w:szCs w:val="22"/>
                <w:highlight w:val="none"/>
              </w:rPr>
              <w:t>具有履行合同所必需的设备和专业技术能力的承诺函</w:t>
            </w:r>
          </w:p>
        </w:tc>
        <w:tc>
          <w:tcPr>
            <w:tcW w:w="1299"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color w:val="auto"/>
                <w:sz w:val="22"/>
                <w:szCs w:val="22"/>
                <w:highlight w:val="none"/>
              </w:rPr>
            </w:pPr>
            <w:r>
              <w:rPr>
                <w:rFonts w:hint="eastAsia" w:ascii="宋体"/>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447"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bCs/>
                <w:color w:val="auto"/>
                <w:sz w:val="22"/>
                <w:szCs w:val="22"/>
                <w:highlight w:val="none"/>
              </w:rPr>
            </w:pPr>
            <w:r>
              <w:rPr>
                <w:rFonts w:hint="eastAsia" w:ascii="宋体"/>
                <w:bCs/>
                <w:color w:val="auto"/>
                <w:sz w:val="22"/>
                <w:szCs w:val="22"/>
                <w:highlight w:val="none"/>
              </w:rPr>
              <w:t>4</w:t>
            </w:r>
          </w:p>
        </w:tc>
        <w:tc>
          <w:tcPr>
            <w:tcW w:w="8108"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rPr>
                <w:rFonts w:ascii="宋体"/>
                <w:bCs/>
                <w:color w:val="auto"/>
                <w:sz w:val="22"/>
                <w:szCs w:val="22"/>
                <w:highlight w:val="none"/>
              </w:rPr>
            </w:pPr>
            <w:r>
              <w:rPr>
                <w:rFonts w:hint="eastAsia" w:ascii="宋体"/>
                <w:bCs/>
                <w:color w:val="auto"/>
                <w:sz w:val="22"/>
                <w:szCs w:val="22"/>
                <w:highlight w:val="none"/>
              </w:rPr>
              <w:t>依法缴纳税收和社会保障资金的承诺函</w:t>
            </w:r>
          </w:p>
        </w:tc>
        <w:tc>
          <w:tcPr>
            <w:tcW w:w="1299"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bCs/>
                <w:color w:val="auto"/>
                <w:sz w:val="22"/>
                <w:szCs w:val="22"/>
                <w:highlight w:val="none"/>
              </w:rPr>
            </w:pPr>
            <w:r>
              <w:rPr>
                <w:rFonts w:hint="eastAsia" w:ascii="宋体"/>
                <w:bCs/>
                <w:color w:val="auto"/>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7"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bCs/>
                <w:color w:val="auto"/>
                <w:sz w:val="22"/>
                <w:szCs w:val="22"/>
                <w:highlight w:val="none"/>
              </w:rPr>
            </w:pPr>
            <w:r>
              <w:rPr>
                <w:rFonts w:hint="eastAsia" w:ascii="宋体"/>
                <w:bCs/>
                <w:color w:val="auto"/>
                <w:sz w:val="22"/>
                <w:szCs w:val="22"/>
                <w:highlight w:val="none"/>
              </w:rPr>
              <w:t>5</w:t>
            </w:r>
          </w:p>
        </w:tc>
        <w:tc>
          <w:tcPr>
            <w:tcW w:w="8108"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bCs/>
                <w:color w:val="auto"/>
                <w:sz w:val="22"/>
                <w:szCs w:val="22"/>
                <w:highlight w:val="none"/>
              </w:rPr>
            </w:pPr>
            <w:r>
              <w:rPr>
                <w:rFonts w:ascii="宋体"/>
                <w:color w:val="auto"/>
                <w:sz w:val="22"/>
                <w:szCs w:val="22"/>
                <w:highlight w:val="none"/>
              </w:rPr>
              <w:t>参加政府采购活动前3年内（新成立不满三年的组织机构自成立之日起算）在经营活动中没有重大违法记录的声明函</w:t>
            </w:r>
          </w:p>
        </w:tc>
        <w:tc>
          <w:tcPr>
            <w:tcW w:w="1299"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color w:val="auto"/>
                <w:sz w:val="22"/>
                <w:szCs w:val="22"/>
                <w:highlight w:val="none"/>
              </w:rPr>
            </w:pPr>
            <w:r>
              <w:rPr>
                <w:rFonts w:hint="eastAsia" w:ascii="宋体"/>
                <w:color w:val="auto"/>
                <w:sz w:val="22"/>
                <w:szCs w:val="22"/>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7"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bCs/>
                <w:color w:val="auto"/>
                <w:sz w:val="22"/>
                <w:szCs w:val="22"/>
                <w:highlight w:val="none"/>
                <w:lang w:val="zh-CN"/>
              </w:rPr>
            </w:pPr>
            <w:r>
              <w:rPr>
                <w:rFonts w:hint="eastAsia" w:ascii="宋体"/>
                <w:bCs/>
                <w:color w:val="auto"/>
                <w:sz w:val="22"/>
                <w:szCs w:val="22"/>
                <w:highlight w:val="none"/>
                <w:lang w:val="zh-CN"/>
              </w:rPr>
              <w:t>6</w:t>
            </w:r>
          </w:p>
        </w:tc>
        <w:tc>
          <w:tcPr>
            <w:tcW w:w="8108"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bCs/>
                <w:color w:val="auto"/>
                <w:sz w:val="22"/>
                <w:szCs w:val="22"/>
                <w:highlight w:val="none"/>
              </w:rPr>
            </w:pPr>
            <w:r>
              <w:rPr>
                <w:rFonts w:hint="eastAsia" w:asciiTheme="majorEastAsia" w:hAnsiTheme="majorEastAsia" w:eastAsiaTheme="majorEastAsia"/>
                <w:color w:val="auto"/>
                <w:sz w:val="22"/>
                <w:szCs w:val="22"/>
                <w:highlight w:val="none"/>
              </w:rPr>
              <w:t>中小企业（含残疾人福利性单位）声明函或监狱企业证明材料</w:t>
            </w:r>
          </w:p>
        </w:tc>
        <w:tc>
          <w:tcPr>
            <w:tcW w:w="1299"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7"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bCs/>
                <w:color w:val="auto"/>
                <w:sz w:val="22"/>
                <w:szCs w:val="22"/>
                <w:highlight w:val="none"/>
              </w:rPr>
            </w:pPr>
            <w:r>
              <w:rPr>
                <w:rFonts w:hint="eastAsia" w:ascii="宋体"/>
                <w:bCs/>
                <w:color w:val="auto"/>
                <w:sz w:val="22"/>
                <w:szCs w:val="22"/>
                <w:highlight w:val="none"/>
              </w:rPr>
              <w:t>7</w:t>
            </w:r>
          </w:p>
        </w:tc>
        <w:tc>
          <w:tcPr>
            <w:tcW w:w="8108"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bCs/>
                <w:color w:val="auto"/>
                <w:sz w:val="22"/>
                <w:szCs w:val="22"/>
                <w:highlight w:val="none"/>
              </w:rPr>
            </w:pPr>
            <w:r>
              <w:rPr>
                <w:rFonts w:hint="eastAsia" w:ascii="宋体"/>
                <w:bCs/>
                <w:color w:val="auto"/>
                <w:sz w:val="22"/>
                <w:szCs w:val="22"/>
                <w:highlight w:val="none"/>
              </w:rPr>
              <w:t>投标供应商“信用中国”(www.creditchina.gov.cn)；“中国政府采购网”（www.ccgp.gov.cn）信用记录查询网页截图（采购公告发布之日至响应文件递交截止时间前）</w:t>
            </w:r>
          </w:p>
        </w:tc>
        <w:tc>
          <w:tcPr>
            <w:tcW w:w="1299"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7"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bCs/>
                <w:color w:val="auto"/>
                <w:sz w:val="22"/>
                <w:szCs w:val="22"/>
                <w:highlight w:val="none"/>
              </w:rPr>
            </w:pPr>
            <w:r>
              <w:rPr>
                <w:rFonts w:hint="eastAsia" w:ascii="宋体"/>
                <w:bCs/>
                <w:color w:val="auto"/>
                <w:sz w:val="22"/>
                <w:szCs w:val="22"/>
                <w:highlight w:val="none"/>
              </w:rPr>
              <w:t>8</w:t>
            </w:r>
          </w:p>
        </w:tc>
        <w:tc>
          <w:tcPr>
            <w:tcW w:w="8108"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bCs/>
                <w:color w:val="auto"/>
                <w:sz w:val="22"/>
                <w:szCs w:val="22"/>
                <w:highlight w:val="none"/>
              </w:rPr>
            </w:pPr>
            <w:r>
              <w:rPr>
                <w:rFonts w:hint="eastAsia" w:ascii="宋体"/>
                <w:bCs/>
                <w:color w:val="auto"/>
                <w:sz w:val="22"/>
                <w:szCs w:val="22"/>
                <w:highlight w:val="none"/>
              </w:rPr>
              <w:t>与参加本次项目同一合同项下政府采购活动的其他供应商不存在单位负责人为同一人或者直接控股、管理关系的承诺函</w:t>
            </w:r>
          </w:p>
        </w:tc>
        <w:tc>
          <w:tcPr>
            <w:tcW w:w="1299" w:type="dxa"/>
            <w:tcBorders>
              <w:top w:val="single" w:color="auto" w:sz="4" w:space="0"/>
              <w:left w:val="single" w:color="auto" w:sz="4" w:space="0"/>
              <w:bottom w:val="single" w:color="auto" w:sz="4" w:space="0"/>
              <w:right w:val="single" w:color="auto" w:sz="4" w:space="0"/>
            </w:tcBorders>
          </w:tcPr>
          <w:p>
            <w:pPr>
              <w:tabs>
                <w:tab w:val="left" w:pos="4140"/>
              </w:tabs>
              <w:adjustRightInd w:val="0"/>
              <w:snapToGrid w:val="0"/>
              <w:spacing w:line="320" w:lineRule="atLeast"/>
              <w:rPr>
                <w:rFonts w:ascii="宋体"/>
                <w:bCs/>
                <w:color w:val="auto"/>
                <w:sz w:val="22"/>
                <w:szCs w:val="22"/>
                <w:highlight w:val="none"/>
              </w:rPr>
            </w:pPr>
            <w:r>
              <w:rPr>
                <w:rFonts w:hint="eastAsia" w:ascii="宋体"/>
                <w:bCs/>
                <w:color w:val="auto"/>
                <w:sz w:val="22"/>
                <w:szCs w:val="22"/>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bCs/>
                <w:color w:val="auto"/>
                <w:sz w:val="22"/>
                <w:szCs w:val="22"/>
                <w:highlight w:val="none"/>
              </w:rPr>
            </w:pPr>
            <w:r>
              <w:rPr>
                <w:rFonts w:hint="eastAsia" w:ascii="宋体"/>
                <w:bCs/>
                <w:color w:val="auto"/>
                <w:sz w:val="22"/>
                <w:szCs w:val="22"/>
                <w:highlight w:val="none"/>
              </w:rPr>
              <w:t>9</w:t>
            </w:r>
          </w:p>
        </w:tc>
        <w:tc>
          <w:tcPr>
            <w:tcW w:w="8108"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rPr>
                <w:rFonts w:ascii="宋体"/>
                <w:bCs/>
                <w:color w:val="auto"/>
                <w:sz w:val="22"/>
                <w:szCs w:val="22"/>
                <w:highlight w:val="none"/>
              </w:rPr>
            </w:pPr>
            <w:r>
              <w:rPr>
                <w:rFonts w:hint="eastAsia" w:ascii="宋体"/>
                <w:bCs/>
                <w:color w:val="auto"/>
                <w:sz w:val="22"/>
                <w:szCs w:val="22"/>
                <w:highlight w:val="none"/>
              </w:rPr>
              <w:t>投标供应商参与政府采购活动投标资格声明函</w:t>
            </w:r>
          </w:p>
        </w:tc>
        <w:tc>
          <w:tcPr>
            <w:tcW w:w="129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rPr>
                <w:rFonts w:ascii="宋体"/>
                <w:bCs/>
                <w:color w:val="auto"/>
                <w:sz w:val="22"/>
                <w:szCs w:val="22"/>
                <w:highlight w:val="none"/>
              </w:rPr>
            </w:pPr>
            <w:r>
              <w:rPr>
                <w:rFonts w:hint="eastAsia" w:ascii="宋体"/>
                <w:bCs/>
                <w:color w:val="auto"/>
                <w:sz w:val="22"/>
                <w:szCs w:val="22"/>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 w:type="dxa"/>
            <w:tcBorders>
              <w:top w:val="single" w:color="auto" w:sz="4" w:space="0"/>
              <w:left w:val="single" w:color="auto" w:sz="4" w:space="0"/>
              <w:bottom w:val="single" w:color="auto" w:sz="4" w:space="0"/>
              <w:right w:val="single" w:color="auto" w:sz="4" w:space="0"/>
            </w:tcBorders>
            <w:vAlign w:val="center"/>
          </w:tcPr>
          <w:p>
            <w:pPr>
              <w:tabs>
                <w:tab w:val="left" w:pos="4140"/>
              </w:tabs>
              <w:adjustRightInd w:val="0"/>
              <w:snapToGrid w:val="0"/>
              <w:spacing w:line="320" w:lineRule="atLeast"/>
              <w:jc w:val="center"/>
              <w:rPr>
                <w:rFonts w:ascii="宋体"/>
                <w:bCs/>
                <w:color w:val="auto"/>
                <w:sz w:val="22"/>
                <w:szCs w:val="22"/>
                <w:highlight w:val="none"/>
              </w:rPr>
            </w:pPr>
            <w:r>
              <w:rPr>
                <w:rFonts w:hint="eastAsia" w:ascii="宋体"/>
                <w:bCs/>
                <w:color w:val="auto"/>
                <w:sz w:val="22"/>
                <w:szCs w:val="22"/>
                <w:highlight w:val="none"/>
              </w:rPr>
              <w:t>1</w:t>
            </w:r>
            <w:r>
              <w:rPr>
                <w:rFonts w:ascii="宋体"/>
                <w:bCs/>
                <w:color w:val="auto"/>
                <w:sz w:val="22"/>
                <w:szCs w:val="22"/>
                <w:highlight w:val="none"/>
              </w:rPr>
              <w:t>0</w:t>
            </w:r>
          </w:p>
        </w:tc>
        <w:tc>
          <w:tcPr>
            <w:tcW w:w="8108"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rPr>
                <w:rFonts w:ascii="宋体"/>
                <w:bCs/>
                <w:color w:val="auto"/>
                <w:sz w:val="22"/>
                <w:szCs w:val="22"/>
                <w:highlight w:val="none"/>
              </w:rPr>
            </w:pPr>
            <w:r>
              <w:rPr>
                <w:rFonts w:hint="eastAsia" w:ascii="宋体" w:hAnsi="宋体"/>
                <w:color w:val="auto"/>
                <w:sz w:val="22"/>
                <w:szCs w:val="22"/>
                <w:highlight w:val="none"/>
              </w:rPr>
              <w:t>法定代表人授权书</w:t>
            </w:r>
          </w:p>
        </w:tc>
        <w:tc>
          <w:tcPr>
            <w:tcW w:w="1299"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430" w:lineRule="atLeast"/>
              <w:rPr>
                <w:rFonts w:ascii="宋体" w:hAnsi="宋体"/>
                <w:color w:val="auto"/>
                <w:sz w:val="22"/>
                <w:szCs w:val="22"/>
                <w:highlight w:val="none"/>
              </w:rPr>
            </w:pPr>
            <w:r>
              <w:rPr>
                <w:rFonts w:hint="eastAsia" w:ascii="宋体" w:hAnsi="宋体"/>
                <w:color w:val="auto"/>
                <w:sz w:val="22"/>
                <w:szCs w:val="22"/>
                <w:highlight w:val="none"/>
              </w:rPr>
              <w:t>附件七</w:t>
            </w:r>
          </w:p>
        </w:tc>
      </w:tr>
    </w:tbl>
    <w:p>
      <w:pPr>
        <w:autoSpaceDE w:val="0"/>
        <w:autoSpaceDN w:val="0"/>
        <w:adjustRightInd w:val="0"/>
        <w:spacing w:line="450" w:lineRule="atLeast"/>
        <w:ind w:firstLine="442" w:firstLineChars="200"/>
        <w:rPr>
          <w:rFonts w:ascii="宋体"/>
          <w:b/>
          <w:bCs/>
          <w:color w:val="auto"/>
          <w:sz w:val="22"/>
          <w:szCs w:val="22"/>
          <w:highlight w:val="none"/>
          <w:u w:val="single"/>
          <w:lang w:val="zh-CN"/>
        </w:rPr>
      </w:pPr>
      <w:r>
        <w:rPr>
          <w:rFonts w:ascii="宋体" w:hAnsi="宋体" w:cs="宋体"/>
          <w:b/>
          <w:bCs/>
          <w:color w:val="auto"/>
          <w:sz w:val="22"/>
          <w:szCs w:val="22"/>
          <w:highlight w:val="none"/>
          <w:u w:val="single"/>
          <w:lang w:val="zh-CN"/>
        </w:rPr>
        <w:t>2.2</w:t>
      </w:r>
      <w:r>
        <w:rPr>
          <w:rFonts w:hint="eastAsia" w:ascii="宋体" w:hAnsi="宋体" w:cs="宋体"/>
          <w:b/>
          <w:bCs/>
          <w:color w:val="auto"/>
          <w:sz w:val="22"/>
          <w:szCs w:val="22"/>
          <w:highlight w:val="none"/>
          <w:u w:val="single"/>
          <w:lang w:val="zh-CN"/>
        </w:rPr>
        <w:t>、报价文件部分组成</w:t>
      </w: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8108"/>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 w:type="dxa"/>
          </w:tcPr>
          <w:p>
            <w:pPr>
              <w:autoSpaceDE w:val="0"/>
              <w:autoSpaceDN w:val="0"/>
              <w:adjustRightInd w:val="0"/>
              <w:snapToGrid w:val="0"/>
              <w:spacing w:line="430" w:lineRule="atLeast"/>
              <w:rPr>
                <w:rFonts w:ascii="宋体"/>
                <w:b/>
                <w:bCs/>
                <w:color w:val="auto"/>
                <w:sz w:val="22"/>
                <w:highlight w:val="none"/>
                <w:lang w:val="zh-CN"/>
              </w:rPr>
            </w:pPr>
            <w:r>
              <w:rPr>
                <w:rFonts w:hint="eastAsia" w:ascii="宋体" w:hAnsi="宋体" w:cs="宋体"/>
                <w:b/>
                <w:bCs/>
                <w:color w:val="auto"/>
                <w:sz w:val="22"/>
                <w:szCs w:val="22"/>
                <w:highlight w:val="none"/>
                <w:lang w:val="zh-CN"/>
              </w:rPr>
              <w:t>序号</w:t>
            </w:r>
          </w:p>
        </w:tc>
        <w:tc>
          <w:tcPr>
            <w:tcW w:w="8108" w:type="dxa"/>
          </w:tcPr>
          <w:p>
            <w:pPr>
              <w:autoSpaceDE w:val="0"/>
              <w:autoSpaceDN w:val="0"/>
              <w:adjustRightInd w:val="0"/>
              <w:snapToGrid w:val="0"/>
              <w:spacing w:line="430" w:lineRule="atLeast"/>
              <w:rPr>
                <w:rFonts w:ascii="宋体"/>
                <w:b/>
                <w:bCs/>
                <w:color w:val="auto"/>
                <w:sz w:val="22"/>
                <w:highlight w:val="none"/>
                <w:lang w:val="zh-CN"/>
              </w:rPr>
            </w:pPr>
            <w:r>
              <w:rPr>
                <w:rFonts w:hint="eastAsia" w:ascii="宋体" w:hAnsi="宋体" w:cs="宋体"/>
                <w:b/>
                <w:bCs/>
                <w:color w:val="auto"/>
                <w:sz w:val="22"/>
                <w:szCs w:val="22"/>
                <w:highlight w:val="none"/>
                <w:lang w:val="zh-CN"/>
              </w:rPr>
              <w:t>内容（▲</w:t>
            </w:r>
            <w:r>
              <w:rPr>
                <w:rFonts w:hint="eastAsia" w:ascii="宋体" w:hAnsi="宋体" w:cs="宋体"/>
                <w:b/>
                <w:bCs/>
                <w:color w:val="auto"/>
                <w:sz w:val="22"/>
                <w:szCs w:val="22"/>
                <w:highlight w:val="none"/>
                <w:u w:val="single"/>
                <w:lang w:val="zh-CN"/>
              </w:rPr>
              <w:t>序号</w:t>
            </w:r>
            <w:r>
              <w:rPr>
                <w:rFonts w:ascii="宋体" w:hAnsi="宋体" w:cs="宋体"/>
                <w:b/>
                <w:bCs/>
                <w:color w:val="auto"/>
                <w:sz w:val="22"/>
                <w:szCs w:val="22"/>
                <w:highlight w:val="none"/>
                <w:u w:val="single"/>
                <w:lang w:val="zh-CN"/>
              </w:rPr>
              <w:t>1-2</w:t>
            </w:r>
            <w:r>
              <w:rPr>
                <w:rFonts w:hint="eastAsia" w:ascii="宋体" w:hAnsi="宋体" w:cs="宋体"/>
                <w:b/>
                <w:bCs/>
                <w:color w:val="auto"/>
                <w:sz w:val="22"/>
                <w:szCs w:val="22"/>
                <w:highlight w:val="none"/>
                <w:u w:val="single"/>
                <w:lang w:val="zh-CN"/>
              </w:rPr>
              <w:t>项供应商必须提供，否则不能通过符合性审查的，责任自负</w:t>
            </w:r>
            <w:r>
              <w:rPr>
                <w:rFonts w:hint="eastAsia" w:ascii="宋体" w:hAnsi="宋体" w:cs="宋体"/>
                <w:b/>
                <w:bCs/>
                <w:color w:val="auto"/>
                <w:sz w:val="22"/>
                <w:szCs w:val="22"/>
                <w:highlight w:val="none"/>
                <w:lang w:val="zh-CN"/>
              </w:rPr>
              <w:t>）</w:t>
            </w:r>
          </w:p>
        </w:tc>
        <w:tc>
          <w:tcPr>
            <w:tcW w:w="1299" w:type="dxa"/>
          </w:tcPr>
          <w:p>
            <w:pPr>
              <w:autoSpaceDE w:val="0"/>
              <w:autoSpaceDN w:val="0"/>
              <w:adjustRightInd w:val="0"/>
              <w:snapToGrid w:val="0"/>
              <w:spacing w:line="430" w:lineRule="atLeast"/>
              <w:rPr>
                <w:rFonts w:ascii="宋体" w:hAnsi="宋体" w:cs="宋体"/>
                <w:b/>
                <w:bCs/>
                <w:color w:val="auto"/>
                <w:sz w:val="22"/>
                <w:szCs w:val="22"/>
                <w:highlight w:val="none"/>
                <w:lang w:val="zh-CN"/>
              </w:rPr>
            </w:pPr>
            <w:r>
              <w:rPr>
                <w:rFonts w:hint="eastAsia" w:ascii="宋体" w:hAnsi="宋体" w:cs="宋体"/>
                <w:b/>
                <w:bCs/>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 w:type="dxa"/>
          </w:tcPr>
          <w:p>
            <w:pPr>
              <w:autoSpaceDE w:val="0"/>
              <w:autoSpaceDN w:val="0"/>
              <w:adjustRightInd w:val="0"/>
              <w:snapToGrid w:val="0"/>
              <w:spacing w:line="430" w:lineRule="atLeast"/>
              <w:jc w:val="center"/>
              <w:rPr>
                <w:rFonts w:ascii="宋体"/>
                <w:b/>
                <w:bCs/>
                <w:color w:val="auto"/>
                <w:sz w:val="22"/>
                <w:highlight w:val="none"/>
                <w:lang w:val="zh-CN"/>
              </w:rPr>
            </w:pPr>
            <w:r>
              <w:rPr>
                <w:rFonts w:ascii="宋体" w:hAnsi="宋体" w:cs="宋体"/>
                <w:b/>
                <w:bCs/>
                <w:color w:val="auto"/>
                <w:sz w:val="22"/>
                <w:szCs w:val="22"/>
                <w:highlight w:val="none"/>
                <w:lang w:val="zh-CN"/>
              </w:rPr>
              <w:t>1</w:t>
            </w:r>
          </w:p>
        </w:tc>
        <w:tc>
          <w:tcPr>
            <w:tcW w:w="8108" w:type="dxa"/>
          </w:tcPr>
          <w:p>
            <w:pPr>
              <w:autoSpaceDE w:val="0"/>
              <w:autoSpaceDN w:val="0"/>
              <w:adjustRightInd w:val="0"/>
              <w:spacing w:line="430" w:lineRule="atLeast"/>
              <w:textAlignment w:val="bottom"/>
              <w:rPr>
                <w:rFonts w:ascii="宋体"/>
                <w:b/>
                <w:bCs/>
                <w:color w:val="auto"/>
                <w:sz w:val="22"/>
                <w:highlight w:val="none"/>
              </w:rPr>
            </w:pPr>
            <w:r>
              <w:rPr>
                <w:rFonts w:hint="eastAsia" w:ascii="宋体" w:hAnsi="宋体" w:cs="宋体"/>
                <w:b/>
                <w:bCs/>
                <w:color w:val="auto"/>
                <w:sz w:val="22"/>
                <w:szCs w:val="22"/>
                <w:highlight w:val="none"/>
              </w:rPr>
              <w:t>报价一览表</w:t>
            </w:r>
          </w:p>
        </w:tc>
        <w:tc>
          <w:tcPr>
            <w:tcW w:w="1299" w:type="dxa"/>
          </w:tcPr>
          <w:p>
            <w:pPr>
              <w:autoSpaceDE w:val="0"/>
              <w:autoSpaceDN w:val="0"/>
              <w:adjustRightInd w:val="0"/>
              <w:spacing w:line="430" w:lineRule="atLeast"/>
              <w:textAlignment w:val="bottom"/>
              <w:rPr>
                <w:rFonts w:ascii="宋体" w:hAnsi="宋体" w:cs="宋体"/>
                <w:b/>
                <w:bCs/>
                <w:color w:val="auto"/>
                <w:sz w:val="22"/>
                <w:szCs w:val="22"/>
                <w:highlight w:val="none"/>
              </w:rPr>
            </w:pPr>
            <w:r>
              <w:rPr>
                <w:rFonts w:hint="eastAsia" w:ascii="宋体" w:hAnsi="宋体" w:cs="宋体"/>
                <w:b/>
                <w:bCs/>
                <w:color w:val="auto"/>
                <w:sz w:val="22"/>
                <w:szCs w:val="22"/>
                <w:highlight w:val="none"/>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 w:type="dxa"/>
          </w:tcPr>
          <w:p>
            <w:pPr>
              <w:autoSpaceDE w:val="0"/>
              <w:autoSpaceDN w:val="0"/>
              <w:adjustRightInd w:val="0"/>
              <w:snapToGrid w:val="0"/>
              <w:spacing w:line="430" w:lineRule="atLeast"/>
              <w:jc w:val="center"/>
              <w:rPr>
                <w:rFonts w:ascii="宋体"/>
                <w:b/>
                <w:bCs/>
                <w:color w:val="auto"/>
                <w:sz w:val="22"/>
                <w:highlight w:val="none"/>
                <w:lang w:val="zh-CN"/>
              </w:rPr>
            </w:pPr>
            <w:r>
              <w:rPr>
                <w:rFonts w:ascii="宋体" w:hAnsi="宋体" w:cs="宋体"/>
                <w:b/>
                <w:bCs/>
                <w:color w:val="auto"/>
                <w:sz w:val="22"/>
                <w:szCs w:val="22"/>
                <w:highlight w:val="none"/>
                <w:lang w:val="zh-CN"/>
              </w:rPr>
              <w:t>2</w:t>
            </w:r>
          </w:p>
        </w:tc>
        <w:tc>
          <w:tcPr>
            <w:tcW w:w="8108" w:type="dxa"/>
          </w:tcPr>
          <w:p>
            <w:pPr>
              <w:autoSpaceDE w:val="0"/>
              <w:autoSpaceDN w:val="0"/>
              <w:adjustRightInd w:val="0"/>
              <w:spacing w:line="500" w:lineRule="atLeast"/>
              <w:rPr>
                <w:rFonts w:ascii="宋体"/>
                <w:b/>
                <w:bCs/>
                <w:color w:val="auto"/>
                <w:sz w:val="22"/>
                <w:highlight w:val="none"/>
                <w:lang w:val="zh-CN"/>
              </w:rPr>
            </w:pPr>
            <w:r>
              <w:rPr>
                <w:rFonts w:hint="eastAsia" w:ascii="宋体" w:hAnsi="宋体" w:cs="宋体"/>
                <w:b/>
                <w:bCs/>
                <w:color w:val="auto"/>
                <w:sz w:val="22"/>
                <w:szCs w:val="22"/>
                <w:highlight w:val="none"/>
              </w:rPr>
              <w:t>分项报价明细表</w:t>
            </w:r>
          </w:p>
        </w:tc>
        <w:tc>
          <w:tcPr>
            <w:tcW w:w="1299" w:type="dxa"/>
          </w:tcPr>
          <w:p>
            <w:pPr>
              <w:autoSpaceDE w:val="0"/>
              <w:autoSpaceDN w:val="0"/>
              <w:adjustRightInd w:val="0"/>
              <w:spacing w:line="500" w:lineRule="atLeast"/>
              <w:rPr>
                <w:rFonts w:ascii="宋体" w:hAnsi="宋体" w:cs="宋体"/>
                <w:b/>
                <w:bCs/>
                <w:color w:val="auto"/>
                <w:sz w:val="22"/>
                <w:szCs w:val="22"/>
                <w:highlight w:val="none"/>
              </w:rPr>
            </w:pPr>
            <w:r>
              <w:rPr>
                <w:rFonts w:hint="eastAsia" w:ascii="宋体" w:hAnsi="宋体" w:cs="宋体"/>
                <w:b/>
                <w:bCs/>
                <w:color w:val="auto"/>
                <w:sz w:val="22"/>
                <w:szCs w:val="22"/>
                <w:highlight w:val="none"/>
              </w:rPr>
              <w:t>附件九</w:t>
            </w:r>
          </w:p>
        </w:tc>
      </w:tr>
    </w:tbl>
    <w:p>
      <w:pPr>
        <w:autoSpaceDE w:val="0"/>
        <w:autoSpaceDN w:val="0"/>
        <w:adjustRightInd w:val="0"/>
        <w:spacing w:line="450" w:lineRule="atLeast"/>
        <w:ind w:firstLine="442" w:firstLineChars="200"/>
        <w:rPr>
          <w:rFonts w:ascii="宋体"/>
          <w:b/>
          <w:bCs/>
          <w:color w:val="auto"/>
          <w:sz w:val="22"/>
          <w:szCs w:val="22"/>
          <w:highlight w:val="none"/>
          <w:u w:val="single"/>
          <w:lang w:val="zh-CN"/>
        </w:rPr>
      </w:pPr>
      <w:bookmarkStart w:id="43" w:name="_Toc132122410"/>
      <w:bookmarkStart w:id="44" w:name="_Toc132122113"/>
      <w:r>
        <w:rPr>
          <w:rFonts w:ascii="宋体" w:hAnsi="宋体" w:cs="宋体"/>
          <w:b/>
          <w:bCs/>
          <w:color w:val="auto"/>
          <w:sz w:val="22"/>
          <w:szCs w:val="22"/>
          <w:highlight w:val="none"/>
          <w:u w:val="single"/>
          <w:lang w:val="zh-CN"/>
        </w:rPr>
        <w:t>2.3</w:t>
      </w:r>
      <w:r>
        <w:rPr>
          <w:rFonts w:hint="eastAsia" w:ascii="宋体" w:hAnsi="宋体" w:cs="宋体"/>
          <w:b/>
          <w:bCs/>
          <w:color w:val="auto"/>
          <w:sz w:val="22"/>
          <w:szCs w:val="22"/>
          <w:highlight w:val="none"/>
          <w:u w:val="single"/>
          <w:lang w:val="zh-CN"/>
        </w:rPr>
        <w:t>、商务技术文件部分组成</w:t>
      </w:r>
    </w:p>
    <w:bookmarkEnd w:id="43"/>
    <w:bookmarkEnd w:id="44"/>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87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autoSpaceDE w:val="0"/>
              <w:autoSpaceDN w:val="0"/>
              <w:adjustRightInd w:val="0"/>
              <w:snapToGrid w:val="0"/>
              <w:spacing w:line="430" w:lineRule="atLeast"/>
              <w:jc w:val="center"/>
              <w:rPr>
                <w:rFonts w:asciiTheme="majorEastAsia" w:hAnsiTheme="majorEastAsia" w:eastAsiaTheme="majorEastAsia"/>
                <w:b/>
                <w:color w:val="auto"/>
                <w:sz w:val="22"/>
                <w:highlight w:val="none"/>
                <w:lang w:val="zh-CN"/>
              </w:rPr>
            </w:pPr>
            <w:r>
              <w:rPr>
                <w:rFonts w:hint="eastAsia" w:asciiTheme="majorEastAsia" w:hAnsiTheme="majorEastAsia" w:eastAsiaTheme="majorEastAsia"/>
                <w:color w:val="auto"/>
                <w:sz w:val="22"/>
                <w:szCs w:val="22"/>
                <w:highlight w:val="none"/>
                <w:lang w:val="zh-CN"/>
              </w:rPr>
              <w:t>序号</w:t>
            </w:r>
          </w:p>
        </w:tc>
        <w:tc>
          <w:tcPr>
            <w:tcW w:w="7879" w:type="dxa"/>
          </w:tcPr>
          <w:p>
            <w:pPr>
              <w:autoSpaceDE w:val="0"/>
              <w:autoSpaceDN w:val="0"/>
              <w:adjustRightInd w:val="0"/>
              <w:snapToGrid w:val="0"/>
              <w:spacing w:line="430" w:lineRule="atLeast"/>
              <w:jc w:val="center"/>
              <w:rPr>
                <w:rFonts w:asciiTheme="majorEastAsia" w:hAnsiTheme="majorEastAsia" w:eastAsiaTheme="majorEastAsia"/>
                <w:b/>
                <w:color w:val="auto"/>
                <w:sz w:val="22"/>
                <w:highlight w:val="none"/>
                <w:lang w:val="zh-CN"/>
              </w:rPr>
            </w:pPr>
            <w:r>
              <w:rPr>
                <w:rFonts w:hint="eastAsia" w:asciiTheme="majorEastAsia" w:hAnsiTheme="majorEastAsia" w:eastAsiaTheme="majorEastAsia"/>
                <w:color w:val="auto"/>
                <w:sz w:val="22"/>
                <w:szCs w:val="22"/>
                <w:highlight w:val="none"/>
                <w:lang w:val="zh-CN"/>
              </w:rPr>
              <w:t>内容</w:t>
            </w:r>
          </w:p>
        </w:tc>
        <w:tc>
          <w:tcPr>
            <w:tcW w:w="1299" w:type="dxa"/>
          </w:tcPr>
          <w:p>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lang w:val="zh-CN"/>
              </w:rPr>
            </w:pPr>
            <w:r>
              <w:rPr>
                <w:rFonts w:hint="eastAsia" w:asciiTheme="majorEastAsia" w:hAnsiTheme="majorEastAsia" w:eastAsiaTheme="majorEastAsia"/>
                <w:color w:val="auto"/>
                <w:sz w:val="22"/>
                <w:szCs w:val="22"/>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5" w:type="dxa"/>
            <w:gridSpan w:val="2"/>
          </w:tcPr>
          <w:p>
            <w:pPr>
              <w:autoSpaceDE w:val="0"/>
              <w:autoSpaceDN w:val="0"/>
              <w:adjustRightInd w:val="0"/>
              <w:snapToGrid w:val="0"/>
              <w:spacing w:line="430" w:lineRule="atLeast"/>
              <w:rPr>
                <w:rFonts w:asciiTheme="majorEastAsia" w:hAnsiTheme="majorEastAsia" w:eastAsiaTheme="majorEastAsia"/>
                <w:b/>
                <w:color w:val="auto"/>
                <w:sz w:val="22"/>
                <w:highlight w:val="none"/>
                <w:lang w:val="zh-CN"/>
              </w:rPr>
            </w:pPr>
            <w:r>
              <w:rPr>
                <w:rFonts w:hint="eastAsia" w:asciiTheme="majorEastAsia" w:hAnsiTheme="majorEastAsia" w:eastAsiaTheme="majorEastAsia"/>
                <w:color w:val="auto"/>
                <w:sz w:val="22"/>
                <w:szCs w:val="22"/>
                <w:highlight w:val="none"/>
                <w:lang w:val="zh-CN"/>
              </w:rPr>
              <w:t>资信部分（▲</w:t>
            </w:r>
            <w:r>
              <w:rPr>
                <w:rFonts w:hint="eastAsia" w:asciiTheme="majorEastAsia" w:hAnsiTheme="majorEastAsia" w:eastAsiaTheme="majorEastAsia"/>
                <w:color w:val="auto"/>
                <w:sz w:val="22"/>
                <w:szCs w:val="22"/>
                <w:highlight w:val="none"/>
                <w:u w:val="single"/>
                <w:lang w:val="zh-CN"/>
              </w:rPr>
              <w:t>序号1-</w:t>
            </w:r>
            <w:r>
              <w:rPr>
                <w:rFonts w:hint="eastAsia" w:asciiTheme="majorEastAsia" w:hAnsiTheme="majorEastAsia" w:eastAsiaTheme="majorEastAsia"/>
                <w:color w:val="auto"/>
                <w:sz w:val="22"/>
                <w:szCs w:val="22"/>
                <w:highlight w:val="none"/>
                <w:u w:val="single"/>
              </w:rPr>
              <w:t>2</w:t>
            </w:r>
            <w:r>
              <w:rPr>
                <w:rFonts w:hint="eastAsia" w:asciiTheme="majorEastAsia" w:hAnsiTheme="majorEastAsia" w:eastAsiaTheme="majorEastAsia"/>
                <w:color w:val="auto"/>
                <w:sz w:val="22"/>
                <w:szCs w:val="22"/>
                <w:highlight w:val="none"/>
                <w:u w:val="single"/>
                <w:lang w:val="zh-CN"/>
              </w:rPr>
              <w:t>项供应商必须提供，否则不能通过符合性审查的，责任自负，投标供应商法定代表人参加投标的。</w:t>
            </w:r>
            <w:r>
              <w:rPr>
                <w:rFonts w:hint="eastAsia" w:asciiTheme="majorEastAsia" w:hAnsiTheme="majorEastAsia" w:eastAsiaTheme="majorEastAsia"/>
                <w:color w:val="auto"/>
                <w:sz w:val="22"/>
                <w:szCs w:val="22"/>
                <w:highlight w:val="none"/>
                <w:lang w:val="zh-CN"/>
              </w:rPr>
              <w:t>）</w:t>
            </w:r>
          </w:p>
        </w:tc>
        <w:tc>
          <w:tcPr>
            <w:tcW w:w="1299" w:type="dxa"/>
          </w:tcPr>
          <w:p>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tcPr>
          <w:p>
            <w:pPr>
              <w:autoSpaceDE w:val="0"/>
              <w:autoSpaceDN w:val="0"/>
              <w:adjustRightInd w:val="0"/>
              <w:snapToGrid w:val="0"/>
              <w:spacing w:line="430" w:lineRule="atLeast"/>
              <w:jc w:val="center"/>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1</w:t>
            </w:r>
          </w:p>
        </w:tc>
        <w:tc>
          <w:tcPr>
            <w:tcW w:w="7879" w:type="dxa"/>
          </w:tcPr>
          <w:p>
            <w:pPr>
              <w:autoSpaceDE w:val="0"/>
              <w:autoSpaceDN w:val="0"/>
              <w:adjustRightInd w:val="0"/>
              <w:snapToGrid w:val="0"/>
              <w:spacing w:line="430" w:lineRule="atLeast"/>
              <w:rPr>
                <w:rFonts w:asciiTheme="majorEastAsia" w:hAnsiTheme="majorEastAsia" w:eastAsiaTheme="majorEastAsia"/>
                <w:b/>
                <w:color w:val="auto"/>
                <w:sz w:val="22"/>
                <w:highlight w:val="none"/>
                <w:lang w:val="zh-CN"/>
              </w:rPr>
            </w:pPr>
            <w:r>
              <w:rPr>
                <w:rFonts w:hint="eastAsia" w:asciiTheme="majorEastAsia" w:hAnsiTheme="majorEastAsia" w:eastAsiaTheme="majorEastAsia"/>
                <w:color w:val="auto"/>
                <w:sz w:val="22"/>
                <w:szCs w:val="22"/>
                <w:highlight w:val="none"/>
              </w:rPr>
              <w:t>投标函</w:t>
            </w:r>
          </w:p>
        </w:tc>
        <w:tc>
          <w:tcPr>
            <w:tcW w:w="1299" w:type="dxa"/>
          </w:tcPr>
          <w:p>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autoSpaceDE w:val="0"/>
              <w:autoSpaceDN w:val="0"/>
              <w:adjustRightInd w:val="0"/>
              <w:snapToGrid w:val="0"/>
              <w:spacing w:line="430" w:lineRule="atLeast"/>
              <w:jc w:val="center"/>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2</w:t>
            </w:r>
          </w:p>
        </w:tc>
        <w:tc>
          <w:tcPr>
            <w:tcW w:w="7879" w:type="dxa"/>
          </w:tcPr>
          <w:p>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法定代表人诚信投标承诺书</w:t>
            </w:r>
          </w:p>
        </w:tc>
        <w:tc>
          <w:tcPr>
            <w:tcW w:w="1299" w:type="dxa"/>
          </w:tcPr>
          <w:p>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autoSpaceDE w:val="0"/>
              <w:autoSpaceDN w:val="0"/>
              <w:adjustRightInd w:val="0"/>
              <w:snapToGrid w:val="0"/>
              <w:spacing w:line="430" w:lineRule="atLeast"/>
              <w:jc w:val="center"/>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3</w:t>
            </w:r>
          </w:p>
        </w:tc>
        <w:tc>
          <w:tcPr>
            <w:tcW w:w="7879" w:type="dxa"/>
          </w:tcPr>
          <w:p>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供应商相关资质、资信或信用证书、获奖证书等（如有则提供，扫描件加盖有效公章）</w:t>
            </w:r>
          </w:p>
        </w:tc>
        <w:tc>
          <w:tcPr>
            <w:tcW w:w="1299" w:type="dxa"/>
          </w:tcPr>
          <w:p>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tabs>
                <w:tab w:val="left" w:pos="4140"/>
              </w:tabs>
              <w:adjustRightInd w:val="0"/>
              <w:snapToGrid w:val="0"/>
              <w:spacing w:line="32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4</w:t>
            </w:r>
          </w:p>
        </w:tc>
        <w:tc>
          <w:tcPr>
            <w:tcW w:w="7879" w:type="dxa"/>
          </w:tcPr>
          <w:p>
            <w:pPr>
              <w:tabs>
                <w:tab w:val="left" w:pos="4140"/>
              </w:tabs>
              <w:adjustRightInd w:val="0"/>
              <w:snapToGrid w:val="0"/>
              <w:spacing w:line="320" w:lineRule="atLeas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类似业绩</w:t>
            </w:r>
          </w:p>
        </w:tc>
        <w:tc>
          <w:tcPr>
            <w:tcW w:w="1299" w:type="dxa"/>
          </w:tcPr>
          <w:p>
            <w:pPr>
              <w:autoSpaceDE w:val="0"/>
              <w:autoSpaceDN w:val="0"/>
              <w:adjustRightInd w:val="0"/>
              <w:snapToGrid w:val="0"/>
              <w:spacing w:line="430" w:lineRule="atLeast"/>
              <w:jc w:val="center"/>
              <w:rPr>
                <w:rFonts w:cs="仿宋_GB2312" w:asciiTheme="majorEastAsia" w:hAnsiTheme="majorEastAsia" w:eastAsiaTheme="majorEastAsia"/>
                <w:color w:val="auto"/>
                <w:sz w:val="22"/>
                <w:szCs w:val="22"/>
                <w:highlight w:val="none"/>
                <w:lang w:val="zh-CN"/>
              </w:rPr>
            </w:pPr>
            <w:r>
              <w:rPr>
                <w:rFonts w:hint="eastAsia" w:cs="Arial" w:asciiTheme="majorEastAsia" w:hAnsiTheme="majorEastAsia" w:eastAsiaTheme="majorEastAsia"/>
                <w:color w:val="auto"/>
                <w:sz w:val="22"/>
                <w:szCs w:val="22"/>
                <w:highlight w:val="none"/>
              </w:rPr>
              <w:t>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autoSpaceDE w:val="0"/>
              <w:autoSpaceDN w:val="0"/>
              <w:adjustRightInd w:val="0"/>
              <w:snapToGrid w:val="0"/>
              <w:spacing w:line="430" w:lineRule="atLeast"/>
              <w:jc w:val="center"/>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5</w:t>
            </w:r>
          </w:p>
        </w:tc>
        <w:tc>
          <w:tcPr>
            <w:tcW w:w="7879" w:type="dxa"/>
            <w:vAlign w:val="center"/>
          </w:tcPr>
          <w:p>
            <w:pPr>
              <w:tabs>
                <w:tab w:val="left" w:pos="4140"/>
              </w:tabs>
              <w:adjustRightInd w:val="0"/>
              <w:snapToGrid w:val="0"/>
              <w:spacing w:line="32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其它须说明的资料（如有则提供）</w:t>
            </w:r>
          </w:p>
        </w:tc>
        <w:tc>
          <w:tcPr>
            <w:tcW w:w="1299" w:type="dxa"/>
            <w:vAlign w:val="center"/>
          </w:tcPr>
          <w:p>
            <w:pPr>
              <w:tabs>
                <w:tab w:val="left" w:pos="4140"/>
              </w:tabs>
              <w:adjustRightInd w:val="0"/>
              <w:snapToGrid w:val="0"/>
              <w:spacing w:line="320" w:lineRule="atLeast"/>
              <w:jc w:val="center"/>
              <w:rPr>
                <w:rFonts w:asciiTheme="majorEastAsia" w:hAnsiTheme="majorEastAsia" w:eastAsiaTheme="maj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5" w:type="dxa"/>
            <w:gridSpan w:val="2"/>
          </w:tcPr>
          <w:p>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lang w:val="zh-CN"/>
              </w:rPr>
              <w:t>技术部分（如资料提供不齐全，将可能导致不利的评定）</w:t>
            </w:r>
          </w:p>
        </w:tc>
        <w:tc>
          <w:tcPr>
            <w:tcW w:w="1299" w:type="dxa"/>
          </w:tcPr>
          <w:p>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highlight w:val="none"/>
              </w:rPr>
              <w:t>6</w:t>
            </w:r>
          </w:p>
        </w:tc>
        <w:tc>
          <w:tcPr>
            <w:tcW w:w="7879" w:type="dxa"/>
          </w:tcPr>
          <w:p>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商务、技术偏离表</w:t>
            </w:r>
          </w:p>
        </w:tc>
        <w:tc>
          <w:tcPr>
            <w:tcW w:w="1299" w:type="dxa"/>
          </w:tcPr>
          <w:p>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szCs w:val="22"/>
                <w:highlight w:val="none"/>
              </w:rPr>
              <w:t>7</w:t>
            </w:r>
          </w:p>
        </w:tc>
        <w:tc>
          <w:tcPr>
            <w:tcW w:w="7879" w:type="dxa"/>
          </w:tcPr>
          <w:p>
            <w:pPr>
              <w:autoSpaceDE w:val="0"/>
              <w:autoSpaceDN w:val="0"/>
              <w:adjustRightInd w:val="0"/>
              <w:snapToGrid w:val="0"/>
              <w:spacing w:line="430" w:lineRule="atLeas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针对本项目的实施方案</w:t>
            </w:r>
          </w:p>
        </w:tc>
        <w:tc>
          <w:tcPr>
            <w:tcW w:w="1299" w:type="dxa"/>
          </w:tcPr>
          <w:p>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szCs w:val="22"/>
                <w:highlight w:val="none"/>
              </w:rPr>
              <w:t>8</w:t>
            </w:r>
          </w:p>
        </w:tc>
        <w:tc>
          <w:tcPr>
            <w:tcW w:w="7879" w:type="dxa"/>
            <w:vAlign w:val="center"/>
          </w:tcPr>
          <w:p>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针对本项目拟投入的项目组成员情况</w:t>
            </w:r>
          </w:p>
        </w:tc>
        <w:tc>
          <w:tcPr>
            <w:tcW w:w="1299" w:type="dxa"/>
            <w:vAlign w:val="center"/>
          </w:tcPr>
          <w:p>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附件十四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szCs w:val="22"/>
                <w:highlight w:val="none"/>
              </w:rPr>
              <w:t>9</w:t>
            </w:r>
          </w:p>
        </w:tc>
        <w:tc>
          <w:tcPr>
            <w:tcW w:w="7879" w:type="dxa"/>
            <w:vAlign w:val="center"/>
          </w:tcPr>
          <w:p>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cs="新宋体" w:asciiTheme="majorEastAsia" w:hAnsiTheme="majorEastAsia" w:eastAsiaTheme="majorEastAsia"/>
                <w:color w:val="auto"/>
                <w:sz w:val="22"/>
                <w:szCs w:val="22"/>
                <w:highlight w:val="none"/>
                <w:lang w:val="zh-CN"/>
              </w:rPr>
              <w:t>售后服务承诺：技术服务和售后服务的内容、措施、承诺，包括质保期、距采购人最近的服务网点的详细介绍，资质资格、技术力量、成立时间</w:t>
            </w:r>
          </w:p>
        </w:tc>
        <w:tc>
          <w:tcPr>
            <w:tcW w:w="1299" w:type="dxa"/>
            <w:vAlign w:val="center"/>
          </w:tcPr>
          <w:p>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szCs w:val="22"/>
                <w:highlight w:val="none"/>
              </w:rPr>
              <w:t>10</w:t>
            </w:r>
          </w:p>
        </w:tc>
        <w:tc>
          <w:tcPr>
            <w:tcW w:w="7879" w:type="dxa"/>
          </w:tcPr>
          <w:p>
            <w:pPr>
              <w:autoSpaceDE w:val="0"/>
              <w:autoSpaceDN w:val="0"/>
              <w:adjustRightInd w:val="0"/>
              <w:textAlignment w:val="bottom"/>
              <w:rPr>
                <w:rFonts w:cs="新宋体" w:asciiTheme="majorEastAsia" w:hAnsiTheme="majorEastAsia" w:eastAsiaTheme="majorEastAsia"/>
                <w:b/>
                <w:color w:val="auto"/>
                <w:sz w:val="22"/>
                <w:highlight w:val="none"/>
                <w:lang w:val="zh-CN"/>
              </w:rPr>
            </w:pPr>
            <w:r>
              <w:rPr>
                <w:rFonts w:hint="eastAsia" w:cs="新宋体" w:asciiTheme="majorEastAsia" w:hAnsiTheme="majorEastAsia" w:eastAsiaTheme="majorEastAsia"/>
                <w:color w:val="auto"/>
                <w:sz w:val="22"/>
                <w:szCs w:val="22"/>
                <w:highlight w:val="none"/>
                <w:lang w:val="zh-CN"/>
              </w:rPr>
              <w:t>技术服务、培训、质量保证、惩罚保证、优惠条件及其他承诺</w:t>
            </w:r>
          </w:p>
        </w:tc>
        <w:tc>
          <w:tcPr>
            <w:tcW w:w="1299" w:type="dxa"/>
            <w:vAlign w:val="center"/>
          </w:tcPr>
          <w:p>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szCs w:val="22"/>
                <w:highlight w:val="none"/>
              </w:rPr>
              <w:t>11</w:t>
            </w:r>
          </w:p>
        </w:tc>
        <w:tc>
          <w:tcPr>
            <w:tcW w:w="7879" w:type="dxa"/>
          </w:tcPr>
          <w:p>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根据采购文件中的采购内容与技术要求、评标细则，需要提供的其它文件和资料。</w:t>
            </w:r>
          </w:p>
        </w:tc>
        <w:tc>
          <w:tcPr>
            <w:tcW w:w="1299" w:type="dxa"/>
            <w:vAlign w:val="center"/>
          </w:tcPr>
          <w:p>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tcPr>
          <w:p>
            <w:pPr>
              <w:autoSpaceDE w:val="0"/>
              <w:autoSpaceDN w:val="0"/>
              <w:adjustRightInd w:val="0"/>
              <w:snapToGrid w:val="0"/>
              <w:spacing w:line="430" w:lineRule="atLeast"/>
              <w:jc w:val="center"/>
              <w:rPr>
                <w:rFonts w:asciiTheme="majorEastAsia" w:hAnsiTheme="majorEastAsia" w:eastAsiaTheme="majorEastAsia"/>
                <w:bCs/>
                <w:color w:val="auto"/>
                <w:sz w:val="22"/>
                <w:highlight w:val="none"/>
              </w:rPr>
            </w:pPr>
            <w:r>
              <w:rPr>
                <w:rFonts w:hint="eastAsia" w:asciiTheme="majorEastAsia" w:hAnsiTheme="majorEastAsia" w:eastAsiaTheme="majorEastAsia"/>
                <w:bCs/>
                <w:color w:val="auto"/>
                <w:sz w:val="22"/>
                <w:szCs w:val="22"/>
                <w:highlight w:val="none"/>
              </w:rPr>
              <w:t>12</w:t>
            </w:r>
          </w:p>
        </w:tc>
        <w:tc>
          <w:tcPr>
            <w:tcW w:w="7879" w:type="dxa"/>
          </w:tcPr>
          <w:p>
            <w:pPr>
              <w:autoSpaceDE w:val="0"/>
              <w:autoSpaceDN w:val="0"/>
              <w:adjustRightInd w:val="0"/>
              <w:snapToGrid w:val="0"/>
              <w:spacing w:line="430" w:lineRule="atLeast"/>
              <w:rPr>
                <w:rFonts w:asciiTheme="majorEastAsia" w:hAnsiTheme="majorEastAsia" w:eastAsiaTheme="majorEastAsia"/>
                <w:b/>
                <w:color w:val="auto"/>
                <w:sz w:val="22"/>
                <w:highlight w:val="none"/>
              </w:rPr>
            </w:pPr>
            <w:r>
              <w:rPr>
                <w:rFonts w:hint="eastAsia" w:asciiTheme="majorEastAsia" w:hAnsiTheme="majorEastAsia" w:eastAsiaTheme="majorEastAsia"/>
                <w:color w:val="auto"/>
                <w:sz w:val="22"/>
                <w:szCs w:val="22"/>
                <w:highlight w:val="none"/>
              </w:rPr>
              <w:t>其它供应商须说明的资料（如有则提供）</w:t>
            </w:r>
          </w:p>
        </w:tc>
        <w:tc>
          <w:tcPr>
            <w:tcW w:w="1299" w:type="dxa"/>
          </w:tcPr>
          <w:p>
            <w:pPr>
              <w:autoSpaceDE w:val="0"/>
              <w:autoSpaceDN w:val="0"/>
              <w:adjustRightInd w:val="0"/>
              <w:snapToGrid w:val="0"/>
              <w:spacing w:line="430" w:lineRule="atLeast"/>
              <w:jc w:val="center"/>
              <w:rPr>
                <w:rFonts w:asciiTheme="majorEastAsia" w:hAnsiTheme="majorEastAsia" w:eastAsiaTheme="majorEastAsia"/>
                <w:color w:val="auto"/>
                <w:sz w:val="22"/>
                <w:szCs w:val="22"/>
                <w:highlight w:val="none"/>
              </w:rPr>
            </w:pPr>
          </w:p>
        </w:tc>
      </w:tr>
    </w:tbl>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、投标文件编制</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3.1</w:t>
      </w:r>
      <w:r>
        <w:rPr>
          <w:rFonts w:hint="eastAsia" w:ascii="宋体" w:hAnsi="宋体" w:cs="宋体"/>
          <w:color w:val="auto"/>
          <w:sz w:val="22"/>
          <w:szCs w:val="22"/>
          <w:highlight w:val="none"/>
        </w:rPr>
        <w:t>本项目通过“政采云平台（</w:t>
      </w:r>
      <w:r>
        <w:rPr>
          <w:rFonts w:ascii="宋体" w:hAnsi="宋体" w:cs="宋体"/>
          <w:color w:val="auto"/>
          <w:sz w:val="22"/>
          <w:szCs w:val="22"/>
          <w:highlight w:val="none"/>
        </w:rPr>
        <w:t>www.zcygov.cn</w:t>
      </w:r>
      <w:r>
        <w:rPr>
          <w:rFonts w:hint="eastAsia" w:ascii="宋体" w:hAnsi="宋体" w:cs="宋体"/>
          <w:color w:val="auto"/>
          <w:sz w:val="22"/>
          <w:szCs w:val="22"/>
          <w:highlight w:val="none"/>
        </w:rPr>
        <w:t>）”实行在线投标响应（电子投标）。供应商应通过“政采云电子交易客户端”，并按照本采购文件和“政采云平台”的要求编制并加密投标文件。</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3.2</w:t>
      </w:r>
      <w:r>
        <w:rPr>
          <w:rFonts w:hint="eastAsia" w:ascii="宋体" w:hAnsi="宋体" w:cs="宋体"/>
          <w:color w:val="auto"/>
          <w:sz w:val="22"/>
          <w:szCs w:val="22"/>
          <w:highlight w:val="none"/>
        </w:rPr>
        <w:t>投标人应当按照本章节</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“投标文件组成”规定的内容及顺序在“政采云电子交易客户端”编制投标文件。其中</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“技术资信文件”中不得出现本项目投标报价，如因投标人原因提前泄露投标报价，是投标人的责任。</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3.3</w:t>
      </w:r>
      <w:r>
        <w:rPr>
          <w:rFonts w:hint="eastAsia" w:ascii="宋体" w:hAnsi="宋体" w:cs="宋体"/>
          <w:color w:val="auto"/>
          <w:sz w:val="22"/>
          <w:szCs w:val="22"/>
          <w:highlight w:val="none"/>
        </w:rPr>
        <w:t>本采购文件“投标文件格式”中有提供格式的，投标人须参照格式进行编制（格式中要求提供相关证明材料的还需后附相关证明材料），并按格式要求在指定位置根据要求进行签章，否则视为未提供；本文件“第六部分</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投标文件格式”未提供格式的，请各投标单位自行拟定格式，并加盖单位公章并由法定代表人或其授权代表签署（签字或盖章），否则视为未提供。</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3.4</w:t>
      </w:r>
      <w:r>
        <w:rPr>
          <w:rFonts w:hint="eastAsia" w:ascii="宋体" w:hAnsi="宋体" w:cs="宋体"/>
          <w:color w:val="auto"/>
          <w:sz w:val="22"/>
          <w:szCs w:val="22"/>
          <w:highlight w:val="none"/>
        </w:rPr>
        <w:t>投标文件内容不完整、编排混乱导致投标文件被误读、漏读或者查找不到相关内容的，是投标人的责任。</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3.5</w:t>
      </w:r>
      <w:r>
        <w:rPr>
          <w:rFonts w:hint="eastAsia" w:ascii="宋体" w:hAnsi="宋体" w:cs="宋体"/>
          <w:color w:val="auto"/>
          <w:sz w:val="22"/>
          <w:szCs w:val="22"/>
          <w:highlight w:val="none"/>
        </w:rPr>
        <w:t>投标文件因字迹潦草或表达不清所引起的后果由投标人负责。</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 xml:space="preserve">3.6 </w:t>
      </w:r>
      <w:r>
        <w:rPr>
          <w:rFonts w:hint="eastAsia" w:ascii="宋体" w:hAnsi="宋体" w:cs="宋体"/>
          <w:color w:val="auto"/>
          <w:sz w:val="22"/>
          <w:szCs w:val="22"/>
          <w:highlight w:val="none"/>
        </w:rPr>
        <w:t>投标人没有按照本章节</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“投标文件组成”要求提供全部资料，或者没有仔细阅读采购文件，或者没有对采购文件在各方面的要求作出实质性响应是投标人的风险，由此造成的一切后果由投标人自行承担。</w:t>
      </w:r>
    </w:p>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4</w:t>
      </w:r>
      <w:r>
        <w:rPr>
          <w:rFonts w:hint="eastAsia" w:ascii="宋体" w:hAnsi="宋体" w:cs="宋体"/>
          <w:color w:val="auto"/>
          <w:sz w:val="22"/>
          <w:szCs w:val="22"/>
          <w:highlight w:val="none"/>
        </w:rPr>
        <w:t>、投标文件的签章</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4.1</w:t>
      </w:r>
      <w:r>
        <w:rPr>
          <w:rFonts w:hint="eastAsia" w:ascii="宋体" w:hAnsi="宋体" w:cs="宋体"/>
          <w:color w:val="auto"/>
          <w:sz w:val="22"/>
          <w:szCs w:val="22"/>
          <w:highlight w:val="none"/>
        </w:rPr>
        <w:t>投标文件的签章要求：投标人须知前附表；</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4.2</w:t>
      </w:r>
      <w:r>
        <w:rPr>
          <w:rFonts w:hint="eastAsia" w:ascii="宋体" w:hAnsi="宋体" w:cs="宋体"/>
          <w:color w:val="auto"/>
          <w:sz w:val="22"/>
          <w:szCs w:val="22"/>
          <w:highlight w:val="none"/>
        </w:rPr>
        <w:t>投标文件应由投标人法定代表人或其授权代表签章，并时加盖投标人公章（电子签章）。</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4.3</w:t>
      </w:r>
      <w:r>
        <w:rPr>
          <w:rFonts w:hint="eastAsia" w:ascii="宋体" w:hAnsi="宋体" w:cs="宋体"/>
          <w:color w:val="auto"/>
          <w:sz w:val="22"/>
          <w:szCs w:val="22"/>
          <w:highlight w:val="none"/>
        </w:rPr>
        <w:t>电子签章操作指南详见采购公告附件《供应商项目采购</w:t>
      </w:r>
      <w:r>
        <w:rPr>
          <w:rFonts w:ascii="宋体" w:cs="宋体"/>
          <w:color w:val="auto"/>
          <w:sz w:val="22"/>
          <w:szCs w:val="22"/>
          <w:highlight w:val="none"/>
        </w:rPr>
        <w:t>-</w:t>
      </w:r>
      <w:r>
        <w:rPr>
          <w:rFonts w:hint="eastAsia" w:ascii="宋体" w:hAnsi="宋体" w:cs="宋体"/>
          <w:color w:val="auto"/>
          <w:sz w:val="22"/>
          <w:szCs w:val="22"/>
          <w:highlight w:val="none"/>
        </w:rPr>
        <w:t>电子招投标操作指南》。</w:t>
      </w:r>
    </w:p>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、投标文件的形式</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5.1</w:t>
      </w:r>
      <w:r>
        <w:rPr>
          <w:rFonts w:hint="eastAsia" w:ascii="宋体" w:hAnsi="宋体" w:cs="宋体"/>
          <w:color w:val="auto"/>
          <w:sz w:val="22"/>
          <w:szCs w:val="22"/>
          <w:highlight w:val="none"/>
        </w:rPr>
        <w:t>投标文件的形式：见投标人须知前附表；</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5.2</w:t>
      </w:r>
      <w:r>
        <w:rPr>
          <w:rFonts w:hint="eastAsia" w:ascii="宋体" w:hAnsi="宋体" w:cs="宋体"/>
          <w:color w:val="auto"/>
          <w:sz w:val="22"/>
          <w:szCs w:val="22"/>
          <w:highlight w:val="none"/>
        </w:rPr>
        <w:t>“电子加密投标文件”：“电子加密投标文件”是指通过“政采云电子交易客户端”完成投标文件编制后生成并加密的数据电文形式的投标文件。</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5.3</w:t>
      </w:r>
      <w:r>
        <w:rPr>
          <w:rFonts w:hint="eastAsia" w:ascii="宋体" w:hAnsi="宋体" w:cs="宋体"/>
          <w:color w:val="auto"/>
          <w:sz w:val="22"/>
          <w:szCs w:val="22"/>
          <w:highlight w:val="none"/>
        </w:rPr>
        <w:t>“备份投标文件”：“备份投标文件”是指与“电子加密投标文件”同时生成的数据电文形式的电子文件（备份标书），其他方式编制的“备份投标文件”视为无效的“备份投标文件”。</w:t>
      </w:r>
    </w:p>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6</w:t>
      </w:r>
      <w:r>
        <w:rPr>
          <w:rFonts w:hint="eastAsia" w:ascii="宋体" w:hAnsi="宋体" w:cs="宋体"/>
          <w:color w:val="auto"/>
          <w:sz w:val="22"/>
          <w:szCs w:val="22"/>
          <w:highlight w:val="none"/>
        </w:rPr>
        <w:t>、投标文件的份数</w:t>
      </w:r>
    </w:p>
    <w:p>
      <w:pPr>
        <w:autoSpaceDE w:val="0"/>
        <w:autoSpaceDN w:val="0"/>
        <w:adjustRightInd w:val="0"/>
        <w:spacing w:line="460" w:lineRule="atLeast"/>
        <w:ind w:firstLine="440" w:firstLineChars="200"/>
        <w:rPr>
          <w:rFonts w:ascii="宋体"/>
          <w:color w:val="auto"/>
          <w:sz w:val="22"/>
          <w:szCs w:val="22"/>
          <w:highlight w:val="none"/>
        </w:rPr>
      </w:pPr>
      <w:r>
        <w:rPr>
          <w:rFonts w:ascii="宋体" w:hAnsi="宋体" w:cs="宋体"/>
          <w:color w:val="auto"/>
          <w:sz w:val="22"/>
          <w:szCs w:val="22"/>
          <w:highlight w:val="none"/>
        </w:rPr>
        <w:t>6.1</w:t>
      </w:r>
      <w:r>
        <w:rPr>
          <w:rFonts w:hint="eastAsia" w:ascii="宋体" w:hAnsi="宋体" w:cs="宋体"/>
          <w:color w:val="auto"/>
          <w:sz w:val="22"/>
          <w:szCs w:val="22"/>
          <w:highlight w:val="none"/>
        </w:rPr>
        <w:t>投标文件的份数：见投标人须知前附表。</w:t>
      </w:r>
    </w:p>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7</w:t>
      </w:r>
      <w:r>
        <w:rPr>
          <w:rFonts w:hint="eastAsia" w:ascii="宋体" w:hAnsi="宋体" w:cs="宋体"/>
          <w:color w:val="auto"/>
          <w:sz w:val="22"/>
          <w:szCs w:val="22"/>
          <w:highlight w:val="none"/>
        </w:rPr>
        <w:t>、投标报价</w:t>
      </w:r>
      <w:bookmarkEnd w:id="41"/>
      <w:bookmarkEnd w:id="42"/>
    </w:p>
    <w:p>
      <w:pPr>
        <w:autoSpaceDE w:val="0"/>
        <w:autoSpaceDN w:val="0"/>
        <w:adjustRightInd w:val="0"/>
        <w:spacing w:line="460" w:lineRule="atLeast"/>
        <w:ind w:firstLine="440" w:firstLineChars="200"/>
        <w:textAlignment w:val="bottom"/>
        <w:rPr>
          <w:rFonts w:ascii="宋体"/>
          <w:color w:val="auto"/>
          <w:sz w:val="22"/>
          <w:szCs w:val="22"/>
          <w:highlight w:val="none"/>
        </w:rPr>
      </w:pPr>
      <w:bookmarkStart w:id="45" w:name="_Toc132122413"/>
      <w:bookmarkStart w:id="46" w:name="_Toc132122116"/>
      <w:r>
        <w:rPr>
          <w:rFonts w:ascii="宋体" w:hAnsi="宋体" w:cs="宋体"/>
          <w:color w:val="auto"/>
          <w:sz w:val="22"/>
          <w:szCs w:val="22"/>
          <w:highlight w:val="none"/>
        </w:rPr>
        <w:t>7.1</w:t>
      </w:r>
      <w:r>
        <w:rPr>
          <w:rFonts w:hint="eastAsia" w:ascii="宋体" w:hAnsi="宋体" w:cs="宋体"/>
          <w:color w:val="auto"/>
          <w:sz w:val="22"/>
          <w:szCs w:val="22"/>
          <w:highlight w:val="none"/>
        </w:rPr>
        <w:t>、供应商应按招标文件中《开标一览表》及《投标分项报价表》填写投标报价及分项报价。</w:t>
      </w:r>
    </w:p>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7.2</w:t>
      </w:r>
      <w:r>
        <w:rPr>
          <w:rFonts w:hint="eastAsia" w:ascii="宋体" w:hAnsi="宋体" w:cs="宋体"/>
          <w:color w:val="auto"/>
          <w:sz w:val="22"/>
          <w:szCs w:val="22"/>
          <w:highlight w:val="none"/>
        </w:rPr>
        <w:t>、本次招标只允许有一个报价，有选择的报价将不予接受。</w:t>
      </w:r>
    </w:p>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7.3</w:t>
      </w:r>
      <w:r>
        <w:rPr>
          <w:rFonts w:hint="eastAsia" w:ascii="宋体" w:hAnsi="宋体" w:cs="宋体"/>
          <w:color w:val="auto"/>
          <w:sz w:val="22"/>
          <w:szCs w:val="22"/>
          <w:highlight w:val="none"/>
        </w:rPr>
        <w:t>、投标报价应按包含以下费用。</w:t>
      </w:r>
    </w:p>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hint="eastAsia" w:ascii="宋体" w:hAnsi="宋体" w:cs="宋体"/>
          <w:color w:val="auto"/>
          <w:sz w:val="22"/>
          <w:szCs w:val="22"/>
          <w:highlight w:val="none"/>
        </w:rPr>
        <w:t>包括服务期的设备的供货、安装、维护、人工费（含工人工资、奖金、房补、劳保福利、社保、意外保险、工伤费、教育培训费、暂住费及处理一切伤亡事故等费用）、工具材料费、安全文明作业装备费、企业应缴税金和应得利润、应急、</w:t>
      </w:r>
      <w:r>
        <w:rPr>
          <w:rFonts w:hint="eastAsia" w:asciiTheme="minorEastAsia" w:hAnsiTheme="minorEastAsia" w:eastAsiaTheme="minorEastAsia"/>
          <w:color w:val="auto"/>
          <w:sz w:val="22"/>
          <w:szCs w:val="22"/>
          <w:highlight w:val="none"/>
        </w:rPr>
        <w:t>生活垃圾袋、拖把等消耗品</w:t>
      </w:r>
      <w:r>
        <w:rPr>
          <w:rFonts w:hint="eastAsia" w:ascii="宋体" w:hAnsi="宋体" w:cs="宋体"/>
          <w:color w:val="auto"/>
          <w:sz w:val="22"/>
          <w:szCs w:val="22"/>
          <w:highlight w:val="none"/>
        </w:rPr>
        <w:t>等完成合同所需的一切本身和不可或缺的所有工作开支、政策性文件规定计合同包含的所有风险、责任等各项全部费用并承担一切风险责任。</w:t>
      </w:r>
    </w:p>
    <w:p>
      <w:pPr>
        <w:autoSpaceDE w:val="0"/>
        <w:autoSpaceDN w:val="0"/>
        <w:adjustRightInd w:val="0"/>
        <w:spacing w:line="460" w:lineRule="atLeast"/>
        <w:ind w:firstLine="442" w:firstLineChars="200"/>
        <w:textAlignment w:val="bottom"/>
        <w:rPr>
          <w:rFonts w:ascii="宋体"/>
          <w:b/>
          <w:bCs/>
          <w:color w:val="auto"/>
          <w:sz w:val="22"/>
          <w:szCs w:val="22"/>
          <w:highlight w:val="none"/>
          <w:u w:val="single"/>
        </w:rPr>
      </w:pPr>
      <w:r>
        <w:rPr>
          <w:rFonts w:hint="eastAsia" w:ascii="宋体" w:hAnsi="宋体" w:cs="宋体"/>
          <w:b/>
          <w:bCs/>
          <w:color w:val="auto"/>
          <w:sz w:val="22"/>
          <w:szCs w:val="22"/>
          <w:highlight w:val="none"/>
          <w:u w:val="single"/>
        </w:rPr>
        <w:t>供应商在投标报价中应充分考虑所有可能发生的费用，否则采购人将视投标报价中已包括所有费用。</w:t>
      </w:r>
    </w:p>
    <w:p>
      <w:pPr>
        <w:autoSpaceDE w:val="0"/>
        <w:autoSpaceDN w:val="0"/>
        <w:adjustRightInd w:val="0"/>
        <w:spacing w:line="460" w:lineRule="atLeast"/>
        <w:ind w:firstLine="442" w:firstLineChars="200"/>
        <w:textAlignment w:val="bottom"/>
        <w:rPr>
          <w:rFonts w:ascii="宋体"/>
          <w:color w:val="auto"/>
          <w:sz w:val="22"/>
          <w:szCs w:val="22"/>
          <w:highlight w:val="none"/>
          <w:u w:val="single"/>
        </w:rPr>
      </w:pPr>
      <w:r>
        <w:rPr>
          <w:rFonts w:hint="eastAsia" w:ascii="宋体" w:hAnsi="宋体" w:cs="宋体"/>
          <w:b/>
          <w:bCs/>
          <w:color w:val="auto"/>
          <w:sz w:val="22"/>
          <w:szCs w:val="22"/>
          <w:highlight w:val="none"/>
          <w:u w:val="single"/>
        </w:rPr>
        <w:t>供应商对在合同执行中，除上述费用及招标文件规定的由中标供应商负责的工作范围以外需要采购人协调或提供便利的工作应当在投标文件中说明。</w:t>
      </w:r>
    </w:p>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hint="eastAsia" w:ascii="宋体" w:hAnsi="宋体" w:cs="宋体"/>
          <w:color w:val="auto"/>
          <w:sz w:val="22"/>
          <w:szCs w:val="22"/>
          <w:highlight w:val="none"/>
        </w:rPr>
        <w:t>填写报价表格时，各项费用应如实填写。</w:t>
      </w:r>
    </w:p>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8</w:t>
      </w:r>
      <w:r>
        <w:rPr>
          <w:rFonts w:hint="eastAsia" w:ascii="宋体" w:hAnsi="宋体" w:cs="宋体"/>
          <w:color w:val="auto"/>
          <w:sz w:val="22"/>
          <w:szCs w:val="22"/>
          <w:highlight w:val="none"/>
        </w:rPr>
        <w:t>、采购人要求分类报价是为了方便评标，但在任何情况下不限制采购人以其认为最合适的条款签订合同的权利。</w:t>
      </w:r>
    </w:p>
    <w:bookmarkEnd w:id="45"/>
    <w:bookmarkEnd w:id="46"/>
    <w:p>
      <w:pPr>
        <w:autoSpaceDE w:val="0"/>
        <w:autoSpaceDN w:val="0"/>
        <w:adjustRightInd w:val="0"/>
        <w:spacing w:line="460" w:lineRule="atLeast"/>
        <w:ind w:firstLine="440" w:firstLineChars="200"/>
        <w:textAlignment w:val="bottom"/>
        <w:rPr>
          <w:rFonts w:ascii="宋体"/>
          <w:color w:val="auto"/>
          <w:sz w:val="22"/>
          <w:szCs w:val="22"/>
          <w:highlight w:val="none"/>
        </w:rPr>
      </w:pPr>
      <w:bookmarkStart w:id="47" w:name="_Toc132122117"/>
      <w:bookmarkStart w:id="48" w:name="_Toc132122414"/>
      <w:bookmarkStart w:id="49" w:name="_Toc132123440"/>
      <w:bookmarkStart w:id="50" w:name="_Toc132126155"/>
      <w:bookmarkStart w:id="51" w:name="_Toc132123635"/>
      <w:bookmarkStart w:id="52" w:name="_Toc132125038"/>
      <w:bookmarkStart w:id="53" w:name="_Toc332809833"/>
      <w:bookmarkStart w:id="54" w:name="_Toc132125575"/>
      <w:bookmarkStart w:id="55" w:name="_Toc132122120"/>
      <w:bookmarkStart w:id="56" w:name="_Toc132123882"/>
      <w:bookmarkStart w:id="57" w:name="_Toc132123548"/>
      <w:bookmarkStart w:id="58" w:name="_Toc132655777"/>
      <w:bookmarkStart w:id="59" w:name="_Toc132123839"/>
      <w:bookmarkStart w:id="60" w:name="_Toc132125984"/>
      <w:bookmarkStart w:id="61" w:name="_Toc132125152"/>
      <w:bookmarkStart w:id="62" w:name="_Toc132124595"/>
      <w:bookmarkStart w:id="63" w:name="_Toc132122417"/>
      <w:bookmarkStart w:id="64" w:name="_Toc132125096"/>
      <w:r>
        <w:rPr>
          <w:rFonts w:ascii="宋体" w:hAnsi="宋体" w:cs="宋体"/>
          <w:color w:val="auto"/>
          <w:sz w:val="22"/>
          <w:szCs w:val="22"/>
          <w:highlight w:val="none"/>
        </w:rPr>
        <w:t>9</w:t>
      </w:r>
      <w:r>
        <w:rPr>
          <w:rFonts w:hint="eastAsia" w:ascii="宋体" w:hAnsi="宋体" w:cs="宋体"/>
          <w:color w:val="auto"/>
          <w:sz w:val="22"/>
          <w:szCs w:val="22"/>
          <w:highlight w:val="none"/>
        </w:rPr>
        <w:t>、投标文件的有效期</w:t>
      </w:r>
      <w:bookmarkEnd w:id="47"/>
      <w:bookmarkEnd w:id="48"/>
    </w:p>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 xml:space="preserve">9.1 </w:t>
      </w:r>
      <w:r>
        <w:rPr>
          <w:rFonts w:hint="eastAsia" w:ascii="宋体" w:hAnsi="宋体" w:cs="宋体"/>
          <w:color w:val="auto"/>
          <w:sz w:val="22"/>
          <w:szCs w:val="22"/>
          <w:highlight w:val="none"/>
        </w:rPr>
        <w:t>自投标截止时间起</w:t>
      </w:r>
      <w:r>
        <w:rPr>
          <w:rFonts w:ascii="宋体" w:hAnsi="宋体" w:cs="宋体"/>
          <w:color w:val="auto"/>
          <w:sz w:val="22"/>
          <w:szCs w:val="22"/>
          <w:highlight w:val="none"/>
        </w:rPr>
        <w:t>90</w:t>
      </w:r>
      <w:r>
        <w:rPr>
          <w:rFonts w:hint="eastAsia" w:ascii="宋体" w:hAnsi="宋体" w:cs="宋体"/>
          <w:color w:val="auto"/>
          <w:sz w:val="22"/>
          <w:szCs w:val="22"/>
          <w:highlight w:val="none"/>
        </w:rPr>
        <w:t>天内，投标文件应保持有效。有效期短于这个规定期限的投标将被拒绝。</w:t>
      </w:r>
    </w:p>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 xml:space="preserve">9.2 </w:t>
      </w:r>
      <w:r>
        <w:rPr>
          <w:rFonts w:hint="eastAsia" w:ascii="宋体" w:hAnsi="宋体" w:cs="宋体"/>
          <w:color w:val="auto"/>
          <w:sz w:val="22"/>
          <w:szCs w:val="22"/>
          <w:highlight w:val="none"/>
        </w:rPr>
        <w:t>在特殊情况下，采购人可与供应商协商延长投标文件的有效期，这种要求和答复均应以书面形式进行。</w:t>
      </w:r>
    </w:p>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 xml:space="preserve">9.3 </w:t>
      </w:r>
      <w:r>
        <w:rPr>
          <w:rFonts w:hint="eastAsia" w:ascii="宋体" w:hAnsi="宋体" w:cs="宋体"/>
          <w:color w:val="auto"/>
          <w:sz w:val="22"/>
          <w:szCs w:val="22"/>
          <w:highlight w:val="none"/>
        </w:rPr>
        <w:t>供应商可拒绝接受延期要求。同意延长有效期的供应商不能修改投标文件。</w:t>
      </w:r>
    </w:p>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10</w:t>
      </w:r>
      <w:r>
        <w:rPr>
          <w:rFonts w:hint="eastAsia" w:ascii="宋体" w:hAnsi="宋体" w:cs="宋体"/>
          <w:color w:val="auto"/>
          <w:sz w:val="22"/>
          <w:szCs w:val="22"/>
          <w:highlight w:val="none"/>
        </w:rPr>
        <w:t>、投标人如发生下列情况之一，将上报同级政府采购监督管理部门，追究其责任：</w:t>
      </w:r>
    </w:p>
    <w:p>
      <w:pPr>
        <w:pStyle w:val="74"/>
        <w:numPr>
          <w:ilvl w:val="0"/>
          <w:numId w:val="2"/>
        </w:numPr>
        <w:autoSpaceDE w:val="0"/>
        <w:autoSpaceDN w:val="0"/>
        <w:adjustRightInd w:val="0"/>
        <w:spacing w:line="460" w:lineRule="atLeast"/>
        <w:ind w:firstLineChars="0"/>
        <w:textAlignment w:val="bottom"/>
        <w:rPr>
          <w:rFonts w:ascii="宋体"/>
          <w:color w:val="auto"/>
          <w:sz w:val="22"/>
          <w:szCs w:val="22"/>
          <w:highlight w:val="none"/>
        </w:rPr>
      </w:pPr>
      <w:r>
        <w:rPr>
          <w:rFonts w:hint="eastAsia" w:ascii="宋体" w:hAnsi="宋体" w:cs="宋体"/>
          <w:color w:val="auto"/>
          <w:sz w:val="22"/>
          <w:szCs w:val="22"/>
          <w:highlight w:val="none"/>
        </w:rPr>
        <w:t>投标人在采购文件规定的投标有效期内撤回投标；</w:t>
      </w:r>
    </w:p>
    <w:p>
      <w:pPr>
        <w:pStyle w:val="74"/>
        <w:numPr>
          <w:ilvl w:val="0"/>
          <w:numId w:val="2"/>
        </w:numPr>
        <w:autoSpaceDE w:val="0"/>
        <w:autoSpaceDN w:val="0"/>
        <w:adjustRightInd w:val="0"/>
        <w:spacing w:line="460" w:lineRule="atLeast"/>
        <w:ind w:firstLineChars="0"/>
        <w:textAlignment w:val="bottom"/>
        <w:rPr>
          <w:rFonts w:ascii="宋体"/>
          <w:color w:val="auto"/>
          <w:sz w:val="22"/>
          <w:szCs w:val="22"/>
          <w:highlight w:val="none"/>
        </w:rPr>
      </w:pPr>
      <w:r>
        <w:rPr>
          <w:rFonts w:hint="eastAsia" w:ascii="宋体" w:hAnsi="宋体" w:cs="宋体"/>
          <w:color w:val="auto"/>
          <w:sz w:val="22"/>
          <w:szCs w:val="22"/>
          <w:highlight w:val="none"/>
        </w:rPr>
        <w:t>中标人未按中标通知书中规定的时间与采购人签订合同；</w:t>
      </w:r>
    </w:p>
    <w:p>
      <w:pPr>
        <w:pStyle w:val="74"/>
        <w:numPr>
          <w:ilvl w:val="0"/>
          <w:numId w:val="2"/>
        </w:numPr>
        <w:autoSpaceDE w:val="0"/>
        <w:autoSpaceDN w:val="0"/>
        <w:adjustRightInd w:val="0"/>
        <w:spacing w:line="460" w:lineRule="atLeast"/>
        <w:ind w:firstLineChars="0"/>
        <w:textAlignment w:val="bottom"/>
        <w:rPr>
          <w:rFonts w:ascii="宋体"/>
          <w:color w:val="auto"/>
          <w:sz w:val="22"/>
          <w:szCs w:val="22"/>
          <w:highlight w:val="none"/>
        </w:rPr>
      </w:pPr>
      <w:r>
        <w:rPr>
          <w:rFonts w:hint="eastAsia" w:ascii="宋体" w:hAnsi="宋体" w:cs="宋体"/>
          <w:color w:val="auto"/>
          <w:sz w:val="22"/>
          <w:szCs w:val="22"/>
          <w:highlight w:val="none"/>
        </w:rPr>
        <w:t>投标人在采购文件中提供虚假技术指标及参数，经评标委员会确认属实的。</w:t>
      </w:r>
    </w:p>
    <w:p>
      <w:pPr>
        <w:pStyle w:val="74"/>
        <w:numPr>
          <w:ilvl w:val="0"/>
          <w:numId w:val="2"/>
        </w:numPr>
        <w:autoSpaceDE w:val="0"/>
        <w:autoSpaceDN w:val="0"/>
        <w:adjustRightInd w:val="0"/>
        <w:spacing w:line="460" w:lineRule="atLeast"/>
        <w:ind w:firstLineChars="0"/>
        <w:textAlignment w:val="bottom"/>
        <w:rPr>
          <w:rFonts w:ascii="宋体"/>
          <w:color w:val="auto"/>
          <w:sz w:val="22"/>
          <w:szCs w:val="22"/>
          <w:highlight w:val="none"/>
        </w:rPr>
      </w:pPr>
      <w:r>
        <w:rPr>
          <w:rFonts w:hint="eastAsia" w:ascii="宋体" w:hAnsi="宋体" w:cs="宋体"/>
          <w:color w:val="auto"/>
          <w:sz w:val="22"/>
          <w:szCs w:val="22"/>
          <w:highlight w:val="none"/>
        </w:rPr>
        <w:t>经同级政府采购监督管理部门审查认定投标人有违反《中华人民共和国政府采购法》等有关法律法规的行为。</w:t>
      </w:r>
    </w:p>
    <w:p>
      <w:pPr>
        <w:widowControl/>
        <w:autoSpaceDE w:val="0"/>
        <w:autoSpaceDN w:val="0"/>
        <w:adjustRightInd w:val="0"/>
        <w:spacing w:line="460" w:lineRule="atLeast"/>
        <w:textAlignment w:val="bottom"/>
        <w:rPr>
          <w:rFonts w:ascii="宋体"/>
          <w:b/>
          <w:bCs/>
          <w:color w:val="auto"/>
          <w:sz w:val="22"/>
          <w:szCs w:val="22"/>
          <w:highlight w:val="none"/>
        </w:rPr>
      </w:pPr>
      <w:bookmarkStart w:id="65" w:name="_Toc132123439"/>
      <w:bookmarkStart w:id="66" w:name="_Toc132126154"/>
      <w:bookmarkStart w:id="67" w:name="_Toc132122119"/>
      <w:bookmarkStart w:id="68" w:name="_Toc132125151"/>
      <w:bookmarkStart w:id="69" w:name="_Toc132123547"/>
      <w:bookmarkStart w:id="70" w:name="_Toc132123838"/>
      <w:bookmarkStart w:id="71" w:name="_Toc132125574"/>
      <w:bookmarkStart w:id="72" w:name="_Toc132125095"/>
      <w:bookmarkStart w:id="73" w:name="_Toc132122416"/>
      <w:bookmarkStart w:id="74" w:name="_Toc132125983"/>
      <w:bookmarkStart w:id="75" w:name="_Toc132123634"/>
      <w:bookmarkStart w:id="76" w:name="_Toc132125037"/>
      <w:bookmarkStart w:id="77" w:name="_Toc132124594"/>
      <w:bookmarkStart w:id="78" w:name="_Toc496116253"/>
      <w:bookmarkStart w:id="79" w:name="_Toc132123881"/>
      <w:bookmarkStart w:id="80" w:name="_Toc132655776"/>
      <w:r>
        <w:rPr>
          <w:rFonts w:hint="eastAsia" w:ascii="宋体" w:hAnsi="宋体" w:cs="宋体"/>
          <w:b/>
          <w:bCs/>
          <w:color w:val="auto"/>
          <w:sz w:val="22"/>
          <w:szCs w:val="22"/>
          <w:highlight w:val="none"/>
        </w:rPr>
        <w:t>五、投标文件的密封</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、投标文件的递交</w:t>
      </w:r>
    </w:p>
    <w:p>
      <w:pPr>
        <w:autoSpaceDE w:val="0"/>
        <w:autoSpaceDN w:val="0"/>
        <w:adjustRightInd w:val="0"/>
        <w:spacing w:line="460" w:lineRule="atLeast"/>
        <w:ind w:firstLine="440" w:firstLineChars="200"/>
        <w:textAlignment w:val="bottom"/>
        <w:rPr>
          <w:rFonts w:ascii="宋体"/>
          <w:color w:val="auto"/>
          <w:kern w:val="0"/>
          <w:sz w:val="22"/>
          <w:szCs w:val="22"/>
          <w:highlight w:val="none"/>
        </w:rPr>
      </w:pPr>
      <w:r>
        <w:rPr>
          <w:rFonts w:ascii="宋体" w:hAnsi="宋体" w:cs="宋体"/>
          <w:color w:val="auto"/>
          <w:sz w:val="22"/>
          <w:szCs w:val="22"/>
          <w:highlight w:val="none"/>
        </w:rPr>
        <w:t>1.1</w:t>
      </w:r>
      <w:r>
        <w:rPr>
          <w:rFonts w:hint="eastAsia" w:ascii="宋体" w:hAnsi="宋体" w:cs="宋体"/>
          <w:color w:val="auto"/>
          <w:sz w:val="22"/>
          <w:szCs w:val="22"/>
          <w:highlight w:val="none"/>
        </w:rPr>
        <w:t>投标文件的上传、递交：见投标人须知前附表。</w:t>
      </w:r>
    </w:p>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“电子加密投标文件”解密和异常情况处理。</w:t>
      </w:r>
    </w:p>
    <w:p>
      <w:pPr>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2.1</w:t>
      </w:r>
      <w:r>
        <w:rPr>
          <w:rFonts w:hint="eastAsia" w:ascii="宋体" w:hAnsi="宋体" w:cs="宋体"/>
          <w:color w:val="auto"/>
          <w:sz w:val="22"/>
          <w:szCs w:val="22"/>
          <w:highlight w:val="none"/>
        </w:rPr>
        <w:t>“电子加密投标文件”解密：见投标人须知前附表。</w:t>
      </w:r>
    </w:p>
    <w:p>
      <w:pPr>
        <w:autoSpaceDE w:val="0"/>
        <w:autoSpaceDN w:val="0"/>
        <w:adjustRightInd w:val="0"/>
        <w:spacing w:line="460" w:lineRule="atLeast"/>
        <w:ind w:firstLine="442" w:firstLineChars="200"/>
        <w:textAlignment w:val="bottom"/>
        <w:rPr>
          <w:rFonts w:ascii="宋体"/>
          <w:b/>
          <w:bCs/>
          <w:color w:val="auto"/>
          <w:kern w:val="0"/>
          <w:sz w:val="22"/>
          <w:szCs w:val="22"/>
          <w:highlight w:val="none"/>
        </w:rPr>
      </w:pPr>
      <w:r>
        <w:rPr>
          <w:rFonts w:ascii="宋体" w:hAnsi="宋体" w:cs="宋体"/>
          <w:b/>
          <w:bCs/>
          <w:color w:val="auto"/>
          <w:kern w:val="0"/>
          <w:sz w:val="22"/>
          <w:szCs w:val="22"/>
          <w:highlight w:val="none"/>
        </w:rPr>
        <w:t>3</w:t>
      </w:r>
      <w:r>
        <w:rPr>
          <w:rFonts w:hint="eastAsia" w:ascii="宋体" w:hAnsi="宋体" w:cs="宋体"/>
          <w:b/>
          <w:bCs/>
          <w:color w:val="auto"/>
          <w:kern w:val="0"/>
          <w:sz w:val="22"/>
          <w:szCs w:val="22"/>
          <w:highlight w:val="none"/>
        </w:rPr>
        <w:t>、</w:t>
      </w:r>
      <w:r>
        <w:rPr>
          <w:rFonts w:ascii="宋体" w:hAnsi="宋体" w:cs="宋体"/>
          <w:b/>
          <w:bCs/>
          <w:color w:val="auto"/>
          <w:kern w:val="0"/>
          <w:sz w:val="22"/>
          <w:szCs w:val="22"/>
          <w:highlight w:val="none"/>
        </w:rPr>
        <w:t xml:space="preserve"> </w:t>
      </w:r>
      <w:r>
        <w:rPr>
          <w:rFonts w:hint="eastAsia" w:ascii="宋体" w:hAnsi="宋体" w:cs="宋体"/>
          <w:b/>
          <w:bCs/>
          <w:color w:val="auto"/>
          <w:kern w:val="0"/>
          <w:sz w:val="22"/>
          <w:szCs w:val="22"/>
          <w:highlight w:val="none"/>
        </w:rPr>
        <w:t>投标文件的补充、修改或撤回</w:t>
      </w:r>
    </w:p>
    <w:p>
      <w:pPr>
        <w:autoSpaceDE w:val="0"/>
        <w:autoSpaceDN w:val="0"/>
        <w:adjustRightInd w:val="0"/>
        <w:spacing w:line="460" w:lineRule="atLeast"/>
        <w:ind w:firstLine="440" w:firstLineChars="200"/>
        <w:textAlignment w:val="bottom"/>
        <w:rPr>
          <w:rFonts w:ascii="宋体"/>
          <w:color w:val="auto"/>
          <w:kern w:val="0"/>
          <w:sz w:val="22"/>
          <w:szCs w:val="22"/>
          <w:highlight w:val="none"/>
        </w:rPr>
      </w:pPr>
      <w:r>
        <w:rPr>
          <w:rFonts w:ascii="宋体" w:hAnsi="宋体" w:cs="宋体"/>
          <w:color w:val="auto"/>
          <w:kern w:val="0"/>
          <w:sz w:val="22"/>
          <w:szCs w:val="22"/>
          <w:highlight w:val="none"/>
        </w:rPr>
        <w:t>3.1</w:t>
      </w:r>
      <w:r>
        <w:rPr>
          <w:rFonts w:hint="eastAsia" w:ascii="宋体" w:hAnsi="宋体" w:cs="宋体"/>
          <w:color w:val="auto"/>
          <w:kern w:val="0"/>
          <w:sz w:val="22"/>
          <w:szCs w:val="22"/>
          <w:highlight w:val="none"/>
        </w:rPr>
        <w:t>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autoSpaceDE w:val="0"/>
        <w:autoSpaceDN w:val="0"/>
        <w:adjustRightInd w:val="0"/>
        <w:spacing w:line="460" w:lineRule="atLeast"/>
        <w:ind w:firstLine="440" w:firstLineChars="200"/>
        <w:textAlignment w:val="bottom"/>
        <w:rPr>
          <w:rFonts w:ascii="宋体"/>
          <w:color w:val="auto"/>
          <w:kern w:val="0"/>
          <w:sz w:val="22"/>
          <w:szCs w:val="22"/>
          <w:highlight w:val="none"/>
        </w:rPr>
      </w:pPr>
      <w:r>
        <w:rPr>
          <w:rFonts w:ascii="宋体" w:hAnsi="宋体" w:cs="宋体"/>
          <w:color w:val="auto"/>
          <w:kern w:val="0"/>
          <w:sz w:val="22"/>
          <w:szCs w:val="22"/>
          <w:highlight w:val="none"/>
        </w:rPr>
        <w:t>3.2</w:t>
      </w:r>
      <w:r>
        <w:rPr>
          <w:rFonts w:hint="eastAsia" w:ascii="宋体" w:hAnsi="宋体" w:cs="宋体"/>
          <w:color w:val="auto"/>
          <w:kern w:val="0"/>
          <w:sz w:val="22"/>
          <w:szCs w:val="22"/>
          <w:highlight w:val="none"/>
        </w:rPr>
        <w:t>投标文件递交截止时间后，投标人不得撤回、修改投标文件。</w:t>
      </w:r>
    </w:p>
    <w:p>
      <w:pPr>
        <w:autoSpaceDE w:val="0"/>
        <w:autoSpaceDN w:val="0"/>
        <w:adjustRightInd w:val="0"/>
        <w:spacing w:line="460" w:lineRule="atLeast"/>
        <w:ind w:firstLine="442" w:firstLineChars="200"/>
        <w:textAlignment w:val="bottom"/>
        <w:rPr>
          <w:rFonts w:ascii="宋体"/>
          <w:color w:val="auto"/>
          <w:kern w:val="0"/>
          <w:sz w:val="22"/>
          <w:szCs w:val="22"/>
          <w:highlight w:val="none"/>
        </w:rPr>
      </w:pPr>
      <w:r>
        <w:rPr>
          <w:rFonts w:ascii="宋体" w:hAnsi="宋体" w:cs="宋体"/>
          <w:b/>
          <w:bCs/>
          <w:color w:val="auto"/>
          <w:kern w:val="0"/>
          <w:sz w:val="22"/>
          <w:szCs w:val="22"/>
          <w:highlight w:val="none"/>
        </w:rPr>
        <w:t>4</w:t>
      </w:r>
      <w:r>
        <w:rPr>
          <w:rFonts w:hint="eastAsia" w:ascii="宋体" w:hAnsi="宋体" w:cs="宋体"/>
          <w:b/>
          <w:bCs/>
          <w:color w:val="auto"/>
          <w:kern w:val="0"/>
          <w:sz w:val="22"/>
          <w:szCs w:val="22"/>
          <w:highlight w:val="none"/>
        </w:rPr>
        <w:t>、投标文件的备选方案</w:t>
      </w:r>
    </w:p>
    <w:p>
      <w:pPr>
        <w:autoSpaceDE w:val="0"/>
        <w:autoSpaceDN w:val="0"/>
        <w:adjustRightInd w:val="0"/>
        <w:spacing w:line="460" w:lineRule="atLeast"/>
        <w:ind w:firstLine="440" w:firstLineChars="200"/>
        <w:textAlignment w:val="bottom"/>
        <w:rPr>
          <w:rFonts w:ascii="宋体"/>
          <w:color w:val="auto"/>
          <w:kern w:val="0"/>
          <w:sz w:val="22"/>
          <w:szCs w:val="22"/>
          <w:highlight w:val="none"/>
        </w:rPr>
      </w:pPr>
      <w:r>
        <w:rPr>
          <w:rFonts w:ascii="宋体" w:hAnsi="宋体" w:cs="宋体"/>
          <w:color w:val="auto"/>
          <w:kern w:val="0"/>
          <w:sz w:val="22"/>
          <w:szCs w:val="22"/>
          <w:highlight w:val="none"/>
        </w:rPr>
        <w:t>4.1</w:t>
      </w:r>
      <w:r>
        <w:rPr>
          <w:rFonts w:hint="eastAsia" w:ascii="宋体" w:hAnsi="宋体" w:cs="宋体"/>
          <w:color w:val="auto"/>
          <w:kern w:val="0"/>
          <w:sz w:val="22"/>
          <w:szCs w:val="22"/>
          <w:highlight w:val="none"/>
        </w:rPr>
        <w:t>投标人不得递交任何的投标备选（替代）方案，否则其投标文件将作无效标处理。与“电子加密投标文件”同时生成的“备份投标文件”不是投标备选（替代）方案。</w:t>
      </w:r>
    </w:p>
    <w:p>
      <w:pPr>
        <w:widowControl/>
        <w:autoSpaceDE w:val="0"/>
        <w:autoSpaceDN w:val="0"/>
        <w:adjustRightInd w:val="0"/>
        <w:spacing w:line="460" w:lineRule="atLeast"/>
        <w:textAlignment w:val="bottom"/>
        <w:rPr>
          <w:rFonts w:ascii="宋体"/>
          <w:b/>
          <w:bCs/>
          <w:color w:val="auto"/>
          <w:sz w:val="22"/>
          <w:szCs w:val="22"/>
          <w:highlight w:val="none"/>
        </w:rPr>
      </w:pPr>
      <w:bookmarkStart w:id="81" w:name="_Toc496116254"/>
      <w:r>
        <w:rPr>
          <w:rFonts w:hint="eastAsia" w:ascii="宋体" w:hAnsi="宋体" w:cs="宋体"/>
          <w:b/>
          <w:bCs/>
          <w:color w:val="auto"/>
          <w:sz w:val="22"/>
          <w:szCs w:val="22"/>
          <w:highlight w:val="none"/>
        </w:rPr>
        <w:t>六、开标和评标</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p>
    <w:p>
      <w:pPr>
        <w:autoSpaceDE w:val="0"/>
        <w:autoSpaceDN w:val="0"/>
        <w:adjustRightInd w:val="0"/>
        <w:spacing w:line="460" w:lineRule="atLeast"/>
        <w:ind w:firstLine="442" w:firstLineChars="200"/>
        <w:textAlignment w:val="bottom"/>
        <w:rPr>
          <w:rFonts w:ascii="宋体"/>
          <w:b/>
          <w:bCs/>
          <w:color w:val="auto"/>
          <w:kern w:val="0"/>
          <w:sz w:val="22"/>
          <w:szCs w:val="22"/>
          <w:highlight w:val="none"/>
        </w:rPr>
      </w:pPr>
      <w:r>
        <w:rPr>
          <w:rFonts w:ascii="宋体" w:hAnsi="宋体" w:cs="宋体"/>
          <w:b/>
          <w:bCs/>
          <w:color w:val="auto"/>
          <w:kern w:val="0"/>
          <w:sz w:val="22"/>
          <w:szCs w:val="22"/>
          <w:highlight w:val="none"/>
        </w:rPr>
        <w:t>1</w:t>
      </w:r>
      <w:r>
        <w:rPr>
          <w:rFonts w:hint="eastAsia" w:ascii="宋体" w:hAnsi="宋体" w:cs="宋体"/>
          <w:b/>
          <w:bCs/>
          <w:color w:val="auto"/>
          <w:kern w:val="0"/>
          <w:sz w:val="22"/>
          <w:szCs w:val="22"/>
          <w:highlight w:val="none"/>
        </w:rPr>
        <w:t>、开标形式</w:t>
      </w:r>
    </w:p>
    <w:p>
      <w:pPr>
        <w:autoSpaceDE w:val="0"/>
        <w:autoSpaceDN w:val="0"/>
        <w:adjustRightInd w:val="0"/>
        <w:spacing w:line="460" w:lineRule="atLeast"/>
        <w:ind w:firstLine="440" w:firstLineChars="200"/>
        <w:textAlignment w:val="bottom"/>
        <w:rPr>
          <w:rFonts w:ascii="宋体"/>
          <w:color w:val="auto"/>
          <w:kern w:val="0"/>
          <w:sz w:val="22"/>
          <w:szCs w:val="22"/>
          <w:highlight w:val="none"/>
        </w:rPr>
      </w:pPr>
      <w:r>
        <w:rPr>
          <w:rFonts w:ascii="宋体" w:hAnsi="宋体" w:cs="宋体"/>
          <w:color w:val="auto"/>
          <w:kern w:val="0"/>
          <w:sz w:val="22"/>
          <w:szCs w:val="22"/>
          <w:highlight w:val="none"/>
        </w:rPr>
        <w:t xml:space="preserve">1.1 </w:t>
      </w:r>
      <w:r>
        <w:rPr>
          <w:rFonts w:hint="eastAsia" w:ascii="宋体" w:hAnsi="宋体" w:cs="宋体"/>
          <w:color w:val="auto"/>
          <w:kern w:val="0"/>
          <w:sz w:val="22"/>
          <w:szCs w:val="22"/>
          <w:highlight w:val="none"/>
        </w:rPr>
        <w:t>采购组织机构将按照采购文件规定的时间通过“政采云平台”组织开标、开启投标文件，所有供应商均应当准时在线参加。</w:t>
      </w:r>
    </w:p>
    <w:p>
      <w:pPr>
        <w:autoSpaceDE w:val="0"/>
        <w:autoSpaceDN w:val="0"/>
        <w:adjustRightInd w:val="0"/>
        <w:spacing w:line="460" w:lineRule="atLeast"/>
        <w:ind w:firstLine="442" w:firstLineChars="200"/>
        <w:textAlignment w:val="bottom"/>
        <w:rPr>
          <w:rFonts w:ascii="宋体"/>
          <w:b/>
          <w:bCs/>
          <w:color w:val="auto"/>
          <w:kern w:val="0"/>
          <w:sz w:val="22"/>
          <w:szCs w:val="22"/>
          <w:highlight w:val="none"/>
        </w:rPr>
      </w:pPr>
      <w:r>
        <w:rPr>
          <w:rFonts w:ascii="宋体" w:hAnsi="宋体" w:cs="宋体"/>
          <w:b/>
          <w:bCs/>
          <w:color w:val="auto"/>
          <w:kern w:val="0"/>
          <w:sz w:val="22"/>
          <w:szCs w:val="22"/>
          <w:highlight w:val="none"/>
        </w:rPr>
        <w:t>2</w:t>
      </w:r>
      <w:r>
        <w:rPr>
          <w:rFonts w:hint="eastAsia" w:ascii="宋体" w:hAnsi="宋体" w:cs="宋体"/>
          <w:b/>
          <w:bCs/>
          <w:color w:val="auto"/>
          <w:kern w:val="0"/>
          <w:sz w:val="22"/>
          <w:szCs w:val="22"/>
          <w:highlight w:val="none"/>
        </w:rPr>
        <w:t>、</w:t>
      </w:r>
      <w:r>
        <w:rPr>
          <w:rFonts w:ascii="宋体" w:hAnsi="宋体" w:cs="宋体"/>
          <w:b/>
          <w:bCs/>
          <w:color w:val="auto"/>
          <w:kern w:val="0"/>
          <w:sz w:val="22"/>
          <w:szCs w:val="22"/>
          <w:highlight w:val="none"/>
        </w:rPr>
        <w:t xml:space="preserve"> </w:t>
      </w:r>
      <w:r>
        <w:rPr>
          <w:rFonts w:hint="eastAsia" w:ascii="宋体" w:hAnsi="宋体" w:cs="宋体"/>
          <w:b/>
          <w:bCs/>
          <w:color w:val="auto"/>
          <w:kern w:val="0"/>
          <w:sz w:val="22"/>
          <w:szCs w:val="22"/>
          <w:highlight w:val="none"/>
        </w:rPr>
        <w:t>开标准备</w:t>
      </w:r>
    </w:p>
    <w:p>
      <w:pPr>
        <w:autoSpaceDE w:val="0"/>
        <w:autoSpaceDN w:val="0"/>
        <w:adjustRightInd w:val="0"/>
        <w:spacing w:line="460" w:lineRule="atLeast"/>
        <w:ind w:firstLine="440" w:firstLineChars="200"/>
        <w:textAlignment w:val="bottom"/>
        <w:rPr>
          <w:rFonts w:ascii="宋体"/>
          <w:color w:val="auto"/>
          <w:kern w:val="0"/>
          <w:sz w:val="22"/>
          <w:szCs w:val="22"/>
          <w:highlight w:val="none"/>
        </w:rPr>
      </w:pPr>
      <w:r>
        <w:rPr>
          <w:rFonts w:ascii="宋体" w:hAnsi="宋体" w:cs="宋体"/>
          <w:color w:val="auto"/>
          <w:kern w:val="0"/>
          <w:sz w:val="22"/>
          <w:szCs w:val="22"/>
          <w:highlight w:val="none"/>
        </w:rPr>
        <w:t>2.1</w:t>
      </w:r>
      <w:r>
        <w:rPr>
          <w:rFonts w:hint="eastAsia" w:ascii="宋体" w:hAnsi="宋体" w:cs="宋体"/>
          <w:color w:val="auto"/>
          <w:kern w:val="0"/>
          <w:sz w:val="22"/>
          <w:szCs w:val="22"/>
          <w:highlight w:val="none"/>
        </w:rPr>
        <w:t>开标的准备工作由采购组织机构负责落实。</w:t>
      </w:r>
    </w:p>
    <w:p>
      <w:pPr>
        <w:autoSpaceDE w:val="0"/>
        <w:autoSpaceDN w:val="0"/>
        <w:adjustRightInd w:val="0"/>
        <w:spacing w:line="460" w:lineRule="atLeast"/>
        <w:ind w:firstLine="440" w:firstLineChars="200"/>
        <w:textAlignment w:val="bottom"/>
        <w:rPr>
          <w:rFonts w:ascii="宋体"/>
          <w:color w:val="auto"/>
          <w:kern w:val="0"/>
          <w:sz w:val="22"/>
          <w:szCs w:val="22"/>
          <w:highlight w:val="none"/>
        </w:rPr>
      </w:pPr>
      <w:r>
        <w:rPr>
          <w:rFonts w:ascii="宋体" w:hAnsi="宋体" w:cs="宋体"/>
          <w:color w:val="auto"/>
          <w:kern w:val="0"/>
          <w:sz w:val="22"/>
          <w:szCs w:val="22"/>
          <w:highlight w:val="none"/>
        </w:rPr>
        <w:t>2.2</w:t>
      </w:r>
      <w:r>
        <w:rPr>
          <w:rFonts w:hint="eastAsia" w:ascii="宋体" w:hAnsi="宋体" w:cs="宋体"/>
          <w:color w:val="auto"/>
          <w:kern w:val="0"/>
          <w:sz w:val="22"/>
          <w:szCs w:val="22"/>
          <w:highlight w:val="none"/>
        </w:rPr>
        <w:t>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pPr>
        <w:autoSpaceDE w:val="0"/>
        <w:autoSpaceDN w:val="0"/>
        <w:adjustRightInd w:val="0"/>
        <w:spacing w:line="460" w:lineRule="atLeast"/>
        <w:ind w:firstLine="442" w:firstLineChars="200"/>
        <w:textAlignment w:val="bottom"/>
        <w:rPr>
          <w:rFonts w:ascii="宋体"/>
          <w:b/>
          <w:bCs/>
          <w:color w:val="auto"/>
          <w:kern w:val="0"/>
          <w:sz w:val="22"/>
          <w:szCs w:val="22"/>
          <w:highlight w:val="none"/>
        </w:rPr>
      </w:pPr>
      <w:r>
        <w:rPr>
          <w:rFonts w:ascii="宋体" w:hAnsi="宋体" w:cs="宋体"/>
          <w:b/>
          <w:bCs/>
          <w:color w:val="auto"/>
          <w:kern w:val="0"/>
          <w:sz w:val="22"/>
          <w:szCs w:val="22"/>
          <w:highlight w:val="none"/>
        </w:rPr>
        <w:t>3</w:t>
      </w:r>
      <w:r>
        <w:rPr>
          <w:rFonts w:hint="eastAsia" w:ascii="宋体" w:hAnsi="宋体" w:cs="宋体"/>
          <w:b/>
          <w:bCs/>
          <w:color w:val="auto"/>
          <w:kern w:val="0"/>
          <w:sz w:val="22"/>
          <w:szCs w:val="22"/>
          <w:highlight w:val="none"/>
        </w:rPr>
        <w:t>、开标流程（两阶段）</w:t>
      </w:r>
    </w:p>
    <w:p>
      <w:pPr>
        <w:autoSpaceDE w:val="0"/>
        <w:autoSpaceDN w:val="0"/>
        <w:adjustRightInd w:val="0"/>
        <w:spacing w:line="460" w:lineRule="atLeast"/>
        <w:ind w:firstLine="440" w:firstLineChars="200"/>
        <w:textAlignment w:val="bottom"/>
        <w:rPr>
          <w:rFonts w:ascii="宋体"/>
          <w:color w:val="auto"/>
          <w:kern w:val="0"/>
          <w:sz w:val="22"/>
          <w:szCs w:val="22"/>
          <w:highlight w:val="none"/>
        </w:rPr>
      </w:pPr>
      <w:r>
        <w:rPr>
          <w:rFonts w:ascii="宋体" w:hAnsi="宋体" w:cs="宋体"/>
          <w:color w:val="auto"/>
          <w:kern w:val="0"/>
          <w:sz w:val="22"/>
          <w:szCs w:val="22"/>
          <w:highlight w:val="none"/>
        </w:rPr>
        <w:t>3.1</w:t>
      </w:r>
      <w:r>
        <w:rPr>
          <w:rFonts w:hint="eastAsia" w:ascii="宋体" w:hAnsi="宋体" w:cs="宋体"/>
          <w:color w:val="auto"/>
          <w:kern w:val="0"/>
          <w:sz w:val="22"/>
          <w:szCs w:val="22"/>
          <w:highlight w:val="none"/>
        </w:rPr>
        <w:t>开标第一阶段</w:t>
      </w:r>
    </w:p>
    <w:p>
      <w:pPr>
        <w:tabs>
          <w:tab w:val="left" w:pos="540"/>
        </w:tabs>
        <w:spacing w:line="460" w:lineRule="exact"/>
        <w:ind w:firstLine="325" w:firstLineChars="147"/>
        <w:rPr>
          <w:rFonts w:ascii="宋体"/>
          <w:b/>
          <w:bCs/>
          <w:color w:val="auto"/>
          <w:kern w:val="0"/>
          <w:sz w:val="22"/>
          <w:szCs w:val="22"/>
          <w:highlight w:val="none"/>
        </w:rPr>
      </w:pPr>
      <w:r>
        <w:rPr>
          <w:rFonts w:hint="eastAsia" w:ascii="宋体" w:hAnsi="宋体" w:cs="宋体"/>
          <w:b/>
          <w:bCs/>
          <w:color w:val="auto"/>
          <w:kern w:val="0"/>
          <w:sz w:val="22"/>
          <w:szCs w:val="22"/>
          <w:highlight w:val="none"/>
        </w:rPr>
        <w:t>（</w:t>
      </w:r>
      <w:r>
        <w:rPr>
          <w:rFonts w:ascii="宋体" w:hAnsi="宋体" w:cs="宋体"/>
          <w:b/>
          <w:bCs/>
          <w:color w:val="auto"/>
          <w:kern w:val="0"/>
          <w:sz w:val="22"/>
          <w:szCs w:val="22"/>
          <w:highlight w:val="none"/>
        </w:rPr>
        <w:t>1</w:t>
      </w:r>
      <w:r>
        <w:rPr>
          <w:rFonts w:hint="eastAsia" w:ascii="宋体" w:hAnsi="宋体" w:cs="宋体"/>
          <w:b/>
          <w:bCs/>
          <w:color w:val="auto"/>
          <w:kern w:val="0"/>
          <w:sz w:val="22"/>
          <w:szCs w:val="22"/>
          <w:highlight w:val="none"/>
        </w:rPr>
        <w:t>）向各投标人发出电子加密投标文件【开始解密】通知，由供应商按采购文件规定的时间内自行进行投标文件解密。投标人在规定的时间内（开标时间起</w:t>
      </w:r>
      <w:r>
        <w:rPr>
          <w:rFonts w:ascii="宋体" w:hAnsi="宋体" w:cs="宋体"/>
          <w:b/>
          <w:bCs/>
          <w:color w:val="auto"/>
          <w:kern w:val="0"/>
          <w:sz w:val="22"/>
          <w:szCs w:val="22"/>
          <w:highlight w:val="none"/>
        </w:rPr>
        <w:t>30</w:t>
      </w:r>
      <w:r>
        <w:rPr>
          <w:rFonts w:hint="eastAsia" w:ascii="宋体" w:hAnsi="宋体" w:cs="宋体"/>
          <w:b/>
          <w:bCs/>
          <w:color w:val="auto"/>
          <w:kern w:val="0"/>
          <w:sz w:val="22"/>
          <w:szCs w:val="22"/>
          <w:highlight w:val="none"/>
        </w:rPr>
        <w:t>分钟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ind w:firstLine="325" w:firstLineChars="147"/>
        <w:rPr>
          <w:rFonts w:ascii="宋体"/>
          <w:b/>
          <w:bCs/>
          <w:color w:val="auto"/>
          <w:kern w:val="0"/>
          <w:sz w:val="22"/>
          <w:szCs w:val="22"/>
          <w:highlight w:val="none"/>
        </w:rPr>
      </w:pPr>
      <w:r>
        <w:rPr>
          <w:rFonts w:hint="eastAsia" w:ascii="宋体" w:hAnsi="宋体" w:cs="宋体"/>
          <w:b/>
          <w:bCs/>
          <w:color w:val="auto"/>
          <w:kern w:val="0"/>
          <w:sz w:val="22"/>
          <w:szCs w:val="22"/>
          <w:highlight w:val="none"/>
        </w:rPr>
        <w:t>（</w:t>
      </w:r>
      <w:r>
        <w:rPr>
          <w:rFonts w:ascii="宋体" w:hAnsi="宋体" w:cs="宋体"/>
          <w:b/>
          <w:bCs/>
          <w:color w:val="auto"/>
          <w:kern w:val="0"/>
          <w:sz w:val="22"/>
          <w:szCs w:val="22"/>
          <w:highlight w:val="none"/>
        </w:rPr>
        <w:t>2</w:t>
      </w:r>
      <w:r>
        <w:rPr>
          <w:rFonts w:hint="eastAsia" w:ascii="宋体" w:hAnsi="宋体" w:cs="宋体"/>
          <w:b/>
          <w:bCs/>
          <w:color w:val="auto"/>
          <w:kern w:val="0"/>
          <w:sz w:val="22"/>
          <w:szCs w:val="22"/>
          <w:highlight w:val="none"/>
        </w:rPr>
        <w:t>）开启投标文件，进入资格审查；</w:t>
      </w:r>
    </w:p>
    <w:p>
      <w:pPr>
        <w:tabs>
          <w:tab w:val="left" w:pos="540"/>
        </w:tabs>
        <w:spacing w:line="460" w:lineRule="exact"/>
        <w:ind w:firstLine="325" w:firstLineChars="147"/>
        <w:rPr>
          <w:rFonts w:ascii="宋体"/>
          <w:b/>
          <w:bCs/>
          <w:color w:val="auto"/>
          <w:kern w:val="0"/>
          <w:sz w:val="22"/>
          <w:szCs w:val="22"/>
          <w:highlight w:val="none"/>
        </w:rPr>
      </w:pPr>
      <w:r>
        <w:rPr>
          <w:rFonts w:hint="eastAsia" w:ascii="宋体" w:hAnsi="宋体" w:cs="宋体"/>
          <w:b/>
          <w:bCs/>
          <w:color w:val="auto"/>
          <w:kern w:val="0"/>
          <w:sz w:val="22"/>
          <w:szCs w:val="22"/>
          <w:highlight w:val="none"/>
        </w:rPr>
        <w:t>（</w:t>
      </w:r>
      <w:r>
        <w:rPr>
          <w:rFonts w:ascii="宋体" w:hAnsi="宋体" w:cs="宋体"/>
          <w:b/>
          <w:bCs/>
          <w:color w:val="auto"/>
          <w:kern w:val="0"/>
          <w:sz w:val="22"/>
          <w:szCs w:val="22"/>
          <w:highlight w:val="none"/>
        </w:rPr>
        <w:t>3</w:t>
      </w:r>
      <w:r>
        <w:rPr>
          <w:rFonts w:hint="eastAsia" w:ascii="宋体" w:hAnsi="宋体" w:cs="宋体"/>
          <w:b/>
          <w:bCs/>
          <w:color w:val="auto"/>
          <w:kern w:val="0"/>
          <w:sz w:val="22"/>
          <w:szCs w:val="22"/>
          <w:highlight w:val="none"/>
        </w:rPr>
        <w:t>）资格审查通过的投标人的技术资信文件进入符合性审查、技术评审；</w:t>
      </w:r>
    </w:p>
    <w:p>
      <w:pPr>
        <w:tabs>
          <w:tab w:val="left" w:pos="540"/>
        </w:tabs>
        <w:spacing w:line="460" w:lineRule="exact"/>
        <w:ind w:firstLine="325" w:firstLineChars="147"/>
        <w:rPr>
          <w:rFonts w:ascii="宋体"/>
          <w:b/>
          <w:bCs/>
          <w:color w:val="auto"/>
          <w:kern w:val="0"/>
          <w:sz w:val="22"/>
          <w:szCs w:val="22"/>
          <w:highlight w:val="none"/>
        </w:rPr>
      </w:pPr>
      <w:r>
        <w:rPr>
          <w:rFonts w:hint="eastAsia" w:ascii="宋体" w:hAnsi="宋体" w:cs="宋体"/>
          <w:b/>
          <w:bCs/>
          <w:color w:val="auto"/>
          <w:kern w:val="0"/>
          <w:sz w:val="22"/>
          <w:szCs w:val="22"/>
          <w:highlight w:val="none"/>
        </w:rPr>
        <w:t>（</w:t>
      </w:r>
      <w:r>
        <w:rPr>
          <w:rFonts w:ascii="宋体" w:hAnsi="宋体" w:cs="宋体"/>
          <w:b/>
          <w:bCs/>
          <w:color w:val="auto"/>
          <w:kern w:val="0"/>
          <w:sz w:val="22"/>
          <w:szCs w:val="22"/>
          <w:highlight w:val="none"/>
        </w:rPr>
        <w:t>4</w:t>
      </w:r>
      <w:r>
        <w:rPr>
          <w:rFonts w:hint="eastAsia" w:ascii="宋体" w:hAnsi="宋体" w:cs="宋体"/>
          <w:b/>
          <w:bCs/>
          <w:color w:val="auto"/>
          <w:kern w:val="0"/>
          <w:sz w:val="22"/>
          <w:szCs w:val="22"/>
          <w:highlight w:val="none"/>
        </w:rPr>
        <w:t>）第一阶段开标结束。</w:t>
      </w:r>
    </w:p>
    <w:p>
      <w:pPr>
        <w:tabs>
          <w:tab w:val="left" w:pos="540"/>
        </w:tabs>
        <w:spacing w:line="460" w:lineRule="exact"/>
        <w:rPr>
          <w:rFonts w:ascii="宋体"/>
          <w:b/>
          <w:bCs/>
          <w:color w:val="auto"/>
          <w:kern w:val="0"/>
          <w:sz w:val="22"/>
          <w:szCs w:val="22"/>
          <w:highlight w:val="none"/>
        </w:rPr>
      </w:pPr>
      <w:r>
        <w:rPr>
          <w:rFonts w:hint="eastAsia" w:ascii="宋体" w:hAnsi="宋体" w:cs="宋体"/>
          <w:b/>
          <w:bCs/>
          <w:color w:val="auto"/>
          <w:kern w:val="0"/>
          <w:sz w:val="22"/>
          <w:szCs w:val="22"/>
          <w:highlight w:val="none"/>
        </w:rPr>
        <w:t>备注：开标大会的第一阶段结束后，采购人或采购代理机构将对依法对投标人的资格进行审查，资格审查结束后进入符合性审查和技术资信文件的评审工作，具体见本章节“投标人资格审查”相关规定。</w:t>
      </w:r>
    </w:p>
    <w:p>
      <w:pPr>
        <w:autoSpaceDE w:val="0"/>
        <w:autoSpaceDN w:val="0"/>
        <w:adjustRightInd w:val="0"/>
        <w:spacing w:line="460" w:lineRule="atLeast"/>
        <w:ind w:firstLine="440" w:firstLineChars="200"/>
        <w:textAlignment w:val="bottom"/>
        <w:rPr>
          <w:rFonts w:ascii="宋体"/>
          <w:color w:val="auto"/>
          <w:kern w:val="0"/>
          <w:sz w:val="22"/>
          <w:szCs w:val="22"/>
          <w:highlight w:val="none"/>
        </w:rPr>
      </w:pPr>
      <w:r>
        <w:rPr>
          <w:rFonts w:ascii="宋体" w:hAnsi="宋体" w:cs="宋体"/>
          <w:color w:val="auto"/>
          <w:kern w:val="0"/>
          <w:sz w:val="22"/>
          <w:szCs w:val="22"/>
          <w:highlight w:val="none"/>
        </w:rPr>
        <w:t>3.2</w:t>
      </w:r>
      <w:r>
        <w:rPr>
          <w:rFonts w:hint="eastAsia" w:ascii="宋体" w:hAnsi="宋体" w:cs="宋体"/>
          <w:color w:val="auto"/>
          <w:kern w:val="0"/>
          <w:sz w:val="22"/>
          <w:szCs w:val="22"/>
          <w:highlight w:val="none"/>
        </w:rPr>
        <w:t>开标大会第二阶段</w:t>
      </w:r>
    </w:p>
    <w:p>
      <w:pPr>
        <w:tabs>
          <w:tab w:val="left" w:pos="540"/>
        </w:tabs>
        <w:spacing w:line="460" w:lineRule="exact"/>
        <w:ind w:firstLine="325" w:firstLineChars="147"/>
        <w:rPr>
          <w:rFonts w:ascii="宋体"/>
          <w:b/>
          <w:bCs/>
          <w:color w:val="auto"/>
          <w:kern w:val="0"/>
          <w:sz w:val="22"/>
          <w:szCs w:val="22"/>
          <w:highlight w:val="none"/>
        </w:rPr>
      </w:pPr>
      <w:r>
        <w:rPr>
          <w:rFonts w:hint="eastAsia" w:ascii="宋体" w:hAnsi="宋体" w:cs="宋体"/>
          <w:b/>
          <w:bCs/>
          <w:color w:val="auto"/>
          <w:kern w:val="0"/>
          <w:sz w:val="22"/>
          <w:szCs w:val="22"/>
          <w:highlight w:val="none"/>
        </w:rPr>
        <w:t>（</w:t>
      </w:r>
      <w:r>
        <w:rPr>
          <w:rFonts w:ascii="宋体" w:hAnsi="宋体" w:cs="宋体"/>
          <w:b/>
          <w:bCs/>
          <w:color w:val="auto"/>
          <w:kern w:val="0"/>
          <w:sz w:val="22"/>
          <w:szCs w:val="22"/>
          <w:highlight w:val="none"/>
        </w:rPr>
        <w:t>1</w:t>
      </w:r>
      <w:r>
        <w:rPr>
          <w:rFonts w:hint="eastAsia" w:ascii="宋体" w:hAnsi="宋体" w:cs="宋体"/>
          <w:b/>
          <w:bCs/>
          <w:color w:val="auto"/>
          <w:kern w:val="0"/>
          <w:sz w:val="22"/>
          <w:szCs w:val="22"/>
          <w:highlight w:val="none"/>
        </w:rPr>
        <w:t>）符合性审查、技术资信文件的评审结束后，举行开标大会第二阶段会议。首先在“政采云平台”系统平台上公布符合性审查、技术资信评审无效供应商名称及理由；公布经技术资信评审后有效投标人的名单，同时公布其技术资信部分得分情况。</w:t>
      </w:r>
    </w:p>
    <w:p>
      <w:pPr>
        <w:tabs>
          <w:tab w:val="left" w:pos="540"/>
        </w:tabs>
        <w:spacing w:line="460" w:lineRule="exact"/>
        <w:ind w:firstLine="325" w:firstLineChars="147"/>
        <w:rPr>
          <w:rFonts w:ascii="宋体"/>
          <w:b/>
          <w:bCs/>
          <w:color w:val="auto"/>
          <w:kern w:val="0"/>
          <w:sz w:val="22"/>
          <w:szCs w:val="22"/>
          <w:highlight w:val="none"/>
        </w:rPr>
      </w:pPr>
      <w:r>
        <w:rPr>
          <w:rFonts w:hint="eastAsia" w:ascii="宋体" w:hAnsi="宋体" w:cs="宋体"/>
          <w:b/>
          <w:bCs/>
          <w:color w:val="auto"/>
          <w:kern w:val="0"/>
          <w:sz w:val="22"/>
          <w:szCs w:val="22"/>
          <w:highlight w:val="none"/>
        </w:rPr>
        <w:t>（</w:t>
      </w:r>
      <w:r>
        <w:rPr>
          <w:rFonts w:ascii="宋体" w:hAnsi="宋体" w:cs="宋体"/>
          <w:b/>
          <w:bCs/>
          <w:color w:val="auto"/>
          <w:kern w:val="0"/>
          <w:sz w:val="22"/>
          <w:szCs w:val="22"/>
          <w:highlight w:val="none"/>
        </w:rPr>
        <w:t>2</w:t>
      </w:r>
      <w:r>
        <w:rPr>
          <w:rFonts w:hint="eastAsia" w:ascii="宋体" w:hAnsi="宋体" w:cs="宋体"/>
          <w:b/>
          <w:bCs/>
          <w:color w:val="auto"/>
          <w:kern w:val="0"/>
          <w:sz w:val="22"/>
          <w:szCs w:val="22"/>
          <w:highlight w:val="none"/>
        </w:rPr>
        <w:t>）开启通过符合性审查、技术资信文件评审有效投标人的商务（报价）文件，在“政采云平台”系统平台上公布开标一览表有关内容，同时当场制作开标记录。开标结束后，由评标委员会对报价的合理性、准确性等进行审查核实。</w:t>
      </w:r>
    </w:p>
    <w:p>
      <w:pPr>
        <w:tabs>
          <w:tab w:val="left" w:pos="540"/>
        </w:tabs>
        <w:spacing w:line="460" w:lineRule="exact"/>
        <w:ind w:firstLine="325" w:firstLineChars="147"/>
        <w:rPr>
          <w:rFonts w:ascii="宋体"/>
          <w:b/>
          <w:bCs/>
          <w:color w:val="auto"/>
          <w:kern w:val="0"/>
          <w:sz w:val="22"/>
          <w:szCs w:val="22"/>
          <w:highlight w:val="none"/>
        </w:rPr>
      </w:pPr>
      <w:r>
        <w:rPr>
          <w:rFonts w:hint="eastAsia" w:ascii="宋体" w:hAnsi="宋体" w:cs="宋体"/>
          <w:b/>
          <w:bCs/>
          <w:color w:val="auto"/>
          <w:kern w:val="0"/>
          <w:sz w:val="22"/>
          <w:szCs w:val="22"/>
          <w:highlight w:val="none"/>
        </w:rPr>
        <w:t>（</w:t>
      </w:r>
      <w:r>
        <w:rPr>
          <w:rFonts w:ascii="宋体" w:hAnsi="宋体" w:cs="宋体"/>
          <w:b/>
          <w:bCs/>
          <w:color w:val="auto"/>
          <w:kern w:val="0"/>
          <w:sz w:val="22"/>
          <w:szCs w:val="22"/>
          <w:highlight w:val="none"/>
        </w:rPr>
        <w:t>3</w:t>
      </w:r>
      <w:r>
        <w:rPr>
          <w:rFonts w:hint="eastAsia" w:ascii="宋体" w:hAnsi="宋体" w:cs="宋体"/>
          <w:b/>
          <w:bCs/>
          <w:color w:val="auto"/>
          <w:kern w:val="0"/>
          <w:sz w:val="22"/>
          <w:szCs w:val="22"/>
          <w:highlight w:val="none"/>
        </w:rPr>
        <w:t>）评审结束后，在“政采云平台”系统平台上公布中标（成交）候选供应商名单，及采购人最终确定中标或成交供应商名单的时间和公告方式等。</w:t>
      </w:r>
    </w:p>
    <w:p>
      <w:pPr>
        <w:tabs>
          <w:tab w:val="left" w:pos="540"/>
        </w:tabs>
        <w:spacing w:line="460" w:lineRule="exact"/>
        <w:rPr>
          <w:rFonts w:ascii="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pPr>
        <w:autoSpaceDE w:val="0"/>
        <w:autoSpaceDN w:val="0"/>
        <w:adjustRightInd w:val="0"/>
        <w:spacing w:line="460" w:lineRule="atLeast"/>
        <w:ind w:firstLine="442" w:firstLineChars="200"/>
        <w:textAlignment w:val="bottom"/>
        <w:rPr>
          <w:rFonts w:ascii="宋体"/>
          <w:b/>
          <w:bCs/>
          <w:color w:val="auto"/>
          <w:kern w:val="0"/>
          <w:sz w:val="22"/>
          <w:szCs w:val="22"/>
          <w:highlight w:val="none"/>
        </w:rPr>
      </w:pPr>
      <w:bookmarkStart w:id="82" w:name="_Toc33194393"/>
      <w:bookmarkStart w:id="83" w:name="_Toc24550037"/>
      <w:r>
        <w:rPr>
          <w:rFonts w:ascii="宋体" w:hAnsi="宋体" w:cs="宋体"/>
          <w:b/>
          <w:bCs/>
          <w:color w:val="auto"/>
          <w:kern w:val="0"/>
          <w:sz w:val="22"/>
          <w:szCs w:val="22"/>
          <w:highlight w:val="none"/>
        </w:rPr>
        <w:t>4</w:t>
      </w:r>
      <w:r>
        <w:rPr>
          <w:rFonts w:hint="eastAsia" w:ascii="宋体" w:hAnsi="宋体" w:cs="宋体"/>
          <w:b/>
          <w:bCs/>
          <w:color w:val="auto"/>
          <w:kern w:val="0"/>
          <w:sz w:val="22"/>
          <w:szCs w:val="22"/>
          <w:highlight w:val="none"/>
        </w:rPr>
        <w:t>、</w:t>
      </w:r>
      <w:r>
        <w:rPr>
          <w:rFonts w:ascii="宋体" w:hAnsi="宋体" w:cs="宋体"/>
          <w:b/>
          <w:bCs/>
          <w:color w:val="auto"/>
          <w:kern w:val="0"/>
          <w:sz w:val="22"/>
          <w:szCs w:val="22"/>
          <w:highlight w:val="none"/>
        </w:rPr>
        <w:t xml:space="preserve"> </w:t>
      </w:r>
      <w:r>
        <w:rPr>
          <w:rFonts w:hint="eastAsia" w:ascii="宋体" w:hAnsi="宋体" w:cs="宋体"/>
          <w:b/>
          <w:bCs/>
          <w:color w:val="auto"/>
          <w:kern w:val="0"/>
          <w:sz w:val="22"/>
          <w:szCs w:val="22"/>
          <w:highlight w:val="none"/>
        </w:rPr>
        <w:t>投标人资格审查</w:t>
      </w:r>
      <w:bookmarkEnd w:id="82"/>
      <w:bookmarkEnd w:id="83"/>
    </w:p>
    <w:p>
      <w:pPr>
        <w:autoSpaceDE w:val="0"/>
        <w:autoSpaceDN w:val="0"/>
        <w:adjustRightInd w:val="0"/>
        <w:spacing w:line="460" w:lineRule="atLeast"/>
        <w:ind w:firstLine="440" w:firstLineChars="200"/>
        <w:textAlignment w:val="bottom"/>
        <w:rPr>
          <w:rFonts w:ascii="宋体"/>
          <w:color w:val="auto"/>
          <w:kern w:val="0"/>
          <w:sz w:val="22"/>
          <w:szCs w:val="22"/>
          <w:highlight w:val="none"/>
        </w:rPr>
      </w:pPr>
      <w:r>
        <w:rPr>
          <w:rFonts w:ascii="宋体" w:hAnsi="宋体" w:cs="宋体"/>
          <w:color w:val="auto"/>
          <w:kern w:val="0"/>
          <w:sz w:val="22"/>
          <w:szCs w:val="22"/>
          <w:highlight w:val="none"/>
        </w:rPr>
        <w:t>4.1</w:t>
      </w:r>
      <w:r>
        <w:rPr>
          <w:rFonts w:hint="eastAsia" w:ascii="宋体" w:hAnsi="宋体" w:cs="宋体"/>
          <w:color w:val="auto"/>
          <w:kern w:val="0"/>
          <w:sz w:val="22"/>
          <w:szCs w:val="22"/>
          <w:highlight w:val="none"/>
        </w:rPr>
        <w:t>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pPr>
        <w:autoSpaceDE w:val="0"/>
        <w:autoSpaceDN w:val="0"/>
        <w:adjustRightInd w:val="0"/>
        <w:spacing w:line="460" w:lineRule="atLeast"/>
        <w:ind w:firstLine="440" w:firstLineChars="200"/>
        <w:textAlignment w:val="bottom"/>
        <w:rPr>
          <w:rFonts w:ascii="宋体"/>
          <w:color w:val="auto"/>
          <w:kern w:val="0"/>
          <w:sz w:val="22"/>
          <w:szCs w:val="22"/>
          <w:highlight w:val="none"/>
        </w:rPr>
      </w:pPr>
      <w:r>
        <w:rPr>
          <w:rFonts w:ascii="宋体" w:hAnsi="宋体" w:cs="宋体"/>
          <w:color w:val="auto"/>
          <w:kern w:val="0"/>
          <w:sz w:val="22"/>
          <w:szCs w:val="22"/>
          <w:highlight w:val="none"/>
        </w:rPr>
        <w:t>4.2</w:t>
      </w:r>
      <w:r>
        <w:rPr>
          <w:rFonts w:hint="eastAsia" w:ascii="宋体" w:hAnsi="宋体" w:cs="宋体"/>
          <w:color w:val="auto"/>
          <w:kern w:val="0"/>
          <w:sz w:val="22"/>
          <w:szCs w:val="22"/>
          <w:highlight w:val="none"/>
        </w:rPr>
        <w:t>投标人提交的资格审查材料无法证明其符合采购文件规定的“投标人资格要求”的，采购人或采购代理机构将对其作资格审查不通过处理（无效投标），并不再将其投标提交评标委员会进行后续评审。</w:t>
      </w:r>
    </w:p>
    <w:p>
      <w:pPr>
        <w:autoSpaceDE w:val="0"/>
        <w:autoSpaceDN w:val="0"/>
        <w:adjustRightInd w:val="0"/>
        <w:spacing w:line="460" w:lineRule="atLeast"/>
        <w:ind w:firstLine="440" w:firstLineChars="200"/>
        <w:textAlignment w:val="bottom"/>
        <w:rPr>
          <w:rFonts w:ascii="宋体"/>
          <w:color w:val="auto"/>
          <w:kern w:val="0"/>
          <w:sz w:val="22"/>
          <w:szCs w:val="22"/>
          <w:highlight w:val="none"/>
        </w:rPr>
      </w:pPr>
      <w:r>
        <w:rPr>
          <w:rFonts w:ascii="宋体" w:hAnsi="宋体" w:cs="宋体"/>
          <w:color w:val="auto"/>
          <w:kern w:val="0"/>
          <w:sz w:val="22"/>
          <w:szCs w:val="22"/>
          <w:highlight w:val="none"/>
        </w:rPr>
        <w:t>4.3</w:t>
      </w:r>
      <w:r>
        <w:rPr>
          <w:rFonts w:hint="eastAsia" w:ascii="宋体" w:hAnsi="宋体" w:cs="宋体"/>
          <w:color w:val="auto"/>
          <w:kern w:val="0"/>
          <w:sz w:val="22"/>
          <w:szCs w:val="22"/>
          <w:highlight w:val="none"/>
        </w:rPr>
        <w:t>单位负责人为同一人或者存在直接控股、管理关系的不同供应商参加同一合同项下的政府采购活动的，相关投标人均作资格无效处理。</w:t>
      </w:r>
    </w:p>
    <w:p>
      <w:pPr>
        <w:pStyle w:val="23"/>
        <w:snapToGrid w:val="0"/>
        <w:spacing w:line="460" w:lineRule="atLeast"/>
        <w:ind w:firstLine="435" w:firstLineChars="197"/>
        <w:rPr>
          <w:rFonts w:hAnsi="宋体" w:cs="Times New Roman"/>
          <w:b/>
          <w:bCs/>
          <w:color w:val="auto"/>
          <w:sz w:val="22"/>
          <w:szCs w:val="22"/>
          <w:highlight w:val="none"/>
        </w:rPr>
      </w:pPr>
      <w:r>
        <w:rPr>
          <w:rFonts w:hAnsi="宋体"/>
          <w:b/>
          <w:bCs/>
          <w:color w:val="auto"/>
          <w:sz w:val="22"/>
          <w:szCs w:val="22"/>
          <w:highlight w:val="none"/>
        </w:rPr>
        <w:t>5</w:t>
      </w:r>
      <w:r>
        <w:rPr>
          <w:rFonts w:hint="eastAsia" w:hAnsi="宋体"/>
          <w:b/>
          <w:bCs/>
          <w:color w:val="auto"/>
          <w:sz w:val="22"/>
          <w:szCs w:val="22"/>
          <w:highlight w:val="none"/>
        </w:rPr>
        <w:t>、评标</w:t>
      </w:r>
    </w:p>
    <w:p>
      <w:pPr>
        <w:pStyle w:val="23"/>
        <w:snapToGrid w:val="0"/>
        <w:spacing w:line="460" w:lineRule="atLeast"/>
        <w:ind w:firstLine="435" w:firstLineChars="197"/>
        <w:rPr>
          <w:rFonts w:hAnsi="宋体" w:cs="Times New Roman"/>
          <w:b/>
          <w:bCs/>
          <w:color w:val="auto"/>
          <w:sz w:val="22"/>
          <w:szCs w:val="22"/>
          <w:highlight w:val="none"/>
        </w:rPr>
      </w:pPr>
      <w:r>
        <w:rPr>
          <w:rFonts w:hAnsi="宋体"/>
          <w:b/>
          <w:bCs/>
          <w:color w:val="auto"/>
          <w:sz w:val="22"/>
          <w:szCs w:val="22"/>
          <w:highlight w:val="none"/>
        </w:rPr>
        <w:t>5.1</w:t>
      </w:r>
      <w:r>
        <w:rPr>
          <w:rFonts w:hint="eastAsia" w:hAnsi="宋体"/>
          <w:b/>
          <w:bCs/>
          <w:color w:val="auto"/>
          <w:sz w:val="22"/>
          <w:szCs w:val="22"/>
          <w:highlight w:val="none"/>
        </w:rPr>
        <w:t>评标由采购人依法组建的评标委员会负责，并独立履行下列职责：</w:t>
      </w:r>
    </w:p>
    <w:p>
      <w:pPr>
        <w:snapToGrid w:val="0"/>
        <w:spacing w:line="460" w:lineRule="atLeast"/>
        <w:ind w:firstLine="433" w:firstLineChars="197"/>
        <w:rPr>
          <w:rFonts w:ascii="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）审查投标文件是否符合招标文件要求，并做出评价；</w:t>
      </w:r>
    </w:p>
    <w:p>
      <w:pPr>
        <w:snapToGrid w:val="0"/>
        <w:spacing w:line="460" w:lineRule="atLeast"/>
        <w:ind w:firstLine="433" w:firstLineChars="197"/>
        <w:rPr>
          <w:rFonts w:asci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）要求供应商对投标文件有关事项做出解释或者澄清；</w:t>
      </w:r>
    </w:p>
    <w:p>
      <w:pPr>
        <w:snapToGrid w:val="0"/>
        <w:spacing w:line="460" w:lineRule="atLeast"/>
        <w:ind w:firstLine="433" w:firstLineChars="197"/>
        <w:rPr>
          <w:rFonts w:ascii="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）按照招标文件确定的评标办法确定中标人，并对其排序；综合得分最高的供应商推荐为中标人；</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）向采购人或者有关部门报告非法干预评标工作的行为。</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）根据采购人的授权确定中标人名单；</w:t>
      </w:r>
    </w:p>
    <w:p>
      <w:pPr>
        <w:snapToGrid w:val="0"/>
        <w:spacing w:line="460" w:lineRule="atLeast"/>
        <w:ind w:firstLine="435" w:firstLineChars="197"/>
        <w:rPr>
          <w:rFonts w:ascii="宋体"/>
          <w:b/>
          <w:bCs/>
          <w:color w:val="auto"/>
          <w:sz w:val="22"/>
          <w:szCs w:val="22"/>
          <w:highlight w:val="none"/>
        </w:rPr>
      </w:pPr>
      <w:r>
        <w:rPr>
          <w:rFonts w:ascii="宋体" w:hAnsi="宋体" w:cs="宋体"/>
          <w:b/>
          <w:bCs/>
          <w:color w:val="auto"/>
          <w:sz w:val="22"/>
          <w:szCs w:val="22"/>
          <w:highlight w:val="none"/>
        </w:rPr>
        <w:t>5.2</w:t>
      </w:r>
      <w:r>
        <w:rPr>
          <w:rFonts w:hint="eastAsia" w:ascii="宋体" w:hAnsi="宋体" w:cs="宋体"/>
          <w:b/>
          <w:bCs/>
          <w:color w:val="auto"/>
          <w:sz w:val="22"/>
          <w:szCs w:val="22"/>
          <w:highlight w:val="none"/>
        </w:rPr>
        <w:t>评标应当遵循下列工作程序：</w:t>
      </w:r>
    </w:p>
    <w:p>
      <w:pPr>
        <w:snapToGrid w:val="0"/>
        <w:spacing w:line="460" w:lineRule="atLeast"/>
        <w:ind w:firstLine="433" w:firstLineChars="197"/>
        <w:rPr>
          <w:rFonts w:ascii="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）投标文件初审。初审为符合性检查。</w:t>
      </w:r>
    </w:p>
    <w:p>
      <w:pPr>
        <w:snapToGrid w:val="0"/>
        <w:spacing w:line="460" w:lineRule="atLeast"/>
        <w:ind w:firstLine="323" w:firstLineChars="147"/>
        <w:rPr>
          <w:rFonts w:ascii="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符合性检查。依据招标文件的规定，从投标文件的有效性、完整性和对招标文件的响应程度进行审查，以确定是否对招标文件的实质性要求做出响应。</w:t>
      </w:r>
    </w:p>
    <w:p>
      <w:pPr>
        <w:snapToGrid w:val="0"/>
        <w:spacing w:line="460" w:lineRule="atLeast"/>
        <w:ind w:firstLine="433" w:firstLineChars="197"/>
        <w:rPr>
          <w:rFonts w:asci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pPr>
        <w:adjustRightInd w:val="0"/>
        <w:snapToGrid w:val="0"/>
        <w:spacing w:line="460" w:lineRule="atLeast"/>
        <w:ind w:firstLine="435" w:firstLineChars="197"/>
        <w:rPr>
          <w:rFonts w:ascii="宋体"/>
          <w:b/>
          <w:bCs/>
          <w:color w:val="auto"/>
          <w:sz w:val="22"/>
          <w:szCs w:val="22"/>
          <w:highlight w:val="none"/>
        </w:rPr>
      </w:pPr>
      <w:r>
        <w:rPr>
          <w:rFonts w:hint="eastAsia" w:ascii="宋体" w:hAnsi="宋体" w:cs="宋体"/>
          <w:b/>
          <w:bCs/>
          <w:color w:val="auto"/>
          <w:sz w:val="22"/>
          <w:szCs w:val="22"/>
          <w:highlight w:val="none"/>
        </w:rPr>
        <w:t>实质上没有响应招标文件要求的投标将被拒绝。供应商不得通过修正或撤消不合要求的偏离从而使其投标成为实质上响应的投标。</w:t>
      </w:r>
    </w:p>
    <w:p>
      <w:pPr>
        <w:snapToGrid w:val="0"/>
        <w:spacing w:line="460" w:lineRule="atLeast"/>
        <w:ind w:firstLine="435" w:firstLineChars="197"/>
        <w:rPr>
          <w:rFonts w:ascii="宋体"/>
          <w:b/>
          <w:bCs/>
          <w:color w:val="auto"/>
          <w:sz w:val="22"/>
          <w:szCs w:val="22"/>
          <w:highlight w:val="none"/>
        </w:rPr>
      </w:pPr>
      <w:r>
        <w:rPr>
          <w:rFonts w:hint="eastAsia" w:ascii="宋体" w:hAnsi="宋体" w:cs="宋体"/>
          <w:b/>
          <w:bCs/>
          <w:color w:val="auto"/>
          <w:sz w:val="22"/>
          <w:szCs w:val="22"/>
          <w:highlight w:val="none"/>
        </w:rPr>
        <w:t>评标委员会对投标文件的判定，只依据投标文件内容本身，不依靠开标后的任何外来证明。</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）比较与评价。按招标文件中规定的评标方法和标准，对资格性检查和符合性检查合格的投标文件进行商务和技术评估，综合比较与评价。</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）推荐中标人候选人名单，并根据采购人的授权确定中标人。</w:t>
      </w:r>
    </w:p>
    <w:p>
      <w:pPr>
        <w:pStyle w:val="23"/>
        <w:snapToGrid w:val="0"/>
        <w:spacing w:line="460" w:lineRule="atLeast"/>
        <w:ind w:firstLine="435" w:firstLineChars="197"/>
        <w:rPr>
          <w:rFonts w:hAnsi="宋体"/>
          <w:b/>
          <w:bCs/>
          <w:color w:val="auto"/>
          <w:sz w:val="22"/>
          <w:szCs w:val="22"/>
          <w:highlight w:val="none"/>
          <w:u w:val="single"/>
        </w:rPr>
      </w:pPr>
      <w:r>
        <w:rPr>
          <w:rFonts w:hAnsi="宋体"/>
          <w:b/>
          <w:bCs/>
          <w:color w:val="auto"/>
          <w:sz w:val="22"/>
          <w:szCs w:val="22"/>
          <w:highlight w:val="none"/>
        </w:rPr>
        <w:t xml:space="preserve">5.3 </w:t>
      </w:r>
      <w:r>
        <w:rPr>
          <w:rFonts w:hint="eastAsia" w:hAnsi="宋体"/>
          <w:b/>
          <w:bCs/>
          <w:color w:val="auto"/>
          <w:sz w:val="22"/>
          <w:szCs w:val="22"/>
          <w:highlight w:val="none"/>
          <w:u w:val="single"/>
        </w:rPr>
        <w:t>▲投标人存在下列情况之一的，投标无效</w:t>
      </w:r>
      <w:r>
        <w:rPr>
          <w:rFonts w:hAnsi="宋体"/>
          <w:b/>
          <w:bCs/>
          <w:color w:val="auto"/>
          <w:sz w:val="22"/>
          <w:szCs w:val="22"/>
          <w:highlight w:val="none"/>
          <w:u w:val="single"/>
        </w:rPr>
        <w:t>:</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）投标文件未按招标文件要求签署、盖章的；</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）不具备招标文件中规定的资格要求的；</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）报价超过招标文件中规定的预算金额或者最高限价的；</w:t>
      </w:r>
    </w:p>
    <w:p>
      <w:pPr>
        <w:pStyle w:val="23"/>
        <w:snapToGrid w:val="0"/>
        <w:spacing w:line="460" w:lineRule="atLeast"/>
        <w:ind w:firstLine="433"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）投标文件含有采购人不能接受的附加条件的（包括招标文件中明确要求不得偏离的招标要求，存在负偏离的）</w:t>
      </w:r>
      <w:r>
        <w:rPr>
          <w:rFonts w:hAnsi="宋体"/>
          <w:color w:val="auto"/>
          <w:sz w:val="22"/>
          <w:szCs w:val="22"/>
          <w:highlight w:val="none"/>
        </w:rPr>
        <w:t>;</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）仅提交“备份投标文件”的；</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）对关键条文的偏离、保留或反对，例如关于付款方式、完工期、免费质保期、适用法律法规、标准、税费等其他内容；</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）存在串标、抬标或弄虚作假情况的；</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8</w:t>
      </w:r>
      <w:r>
        <w:rPr>
          <w:rFonts w:hint="eastAsia" w:hAnsi="宋体"/>
          <w:color w:val="auto"/>
          <w:sz w:val="22"/>
          <w:szCs w:val="22"/>
          <w:highlight w:val="none"/>
        </w:rPr>
        <w:t>）法律、法规和招标文件规定的其他无效情形（或出现重大偏差）。</w:t>
      </w:r>
    </w:p>
    <w:p>
      <w:pPr>
        <w:pStyle w:val="23"/>
        <w:snapToGrid w:val="0"/>
        <w:spacing w:line="460" w:lineRule="atLeast"/>
        <w:ind w:firstLine="435" w:firstLineChars="197"/>
        <w:rPr>
          <w:rFonts w:hAnsi="宋体" w:cs="Times New Roman"/>
          <w:b/>
          <w:bCs/>
          <w:color w:val="auto"/>
          <w:sz w:val="22"/>
          <w:szCs w:val="22"/>
          <w:highlight w:val="none"/>
        </w:rPr>
      </w:pPr>
      <w:r>
        <w:rPr>
          <w:rFonts w:hAnsi="宋体"/>
          <w:b/>
          <w:bCs/>
          <w:color w:val="auto"/>
          <w:sz w:val="22"/>
          <w:szCs w:val="22"/>
          <w:highlight w:val="none"/>
        </w:rPr>
        <w:t xml:space="preserve">5.4 </w:t>
      </w:r>
      <w:r>
        <w:rPr>
          <w:rFonts w:hint="eastAsia" w:hAnsi="宋体"/>
          <w:b/>
          <w:bCs/>
          <w:color w:val="auto"/>
          <w:sz w:val="22"/>
          <w:szCs w:val="22"/>
          <w:highlight w:val="none"/>
        </w:rPr>
        <w:t>▲</w:t>
      </w:r>
      <w:r>
        <w:rPr>
          <w:rFonts w:hint="eastAsia" w:hAnsi="宋体"/>
          <w:b/>
          <w:bCs/>
          <w:color w:val="auto"/>
          <w:sz w:val="22"/>
          <w:szCs w:val="22"/>
          <w:highlight w:val="none"/>
          <w:u w:val="single"/>
        </w:rPr>
        <w:t>评标委员会发现投标文件有下列情形之一的属于重大偏差</w:t>
      </w:r>
      <w:r>
        <w:rPr>
          <w:rFonts w:hAnsi="宋体"/>
          <w:b/>
          <w:bCs/>
          <w:color w:val="auto"/>
          <w:sz w:val="22"/>
          <w:szCs w:val="22"/>
          <w:highlight w:val="none"/>
          <w:u w:val="single"/>
        </w:rPr>
        <w:t>(</w:t>
      </w:r>
      <w:r>
        <w:rPr>
          <w:rFonts w:hint="eastAsia" w:hAnsi="宋体"/>
          <w:b/>
          <w:bCs/>
          <w:color w:val="auto"/>
          <w:sz w:val="22"/>
          <w:szCs w:val="22"/>
          <w:highlight w:val="none"/>
          <w:u w:val="single"/>
        </w:rPr>
        <w:t>评标委员会按少数服从多数原则认定</w:t>
      </w:r>
      <w:r>
        <w:rPr>
          <w:rFonts w:hAnsi="宋体"/>
          <w:b/>
          <w:bCs/>
          <w:color w:val="auto"/>
          <w:sz w:val="22"/>
          <w:szCs w:val="22"/>
          <w:highlight w:val="none"/>
          <w:u w:val="single"/>
        </w:rPr>
        <w:t>),</w:t>
      </w:r>
      <w:r>
        <w:rPr>
          <w:rFonts w:hint="eastAsia" w:hAnsi="宋体"/>
          <w:b/>
          <w:bCs/>
          <w:color w:val="auto"/>
          <w:sz w:val="22"/>
          <w:szCs w:val="22"/>
          <w:highlight w:val="none"/>
          <w:u w:val="single"/>
        </w:rPr>
        <w:t>按照无效投标处理：</w:t>
      </w:r>
    </w:p>
    <w:p>
      <w:pPr>
        <w:pStyle w:val="23"/>
        <w:snapToGrid w:val="0"/>
        <w:spacing w:line="460" w:lineRule="atLeast"/>
        <w:ind w:firstLine="435" w:firstLineChars="197"/>
        <w:rPr>
          <w:rFonts w:hAnsi="宋体" w:cs="Times New Roman"/>
          <w:b/>
          <w:bCs/>
          <w:color w:val="auto"/>
          <w:sz w:val="22"/>
          <w:szCs w:val="22"/>
          <w:highlight w:val="none"/>
        </w:rPr>
      </w:pPr>
      <w:r>
        <w:rPr>
          <w:rFonts w:hAnsi="宋体"/>
          <w:b/>
          <w:bCs/>
          <w:color w:val="auto"/>
          <w:sz w:val="22"/>
          <w:szCs w:val="22"/>
          <w:highlight w:val="none"/>
        </w:rPr>
        <w:t>1</w:t>
      </w:r>
      <w:r>
        <w:rPr>
          <w:rFonts w:hint="eastAsia" w:hAnsi="宋体"/>
          <w:b/>
          <w:bCs/>
          <w:color w:val="auto"/>
          <w:sz w:val="22"/>
          <w:szCs w:val="22"/>
          <w:highlight w:val="none"/>
        </w:rPr>
        <w:t>）未按招标文件要求编制或字迹模糊、辨认不清的投标文件；</w:t>
      </w:r>
    </w:p>
    <w:p>
      <w:pPr>
        <w:pStyle w:val="23"/>
        <w:snapToGrid w:val="0"/>
        <w:spacing w:line="460" w:lineRule="atLeast"/>
        <w:ind w:firstLine="435" w:firstLineChars="197"/>
        <w:rPr>
          <w:rFonts w:hAnsi="宋体" w:cs="Times New Roman"/>
          <w:b/>
          <w:bCs/>
          <w:color w:val="auto"/>
          <w:sz w:val="22"/>
          <w:szCs w:val="22"/>
          <w:highlight w:val="none"/>
        </w:rPr>
      </w:pPr>
      <w:r>
        <w:rPr>
          <w:rFonts w:hAnsi="宋体"/>
          <w:b/>
          <w:bCs/>
          <w:color w:val="auto"/>
          <w:sz w:val="22"/>
          <w:szCs w:val="22"/>
          <w:highlight w:val="none"/>
        </w:rPr>
        <w:t>2</w:t>
      </w:r>
      <w:r>
        <w:rPr>
          <w:rFonts w:hint="eastAsia" w:hAnsi="宋体"/>
          <w:b/>
          <w:bCs/>
          <w:color w:val="auto"/>
          <w:sz w:val="22"/>
          <w:szCs w:val="22"/>
          <w:highlight w:val="none"/>
        </w:rPr>
        <w:t>）供应商技术资信投标文件中出现投标报价；</w:t>
      </w:r>
    </w:p>
    <w:p>
      <w:pPr>
        <w:pStyle w:val="23"/>
        <w:snapToGrid w:val="0"/>
        <w:spacing w:line="460" w:lineRule="atLeast"/>
        <w:ind w:firstLine="435" w:firstLineChars="197"/>
        <w:rPr>
          <w:rFonts w:hAnsi="宋体" w:cs="Times New Roman"/>
          <w:b/>
          <w:bCs/>
          <w:color w:val="auto"/>
          <w:sz w:val="22"/>
          <w:szCs w:val="22"/>
          <w:highlight w:val="none"/>
        </w:rPr>
      </w:pPr>
      <w:r>
        <w:rPr>
          <w:rFonts w:hAnsi="宋体"/>
          <w:b/>
          <w:bCs/>
          <w:color w:val="auto"/>
          <w:sz w:val="22"/>
          <w:szCs w:val="22"/>
          <w:highlight w:val="none"/>
        </w:rPr>
        <w:t>3</w:t>
      </w:r>
      <w:r>
        <w:rPr>
          <w:rFonts w:hint="eastAsia" w:hAnsi="宋体"/>
          <w:b/>
          <w:bCs/>
          <w:color w:val="auto"/>
          <w:sz w:val="22"/>
          <w:szCs w:val="22"/>
          <w:highlight w:val="none"/>
        </w:rPr>
        <w:t>）除</w:t>
      </w:r>
      <w:r>
        <w:rPr>
          <w:rFonts w:hAnsi="宋体"/>
          <w:b/>
          <w:bCs/>
          <w:color w:val="auto"/>
          <w:sz w:val="22"/>
          <w:szCs w:val="22"/>
          <w:highlight w:val="none"/>
        </w:rPr>
        <w:t>5.3</w:t>
      </w:r>
      <w:r>
        <w:rPr>
          <w:rFonts w:hint="eastAsia" w:hAnsi="宋体"/>
          <w:b/>
          <w:bCs/>
          <w:color w:val="auto"/>
          <w:sz w:val="22"/>
          <w:szCs w:val="22"/>
          <w:highlight w:val="none"/>
        </w:rPr>
        <w:t>条款以外，出现其它明显不符合技术规格、技术标准的要求或不满足招标文件技术规格书中的主要参数的投标文件；</w:t>
      </w:r>
    </w:p>
    <w:p>
      <w:pPr>
        <w:pStyle w:val="23"/>
        <w:snapToGrid w:val="0"/>
        <w:spacing w:line="460" w:lineRule="atLeast"/>
        <w:ind w:firstLine="435" w:firstLineChars="197"/>
        <w:rPr>
          <w:rFonts w:hAnsi="宋体" w:cs="Times New Roman"/>
          <w:b/>
          <w:bCs/>
          <w:color w:val="auto"/>
          <w:sz w:val="22"/>
          <w:szCs w:val="22"/>
          <w:highlight w:val="none"/>
        </w:rPr>
      </w:pPr>
      <w:r>
        <w:rPr>
          <w:rFonts w:hAnsi="宋体"/>
          <w:b/>
          <w:bCs/>
          <w:color w:val="auto"/>
          <w:sz w:val="22"/>
          <w:szCs w:val="22"/>
          <w:highlight w:val="none"/>
        </w:rPr>
        <w:t>4</w:t>
      </w:r>
      <w:r>
        <w:rPr>
          <w:rFonts w:hint="eastAsia" w:hAnsi="宋体"/>
          <w:b/>
          <w:bCs/>
          <w:color w:val="auto"/>
          <w:sz w:val="22"/>
          <w:szCs w:val="22"/>
          <w:highlight w:val="none"/>
        </w:rPr>
        <w:t>）除</w:t>
      </w:r>
      <w:r>
        <w:rPr>
          <w:rFonts w:hAnsi="宋体"/>
          <w:b/>
          <w:bCs/>
          <w:color w:val="auto"/>
          <w:sz w:val="22"/>
          <w:szCs w:val="22"/>
          <w:highlight w:val="none"/>
        </w:rPr>
        <w:t>5.3</w:t>
      </w:r>
      <w:r>
        <w:rPr>
          <w:rFonts w:hint="eastAsia" w:hAnsi="宋体"/>
          <w:b/>
          <w:bCs/>
          <w:color w:val="auto"/>
          <w:sz w:val="22"/>
          <w:szCs w:val="22"/>
          <w:highlight w:val="none"/>
        </w:rPr>
        <w:t>条款以外，出现投标服务内容与招标文件对比出现较大偏差；商务报价明细表计算错误，出现较大差错；</w:t>
      </w:r>
    </w:p>
    <w:p>
      <w:pPr>
        <w:pStyle w:val="23"/>
        <w:snapToGrid w:val="0"/>
        <w:spacing w:line="460" w:lineRule="atLeast"/>
        <w:ind w:firstLine="435" w:firstLineChars="197"/>
        <w:rPr>
          <w:rFonts w:hAnsi="宋体" w:cs="Times New Roman"/>
          <w:b/>
          <w:bCs/>
          <w:color w:val="auto"/>
          <w:sz w:val="22"/>
          <w:szCs w:val="22"/>
          <w:highlight w:val="none"/>
        </w:rPr>
      </w:pPr>
      <w:r>
        <w:rPr>
          <w:rFonts w:hAnsi="宋体"/>
          <w:b/>
          <w:bCs/>
          <w:color w:val="auto"/>
          <w:sz w:val="22"/>
          <w:szCs w:val="22"/>
          <w:highlight w:val="none"/>
        </w:rPr>
        <w:t>5</w:t>
      </w:r>
      <w:r>
        <w:rPr>
          <w:rFonts w:hint="eastAsia" w:hAnsi="宋体"/>
          <w:b/>
          <w:bCs/>
          <w:color w:val="auto"/>
          <w:sz w:val="22"/>
          <w:szCs w:val="22"/>
          <w:highlight w:val="none"/>
        </w:rPr>
        <w:t>）除</w:t>
      </w:r>
      <w:r>
        <w:rPr>
          <w:rFonts w:hAnsi="宋体"/>
          <w:b/>
          <w:bCs/>
          <w:color w:val="auto"/>
          <w:sz w:val="22"/>
          <w:szCs w:val="22"/>
          <w:highlight w:val="none"/>
        </w:rPr>
        <w:t>5.3</w:t>
      </w:r>
      <w:r>
        <w:rPr>
          <w:rFonts w:hint="eastAsia" w:hAnsi="宋体"/>
          <w:b/>
          <w:bCs/>
          <w:color w:val="auto"/>
          <w:sz w:val="22"/>
          <w:szCs w:val="22"/>
          <w:highlight w:val="none"/>
        </w:rPr>
        <w:t>条款以外，出现其它不符合招标文件中规定的实质性要求的投标文件，是否为偏离实质性要求由评标委员会认定。</w:t>
      </w:r>
    </w:p>
    <w:p>
      <w:pPr>
        <w:pStyle w:val="23"/>
        <w:snapToGrid w:val="0"/>
        <w:spacing w:line="460" w:lineRule="atLeast"/>
        <w:ind w:firstLine="435" w:firstLineChars="197"/>
        <w:rPr>
          <w:rFonts w:hAnsi="宋体" w:cs="Times New Roman"/>
          <w:b/>
          <w:bCs/>
          <w:color w:val="auto"/>
          <w:sz w:val="22"/>
          <w:szCs w:val="22"/>
          <w:highlight w:val="none"/>
        </w:rPr>
      </w:pPr>
      <w:r>
        <w:rPr>
          <w:rFonts w:hAnsi="宋体"/>
          <w:b/>
          <w:bCs/>
          <w:color w:val="auto"/>
          <w:sz w:val="22"/>
          <w:szCs w:val="22"/>
          <w:highlight w:val="none"/>
        </w:rPr>
        <w:t xml:space="preserve">5.5 </w:t>
      </w:r>
      <w:r>
        <w:rPr>
          <w:rFonts w:hint="eastAsia" w:hAnsi="宋体"/>
          <w:b/>
          <w:bCs/>
          <w:color w:val="auto"/>
          <w:sz w:val="22"/>
          <w:szCs w:val="22"/>
          <w:highlight w:val="none"/>
        </w:rPr>
        <w:t>开启供应商商务报价文件后发现价格、数量有误，其投标价将按下述原则处理：</w:t>
      </w:r>
    </w:p>
    <w:p>
      <w:pPr>
        <w:adjustRightInd w:val="0"/>
        <w:snapToGrid w:val="0"/>
        <w:spacing w:line="460" w:lineRule="atLeast"/>
        <w:ind w:firstLine="433" w:firstLineChars="197"/>
        <w:rPr>
          <w:rFonts w:ascii="宋体"/>
          <w:color w:val="auto"/>
          <w:sz w:val="22"/>
          <w:szCs w:val="22"/>
          <w:highlight w:val="none"/>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任何有漏去一些小项货物或服务的投标将被视为其费用已包含在投标报价中，投标价格不予调整。如果供应商不接受上述处理方式，将作为无效投标。</w:t>
      </w:r>
    </w:p>
    <w:p>
      <w:pPr>
        <w:adjustRightInd w:val="0"/>
        <w:snapToGrid w:val="0"/>
        <w:spacing w:line="460" w:lineRule="atLeast"/>
        <w:ind w:firstLine="433" w:firstLineChars="197"/>
        <w:rPr>
          <w:rFonts w:ascii="宋体"/>
          <w:color w:val="auto"/>
          <w:sz w:val="22"/>
          <w:szCs w:val="22"/>
          <w:highlight w:val="none"/>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任何有多报一些小项工程或服务的投标其投标价不予调整，如果该供应商中标，则合同价格必须为核减掉多报的一些小项工程或服务后的价格。如果供应商不接受上述处理方式，将作为无效投标。</w:t>
      </w:r>
    </w:p>
    <w:p>
      <w:pPr>
        <w:adjustRightInd w:val="0"/>
        <w:snapToGrid w:val="0"/>
        <w:spacing w:line="460" w:lineRule="atLeast"/>
        <w:ind w:firstLine="433" w:firstLineChars="197"/>
        <w:rPr>
          <w:rFonts w:ascii="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）对于计算错误的其投标价不予调整，如果该供应商中标，如其投标价格计算错误导致多报者合同价格予以据实核减，少报者合同价格不予调整。如果供应商不接受上述处理方式，将作为无效投标。</w:t>
      </w:r>
    </w:p>
    <w:p>
      <w:pPr>
        <w:adjustRightInd w:val="0"/>
        <w:snapToGrid w:val="0"/>
        <w:spacing w:line="460" w:lineRule="atLeast"/>
        <w:ind w:firstLine="433" w:firstLineChars="197"/>
        <w:rPr>
          <w:rFonts w:ascii="宋体"/>
          <w:color w:val="auto"/>
          <w:sz w:val="22"/>
          <w:szCs w:val="22"/>
          <w:highlight w:val="none"/>
          <w:u w:val="single"/>
        </w:rPr>
      </w:pPr>
      <w:r>
        <w:rPr>
          <w:rFonts w:ascii="宋体" w:hAnsi="宋体" w:cs="宋体"/>
          <w:color w:val="auto"/>
          <w:sz w:val="22"/>
          <w:szCs w:val="22"/>
          <w:highlight w:val="none"/>
          <w:u w:val="single"/>
        </w:rPr>
        <w:t>4</w:t>
      </w:r>
      <w:r>
        <w:rPr>
          <w:rFonts w:hint="eastAsia" w:ascii="宋体" w:hAnsi="宋体" w:cs="宋体"/>
          <w:color w:val="auto"/>
          <w:sz w:val="22"/>
          <w:szCs w:val="22"/>
          <w:highlight w:val="none"/>
          <w:u w:val="single"/>
        </w:rPr>
        <w:t>）对于计算错误，多报或漏报的一些小项工程或服务的仅仅为非实质性重大偏差范围内的偏离，并经过评标委员会按少数服从多数原则认定为细微偏差，评审时其投标价不予调整。</w:t>
      </w:r>
      <w:r>
        <w:rPr>
          <w:rFonts w:hint="eastAsia" w:ascii="宋体" w:hAnsi="宋体" w:cs="宋体"/>
          <w:b/>
          <w:bCs/>
          <w:color w:val="auto"/>
          <w:sz w:val="22"/>
          <w:szCs w:val="22"/>
          <w:highlight w:val="none"/>
          <w:u w:val="single"/>
        </w:rPr>
        <w:t>如认定为重大偏差的，做无效投标处理。</w:t>
      </w:r>
    </w:p>
    <w:p>
      <w:pPr>
        <w:adjustRightInd w:val="0"/>
        <w:snapToGrid w:val="0"/>
        <w:spacing w:line="460" w:lineRule="atLeast"/>
        <w:ind w:firstLine="435" w:firstLineChars="197"/>
        <w:rPr>
          <w:rFonts w:ascii="宋体"/>
          <w:b/>
          <w:bCs/>
          <w:color w:val="auto"/>
          <w:sz w:val="22"/>
          <w:szCs w:val="22"/>
          <w:highlight w:val="none"/>
          <w:u w:val="single"/>
        </w:rPr>
      </w:pPr>
      <w:r>
        <w:rPr>
          <w:rFonts w:ascii="宋体" w:hAnsi="宋体" w:cs="宋体"/>
          <w:b/>
          <w:bCs/>
          <w:color w:val="auto"/>
          <w:sz w:val="22"/>
          <w:szCs w:val="22"/>
          <w:highlight w:val="none"/>
          <w:u w:val="single"/>
        </w:rPr>
        <w:t>5.6</w:t>
      </w:r>
      <w:r>
        <w:rPr>
          <w:rFonts w:hint="eastAsia" w:ascii="宋体" w:hAnsi="宋体" w:cs="宋体"/>
          <w:b/>
          <w:bCs/>
          <w:color w:val="auto"/>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p>
    <w:p>
      <w:pPr>
        <w:adjustRightInd w:val="0"/>
        <w:snapToGrid w:val="0"/>
        <w:spacing w:line="460" w:lineRule="atLeast"/>
        <w:ind w:firstLine="435" w:firstLineChars="197"/>
        <w:rPr>
          <w:rFonts w:ascii="宋体"/>
          <w:b/>
          <w:bCs/>
          <w:color w:val="auto"/>
          <w:sz w:val="22"/>
          <w:szCs w:val="22"/>
          <w:highlight w:val="none"/>
        </w:rPr>
      </w:pPr>
      <w:r>
        <w:rPr>
          <w:rFonts w:ascii="宋体" w:hAnsi="宋体" w:cs="宋体"/>
          <w:b/>
          <w:bCs/>
          <w:color w:val="auto"/>
          <w:sz w:val="22"/>
          <w:szCs w:val="22"/>
          <w:highlight w:val="none"/>
          <w:u w:val="single"/>
        </w:rPr>
        <w:t>5.7</w:t>
      </w:r>
      <w:r>
        <w:rPr>
          <w:rFonts w:hint="eastAsia" w:ascii="宋体" w:hAnsi="宋体" w:cs="宋体"/>
          <w:b/>
          <w:bCs/>
          <w:color w:val="auto"/>
          <w:sz w:val="22"/>
          <w:szCs w:val="22"/>
          <w:highlight w:val="none"/>
          <w:u w:val="single"/>
        </w:rPr>
        <w:t>如果投标人代表拒绝按评标委员会要求在“政采云平台”作出在线回复且无其他有效回复方式的，评标委员会可以对其作出否决投标处理。</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 xml:space="preserve">5.8 </w:t>
      </w:r>
      <w:r>
        <w:rPr>
          <w:rFonts w:hint="eastAsia" w:hAnsi="宋体"/>
          <w:color w:val="auto"/>
          <w:sz w:val="22"/>
          <w:szCs w:val="22"/>
          <w:highlight w:val="none"/>
        </w:rPr>
        <w:t>经澄清后，若偏差仍存在，且不可接受，则投标文件将被认定为“没有实质性响应采购文件要求”，按无效投标处理，不再进入下一步评审。评标委员会在评标中，不得改变招标文件中规定的评标标准、方法和中标条件。</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 xml:space="preserve">5.9 </w:t>
      </w:r>
      <w:r>
        <w:rPr>
          <w:rFonts w:hint="eastAsia" w:hAnsi="宋体"/>
          <w:color w:val="auto"/>
          <w:sz w:val="22"/>
          <w:szCs w:val="22"/>
          <w:highlight w:val="none"/>
        </w:rPr>
        <w:t>评标时如遇到招标文件未规定的特殊情况，由评标委员会按少数服从多数原则集体决定处理。</w:t>
      </w:r>
    </w:p>
    <w:p>
      <w:pPr>
        <w:pStyle w:val="23"/>
        <w:snapToGrid w:val="0"/>
        <w:spacing w:line="460" w:lineRule="atLeast"/>
        <w:ind w:firstLine="435" w:firstLineChars="197"/>
        <w:rPr>
          <w:rFonts w:hAnsi="宋体" w:cs="Times New Roman"/>
          <w:b/>
          <w:bCs/>
          <w:color w:val="auto"/>
          <w:sz w:val="22"/>
          <w:szCs w:val="22"/>
          <w:highlight w:val="none"/>
          <w:u w:val="single"/>
        </w:rPr>
      </w:pPr>
      <w:r>
        <w:rPr>
          <w:rFonts w:hAnsi="宋体"/>
          <w:b/>
          <w:bCs/>
          <w:color w:val="auto"/>
          <w:sz w:val="22"/>
          <w:szCs w:val="22"/>
          <w:highlight w:val="none"/>
          <w:u w:val="single"/>
        </w:rPr>
        <w:t>5.10</w:t>
      </w:r>
      <w:r>
        <w:rPr>
          <w:rFonts w:hint="eastAsia" w:hAnsi="宋体"/>
          <w:b/>
          <w:bCs/>
          <w:color w:val="auto"/>
          <w:sz w:val="22"/>
          <w:szCs w:val="22"/>
          <w:highlight w:val="none"/>
          <w:u w:val="single"/>
        </w:rPr>
        <w:t>评标委员会对未中标的供应商不作解释。同时根据政府采购法实施条例第四十条规定，本项目不对供应商公布详细的评审情况，不公布具体评标细则中小项得分。</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、投标文件的澄清</w:t>
      </w:r>
    </w:p>
    <w:p>
      <w:pPr>
        <w:adjustRightInd w:val="0"/>
        <w:snapToGrid w:val="0"/>
        <w:spacing w:line="460" w:lineRule="atLeast"/>
        <w:ind w:firstLine="433" w:firstLineChars="197"/>
        <w:rPr>
          <w:rFonts w:ascii="宋体"/>
          <w:color w:val="auto"/>
          <w:sz w:val="22"/>
          <w:szCs w:val="22"/>
          <w:highlight w:val="none"/>
        </w:rPr>
      </w:pPr>
      <w:r>
        <w:rPr>
          <w:rFonts w:ascii="宋体" w:hAnsi="宋体" w:cs="宋体"/>
          <w:color w:val="auto"/>
          <w:sz w:val="22"/>
          <w:szCs w:val="22"/>
          <w:highlight w:val="none"/>
        </w:rPr>
        <w:t xml:space="preserve">6.1 </w:t>
      </w:r>
      <w:r>
        <w:rPr>
          <w:rFonts w:hint="eastAsia" w:ascii="宋体" w:hAnsi="宋体" w:cs="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r>
        <w:rPr>
          <w:rFonts w:hint="eastAsia" w:ascii="宋体" w:hAnsi="宋体" w:cs="宋体"/>
          <w:color w:val="auto"/>
          <w:sz w:val="22"/>
          <w:szCs w:val="22"/>
          <w:highlight w:val="none"/>
        </w:rPr>
        <w:t>。</w:t>
      </w:r>
    </w:p>
    <w:p>
      <w:pPr>
        <w:adjustRightInd w:val="0"/>
        <w:snapToGrid w:val="0"/>
        <w:spacing w:line="460" w:lineRule="atLeast"/>
        <w:ind w:firstLine="433" w:firstLineChars="197"/>
        <w:rPr>
          <w:rFonts w:ascii="宋体"/>
          <w:color w:val="auto"/>
          <w:sz w:val="22"/>
          <w:szCs w:val="22"/>
          <w:highlight w:val="none"/>
        </w:rPr>
      </w:pPr>
      <w:r>
        <w:rPr>
          <w:rFonts w:ascii="宋体" w:hAnsi="宋体" w:cs="宋体"/>
          <w:color w:val="auto"/>
          <w:sz w:val="22"/>
          <w:szCs w:val="22"/>
          <w:highlight w:val="none"/>
        </w:rPr>
        <w:t xml:space="preserve">6.2 </w:t>
      </w:r>
      <w:r>
        <w:rPr>
          <w:rFonts w:hint="eastAsia" w:ascii="宋体" w:hAnsi="宋体" w:cs="宋体"/>
          <w:color w:val="auto"/>
          <w:sz w:val="22"/>
          <w:szCs w:val="22"/>
          <w:highlight w:val="none"/>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adjustRightInd w:val="0"/>
        <w:snapToGrid w:val="0"/>
        <w:spacing w:line="460" w:lineRule="atLeast"/>
        <w:ind w:firstLine="433" w:firstLineChars="197"/>
        <w:rPr>
          <w:rFonts w:ascii="宋体" w:hAnsi="宋体" w:cs="宋体"/>
          <w:color w:val="auto"/>
          <w:sz w:val="22"/>
          <w:szCs w:val="22"/>
          <w:highlight w:val="none"/>
        </w:rPr>
      </w:pPr>
      <w:r>
        <w:rPr>
          <w:rFonts w:ascii="宋体" w:hAnsi="宋体" w:cs="宋体"/>
          <w:color w:val="auto"/>
          <w:sz w:val="22"/>
          <w:szCs w:val="22"/>
          <w:highlight w:val="none"/>
        </w:rPr>
        <w:t xml:space="preserve">6.3 </w:t>
      </w:r>
      <w:r>
        <w:rPr>
          <w:rFonts w:hint="eastAsia" w:ascii="宋体" w:hAnsi="宋体" w:cs="宋体"/>
          <w:color w:val="auto"/>
          <w:sz w:val="22"/>
          <w:szCs w:val="22"/>
          <w:highlight w:val="none"/>
        </w:rPr>
        <w:t>供应商对投标文件的澄清不得寻求、提供或允许改变投标价格等实质性内容。</w:t>
      </w:r>
      <w:r>
        <w:rPr>
          <w:rFonts w:ascii="宋体" w:hAnsi="宋体" w:cs="宋体"/>
          <w:color w:val="auto"/>
          <w:sz w:val="22"/>
          <w:szCs w:val="22"/>
          <w:highlight w:val="none"/>
        </w:rPr>
        <w:t xml:space="preserve"> </w:t>
      </w:r>
    </w:p>
    <w:p>
      <w:pPr>
        <w:adjustRightInd w:val="0"/>
        <w:snapToGrid w:val="0"/>
        <w:spacing w:line="460" w:lineRule="atLeast"/>
        <w:ind w:left="414" w:leftChars="197"/>
        <w:rPr>
          <w:rFonts w:ascii="宋体" w:hAnsi="宋体" w:cs="宋体"/>
          <w:color w:val="auto"/>
          <w:sz w:val="22"/>
          <w:szCs w:val="22"/>
          <w:highlight w:val="none"/>
        </w:rPr>
      </w:pPr>
      <w:r>
        <w:rPr>
          <w:rFonts w:ascii="宋体" w:hAnsi="宋体" w:cs="宋体"/>
          <w:color w:val="auto"/>
          <w:sz w:val="22"/>
          <w:szCs w:val="22"/>
          <w:highlight w:val="none"/>
        </w:rPr>
        <w:t>7</w:t>
      </w:r>
      <w:r>
        <w:rPr>
          <w:rFonts w:hint="eastAsia" w:ascii="宋体" w:hAnsi="宋体" w:cs="宋体"/>
          <w:color w:val="auto"/>
          <w:sz w:val="22"/>
          <w:szCs w:val="22"/>
          <w:highlight w:val="none"/>
        </w:rPr>
        <w:t>、禁止供应商相互串通投标。</w:t>
      </w:r>
    </w:p>
    <w:p>
      <w:pPr>
        <w:adjustRightInd w:val="0"/>
        <w:snapToGrid w:val="0"/>
        <w:spacing w:line="460" w:lineRule="atLeast"/>
        <w:ind w:left="414" w:leftChars="197"/>
        <w:rPr>
          <w:rFonts w:ascii="宋体" w:hAnsi="宋体" w:cs="宋体"/>
          <w:color w:val="auto"/>
          <w:sz w:val="22"/>
          <w:szCs w:val="22"/>
          <w:highlight w:val="none"/>
        </w:rPr>
      </w:pPr>
      <w:r>
        <w:rPr>
          <w:rFonts w:ascii="宋体" w:hAnsi="宋体" w:cs="宋体"/>
          <w:color w:val="auto"/>
          <w:sz w:val="22"/>
          <w:szCs w:val="22"/>
          <w:highlight w:val="none"/>
        </w:rPr>
        <w:t>7.1</w:t>
      </w:r>
      <w:r>
        <w:rPr>
          <w:rFonts w:hint="eastAsia" w:ascii="宋体" w:hAnsi="宋体" w:cs="宋体"/>
          <w:color w:val="auto"/>
          <w:sz w:val="22"/>
          <w:szCs w:val="22"/>
          <w:highlight w:val="none"/>
        </w:rPr>
        <w:t>、有下列情形之一的，视为供应商相互串通投标：</w:t>
      </w:r>
    </w:p>
    <w:p>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（一）不同供应商的投标文件由同一单位或者个人编制；</w:t>
      </w:r>
    </w:p>
    <w:p>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（二）不同供应商委托同一单位或者个人办理投标事宜；</w:t>
      </w:r>
    </w:p>
    <w:p>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（三）不同供应商的投标文件载明的项目管理成员为同一人；</w:t>
      </w:r>
    </w:p>
    <w:p>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（四）不同供应商的投标文件异常一致或者投标报价呈规律性差异；</w:t>
      </w:r>
    </w:p>
    <w:p>
      <w:pPr>
        <w:adjustRightInd w:val="0"/>
        <w:snapToGrid w:val="0"/>
        <w:spacing w:line="460" w:lineRule="atLeast"/>
        <w:ind w:left="414" w:leftChars="197"/>
        <w:rPr>
          <w:rFonts w:ascii="宋体" w:hAnsi="宋体" w:cs="宋体"/>
          <w:color w:val="auto"/>
          <w:sz w:val="22"/>
          <w:szCs w:val="22"/>
          <w:highlight w:val="none"/>
        </w:rPr>
      </w:pPr>
      <w:r>
        <w:rPr>
          <w:rFonts w:hint="eastAsia" w:ascii="宋体" w:hAnsi="宋体" w:cs="宋体"/>
          <w:color w:val="auto"/>
          <w:sz w:val="22"/>
          <w:szCs w:val="22"/>
          <w:highlight w:val="none"/>
        </w:rPr>
        <w:t>（五）不同供应商的投标文件相互混装；</w:t>
      </w:r>
    </w:p>
    <w:p>
      <w:pPr>
        <w:adjustRightInd w:val="0"/>
        <w:snapToGrid w:val="0"/>
        <w:spacing w:line="460" w:lineRule="atLeast"/>
        <w:ind w:left="414" w:leftChars="197"/>
        <w:rPr>
          <w:rFonts w:ascii="宋体"/>
          <w:b/>
          <w:bCs/>
          <w:color w:val="auto"/>
          <w:sz w:val="22"/>
          <w:szCs w:val="22"/>
          <w:highlight w:val="none"/>
        </w:rPr>
      </w:pPr>
      <w:r>
        <w:rPr>
          <w:rFonts w:ascii="宋体" w:hAnsi="宋体" w:cs="宋体"/>
          <w:b/>
          <w:bCs/>
          <w:color w:val="auto"/>
          <w:sz w:val="22"/>
          <w:szCs w:val="22"/>
          <w:highlight w:val="none"/>
        </w:rPr>
        <w:t>7.2</w:t>
      </w:r>
      <w:r>
        <w:rPr>
          <w:rFonts w:hint="eastAsia" w:ascii="宋体" w:hAnsi="宋体" w:cs="宋体"/>
          <w:b/>
          <w:bCs/>
          <w:color w:val="auto"/>
          <w:sz w:val="22"/>
          <w:szCs w:val="22"/>
          <w:highlight w:val="none"/>
        </w:rPr>
        <w:t>、经评标委员会认定供应商进行串通投标的，评标委员会可以对相关供应商做出无效投标处理，并上报政府采购管理部门进行进一步处理。</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8</w:t>
      </w:r>
      <w:r>
        <w:rPr>
          <w:rFonts w:hint="eastAsia" w:hAnsi="宋体"/>
          <w:color w:val="auto"/>
          <w:sz w:val="22"/>
          <w:szCs w:val="22"/>
          <w:highlight w:val="none"/>
        </w:rPr>
        <w:t>、评标原则</w:t>
      </w:r>
    </w:p>
    <w:p>
      <w:pPr>
        <w:pStyle w:val="23"/>
        <w:snapToGrid w:val="0"/>
        <w:spacing w:line="460" w:lineRule="atLeast"/>
        <w:ind w:firstLine="435" w:firstLineChars="197"/>
        <w:rPr>
          <w:rFonts w:hAnsi="宋体" w:cs="Times New Roman"/>
          <w:b/>
          <w:bCs/>
          <w:color w:val="auto"/>
          <w:sz w:val="22"/>
          <w:szCs w:val="22"/>
          <w:highlight w:val="none"/>
        </w:rPr>
      </w:pPr>
      <w:r>
        <w:rPr>
          <w:rFonts w:hAnsi="宋体"/>
          <w:b/>
          <w:bCs/>
          <w:color w:val="auto"/>
          <w:sz w:val="22"/>
          <w:szCs w:val="22"/>
          <w:highlight w:val="none"/>
        </w:rPr>
        <w:t xml:space="preserve">8.1 </w:t>
      </w:r>
      <w:r>
        <w:rPr>
          <w:rFonts w:hint="eastAsia" w:hAnsi="宋体"/>
          <w:b/>
          <w:bCs/>
          <w:color w:val="auto"/>
          <w:sz w:val="22"/>
          <w:szCs w:val="22"/>
          <w:highlight w:val="none"/>
        </w:rPr>
        <w:t>▲</w:t>
      </w:r>
      <w:r>
        <w:rPr>
          <w:rFonts w:hint="eastAsia" w:hAnsi="宋体"/>
          <w:b/>
          <w:bCs/>
          <w:color w:val="auto"/>
          <w:sz w:val="22"/>
          <w:szCs w:val="22"/>
          <w:highlight w:val="none"/>
          <w:u w:val="single"/>
        </w:rPr>
        <w:t>投标截止时或评审过程中有效投标供应商不足三家的，不予开标或评标。</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9</w:t>
      </w:r>
      <w:r>
        <w:rPr>
          <w:rFonts w:hint="eastAsia" w:hAnsi="宋体"/>
          <w:color w:val="auto"/>
          <w:sz w:val="22"/>
          <w:szCs w:val="22"/>
          <w:highlight w:val="none"/>
        </w:rPr>
        <w:t>、确定中标候选人</w:t>
      </w:r>
    </w:p>
    <w:p>
      <w:pPr>
        <w:adjustRightInd w:val="0"/>
        <w:snapToGrid w:val="0"/>
        <w:spacing w:line="460" w:lineRule="atLeast"/>
        <w:ind w:left="414" w:leftChars="197"/>
        <w:rPr>
          <w:rFonts w:ascii="宋体"/>
          <w:color w:val="auto"/>
          <w:sz w:val="22"/>
          <w:szCs w:val="22"/>
          <w:highlight w:val="none"/>
        </w:rPr>
      </w:pPr>
      <w:r>
        <w:rPr>
          <w:rFonts w:ascii="宋体" w:hAnsi="宋体" w:cs="宋体"/>
          <w:color w:val="auto"/>
          <w:sz w:val="22"/>
          <w:szCs w:val="22"/>
          <w:highlight w:val="none"/>
        </w:rPr>
        <w:t>9.1</w:t>
      </w:r>
      <w:r>
        <w:rPr>
          <w:rFonts w:hint="eastAsia" w:ascii="宋体" w:hAnsi="宋体" w:cs="宋体"/>
          <w:color w:val="auto"/>
          <w:sz w:val="22"/>
          <w:szCs w:val="22"/>
          <w:highlight w:val="none"/>
        </w:rPr>
        <w:t>本次招标由评标委员会推荐中标候选人，采购人根据评标委员会的推荐结果进行最终确认。</w:t>
      </w:r>
    </w:p>
    <w:p>
      <w:pPr>
        <w:adjustRightInd w:val="0"/>
        <w:snapToGrid w:val="0"/>
        <w:spacing w:line="460" w:lineRule="atLeast"/>
        <w:ind w:left="414" w:leftChars="197"/>
        <w:rPr>
          <w:rFonts w:ascii="宋体"/>
          <w:color w:val="auto"/>
          <w:sz w:val="22"/>
          <w:szCs w:val="22"/>
          <w:highlight w:val="none"/>
        </w:rPr>
      </w:pPr>
      <w:r>
        <w:rPr>
          <w:rFonts w:ascii="宋体" w:hAnsi="宋体" w:cs="宋体"/>
          <w:color w:val="auto"/>
          <w:sz w:val="22"/>
          <w:szCs w:val="22"/>
          <w:highlight w:val="none"/>
        </w:rPr>
        <w:t>9.2</w:t>
      </w:r>
      <w:r>
        <w:rPr>
          <w:rFonts w:hint="eastAsia" w:ascii="宋体" w:hAnsi="宋体" w:cs="宋体"/>
          <w:color w:val="auto"/>
          <w:sz w:val="22"/>
          <w:szCs w:val="22"/>
          <w:highlight w:val="none"/>
        </w:rPr>
        <w:t>评标委员会依据法律、法规及采购文件有关规定在有效标中按投标人的最终得分（即技术分与商务分之和）高低进行排序，得分前二名的投标人推荐为中标候选人与备选中标人（得分相同投标报价低的排序第一；得分且投标报价相同的，由评标委员会成员抽签决定排序）。</w:t>
      </w:r>
    </w:p>
    <w:p>
      <w:pPr>
        <w:adjustRightInd w:val="0"/>
        <w:snapToGrid w:val="0"/>
        <w:spacing w:line="460" w:lineRule="atLeast"/>
        <w:ind w:left="414" w:leftChars="197"/>
        <w:rPr>
          <w:rFonts w:ascii="宋体"/>
          <w:color w:val="auto"/>
          <w:sz w:val="22"/>
          <w:szCs w:val="22"/>
          <w:highlight w:val="none"/>
        </w:rPr>
      </w:pPr>
      <w:r>
        <w:rPr>
          <w:rFonts w:ascii="宋体" w:hAnsi="宋体" w:cs="宋体"/>
          <w:color w:val="auto"/>
          <w:sz w:val="22"/>
          <w:szCs w:val="22"/>
          <w:highlight w:val="none"/>
        </w:rPr>
        <w:t>9.3</w:t>
      </w:r>
      <w:r>
        <w:rPr>
          <w:rFonts w:hint="eastAsia" w:ascii="宋体" w:hAnsi="宋体" w:cs="宋体"/>
          <w:color w:val="auto"/>
          <w:sz w:val="22"/>
          <w:szCs w:val="22"/>
          <w:highlight w:val="none"/>
        </w:rPr>
        <w:t>若出现以下情形之一，采购人可视具体情况确定是否由备选中标人为中标人或重新组织招标：</w:t>
      </w:r>
    </w:p>
    <w:p>
      <w:pPr>
        <w:spacing w:line="460" w:lineRule="exact"/>
        <w:ind w:firstLine="418" w:firstLineChars="190"/>
        <w:rPr>
          <w:rFonts w:ascii="宋体"/>
          <w:color w:val="auto"/>
          <w:kern w:val="0"/>
          <w:sz w:val="22"/>
          <w:szCs w:val="22"/>
          <w:highlight w:val="none"/>
        </w:rPr>
      </w:pPr>
      <w:r>
        <w:rPr>
          <w:rFonts w:ascii="宋体" w:hAnsi="宋体" w:cs="宋体"/>
          <w:color w:val="auto"/>
          <w:kern w:val="0"/>
          <w:sz w:val="22"/>
          <w:szCs w:val="22"/>
          <w:highlight w:val="none"/>
        </w:rPr>
        <w:t>1</w:t>
      </w:r>
      <w:r>
        <w:rPr>
          <w:rFonts w:hint="eastAsia" w:ascii="宋体" w:hAnsi="宋体" w:cs="宋体"/>
          <w:color w:val="auto"/>
          <w:kern w:val="0"/>
          <w:sz w:val="22"/>
          <w:szCs w:val="22"/>
          <w:highlight w:val="none"/>
        </w:rPr>
        <w:t>）中标候选人放弃中标资格；</w:t>
      </w:r>
    </w:p>
    <w:p>
      <w:pPr>
        <w:spacing w:line="460" w:lineRule="exact"/>
        <w:ind w:firstLine="418" w:firstLineChars="190"/>
        <w:rPr>
          <w:rFonts w:ascii="宋体"/>
          <w:color w:val="auto"/>
          <w:kern w:val="0"/>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）中标候选人因不可抗力提出不能履行合同；</w:t>
      </w:r>
    </w:p>
    <w:p>
      <w:pPr>
        <w:spacing w:line="460" w:lineRule="exact"/>
        <w:ind w:firstLine="418" w:firstLineChars="190"/>
        <w:rPr>
          <w:rFonts w:ascii="宋体"/>
          <w:color w:val="auto"/>
          <w:kern w:val="0"/>
          <w:sz w:val="22"/>
          <w:szCs w:val="22"/>
          <w:highlight w:val="none"/>
        </w:rPr>
      </w:pPr>
      <w:r>
        <w:rPr>
          <w:rFonts w:ascii="宋体" w:hAnsi="宋体" w:cs="宋体"/>
          <w:color w:val="auto"/>
          <w:kern w:val="0"/>
          <w:sz w:val="22"/>
          <w:szCs w:val="22"/>
          <w:highlight w:val="none"/>
        </w:rPr>
        <w:t>3</w:t>
      </w:r>
      <w:r>
        <w:rPr>
          <w:rFonts w:hint="eastAsia" w:ascii="宋体" w:hAnsi="宋体" w:cs="宋体"/>
          <w:color w:val="auto"/>
          <w:kern w:val="0"/>
          <w:sz w:val="22"/>
          <w:szCs w:val="22"/>
          <w:highlight w:val="none"/>
        </w:rPr>
        <w:t>）中标候选人未能在规定时间内与采购单位签订合同；</w:t>
      </w:r>
    </w:p>
    <w:p>
      <w:pPr>
        <w:spacing w:line="460" w:lineRule="exact"/>
        <w:ind w:firstLine="418" w:firstLineChars="190"/>
        <w:rPr>
          <w:rFonts w:ascii="宋体"/>
          <w:color w:val="auto"/>
          <w:kern w:val="0"/>
          <w:sz w:val="22"/>
          <w:szCs w:val="22"/>
          <w:highlight w:val="none"/>
        </w:rPr>
      </w:pP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）经质疑，采购人审查后，中标候选人确实在本次采购活动中存在违法违规行为或其他原因使质疑成立的。</w:t>
      </w:r>
    </w:p>
    <w:p>
      <w:pPr>
        <w:adjustRightInd w:val="0"/>
        <w:snapToGrid w:val="0"/>
        <w:spacing w:line="460" w:lineRule="atLeast"/>
        <w:ind w:left="414" w:leftChars="197"/>
        <w:rPr>
          <w:rFonts w:ascii="宋体"/>
          <w:color w:val="auto"/>
          <w:sz w:val="22"/>
          <w:szCs w:val="22"/>
          <w:highlight w:val="none"/>
        </w:rPr>
      </w:pPr>
      <w:r>
        <w:rPr>
          <w:rFonts w:ascii="宋体" w:hAnsi="宋体" w:cs="宋体"/>
          <w:color w:val="auto"/>
          <w:sz w:val="22"/>
          <w:szCs w:val="22"/>
          <w:highlight w:val="none"/>
        </w:rPr>
        <w:t>9.4</w:t>
      </w:r>
      <w:r>
        <w:rPr>
          <w:rFonts w:hint="eastAsia" w:ascii="宋体" w:hAnsi="宋体" w:cs="宋体"/>
          <w:color w:val="auto"/>
          <w:sz w:val="22"/>
          <w:szCs w:val="22"/>
          <w:highlight w:val="none"/>
        </w:rPr>
        <w:t>采购人、采购代理机构及评标委员会对未中标的供应商不作解释。同时根据政府采购法实施条例第四十条规定，本项目不对供应商公布详细的评审情况，不公布具体评标细则中小项得分。</w:t>
      </w:r>
    </w:p>
    <w:p>
      <w:pPr>
        <w:adjustRightInd w:val="0"/>
        <w:snapToGrid w:val="0"/>
        <w:spacing w:line="460" w:lineRule="atLeast"/>
        <w:ind w:left="414" w:leftChars="197"/>
        <w:rPr>
          <w:rFonts w:ascii="宋体"/>
          <w:color w:val="auto"/>
          <w:sz w:val="22"/>
          <w:szCs w:val="22"/>
          <w:highlight w:val="none"/>
        </w:rPr>
      </w:pPr>
      <w:r>
        <w:rPr>
          <w:rFonts w:ascii="宋体" w:hAnsi="宋体" w:cs="宋体"/>
          <w:color w:val="auto"/>
          <w:sz w:val="22"/>
          <w:szCs w:val="22"/>
          <w:highlight w:val="none"/>
        </w:rPr>
        <w:t>10</w:t>
      </w:r>
      <w:r>
        <w:rPr>
          <w:rFonts w:hint="eastAsia" w:ascii="宋体" w:hAnsi="宋体" w:cs="宋体"/>
          <w:color w:val="auto"/>
          <w:sz w:val="22"/>
          <w:szCs w:val="22"/>
          <w:highlight w:val="none"/>
        </w:rPr>
        <w:t>、评标细则详见“评标原则及方法”。</w:t>
      </w:r>
    </w:p>
    <w:p>
      <w:pPr>
        <w:adjustRightInd w:val="0"/>
        <w:snapToGrid w:val="0"/>
        <w:spacing w:line="460" w:lineRule="atLeast"/>
        <w:ind w:left="414" w:leftChars="197"/>
        <w:rPr>
          <w:rFonts w:ascii="宋体"/>
          <w:color w:val="auto"/>
          <w:sz w:val="22"/>
          <w:szCs w:val="22"/>
          <w:highlight w:val="none"/>
        </w:rPr>
      </w:pPr>
      <w:r>
        <w:rPr>
          <w:rFonts w:ascii="宋体" w:hAnsi="宋体" w:cs="宋体"/>
          <w:color w:val="auto"/>
          <w:sz w:val="22"/>
          <w:szCs w:val="22"/>
          <w:highlight w:val="none"/>
        </w:rPr>
        <w:t>11</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可中止电子交易活动的情形</w:t>
      </w:r>
    </w:p>
    <w:p>
      <w:pPr>
        <w:adjustRightInd w:val="0"/>
        <w:snapToGrid w:val="0"/>
        <w:spacing w:line="460" w:lineRule="atLeast"/>
        <w:ind w:left="414" w:leftChars="197"/>
        <w:rPr>
          <w:rFonts w:ascii="宋体"/>
          <w:color w:val="auto"/>
          <w:sz w:val="22"/>
          <w:szCs w:val="22"/>
          <w:highlight w:val="none"/>
        </w:rPr>
      </w:pPr>
      <w:r>
        <w:rPr>
          <w:rFonts w:ascii="宋体" w:hAnsi="宋体" w:cs="宋体"/>
          <w:color w:val="auto"/>
          <w:sz w:val="22"/>
          <w:szCs w:val="22"/>
          <w:highlight w:val="none"/>
        </w:rPr>
        <w:t>11.1</w:t>
      </w:r>
      <w:r>
        <w:rPr>
          <w:rFonts w:hint="eastAsia" w:ascii="宋体" w:hAnsi="宋体" w:cs="宋体"/>
          <w:color w:val="auto"/>
          <w:sz w:val="22"/>
          <w:szCs w:val="22"/>
          <w:highlight w:val="none"/>
        </w:rPr>
        <w:t>采购过程中出现以下情形，导致电子交易平台无法正常运行，或者无法保证电子交易的公平、公正和安全时，采购组织机构可中止电子交易活动：</w:t>
      </w:r>
    </w:p>
    <w:p>
      <w:pPr>
        <w:numPr>
          <w:ilvl w:val="2"/>
          <w:numId w:val="3"/>
        </w:numPr>
        <w:tabs>
          <w:tab w:val="left" w:pos="993"/>
        </w:tabs>
        <w:spacing w:line="460" w:lineRule="exact"/>
        <w:ind w:left="993" w:hanging="426"/>
        <w:rPr>
          <w:rFonts w:ascii="宋体"/>
          <w:color w:val="auto"/>
          <w:kern w:val="0"/>
          <w:sz w:val="22"/>
          <w:szCs w:val="22"/>
          <w:highlight w:val="none"/>
        </w:rPr>
      </w:pPr>
      <w:r>
        <w:rPr>
          <w:rFonts w:hint="eastAsia" w:ascii="宋体" w:hAnsi="宋体" w:cs="宋体"/>
          <w:color w:val="auto"/>
          <w:kern w:val="0"/>
          <w:sz w:val="22"/>
          <w:szCs w:val="22"/>
          <w:highlight w:val="none"/>
        </w:rPr>
        <w:t>电子交易平台发生故障而无法登录访问的；</w:t>
      </w:r>
    </w:p>
    <w:p>
      <w:pPr>
        <w:numPr>
          <w:ilvl w:val="2"/>
          <w:numId w:val="3"/>
        </w:numPr>
        <w:tabs>
          <w:tab w:val="left" w:pos="993"/>
        </w:tabs>
        <w:spacing w:line="460" w:lineRule="exact"/>
        <w:ind w:left="993" w:hanging="426"/>
        <w:rPr>
          <w:rFonts w:ascii="宋体"/>
          <w:color w:val="auto"/>
          <w:kern w:val="0"/>
          <w:sz w:val="22"/>
          <w:szCs w:val="22"/>
          <w:highlight w:val="none"/>
        </w:rPr>
      </w:pPr>
      <w:r>
        <w:rPr>
          <w:rFonts w:hint="eastAsia" w:ascii="宋体" w:hAnsi="宋体" w:cs="宋体"/>
          <w:color w:val="auto"/>
          <w:kern w:val="0"/>
          <w:sz w:val="22"/>
          <w:szCs w:val="22"/>
          <w:highlight w:val="none"/>
        </w:rPr>
        <w:t>电子交易平台应用或数据库出现错误，不能进行正常操作的；</w:t>
      </w:r>
    </w:p>
    <w:p>
      <w:pPr>
        <w:numPr>
          <w:ilvl w:val="2"/>
          <w:numId w:val="3"/>
        </w:numPr>
        <w:tabs>
          <w:tab w:val="left" w:pos="993"/>
        </w:tabs>
        <w:spacing w:line="460" w:lineRule="exact"/>
        <w:ind w:left="993" w:hanging="426"/>
        <w:rPr>
          <w:rFonts w:ascii="宋体"/>
          <w:color w:val="auto"/>
          <w:kern w:val="0"/>
          <w:sz w:val="22"/>
          <w:szCs w:val="22"/>
          <w:highlight w:val="none"/>
        </w:rPr>
      </w:pPr>
      <w:r>
        <w:rPr>
          <w:rFonts w:hint="eastAsia" w:ascii="宋体" w:hAnsi="宋体" w:cs="宋体"/>
          <w:color w:val="auto"/>
          <w:kern w:val="0"/>
          <w:sz w:val="22"/>
          <w:szCs w:val="22"/>
          <w:highlight w:val="none"/>
        </w:rPr>
        <w:t>电子交易平台发现严重安全漏洞，有潜在泄密危险的；</w:t>
      </w:r>
    </w:p>
    <w:p>
      <w:pPr>
        <w:numPr>
          <w:ilvl w:val="2"/>
          <w:numId w:val="3"/>
        </w:numPr>
        <w:tabs>
          <w:tab w:val="left" w:pos="993"/>
        </w:tabs>
        <w:spacing w:line="460" w:lineRule="exact"/>
        <w:ind w:left="993" w:hanging="426"/>
        <w:rPr>
          <w:rFonts w:ascii="宋体"/>
          <w:color w:val="auto"/>
          <w:kern w:val="0"/>
          <w:sz w:val="22"/>
          <w:szCs w:val="22"/>
          <w:highlight w:val="none"/>
        </w:rPr>
      </w:pPr>
      <w:r>
        <w:rPr>
          <w:rFonts w:hint="eastAsia" w:ascii="宋体" w:hAnsi="宋体" w:cs="宋体"/>
          <w:color w:val="auto"/>
          <w:kern w:val="0"/>
          <w:sz w:val="22"/>
          <w:szCs w:val="22"/>
          <w:highlight w:val="none"/>
        </w:rPr>
        <w:t>病毒发作导致不能进行正常操作的；</w:t>
      </w:r>
    </w:p>
    <w:p>
      <w:pPr>
        <w:numPr>
          <w:ilvl w:val="2"/>
          <w:numId w:val="3"/>
        </w:numPr>
        <w:tabs>
          <w:tab w:val="left" w:pos="993"/>
        </w:tabs>
        <w:spacing w:line="460" w:lineRule="exact"/>
        <w:ind w:left="993" w:hanging="426"/>
        <w:rPr>
          <w:rFonts w:ascii="宋体"/>
          <w:color w:val="auto"/>
          <w:kern w:val="0"/>
          <w:sz w:val="22"/>
          <w:szCs w:val="22"/>
          <w:highlight w:val="none"/>
        </w:rPr>
      </w:pPr>
      <w:r>
        <w:rPr>
          <w:rFonts w:hint="eastAsia" w:ascii="宋体" w:hAnsi="宋体" w:cs="宋体"/>
          <w:color w:val="auto"/>
          <w:kern w:val="0"/>
          <w:sz w:val="22"/>
          <w:szCs w:val="22"/>
          <w:highlight w:val="none"/>
        </w:rPr>
        <w:t>其他无法保证电子交易的公平、公正和安全的情况。</w:t>
      </w:r>
    </w:p>
    <w:p>
      <w:pPr>
        <w:adjustRightInd w:val="0"/>
        <w:snapToGrid w:val="0"/>
        <w:spacing w:line="460" w:lineRule="atLeast"/>
        <w:ind w:left="414" w:leftChars="197"/>
        <w:rPr>
          <w:rFonts w:ascii="宋体"/>
          <w:color w:val="auto"/>
          <w:sz w:val="22"/>
          <w:szCs w:val="22"/>
          <w:highlight w:val="none"/>
        </w:rPr>
      </w:pPr>
      <w:r>
        <w:rPr>
          <w:rFonts w:ascii="宋体" w:hAnsi="宋体" w:cs="宋体"/>
          <w:color w:val="auto"/>
          <w:sz w:val="22"/>
          <w:szCs w:val="22"/>
          <w:highlight w:val="none"/>
        </w:rPr>
        <w:t>11.2</w:t>
      </w:r>
      <w:r>
        <w:rPr>
          <w:rFonts w:hint="eastAsia" w:ascii="宋体" w:hAnsi="宋体" w:cs="宋体"/>
          <w:color w:val="auto"/>
          <w:sz w:val="22"/>
          <w:szCs w:val="22"/>
          <w:highlight w:val="none"/>
        </w:rPr>
        <w:t>出现前款规定情形，不影响采购公平、公正性的，采购组织机构可以待上述情形消除后继续组织电子交易活动；影响或可能影响采购公平、公正性的，应当重新采购。</w:t>
      </w:r>
    </w:p>
    <w:p>
      <w:pPr>
        <w:widowControl/>
        <w:autoSpaceDE w:val="0"/>
        <w:autoSpaceDN w:val="0"/>
        <w:adjustRightInd w:val="0"/>
        <w:spacing w:line="460" w:lineRule="atLeast"/>
        <w:textAlignment w:val="bottom"/>
        <w:rPr>
          <w:rFonts w:ascii="宋体"/>
          <w:b/>
          <w:bCs/>
          <w:color w:val="auto"/>
          <w:sz w:val="22"/>
          <w:szCs w:val="22"/>
          <w:highlight w:val="none"/>
        </w:rPr>
      </w:pPr>
      <w:bookmarkStart w:id="84" w:name="_Toc496116255"/>
      <w:r>
        <w:rPr>
          <w:rFonts w:hint="eastAsia" w:ascii="宋体" w:hAnsi="宋体" w:cs="宋体"/>
          <w:b/>
          <w:bCs/>
          <w:color w:val="auto"/>
          <w:sz w:val="22"/>
          <w:szCs w:val="22"/>
          <w:highlight w:val="none"/>
        </w:rPr>
        <w:t>七、授予合同</w:t>
      </w:r>
      <w:bookmarkEnd w:id="84"/>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、决标</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1.1</w:t>
      </w:r>
      <w:r>
        <w:rPr>
          <w:rFonts w:hint="eastAsia" w:hAnsi="宋体"/>
          <w:color w:val="auto"/>
          <w:sz w:val="22"/>
          <w:szCs w:val="22"/>
          <w:highlight w:val="none"/>
        </w:rPr>
        <w:t>、评标结束后，评标委员会按照招标文件确定的评标办法推荐中标供应商。</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、中标通知书</w:t>
      </w:r>
    </w:p>
    <w:p>
      <w:pPr>
        <w:spacing w:line="460" w:lineRule="atLeast"/>
        <w:ind w:firstLine="435" w:firstLineChars="197"/>
        <w:rPr>
          <w:rFonts w:ascii="宋体"/>
          <w:b/>
          <w:bCs/>
          <w:color w:val="auto"/>
          <w:sz w:val="22"/>
          <w:szCs w:val="22"/>
          <w:highlight w:val="none"/>
        </w:rPr>
      </w:pPr>
      <w:r>
        <w:rPr>
          <w:rFonts w:ascii="宋体" w:hAnsi="宋体" w:cs="宋体"/>
          <w:b/>
          <w:bCs/>
          <w:color w:val="auto"/>
          <w:sz w:val="22"/>
          <w:szCs w:val="22"/>
          <w:highlight w:val="none"/>
        </w:rPr>
        <w:t>2.1</w:t>
      </w:r>
      <w:r>
        <w:rPr>
          <w:rFonts w:hint="eastAsia" w:ascii="宋体" w:hAnsi="宋体" w:cs="宋体"/>
          <w:b/>
          <w:bCs/>
          <w:color w:val="auto"/>
          <w:sz w:val="22"/>
          <w:szCs w:val="22"/>
          <w:highlight w:val="none"/>
        </w:rPr>
        <w:t>、采购人依法确认中标供应商后，代理机构在浙江省政府采购网上公告中标结果，公告期限为</w:t>
      </w:r>
      <w:r>
        <w:rPr>
          <w:rFonts w:ascii="宋体" w:hAnsi="宋体" w:cs="宋体"/>
          <w:b/>
          <w:bCs/>
          <w:color w:val="auto"/>
          <w:sz w:val="22"/>
          <w:szCs w:val="22"/>
          <w:highlight w:val="none"/>
        </w:rPr>
        <w:t>1</w:t>
      </w:r>
      <w:r>
        <w:rPr>
          <w:rFonts w:hint="eastAsia" w:ascii="宋体" w:hAnsi="宋体" w:cs="宋体"/>
          <w:b/>
          <w:bCs/>
          <w:color w:val="auto"/>
          <w:sz w:val="22"/>
          <w:szCs w:val="22"/>
          <w:highlight w:val="none"/>
        </w:rPr>
        <w:t>个工作日。同时向中标供应商发出中标通知书。</w:t>
      </w:r>
    </w:p>
    <w:p>
      <w:pPr>
        <w:adjustRightInd w:val="0"/>
        <w:snapToGrid w:val="0"/>
        <w:spacing w:line="460" w:lineRule="atLeast"/>
        <w:ind w:firstLine="433" w:firstLineChars="197"/>
        <w:rPr>
          <w:rFonts w:ascii="宋体"/>
          <w:color w:val="auto"/>
          <w:sz w:val="22"/>
          <w:szCs w:val="22"/>
          <w:highlight w:val="none"/>
        </w:rPr>
      </w:pPr>
      <w:r>
        <w:rPr>
          <w:rFonts w:ascii="宋体" w:hAnsi="宋体" w:cs="宋体"/>
          <w:color w:val="auto"/>
          <w:sz w:val="22"/>
          <w:szCs w:val="22"/>
          <w:highlight w:val="none"/>
        </w:rPr>
        <w:t>2.2</w:t>
      </w:r>
      <w:r>
        <w:rPr>
          <w:rFonts w:hint="eastAsia" w:ascii="宋体" w:hAnsi="宋体" w:cs="宋体"/>
          <w:color w:val="auto"/>
          <w:sz w:val="22"/>
          <w:szCs w:val="22"/>
          <w:highlight w:val="none"/>
        </w:rPr>
        <w:t>、中标通知书对采购人和中标人具有法律约束力。中标通知书发出后，采购人改变中标结果或者中标人放弃中标的，应当承担法律责任。</w:t>
      </w:r>
    </w:p>
    <w:p>
      <w:pPr>
        <w:adjustRightInd w:val="0"/>
        <w:snapToGrid w:val="0"/>
        <w:spacing w:line="460" w:lineRule="atLeast"/>
        <w:ind w:firstLine="435" w:firstLineChars="197"/>
        <w:rPr>
          <w:rFonts w:ascii="宋体"/>
          <w:b/>
          <w:bCs/>
          <w:color w:val="auto"/>
          <w:sz w:val="22"/>
          <w:szCs w:val="22"/>
          <w:highlight w:val="none"/>
        </w:rPr>
      </w:pPr>
      <w:r>
        <w:rPr>
          <w:rFonts w:ascii="宋体" w:hAnsi="宋体" w:cs="宋体"/>
          <w:b/>
          <w:bCs/>
          <w:color w:val="auto"/>
          <w:sz w:val="22"/>
          <w:szCs w:val="22"/>
          <w:highlight w:val="none"/>
        </w:rPr>
        <w:t>2.3</w:t>
      </w:r>
      <w:r>
        <w:rPr>
          <w:rFonts w:hint="eastAsia" w:ascii="宋体" w:hAnsi="宋体" w:cs="宋体"/>
          <w:b/>
          <w:bCs/>
          <w:color w:val="auto"/>
          <w:sz w:val="22"/>
          <w:szCs w:val="22"/>
          <w:highlight w:val="none"/>
        </w:rPr>
        <w:t>、中标无效</w:t>
      </w:r>
    </w:p>
    <w:p>
      <w:pPr>
        <w:adjustRightInd w:val="0"/>
        <w:snapToGrid w:val="0"/>
        <w:spacing w:line="460" w:lineRule="atLeast"/>
        <w:ind w:firstLine="433" w:firstLineChars="197"/>
        <w:rPr>
          <w:rFonts w:ascii="宋体" w:hAnsi="宋体" w:cs="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）发现中标供应商资格无效或中标供应商放弃中标或拒绝与采购人签订合同的</w:t>
      </w:r>
      <w:r>
        <w:rPr>
          <w:rFonts w:ascii="宋体" w:cs="宋体"/>
          <w:color w:val="auto"/>
          <w:sz w:val="22"/>
          <w:szCs w:val="22"/>
          <w:highlight w:val="none"/>
        </w:rPr>
        <w:t>,</w:t>
      </w:r>
      <w:r>
        <w:rPr>
          <w:rFonts w:hint="eastAsia" w:ascii="宋体" w:hAnsi="宋体" w:cs="宋体"/>
          <w:color w:val="auto"/>
          <w:sz w:val="22"/>
          <w:szCs w:val="22"/>
          <w:highlight w:val="none"/>
        </w:rPr>
        <w:t>采购人可以按照评审报告推荐的中标候选人名单排序，确定下一候选人为中标供应商，也可以重新开展政府采购活动。</w:t>
      </w:r>
    </w:p>
    <w:p>
      <w:pPr>
        <w:adjustRightInd w:val="0"/>
        <w:snapToGrid w:val="0"/>
        <w:spacing w:line="460" w:lineRule="atLeast"/>
        <w:ind w:firstLine="433" w:firstLineChars="197"/>
        <w:rPr>
          <w:rFonts w:ascii="宋体"/>
          <w:color w:val="auto"/>
          <w:sz w:val="22"/>
          <w:szCs w:val="22"/>
          <w:highlight w:val="none"/>
        </w:rPr>
      </w:pPr>
      <w:r>
        <w:rPr>
          <w:rFonts w:ascii="宋体" w:hAnsi="宋体" w:cs="宋体"/>
          <w:color w:val="auto"/>
          <w:sz w:val="22"/>
          <w:szCs w:val="22"/>
          <w:highlight w:val="none"/>
        </w:rPr>
        <w:t xml:space="preserve">    2</w:t>
      </w:r>
      <w:r>
        <w:rPr>
          <w:rFonts w:hint="eastAsia" w:ascii="宋体" w:hAnsi="宋体" w:cs="宋体"/>
          <w:color w:val="auto"/>
          <w:sz w:val="22"/>
          <w:szCs w:val="22"/>
          <w:highlight w:val="none"/>
        </w:rPr>
        <w:t>）有《中华人民共和国政府采购法实施条例》第七十一条、第七十二条、第七十三条、第七十四条规定的违法行为之一，由政府采购监管部门依法处理。</w:t>
      </w:r>
    </w:p>
    <w:p>
      <w:pPr>
        <w:adjustRightInd w:val="0"/>
        <w:snapToGrid w:val="0"/>
        <w:spacing w:line="460" w:lineRule="atLeast"/>
        <w:ind w:firstLine="433" w:firstLineChars="197"/>
        <w:rPr>
          <w:rFonts w:ascii="宋体"/>
          <w:color w:val="auto"/>
          <w:sz w:val="22"/>
          <w:szCs w:val="22"/>
          <w:highlight w:val="none"/>
        </w:rPr>
      </w:pPr>
      <w:r>
        <w:rPr>
          <w:rFonts w:ascii="宋体" w:hAnsi="宋体" w:cs="宋体"/>
          <w:color w:val="auto"/>
          <w:sz w:val="22"/>
          <w:szCs w:val="22"/>
          <w:highlight w:val="none"/>
        </w:rPr>
        <w:t>4</w:t>
      </w:r>
      <w:r>
        <w:rPr>
          <w:rFonts w:hint="eastAsia" w:ascii="宋体" w:hAnsi="宋体" w:cs="宋体"/>
          <w:color w:val="auto"/>
          <w:sz w:val="22"/>
          <w:szCs w:val="22"/>
          <w:highlight w:val="none"/>
        </w:rPr>
        <w:t>、签订合同</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 xml:space="preserve">4.1 </w:t>
      </w:r>
      <w:r>
        <w:rPr>
          <w:rFonts w:hint="eastAsia" w:hAnsi="宋体"/>
          <w:color w:val="auto"/>
          <w:sz w:val="22"/>
          <w:szCs w:val="22"/>
          <w:highlight w:val="none"/>
        </w:rPr>
        <w:t>中标供应商须主动联系采购人或采购代理机构领取中标通知书。中标供应商应当在中标通知书发出之日起</w:t>
      </w:r>
      <w:r>
        <w:rPr>
          <w:rFonts w:hAnsi="宋体"/>
          <w:color w:val="auto"/>
          <w:sz w:val="22"/>
          <w:szCs w:val="22"/>
          <w:highlight w:val="none"/>
        </w:rPr>
        <w:t>30</w:t>
      </w:r>
      <w:r>
        <w:rPr>
          <w:rFonts w:hint="eastAsia" w:hAnsi="宋体"/>
          <w:color w:val="auto"/>
          <w:sz w:val="22"/>
          <w:szCs w:val="22"/>
          <w:highlight w:val="none"/>
        </w:rPr>
        <w:t>日历天内与采购人签订合同。中标供应商未经采购人许可，在规定时间内未到采购人处与采购人签订合同，则视为拒签合同。</w:t>
      </w:r>
    </w:p>
    <w:p>
      <w:pPr>
        <w:adjustRightInd w:val="0"/>
        <w:snapToGrid w:val="0"/>
        <w:spacing w:line="460" w:lineRule="atLeast"/>
        <w:ind w:firstLine="433" w:firstLineChars="197"/>
        <w:rPr>
          <w:rFonts w:ascii="宋体"/>
          <w:color w:val="auto"/>
          <w:sz w:val="22"/>
          <w:szCs w:val="22"/>
          <w:highlight w:val="none"/>
        </w:rPr>
      </w:pPr>
      <w:r>
        <w:rPr>
          <w:rFonts w:ascii="宋体" w:hAnsi="宋体" w:cs="宋体"/>
          <w:color w:val="auto"/>
          <w:sz w:val="22"/>
          <w:szCs w:val="22"/>
          <w:highlight w:val="none"/>
        </w:rPr>
        <w:t xml:space="preserve">4.2 </w:t>
      </w:r>
      <w:r>
        <w:rPr>
          <w:rFonts w:hint="eastAsia" w:ascii="宋体" w:hAnsi="宋体" w:cs="宋体"/>
          <w:color w:val="auto"/>
          <w:sz w:val="22"/>
          <w:szCs w:val="22"/>
          <w:highlight w:val="none"/>
        </w:rPr>
        <w:t>招标文件、中标供应商的投标文件及投标修改文件、评标过程中有关澄清文件及经双方签字的询标纪要（承诺）和中标通知书均作为合同附件。</w:t>
      </w:r>
    </w:p>
    <w:p>
      <w:pPr>
        <w:adjustRightInd w:val="0"/>
        <w:snapToGrid w:val="0"/>
        <w:spacing w:line="460" w:lineRule="atLeast"/>
        <w:ind w:firstLine="433" w:firstLineChars="197"/>
        <w:rPr>
          <w:rFonts w:ascii="宋体"/>
          <w:color w:val="auto"/>
          <w:sz w:val="22"/>
          <w:szCs w:val="22"/>
          <w:highlight w:val="none"/>
        </w:rPr>
      </w:pPr>
      <w:r>
        <w:rPr>
          <w:rFonts w:ascii="宋体" w:hAnsi="宋体" w:cs="宋体"/>
          <w:color w:val="auto"/>
          <w:sz w:val="22"/>
          <w:szCs w:val="22"/>
          <w:highlight w:val="none"/>
        </w:rPr>
        <w:t xml:space="preserve">4.3 </w:t>
      </w:r>
      <w:r>
        <w:rPr>
          <w:rFonts w:hint="eastAsia" w:ascii="宋体" w:hAnsi="宋体" w:cs="宋体"/>
          <w:color w:val="auto"/>
          <w:sz w:val="22"/>
          <w:szCs w:val="22"/>
          <w:highlight w:val="none"/>
        </w:rPr>
        <w:t>拒签合同的责任</w:t>
      </w:r>
    </w:p>
    <w:p>
      <w:pPr>
        <w:pStyle w:val="23"/>
        <w:snapToGrid w:val="0"/>
        <w:spacing w:line="460" w:lineRule="atLeast"/>
        <w:ind w:firstLine="433" w:firstLineChars="197"/>
        <w:rPr>
          <w:rFonts w:hAnsi="宋体" w:cs="Times New Roman"/>
          <w:color w:val="auto"/>
          <w:sz w:val="22"/>
          <w:szCs w:val="22"/>
          <w:highlight w:val="none"/>
        </w:rPr>
      </w:pPr>
      <w:r>
        <w:rPr>
          <w:rFonts w:hint="eastAsia" w:hAnsi="宋体"/>
          <w:color w:val="auto"/>
          <w:sz w:val="22"/>
          <w:szCs w:val="22"/>
          <w:highlight w:val="none"/>
        </w:rPr>
        <w:t>中标供应商在规定时间内（</w:t>
      </w:r>
      <w:r>
        <w:rPr>
          <w:rFonts w:hAnsi="宋体"/>
          <w:color w:val="auto"/>
          <w:sz w:val="22"/>
          <w:szCs w:val="22"/>
          <w:highlight w:val="none"/>
        </w:rPr>
        <w:t>30</w:t>
      </w:r>
      <w:r>
        <w:rPr>
          <w:rFonts w:hint="eastAsia" w:hAnsi="宋体"/>
          <w:color w:val="auto"/>
          <w:sz w:val="22"/>
          <w:szCs w:val="22"/>
          <w:highlight w:val="none"/>
        </w:rPr>
        <w:t>日历天）借故否认已经承诺的条件、拒签合同或拒交履约保证金者，以投标违约处理，赔偿采购人由此造成的直接经济损失；采购人重新组织招标的，所需费用由原中标供应商承担。</w:t>
      </w:r>
    </w:p>
    <w:p>
      <w:pPr>
        <w:pStyle w:val="23"/>
        <w:snapToGrid w:val="0"/>
        <w:spacing w:line="460" w:lineRule="atLeast"/>
        <w:ind w:firstLine="433" w:firstLineChars="197"/>
        <w:rPr>
          <w:rFonts w:hAnsi="宋体" w:cs="Times New Roman"/>
          <w:color w:val="auto"/>
          <w:sz w:val="22"/>
          <w:szCs w:val="22"/>
          <w:highlight w:val="none"/>
        </w:rPr>
      </w:pPr>
      <w:r>
        <w:rPr>
          <w:rFonts w:hAnsi="宋体"/>
          <w:color w:val="auto"/>
          <w:sz w:val="22"/>
          <w:szCs w:val="22"/>
          <w:highlight w:val="none"/>
        </w:rPr>
        <w:t xml:space="preserve">4.4 </w:t>
      </w:r>
      <w:r>
        <w:rPr>
          <w:rFonts w:hint="eastAsia" w:hAnsi="宋体"/>
          <w:color w:val="auto"/>
          <w:sz w:val="22"/>
          <w:szCs w:val="22"/>
          <w:highlight w:val="none"/>
        </w:rPr>
        <w:t>采购人在授予合同时有权对采购的服务予以增加或减少，但不得对单价或其他的条款和条件做任何改变。</w:t>
      </w:r>
    </w:p>
    <w:p>
      <w:pPr>
        <w:pStyle w:val="23"/>
        <w:snapToGrid w:val="0"/>
        <w:spacing w:line="460" w:lineRule="atLeast"/>
        <w:ind w:firstLine="435" w:firstLineChars="197"/>
        <w:rPr>
          <w:rFonts w:hAnsi="宋体" w:cs="Times New Roman"/>
          <w:b/>
          <w:bCs/>
          <w:color w:val="auto"/>
          <w:sz w:val="22"/>
          <w:szCs w:val="22"/>
          <w:highlight w:val="none"/>
        </w:rPr>
      </w:pPr>
      <w:r>
        <w:rPr>
          <w:rFonts w:hAnsi="宋体"/>
          <w:b/>
          <w:bCs/>
          <w:color w:val="auto"/>
          <w:sz w:val="22"/>
          <w:szCs w:val="22"/>
          <w:highlight w:val="none"/>
        </w:rPr>
        <w:t>5</w:t>
      </w:r>
      <w:r>
        <w:rPr>
          <w:rFonts w:hint="eastAsia" w:hAnsi="宋体"/>
          <w:b/>
          <w:bCs/>
          <w:color w:val="auto"/>
          <w:sz w:val="22"/>
          <w:szCs w:val="22"/>
          <w:highlight w:val="none"/>
        </w:rPr>
        <w:t>、履约保证金</w:t>
      </w:r>
    </w:p>
    <w:p>
      <w:pPr>
        <w:autoSpaceDE w:val="0"/>
        <w:autoSpaceDN w:val="0"/>
        <w:adjustRightInd w:val="0"/>
        <w:snapToGrid w:val="0"/>
        <w:spacing w:line="460" w:lineRule="atLeast"/>
        <w:ind w:firstLine="433" w:firstLineChars="197"/>
        <w:textAlignment w:val="bottom"/>
        <w:rPr>
          <w:rFonts w:ascii="宋体"/>
          <w:color w:val="auto"/>
          <w:sz w:val="22"/>
          <w:szCs w:val="22"/>
          <w:highlight w:val="none"/>
          <w:u w:val="single"/>
        </w:rPr>
      </w:pPr>
      <w:r>
        <w:rPr>
          <w:rFonts w:hint="eastAsia" w:ascii="宋体" w:hAnsi="宋体" w:cs="宋体"/>
          <w:color w:val="auto"/>
          <w:sz w:val="22"/>
          <w:szCs w:val="22"/>
          <w:highlight w:val="none"/>
          <w:u w:val="single"/>
        </w:rPr>
        <w:t>履约保证金按招标文件规定，在中标人与采购人签订合同后递交。</w:t>
      </w:r>
    </w:p>
    <w:p>
      <w:pPr>
        <w:pStyle w:val="23"/>
        <w:spacing w:line="460" w:lineRule="atLeast"/>
        <w:ind w:firstLine="440" w:firstLineChars="200"/>
        <w:rPr>
          <w:rFonts w:hAnsi="宋体" w:cs="Times New Roman"/>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、招标代理服务费</w:t>
      </w:r>
    </w:p>
    <w:p>
      <w:pPr>
        <w:pStyle w:val="23"/>
        <w:spacing w:line="460" w:lineRule="atLeast"/>
        <w:ind w:firstLine="440" w:firstLineChars="200"/>
        <w:rPr>
          <w:rFonts w:hAnsi="宋体" w:cs="Times New Roman"/>
          <w:color w:val="auto"/>
          <w:sz w:val="22"/>
          <w:szCs w:val="22"/>
          <w:highlight w:val="none"/>
        </w:rPr>
      </w:pPr>
      <w:r>
        <w:rPr>
          <w:rFonts w:hAnsi="宋体"/>
          <w:color w:val="auto"/>
          <w:sz w:val="22"/>
          <w:szCs w:val="22"/>
          <w:highlight w:val="none"/>
        </w:rPr>
        <w:t>6.1</w:t>
      </w:r>
      <w:r>
        <w:rPr>
          <w:rFonts w:hint="eastAsia" w:hAnsi="宋体"/>
          <w:color w:val="auto"/>
          <w:sz w:val="22"/>
          <w:szCs w:val="22"/>
          <w:highlight w:val="none"/>
        </w:rPr>
        <w:t>、本次项目招标代理服务费按固定金额</w:t>
      </w:r>
      <w:r>
        <w:rPr>
          <w:rFonts w:hAnsi="宋体"/>
          <w:color w:val="auto"/>
          <w:sz w:val="22"/>
          <w:szCs w:val="22"/>
          <w:highlight w:val="none"/>
        </w:rPr>
        <w:t>50</w:t>
      </w:r>
      <w:r>
        <w:rPr>
          <w:rFonts w:hint="eastAsia" w:hAnsi="宋体"/>
          <w:color w:val="auto"/>
          <w:sz w:val="22"/>
          <w:szCs w:val="22"/>
          <w:highlight w:val="none"/>
        </w:rPr>
        <w:t>000元整收取。采购人不负责任何招标代理服务费用。招标代理服务费由中标人支付，请报价人在报价时予以考虑。招标代理服务费汇入以下帐户：</w:t>
      </w:r>
    </w:p>
    <w:p>
      <w:pPr>
        <w:pStyle w:val="23"/>
        <w:spacing w:line="460" w:lineRule="atLeast"/>
        <w:ind w:firstLine="440" w:firstLineChars="200"/>
        <w:rPr>
          <w:rFonts w:hAnsi="宋体" w:cs="Times New Roman"/>
          <w:color w:val="auto"/>
          <w:sz w:val="22"/>
          <w:szCs w:val="22"/>
          <w:highlight w:val="none"/>
        </w:rPr>
      </w:pPr>
      <w:r>
        <w:rPr>
          <w:rFonts w:hint="eastAsia" w:hAnsi="宋体"/>
          <w:color w:val="auto"/>
          <w:sz w:val="22"/>
          <w:szCs w:val="22"/>
          <w:highlight w:val="none"/>
        </w:rPr>
        <w:t>开户银行：中国建设银行永嘉广场支行</w:t>
      </w:r>
    </w:p>
    <w:p>
      <w:pPr>
        <w:pStyle w:val="23"/>
        <w:spacing w:line="460" w:lineRule="atLeast"/>
        <w:ind w:firstLine="440" w:firstLineChars="200"/>
        <w:rPr>
          <w:rFonts w:hAnsi="宋体" w:cs="Times New Roman"/>
          <w:color w:val="auto"/>
          <w:sz w:val="22"/>
          <w:szCs w:val="22"/>
          <w:highlight w:val="none"/>
        </w:rPr>
      </w:pPr>
      <w:r>
        <w:rPr>
          <w:rFonts w:hint="eastAsia" w:hAnsi="宋体"/>
          <w:color w:val="auto"/>
          <w:sz w:val="22"/>
          <w:szCs w:val="22"/>
          <w:highlight w:val="none"/>
        </w:rPr>
        <w:t>开户名称：温州市中概工程管理咨询有限公司</w:t>
      </w:r>
    </w:p>
    <w:p>
      <w:pPr>
        <w:pStyle w:val="23"/>
        <w:spacing w:line="460" w:lineRule="atLeast"/>
        <w:ind w:firstLine="440" w:firstLineChars="200"/>
        <w:rPr>
          <w:rFonts w:hAnsi="宋体"/>
          <w:color w:val="auto"/>
          <w:sz w:val="22"/>
          <w:szCs w:val="22"/>
          <w:highlight w:val="none"/>
        </w:rPr>
      </w:pPr>
      <w:r>
        <w:rPr>
          <w:rFonts w:hint="eastAsia" w:hAnsi="宋体"/>
          <w:color w:val="auto"/>
          <w:sz w:val="22"/>
          <w:szCs w:val="22"/>
          <w:highlight w:val="none"/>
        </w:rPr>
        <w:t>开户帐号：</w:t>
      </w:r>
      <w:r>
        <w:rPr>
          <w:rFonts w:hAnsi="宋体"/>
          <w:color w:val="auto"/>
          <w:sz w:val="22"/>
          <w:szCs w:val="22"/>
          <w:highlight w:val="none"/>
        </w:rPr>
        <w:t>33050162766300000011</w:t>
      </w:r>
    </w:p>
    <w:p>
      <w:pPr>
        <w:pStyle w:val="23"/>
        <w:spacing w:line="460" w:lineRule="atLeast"/>
        <w:ind w:firstLine="440" w:firstLineChars="200"/>
        <w:rPr>
          <w:rFonts w:hAnsi="宋体" w:cs="Times New Roman"/>
          <w:color w:val="auto"/>
          <w:sz w:val="22"/>
          <w:szCs w:val="22"/>
          <w:highlight w:val="none"/>
        </w:rPr>
      </w:pPr>
      <w:r>
        <w:rPr>
          <w:rFonts w:hint="eastAsia" w:hAnsi="宋体"/>
          <w:color w:val="auto"/>
          <w:sz w:val="22"/>
          <w:szCs w:val="22"/>
          <w:highlight w:val="none"/>
        </w:rPr>
        <w:t>招标代理服务费须在领取《中标通知书》前付清。</w:t>
      </w:r>
    </w:p>
    <w:p>
      <w:pPr>
        <w:spacing w:line="360" w:lineRule="auto"/>
        <w:ind w:left="480" w:hanging="480" w:hangingChars="200"/>
        <w:rPr>
          <w:rFonts w:ascii="宋体"/>
          <w:color w:val="auto"/>
          <w:sz w:val="24"/>
          <w:szCs w:val="24"/>
          <w:highlight w:val="none"/>
        </w:rPr>
      </w:pPr>
      <w:bookmarkStart w:id="85" w:name="_Toc293038718"/>
    </w:p>
    <w:bookmarkEnd w:id="85"/>
    <w:p>
      <w:pPr>
        <w:spacing w:line="360" w:lineRule="auto"/>
        <w:ind w:left="480" w:hanging="480" w:hangingChars="200"/>
        <w:rPr>
          <w:rFonts w:ascii="宋体"/>
          <w:color w:val="auto"/>
          <w:sz w:val="24"/>
          <w:szCs w:val="24"/>
          <w:highlight w:val="none"/>
        </w:rPr>
        <w:sectPr>
          <w:pgSz w:w="11906" w:h="16838"/>
          <w:pgMar w:top="1134" w:right="1134" w:bottom="1134" w:left="1134" w:header="851" w:footer="850" w:gutter="0"/>
          <w:cols w:space="720" w:num="1"/>
          <w:titlePg/>
          <w:docGrid w:type="lines" w:linePitch="312" w:charSpace="0"/>
        </w:sectPr>
      </w:pPr>
    </w:p>
    <w:p>
      <w:pPr>
        <w:pStyle w:val="39"/>
        <w:rPr>
          <w:rFonts w:ascii="宋体" w:hAnsi="宋体"/>
          <w:color w:val="auto"/>
          <w:highlight w:val="none"/>
        </w:rPr>
      </w:pPr>
      <w:bookmarkStart w:id="86" w:name="_Toc18477"/>
      <w:bookmarkStart w:id="87" w:name="_Toc498343170"/>
      <w:bookmarkStart w:id="88" w:name="_Toc293038719"/>
      <w:r>
        <w:rPr>
          <w:rFonts w:hint="eastAsia" w:ascii="宋体" w:hAnsi="宋体" w:cs="宋体"/>
          <w:color w:val="auto"/>
          <w:sz w:val="30"/>
          <w:szCs w:val="30"/>
          <w:highlight w:val="none"/>
        </w:rPr>
        <w:t>第四部分   合同格式（仅供参考）</w:t>
      </w:r>
      <w:bookmarkEnd w:id="86"/>
    </w:p>
    <w:p>
      <w:pPr>
        <w:pStyle w:val="39"/>
        <w:rPr>
          <w:rFonts w:ascii="宋体" w:hAnsi="宋体"/>
          <w:color w:val="auto"/>
          <w:highlight w:val="none"/>
        </w:rPr>
      </w:pPr>
      <w:bookmarkStart w:id="89" w:name="_Toc96954532"/>
      <w:bookmarkStart w:id="90" w:name="_Toc58932708"/>
      <w:bookmarkStart w:id="91" w:name="_Toc99807473"/>
      <w:bookmarkStart w:id="92" w:name="_Toc6476"/>
      <w:bookmarkStart w:id="93" w:name="_Toc6455"/>
      <w:r>
        <w:rPr>
          <w:rFonts w:hint="eastAsia" w:ascii="宋体" w:hAnsi="宋体"/>
          <w:b w:val="0"/>
          <w:color w:val="auto"/>
          <w:sz w:val="22"/>
          <w:szCs w:val="22"/>
          <w:highlight w:val="none"/>
        </w:rPr>
        <w:t>合同编号  ：</w:t>
      </w:r>
      <w:bookmarkEnd w:id="89"/>
      <w:bookmarkEnd w:id="90"/>
      <w:bookmarkEnd w:id="91"/>
      <w:bookmarkEnd w:id="92"/>
      <w:bookmarkEnd w:id="93"/>
    </w:p>
    <w:p>
      <w:pPr>
        <w:rPr>
          <w:rFonts w:ascii="宋体" w:cs="Arial"/>
          <w:color w:val="auto"/>
          <w:sz w:val="36"/>
          <w:highlight w:val="none"/>
        </w:rPr>
      </w:pPr>
    </w:p>
    <w:p>
      <w:pPr>
        <w:spacing w:line="440" w:lineRule="exact"/>
        <w:ind w:firstLine="440" w:firstLineChars="200"/>
        <w:rPr>
          <w:rFonts w:ascii="宋体" w:cs="新宋体"/>
          <w:color w:val="auto"/>
          <w:sz w:val="22"/>
          <w:szCs w:val="22"/>
          <w:highlight w:val="none"/>
        </w:rPr>
      </w:pPr>
      <w:r>
        <w:rPr>
          <w:rFonts w:hint="eastAsia" w:ascii="宋体" w:cs="新宋体"/>
          <w:color w:val="auto"/>
          <w:sz w:val="22"/>
          <w:szCs w:val="22"/>
          <w:highlight w:val="none"/>
        </w:rPr>
        <w:t>说明：如甲、乙双方同意，合同格式也可以按照其他形式。但合同条款的基本内容应与《中标合同》要求的内容相一致。</w:t>
      </w:r>
    </w:p>
    <w:p>
      <w:pPr>
        <w:rPr>
          <w:rFonts w:ascii="宋体" w:cs="新宋体"/>
          <w:color w:val="auto"/>
          <w:highlight w:val="none"/>
        </w:rPr>
      </w:pPr>
    </w:p>
    <w:p>
      <w:pPr>
        <w:autoSpaceDE w:val="0"/>
        <w:autoSpaceDN w:val="0"/>
        <w:spacing w:line="440" w:lineRule="exact"/>
        <w:jc w:val="center"/>
        <w:textAlignment w:val="bottom"/>
        <w:rPr>
          <w:rFonts w:ascii="宋体" w:cs="新宋体"/>
          <w:color w:val="auto"/>
          <w:sz w:val="44"/>
          <w:highlight w:val="none"/>
        </w:rPr>
      </w:pPr>
    </w:p>
    <w:p>
      <w:pPr>
        <w:autoSpaceDE w:val="0"/>
        <w:autoSpaceDN w:val="0"/>
        <w:spacing w:line="500" w:lineRule="atLeast"/>
        <w:jc w:val="center"/>
        <w:textAlignment w:val="bottom"/>
        <w:rPr>
          <w:rFonts w:ascii="宋体" w:cs="新宋体"/>
          <w:color w:val="auto"/>
          <w:sz w:val="24"/>
          <w:highlight w:val="none"/>
        </w:rPr>
      </w:pPr>
      <w:r>
        <w:rPr>
          <w:rFonts w:hint="eastAsia" w:ascii="宋体" w:cs="新宋体"/>
          <w:color w:val="auto"/>
          <w:sz w:val="24"/>
          <w:highlight w:val="none"/>
        </w:rPr>
        <w:t>中标合同</w:t>
      </w:r>
    </w:p>
    <w:p>
      <w:pPr>
        <w:autoSpaceDE w:val="0"/>
        <w:autoSpaceDN w:val="0"/>
        <w:spacing w:line="500" w:lineRule="atLeast"/>
        <w:jc w:val="center"/>
        <w:textAlignment w:val="bottom"/>
        <w:rPr>
          <w:rFonts w:ascii="宋体" w:cs="新宋体"/>
          <w:color w:val="auto"/>
          <w:sz w:val="24"/>
          <w:highlight w:val="none"/>
        </w:rPr>
      </w:pPr>
    </w:p>
    <w:p>
      <w:pPr>
        <w:autoSpaceDE w:val="0"/>
        <w:autoSpaceDN w:val="0"/>
        <w:spacing w:line="580" w:lineRule="atLeast"/>
        <w:textAlignment w:val="bottom"/>
        <w:rPr>
          <w:rFonts w:ascii="宋体" w:cs="新宋体"/>
          <w:color w:val="auto"/>
          <w:sz w:val="24"/>
          <w:highlight w:val="none"/>
        </w:rPr>
      </w:pP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项目名称：</w:t>
      </w:r>
      <w:r>
        <w:rPr>
          <w:rFonts w:hint="eastAsia" w:ascii="宋体" w:cs="新宋体"/>
          <w:color w:val="auto"/>
          <w:sz w:val="24"/>
          <w:highlight w:val="none"/>
          <w:u w:val="single"/>
        </w:rPr>
        <w:t xml:space="preserve">                      </w:t>
      </w:r>
    </w:p>
    <w:p>
      <w:pPr>
        <w:autoSpaceDE w:val="0"/>
        <w:autoSpaceDN w:val="0"/>
        <w:spacing w:line="580" w:lineRule="atLeast"/>
        <w:textAlignment w:val="bottom"/>
        <w:rPr>
          <w:rFonts w:ascii="宋体" w:cs="新宋体"/>
          <w:color w:val="auto"/>
          <w:sz w:val="24"/>
          <w:highlight w:val="none"/>
        </w:rPr>
      </w:pP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合同编号：</w:t>
      </w:r>
      <w:r>
        <w:rPr>
          <w:rFonts w:hint="eastAsia" w:ascii="宋体" w:cs="新宋体"/>
          <w:color w:val="auto"/>
          <w:sz w:val="24"/>
          <w:highlight w:val="none"/>
          <w:u w:val="single"/>
        </w:rPr>
        <w:t xml:space="preserve">                      </w:t>
      </w:r>
    </w:p>
    <w:p>
      <w:pPr>
        <w:autoSpaceDE w:val="0"/>
        <w:autoSpaceDN w:val="0"/>
        <w:spacing w:line="580" w:lineRule="atLeast"/>
        <w:textAlignment w:val="bottom"/>
        <w:rPr>
          <w:rFonts w:ascii="宋体" w:cs="新宋体"/>
          <w:color w:val="auto"/>
          <w:sz w:val="24"/>
          <w:highlight w:val="none"/>
        </w:rPr>
      </w:pPr>
    </w:p>
    <w:p>
      <w:pPr>
        <w:autoSpaceDE w:val="0"/>
        <w:autoSpaceDN w:val="0"/>
        <w:spacing w:line="580" w:lineRule="atLeast"/>
        <w:textAlignment w:val="bottom"/>
        <w:rPr>
          <w:rFonts w:ascii="宋体" w:cs="新宋体"/>
          <w:color w:val="auto"/>
          <w:sz w:val="24"/>
          <w:highlight w:val="none"/>
        </w:rPr>
      </w:pPr>
    </w:p>
    <w:p>
      <w:pPr>
        <w:autoSpaceDE w:val="0"/>
        <w:autoSpaceDN w:val="0"/>
        <w:spacing w:line="580" w:lineRule="atLeast"/>
        <w:textAlignment w:val="bottom"/>
        <w:rPr>
          <w:rFonts w:ascii="宋体" w:cs="新宋体"/>
          <w:color w:val="auto"/>
          <w:sz w:val="24"/>
          <w:highlight w:val="none"/>
        </w:rPr>
      </w:pPr>
    </w:p>
    <w:p>
      <w:pPr>
        <w:autoSpaceDE w:val="0"/>
        <w:autoSpaceDN w:val="0"/>
        <w:spacing w:line="580" w:lineRule="atLeast"/>
        <w:textAlignment w:val="bottom"/>
        <w:rPr>
          <w:rFonts w:ascii="宋体" w:cs="新宋体"/>
          <w:color w:val="auto"/>
          <w:sz w:val="24"/>
          <w:highlight w:val="none"/>
        </w:rPr>
      </w:pPr>
    </w:p>
    <w:p>
      <w:pPr>
        <w:autoSpaceDE w:val="0"/>
        <w:autoSpaceDN w:val="0"/>
        <w:spacing w:line="580" w:lineRule="atLeast"/>
        <w:textAlignment w:val="bottom"/>
        <w:rPr>
          <w:rFonts w:ascii="宋体" w:cs="新宋体"/>
          <w:color w:val="auto"/>
          <w:sz w:val="24"/>
          <w:highlight w:val="none"/>
          <w:u w:val="single"/>
        </w:rPr>
      </w:pP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甲    方：</w:t>
      </w:r>
      <w:r>
        <w:rPr>
          <w:rFonts w:hint="eastAsia" w:ascii="宋体" w:cs="新宋体"/>
          <w:color w:val="auto"/>
          <w:sz w:val="24"/>
          <w:highlight w:val="none"/>
          <w:u w:val="single"/>
        </w:rPr>
        <w:t xml:space="preserve">                      </w:t>
      </w:r>
    </w:p>
    <w:p>
      <w:pPr>
        <w:autoSpaceDE w:val="0"/>
        <w:autoSpaceDN w:val="0"/>
        <w:spacing w:line="580" w:lineRule="atLeast"/>
        <w:textAlignment w:val="bottom"/>
        <w:rPr>
          <w:rFonts w:ascii="宋体" w:cs="新宋体"/>
          <w:color w:val="auto"/>
          <w:sz w:val="24"/>
          <w:highlight w:val="none"/>
        </w:rPr>
      </w:pP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乙    方：</w:t>
      </w:r>
      <w:r>
        <w:rPr>
          <w:rFonts w:hint="eastAsia" w:ascii="宋体" w:cs="新宋体"/>
          <w:color w:val="auto"/>
          <w:sz w:val="24"/>
          <w:highlight w:val="none"/>
          <w:u w:val="single"/>
        </w:rPr>
        <w:t xml:space="preserve">                      </w:t>
      </w:r>
    </w:p>
    <w:p>
      <w:pPr>
        <w:spacing w:line="460" w:lineRule="exact"/>
        <w:rPr>
          <w:rFonts w:ascii="宋体" w:cs="新宋体"/>
          <w:color w:val="auto"/>
          <w:sz w:val="24"/>
          <w:highlight w:val="none"/>
          <w:u w:val="single"/>
        </w:rPr>
      </w:pP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ab/>
      </w:r>
      <w:r>
        <w:rPr>
          <w:rFonts w:hint="eastAsia" w:ascii="宋体" w:cs="新宋体"/>
          <w:color w:val="auto"/>
          <w:sz w:val="24"/>
          <w:highlight w:val="none"/>
        </w:rPr>
        <w:t>签署日期：</w:t>
      </w:r>
      <w:r>
        <w:rPr>
          <w:rFonts w:hint="eastAsia" w:ascii="宋体" w:cs="新宋体"/>
          <w:color w:val="auto"/>
          <w:sz w:val="24"/>
          <w:highlight w:val="none"/>
          <w:u w:val="single"/>
        </w:rPr>
        <w:t xml:space="preserve">                      </w:t>
      </w:r>
    </w:p>
    <w:p>
      <w:pPr>
        <w:spacing w:line="360" w:lineRule="exact"/>
        <w:rPr>
          <w:rFonts w:ascii="宋体" w:cs="新宋体"/>
          <w:color w:val="auto"/>
          <w:sz w:val="32"/>
          <w:highlight w:val="none"/>
        </w:rPr>
      </w:pPr>
    </w:p>
    <w:p>
      <w:pPr>
        <w:spacing w:line="430" w:lineRule="atLeast"/>
        <w:rPr>
          <w:rFonts w:ascii="宋体"/>
          <w:color w:val="auto"/>
          <w:sz w:val="22"/>
          <w:szCs w:val="22"/>
          <w:highlight w:val="none"/>
        </w:rPr>
      </w:pPr>
      <w:r>
        <w:rPr>
          <w:rFonts w:hint="eastAsia" w:ascii="宋体"/>
          <w:color w:val="auto"/>
          <w:sz w:val="22"/>
          <w:szCs w:val="22"/>
          <w:highlight w:val="none"/>
        </w:rPr>
        <w:t xml:space="preserve">  </w:t>
      </w:r>
    </w:p>
    <w:p>
      <w:pPr>
        <w:spacing w:line="430" w:lineRule="atLeast"/>
        <w:rPr>
          <w:rFonts w:ascii="宋体"/>
          <w:color w:val="auto"/>
          <w:sz w:val="22"/>
          <w:szCs w:val="22"/>
          <w:highlight w:val="none"/>
          <w:u w:val="single"/>
        </w:rPr>
      </w:pPr>
      <w:r>
        <w:rPr>
          <w:rFonts w:hint="eastAsia" w:ascii="宋体"/>
          <w:color w:val="auto"/>
          <w:sz w:val="22"/>
          <w:szCs w:val="22"/>
          <w:highlight w:val="none"/>
        </w:rPr>
        <w:t xml:space="preserve">  </w:t>
      </w:r>
    </w:p>
    <w:p>
      <w:pPr>
        <w:pStyle w:val="23"/>
        <w:jc w:val="center"/>
        <w:outlineLvl w:val="0"/>
        <w:rPr>
          <w:rFonts w:hAnsi="宋体"/>
          <w:color w:val="auto"/>
          <w:sz w:val="44"/>
          <w:highlight w:val="none"/>
        </w:rPr>
      </w:pPr>
    </w:p>
    <w:p>
      <w:pPr>
        <w:pStyle w:val="39"/>
        <w:rPr>
          <w:rFonts w:ascii="宋体" w:hAnsi="宋体"/>
          <w:b w:val="0"/>
          <w:color w:val="auto"/>
          <w:highlight w:val="none"/>
        </w:rPr>
      </w:pPr>
    </w:p>
    <w:p>
      <w:pPr>
        <w:pStyle w:val="39"/>
        <w:rPr>
          <w:rFonts w:ascii="宋体" w:hAnsi="宋体"/>
          <w:b w:val="0"/>
          <w:color w:val="auto"/>
          <w:highlight w:val="none"/>
        </w:rPr>
      </w:pPr>
    </w:p>
    <w:p>
      <w:pPr>
        <w:pStyle w:val="39"/>
        <w:rPr>
          <w:rFonts w:ascii="宋体" w:hAnsi="宋体"/>
          <w:color w:val="auto"/>
          <w:highlight w:val="none"/>
        </w:rPr>
      </w:pPr>
      <w:bookmarkStart w:id="94" w:name="_Toc21593500"/>
      <w:bookmarkStart w:id="95" w:name="_Toc21593329"/>
      <w:r>
        <w:rPr>
          <w:rFonts w:ascii="宋体" w:hAnsi="宋体"/>
          <w:b w:val="0"/>
          <w:color w:val="auto"/>
          <w:highlight w:val="none"/>
        </w:rPr>
        <w:br w:type="page"/>
      </w:r>
      <w:bookmarkStart w:id="96" w:name="_Toc22892521"/>
      <w:bookmarkStart w:id="97" w:name="_Toc58932709"/>
      <w:bookmarkStart w:id="98" w:name="_Toc2073"/>
      <w:r>
        <w:rPr>
          <w:rFonts w:hint="eastAsia" w:ascii="宋体" w:hAnsi="宋体" w:cs="宋体"/>
          <w:color w:val="auto"/>
          <w:sz w:val="30"/>
          <w:szCs w:val="30"/>
          <w:highlight w:val="none"/>
        </w:rPr>
        <w:t xml:space="preserve">第五部分   </w:t>
      </w:r>
      <w:r>
        <w:rPr>
          <w:rFonts w:hint="eastAsia" w:ascii="宋体" w:hAnsi="宋体"/>
          <w:color w:val="auto"/>
          <w:highlight w:val="none"/>
        </w:rPr>
        <w:t>合同主要条款</w:t>
      </w:r>
      <w:bookmarkEnd w:id="94"/>
      <w:bookmarkEnd w:id="95"/>
      <w:bookmarkEnd w:id="96"/>
      <w:bookmarkEnd w:id="97"/>
      <w:bookmarkEnd w:id="98"/>
    </w:p>
    <w:p>
      <w:pPr>
        <w:spacing w:line="360" w:lineRule="auto"/>
        <w:ind w:left="688" w:leftChars="275" w:hanging="110" w:hangingChars="50"/>
        <w:rPr>
          <w:rFonts w:ascii="宋体" w:hAnsi="宋体" w:cs="新宋体"/>
          <w:color w:val="auto"/>
          <w:sz w:val="22"/>
          <w:szCs w:val="22"/>
          <w:highlight w:val="none"/>
        </w:rPr>
      </w:pPr>
      <w:r>
        <w:rPr>
          <w:rFonts w:hint="eastAsia" w:ascii="宋体" w:hAnsi="宋体" w:cs="新宋体"/>
          <w:color w:val="auto"/>
          <w:sz w:val="22"/>
          <w:szCs w:val="22"/>
          <w:highlight w:val="none"/>
        </w:rPr>
        <w:t>编号  ：</w:t>
      </w:r>
    </w:p>
    <w:p>
      <w:pPr>
        <w:spacing w:line="360" w:lineRule="auto"/>
        <w:ind w:left="688" w:leftChars="275" w:hanging="110" w:hangingChars="50"/>
        <w:rPr>
          <w:rFonts w:ascii="宋体" w:hAnsi="宋体" w:cs="新宋体"/>
          <w:color w:val="auto"/>
          <w:sz w:val="22"/>
          <w:szCs w:val="22"/>
          <w:highlight w:val="none"/>
        </w:rPr>
      </w:pPr>
    </w:p>
    <w:p>
      <w:pPr>
        <w:spacing w:line="360" w:lineRule="auto"/>
        <w:ind w:left="686" w:hanging="686" w:hangingChars="312"/>
        <w:rPr>
          <w:rFonts w:ascii="宋体" w:hAnsi="宋体" w:cs="新宋体"/>
          <w:color w:val="auto"/>
          <w:sz w:val="22"/>
          <w:szCs w:val="22"/>
          <w:highlight w:val="none"/>
        </w:rPr>
      </w:pPr>
      <w:r>
        <w:rPr>
          <w:rFonts w:hint="eastAsia" w:ascii="宋体" w:hAnsi="宋体" w:cs="新宋体"/>
          <w:color w:val="auto"/>
          <w:sz w:val="22"/>
          <w:szCs w:val="22"/>
          <w:highlight w:val="none"/>
        </w:rPr>
        <w:t>甲方：采购人</w:t>
      </w:r>
    </w:p>
    <w:p>
      <w:pPr>
        <w:spacing w:line="360" w:lineRule="auto"/>
        <w:ind w:left="686" w:hanging="686" w:hangingChars="312"/>
        <w:rPr>
          <w:rFonts w:ascii="宋体" w:hAnsi="宋体" w:cs="新宋体"/>
          <w:color w:val="auto"/>
          <w:sz w:val="22"/>
          <w:szCs w:val="22"/>
          <w:highlight w:val="none"/>
        </w:rPr>
      </w:pPr>
      <w:r>
        <w:rPr>
          <w:rFonts w:hint="eastAsia" w:ascii="宋体" w:hAnsi="宋体" w:cs="新宋体"/>
          <w:color w:val="auto"/>
          <w:sz w:val="22"/>
          <w:szCs w:val="22"/>
          <w:highlight w:val="none"/>
        </w:rPr>
        <w:t>乙方：本次招标的中标供应商</w:t>
      </w:r>
    </w:p>
    <w:p>
      <w:pPr>
        <w:spacing w:line="440" w:lineRule="exact"/>
        <w:jc w:val="left"/>
        <w:rPr>
          <w:rFonts w:ascii="宋体" w:hAnsi="宋体" w:cs="新宋体"/>
          <w:b/>
          <w:color w:val="auto"/>
          <w:spacing w:val="5"/>
          <w:sz w:val="22"/>
          <w:szCs w:val="22"/>
          <w:highlight w:val="none"/>
        </w:rPr>
      </w:pPr>
      <w:r>
        <w:rPr>
          <w:rFonts w:hint="eastAsia" w:ascii="宋体" w:hAnsi="宋体" w:cs="新宋体"/>
          <w:b/>
          <w:color w:val="auto"/>
          <w:spacing w:val="5"/>
          <w:sz w:val="22"/>
          <w:szCs w:val="22"/>
          <w:highlight w:val="none"/>
        </w:rPr>
        <w:t>一、承包区域及内容</w:t>
      </w:r>
    </w:p>
    <w:p>
      <w:pPr>
        <w:pStyle w:val="71"/>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u w:val="single"/>
        </w:rPr>
        <w:t>承包区域：                                                            。</w:t>
      </w:r>
    </w:p>
    <w:p>
      <w:pPr>
        <w:pStyle w:val="71"/>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u w:val="single"/>
        </w:rPr>
        <w:t>服务内容：病房、电梯厅、通道、楼梯、卫生间、开水间、配餐房、办公室、护士站、医护值班室及其他用房地面、墙面、天花板、门窗玻璃、门及门窗框，墙壁附体、办公家具、设备，普通机器（如空调表面及过滤网、电梯表面及沟槽、电视机等，下同）、病床、床头柜、储衣柜、设备带、椅、凳等表面，病区推车去线条上油及规定的消毒要求，及医技科室（消毒任务不多的科室）等必须严格按消毒要求清洁等工作内容。</w:t>
      </w:r>
    </w:p>
    <w:p>
      <w:pPr>
        <w:spacing w:line="440" w:lineRule="exact"/>
        <w:jc w:val="left"/>
        <w:rPr>
          <w:rFonts w:ascii="宋体" w:hAnsi="宋体" w:cs="新宋体"/>
          <w:b/>
          <w:color w:val="auto"/>
          <w:sz w:val="22"/>
          <w:szCs w:val="22"/>
          <w:highlight w:val="none"/>
        </w:rPr>
      </w:pPr>
      <w:r>
        <w:rPr>
          <w:rFonts w:hint="eastAsia" w:ascii="宋体" w:hAnsi="宋体" w:cs="新宋体"/>
          <w:b/>
          <w:color w:val="auto"/>
          <w:sz w:val="22"/>
          <w:szCs w:val="22"/>
          <w:highlight w:val="none"/>
        </w:rPr>
        <w:t>二、承包期限</w:t>
      </w:r>
    </w:p>
    <w:p>
      <w:pPr>
        <w:numPr>
          <w:ilvl w:val="0"/>
          <w:numId w:val="11"/>
        </w:numPr>
        <w:spacing w:line="440" w:lineRule="exact"/>
        <w:jc w:val="left"/>
        <w:rPr>
          <w:rFonts w:ascii="宋体" w:hAnsi="宋体" w:cs="新宋体"/>
          <w:color w:val="auto"/>
          <w:sz w:val="22"/>
          <w:szCs w:val="22"/>
          <w:highlight w:val="none"/>
        </w:rPr>
      </w:pPr>
      <w:r>
        <w:rPr>
          <w:rFonts w:hint="eastAsia" w:ascii="宋体" w:hAnsi="宋体" w:cs="新宋体"/>
          <w:color w:val="auto"/>
          <w:sz w:val="22"/>
          <w:szCs w:val="22"/>
          <w:highlight w:val="none"/>
        </w:rPr>
        <w:t>即从</w:t>
      </w:r>
      <w:r>
        <w:rPr>
          <w:rFonts w:hint="eastAsia" w:ascii="宋体" w:hAnsi="宋体" w:cs="新宋体"/>
          <w:color w:val="auto"/>
          <w:sz w:val="22"/>
          <w:szCs w:val="22"/>
          <w:highlight w:val="none"/>
          <w:u w:val="single"/>
        </w:rPr>
        <w:t xml:space="preserve">     </w:t>
      </w:r>
      <w:r>
        <w:rPr>
          <w:rFonts w:hint="eastAsia" w:ascii="宋体" w:hAnsi="宋体" w:cs="新宋体"/>
          <w:color w:val="auto"/>
          <w:sz w:val="22"/>
          <w:szCs w:val="22"/>
          <w:highlight w:val="none"/>
        </w:rPr>
        <w:t>年</w:t>
      </w:r>
      <w:r>
        <w:rPr>
          <w:rFonts w:hint="eastAsia" w:ascii="宋体" w:hAnsi="宋体" w:cs="新宋体"/>
          <w:color w:val="auto"/>
          <w:sz w:val="22"/>
          <w:szCs w:val="22"/>
          <w:highlight w:val="none"/>
          <w:u w:val="single"/>
        </w:rPr>
        <w:t xml:space="preserve">    </w:t>
      </w:r>
      <w:r>
        <w:rPr>
          <w:rFonts w:hint="eastAsia" w:ascii="宋体" w:hAnsi="宋体" w:cs="新宋体"/>
          <w:color w:val="auto"/>
          <w:sz w:val="22"/>
          <w:szCs w:val="22"/>
          <w:highlight w:val="none"/>
        </w:rPr>
        <w:t>月</w:t>
      </w:r>
      <w:r>
        <w:rPr>
          <w:rFonts w:hint="eastAsia" w:ascii="宋体" w:hAnsi="宋体" w:cs="新宋体"/>
          <w:color w:val="auto"/>
          <w:sz w:val="22"/>
          <w:szCs w:val="22"/>
          <w:highlight w:val="none"/>
          <w:u w:val="single"/>
        </w:rPr>
        <w:t xml:space="preserve">    </w:t>
      </w:r>
      <w:r>
        <w:rPr>
          <w:rFonts w:hint="eastAsia" w:ascii="宋体" w:hAnsi="宋体" w:cs="新宋体"/>
          <w:color w:val="auto"/>
          <w:sz w:val="22"/>
          <w:szCs w:val="22"/>
          <w:highlight w:val="none"/>
        </w:rPr>
        <w:t>日始至</w:t>
      </w:r>
      <w:r>
        <w:rPr>
          <w:rFonts w:hint="eastAsia" w:ascii="宋体" w:hAnsi="宋体" w:cs="新宋体"/>
          <w:color w:val="auto"/>
          <w:sz w:val="22"/>
          <w:szCs w:val="22"/>
          <w:highlight w:val="none"/>
          <w:u w:val="single"/>
        </w:rPr>
        <w:t xml:space="preserve">     </w:t>
      </w:r>
      <w:r>
        <w:rPr>
          <w:rFonts w:hint="eastAsia" w:ascii="宋体" w:hAnsi="宋体" w:cs="新宋体"/>
          <w:color w:val="auto"/>
          <w:sz w:val="22"/>
          <w:szCs w:val="22"/>
          <w:highlight w:val="none"/>
        </w:rPr>
        <w:t>年</w:t>
      </w:r>
      <w:r>
        <w:rPr>
          <w:rFonts w:hint="eastAsia" w:ascii="宋体" w:hAnsi="宋体" w:cs="新宋体"/>
          <w:color w:val="auto"/>
          <w:sz w:val="22"/>
          <w:szCs w:val="22"/>
          <w:highlight w:val="none"/>
          <w:u w:val="single"/>
        </w:rPr>
        <w:t xml:space="preserve">    </w:t>
      </w:r>
      <w:r>
        <w:rPr>
          <w:rFonts w:hint="eastAsia" w:ascii="宋体" w:hAnsi="宋体" w:cs="新宋体"/>
          <w:color w:val="auto"/>
          <w:sz w:val="22"/>
          <w:szCs w:val="22"/>
          <w:highlight w:val="none"/>
        </w:rPr>
        <w:t>月</w:t>
      </w:r>
      <w:r>
        <w:rPr>
          <w:rFonts w:hint="eastAsia" w:ascii="宋体" w:hAnsi="宋体" w:cs="新宋体"/>
          <w:color w:val="auto"/>
          <w:sz w:val="22"/>
          <w:szCs w:val="22"/>
          <w:highlight w:val="none"/>
          <w:u w:val="single"/>
        </w:rPr>
        <w:t xml:space="preserve">    </w:t>
      </w:r>
      <w:r>
        <w:rPr>
          <w:rFonts w:hint="eastAsia" w:ascii="宋体" w:hAnsi="宋体" w:cs="新宋体"/>
          <w:color w:val="auto"/>
          <w:sz w:val="22"/>
          <w:szCs w:val="22"/>
          <w:highlight w:val="none"/>
        </w:rPr>
        <w:t>日止。在此期限内乙方须按合同规定向甲方提供上述服务。</w:t>
      </w:r>
    </w:p>
    <w:p>
      <w:pPr>
        <w:numPr>
          <w:ilvl w:val="0"/>
          <w:numId w:val="11"/>
        </w:numPr>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本次保洁服务合同期为合同签订实施之日起一年。合同期满，如乙方服务质量优良，管理机构测评满意，经双方协商一致，可续签合同，续签最多不超过2年。</w:t>
      </w:r>
    </w:p>
    <w:p>
      <w:pPr>
        <w:numPr>
          <w:ilvl w:val="0"/>
          <w:numId w:val="11"/>
        </w:numPr>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乙方应有认真负责，为甲方做好服务的诚信态度，无故不得擅自中止服务。</w:t>
      </w:r>
    </w:p>
    <w:p>
      <w:pPr>
        <w:numPr>
          <w:ilvl w:val="0"/>
          <w:numId w:val="11"/>
        </w:numPr>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违反磋商规定及在磋商过程中违法违纪或以任何形式采取不正当竞争手段的一经查实，取消本次磋商资格，已经成交的终止委托合同，一切后果由责任者自负。</w:t>
      </w:r>
    </w:p>
    <w:p>
      <w:pPr>
        <w:numPr>
          <w:ilvl w:val="0"/>
          <w:numId w:val="11"/>
        </w:numPr>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保洁服务开展以后，不符合保洁服务标准要求的视情扣除一定额度的保洁费。</w:t>
      </w:r>
    </w:p>
    <w:p>
      <w:pPr>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备注：含完成本项目所发生的所有费用，包括人员工资（含保险、福利等），设备、工具、药剂、人员保险，利、税、风险及其他不可预见费用等等。</w:t>
      </w:r>
    </w:p>
    <w:p>
      <w:pPr>
        <w:spacing w:line="440" w:lineRule="exact"/>
        <w:jc w:val="left"/>
        <w:rPr>
          <w:rFonts w:ascii="宋体" w:hAnsi="宋体" w:cs="新宋体"/>
          <w:b/>
          <w:color w:val="auto"/>
          <w:spacing w:val="5"/>
          <w:sz w:val="22"/>
          <w:szCs w:val="22"/>
          <w:highlight w:val="none"/>
        </w:rPr>
      </w:pPr>
      <w:r>
        <w:rPr>
          <w:rFonts w:hint="eastAsia" w:ascii="宋体" w:hAnsi="宋体" w:cs="新宋体"/>
          <w:b/>
          <w:color w:val="auto"/>
          <w:spacing w:val="5"/>
          <w:sz w:val="22"/>
          <w:szCs w:val="22"/>
          <w:highlight w:val="none"/>
        </w:rPr>
        <w:t>三、承包款支付方式</w:t>
      </w:r>
    </w:p>
    <w:p>
      <w:pPr>
        <w:numPr>
          <w:ilvl w:val="0"/>
          <w:numId w:val="12"/>
        </w:numPr>
        <w:spacing w:line="440" w:lineRule="exact"/>
        <w:rPr>
          <w:rFonts w:ascii="宋体" w:hAnsi="宋体" w:cs="新宋体"/>
          <w:color w:val="auto"/>
          <w:sz w:val="22"/>
          <w:szCs w:val="22"/>
          <w:highlight w:val="none"/>
        </w:rPr>
      </w:pPr>
      <w:r>
        <w:rPr>
          <w:rFonts w:hint="eastAsia" w:ascii="宋体" w:hAnsi="宋体" w:cs="新宋体"/>
          <w:snapToGrid w:val="0"/>
          <w:color w:val="auto"/>
          <w:kern w:val="0"/>
          <w:sz w:val="22"/>
          <w:szCs w:val="22"/>
          <w:highlight w:val="none"/>
        </w:rPr>
        <w:t>7个工作日内支付预付款，服务至预付款服务月份后采购人每月向中标单位结算，采购人凭中标单位开具的正式发票进行支付</w:t>
      </w:r>
      <w:r>
        <w:rPr>
          <w:rFonts w:hint="eastAsia" w:cs="新宋体" w:asciiTheme="majorEastAsia" w:hAnsiTheme="majorEastAsia" w:eastAsiaTheme="majorEastAsia"/>
          <w:color w:val="auto"/>
          <w:sz w:val="22"/>
          <w:szCs w:val="22"/>
          <w:highlight w:val="none"/>
        </w:rPr>
        <w:t>。（根据《浙江省财政厅关于进一步发挥政府采购政策功能全力推动经济稳进提质的通知》（浙财采监[2022]3号）的规定，双方协商决定付款比例，具体每笔款项支付视财政部门资金拨付情况而定。）</w:t>
      </w:r>
      <w:r>
        <w:rPr>
          <w:rFonts w:hint="eastAsia" w:ascii="宋体" w:hAnsi="宋体" w:cs="新宋体"/>
          <w:snapToGrid w:val="0"/>
          <w:color w:val="auto"/>
          <w:kern w:val="0"/>
          <w:sz w:val="22"/>
          <w:highlight w:val="none"/>
        </w:rPr>
        <w:t>。</w:t>
      </w:r>
    </w:p>
    <w:p>
      <w:pPr>
        <w:numPr>
          <w:ilvl w:val="0"/>
          <w:numId w:val="12"/>
        </w:numPr>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双方协商确认的管理服务首日开始，以及在其后，每月的十号之前，甲方对乙方考核合格后，</w:t>
      </w:r>
      <w:r>
        <w:rPr>
          <w:rFonts w:hint="eastAsia" w:ascii="宋体" w:hAnsi="宋体" w:cs="新宋体"/>
          <w:snapToGrid w:val="0"/>
          <w:color w:val="auto"/>
          <w:kern w:val="0"/>
          <w:sz w:val="22"/>
          <w:highlight w:val="none"/>
        </w:rPr>
        <w:t>由甲方按月中标单位结算，采购人凭中标单位开具的正式发票进行支付。（中标单位开具发票的税务由中标单位自行承担）</w:t>
      </w:r>
      <w:r>
        <w:rPr>
          <w:rFonts w:hint="eastAsia" w:ascii="宋体" w:hAnsi="宋体" w:cs="新宋体"/>
          <w:color w:val="auto"/>
          <w:sz w:val="22"/>
          <w:szCs w:val="22"/>
          <w:highlight w:val="none"/>
        </w:rPr>
        <w:t>。（考核标准，按第二章采购需求规定）</w:t>
      </w:r>
    </w:p>
    <w:p>
      <w:pPr>
        <w:numPr>
          <w:ilvl w:val="0"/>
          <w:numId w:val="12"/>
        </w:numPr>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如果合同金额的任何款项未能在应付日内付清，未付清部分从应付日期起按0.5‰日息付息，直至该款项付清为止。</w:t>
      </w:r>
    </w:p>
    <w:p>
      <w:pPr>
        <w:numPr>
          <w:ilvl w:val="0"/>
          <w:numId w:val="12"/>
        </w:numPr>
        <w:spacing w:line="440" w:lineRule="exact"/>
        <w:rPr>
          <w:rFonts w:ascii="宋体" w:hAnsi="宋体" w:cs="新宋体"/>
          <w:color w:val="auto"/>
          <w:sz w:val="22"/>
          <w:szCs w:val="22"/>
          <w:highlight w:val="none"/>
        </w:rPr>
      </w:pPr>
      <w:bookmarkStart w:id="99" w:name="_Hlk101515009"/>
      <w:r>
        <w:rPr>
          <w:rFonts w:hint="eastAsia" w:ascii="宋体" w:hAnsi="宋体" w:cs="新宋体"/>
          <w:color w:val="auto"/>
          <w:sz w:val="22"/>
          <w:szCs w:val="22"/>
          <w:highlight w:val="none"/>
        </w:rPr>
        <w:t>疫情管控人员按实际到岗人数支付费用，根据国家防疫变化要求，甲方有权调整或取消该项服务。</w:t>
      </w:r>
    </w:p>
    <w:bookmarkEnd w:id="99"/>
    <w:p>
      <w:pPr>
        <w:numPr>
          <w:ilvl w:val="0"/>
          <w:numId w:val="12"/>
        </w:numPr>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如果本协议下任何费用在应付日后30天内未付清，乙方有权立即终止本协议。在此情况下，甲方应对乙方由于提前终止本协议而产生的损失予以补偿。</w:t>
      </w:r>
    </w:p>
    <w:p>
      <w:pPr>
        <w:numPr>
          <w:ilvl w:val="0"/>
          <w:numId w:val="12"/>
        </w:numPr>
        <w:tabs>
          <w:tab w:val="left" w:pos="1080"/>
        </w:tabs>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u w:val="single"/>
        </w:rPr>
        <w:t>合同金额的调整：如国家或永嘉县政府调整最低工资，甲方同意按实际增加费用来增加</w:t>
      </w:r>
      <w:r>
        <w:rPr>
          <w:rFonts w:hint="eastAsia" w:ascii="宋体" w:hAnsi="宋体" w:cs="新宋体"/>
          <w:color w:val="auto"/>
          <w:sz w:val="22"/>
          <w:szCs w:val="22"/>
          <w:highlight w:val="none"/>
        </w:rPr>
        <w:t>乙方合同金额，且乙方同意将上述金额的增加部分支付给员工。</w:t>
      </w:r>
    </w:p>
    <w:p>
      <w:pPr>
        <w:numPr>
          <w:ilvl w:val="0"/>
          <w:numId w:val="12"/>
        </w:numPr>
        <w:spacing w:line="440" w:lineRule="exact"/>
        <w:rPr>
          <w:rFonts w:ascii="宋体" w:hAnsi="宋体" w:cs="新宋体"/>
          <w:color w:val="auto"/>
          <w:sz w:val="22"/>
          <w:szCs w:val="22"/>
          <w:highlight w:val="none"/>
          <w:u w:val="single"/>
        </w:rPr>
      </w:pPr>
      <w:r>
        <w:rPr>
          <w:rFonts w:hint="eastAsia" w:ascii="宋体" w:hAnsi="宋体" w:cs="新宋体"/>
          <w:color w:val="auto"/>
          <w:sz w:val="22"/>
          <w:szCs w:val="22"/>
          <w:highlight w:val="none"/>
          <w:u w:val="single"/>
        </w:rPr>
        <w:t>增加法定假日的情况，双方协商解决。</w:t>
      </w:r>
    </w:p>
    <w:p>
      <w:pPr>
        <w:numPr>
          <w:ilvl w:val="0"/>
          <w:numId w:val="12"/>
        </w:numPr>
        <w:spacing w:line="440" w:lineRule="exact"/>
        <w:rPr>
          <w:rFonts w:ascii="宋体" w:hAnsi="宋体" w:cs="新宋体"/>
          <w:color w:val="auto"/>
          <w:sz w:val="22"/>
          <w:szCs w:val="22"/>
          <w:highlight w:val="none"/>
          <w:u w:val="single"/>
        </w:rPr>
      </w:pPr>
      <w:r>
        <w:rPr>
          <w:rFonts w:hint="eastAsia" w:ascii="宋体" w:hAnsi="宋体" w:cs="新宋体"/>
          <w:color w:val="auto"/>
          <w:sz w:val="22"/>
          <w:szCs w:val="22"/>
          <w:highlight w:val="none"/>
          <w:u w:val="single"/>
        </w:rPr>
        <w:t>合同金额的调整：</w:t>
      </w:r>
    </w:p>
    <w:p>
      <w:pPr>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u w:val="single"/>
        </w:rPr>
        <w:t>1）</w:t>
      </w:r>
      <w:r>
        <w:rPr>
          <w:rFonts w:hint="eastAsia" w:ascii="宋体" w:hAnsi="宋体" w:cs="新宋体"/>
          <w:color w:val="auto"/>
          <w:sz w:val="22"/>
          <w:szCs w:val="22"/>
          <w:highlight w:val="none"/>
        </w:rPr>
        <w:t>甲方因工作或流程需要增加或减少人员所导致的合同金额的调整，双方需按中标用工单价签订补充或减免用工协议，同时合同金额作相应调整。</w:t>
      </w:r>
    </w:p>
    <w:p>
      <w:pPr>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u w:val="single"/>
        </w:rPr>
        <w:t>2）服务内容变更</w:t>
      </w:r>
      <w:r>
        <w:rPr>
          <w:rFonts w:hint="eastAsia" w:ascii="宋体" w:hAnsi="宋体" w:cs="新宋体"/>
          <w:color w:val="auto"/>
          <w:sz w:val="22"/>
          <w:szCs w:val="22"/>
          <w:highlight w:val="none"/>
        </w:rPr>
        <w:t xml:space="preserve"> ：合同金额是根据附件中所列的区域、区域用途、所管理的部门、设备和具体工作任务而确定的。如果乙方或者服务人员提供服务的区域、区域用途、所管理的部门、设备或工作任务的总量以任何方式出现增加、减少或变更的情况，则合同金额也要作相应的增加或者减少。这种调整应在增加、减少或变更发生后的第一次付款中立即得以体现，但需得到甲方认可。</w:t>
      </w:r>
    </w:p>
    <w:p>
      <w:pPr>
        <w:spacing w:line="440" w:lineRule="exact"/>
        <w:jc w:val="left"/>
        <w:rPr>
          <w:rFonts w:ascii="宋体" w:hAnsi="宋体" w:cs="新宋体"/>
          <w:b/>
          <w:color w:val="auto"/>
          <w:spacing w:val="5"/>
          <w:sz w:val="22"/>
          <w:szCs w:val="22"/>
          <w:highlight w:val="none"/>
        </w:rPr>
      </w:pPr>
      <w:r>
        <w:rPr>
          <w:rFonts w:hint="eastAsia" w:ascii="宋体" w:hAnsi="宋体" w:cs="新宋体"/>
          <w:b/>
          <w:color w:val="auto"/>
          <w:spacing w:val="5"/>
          <w:sz w:val="22"/>
          <w:szCs w:val="22"/>
          <w:highlight w:val="none"/>
        </w:rPr>
        <w:t>四、双方的权利与义务</w:t>
      </w:r>
    </w:p>
    <w:p>
      <w:pPr>
        <w:numPr>
          <w:ilvl w:val="0"/>
          <w:numId w:val="13"/>
        </w:numPr>
        <w:spacing w:line="440" w:lineRule="exact"/>
        <w:rPr>
          <w:rFonts w:ascii="宋体" w:hAnsi="宋体" w:cs="新宋体"/>
          <w:b/>
          <w:bCs/>
          <w:color w:val="auto"/>
          <w:sz w:val="22"/>
          <w:szCs w:val="22"/>
          <w:highlight w:val="none"/>
        </w:rPr>
      </w:pPr>
      <w:r>
        <w:rPr>
          <w:rFonts w:hint="eastAsia" w:ascii="宋体" w:hAnsi="宋体" w:cs="新宋体"/>
          <w:b/>
          <w:bCs/>
          <w:color w:val="auto"/>
          <w:sz w:val="22"/>
          <w:szCs w:val="22"/>
          <w:highlight w:val="none"/>
        </w:rPr>
        <w:t>员工</w:t>
      </w:r>
    </w:p>
    <w:p>
      <w:pPr>
        <w:numPr>
          <w:ilvl w:val="0"/>
          <w:numId w:val="14"/>
        </w:numPr>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乙方将派驻管理服务所需的管理人员。其中一人为协调经理，由其作为乙方的主要代表执行本协议中乙方的权利和义务。</w:t>
      </w:r>
    </w:p>
    <w:p>
      <w:pPr>
        <w:numPr>
          <w:ilvl w:val="0"/>
          <w:numId w:val="14"/>
        </w:numPr>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除管理人员外，乙方还将提供有效进行管理服务所需的所有服务人员、主管、培训与技术人员和特别项目所需的人员。</w:t>
      </w:r>
    </w:p>
    <w:p>
      <w:pPr>
        <w:numPr>
          <w:ilvl w:val="0"/>
          <w:numId w:val="14"/>
        </w:numPr>
        <w:tabs>
          <w:tab w:val="left" w:pos="1155"/>
        </w:tabs>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①和②中的人员均为乙方人员。乙方将承担他们的工资津贴、奖金和与其工作相关的、国家或地方法规所征收的其它税收、费用、社会福利和加班费，每月中旬按时给员工发放工资（进场第一个月除外）</w:t>
      </w:r>
    </w:p>
    <w:p>
      <w:pPr>
        <w:numPr>
          <w:ilvl w:val="0"/>
          <w:numId w:val="14"/>
        </w:numPr>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如果甲方基于适当的理由如：工作不达标、多次考核不合格且乙方培训无果后，甲方可以书面形式要求撤换该人员。乙方在收到该请求后，将在必需的时间内向甲方提供其可接受的替换人员。</w:t>
      </w:r>
    </w:p>
    <w:p>
      <w:pPr>
        <w:numPr>
          <w:ilvl w:val="0"/>
          <w:numId w:val="13"/>
        </w:numPr>
        <w:spacing w:line="440" w:lineRule="exact"/>
        <w:rPr>
          <w:rFonts w:ascii="宋体" w:hAnsi="宋体" w:cs="新宋体"/>
          <w:b/>
          <w:bCs/>
          <w:color w:val="auto"/>
          <w:sz w:val="22"/>
          <w:szCs w:val="22"/>
          <w:highlight w:val="none"/>
        </w:rPr>
      </w:pPr>
      <w:r>
        <w:rPr>
          <w:rFonts w:hint="eastAsia" w:ascii="宋体" w:hAnsi="宋体" w:cs="新宋体"/>
          <w:b/>
          <w:bCs/>
          <w:color w:val="auto"/>
          <w:sz w:val="22"/>
          <w:szCs w:val="22"/>
          <w:highlight w:val="none"/>
        </w:rPr>
        <w:t>材料与物品</w:t>
      </w:r>
    </w:p>
    <w:p>
      <w:pPr>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u w:val="single"/>
        </w:rPr>
        <w:t>2.1本条的范围</w:t>
      </w:r>
      <w:r>
        <w:rPr>
          <w:rFonts w:hint="eastAsia" w:ascii="宋体" w:hAnsi="宋体" w:cs="新宋体"/>
          <w:color w:val="auto"/>
          <w:sz w:val="22"/>
          <w:szCs w:val="22"/>
          <w:highlight w:val="none"/>
        </w:rPr>
        <w:t xml:space="preserve">  </w:t>
      </w:r>
    </w:p>
    <w:p>
      <w:pPr>
        <w:spacing w:line="440" w:lineRule="exact"/>
        <w:ind w:left="318"/>
        <w:rPr>
          <w:rFonts w:ascii="宋体" w:hAnsi="宋体" w:cs="新宋体"/>
          <w:color w:val="auto"/>
          <w:sz w:val="22"/>
          <w:szCs w:val="22"/>
          <w:highlight w:val="none"/>
        </w:rPr>
      </w:pPr>
      <w:r>
        <w:rPr>
          <w:rFonts w:hint="eastAsia" w:ascii="宋体" w:hAnsi="宋体" w:cs="新宋体"/>
          <w:color w:val="auto"/>
          <w:sz w:val="22"/>
          <w:szCs w:val="22"/>
          <w:highlight w:val="none"/>
        </w:rPr>
        <w:t xml:space="preserve"> 本条明确划分双方提供进行管理服务所需的材料和物品的责任。</w:t>
      </w:r>
    </w:p>
    <w:p>
      <w:pPr>
        <w:spacing w:line="440" w:lineRule="exact"/>
        <w:ind w:firstLine="440" w:firstLineChars="200"/>
        <w:rPr>
          <w:rFonts w:ascii="宋体" w:hAnsi="宋体" w:cs="新宋体"/>
          <w:color w:val="auto"/>
          <w:sz w:val="22"/>
          <w:szCs w:val="22"/>
          <w:highlight w:val="none"/>
          <w:u w:val="single"/>
        </w:rPr>
      </w:pPr>
      <w:r>
        <w:rPr>
          <w:rFonts w:hint="eastAsia" w:ascii="宋体" w:hAnsi="宋体" w:cs="新宋体"/>
          <w:color w:val="auto"/>
          <w:sz w:val="22"/>
          <w:szCs w:val="22"/>
          <w:highlight w:val="none"/>
          <w:u w:val="single"/>
        </w:rPr>
        <w:t xml:space="preserve">2.2 保洁 </w:t>
      </w:r>
    </w:p>
    <w:p>
      <w:pPr>
        <w:numPr>
          <w:ilvl w:val="0"/>
          <w:numId w:val="15"/>
        </w:numPr>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进行保洁服务所必需的材料、物品、工具和设备由乙方负责提供，费用已包含在合同价格中，甲方不再另行支付。</w:t>
      </w:r>
    </w:p>
    <w:p>
      <w:pPr>
        <w:numPr>
          <w:ilvl w:val="0"/>
          <w:numId w:val="15"/>
        </w:numPr>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甲方负责提供医疗用消毒液、消毒片剂、医护人员洗手液、洗手毛巾、肥皂等与医疗运营相关的物品。</w:t>
      </w:r>
    </w:p>
    <w:p>
      <w:pPr>
        <w:pStyle w:val="2"/>
        <w:ind w:firstLine="0" w:firstLineChars="0"/>
        <w:rPr>
          <w:color w:val="auto"/>
          <w:highlight w:val="none"/>
        </w:rPr>
      </w:pPr>
    </w:p>
    <w:p>
      <w:pPr>
        <w:spacing w:line="440" w:lineRule="exact"/>
        <w:ind w:firstLine="440" w:firstLineChars="200"/>
        <w:rPr>
          <w:rFonts w:ascii="宋体" w:hAnsi="宋体" w:cs="新宋体"/>
          <w:color w:val="auto"/>
          <w:sz w:val="22"/>
          <w:szCs w:val="22"/>
          <w:highlight w:val="none"/>
          <w:u w:val="single"/>
        </w:rPr>
      </w:pPr>
      <w:r>
        <w:rPr>
          <w:rFonts w:hint="eastAsia" w:ascii="宋体" w:hAnsi="宋体" w:cs="新宋体"/>
          <w:color w:val="auto"/>
          <w:sz w:val="22"/>
          <w:szCs w:val="22"/>
          <w:highlight w:val="none"/>
          <w:u w:val="single"/>
        </w:rPr>
        <w:t xml:space="preserve">2.3物资运送  </w:t>
      </w:r>
    </w:p>
    <w:p>
      <w:pPr>
        <w:numPr>
          <w:ilvl w:val="0"/>
          <w:numId w:val="16"/>
        </w:numPr>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甲方负责提供需要运送的物品、材料和工具设施，如：病人、标本、药品、文件、设备，平车、轮椅、病历车等。</w:t>
      </w:r>
    </w:p>
    <w:p>
      <w:pPr>
        <w:numPr>
          <w:ilvl w:val="0"/>
          <w:numId w:val="16"/>
        </w:numPr>
        <w:spacing w:line="440" w:lineRule="exact"/>
        <w:rPr>
          <w:rFonts w:ascii="宋体" w:hAnsi="宋体" w:cs="新宋体"/>
          <w:color w:val="auto"/>
          <w:sz w:val="22"/>
          <w:szCs w:val="22"/>
          <w:highlight w:val="none"/>
        </w:rPr>
      </w:pPr>
      <w:r>
        <w:rPr>
          <w:rFonts w:hint="eastAsia" w:ascii="宋体" w:hAnsi="宋体" w:cs="新宋体"/>
          <w:color w:val="auto"/>
          <w:sz w:val="22"/>
          <w:szCs w:val="22"/>
          <w:highlight w:val="none"/>
        </w:rPr>
        <w:t>乙方负责按甲方要求将以上物品运送到甲方指定地点，提供信息化手段考核工作量。</w:t>
      </w:r>
    </w:p>
    <w:p>
      <w:pPr>
        <w:spacing w:line="440" w:lineRule="exact"/>
        <w:ind w:firstLine="440" w:firstLineChars="200"/>
        <w:rPr>
          <w:rFonts w:ascii="宋体" w:hAnsi="宋体" w:cs="新宋体"/>
          <w:color w:val="auto"/>
          <w:sz w:val="22"/>
          <w:szCs w:val="22"/>
          <w:highlight w:val="none"/>
          <w:u w:val="single"/>
        </w:rPr>
      </w:pPr>
      <w:r>
        <w:rPr>
          <w:rFonts w:hint="eastAsia" w:ascii="宋体" w:hAnsi="宋体" w:cs="新宋体"/>
          <w:color w:val="auto"/>
          <w:sz w:val="22"/>
          <w:szCs w:val="22"/>
          <w:highlight w:val="none"/>
          <w:u w:val="single"/>
        </w:rPr>
        <w:t>2</w:t>
      </w:r>
      <w:r>
        <w:rPr>
          <w:rFonts w:ascii="宋体" w:hAnsi="宋体" w:cs="新宋体"/>
          <w:color w:val="auto"/>
          <w:sz w:val="22"/>
          <w:szCs w:val="22"/>
          <w:highlight w:val="none"/>
          <w:u w:val="single"/>
        </w:rPr>
        <w:t>.4</w:t>
      </w:r>
      <w:r>
        <w:rPr>
          <w:rFonts w:hint="eastAsia" w:ascii="宋体" w:hAnsi="宋体" w:cs="新宋体"/>
          <w:color w:val="auto"/>
          <w:sz w:val="22"/>
          <w:szCs w:val="22"/>
          <w:highlight w:val="none"/>
          <w:u w:val="single"/>
        </w:rPr>
        <w:t>地巾、布巾洗消中心及洗衣房</w:t>
      </w:r>
    </w:p>
    <w:p>
      <w:pPr>
        <w:pStyle w:val="2"/>
        <w:ind w:firstLine="840" w:firstLineChars="400"/>
        <w:rPr>
          <w:color w:val="auto"/>
          <w:highlight w:val="none"/>
        </w:rPr>
      </w:pPr>
      <w:r>
        <w:rPr>
          <w:rFonts w:hint="eastAsia"/>
          <w:color w:val="auto"/>
          <w:highlight w:val="none"/>
        </w:rPr>
        <w:t>甲方负责提供洗衣粉、肥皂等相关消耗品。</w:t>
      </w:r>
    </w:p>
    <w:p>
      <w:pPr>
        <w:numPr>
          <w:ilvl w:val="0"/>
          <w:numId w:val="13"/>
        </w:numPr>
        <w:spacing w:line="440" w:lineRule="exact"/>
        <w:rPr>
          <w:rFonts w:ascii="宋体" w:hAnsi="宋体" w:cs="新宋体"/>
          <w:b/>
          <w:bCs/>
          <w:color w:val="auto"/>
          <w:sz w:val="22"/>
          <w:szCs w:val="22"/>
          <w:highlight w:val="none"/>
        </w:rPr>
      </w:pPr>
      <w:r>
        <w:rPr>
          <w:rFonts w:hint="eastAsia" w:ascii="宋体" w:hAnsi="宋体" w:cs="新宋体"/>
          <w:b/>
          <w:bCs/>
          <w:color w:val="auto"/>
          <w:sz w:val="22"/>
          <w:szCs w:val="22"/>
          <w:highlight w:val="none"/>
        </w:rPr>
        <w:t>设备</w:t>
      </w:r>
    </w:p>
    <w:p>
      <w:pPr>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3．1乙方提供的设备：乙方负责提供履行管理服务需的保洁设备及工具，对讲机、计算机软、硬件、打印机、打卡机、微波炉和其他办公用品，并自行负责上述设备物品的维修、保养和设备更新，而不再向甲方另行收费。</w:t>
      </w:r>
    </w:p>
    <w:p>
      <w:pPr>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3.2  运送：甲方负责提供运送设备，并负责这些设备的维修 (包括替换配件)及提供额外或替换的中央运输设备并承担费用。</w:t>
      </w:r>
    </w:p>
    <w:p>
      <w:pPr>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3.3 协议终止后购买乙方设备的选择权  为本协议之目的，乙方所有资本性设备(除电脑设备外)按照政府规定的折旧办法按5年直线法提取使用费用。本协议到期终止时，甲方可不从乙方处购买任何设备。</w:t>
      </w:r>
    </w:p>
    <w:p>
      <w:pPr>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3.4 场地和公用设施：乙方进行管理服务所使用的办公室、更衣室、设备工具库房由甲方向乙方免费提供。</w:t>
      </w:r>
    </w:p>
    <w:p>
      <w:pPr>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3.5 乙方应自觉接受甲方的监督和指导，服从甲方和上级部门的检查考核，重大活动或上级检查期间服从甲方安排的加班加点和突击任务。</w:t>
      </w:r>
    </w:p>
    <w:p>
      <w:pPr>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3.6 按规定要求文明规范作业。</w:t>
      </w:r>
    </w:p>
    <w:p>
      <w:pPr>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 xml:space="preserve">3.7 承包期内的各种伤亡、赔偿事故均由乙方自行负责。 </w:t>
      </w:r>
    </w:p>
    <w:p>
      <w:pPr>
        <w:numPr>
          <w:ilvl w:val="0"/>
          <w:numId w:val="13"/>
        </w:numPr>
        <w:spacing w:line="440" w:lineRule="exact"/>
        <w:rPr>
          <w:rFonts w:ascii="宋体" w:hAnsi="宋体" w:cs="新宋体"/>
          <w:b/>
          <w:bCs/>
          <w:color w:val="auto"/>
          <w:sz w:val="22"/>
          <w:szCs w:val="22"/>
          <w:highlight w:val="none"/>
        </w:rPr>
      </w:pPr>
      <w:r>
        <w:rPr>
          <w:rFonts w:hint="eastAsia" w:ascii="宋体" w:hAnsi="宋体" w:cs="新宋体"/>
          <w:b/>
          <w:bCs/>
          <w:color w:val="auto"/>
          <w:sz w:val="22"/>
          <w:szCs w:val="22"/>
          <w:highlight w:val="none"/>
        </w:rPr>
        <w:t>赔偿；保险</w:t>
      </w:r>
    </w:p>
    <w:p>
      <w:pPr>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4.1 对甲方的赔偿：对于乙方或其员工在提供本协议服务过程中的过失行为或疏忽给甲方人员和职工所造成的任何责任(包括合理的律师费)，乙方给予补偿使其免受损失。</w:t>
      </w:r>
    </w:p>
    <w:p>
      <w:pPr>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4.2 对乙方的赔偿：对于甲方或其员工的过失行为或疏忽给乙方及其合伙人、董事、管理人员和员工所造成的任何责任(包括合理的律师费)，甲方将给予赔偿使其免受损失。</w:t>
      </w:r>
    </w:p>
    <w:p>
      <w:pPr>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4.3 索赔限制：如果一方在得知或应该得知引起索赔的事件发生之日起一年内没有向另一方提出书面索赔，则该方不能再提出索赔。</w:t>
      </w:r>
    </w:p>
    <w:p>
      <w:pPr>
        <w:numPr>
          <w:ilvl w:val="0"/>
          <w:numId w:val="13"/>
        </w:numPr>
        <w:spacing w:line="440" w:lineRule="exact"/>
        <w:rPr>
          <w:rFonts w:ascii="宋体" w:hAnsi="宋体" w:cs="新宋体"/>
          <w:b/>
          <w:bCs/>
          <w:color w:val="auto"/>
          <w:sz w:val="22"/>
          <w:szCs w:val="22"/>
          <w:highlight w:val="none"/>
        </w:rPr>
      </w:pPr>
      <w:r>
        <w:rPr>
          <w:rFonts w:hint="eastAsia" w:ascii="宋体" w:hAnsi="宋体" w:cs="新宋体"/>
          <w:b/>
          <w:bCs/>
          <w:color w:val="auto"/>
          <w:sz w:val="22"/>
          <w:szCs w:val="22"/>
          <w:highlight w:val="none"/>
        </w:rPr>
        <w:t>协议终止</w:t>
      </w:r>
    </w:p>
    <w:p>
      <w:pPr>
        <w:spacing w:line="440" w:lineRule="exact"/>
        <w:ind w:firstLine="442" w:firstLineChars="200"/>
        <w:rPr>
          <w:rFonts w:ascii="宋体" w:hAnsi="宋体" w:cs="新宋体"/>
          <w:color w:val="auto"/>
          <w:sz w:val="22"/>
          <w:szCs w:val="22"/>
          <w:highlight w:val="none"/>
        </w:rPr>
      </w:pPr>
      <w:r>
        <w:rPr>
          <w:rFonts w:hint="eastAsia" w:ascii="宋体" w:hAnsi="宋体" w:cs="新宋体"/>
          <w:b/>
          <w:bCs/>
          <w:snapToGrid w:val="0"/>
          <w:color w:val="auto"/>
          <w:kern w:val="0"/>
          <w:sz w:val="22"/>
          <w:szCs w:val="22"/>
          <w:highlight w:val="none"/>
          <w:u w:val="single"/>
        </w:rPr>
        <w:t>1、甲方旧址搬迁至新院区的（具体以甲方发函通知为准），甲方将有权单方面无条件终止合同。</w:t>
      </w:r>
    </w:p>
    <w:p>
      <w:pPr>
        <w:spacing w:line="440" w:lineRule="exact"/>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2、违约通知；宽限期；终止  如果一方（“违约方”）违反其在本协议项下的一项或多项义务，另一方（“受害方”）应通知违约方并指出违约性质。违约方应自收到通知起30天内就通知的违约事宜予以补救。如果上述30天后违约方仍未纠正，受害方届时可书面通知违约方终止本协议，在提交终止协议书面通知第30天后，本协议应视为终止，受害方即可停止履行其在本协议项下的责任。</w:t>
      </w:r>
    </w:p>
    <w:p>
      <w:pPr>
        <w:spacing w:line="440" w:lineRule="exact"/>
        <w:jc w:val="left"/>
        <w:rPr>
          <w:rFonts w:ascii="宋体" w:hAnsi="宋体" w:cs="新宋体"/>
          <w:b/>
          <w:color w:val="auto"/>
          <w:sz w:val="22"/>
          <w:szCs w:val="22"/>
          <w:highlight w:val="none"/>
        </w:rPr>
      </w:pPr>
      <w:r>
        <w:rPr>
          <w:rFonts w:hint="eastAsia" w:ascii="宋体" w:hAnsi="宋体" w:cs="新宋体"/>
          <w:b/>
          <w:color w:val="auto"/>
          <w:sz w:val="22"/>
          <w:szCs w:val="22"/>
          <w:highlight w:val="none"/>
        </w:rPr>
        <w:t>五、保洁、运送要求及考核办法</w:t>
      </w:r>
    </w:p>
    <w:p>
      <w:pPr>
        <w:spacing w:line="440" w:lineRule="exact"/>
        <w:ind w:firstLine="460" w:firstLineChars="200"/>
        <w:jc w:val="left"/>
        <w:rPr>
          <w:rFonts w:ascii="宋体" w:hAnsi="宋体" w:cs="新宋体"/>
          <w:bCs/>
          <w:color w:val="auto"/>
          <w:spacing w:val="5"/>
          <w:sz w:val="22"/>
          <w:szCs w:val="22"/>
          <w:highlight w:val="none"/>
        </w:rPr>
      </w:pPr>
      <w:r>
        <w:rPr>
          <w:rFonts w:hint="eastAsia" w:ascii="宋体" w:hAnsi="宋体" w:cs="新宋体"/>
          <w:bCs/>
          <w:color w:val="auto"/>
          <w:spacing w:val="5"/>
          <w:sz w:val="22"/>
          <w:szCs w:val="22"/>
          <w:highlight w:val="none"/>
        </w:rPr>
        <w:t>运行三个月中在招投标文件的基础上，甲乙双方共同制定考核标准。</w:t>
      </w:r>
    </w:p>
    <w:p>
      <w:pPr>
        <w:spacing w:line="440" w:lineRule="exact"/>
        <w:jc w:val="left"/>
        <w:rPr>
          <w:rFonts w:ascii="宋体" w:hAnsi="宋体" w:cs="新宋体"/>
          <w:b/>
          <w:color w:val="auto"/>
          <w:sz w:val="22"/>
          <w:szCs w:val="22"/>
          <w:highlight w:val="none"/>
        </w:rPr>
      </w:pPr>
      <w:r>
        <w:rPr>
          <w:rFonts w:hint="eastAsia" w:ascii="宋体" w:hAnsi="宋体" w:cs="新宋体"/>
          <w:b/>
          <w:color w:val="auto"/>
          <w:sz w:val="22"/>
          <w:szCs w:val="22"/>
          <w:highlight w:val="none"/>
        </w:rPr>
        <w:t>六、双方责任</w:t>
      </w:r>
    </w:p>
    <w:p>
      <w:pPr>
        <w:numPr>
          <w:ilvl w:val="0"/>
          <w:numId w:val="17"/>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甲方负责日常巡查和考核，及时督促乙方落实保洁标准。</w:t>
      </w:r>
    </w:p>
    <w:p>
      <w:pPr>
        <w:numPr>
          <w:ilvl w:val="0"/>
          <w:numId w:val="17"/>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乙方保证按甲方要求，确定人员、设备、时间和保洁质量的到位。</w:t>
      </w:r>
    </w:p>
    <w:p>
      <w:pPr>
        <w:numPr>
          <w:ilvl w:val="0"/>
          <w:numId w:val="17"/>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乙方必须服从甲方管理人员的指挥并处理好各个科室之间的关系。</w:t>
      </w:r>
    </w:p>
    <w:p>
      <w:pPr>
        <w:numPr>
          <w:ilvl w:val="0"/>
          <w:numId w:val="17"/>
        </w:numPr>
        <w:spacing w:line="440" w:lineRule="exac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乙方应确保保洁人员安全，并按规定为保洁人员办理相关保险，在作业过程中发生的一切事故及费用均由乙方自行负责，与甲方无涉。</w:t>
      </w:r>
    </w:p>
    <w:p>
      <w:pPr>
        <w:spacing w:line="440" w:lineRule="exact"/>
        <w:jc w:val="left"/>
        <w:rPr>
          <w:rFonts w:ascii="宋体" w:hAnsi="宋体" w:cs="新宋体"/>
          <w:b/>
          <w:color w:val="auto"/>
          <w:sz w:val="22"/>
          <w:szCs w:val="22"/>
          <w:highlight w:val="none"/>
        </w:rPr>
      </w:pPr>
      <w:r>
        <w:rPr>
          <w:rFonts w:hint="eastAsia" w:ascii="宋体" w:hAnsi="宋体" w:cs="新宋体"/>
          <w:b/>
          <w:color w:val="auto"/>
          <w:sz w:val="22"/>
          <w:szCs w:val="22"/>
          <w:highlight w:val="none"/>
        </w:rPr>
        <w:t xml:space="preserve">七、违约责任 </w:t>
      </w:r>
    </w:p>
    <w:p>
      <w:pPr>
        <w:numPr>
          <w:ilvl w:val="0"/>
          <w:numId w:val="18"/>
        </w:numPr>
        <w:spacing w:line="440" w:lineRule="exac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甲方无故终止承包协议的，双倍返还乙方的履约保证金，并付清应付的承包经费，同时折价补偿乙方所购的工具费。</w:t>
      </w:r>
    </w:p>
    <w:p>
      <w:pPr>
        <w:numPr>
          <w:ilvl w:val="0"/>
          <w:numId w:val="18"/>
        </w:numPr>
        <w:spacing w:line="440" w:lineRule="exac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乙方必须在承包期开始之日起15天内按要求人数、设备到岗。乙方无故不到岗，造成不良社会影响，甲方有权单方终止本协议，乙方无权要求返还履约保证金。</w:t>
      </w:r>
    </w:p>
    <w:p>
      <w:pPr>
        <w:numPr>
          <w:ilvl w:val="0"/>
          <w:numId w:val="18"/>
        </w:numPr>
        <w:spacing w:line="440" w:lineRule="exac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乙方由于平时管理不力，造成社会不良影响、投诉或新闻媒体曝光，甲方有权但不限于扣除履约保证金2000元～5000元。</w:t>
      </w:r>
    </w:p>
    <w:p>
      <w:pPr>
        <w:numPr>
          <w:ilvl w:val="0"/>
          <w:numId w:val="18"/>
        </w:numPr>
        <w:spacing w:line="440" w:lineRule="exac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乙方未经甲方同意擅自转包，甲方有权终止承包协议，扣除当月承包款。乙方无权要求返还履约保证金。</w:t>
      </w:r>
    </w:p>
    <w:p>
      <w:pPr>
        <w:numPr>
          <w:ilvl w:val="0"/>
          <w:numId w:val="18"/>
        </w:numPr>
        <w:spacing w:line="440" w:lineRule="exac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乙方出现下列情况之一，甲方有权终止协议，并扣除全部履约保证金，由此造成的一切损失由乙方全部承担：①在重大节庆活动期间，乙方不服从甲方工作安排的；②乙方严重违反协议条款内容，致使协议无法继续履行的；③乙方管理不力造成严重不良社会影响，④保洁业绩极差，经甲方2次书面督促整改仍达不到要求的。</w:t>
      </w:r>
    </w:p>
    <w:p>
      <w:pPr>
        <w:spacing w:line="440" w:lineRule="exact"/>
        <w:jc w:val="left"/>
        <w:rPr>
          <w:rFonts w:ascii="宋体" w:hAnsi="宋体" w:cs="新宋体"/>
          <w:b/>
          <w:color w:val="auto"/>
          <w:sz w:val="22"/>
          <w:szCs w:val="22"/>
          <w:highlight w:val="none"/>
        </w:rPr>
      </w:pPr>
      <w:r>
        <w:rPr>
          <w:rFonts w:hint="eastAsia" w:ascii="宋体" w:hAnsi="宋体" w:cs="新宋体"/>
          <w:b/>
          <w:color w:val="auto"/>
          <w:sz w:val="22"/>
          <w:szCs w:val="22"/>
          <w:highlight w:val="none"/>
        </w:rPr>
        <w:t>八、履约担保</w:t>
      </w:r>
    </w:p>
    <w:p>
      <w:pPr>
        <w:numPr>
          <w:ilvl w:val="0"/>
          <w:numId w:val="19"/>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乙方在签定合同后向甲方提交合同总价2%的履约保证金。如合同实施期内乙方未按照要求履行合同则履约保证金不予返还。在合同实施期内如因乙方原因造成甲方财产损失的，甲方有权酌情在履约保证金中扣除。</w:t>
      </w:r>
    </w:p>
    <w:p>
      <w:pPr>
        <w:numPr>
          <w:ilvl w:val="0"/>
          <w:numId w:val="19"/>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履约保证金的退还：到期未能续签的，在合同实施期满后10天内办好全部移交手续退还（不计息）。</w:t>
      </w:r>
    </w:p>
    <w:p>
      <w:pPr>
        <w:spacing w:line="440" w:lineRule="exact"/>
        <w:jc w:val="left"/>
        <w:rPr>
          <w:rFonts w:ascii="宋体" w:hAnsi="宋体" w:cs="新宋体"/>
          <w:b/>
          <w:color w:val="auto"/>
          <w:sz w:val="22"/>
          <w:szCs w:val="22"/>
          <w:highlight w:val="none"/>
        </w:rPr>
      </w:pPr>
      <w:r>
        <w:rPr>
          <w:rFonts w:hint="eastAsia" w:ascii="宋体" w:hAnsi="宋体" w:cs="新宋体"/>
          <w:b/>
          <w:color w:val="auto"/>
          <w:sz w:val="22"/>
          <w:szCs w:val="22"/>
          <w:highlight w:val="none"/>
        </w:rPr>
        <w:t>九、其他约定事项</w:t>
      </w:r>
    </w:p>
    <w:p>
      <w:pPr>
        <w:numPr>
          <w:ilvl w:val="0"/>
          <w:numId w:val="20"/>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乙方应为企业员工办理意外保险等（项目作业人员工资标准需符合有关法规政策，临时工住宿由乙方自行解决）, 自行承担安全责任. 经济责任等风险。</w:t>
      </w:r>
    </w:p>
    <w:p>
      <w:pPr>
        <w:numPr>
          <w:ilvl w:val="0"/>
          <w:numId w:val="20"/>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可分割性，如果本协议任何部分被有管辖权法院认为无法强制执行，本协议其它条款的有效性不受影响。双方权利义务的解释和履行应按照本协议不含该特定部分来进行。</w:t>
      </w:r>
    </w:p>
    <w:p>
      <w:pPr>
        <w:numPr>
          <w:ilvl w:val="0"/>
          <w:numId w:val="20"/>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完整的协议，本协议将取代原有及现存的所有口头或书面协议。本协议包含了双方就本协议有关事项达成的全部共识。</w:t>
      </w:r>
    </w:p>
    <w:p>
      <w:pPr>
        <w:numPr>
          <w:ilvl w:val="0"/>
          <w:numId w:val="20"/>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不可抗力，如果乙方对本合同的履行因任何乙方无法控制的原因，包括但不限于火灾、洪水、全国范围内的劳动力短缺、罢工、动乱及国内紧急情况而延迟，则乙方履行合同的时间也应作相应延迟。如延迟时间超过120天，乙方可选择终止本协议，而甲方在协议终止时应支付已到期的费用。</w:t>
      </w:r>
    </w:p>
    <w:p>
      <w:pPr>
        <w:numPr>
          <w:ilvl w:val="0"/>
          <w:numId w:val="20"/>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乙方有义务配合甲方做好交接顺利完成。甲方按实际天数结算乙方费用，若乙方不配合甲方有权扣除其履约保证金。</w:t>
      </w:r>
    </w:p>
    <w:p>
      <w:pPr>
        <w:adjustRightInd w:val="0"/>
        <w:spacing w:line="440" w:lineRule="exact"/>
        <w:rPr>
          <w:rFonts w:ascii="宋体" w:hAnsi="宋体" w:cs="新宋体"/>
          <w:b/>
          <w:color w:val="auto"/>
          <w:spacing w:val="5"/>
          <w:sz w:val="22"/>
          <w:szCs w:val="22"/>
          <w:highlight w:val="none"/>
        </w:rPr>
      </w:pPr>
      <w:r>
        <w:rPr>
          <w:rFonts w:hint="eastAsia" w:ascii="宋体" w:hAnsi="宋体" w:cs="新宋体"/>
          <w:b/>
          <w:color w:val="auto"/>
          <w:spacing w:val="5"/>
          <w:sz w:val="22"/>
          <w:szCs w:val="22"/>
          <w:highlight w:val="none"/>
        </w:rPr>
        <w:t>十、争议解决</w:t>
      </w:r>
    </w:p>
    <w:p>
      <w:pPr>
        <w:numPr>
          <w:ilvl w:val="0"/>
          <w:numId w:val="21"/>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合同实施或与合同有关的一切争端，甲乙双方应通过友好协商解决。双方不愿协商、调解解决或者协商、调解不成的，双方商定，申请温州仲裁委员会仲裁。</w:t>
      </w:r>
    </w:p>
    <w:p>
      <w:pPr>
        <w:numPr>
          <w:ilvl w:val="0"/>
          <w:numId w:val="21"/>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仲裁裁决应为最终裁决，对双方均有约束力。</w:t>
      </w:r>
    </w:p>
    <w:p>
      <w:pPr>
        <w:numPr>
          <w:ilvl w:val="0"/>
          <w:numId w:val="21"/>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仲裁费用除仲裁机构另有裁决外应由败诉方承担。</w:t>
      </w:r>
    </w:p>
    <w:p>
      <w:pPr>
        <w:numPr>
          <w:ilvl w:val="0"/>
          <w:numId w:val="21"/>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在仲裁期间，除正在执行仲裁的部分外，本合同的其他部分应继续执行。</w:t>
      </w:r>
    </w:p>
    <w:p>
      <w:pPr>
        <w:adjustRightInd w:val="0"/>
        <w:spacing w:line="440" w:lineRule="exact"/>
        <w:rPr>
          <w:rFonts w:ascii="宋体" w:hAnsi="宋体" w:cs="新宋体"/>
          <w:b/>
          <w:color w:val="auto"/>
          <w:spacing w:val="5"/>
          <w:sz w:val="22"/>
          <w:szCs w:val="22"/>
          <w:highlight w:val="none"/>
        </w:rPr>
      </w:pPr>
      <w:r>
        <w:rPr>
          <w:rFonts w:hint="eastAsia" w:ascii="宋体" w:hAnsi="宋体" w:cs="新宋体"/>
          <w:b/>
          <w:color w:val="auto"/>
          <w:spacing w:val="5"/>
          <w:sz w:val="22"/>
          <w:szCs w:val="22"/>
          <w:highlight w:val="none"/>
        </w:rPr>
        <w:t>十一、转让和分包及产品不可替代</w:t>
      </w:r>
    </w:p>
    <w:p>
      <w:pPr>
        <w:spacing w:line="360" w:lineRule="auto"/>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未经甲方事先书面同意，乙方不得部分转让或全部转让和分包其履行合同的义务。</w:t>
      </w:r>
    </w:p>
    <w:p>
      <w:pPr>
        <w:adjustRightInd w:val="0"/>
        <w:spacing w:line="440" w:lineRule="exact"/>
        <w:rPr>
          <w:rFonts w:ascii="宋体" w:hAnsi="宋体" w:cs="新宋体"/>
          <w:b/>
          <w:color w:val="auto"/>
          <w:spacing w:val="5"/>
          <w:sz w:val="22"/>
          <w:szCs w:val="22"/>
          <w:highlight w:val="none"/>
        </w:rPr>
      </w:pPr>
      <w:r>
        <w:rPr>
          <w:rFonts w:hint="eastAsia" w:ascii="宋体" w:hAnsi="宋体" w:cs="新宋体"/>
          <w:b/>
          <w:color w:val="auto"/>
          <w:spacing w:val="5"/>
          <w:sz w:val="22"/>
          <w:szCs w:val="22"/>
          <w:highlight w:val="none"/>
        </w:rPr>
        <w:t>十二、适用法律</w:t>
      </w:r>
    </w:p>
    <w:p>
      <w:pPr>
        <w:spacing w:line="360" w:lineRule="auto"/>
        <w:ind w:firstLine="440" w:firstLineChars="200"/>
        <w:rPr>
          <w:rFonts w:ascii="宋体" w:hAnsi="宋体" w:cs="新宋体"/>
          <w:color w:val="auto"/>
          <w:sz w:val="22"/>
          <w:szCs w:val="22"/>
          <w:highlight w:val="none"/>
        </w:rPr>
      </w:pPr>
      <w:r>
        <w:rPr>
          <w:rFonts w:hint="eastAsia" w:ascii="宋体" w:hAnsi="宋体" w:cs="新宋体"/>
          <w:color w:val="auto"/>
          <w:sz w:val="22"/>
          <w:szCs w:val="22"/>
          <w:highlight w:val="none"/>
        </w:rPr>
        <w:t>本合同按照中华人民共和国的法律进行解释。</w:t>
      </w:r>
    </w:p>
    <w:p>
      <w:pPr>
        <w:adjustRightInd w:val="0"/>
        <w:spacing w:line="440" w:lineRule="exact"/>
        <w:rPr>
          <w:rFonts w:ascii="宋体" w:hAnsi="宋体" w:cs="新宋体"/>
          <w:b/>
          <w:color w:val="auto"/>
          <w:spacing w:val="5"/>
          <w:sz w:val="22"/>
          <w:szCs w:val="22"/>
          <w:highlight w:val="none"/>
        </w:rPr>
      </w:pPr>
      <w:r>
        <w:rPr>
          <w:rFonts w:hint="eastAsia" w:ascii="宋体" w:hAnsi="宋体" w:cs="新宋体"/>
          <w:b/>
          <w:color w:val="auto"/>
          <w:spacing w:val="5"/>
          <w:sz w:val="22"/>
          <w:szCs w:val="22"/>
          <w:highlight w:val="none"/>
        </w:rPr>
        <w:t>十三、合同生效及其他</w:t>
      </w:r>
    </w:p>
    <w:p>
      <w:pPr>
        <w:numPr>
          <w:ilvl w:val="0"/>
          <w:numId w:val="22"/>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合同应在双方签字盖章后开始生效。</w:t>
      </w:r>
    </w:p>
    <w:p>
      <w:pPr>
        <w:numPr>
          <w:ilvl w:val="0"/>
          <w:numId w:val="22"/>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本合同一式伍份，甲乙双方各执贰份，代理机构执壹份。经双方法定代表人或授权代表签署，甲乙双方加盖印章后生效。</w:t>
      </w:r>
    </w:p>
    <w:p>
      <w:pPr>
        <w:numPr>
          <w:ilvl w:val="0"/>
          <w:numId w:val="22"/>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如需修改或补充合同内容，经协商，双方应签署书面修改或补充协议，该协议将作为本合同的一个组成部分。</w:t>
      </w:r>
    </w:p>
    <w:p>
      <w:pPr>
        <w:adjustRightInd w:val="0"/>
        <w:spacing w:line="440" w:lineRule="exact"/>
        <w:rPr>
          <w:rFonts w:ascii="宋体" w:hAnsi="宋体" w:cs="新宋体"/>
          <w:b/>
          <w:color w:val="auto"/>
          <w:spacing w:val="5"/>
          <w:sz w:val="22"/>
          <w:szCs w:val="22"/>
          <w:highlight w:val="none"/>
        </w:rPr>
      </w:pPr>
      <w:r>
        <w:rPr>
          <w:rFonts w:hint="eastAsia" w:ascii="宋体" w:hAnsi="宋体" w:cs="新宋体"/>
          <w:b/>
          <w:color w:val="auto"/>
          <w:spacing w:val="5"/>
          <w:sz w:val="22"/>
          <w:szCs w:val="22"/>
          <w:highlight w:val="none"/>
        </w:rPr>
        <w:t>十四、合同附件</w:t>
      </w:r>
    </w:p>
    <w:p>
      <w:pPr>
        <w:spacing w:line="360" w:lineRule="auto"/>
        <w:ind w:hanging="6"/>
        <w:rPr>
          <w:rFonts w:ascii="宋体" w:hAnsi="宋体" w:cs="新宋体"/>
          <w:color w:val="auto"/>
          <w:sz w:val="22"/>
          <w:szCs w:val="22"/>
          <w:highlight w:val="none"/>
        </w:rPr>
      </w:pPr>
      <w:r>
        <w:rPr>
          <w:rFonts w:hint="eastAsia" w:ascii="宋体" w:hAnsi="宋体" w:cs="新宋体"/>
          <w:color w:val="auto"/>
          <w:sz w:val="22"/>
          <w:szCs w:val="22"/>
          <w:highlight w:val="none"/>
        </w:rPr>
        <w:t xml:space="preserve">    下列文件与本合同具有同等法律效力：</w:t>
      </w:r>
    </w:p>
    <w:p>
      <w:pPr>
        <w:numPr>
          <w:ilvl w:val="0"/>
          <w:numId w:val="23"/>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采购人的招标文件与招标补充文件；</w:t>
      </w:r>
    </w:p>
    <w:p>
      <w:pPr>
        <w:numPr>
          <w:ilvl w:val="0"/>
          <w:numId w:val="23"/>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中标供应商投标文件；</w:t>
      </w:r>
    </w:p>
    <w:p>
      <w:pPr>
        <w:numPr>
          <w:ilvl w:val="0"/>
          <w:numId w:val="23"/>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询标纪要和承诺书。</w:t>
      </w:r>
    </w:p>
    <w:p>
      <w:pPr>
        <w:numPr>
          <w:ilvl w:val="0"/>
          <w:numId w:val="23"/>
        </w:numPr>
        <w:spacing w:line="440" w:lineRule="exact"/>
        <w:jc w:val="left"/>
        <w:rPr>
          <w:rFonts w:ascii="宋体" w:hAnsi="宋体" w:cs="新宋体"/>
          <w:color w:val="auto"/>
          <w:spacing w:val="5"/>
          <w:sz w:val="22"/>
          <w:szCs w:val="22"/>
          <w:highlight w:val="none"/>
        </w:rPr>
      </w:pPr>
      <w:r>
        <w:rPr>
          <w:rFonts w:hint="eastAsia" w:ascii="宋体" w:hAnsi="宋体" w:cs="新宋体"/>
          <w:color w:val="auto"/>
          <w:spacing w:val="5"/>
          <w:sz w:val="22"/>
          <w:szCs w:val="22"/>
          <w:highlight w:val="none"/>
        </w:rPr>
        <w:t>中标通知书</w:t>
      </w:r>
    </w:p>
    <w:p>
      <w:pPr>
        <w:spacing w:line="440" w:lineRule="exact"/>
        <w:ind w:firstLine="440" w:firstLineChars="200"/>
        <w:rPr>
          <w:rFonts w:ascii="宋体"/>
          <w:color w:val="auto"/>
          <w:sz w:val="22"/>
          <w:highlight w:val="none"/>
        </w:rPr>
      </w:pPr>
    </w:p>
    <w:p>
      <w:pPr>
        <w:spacing w:line="440" w:lineRule="exact"/>
        <w:ind w:firstLine="440" w:firstLineChars="200"/>
        <w:rPr>
          <w:rFonts w:ascii="宋体"/>
          <w:color w:val="auto"/>
          <w:sz w:val="22"/>
          <w:highlight w:val="none"/>
        </w:rPr>
      </w:pPr>
    </w:p>
    <w:p>
      <w:pPr>
        <w:spacing w:line="440" w:lineRule="exact"/>
        <w:ind w:firstLine="440" w:firstLineChars="200"/>
        <w:rPr>
          <w:rFonts w:ascii="宋体"/>
          <w:color w:val="auto"/>
          <w:sz w:val="22"/>
          <w:highlight w:val="none"/>
        </w:rPr>
      </w:pPr>
    </w:p>
    <w:p>
      <w:pPr>
        <w:spacing w:line="440" w:lineRule="exact"/>
        <w:ind w:firstLine="440" w:firstLineChars="200"/>
        <w:rPr>
          <w:rFonts w:ascii="宋体"/>
          <w:color w:val="auto"/>
          <w:sz w:val="22"/>
          <w:highlight w:val="none"/>
        </w:rPr>
      </w:pPr>
    </w:p>
    <w:p>
      <w:pPr>
        <w:ind w:firstLine="1210" w:firstLineChars="550"/>
        <w:rPr>
          <w:rFonts w:ascii="宋体"/>
          <w:color w:val="auto"/>
          <w:sz w:val="22"/>
          <w:szCs w:val="22"/>
          <w:highlight w:val="none"/>
        </w:rPr>
      </w:pPr>
      <w:r>
        <w:rPr>
          <w:rFonts w:hint="eastAsia" w:ascii="宋体"/>
          <w:color w:val="auto"/>
          <w:sz w:val="22"/>
          <w:szCs w:val="22"/>
          <w:highlight w:val="none"/>
        </w:rPr>
        <w:t>甲方：（印章）   　　　　　　　　　　 乙方：（印章）</w:t>
      </w:r>
    </w:p>
    <w:p>
      <w:pPr>
        <w:ind w:firstLine="1210" w:firstLineChars="550"/>
        <w:rPr>
          <w:rFonts w:ascii="宋体"/>
          <w:color w:val="auto"/>
          <w:sz w:val="22"/>
          <w:szCs w:val="22"/>
          <w:highlight w:val="none"/>
        </w:rPr>
      </w:pPr>
      <w:r>
        <w:rPr>
          <w:rFonts w:hint="eastAsia" w:ascii="宋体"/>
          <w:color w:val="auto"/>
          <w:sz w:val="22"/>
          <w:szCs w:val="22"/>
          <w:highlight w:val="none"/>
        </w:rPr>
        <w:t>全权代表:（签字）                    全权代表:（签字）</w:t>
      </w:r>
    </w:p>
    <w:p>
      <w:pPr>
        <w:spacing w:line="360" w:lineRule="auto"/>
        <w:ind w:firstLine="1210" w:firstLineChars="550"/>
        <w:rPr>
          <w:rFonts w:ascii="宋体"/>
          <w:color w:val="auto"/>
          <w:sz w:val="22"/>
          <w:szCs w:val="22"/>
          <w:highlight w:val="none"/>
        </w:rPr>
      </w:pPr>
      <w:r>
        <w:rPr>
          <w:rFonts w:hint="eastAsia" w:ascii="宋体"/>
          <w:color w:val="auto"/>
          <w:sz w:val="22"/>
          <w:szCs w:val="22"/>
          <w:highlight w:val="none"/>
        </w:rPr>
        <w:t>地址：                               地址：</w:t>
      </w:r>
    </w:p>
    <w:p>
      <w:pPr>
        <w:spacing w:line="360" w:lineRule="auto"/>
        <w:ind w:firstLine="1210" w:firstLineChars="550"/>
        <w:rPr>
          <w:rFonts w:ascii="宋体"/>
          <w:color w:val="auto"/>
          <w:sz w:val="22"/>
          <w:szCs w:val="22"/>
          <w:highlight w:val="none"/>
        </w:rPr>
      </w:pPr>
      <w:r>
        <w:rPr>
          <w:rFonts w:hint="eastAsia" w:ascii="宋体"/>
          <w:color w:val="auto"/>
          <w:sz w:val="22"/>
          <w:szCs w:val="22"/>
          <w:highlight w:val="none"/>
        </w:rPr>
        <w:t>邮政编码：                           邮政编码：</w:t>
      </w:r>
    </w:p>
    <w:p>
      <w:pPr>
        <w:spacing w:line="360" w:lineRule="auto"/>
        <w:ind w:firstLine="1210" w:firstLineChars="550"/>
        <w:rPr>
          <w:rFonts w:ascii="宋体"/>
          <w:color w:val="auto"/>
          <w:sz w:val="22"/>
          <w:szCs w:val="22"/>
          <w:highlight w:val="none"/>
        </w:rPr>
      </w:pPr>
      <w:r>
        <w:rPr>
          <w:rFonts w:hint="eastAsia" w:ascii="宋体"/>
          <w:color w:val="auto"/>
          <w:sz w:val="22"/>
          <w:szCs w:val="22"/>
          <w:highlight w:val="none"/>
        </w:rPr>
        <w:t>电话：                               电话：</w:t>
      </w:r>
    </w:p>
    <w:p>
      <w:pPr>
        <w:spacing w:line="360" w:lineRule="auto"/>
        <w:ind w:firstLine="1210" w:firstLineChars="550"/>
        <w:rPr>
          <w:rFonts w:ascii="宋体"/>
          <w:color w:val="auto"/>
          <w:sz w:val="22"/>
          <w:szCs w:val="22"/>
          <w:highlight w:val="none"/>
        </w:rPr>
      </w:pPr>
      <w:r>
        <w:rPr>
          <w:rFonts w:hint="eastAsia" w:ascii="宋体"/>
          <w:color w:val="auto"/>
          <w:sz w:val="22"/>
          <w:szCs w:val="22"/>
          <w:highlight w:val="none"/>
        </w:rPr>
        <w:t>传真：                               传真：</w:t>
      </w:r>
    </w:p>
    <w:p>
      <w:pPr>
        <w:spacing w:line="360" w:lineRule="auto"/>
        <w:ind w:firstLine="1210" w:firstLineChars="550"/>
        <w:rPr>
          <w:rFonts w:ascii="宋体"/>
          <w:color w:val="auto"/>
          <w:sz w:val="22"/>
          <w:szCs w:val="22"/>
          <w:highlight w:val="none"/>
        </w:rPr>
      </w:pPr>
      <w:r>
        <w:rPr>
          <w:rFonts w:hint="eastAsia" w:ascii="宋体"/>
          <w:color w:val="auto"/>
          <w:sz w:val="22"/>
          <w:szCs w:val="22"/>
          <w:highlight w:val="none"/>
        </w:rPr>
        <w:t>开户银行：                           开户银行：</w:t>
      </w:r>
    </w:p>
    <w:p>
      <w:pPr>
        <w:spacing w:line="360" w:lineRule="auto"/>
        <w:ind w:firstLine="1210" w:firstLineChars="550"/>
        <w:rPr>
          <w:rFonts w:ascii="宋体"/>
          <w:b/>
          <w:color w:val="auto"/>
          <w:sz w:val="22"/>
          <w:szCs w:val="22"/>
          <w:highlight w:val="none"/>
        </w:rPr>
      </w:pPr>
      <w:r>
        <w:rPr>
          <w:rFonts w:hint="eastAsia" w:ascii="宋体"/>
          <w:color w:val="auto"/>
          <w:sz w:val="22"/>
          <w:szCs w:val="22"/>
          <w:highlight w:val="none"/>
        </w:rPr>
        <w:t>帐号：                               帐号：</w:t>
      </w:r>
    </w:p>
    <w:bookmarkEnd w:id="87"/>
    <w:bookmarkEnd w:id="88"/>
    <w:p>
      <w:pPr>
        <w:spacing w:line="360" w:lineRule="auto"/>
        <w:ind w:left="688" w:leftChars="275" w:hanging="110" w:hangingChars="50"/>
        <w:rPr>
          <w:rFonts w:ascii="宋体"/>
          <w:color w:val="auto"/>
          <w:sz w:val="22"/>
          <w:szCs w:val="22"/>
          <w:highlight w:val="none"/>
        </w:rPr>
        <w:sectPr>
          <w:pgSz w:w="11906" w:h="16838"/>
          <w:pgMar w:top="1134" w:right="1134" w:bottom="1134" w:left="1134" w:header="851" w:footer="850" w:gutter="0"/>
          <w:cols w:space="720" w:num="1"/>
          <w:titlePg/>
          <w:docGrid w:type="lines" w:linePitch="312" w:charSpace="0"/>
        </w:sectPr>
      </w:pPr>
    </w:p>
    <w:p>
      <w:pPr>
        <w:pStyle w:val="39"/>
        <w:rPr>
          <w:rFonts w:ascii="宋体" w:cs="Times New Roman"/>
          <w:color w:val="auto"/>
          <w:sz w:val="30"/>
          <w:szCs w:val="30"/>
          <w:highlight w:val="none"/>
        </w:rPr>
      </w:pPr>
      <w:bookmarkStart w:id="100" w:name="_Toc496116263"/>
      <w:bookmarkStart w:id="101" w:name="_Toc498343172"/>
      <w:bookmarkStart w:id="102" w:name="_Toc6121"/>
      <w:bookmarkStart w:id="103" w:name="_Toc293038721"/>
      <w:r>
        <w:rPr>
          <w:rFonts w:hint="eastAsia" w:ascii="宋体" w:hAnsi="宋体" w:cs="宋体"/>
          <w:color w:val="auto"/>
          <w:sz w:val="30"/>
          <w:szCs w:val="30"/>
          <w:highlight w:val="none"/>
        </w:rPr>
        <w:t>第六部分</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投标文件格式</w:t>
      </w:r>
      <w:bookmarkEnd w:id="100"/>
      <w:bookmarkEnd w:id="101"/>
      <w:bookmarkEnd w:id="102"/>
    </w:p>
    <w:bookmarkEnd w:id="103"/>
    <w:p>
      <w:pPr>
        <w:widowControl/>
        <w:spacing w:line="460" w:lineRule="atLeast"/>
        <w:jc w:val="center"/>
        <w:rPr>
          <w:rFonts w:ascii="宋体"/>
          <w:b/>
          <w:bCs/>
          <w:color w:val="auto"/>
          <w:sz w:val="32"/>
          <w:szCs w:val="32"/>
          <w:highlight w:val="none"/>
        </w:rPr>
      </w:pPr>
      <w:bookmarkStart w:id="104" w:name="_Toc496116282"/>
      <w:bookmarkStart w:id="105" w:name="_Toc498343176"/>
      <w:bookmarkStart w:id="106" w:name="_Toc161563051"/>
      <w:bookmarkStart w:id="107" w:name="_Toc293038733"/>
    </w:p>
    <w:p>
      <w:pPr>
        <w:pStyle w:val="39"/>
        <w:rPr>
          <w:rFonts w:ascii="宋体" w:hAnsi="宋体"/>
          <w:color w:val="auto"/>
          <w:highlight w:val="none"/>
        </w:rPr>
      </w:pPr>
      <w:bookmarkStart w:id="108" w:name="_Toc42678689"/>
      <w:bookmarkStart w:id="109" w:name="_Toc3012"/>
      <w:bookmarkStart w:id="110" w:name="_Toc301515381"/>
      <w:r>
        <w:rPr>
          <w:rFonts w:hint="eastAsia" w:ascii="宋体" w:hAnsi="宋体"/>
          <w:color w:val="auto"/>
          <w:highlight w:val="none"/>
        </w:rPr>
        <w:t>一、资格文件部分格式</w:t>
      </w:r>
      <w:bookmarkEnd w:id="108"/>
      <w:bookmarkEnd w:id="109"/>
    </w:p>
    <w:p>
      <w:pPr>
        <w:widowControl/>
        <w:spacing w:line="460" w:lineRule="atLeast"/>
        <w:jc w:val="left"/>
        <w:rPr>
          <w:rFonts w:ascii="宋体"/>
          <w:b/>
          <w:bCs/>
          <w:color w:val="auto"/>
          <w:sz w:val="22"/>
          <w:szCs w:val="22"/>
          <w:highlight w:val="none"/>
        </w:rPr>
      </w:pPr>
      <w:r>
        <w:rPr>
          <w:rFonts w:hint="eastAsia" w:ascii="宋体"/>
          <w:b/>
          <w:bCs/>
          <w:color w:val="auto"/>
          <w:sz w:val="22"/>
          <w:szCs w:val="22"/>
          <w:highlight w:val="none"/>
        </w:rPr>
        <w:t>附件一</w:t>
      </w:r>
    </w:p>
    <w:p>
      <w:pPr>
        <w:pStyle w:val="39"/>
        <w:rPr>
          <w:rFonts w:ascii="宋体" w:hAnsi="宋体"/>
          <w:color w:val="auto"/>
          <w:highlight w:val="none"/>
          <w:lang w:val="zh-CN"/>
        </w:rPr>
      </w:pPr>
      <w:bookmarkStart w:id="111" w:name="_Toc42243282"/>
      <w:bookmarkStart w:id="112" w:name="_Toc99807477"/>
      <w:bookmarkStart w:id="113" w:name="_Toc96954536"/>
      <w:bookmarkStart w:id="114" w:name="_Toc42678024"/>
      <w:bookmarkStart w:id="115" w:name="_Toc23613"/>
      <w:bookmarkStart w:id="116" w:name="_Toc42678179"/>
      <w:bookmarkStart w:id="117" w:name="_Toc42678690"/>
      <w:r>
        <w:rPr>
          <w:rFonts w:hint="eastAsia" w:ascii="宋体" w:hAnsi="宋体"/>
          <w:color w:val="auto"/>
          <w:highlight w:val="none"/>
          <w:lang w:val="zh-CN"/>
        </w:rPr>
        <w:t>具有履行合同所必需的设备和专业技术能力的承诺函</w:t>
      </w:r>
      <w:bookmarkEnd w:id="111"/>
      <w:bookmarkEnd w:id="112"/>
      <w:bookmarkEnd w:id="113"/>
      <w:bookmarkEnd w:id="114"/>
      <w:bookmarkEnd w:id="115"/>
      <w:bookmarkEnd w:id="116"/>
      <w:bookmarkEnd w:id="117"/>
    </w:p>
    <w:p>
      <w:pPr>
        <w:spacing w:line="460" w:lineRule="exact"/>
        <w:rPr>
          <w:rFonts w:ascii="宋体" w:cs="黑体"/>
          <w:b/>
          <w:color w:val="auto"/>
          <w:sz w:val="22"/>
          <w:szCs w:val="22"/>
          <w:highlight w:val="none"/>
          <w:u w:val="single"/>
        </w:rPr>
      </w:pPr>
    </w:p>
    <w:p>
      <w:pPr>
        <w:spacing w:line="460" w:lineRule="exact"/>
        <w:rPr>
          <w:rFonts w:ascii="宋体" w:cs="黑体"/>
          <w:color w:val="auto"/>
          <w:sz w:val="22"/>
          <w:szCs w:val="22"/>
          <w:highlight w:val="none"/>
          <w:u w:val="single"/>
        </w:rPr>
      </w:pPr>
      <w:r>
        <w:rPr>
          <w:rFonts w:hint="eastAsia" w:ascii="宋体" w:cs="黑体"/>
          <w:color w:val="auto"/>
          <w:sz w:val="22"/>
          <w:szCs w:val="22"/>
          <w:highlight w:val="none"/>
          <w:u w:val="single"/>
        </w:rPr>
        <w:t>永嘉县人民医院：</w:t>
      </w:r>
    </w:p>
    <w:p>
      <w:pPr>
        <w:spacing w:line="460" w:lineRule="exact"/>
        <w:rPr>
          <w:rFonts w:ascii="宋体" w:cs="黑体"/>
          <w:color w:val="auto"/>
          <w:sz w:val="22"/>
          <w:szCs w:val="22"/>
          <w:highlight w:val="none"/>
          <w:u w:val="single"/>
        </w:rPr>
      </w:pPr>
      <w:r>
        <w:rPr>
          <w:rFonts w:hint="eastAsia" w:ascii="宋体" w:cs="黑体"/>
          <w:color w:val="auto"/>
          <w:sz w:val="22"/>
          <w:szCs w:val="22"/>
          <w:highlight w:val="none"/>
          <w:u w:val="single"/>
        </w:rPr>
        <w:t>温州市中概工程管理咨询有限公司：</w:t>
      </w:r>
    </w:p>
    <w:p>
      <w:pPr>
        <w:widowControl/>
        <w:snapToGrid w:val="0"/>
        <w:spacing w:line="460" w:lineRule="exact"/>
        <w:ind w:firstLine="440" w:firstLineChars="200"/>
        <w:jc w:val="left"/>
        <w:rPr>
          <w:rFonts w:ascii="宋体" w:cs="Courier New"/>
          <w:color w:val="auto"/>
          <w:sz w:val="22"/>
          <w:szCs w:val="22"/>
          <w:highlight w:val="none"/>
        </w:rPr>
      </w:pPr>
    </w:p>
    <w:p>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我方</w:t>
      </w:r>
      <w:r>
        <w:rPr>
          <w:rFonts w:hint="eastAsia" w:ascii="宋体" w:cs="Courier New"/>
          <w:color w:val="auto"/>
          <w:sz w:val="22"/>
          <w:szCs w:val="22"/>
          <w:highlight w:val="none"/>
          <w:u w:val="single"/>
        </w:rPr>
        <w:t xml:space="preserve"> （供应商）</w:t>
      </w:r>
      <w:r>
        <w:rPr>
          <w:rFonts w:hint="eastAsia" w:ascii="宋体" w:cs="Courier New"/>
          <w:color w:val="auto"/>
          <w:sz w:val="22"/>
          <w:szCs w:val="22"/>
          <w:highlight w:val="none"/>
        </w:rPr>
        <w:t>承诺具有履行合同所必需的设备和专业技术能力。如有虚假，采购人可取消我方任何资格（投标/中标/签订合同），我方对此无任何异议。</w:t>
      </w:r>
    </w:p>
    <w:p>
      <w:pPr>
        <w:widowControl/>
        <w:snapToGrid w:val="0"/>
        <w:spacing w:line="460" w:lineRule="exact"/>
        <w:ind w:firstLine="440" w:firstLineChars="200"/>
        <w:jc w:val="left"/>
        <w:rPr>
          <w:rFonts w:ascii="宋体" w:cs="Courier New"/>
          <w:color w:val="auto"/>
          <w:sz w:val="22"/>
          <w:szCs w:val="22"/>
          <w:highlight w:val="none"/>
        </w:rPr>
      </w:pPr>
    </w:p>
    <w:p>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特此承诺！</w:t>
      </w:r>
    </w:p>
    <w:p>
      <w:pPr>
        <w:widowControl/>
        <w:snapToGrid w:val="0"/>
        <w:spacing w:line="460" w:lineRule="exact"/>
        <w:ind w:firstLine="440" w:firstLineChars="200"/>
        <w:jc w:val="left"/>
        <w:rPr>
          <w:rFonts w:ascii="宋体" w:cs="Courier New"/>
          <w:color w:val="auto"/>
          <w:sz w:val="22"/>
          <w:szCs w:val="22"/>
          <w:highlight w:val="none"/>
        </w:rPr>
      </w:pPr>
    </w:p>
    <w:p>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投标供应商（盖章） ：</w:t>
      </w:r>
    </w:p>
    <w:p>
      <w:pPr>
        <w:widowControl/>
        <w:snapToGrid w:val="0"/>
        <w:spacing w:line="460" w:lineRule="exact"/>
        <w:ind w:firstLine="420" w:firstLineChars="200"/>
        <w:jc w:val="left"/>
        <w:rPr>
          <w:rFonts w:ascii="宋体" w:cs="Courier New"/>
          <w:color w:val="auto"/>
          <w:sz w:val="22"/>
          <w:szCs w:val="22"/>
          <w:highlight w:val="none"/>
        </w:rPr>
      </w:pPr>
      <w:r>
        <w:rPr>
          <w:rFonts w:hint="eastAsia" w:ascii="宋体"/>
          <w:bCs/>
          <w:color w:val="auto"/>
          <w:highlight w:val="none"/>
        </w:rPr>
        <w:t>法定代表人或授权代表（签字或盖章）：</w:t>
      </w:r>
    </w:p>
    <w:p>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日期：</w:t>
      </w:r>
    </w:p>
    <w:p>
      <w:pPr>
        <w:widowControl/>
        <w:spacing w:line="460" w:lineRule="atLeast"/>
        <w:jc w:val="left"/>
        <w:rPr>
          <w:rFonts w:ascii="宋体"/>
          <w:b/>
          <w:color w:val="auto"/>
          <w:highlight w:val="none"/>
          <w:lang w:val="zh-CN"/>
        </w:rPr>
      </w:pPr>
      <w:r>
        <w:rPr>
          <w:rFonts w:hint="eastAsia" w:ascii="宋体" w:cs="Arial"/>
          <w:color w:val="auto"/>
          <w:sz w:val="36"/>
          <w:szCs w:val="32"/>
          <w:highlight w:val="none"/>
        </w:rPr>
        <w:br w:type="page"/>
      </w:r>
      <w:bookmarkStart w:id="118" w:name="_Toc30615"/>
      <w:bookmarkStart w:id="119" w:name="_Toc38543882"/>
      <w:r>
        <w:rPr>
          <w:rFonts w:hint="eastAsia" w:ascii="宋体"/>
          <w:b/>
          <w:bCs/>
          <w:color w:val="auto"/>
          <w:sz w:val="22"/>
          <w:szCs w:val="22"/>
          <w:highlight w:val="none"/>
        </w:rPr>
        <w:t>附件二</w:t>
      </w:r>
    </w:p>
    <w:p>
      <w:pPr>
        <w:pStyle w:val="39"/>
        <w:rPr>
          <w:rFonts w:ascii="宋体" w:hAnsi="宋体" w:cs="Arial"/>
          <w:color w:val="auto"/>
          <w:highlight w:val="none"/>
          <w:lang w:val="zh-CN"/>
        </w:rPr>
      </w:pPr>
      <w:r>
        <w:rPr>
          <w:rFonts w:hint="eastAsia" w:ascii="宋体" w:hAnsi="宋体"/>
          <w:color w:val="auto"/>
          <w:highlight w:val="none"/>
        </w:rPr>
        <w:t xml:space="preserve"> </w:t>
      </w:r>
      <w:bookmarkStart w:id="120" w:name="_Toc25829"/>
      <w:bookmarkStart w:id="121" w:name="_Toc42678180"/>
      <w:bookmarkStart w:id="122" w:name="_Toc42678025"/>
      <w:bookmarkStart w:id="123" w:name="_Toc99807478"/>
      <w:bookmarkStart w:id="124" w:name="_Toc42243283"/>
      <w:bookmarkStart w:id="125" w:name="_Toc96954537"/>
      <w:bookmarkStart w:id="126" w:name="_Toc42678691"/>
      <w:r>
        <w:rPr>
          <w:rFonts w:hint="eastAsia" w:ascii="宋体" w:hAnsi="宋体"/>
          <w:color w:val="auto"/>
          <w:highlight w:val="none"/>
          <w:lang w:val="zh-CN"/>
        </w:rPr>
        <w:t>依法缴纳税收和社会保障资金的承诺函</w:t>
      </w:r>
      <w:bookmarkEnd w:id="118"/>
      <w:bookmarkEnd w:id="119"/>
      <w:bookmarkEnd w:id="120"/>
      <w:bookmarkEnd w:id="121"/>
      <w:bookmarkEnd w:id="122"/>
      <w:bookmarkEnd w:id="123"/>
      <w:bookmarkEnd w:id="124"/>
      <w:bookmarkEnd w:id="125"/>
      <w:bookmarkEnd w:id="126"/>
    </w:p>
    <w:p>
      <w:pPr>
        <w:spacing w:line="460" w:lineRule="exact"/>
        <w:rPr>
          <w:rFonts w:ascii="宋体" w:cs="黑体"/>
          <w:color w:val="auto"/>
          <w:sz w:val="22"/>
          <w:szCs w:val="22"/>
          <w:highlight w:val="none"/>
          <w:u w:val="single"/>
        </w:rPr>
      </w:pPr>
      <w:r>
        <w:rPr>
          <w:rFonts w:hint="eastAsia" w:ascii="宋体" w:cs="黑体"/>
          <w:color w:val="auto"/>
          <w:sz w:val="22"/>
          <w:szCs w:val="22"/>
          <w:highlight w:val="none"/>
          <w:u w:val="single"/>
        </w:rPr>
        <w:t>永嘉县人民医院：</w:t>
      </w:r>
    </w:p>
    <w:p>
      <w:pPr>
        <w:spacing w:line="460" w:lineRule="exact"/>
        <w:rPr>
          <w:rFonts w:ascii="宋体" w:cs="黑体"/>
          <w:color w:val="auto"/>
          <w:sz w:val="22"/>
          <w:szCs w:val="22"/>
          <w:highlight w:val="none"/>
          <w:u w:val="single"/>
        </w:rPr>
      </w:pPr>
      <w:r>
        <w:rPr>
          <w:rFonts w:hint="eastAsia" w:ascii="宋体" w:cs="黑体"/>
          <w:color w:val="auto"/>
          <w:sz w:val="22"/>
          <w:szCs w:val="22"/>
          <w:highlight w:val="none"/>
          <w:u w:val="single"/>
        </w:rPr>
        <w:t>温州市中概工程管理咨询有限公司：</w:t>
      </w:r>
    </w:p>
    <w:p>
      <w:pPr>
        <w:spacing w:line="460" w:lineRule="exact"/>
        <w:ind w:firstLine="440" w:firstLineChars="200"/>
        <w:rPr>
          <w:rFonts w:ascii="宋体" w:cs="黑体"/>
          <w:color w:val="auto"/>
          <w:sz w:val="22"/>
          <w:szCs w:val="22"/>
          <w:highlight w:val="none"/>
        </w:rPr>
      </w:pPr>
    </w:p>
    <w:p>
      <w:pPr>
        <w:spacing w:line="460" w:lineRule="exact"/>
        <w:ind w:firstLine="440" w:firstLineChars="200"/>
        <w:rPr>
          <w:rFonts w:ascii="宋体" w:cs="黑体"/>
          <w:color w:val="auto"/>
          <w:sz w:val="22"/>
          <w:szCs w:val="22"/>
          <w:highlight w:val="none"/>
        </w:rPr>
      </w:pPr>
      <w:r>
        <w:rPr>
          <w:rFonts w:hint="eastAsia" w:ascii="宋体" w:cs="黑体"/>
          <w:color w:val="auto"/>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ascii="宋体" w:cs="黑体"/>
          <w:color w:val="auto"/>
          <w:sz w:val="22"/>
          <w:szCs w:val="22"/>
          <w:highlight w:val="none"/>
        </w:rPr>
      </w:pPr>
    </w:p>
    <w:p>
      <w:pPr>
        <w:spacing w:line="460" w:lineRule="exact"/>
        <w:ind w:firstLine="440" w:firstLineChars="200"/>
        <w:rPr>
          <w:rFonts w:ascii="宋体" w:cs="黑体"/>
          <w:color w:val="auto"/>
          <w:sz w:val="22"/>
          <w:szCs w:val="22"/>
          <w:highlight w:val="none"/>
        </w:rPr>
      </w:pPr>
      <w:r>
        <w:rPr>
          <w:rFonts w:hint="eastAsia" w:ascii="宋体" w:cs="黑体"/>
          <w:color w:val="auto"/>
          <w:sz w:val="22"/>
          <w:szCs w:val="22"/>
          <w:highlight w:val="none"/>
        </w:rPr>
        <w:t>特此承诺！</w:t>
      </w:r>
    </w:p>
    <w:p>
      <w:pPr>
        <w:widowControl/>
        <w:snapToGrid w:val="0"/>
        <w:spacing w:line="460" w:lineRule="exact"/>
        <w:ind w:firstLine="440" w:firstLineChars="200"/>
        <w:jc w:val="left"/>
        <w:rPr>
          <w:rFonts w:ascii="宋体" w:cs="Courier New"/>
          <w:color w:val="auto"/>
          <w:sz w:val="22"/>
          <w:szCs w:val="22"/>
          <w:highlight w:val="none"/>
        </w:rPr>
      </w:pPr>
    </w:p>
    <w:p>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投标供应商（盖章） ：</w:t>
      </w:r>
    </w:p>
    <w:p>
      <w:pPr>
        <w:widowControl/>
        <w:snapToGrid w:val="0"/>
        <w:spacing w:line="460" w:lineRule="exact"/>
        <w:ind w:firstLine="420" w:firstLineChars="200"/>
        <w:jc w:val="left"/>
        <w:rPr>
          <w:rFonts w:ascii="宋体" w:cs="Courier New"/>
          <w:color w:val="auto"/>
          <w:sz w:val="22"/>
          <w:szCs w:val="22"/>
          <w:highlight w:val="none"/>
        </w:rPr>
      </w:pPr>
      <w:r>
        <w:rPr>
          <w:rFonts w:hint="eastAsia" w:ascii="宋体"/>
          <w:bCs/>
          <w:color w:val="auto"/>
          <w:highlight w:val="none"/>
        </w:rPr>
        <w:t>法定代表人或授权代表（签字或盖章）：</w:t>
      </w:r>
    </w:p>
    <w:p>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 xml:space="preserve">日期： </w:t>
      </w:r>
    </w:p>
    <w:p>
      <w:pPr>
        <w:widowControl/>
        <w:snapToGrid w:val="0"/>
        <w:spacing w:line="460" w:lineRule="exact"/>
        <w:ind w:firstLine="440" w:firstLineChars="200"/>
        <w:jc w:val="left"/>
        <w:rPr>
          <w:rFonts w:ascii="宋体" w:cs="Courier New"/>
          <w:color w:val="auto"/>
          <w:sz w:val="22"/>
          <w:szCs w:val="22"/>
          <w:highlight w:val="none"/>
        </w:rPr>
      </w:pPr>
    </w:p>
    <w:p>
      <w:pPr>
        <w:widowControl/>
        <w:spacing w:line="460" w:lineRule="atLeast"/>
        <w:jc w:val="left"/>
        <w:rPr>
          <w:rFonts w:ascii="宋体"/>
          <w:b/>
          <w:color w:val="auto"/>
          <w:highlight w:val="none"/>
        </w:rPr>
      </w:pPr>
      <w:r>
        <w:rPr>
          <w:rFonts w:hint="eastAsia" w:ascii="宋体" w:cs="Arial"/>
          <w:color w:val="auto"/>
          <w:sz w:val="30"/>
          <w:szCs w:val="32"/>
          <w:highlight w:val="none"/>
          <w:lang w:val="zh-CN"/>
        </w:rPr>
        <w:br w:type="page"/>
      </w:r>
      <w:bookmarkStart w:id="127" w:name="_Toc31544"/>
      <w:bookmarkStart w:id="128" w:name="_Toc33194406"/>
      <w:bookmarkStart w:id="129" w:name="_Toc16491"/>
      <w:bookmarkStart w:id="130" w:name="_Toc11360"/>
      <w:bookmarkStart w:id="131" w:name="_Toc10630"/>
      <w:bookmarkStart w:id="132" w:name="_Toc31784"/>
      <w:bookmarkStart w:id="133" w:name="_Toc27119255"/>
      <w:bookmarkStart w:id="134" w:name="_Toc13669"/>
      <w:bookmarkStart w:id="135" w:name="_Toc38543883"/>
      <w:bookmarkStart w:id="136" w:name="_Toc28957"/>
      <w:bookmarkStart w:id="137" w:name="_Toc6606"/>
      <w:bookmarkStart w:id="138" w:name="_Toc14589"/>
      <w:bookmarkStart w:id="139" w:name="_Toc14988"/>
      <w:bookmarkStart w:id="140" w:name="_Toc18304"/>
      <w:r>
        <w:rPr>
          <w:rFonts w:hint="eastAsia" w:ascii="宋体"/>
          <w:b/>
          <w:bCs/>
          <w:color w:val="auto"/>
          <w:sz w:val="22"/>
          <w:szCs w:val="22"/>
          <w:highlight w:val="none"/>
        </w:rPr>
        <w:t xml:space="preserve">附件三 </w:t>
      </w:r>
    </w:p>
    <w:p>
      <w:pPr>
        <w:pStyle w:val="39"/>
        <w:rPr>
          <w:rFonts w:ascii="宋体" w:hAnsi="宋体" w:cs="Arial"/>
          <w:color w:val="auto"/>
          <w:highlight w:val="none"/>
          <w:lang w:val="zh-CN"/>
        </w:rPr>
      </w:pPr>
      <w:bookmarkStart w:id="141" w:name="_Toc42678692"/>
      <w:bookmarkStart w:id="142" w:name="_Toc42678026"/>
      <w:bookmarkStart w:id="143" w:name="_Toc8741"/>
      <w:bookmarkStart w:id="144" w:name="_Toc42243284"/>
      <w:bookmarkStart w:id="145" w:name="_Toc42678181"/>
      <w:bookmarkStart w:id="146" w:name="_Toc96954538"/>
      <w:bookmarkStart w:id="147" w:name="_Toc99807479"/>
      <w:r>
        <w:rPr>
          <w:rFonts w:hint="eastAsia" w:ascii="宋体" w:hAnsi="宋体"/>
          <w:color w:val="auto"/>
          <w:highlight w:val="none"/>
          <w:lang w:val="zh-CN"/>
        </w:rPr>
        <w:t>参加政府采购活动前3年内在经营活动中没有重大违法记录的声明函</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spacing w:line="460" w:lineRule="exact"/>
        <w:jc w:val="left"/>
        <w:rPr>
          <w:rFonts w:ascii="宋体" w:cs="黑体"/>
          <w:color w:val="auto"/>
          <w:sz w:val="22"/>
          <w:szCs w:val="22"/>
          <w:highlight w:val="none"/>
          <w:u w:val="single"/>
        </w:rPr>
      </w:pPr>
      <w:r>
        <w:rPr>
          <w:rFonts w:hint="eastAsia" w:ascii="宋体" w:cs="黑体"/>
          <w:color w:val="auto"/>
          <w:sz w:val="22"/>
          <w:szCs w:val="22"/>
          <w:highlight w:val="none"/>
          <w:u w:val="single"/>
        </w:rPr>
        <w:t>永嘉县人民医院：</w:t>
      </w:r>
    </w:p>
    <w:p>
      <w:pPr>
        <w:spacing w:line="460" w:lineRule="exact"/>
        <w:jc w:val="left"/>
        <w:rPr>
          <w:rFonts w:ascii="宋体" w:cs="黑体"/>
          <w:color w:val="auto"/>
          <w:sz w:val="22"/>
          <w:szCs w:val="22"/>
          <w:highlight w:val="none"/>
          <w:u w:val="single"/>
        </w:rPr>
      </w:pPr>
      <w:r>
        <w:rPr>
          <w:rFonts w:hint="eastAsia" w:ascii="宋体" w:cs="黑体"/>
          <w:color w:val="auto"/>
          <w:sz w:val="22"/>
          <w:szCs w:val="22"/>
          <w:highlight w:val="none"/>
          <w:u w:val="single"/>
        </w:rPr>
        <w:t>温州市中概工程管理咨询有限公司：</w:t>
      </w:r>
    </w:p>
    <w:p>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我方</w:t>
      </w:r>
      <w:r>
        <w:rPr>
          <w:rFonts w:hint="eastAsia" w:ascii="宋体" w:cs="Courier New"/>
          <w:color w:val="auto"/>
          <w:sz w:val="22"/>
          <w:szCs w:val="22"/>
          <w:highlight w:val="none"/>
          <w:u w:val="single"/>
        </w:rPr>
        <w:t xml:space="preserve"> （供应商）</w:t>
      </w:r>
      <w:r>
        <w:rPr>
          <w:rFonts w:hint="eastAsia" w:ascii="宋体" w:cs="Courier New"/>
          <w:color w:val="auto"/>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snapToGrid w:val="0"/>
        <w:spacing w:line="460" w:lineRule="exact"/>
        <w:ind w:firstLine="440" w:firstLineChars="200"/>
        <w:jc w:val="left"/>
        <w:rPr>
          <w:rFonts w:ascii="宋体" w:cs="Courier New"/>
          <w:color w:val="auto"/>
          <w:sz w:val="22"/>
          <w:szCs w:val="22"/>
          <w:highlight w:val="none"/>
        </w:rPr>
      </w:pPr>
    </w:p>
    <w:p>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特此承诺！</w:t>
      </w:r>
    </w:p>
    <w:p>
      <w:pPr>
        <w:widowControl/>
        <w:snapToGrid w:val="0"/>
        <w:spacing w:line="460" w:lineRule="exact"/>
        <w:ind w:firstLine="440" w:firstLineChars="200"/>
        <w:jc w:val="left"/>
        <w:rPr>
          <w:rFonts w:ascii="宋体" w:cs="Courier New"/>
          <w:color w:val="auto"/>
          <w:sz w:val="22"/>
          <w:szCs w:val="22"/>
          <w:highlight w:val="none"/>
        </w:rPr>
      </w:pPr>
    </w:p>
    <w:p>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投标供应商（盖章） ：</w:t>
      </w:r>
    </w:p>
    <w:p>
      <w:pPr>
        <w:widowControl/>
        <w:snapToGrid w:val="0"/>
        <w:spacing w:line="460" w:lineRule="exact"/>
        <w:ind w:firstLine="420" w:firstLineChars="200"/>
        <w:jc w:val="left"/>
        <w:rPr>
          <w:rFonts w:ascii="宋体" w:cs="Courier New"/>
          <w:color w:val="auto"/>
          <w:sz w:val="22"/>
          <w:szCs w:val="22"/>
          <w:highlight w:val="none"/>
        </w:rPr>
      </w:pPr>
      <w:r>
        <w:rPr>
          <w:rFonts w:hint="eastAsia" w:ascii="宋体"/>
          <w:bCs/>
          <w:color w:val="auto"/>
          <w:highlight w:val="none"/>
        </w:rPr>
        <w:t>法定代表人或授权代表（签字或盖章）：</w:t>
      </w:r>
    </w:p>
    <w:p>
      <w:pPr>
        <w:widowControl/>
        <w:snapToGrid w:val="0"/>
        <w:spacing w:line="460" w:lineRule="exact"/>
        <w:ind w:firstLine="440" w:firstLineChars="200"/>
        <w:jc w:val="left"/>
        <w:rPr>
          <w:rFonts w:ascii="宋体" w:cs="Courier New"/>
          <w:color w:val="auto"/>
          <w:sz w:val="22"/>
          <w:szCs w:val="22"/>
          <w:highlight w:val="none"/>
        </w:rPr>
      </w:pPr>
      <w:r>
        <w:rPr>
          <w:rFonts w:hint="eastAsia" w:ascii="宋体" w:cs="Courier New"/>
          <w:color w:val="auto"/>
          <w:sz w:val="22"/>
          <w:szCs w:val="22"/>
          <w:highlight w:val="none"/>
        </w:rPr>
        <w:t xml:space="preserve">日期：  </w:t>
      </w:r>
    </w:p>
    <w:p>
      <w:pPr>
        <w:widowControl/>
        <w:spacing w:line="460" w:lineRule="atLeast"/>
        <w:jc w:val="left"/>
        <w:rPr>
          <w:rFonts w:asciiTheme="majorEastAsia" w:hAnsiTheme="majorEastAsia" w:eastAsiaTheme="majorEastAsia"/>
          <w:color w:val="auto"/>
          <w:sz w:val="32"/>
          <w:szCs w:val="32"/>
          <w:highlight w:val="none"/>
        </w:rPr>
      </w:pPr>
      <w:bookmarkStart w:id="148" w:name="_Toc56004404"/>
      <w:r>
        <w:rPr>
          <w:rFonts w:ascii="宋体"/>
          <w:color w:val="auto"/>
          <w:sz w:val="32"/>
          <w:szCs w:val="32"/>
          <w:highlight w:val="none"/>
          <w:lang w:val="zh-CN"/>
        </w:rPr>
        <w:br w:type="page"/>
      </w:r>
      <w:r>
        <w:rPr>
          <w:rFonts w:ascii="宋体"/>
          <w:b/>
          <w:bCs/>
          <w:color w:val="auto"/>
          <w:sz w:val="22"/>
          <w:szCs w:val="22"/>
          <w:highlight w:val="none"/>
        </w:rPr>
        <w:t>附件</w:t>
      </w:r>
      <w:r>
        <w:rPr>
          <w:rFonts w:hint="eastAsia" w:ascii="宋体"/>
          <w:b/>
          <w:bCs/>
          <w:color w:val="auto"/>
          <w:sz w:val="22"/>
          <w:szCs w:val="22"/>
          <w:highlight w:val="none"/>
        </w:rPr>
        <w:t>四</w:t>
      </w:r>
      <w:r>
        <w:rPr>
          <w:rFonts w:ascii="宋体"/>
          <w:b/>
          <w:bCs/>
          <w:color w:val="auto"/>
          <w:sz w:val="22"/>
          <w:szCs w:val="22"/>
          <w:highlight w:val="none"/>
        </w:rPr>
        <w:t xml:space="preserve"> </w:t>
      </w:r>
      <w:r>
        <w:rPr>
          <w:rFonts w:hint="eastAsia" w:asciiTheme="majorEastAsia" w:hAnsiTheme="majorEastAsia" w:eastAsiaTheme="majorEastAsia"/>
          <w:color w:val="auto"/>
          <w:sz w:val="22"/>
          <w:szCs w:val="22"/>
          <w:highlight w:val="none"/>
        </w:rPr>
        <w:t>（三选一或提供监狱企业证明材料）</w:t>
      </w:r>
    </w:p>
    <w:p>
      <w:pPr>
        <w:widowControl/>
        <w:spacing w:before="100" w:beforeAutospacing="1" w:after="100" w:afterAutospacing="1" w:line="440" w:lineRule="atLeast"/>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（1）中小企业声明函（货物）</w:t>
      </w:r>
    </w:p>
    <w:p>
      <w:pPr>
        <w:widowControl/>
        <w:spacing w:before="100" w:beforeAutospacing="1" w:after="100" w:afterAutospacing="1" w:line="440" w:lineRule="atLeast"/>
        <w:ind w:firstLine="440" w:firstLineChars="200"/>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color w:val="auto"/>
          <w:sz w:val="22"/>
          <w:szCs w:val="22"/>
          <w:highlight w:val="none"/>
        </w:rPr>
        <w:t>本公司（联合体）郑重声明，根据《政府采购促进中小企业发展管理办法》（财库﹝2020﹞46 号）的规定，本公司（联合体）参加</w:t>
      </w:r>
      <w:r>
        <w:rPr>
          <w:rFonts w:hint="eastAsia" w:asciiTheme="majorEastAsia" w:hAnsiTheme="majorEastAsia" w:eastAsiaTheme="majorEastAsia"/>
          <w:color w:val="auto"/>
          <w:sz w:val="22"/>
          <w:szCs w:val="22"/>
          <w:highlight w:val="none"/>
          <w:u w:val="single"/>
        </w:rPr>
        <w:t xml:space="preserve"> （单位名称）</w:t>
      </w:r>
      <w:r>
        <w:rPr>
          <w:rFonts w:hint="eastAsia" w:asciiTheme="majorEastAsia" w:hAnsiTheme="majorEastAsia" w:eastAsiaTheme="majorEastAsia"/>
          <w:color w:val="auto"/>
          <w:sz w:val="22"/>
          <w:szCs w:val="22"/>
          <w:highlight w:val="none"/>
        </w:rPr>
        <w:t xml:space="preserve"> 的 </w:t>
      </w:r>
      <w:r>
        <w:rPr>
          <w:rFonts w:hint="eastAsia" w:asciiTheme="majorEastAsia" w:hAnsiTheme="majorEastAsia" w:eastAsiaTheme="majorEastAsia"/>
          <w:color w:val="auto"/>
          <w:sz w:val="22"/>
          <w:szCs w:val="22"/>
          <w:highlight w:val="none"/>
          <w:u w:val="single"/>
        </w:rPr>
        <w:t>（项目名称）</w:t>
      </w:r>
      <w:r>
        <w:rPr>
          <w:rFonts w:hint="eastAsia" w:asciiTheme="majorEastAsia" w:hAnsiTheme="majorEastAsia" w:eastAsiaTheme="majorEastAsia"/>
          <w:color w:val="auto"/>
          <w:sz w:val="22"/>
          <w:szCs w:val="22"/>
          <w:highlight w:val="none"/>
        </w:rPr>
        <w:t xml:space="preserve"> 采购活动，提供的货物全部由符合政策要求的中小企业制造。相关企业（含联合体中的中小企业、签订分包意向协议的中小企业）的具体情况如下：</w:t>
      </w:r>
    </w:p>
    <w:p>
      <w:pPr>
        <w:widowControl/>
        <w:spacing w:before="100" w:beforeAutospacing="1" w:after="100" w:afterAutospacing="1" w:line="440" w:lineRule="atLeast"/>
        <w:ind w:firstLine="440" w:firstLineChars="200"/>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color w:val="auto"/>
          <w:sz w:val="22"/>
          <w:szCs w:val="22"/>
          <w:highlight w:val="none"/>
        </w:rPr>
        <w:t xml:space="preserve">1. </w:t>
      </w:r>
      <w:r>
        <w:rPr>
          <w:rFonts w:hint="eastAsia" w:asciiTheme="majorEastAsia" w:hAnsiTheme="majorEastAsia" w:eastAsiaTheme="majorEastAsia"/>
          <w:color w:val="auto"/>
          <w:sz w:val="22"/>
          <w:szCs w:val="22"/>
          <w:highlight w:val="none"/>
          <w:u w:val="single"/>
        </w:rPr>
        <w:t xml:space="preserve">（标的名称） </w:t>
      </w:r>
      <w:r>
        <w:rPr>
          <w:rFonts w:hint="eastAsia" w:asciiTheme="majorEastAsia" w:hAnsiTheme="majorEastAsia" w:eastAsiaTheme="majorEastAsia"/>
          <w:color w:val="auto"/>
          <w:sz w:val="22"/>
          <w:szCs w:val="22"/>
          <w:highlight w:val="none"/>
        </w:rPr>
        <w:t>，属于</w:t>
      </w:r>
      <w:r>
        <w:rPr>
          <w:rFonts w:hint="eastAsia"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rPr>
        <w:t xml:space="preserve">  </w:t>
      </w:r>
      <w:r>
        <w:rPr>
          <w:rFonts w:hint="eastAsia" w:asciiTheme="majorEastAsia" w:hAnsiTheme="majorEastAsia" w:eastAsiaTheme="majorEastAsia"/>
          <w:color w:val="auto"/>
          <w:sz w:val="22"/>
          <w:szCs w:val="22"/>
          <w:highlight w:val="none"/>
        </w:rPr>
        <w:t xml:space="preserve">行业 ；制造商为 </w:t>
      </w:r>
      <w:r>
        <w:rPr>
          <w:rFonts w:hint="eastAsia" w:asciiTheme="majorEastAsia" w:hAnsiTheme="majorEastAsia" w:eastAsiaTheme="majorEastAsia"/>
          <w:color w:val="auto"/>
          <w:sz w:val="22"/>
          <w:szCs w:val="22"/>
          <w:highlight w:val="none"/>
          <w:u w:val="single"/>
        </w:rPr>
        <w:t>（企业名称）</w:t>
      </w:r>
      <w:r>
        <w:rPr>
          <w:rFonts w:hint="eastAsia" w:asciiTheme="majorEastAsia" w:hAnsiTheme="majorEastAsia" w:eastAsiaTheme="majorEastAsia"/>
          <w:color w:val="auto"/>
          <w:sz w:val="22"/>
          <w:szCs w:val="22"/>
          <w:highlight w:val="none"/>
        </w:rPr>
        <w:t xml:space="preserve"> ，从业人员</w:t>
      </w:r>
      <w:r>
        <w:rPr>
          <w:rFonts w:hint="eastAsia"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u w:val="single"/>
        </w:rPr>
        <w:t xml:space="preserve">      </w:t>
      </w:r>
      <w:r>
        <w:rPr>
          <w:rFonts w:hint="eastAsia" w:asciiTheme="majorEastAsia" w:hAnsiTheme="majorEastAsia" w:eastAsiaTheme="majorEastAsia"/>
          <w:color w:val="auto"/>
          <w:sz w:val="22"/>
          <w:szCs w:val="22"/>
          <w:highlight w:val="none"/>
        </w:rPr>
        <w:t>人，营业收入为</w:t>
      </w:r>
      <w:r>
        <w:rPr>
          <w:rFonts w:hint="eastAsia"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u w:val="single"/>
        </w:rPr>
        <w:t xml:space="preserve">      </w:t>
      </w:r>
      <w:r>
        <w:rPr>
          <w:rFonts w:hint="eastAsia" w:asciiTheme="majorEastAsia" w:hAnsiTheme="majorEastAsia" w:eastAsiaTheme="majorEastAsia"/>
          <w:color w:val="auto"/>
          <w:sz w:val="22"/>
          <w:szCs w:val="22"/>
          <w:highlight w:val="none"/>
        </w:rPr>
        <w:t>万元，资产总额为</w:t>
      </w:r>
      <w:r>
        <w:rPr>
          <w:rFonts w:hint="eastAsia"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u w:val="single"/>
        </w:rPr>
        <w:t xml:space="preserve">      </w:t>
      </w:r>
      <w:r>
        <w:rPr>
          <w:rFonts w:hint="eastAsia" w:asciiTheme="majorEastAsia" w:hAnsiTheme="majorEastAsia" w:eastAsiaTheme="majorEastAsia"/>
          <w:color w:val="auto"/>
          <w:sz w:val="22"/>
          <w:szCs w:val="22"/>
          <w:highlight w:val="none"/>
        </w:rPr>
        <w:t xml:space="preserve">万元 ，属于 </w:t>
      </w:r>
      <w:r>
        <w:rPr>
          <w:rFonts w:hint="eastAsia" w:asciiTheme="majorEastAsia" w:hAnsiTheme="majorEastAsia" w:eastAsiaTheme="majorEastAsia"/>
          <w:color w:val="auto"/>
          <w:sz w:val="22"/>
          <w:szCs w:val="22"/>
          <w:highlight w:val="none"/>
          <w:u w:val="single"/>
        </w:rPr>
        <w:t xml:space="preserve">（中型企业、小型企业、微型企业） </w:t>
      </w:r>
      <w:r>
        <w:rPr>
          <w:rFonts w:hint="eastAsia" w:asciiTheme="majorEastAsia" w:hAnsiTheme="majorEastAsia" w:eastAsiaTheme="majorEastAsia"/>
          <w:color w:val="auto"/>
          <w:sz w:val="22"/>
          <w:szCs w:val="22"/>
          <w:highlight w:val="none"/>
        </w:rPr>
        <w:t>；</w:t>
      </w:r>
    </w:p>
    <w:p>
      <w:pPr>
        <w:widowControl/>
        <w:spacing w:before="100" w:beforeAutospacing="1" w:after="100" w:afterAutospacing="1" w:line="440" w:lineRule="atLeast"/>
        <w:ind w:firstLine="440" w:firstLineChars="200"/>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color w:val="auto"/>
          <w:sz w:val="22"/>
          <w:szCs w:val="22"/>
          <w:highlight w:val="none"/>
        </w:rPr>
        <w:t xml:space="preserve">2. </w:t>
      </w:r>
      <w:r>
        <w:rPr>
          <w:rFonts w:hint="eastAsia" w:asciiTheme="majorEastAsia" w:hAnsiTheme="majorEastAsia" w:eastAsiaTheme="majorEastAsia"/>
          <w:color w:val="auto"/>
          <w:sz w:val="22"/>
          <w:szCs w:val="22"/>
          <w:highlight w:val="none"/>
          <w:u w:val="single"/>
        </w:rPr>
        <w:t>（标的名称）</w:t>
      </w:r>
      <w:r>
        <w:rPr>
          <w:rFonts w:hint="eastAsia" w:asciiTheme="majorEastAsia" w:hAnsiTheme="majorEastAsia" w:eastAsiaTheme="majorEastAsia"/>
          <w:color w:val="auto"/>
          <w:sz w:val="22"/>
          <w:szCs w:val="22"/>
          <w:highlight w:val="none"/>
        </w:rPr>
        <w:t xml:space="preserve"> ，属于</w:t>
      </w:r>
      <w:r>
        <w:rPr>
          <w:rFonts w:hint="eastAsia"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u w:val="single"/>
        </w:rPr>
        <w:t xml:space="preserve">           </w:t>
      </w:r>
      <w:r>
        <w:rPr>
          <w:rFonts w:hint="eastAsia" w:asciiTheme="majorEastAsia" w:hAnsiTheme="majorEastAsia" w:eastAsiaTheme="majorEastAsia"/>
          <w:color w:val="auto"/>
          <w:sz w:val="22"/>
          <w:szCs w:val="22"/>
          <w:highlight w:val="none"/>
        </w:rPr>
        <w:t xml:space="preserve"> 行业 ；制造商为</w:t>
      </w:r>
      <w:r>
        <w:rPr>
          <w:rFonts w:hint="eastAsia" w:asciiTheme="majorEastAsia" w:hAnsiTheme="majorEastAsia" w:eastAsiaTheme="majorEastAsia"/>
          <w:color w:val="auto"/>
          <w:sz w:val="22"/>
          <w:szCs w:val="22"/>
          <w:highlight w:val="none"/>
          <w:u w:val="single"/>
        </w:rPr>
        <w:t xml:space="preserve"> （企业名称）</w:t>
      </w:r>
      <w:r>
        <w:rPr>
          <w:rFonts w:hint="eastAsia" w:asciiTheme="majorEastAsia" w:hAnsiTheme="majorEastAsia" w:eastAsiaTheme="majorEastAsia"/>
          <w:color w:val="auto"/>
          <w:sz w:val="22"/>
          <w:szCs w:val="22"/>
          <w:highlight w:val="none"/>
        </w:rPr>
        <w:t xml:space="preserve"> ，从业人员</w:t>
      </w:r>
      <w:r>
        <w:rPr>
          <w:rFonts w:hint="eastAsia"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u w:val="single"/>
        </w:rPr>
        <w:t xml:space="preserve">      </w:t>
      </w:r>
      <w:r>
        <w:rPr>
          <w:rFonts w:hint="eastAsia" w:asciiTheme="majorEastAsia" w:hAnsiTheme="majorEastAsia" w:eastAsiaTheme="majorEastAsia"/>
          <w:color w:val="auto"/>
          <w:sz w:val="22"/>
          <w:szCs w:val="22"/>
          <w:highlight w:val="none"/>
        </w:rPr>
        <w:t>人，营业收入为</w:t>
      </w:r>
      <w:r>
        <w:rPr>
          <w:rFonts w:hint="eastAsia"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u w:val="single"/>
        </w:rPr>
        <w:t xml:space="preserve">      </w:t>
      </w:r>
      <w:r>
        <w:rPr>
          <w:rFonts w:hint="eastAsia" w:asciiTheme="majorEastAsia" w:hAnsiTheme="majorEastAsia" w:eastAsiaTheme="majorEastAsia"/>
          <w:color w:val="auto"/>
          <w:sz w:val="22"/>
          <w:szCs w:val="22"/>
          <w:highlight w:val="none"/>
        </w:rPr>
        <w:t>万元，资产总额为</w:t>
      </w:r>
      <w:r>
        <w:rPr>
          <w:rFonts w:hint="eastAsia"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u w:val="single"/>
        </w:rPr>
        <w:t xml:space="preserve">      </w:t>
      </w:r>
      <w:r>
        <w:rPr>
          <w:rFonts w:hint="eastAsia" w:asciiTheme="majorEastAsia" w:hAnsiTheme="majorEastAsia" w:eastAsiaTheme="majorEastAsia"/>
          <w:color w:val="auto"/>
          <w:sz w:val="22"/>
          <w:szCs w:val="22"/>
          <w:highlight w:val="none"/>
        </w:rPr>
        <w:t xml:space="preserve">万元，属于 </w:t>
      </w:r>
      <w:r>
        <w:rPr>
          <w:rFonts w:hint="eastAsia" w:asciiTheme="majorEastAsia" w:hAnsiTheme="majorEastAsia" w:eastAsiaTheme="majorEastAsia"/>
          <w:color w:val="auto"/>
          <w:sz w:val="22"/>
          <w:szCs w:val="22"/>
          <w:highlight w:val="none"/>
          <w:u w:val="single"/>
        </w:rPr>
        <w:t xml:space="preserve">（中型企业、小型企业、微型企业） </w:t>
      </w:r>
      <w:r>
        <w:rPr>
          <w:rFonts w:hint="eastAsia" w:asciiTheme="majorEastAsia" w:hAnsiTheme="majorEastAsia" w:eastAsiaTheme="majorEastAsia"/>
          <w:color w:val="auto"/>
          <w:sz w:val="22"/>
          <w:szCs w:val="22"/>
          <w:highlight w:val="none"/>
        </w:rPr>
        <w:t>；</w:t>
      </w:r>
    </w:p>
    <w:p>
      <w:pPr>
        <w:widowControl/>
        <w:spacing w:before="100" w:beforeAutospacing="1" w:after="100" w:afterAutospacing="1" w:line="440" w:lineRule="atLeast"/>
        <w:ind w:firstLine="440" w:firstLineChars="200"/>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color w:val="auto"/>
          <w:sz w:val="22"/>
          <w:szCs w:val="22"/>
          <w:highlight w:val="none"/>
        </w:rPr>
        <w:t>……</w:t>
      </w:r>
    </w:p>
    <w:p>
      <w:pPr>
        <w:widowControl/>
        <w:spacing w:before="100" w:beforeAutospacing="1" w:after="100" w:afterAutospacing="1" w:line="440" w:lineRule="atLeast"/>
        <w:ind w:firstLine="440" w:firstLineChars="200"/>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color w:val="auto"/>
          <w:sz w:val="22"/>
          <w:szCs w:val="22"/>
          <w:highlight w:val="none"/>
        </w:rPr>
        <w:t>以上企业，不属于大企业的分支机构，不存在控股股东为大企业的情形，也不存在与大企业的负责人为同一人的情形。</w:t>
      </w:r>
    </w:p>
    <w:p>
      <w:pPr>
        <w:widowControl/>
        <w:spacing w:before="100" w:beforeAutospacing="1" w:after="100" w:afterAutospacing="1" w:line="440" w:lineRule="atLeast"/>
        <w:ind w:firstLine="440" w:firstLineChars="200"/>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color w:val="auto"/>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440" w:firstLineChars="200"/>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color w:val="auto"/>
          <w:sz w:val="22"/>
          <w:szCs w:val="22"/>
          <w:highlight w:val="none"/>
        </w:rPr>
        <w:t>企业名称（盖章）：</w:t>
      </w:r>
    </w:p>
    <w:p>
      <w:pPr>
        <w:widowControl/>
        <w:spacing w:before="100" w:beforeAutospacing="1" w:after="100" w:afterAutospacing="1" w:line="440" w:lineRule="atLeast"/>
        <w:ind w:firstLine="440" w:firstLineChars="200"/>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color w:val="auto"/>
          <w:sz w:val="22"/>
          <w:szCs w:val="22"/>
          <w:highlight w:val="none"/>
        </w:rPr>
        <w:t>日 期：</w:t>
      </w:r>
    </w:p>
    <w:p>
      <w:pPr>
        <w:pStyle w:val="2"/>
        <w:ind w:firstLine="210"/>
        <w:rPr>
          <w:rFonts w:asciiTheme="majorEastAsia" w:hAnsiTheme="majorEastAsia" w:eastAsiaTheme="majorEastAsia"/>
          <w:color w:val="auto"/>
          <w:highlight w:val="none"/>
        </w:rPr>
      </w:pPr>
    </w:p>
    <w:p>
      <w:pPr>
        <w:pStyle w:val="2"/>
        <w:ind w:firstLine="210"/>
        <w:rPr>
          <w:rFonts w:asciiTheme="majorEastAsia" w:hAnsiTheme="majorEastAsia" w:eastAsiaTheme="majorEastAsia"/>
          <w:color w:val="auto"/>
          <w:highlight w:val="none"/>
        </w:rPr>
      </w:pPr>
    </w:p>
    <w:p>
      <w:pPr>
        <w:pStyle w:val="2"/>
        <w:ind w:firstLine="210"/>
        <w:rPr>
          <w:rFonts w:asciiTheme="majorEastAsia" w:hAnsiTheme="majorEastAsia" w:eastAsiaTheme="majorEastAsia"/>
          <w:color w:val="auto"/>
          <w:highlight w:val="none"/>
        </w:rPr>
      </w:pPr>
    </w:p>
    <w:p>
      <w:pPr>
        <w:widowControl/>
        <w:jc w:val="lef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4"/>
          <w:highlight w:val="none"/>
        </w:rPr>
        <w:t>注：1 从业人员、营业收入、资产总额填报上一年度数据，无上一年度数据的新成立企业可不填报。</w:t>
      </w:r>
      <w:r>
        <w:rPr>
          <w:rFonts w:asciiTheme="majorEastAsia" w:hAnsiTheme="majorEastAsia" w:eastAsiaTheme="majorEastAsia"/>
          <w:color w:val="auto"/>
          <w:sz w:val="22"/>
          <w:szCs w:val="22"/>
          <w:highlight w:val="none"/>
        </w:rPr>
        <w:t>           </w:t>
      </w:r>
      <w:r>
        <w:rPr>
          <w:rFonts w:asciiTheme="majorEastAsia" w:hAnsiTheme="majorEastAsia" w:eastAsiaTheme="majorEastAsia"/>
          <w:color w:val="auto"/>
          <w:sz w:val="22"/>
          <w:szCs w:val="22"/>
          <w:highlight w:val="none"/>
        </w:rPr>
        <w:br w:type="page"/>
      </w:r>
    </w:p>
    <w:p>
      <w:pPr>
        <w:widowControl/>
        <w:spacing w:before="100" w:beforeAutospacing="1" w:after="100" w:afterAutospacing="1" w:line="440" w:lineRule="atLeast"/>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（2）中小企业声明函（工程、服务）</w:t>
      </w:r>
    </w:p>
    <w:p>
      <w:pPr>
        <w:widowControl/>
        <w:spacing w:before="100" w:beforeAutospacing="1" w:after="100" w:afterAutospacing="1" w:line="440" w:lineRule="atLeast"/>
        <w:ind w:firstLine="440" w:firstLineChars="200"/>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color w:val="auto"/>
          <w:sz w:val="22"/>
          <w:szCs w:val="22"/>
          <w:highlight w:val="none"/>
        </w:rPr>
        <w:t>本公司（联合体）郑重声明，根据《政府采购促进中小企业发展管理办法》（财库﹝2020﹞46 号）的规定，本公司（联合体）参加</w:t>
      </w:r>
      <w:r>
        <w:rPr>
          <w:rFonts w:hint="eastAsia" w:asciiTheme="majorEastAsia" w:hAnsiTheme="majorEastAsia" w:eastAsiaTheme="majorEastAsia"/>
          <w:color w:val="auto"/>
          <w:sz w:val="22"/>
          <w:szCs w:val="22"/>
          <w:highlight w:val="none"/>
          <w:u w:val="single"/>
        </w:rPr>
        <w:t xml:space="preserve"> （单位名称）</w:t>
      </w:r>
      <w:r>
        <w:rPr>
          <w:rFonts w:hint="eastAsia" w:asciiTheme="majorEastAsia" w:hAnsiTheme="majorEastAsia" w:eastAsiaTheme="majorEastAsia"/>
          <w:color w:val="auto"/>
          <w:sz w:val="22"/>
          <w:szCs w:val="22"/>
          <w:highlight w:val="none"/>
        </w:rPr>
        <w:t xml:space="preserve"> 的 </w:t>
      </w:r>
      <w:r>
        <w:rPr>
          <w:rFonts w:hint="eastAsia" w:asciiTheme="majorEastAsia" w:hAnsiTheme="majorEastAsia" w:eastAsiaTheme="majorEastAsia"/>
          <w:color w:val="auto"/>
          <w:sz w:val="22"/>
          <w:szCs w:val="22"/>
          <w:highlight w:val="none"/>
          <w:u w:val="single"/>
        </w:rPr>
        <w:t>（项目名称）</w:t>
      </w:r>
      <w:r>
        <w:rPr>
          <w:rFonts w:hint="eastAsia" w:asciiTheme="majorEastAsia" w:hAnsiTheme="majorEastAsia" w:eastAsiaTheme="majorEastAsia"/>
          <w:color w:val="auto"/>
          <w:sz w:val="22"/>
          <w:szCs w:val="22"/>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100" w:beforeAutospacing="1" w:after="100" w:afterAutospacing="1" w:line="440" w:lineRule="atLeast"/>
        <w:ind w:firstLine="440" w:firstLineChars="200"/>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color w:val="auto"/>
          <w:sz w:val="22"/>
          <w:szCs w:val="22"/>
          <w:highlight w:val="none"/>
        </w:rPr>
        <w:t xml:space="preserve">1. </w:t>
      </w:r>
      <w:r>
        <w:rPr>
          <w:rFonts w:hint="eastAsia" w:asciiTheme="majorEastAsia" w:hAnsiTheme="majorEastAsia" w:eastAsiaTheme="majorEastAsia"/>
          <w:color w:val="auto"/>
          <w:sz w:val="22"/>
          <w:szCs w:val="22"/>
          <w:highlight w:val="none"/>
          <w:u w:val="single"/>
        </w:rPr>
        <w:t xml:space="preserve">（标的名称） </w:t>
      </w:r>
      <w:r>
        <w:rPr>
          <w:rFonts w:hint="eastAsia" w:asciiTheme="majorEastAsia" w:hAnsiTheme="majorEastAsia" w:eastAsiaTheme="majorEastAsia"/>
          <w:color w:val="auto"/>
          <w:sz w:val="22"/>
          <w:szCs w:val="22"/>
          <w:highlight w:val="none"/>
        </w:rPr>
        <w:t>，属于</w:t>
      </w:r>
      <w:r>
        <w:rPr>
          <w:rFonts w:hint="eastAsia"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u w:val="single"/>
        </w:rPr>
        <w:t xml:space="preserve">           </w:t>
      </w:r>
      <w:r>
        <w:rPr>
          <w:rFonts w:hint="eastAsia" w:asciiTheme="majorEastAsia" w:hAnsiTheme="majorEastAsia" w:eastAsiaTheme="majorEastAsia"/>
          <w:color w:val="auto"/>
          <w:sz w:val="22"/>
          <w:szCs w:val="22"/>
          <w:highlight w:val="none"/>
        </w:rPr>
        <w:t xml:space="preserve"> </w:t>
      </w:r>
      <w:r>
        <w:rPr>
          <w:rFonts w:hint="eastAsia" w:asciiTheme="majorEastAsia" w:hAnsiTheme="majorEastAsia" w:eastAsiaTheme="majorEastAsia"/>
          <w:color w:val="auto"/>
          <w:sz w:val="22"/>
          <w:szCs w:val="22"/>
          <w:highlight w:val="none"/>
          <w:u w:val="single"/>
        </w:rPr>
        <w:t>行业</w:t>
      </w:r>
      <w:r>
        <w:rPr>
          <w:rFonts w:hint="eastAsia" w:asciiTheme="majorEastAsia" w:hAnsiTheme="majorEastAsia" w:eastAsiaTheme="majorEastAsia"/>
          <w:color w:val="auto"/>
          <w:sz w:val="22"/>
          <w:szCs w:val="22"/>
          <w:highlight w:val="none"/>
        </w:rPr>
        <w:t xml:space="preserve"> ；承建（承接）企业为 </w:t>
      </w:r>
      <w:r>
        <w:rPr>
          <w:rFonts w:hint="eastAsia" w:asciiTheme="majorEastAsia" w:hAnsiTheme="majorEastAsia" w:eastAsiaTheme="majorEastAsia"/>
          <w:color w:val="auto"/>
          <w:sz w:val="22"/>
          <w:szCs w:val="22"/>
          <w:highlight w:val="none"/>
          <w:u w:val="single"/>
        </w:rPr>
        <w:t xml:space="preserve">（企业名称） </w:t>
      </w:r>
      <w:r>
        <w:rPr>
          <w:rFonts w:hint="eastAsia" w:asciiTheme="majorEastAsia" w:hAnsiTheme="majorEastAsia" w:eastAsiaTheme="majorEastAsia"/>
          <w:color w:val="auto"/>
          <w:sz w:val="22"/>
          <w:szCs w:val="22"/>
          <w:highlight w:val="none"/>
        </w:rPr>
        <w:t>，从业人员</w:t>
      </w:r>
      <w:r>
        <w:rPr>
          <w:rFonts w:hint="eastAsia"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u w:val="single"/>
        </w:rPr>
        <w:t xml:space="preserve">      </w:t>
      </w:r>
      <w:r>
        <w:rPr>
          <w:rFonts w:hint="eastAsia" w:asciiTheme="majorEastAsia" w:hAnsiTheme="majorEastAsia" w:eastAsiaTheme="majorEastAsia"/>
          <w:color w:val="auto"/>
          <w:sz w:val="22"/>
          <w:szCs w:val="22"/>
          <w:highlight w:val="none"/>
        </w:rPr>
        <w:t>人，营业收入为</w:t>
      </w:r>
      <w:r>
        <w:rPr>
          <w:rFonts w:hint="eastAsia"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u w:val="single"/>
        </w:rPr>
        <w:t xml:space="preserve">      </w:t>
      </w:r>
      <w:r>
        <w:rPr>
          <w:rFonts w:hint="eastAsia" w:asciiTheme="majorEastAsia" w:hAnsiTheme="majorEastAsia" w:eastAsiaTheme="majorEastAsia"/>
          <w:color w:val="auto"/>
          <w:sz w:val="22"/>
          <w:szCs w:val="22"/>
          <w:highlight w:val="none"/>
        </w:rPr>
        <w:t>万元，资产总额为</w:t>
      </w:r>
      <w:r>
        <w:rPr>
          <w:rFonts w:hint="eastAsia"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u w:val="single"/>
        </w:rPr>
        <w:t xml:space="preserve">      </w:t>
      </w:r>
      <w:r>
        <w:rPr>
          <w:rFonts w:hint="eastAsia" w:asciiTheme="majorEastAsia" w:hAnsiTheme="majorEastAsia" w:eastAsiaTheme="majorEastAsia"/>
          <w:color w:val="auto"/>
          <w:sz w:val="22"/>
          <w:szCs w:val="22"/>
          <w:highlight w:val="none"/>
        </w:rPr>
        <w:t>万元 ，属于</w:t>
      </w:r>
      <w:r>
        <w:rPr>
          <w:rFonts w:hint="eastAsia" w:asciiTheme="majorEastAsia" w:hAnsiTheme="majorEastAsia" w:eastAsiaTheme="majorEastAsia"/>
          <w:color w:val="auto"/>
          <w:sz w:val="22"/>
          <w:szCs w:val="22"/>
          <w:highlight w:val="none"/>
          <w:u w:val="single"/>
        </w:rPr>
        <w:t xml:space="preserve"> （中型企业、小型企业、微型企业） </w:t>
      </w:r>
      <w:r>
        <w:rPr>
          <w:rFonts w:hint="eastAsia" w:asciiTheme="majorEastAsia" w:hAnsiTheme="majorEastAsia" w:eastAsiaTheme="majorEastAsia"/>
          <w:color w:val="auto"/>
          <w:sz w:val="22"/>
          <w:szCs w:val="22"/>
          <w:highlight w:val="none"/>
        </w:rPr>
        <w:t>；</w:t>
      </w:r>
    </w:p>
    <w:p>
      <w:pPr>
        <w:widowControl/>
        <w:spacing w:before="100" w:beforeAutospacing="1" w:after="100" w:afterAutospacing="1" w:line="440" w:lineRule="atLeast"/>
        <w:ind w:firstLine="440" w:firstLineChars="200"/>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color w:val="auto"/>
          <w:sz w:val="22"/>
          <w:szCs w:val="22"/>
          <w:highlight w:val="none"/>
        </w:rPr>
        <w:t xml:space="preserve">2. </w:t>
      </w:r>
      <w:r>
        <w:rPr>
          <w:rFonts w:hint="eastAsia" w:asciiTheme="majorEastAsia" w:hAnsiTheme="majorEastAsia" w:eastAsiaTheme="majorEastAsia"/>
          <w:color w:val="auto"/>
          <w:sz w:val="22"/>
          <w:szCs w:val="22"/>
          <w:highlight w:val="none"/>
          <w:u w:val="single"/>
        </w:rPr>
        <w:t>（标的名称）</w:t>
      </w:r>
      <w:r>
        <w:rPr>
          <w:rFonts w:hint="eastAsia" w:asciiTheme="majorEastAsia" w:hAnsiTheme="majorEastAsia" w:eastAsiaTheme="majorEastAsia"/>
          <w:color w:val="auto"/>
          <w:sz w:val="22"/>
          <w:szCs w:val="22"/>
          <w:highlight w:val="none"/>
        </w:rPr>
        <w:t xml:space="preserve"> ，属于</w:t>
      </w:r>
      <w:r>
        <w:rPr>
          <w:rFonts w:hint="eastAsia"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u w:val="single"/>
        </w:rPr>
        <w:t xml:space="preserve">           </w:t>
      </w:r>
      <w:r>
        <w:rPr>
          <w:rFonts w:hint="eastAsia" w:asciiTheme="majorEastAsia" w:hAnsiTheme="majorEastAsia" w:eastAsiaTheme="majorEastAsia"/>
          <w:color w:val="auto"/>
          <w:sz w:val="22"/>
          <w:szCs w:val="22"/>
          <w:highlight w:val="none"/>
        </w:rPr>
        <w:t xml:space="preserve"> </w:t>
      </w:r>
      <w:r>
        <w:rPr>
          <w:rFonts w:hint="eastAsia" w:asciiTheme="majorEastAsia" w:hAnsiTheme="majorEastAsia" w:eastAsiaTheme="majorEastAsia"/>
          <w:color w:val="auto"/>
          <w:sz w:val="22"/>
          <w:szCs w:val="22"/>
          <w:highlight w:val="none"/>
          <w:u w:val="single"/>
        </w:rPr>
        <w:t xml:space="preserve">行业 </w:t>
      </w:r>
      <w:r>
        <w:rPr>
          <w:rFonts w:hint="eastAsia" w:asciiTheme="majorEastAsia" w:hAnsiTheme="majorEastAsia" w:eastAsiaTheme="majorEastAsia"/>
          <w:color w:val="auto"/>
          <w:sz w:val="22"/>
          <w:szCs w:val="22"/>
          <w:highlight w:val="none"/>
        </w:rPr>
        <w:t>；承建（承接）企业为</w:t>
      </w:r>
      <w:r>
        <w:rPr>
          <w:rFonts w:hint="eastAsia" w:asciiTheme="majorEastAsia" w:hAnsiTheme="majorEastAsia" w:eastAsiaTheme="majorEastAsia"/>
          <w:color w:val="auto"/>
          <w:sz w:val="22"/>
          <w:szCs w:val="22"/>
          <w:highlight w:val="none"/>
          <w:u w:val="single"/>
        </w:rPr>
        <w:t xml:space="preserve"> （企业名称）</w:t>
      </w:r>
      <w:r>
        <w:rPr>
          <w:rFonts w:hint="eastAsia" w:asciiTheme="majorEastAsia" w:hAnsiTheme="majorEastAsia" w:eastAsiaTheme="majorEastAsia"/>
          <w:color w:val="auto"/>
          <w:sz w:val="22"/>
          <w:szCs w:val="22"/>
          <w:highlight w:val="none"/>
        </w:rPr>
        <w:t xml:space="preserve"> ，从业人员</w:t>
      </w:r>
      <w:r>
        <w:rPr>
          <w:rFonts w:hint="eastAsia"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u w:val="single"/>
        </w:rPr>
        <w:t xml:space="preserve">      </w:t>
      </w:r>
      <w:r>
        <w:rPr>
          <w:rFonts w:hint="eastAsia" w:asciiTheme="majorEastAsia" w:hAnsiTheme="majorEastAsia" w:eastAsiaTheme="majorEastAsia"/>
          <w:color w:val="auto"/>
          <w:sz w:val="22"/>
          <w:szCs w:val="22"/>
          <w:highlight w:val="none"/>
        </w:rPr>
        <w:t>人，营业收入为</w:t>
      </w:r>
      <w:r>
        <w:rPr>
          <w:rFonts w:hint="eastAsia"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u w:val="single"/>
        </w:rPr>
        <w:t xml:space="preserve">      </w:t>
      </w:r>
      <w:r>
        <w:rPr>
          <w:rFonts w:hint="eastAsia" w:asciiTheme="majorEastAsia" w:hAnsiTheme="majorEastAsia" w:eastAsiaTheme="majorEastAsia"/>
          <w:color w:val="auto"/>
          <w:sz w:val="22"/>
          <w:szCs w:val="22"/>
          <w:highlight w:val="none"/>
        </w:rPr>
        <w:t>万元，资产总额为</w:t>
      </w:r>
      <w:r>
        <w:rPr>
          <w:rFonts w:hint="eastAsia" w:asciiTheme="majorEastAsia" w:hAnsiTheme="majorEastAsia" w:eastAsiaTheme="majorEastAsia"/>
          <w:color w:val="auto"/>
          <w:sz w:val="22"/>
          <w:szCs w:val="22"/>
          <w:highlight w:val="none"/>
          <w:u w:val="single"/>
        </w:rPr>
        <w:t xml:space="preserve"> </w:t>
      </w:r>
      <w:r>
        <w:rPr>
          <w:rFonts w:asciiTheme="majorEastAsia" w:hAnsiTheme="majorEastAsia" w:eastAsiaTheme="majorEastAsia"/>
          <w:color w:val="auto"/>
          <w:sz w:val="22"/>
          <w:szCs w:val="22"/>
          <w:highlight w:val="none"/>
          <w:u w:val="single"/>
        </w:rPr>
        <w:t xml:space="preserve">      </w:t>
      </w:r>
      <w:r>
        <w:rPr>
          <w:rFonts w:hint="eastAsia" w:asciiTheme="majorEastAsia" w:hAnsiTheme="majorEastAsia" w:eastAsiaTheme="majorEastAsia"/>
          <w:color w:val="auto"/>
          <w:sz w:val="22"/>
          <w:szCs w:val="22"/>
          <w:highlight w:val="none"/>
        </w:rPr>
        <w:t xml:space="preserve">万元，属于 </w:t>
      </w:r>
      <w:r>
        <w:rPr>
          <w:rFonts w:hint="eastAsia" w:asciiTheme="majorEastAsia" w:hAnsiTheme="majorEastAsia" w:eastAsiaTheme="majorEastAsia"/>
          <w:color w:val="auto"/>
          <w:sz w:val="22"/>
          <w:szCs w:val="22"/>
          <w:highlight w:val="none"/>
          <w:u w:val="single"/>
        </w:rPr>
        <w:t>（中型企业、小型企业、微型企业）</w:t>
      </w:r>
      <w:r>
        <w:rPr>
          <w:rFonts w:hint="eastAsia" w:asciiTheme="majorEastAsia" w:hAnsiTheme="majorEastAsia" w:eastAsiaTheme="majorEastAsia"/>
          <w:color w:val="auto"/>
          <w:sz w:val="22"/>
          <w:szCs w:val="22"/>
          <w:highlight w:val="none"/>
        </w:rPr>
        <w:t xml:space="preserve"> ；</w:t>
      </w:r>
    </w:p>
    <w:p>
      <w:pPr>
        <w:widowControl/>
        <w:spacing w:before="100" w:beforeAutospacing="1" w:after="100" w:afterAutospacing="1" w:line="440" w:lineRule="atLeast"/>
        <w:ind w:firstLine="440" w:firstLineChars="200"/>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color w:val="auto"/>
          <w:sz w:val="22"/>
          <w:szCs w:val="22"/>
          <w:highlight w:val="none"/>
        </w:rPr>
        <w:t>……</w:t>
      </w:r>
    </w:p>
    <w:p>
      <w:pPr>
        <w:widowControl/>
        <w:spacing w:before="100" w:beforeAutospacing="1" w:after="100" w:afterAutospacing="1" w:line="440" w:lineRule="atLeast"/>
        <w:ind w:firstLine="440" w:firstLineChars="200"/>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color w:val="auto"/>
          <w:sz w:val="22"/>
          <w:szCs w:val="22"/>
          <w:highlight w:val="none"/>
        </w:rPr>
        <w:t>以上企业，不属于大企业的分支机构，不存在控股股东为大企业的情形，也不存在与大企业的负责人为同一人的情形。</w:t>
      </w:r>
    </w:p>
    <w:p>
      <w:pPr>
        <w:widowControl/>
        <w:spacing w:before="100" w:beforeAutospacing="1" w:after="100" w:afterAutospacing="1" w:line="440" w:lineRule="atLeast"/>
        <w:ind w:firstLine="440" w:firstLineChars="200"/>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color w:val="auto"/>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440" w:firstLineChars="200"/>
        <w:jc w:val="left"/>
        <w:rPr>
          <w:rFonts w:asciiTheme="majorEastAsia" w:hAnsiTheme="majorEastAsia" w:eastAsiaTheme="majorEastAsia"/>
          <w:b/>
          <w:bCs/>
          <w:color w:val="auto"/>
          <w:sz w:val="22"/>
          <w:szCs w:val="22"/>
          <w:highlight w:val="none"/>
        </w:rPr>
      </w:pPr>
      <w:r>
        <w:rPr>
          <w:rFonts w:hint="eastAsia" w:asciiTheme="majorEastAsia" w:hAnsiTheme="majorEastAsia" w:eastAsiaTheme="majorEastAsia"/>
          <w:color w:val="auto"/>
          <w:sz w:val="22"/>
          <w:szCs w:val="22"/>
          <w:highlight w:val="none"/>
        </w:rPr>
        <w:t>企业名称（盖章）：</w:t>
      </w:r>
    </w:p>
    <w:p>
      <w:pPr>
        <w:widowControl/>
        <w:spacing w:before="100" w:beforeAutospacing="1" w:after="100" w:afterAutospacing="1" w:line="440" w:lineRule="atLeast"/>
        <w:ind w:firstLine="440" w:firstLineChars="200"/>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2"/>
          <w:szCs w:val="22"/>
          <w:highlight w:val="none"/>
        </w:rPr>
        <w:t>日 期：</w:t>
      </w:r>
      <w:r>
        <w:rPr>
          <w:rFonts w:asciiTheme="majorEastAsia" w:hAnsiTheme="majorEastAsia" w:eastAsiaTheme="majorEastAsia"/>
          <w:color w:val="auto"/>
          <w:sz w:val="22"/>
          <w:szCs w:val="22"/>
          <w:highlight w:val="none"/>
        </w:rPr>
        <w:t>            </w:t>
      </w:r>
      <w:r>
        <w:rPr>
          <w:rFonts w:hint="eastAsia" w:asciiTheme="majorEastAsia" w:hAnsiTheme="majorEastAsia" w:eastAsiaTheme="majorEastAsia"/>
          <w:color w:val="auto"/>
          <w:sz w:val="22"/>
          <w:szCs w:val="22"/>
          <w:highlight w:val="none"/>
        </w:rPr>
        <w:t>　　　　</w:t>
      </w:r>
      <w:r>
        <w:rPr>
          <w:rFonts w:hint="eastAsia" w:asciiTheme="majorEastAsia" w:hAnsiTheme="majorEastAsia" w:eastAsiaTheme="majorEastAsia"/>
          <w:color w:val="auto"/>
          <w:sz w:val="24"/>
          <w:highlight w:val="none"/>
        </w:rPr>
        <w:t>　</w:t>
      </w:r>
    </w:p>
    <w:p>
      <w:pPr>
        <w:spacing w:line="440" w:lineRule="atLeast"/>
        <w:rPr>
          <w:rFonts w:asciiTheme="majorEastAsia" w:hAnsiTheme="majorEastAsia" w:eastAsiaTheme="majorEastAsia"/>
          <w:color w:val="auto"/>
          <w:sz w:val="24"/>
          <w:highlight w:val="none"/>
        </w:rPr>
      </w:pPr>
    </w:p>
    <w:p>
      <w:pPr>
        <w:widowControl/>
        <w:spacing w:before="100" w:beforeAutospacing="1" w:after="100" w:afterAutospacing="1" w:line="440" w:lineRule="atLeast"/>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注：1 从业人员、营业收入、资产总额填报上一年度数据，无上一年度数据的新成立企业可不填报。</w:t>
      </w:r>
      <w:r>
        <w:rPr>
          <w:rFonts w:asciiTheme="majorEastAsia" w:hAnsiTheme="majorEastAsia" w:eastAsiaTheme="majorEastAsia"/>
          <w:color w:val="auto"/>
          <w:sz w:val="22"/>
          <w:szCs w:val="22"/>
          <w:highlight w:val="none"/>
        </w:rPr>
        <w:t>                  </w:t>
      </w:r>
      <w:r>
        <w:rPr>
          <w:rFonts w:hint="eastAsia" w:asciiTheme="majorEastAsia" w:hAnsiTheme="majorEastAsia" w:eastAsiaTheme="majorEastAsia"/>
          <w:color w:val="auto"/>
          <w:sz w:val="22"/>
          <w:szCs w:val="22"/>
          <w:highlight w:val="none"/>
        </w:rPr>
        <w:t>　　　　</w:t>
      </w:r>
      <w:r>
        <w:rPr>
          <w:rFonts w:hint="eastAsia" w:asciiTheme="majorEastAsia" w:hAnsiTheme="majorEastAsia" w:eastAsiaTheme="majorEastAsia"/>
          <w:color w:val="auto"/>
          <w:sz w:val="24"/>
          <w:highlight w:val="none"/>
        </w:rPr>
        <w:t>　</w:t>
      </w:r>
    </w:p>
    <w:p>
      <w:pPr>
        <w:spacing w:line="440" w:lineRule="atLeast"/>
        <w:rPr>
          <w:rFonts w:asciiTheme="majorEastAsia" w:hAnsiTheme="majorEastAsia" w:eastAsiaTheme="majorEastAsia"/>
          <w:color w:val="auto"/>
          <w:sz w:val="24"/>
          <w:highlight w:val="none"/>
        </w:rPr>
      </w:pPr>
    </w:p>
    <w:p>
      <w:pPr>
        <w:widowControl/>
        <w:spacing w:before="100" w:beforeAutospacing="1" w:after="100" w:afterAutospacing="1" w:line="440" w:lineRule="atLeast"/>
        <w:jc w:val="left"/>
        <w:rPr>
          <w:rFonts w:asciiTheme="majorEastAsia" w:hAnsiTheme="majorEastAsia" w:eastAsiaTheme="majorEastAsia"/>
          <w:color w:val="auto"/>
          <w:sz w:val="24"/>
          <w:highlight w:val="none"/>
        </w:rPr>
      </w:pPr>
    </w:p>
    <w:p>
      <w:pPr>
        <w:widowControl/>
        <w:spacing w:before="100" w:beforeAutospacing="1" w:after="100" w:afterAutospacing="1" w:line="440" w:lineRule="atLeast"/>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br w:type="page"/>
      </w:r>
      <w:r>
        <w:rPr>
          <w:rFonts w:hint="eastAsia" w:asciiTheme="majorEastAsia" w:hAnsiTheme="majorEastAsia" w:eastAsiaTheme="majorEastAsia"/>
          <w:color w:val="auto"/>
          <w:sz w:val="24"/>
          <w:highlight w:val="none"/>
        </w:rPr>
        <w:t>（3）残疾人福利性单位声明函</w:t>
      </w:r>
    </w:p>
    <w:p>
      <w:pPr>
        <w:spacing w:line="588" w:lineRule="exact"/>
        <w:rPr>
          <w:rFonts w:asciiTheme="majorEastAsia" w:hAnsiTheme="majorEastAsia" w:eastAsiaTheme="majorEastAsia"/>
          <w:color w:val="auto"/>
          <w:spacing w:val="6"/>
          <w:sz w:val="30"/>
          <w:szCs w:val="30"/>
          <w:highlight w:val="none"/>
        </w:rPr>
      </w:pPr>
    </w:p>
    <w:p>
      <w:pPr>
        <w:spacing w:line="588" w:lineRule="exact"/>
        <w:ind w:firstLine="464" w:firstLineChars="200"/>
        <w:rPr>
          <w:rFonts w:asciiTheme="majorEastAsia" w:hAnsiTheme="majorEastAsia" w:eastAsiaTheme="majorEastAsia"/>
          <w:b/>
          <w:bCs/>
          <w:color w:val="auto"/>
          <w:spacing w:val="6"/>
          <w:sz w:val="22"/>
          <w:szCs w:val="22"/>
          <w:highlight w:val="none"/>
        </w:rPr>
      </w:pPr>
      <w:r>
        <w:rPr>
          <w:rFonts w:hint="eastAsia" w:asciiTheme="majorEastAsia" w:hAnsiTheme="majorEastAsia" w:eastAsiaTheme="majorEastAsia"/>
          <w:color w:val="auto"/>
          <w:spacing w:val="6"/>
          <w:sz w:val="22"/>
          <w:szCs w:val="22"/>
          <w:highlight w:val="none"/>
        </w:rPr>
        <w:t>本单位郑重声明，根据《财政部民政部中国残疾人联合会关于促进残疾人就业政府采购政策的通知》（财库</w:t>
      </w:r>
      <w:r>
        <w:rPr>
          <w:rFonts w:hint="eastAsia" w:asciiTheme="majorEastAsia" w:hAnsiTheme="majorEastAsia" w:eastAsiaTheme="majorEastAsia"/>
          <w:color w:val="auto"/>
          <w:sz w:val="22"/>
          <w:szCs w:val="22"/>
          <w:highlight w:val="none"/>
        </w:rPr>
        <w:t>〔</w:t>
      </w:r>
      <w:r>
        <w:rPr>
          <w:rFonts w:asciiTheme="majorEastAsia" w:hAnsiTheme="majorEastAsia" w:eastAsiaTheme="majorEastAsia"/>
          <w:color w:val="auto"/>
          <w:sz w:val="22"/>
          <w:szCs w:val="22"/>
          <w:highlight w:val="none"/>
        </w:rPr>
        <w:t>2017</w:t>
      </w:r>
      <w:r>
        <w:rPr>
          <w:rFonts w:hint="eastAsia" w:asciiTheme="majorEastAsia" w:hAnsiTheme="majorEastAsia" w:eastAsiaTheme="majorEastAsia"/>
          <w:color w:val="auto"/>
          <w:sz w:val="22"/>
          <w:szCs w:val="22"/>
          <w:highlight w:val="none"/>
        </w:rPr>
        <w:t>〕</w:t>
      </w:r>
      <w:r>
        <w:rPr>
          <w:rFonts w:asciiTheme="majorEastAsia" w:hAnsiTheme="majorEastAsia" w:eastAsiaTheme="majorEastAsia"/>
          <w:color w:val="auto"/>
          <w:sz w:val="22"/>
          <w:szCs w:val="22"/>
          <w:highlight w:val="none"/>
        </w:rPr>
        <w:t xml:space="preserve"> 141</w:t>
      </w:r>
      <w:r>
        <w:rPr>
          <w:rFonts w:hint="eastAsia" w:asciiTheme="majorEastAsia" w:hAnsiTheme="majorEastAsia" w:eastAsiaTheme="majorEastAsia"/>
          <w:color w:val="auto"/>
          <w:spacing w:val="6"/>
          <w:sz w:val="22"/>
          <w:szCs w:val="22"/>
          <w:highlight w:val="none"/>
        </w:rPr>
        <w:t>号）的规定，本单位为符合条件的残疾人福利性单位，且本单位参加</w:t>
      </w:r>
      <w:r>
        <w:rPr>
          <w:rFonts w:asciiTheme="majorEastAsia" w:hAnsiTheme="majorEastAsia" w:eastAsiaTheme="majorEastAsia"/>
          <w:color w:val="auto"/>
          <w:spacing w:val="6"/>
          <w:sz w:val="22"/>
          <w:szCs w:val="22"/>
          <w:highlight w:val="none"/>
        </w:rPr>
        <w:t>______</w:t>
      </w:r>
      <w:r>
        <w:rPr>
          <w:rFonts w:hint="eastAsia" w:asciiTheme="majorEastAsia" w:hAnsiTheme="majorEastAsia" w:eastAsiaTheme="majorEastAsia"/>
          <w:color w:val="auto"/>
          <w:spacing w:val="6"/>
          <w:sz w:val="22"/>
          <w:szCs w:val="22"/>
          <w:highlight w:val="none"/>
        </w:rPr>
        <w:t>单位的</w:t>
      </w:r>
      <w:r>
        <w:rPr>
          <w:rFonts w:asciiTheme="majorEastAsia" w:hAnsiTheme="majorEastAsia" w:eastAsiaTheme="majorEastAsia"/>
          <w:color w:val="auto"/>
          <w:spacing w:val="6"/>
          <w:sz w:val="22"/>
          <w:szCs w:val="22"/>
          <w:highlight w:val="none"/>
        </w:rPr>
        <w:t>______</w:t>
      </w:r>
      <w:r>
        <w:rPr>
          <w:rFonts w:hint="eastAsia" w:asciiTheme="majorEastAsia" w:hAnsiTheme="majorEastAsia" w:eastAsiaTheme="majorEastAsia"/>
          <w:color w:val="auto"/>
          <w:spacing w:val="6"/>
          <w:sz w:val="22"/>
          <w:szCs w:val="22"/>
          <w:highlight w:val="none"/>
        </w:rPr>
        <w:t>项目采购活动提供本单位制造的货物（由本单位承担工程</w:t>
      </w:r>
      <w:r>
        <w:rPr>
          <w:rFonts w:asciiTheme="majorEastAsia" w:hAnsiTheme="majorEastAsia" w:eastAsiaTheme="majorEastAsia"/>
          <w:color w:val="auto"/>
          <w:spacing w:val="6"/>
          <w:sz w:val="22"/>
          <w:szCs w:val="22"/>
          <w:highlight w:val="none"/>
        </w:rPr>
        <w:t>/</w:t>
      </w:r>
      <w:r>
        <w:rPr>
          <w:rFonts w:hint="eastAsia" w:asciiTheme="majorEastAsia" w:hAnsiTheme="majorEastAsia" w:eastAsiaTheme="majorEastAsia"/>
          <w:color w:val="auto"/>
          <w:spacing w:val="6"/>
          <w:sz w:val="22"/>
          <w:szCs w:val="22"/>
          <w:highlight w:val="none"/>
        </w:rPr>
        <w:t>提供服务），或者提供其他残疾人福利性单位制造的货物（不包括使用非残疾人福利性单位注册商标的货物）。</w:t>
      </w:r>
    </w:p>
    <w:p>
      <w:pPr>
        <w:spacing w:line="588" w:lineRule="exact"/>
        <w:ind w:firstLine="464" w:firstLineChars="200"/>
        <w:rPr>
          <w:rFonts w:asciiTheme="majorEastAsia" w:hAnsiTheme="majorEastAsia" w:eastAsiaTheme="majorEastAsia"/>
          <w:b/>
          <w:bCs/>
          <w:color w:val="auto"/>
          <w:spacing w:val="6"/>
          <w:sz w:val="22"/>
          <w:szCs w:val="22"/>
          <w:highlight w:val="none"/>
        </w:rPr>
      </w:pPr>
      <w:r>
        <w:rPr>
          <w:rFonts w:hint="eastAsia" w:asciiTheme="majorEastAsia" w:hAnsiTheme="majorEastAsia" w:eastAsiaTheme="majorEastAsia"/>
          <w:color w:val="auto"/>
          <w:spacing w:val="6"/>
          <w:sz w:val="22"/>
          <w:szCs w:val="22"/>
          <w:highlight w:val="none"/>
        </w:rPr>
        <w:t>本单位对上述声明的真实性负责。如有虚假，将依法承担相应责任。</w:t>
      </w:r>
    </w:p>
    <w:p>
      <w:pPr>
        <w:spacing w:line="588" w:lineRule="exact"/>
        <w:ind w:firstLine="466" w:firstLineChars="200"/>
        <w:rPr>
          <w:rFonts w:asciiTheme="majorEastAsia" w:hAnsiTheme="majorEastAsia" w:eastAsiaTheme="majorEastAsia"/>
          <w:b/>
          <w:bCs/>
          <w:color w:val="auto"/>
          <w:spacing w:val="6"/>
          <w:sz w:val="22"/>
          <w:szCs w:val="22"/>
          <w:highlight w:val="none"/>
        </w:rPr>
      </w:pPr>
    </w:p>
    <w:p>
      <w:pPr>
        <w:tabs>
          <w:tab w:val="left" w:pos="4860"/>
        </w:tabs>
        <w:spacing w:line="588" w:lineRule="exact"/>
        <w:ind w:right="1560" w:firstLine="466" w:firstLineChars="200"/>
        <w:rPr>
          <w:rFonts w:asciiTheme="majorEastAsia" w:hAnsiTheme="majorEastAsia" w:eastAsiaTheme="majorEastAsia"/>
          <w:b/>
          <w:bCs/>
          <w:color w:val="auto"/>
          <w:spacing w:val="6"/>
          <w:sz w:val="22"/>
          <w:szCs w:val="22"/>
          <w:highlight w:val="none"/>
        </w:rPr>
      </w:pPr>
    </w:p>
    <w:p>
      <w:pPr>
        <w:tabs>
          <w:tab w:val="left" w:pos="4860"/>
        </w:tabs>
        <w:spacing w:line="588" w:lineRule="exact"/>
        <w:ind w:right="1560" w:firstLine="464" w:firstLineChars="200"/>
        <w:rPr>
          <w:rFonts w:asciiTheme="majorEastAsia" w:hAnsiTheme="majorEastAsia" w:eastAsiaTheme="majorEastAsia"/>
          <w:b/>
          <w:bCs/>
          <w:color w:val="auto"/>
          <w:spacing w:val="6"/>
          <w:sz w:val="22"/>
          <w:szCs w:val="22"/>
          <w:highlight w:val="none"/>
        </w:rPr>
      </w:pPr>
      <w:r>
        <w:rPr>
          <w:rFonts w:hint="eastAsia" w:asciiTheme="majorEastAsia" w:hAnsiTheme="majorEastAsia" w:eastAsiaTheme="majorEastAsia"/>
          <w:color w:val="auto"/>
          <w:spacing w:val="6"/>
          <w:sz w:val="22"/>
          <w:szCs w:val="22"/>
          <w:highlight w:val="none"/>
        </w:rPr>
        <w:t>投标人全称（盖章）：</w:t>
      </w:r>
    </w:p>
    <w:p>
      <w:pPr>
        <w:tabs>
          <w:tab w:val="left" w:pos="4860"/>
        </w:tabs>
        <w:spacing w:line="588" w:lineRule="exact"/>
        <w:ind w:right="1560" w:firstLine="464" w:firstLineChars="200"/>
        <w:rPr>
          <w:rFonts w:asciiTheme="majorEastAsia" w:hAnsiTheme="majorEastAsia" w:eastAsiaTheme="majorEastAsia"/>
          <w:b/>
          <w:bCs/>
          <w:color w:val="auto"/>
          <w:spacing w:val="6"/>
          <w:sz w:val="22"/>
          <w:szCs w:val="22"/>
          <w:highlight w:val="none"/>
        </w:rPr>
      </w:pPr>
      <w:r>
        <w:rPr>
          <w:rFonts w:hint="eastAsia" w:asciiTheme="majorEastAsia" w:hAnsiTheme="majorEastAsia" w:eastAsiaTheme="majorEastAsia"/>
          <w:color w:val="auto"/>
          <w:spacing w:val="6"/>
          <w:sz w:val="22"/>
          <w:szCs w:val="22"/>
          <w:highlight w:val="none"/>
        </w:rPr>
        <w:t>日期：</w:t>
      </w:r>
    </w:p>
    <w:p>
      <w:pPr>
        <w:tabs>
          <w:tab w:val="left" w:pos="4860"/>
        </w:tabs>
        <w:spacing w:line="588" w:lineRule="exact"/>
        <w:ind w:right="1560" w:firstLine="466" w:firstLineChars="200"/>
        <w:jc w:val="center"/>
        <w:rPr>
          <w:rFonts w:asciiTheme="majorEastAsia" w:hAnsiTheme="majorEastAsia" w:eastAsiaTheme="majorEastAsia"/>
          <w:b/>
          <w:bCs/>
          <w:color w:val="auto"/>
          <w:spacing w:val="6"/>
          <w:sz w:val="22"/>
          <w:szCs w:val="22"/>
          <w:highlight w:val="none"/>
        </w:rPr>
      </w:pPr>
    </w:p>
    <w:p>
      <w:pPr>
        <w:tabs>
          <w:tab w:val="left" w:pos="4860"/>
        </w:tabs>
        <w:spacing w:line="588" w:lineRule="exact"/>
        <w:ind w:right="1560" w:firstLine="466" w:firstLineChars="200"/>
        <w:jc w:val="center"/>
        <w:rPr>
          <w:rFonts w:asciiTheme="majorEastAsia" w:hAnsiTheme="majorEastAsia" w:eastAsiaTheme="majorEastAsia"/>
          <w:b/>
          <w:bCs/>
          <w:color w:val="auto"/>
          <w:spacing w:val="6"/>
          <w:sz w:val="22"/>
          <w:szCs w:val="22"/>
          <w:highlight w:val="none"/>
        </w:rPr>
      </w:pPr>
    </w:p>
    <w:p>
      <w:pPr>
        <w:tabs>
          <w:tab w:val="left" w:pos="4860"/>
        </w:tabs>
        <w:spacing w:line="588" w:lineRule="exact"/>
        <w:ind w:right="1560"/>
        <w:jc w:val="left"/>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备注说明：</w:t>
      </w:r>
    </w:p>
    <w:p>
      <w:pPr>
        <w:autoSpaceDE w:val="0"/>
        <w:autoSpaceDN w:val="0"/>
        <w:adjustRightInd w:val="0"/>
        <w:spacing w:line="460" w:lineRule="atLeast"/>
        <w:textAlignment w:val="bottom"/>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1、投标人提供的《声明函》与事实不符的，依照《政府采购法》相关规定追究法律责任。</w:t>
      </w:r>
    </w:p>
    <w:p>
      <w:pPr>
        <w:widowControl/>
        <w:spacing w:line="460" w:lineRule="atLeast"/>
        <w:jc w:val="left"/>
        <w:rPr>
          <w:rFonts w:ascii="宋体"/>
          <w:b/>
          <w:color w:val="auto"/>
          <w:sz w:val="32"/>
          <w:szCs w:val="32"/>
          <w:highlight w:val="none"/>
        </w:rPr>
      </w:pPr>
    </w:p>
    <w:p>
      <w:pPr>
        <w:widowControl/>
        <w:jc w:val="left"/>
        <w:rPr>
          <w:rFonts w:ascii="宋体" w:hAnsi="宋体" w:cs="宋体"/>
          <w:b/>
          <w:color w:val="auto"/>
          <w:kern w:val="0"/>
          <w:sz w:val="32"/>
          <w:szCs w:val="32"/>
          <w:highlight w:val="none"/>
          <w:lang w:val="zh-CN"/>
        </w:rPr>
      </w:pPr>
      <w:r>
        <w:rPr>
          <w:rFonts w:ascii="宋体" w:hAnsi="宋体" w:cs="宋体"/>
          <w:b/>
          <w:color w:val="auto"/>
          <w:kern w:val="0"/>
          <w:sz w:val="32"/>
          <w:szCs w:val="32"/>
          <w:highlight w:val="none"/>
          <w:lang w:val="zh-CN"/>
        </w:rPr>
        <w:br w:type="page"/>
      </w:r>
    </w:p>
    <w:p>
      <w:pPr>
        <w:widowControl/>
        <w:spacing w:line="460" w:lineRule="atLeast"/>
        <w:jc w:val="left"/>
        <w:rPr>
          <w:rFonts w:ascii="宋体"/>
          <w:b/>
          <w:bCs/>
          <w:color w:val="auto"/>
          <w:sz w:val="22"/>
          <w:szCs w:val="22"/>
          <w:highlight w:val="none"/>
        </w:rPr>
      </w:pPr>
      <w:r>
        <w:rPr>
          <w:rFonts w:hint="eastAsia" w:ascii="宋体"/>
          <w:b/>
          <w:bCs/>
          <w:color w:val="auto"/>
          <w:sz w:val="22"/>
          <w:szCs w:val="22"/>
          <w:highlight w:val="none"/>
        </w:rPr>
        <w:t>附件五</w:t>
      </w:r>
    </w:p>
    <w:p>
      <w:pPr>
        <w:pStyle w:val="14"/>
        <w:spacing w:before="240" w:after="60"/>
        <w:jc w:val="center"/>
        <w:outlineLvl w:val="0"/>
        <w:rPr>
          <w:rFonts w:ascii="宋体" w:hAnsi="宋体" w:eastAsia="宋体" w:cs="宋体"/>
          <w:b/>
          <w:color w:val="auto"/>
          <w:kern w:val="0"/>
          <w:sz w:val="32"/>
          <w:szCs w:val="32"/>
          <w:highlight w:val="none"/>
          <w:lang w:val="zh-CN"/>
        </w:rPr>
      </w:pPr>
      <w:bookmarkStart w:id="149" w:name="_Toc99807480"/>
      <w:bookmarkStart w:id="150" w:name="_Toc21614"/>
      <w:bookmarkStart w:id="151" w:name="_Toc96954539"/>
      <w:r>
        <w:rPr>
          <w:rFonts w:ascii="宋体" w:hAnsi="宋体" w:eastAsia="宋体" w:cs="宋体"/>
          <w:b/>
          <w:color w:val="auto"/>
          <w:kern w:val="0"/>
          <w:sz w:val="32"/>
          <w:szCs w:val="32"/>
          <w:highlight w:val="none"/>
          <w:lang w:val="zh-CN"/>
        </w:rPr>
        <w:t>与参加本次项目同一合同项下政府采购活动的其他供应商不存在单位负责人为同一人或者直接控股、管理关系的承诺函</w:t>
      </w:r>
      <w:bookmarkEnd w:id="148"/>
      <w:bookmarkEnd w:id="149"/>
      <w:bookmarkEnd w:id="150"/>
      <w:bookmarkEnd w:id="151"/>
    </w:p>
    <w:p>
      <w:pPr>
        <w:spacing w:line="460" w:lineRule="exact"/>
        <w:rPr>
          <w:rFonts w:ascii="宋体" w:cs="黑体"/>
          <w:b/>
          <w:color w:val="auto"/>
          <w:sz w:val="22"/>
          <w:szCs w:val="22"/>
          <w:highlight w:val="none"/>
          <w:u w:val="single"/>
        </w:rPr>
      </w:pPr>
    </w:p>
    <w:p>
      <w:pPr>
        <w:spacing w:line="460" w:lineRule="exact"/>
        <w:jc w:val="left"/>
        <w:rPr>
          <w:rFonts w:ascii="宋体" w:cs="黑体"/>
          <w:color w:val="auto"/>
          <w:sz w:val="22"/>
          <w:szCs w:val="22"/>
          <w:highlight w:val="none"/>
          <w:u w:val="single"/>
        </w:rPr>
      </w:pPr>
      <w:r>
        <w:rPr>
          <w:rFonts w:hint="eastAsia" w:ascii="宋体" w:cs="黑体"/>
          <w:color w:val="auto"/>
          <w:sz w:val="22"/>
          <w:szCs w:val="22"/>
          <w:highlight w:val="none"/>
          <w:u w:val="single"/>
        </w:rPr>
        <w:t>永嘉县人民医院：</w:t>
      </w:r>
    </w:p>
    <w:p>
      <w:pPr>
        <w:spacing w:line="460" w:lineRule="exact"/>
        <w:jc w:val="left"/>
        <w:rPr>
          <w:rFonts w:ascii="宋体" w:cs="黑体"/>
          <w:color w:val="auto"/>
          <w:sz w:val="22"/>
          <w:szCs w:val="22"/>
          <w:highlight w:val="none"/>
          <w:u w:val="single"/>
        </w:rPr>
      </w:pPr>
      <w:r>
        <w:rPr>
          <w:rFonts w:hint="eastAsia" w:ascii="宋体" w:cs="黑体"/>
          <w:color w:val="auto"/>
          <w:sz w:val="22"/>
          <w:szCs w:val="22"/>
          <w:highlight w:val="none"/>
          <w:u w:val="single"/>
        </w:rPr>
        <w:t>温州市中概工程管理咨询有限公司：</w:t>
      </w:r>
    </w:p>
    <w:p>
      <w:pPr>
        <w:widowControl/>
        <w:spacing w:line="460" w:lineRule="exact"/>
        <w:ind w:firstLine="440"/>
        <w:jc w:val="left"/>
        <w:rPr>
          <w:rFonts w:ascii="宋体" w:cs="Courier New"/>
          <w:color w:val="auto"/>
          <w:sz w:val="22"/>
          <w:szCs w:val="22"/>
          <w:highlight w:val="none"/>
        </w:rPr>
      </w:pPr>
      <w:r>
        <w:rPr>
          <w:rFonts w:ascii="宋体" w:cs="Courier New"/>
          <w:color w:val="auto"/>
          <w:sz w:val="22"/>
          <w:szCs w:val="22"/>
          <w:highlight w:val="none"/>
        </w:rPr>
        <w:t>我方郑重承诺，我方此次参加</w:t>
      </w:r>
      <w:r>
        <w:rPr>
          <w:rFonts w:hint="eastAsia" w:ascii="宋体" w:cs="Courier New"/>
          <w:color w:val="auto"/>
          <w:sz w:val="22"/>
          <w:szCs w:val="22"/>
          <w:highlight w:val="none"/>
        </w:rPr>
        <w:t>贵方组织</w:t>
      </w:r>
      <w:r>
        <w:rPr>
          <w:rFonts w:ascii="宋体" w:cs="Courier New"/>
          <w:color w:val="auto"/>
          <w:sz w:val="22"/>
          <w:szCs w:val="22"/>
          <w:highlight w:val="none"/>
        </w:rPr>
        <w:t>项目的投标，与参加本次项目同一合同项下政府采购活动的其他供应商不存在单位负责人为同一人或者直接控股、管理关系。如有虚假或隐瞒，愿意承担一切后果。</w:t>
      </w:r>
    </w:p>
    <w:p>
      <w:pPr>
        <w:pStyle w:val="2"/>
        <w:ind w:firstLine="210"/>
        <w:rPr>
          <w:rFonts w:ascii="宋体" w:hAnsi="宋体"/>
          <w:color w:val="auto"/>
          <w:highlight w:val="none"/>
        </w:rPr>
      </w:pPr>
    </w:p>
    <w:p>
      <w:pPr>
        <w:widowControl/>
        <w:spacing w:line="460" w:lineRule="exact"/>
        <w:ind w:firstLine="440"/>
        <w:jc w:val="left"/>
        <w:rPr>
          <w:rFonts w:ascii="宋体" w:cs="Courier New"/>
          <w:color w:val="auto"/>
          <w:sz w:val="22"/>
          <w:szCs w:val="22"/>
          <w:highlight w:val="none"/>
        </w:rPr>
      </w:pPr>
      <w:r>
        <w:rPr>
          <w:rFonts w:ascii="宋体" w:cs="Courier New"/>
          <w:color w:val="auto"/>
          <w:sz w:val="22"/>
          <w:szCs w:val="22"/>
          <w:highlight w:val="none"/>
        </w:rPr>
        <w:t>特此承诺！</w:t>
      </w:r>
    </w:p>
    <w:p>
      <w:pPr>
        <w:widowControl/>
        <w:spacing w:line="460" w:lineRule="exact"/>
        <w:ind w:firstLine="440"/>
        <w:jc w:val="left"/>
        <w:rPr>
          <w:rFonts w:ascii="宋体" w:cs="Courier New"/>
          <w:color w:val="auto"/>
          <w:sz w:val="22"/>
          <w:szCs w:val="22"/>
          <w:highlight w:val="none"/>
        </w:rPr>
      </w:pPr>
    </w:p>
    <w:p>
      <w:pPr>
        <w:widowControl/>
        <w:spacing w:line="460" w:lineRule="exact"/>
        <w:ind w:firstLine="440"/>
        <w:jc w:val="left"/>
        <w:rPr>
          <w:rFonts w:ascii="宋体" w:cs="Courier New"/>
          <w:color w:val="auto"/>
          <w:sz w:val="22"/>
          <w:szCs w:val="22"/>
          <w:highlight w:val="none"/>
        </w:rPr>
      </w:pPr>
      <w:r>
        <w:rPr>
          <w:rFonts w:ascii="宋体" w:cs="Courier New"/>
          <w:color w:val="auto"/>
          <w:sz w:val="22"/>
          <w:szCs w:val="22"/>
          <w:highlight w:val="none"/>
        </w:rPr>
        <w:t>投标供应商（盖章） ：</w:t>
      </w:r>
    </w:p>
    <w:p>
      <w:pPr>
        <w:widowControl/>
        <w:spacing w:line="460" w:lineRule="exact"/>
        <w:ind w:firstLine="440"/>
        <w:jc w:val="left"/>
        <w:rPr>
          <w:rFonts w:ascii="宋体" w:cs="Courier New"/>
          <w:color w:val="auto"/>
          <w:sz w:val="22"/>
          <w:szCs w:val="22"/>
          <w:highlight w:val="none"/>
        </w:rPr>
      </w:pPr>
      <w:r>
        <w:rPr>
          <w:rFonts w:hint="eastAsia" w:ascii="宋体"/>
          <w:bCs/>
          <w:color w:val="auto"/>
          <w:highlight w:val="none"/>
        </w:rPr>
        <w:t>法定代表人或授权代表（签字或盖章）：</w:t>
      </w:r>
    </w:p>
    <w:p>
      <w:pPr>
        <w:spacing w:line="460" w:lineRule="atLeast"/>
        <w:ind w:firstLine="440"/>
        <w:rPr>
          <w:rFonts w:ascii="宋体"/>
          <w:color w:val="auto"/>
          <w:sz w:val="36"/>
          <w:highlight w:val="none"/>
        </w:rPr>
      </w:pPr>
      <w:r>
        <w:rPr>
          <w:rFonts w:ascii="宋体" w:cs="Courier New"/>
          <w:color w:val="auto"/>
          <w:sz w:val="22"/>
          <w:szCs w:val="22"/>
          <w:highlight w:val="none"/>
        </w:rPr>
        <w:t>日期：</w:t>
      </w:r>
    </w:p>
    <w:p>
      <w:pPr>
        <w:widowControl/>
        <w:snapToGrid w:val="0"/>
        <w:spacing w:line="460" w:lineRule="exact"/>
        <w:ind w:firstLine="440" w:firstLineChars="200"/>
        <w:jc w:val="left"/>
        <w:rPr>
          <w:rFonts w:ascii="宋体" w:cs="Courier New"/>
          <w:color w:val="auto"/>
          <w:sz w:val="22"/>
          <w:szCs w:val="22"/>
          <w:highlight w:val="none"/>
        </w:rPr>
      </w:pPr>
    </w:p>
    <w:p>
      <w:pPr>
        <w:widowControl/>
        <w:spacing w:line="460" w:lineRule="atLeast"/>
        <w:jc w:val="left"/>
        <w:rPr>
          <w:rFonts w:ascii="宋体"/>
          <w:b/>
          <w:bCs/>
          <w:color w:val="auto"/>
          <w:sz w:val="22"/>
          <w:szCs w:val="22"/>
          <w:highlight w:val="none"/>
        </w:rPr>
      </w:pPr>
      <w:bookmarkStart w:id="152" w:name="_Toc509485354"/>
      <w:r>
        <w:rPr>
          <w:rFonts w:ascii="宋体"/>
          <w:bCs/>
          <w:color w:val="auto"/>
          <w:sz w:val="22"/>
          <w:szCs w:val="22"/>
          <w:highlight w:val="none"/>
        </w:rPr>
        <w:br w:type="page"/>
      </w:r>
      <w:r>
        <w:rPr>
          <w:rFonts w:hint="eastAsia" w:ascii="宋体"/>
          <w:b/>
          <w:bCs/>
          <w:color w:val="auto"/>
          <w:sz w:val="22"/>
          <w:szCs w:val="22"/>
          <w:highlight w:val="none"/>
        </w:rPr>
        <w:t xml:space="preserve">附件六 </w:t>
      </w:r>
      <w:bookmarkEnd w:id="152"/>
    </w:p>
    <w:p>
      <w:pPr>
        <w:tabs>
          <w:tab w:val="left" w:pos="1080"/>
        </w:tabs>
        <w:autoSpaceDE w:val="0"/>
        <w:autoSpaceDN w:val="0"/>
        <w:adjustRightInd w:val="0"/>
        <w:spacing w:line="440" w:lineRule="atLeast"/>
        <w:jc w:val="center"/>
        <w:rPr>
          <w:rFonts w:ascii="宋体"/>
          <w:b/>
          <w:color w:val="auto"/>
          <w:sz w:val="32"/>
          <w:highlight w:val="none"/>
          <w:lang w:val="zh-CN"/>
        </w:rPr>
      </w:pPr>
      <w:r>
        <w:rPr>
          <w:rFonts w:hint="eastAsia" w:ascii="宋体" w:cs="仿宋_GB2312"/>
          <w:b/>
          <w:color w:val="auto"/>
          <w:sz w:val="32"/>
          <w:szCs w:val="32"/>
          <w:highlight w:val="none"/>
          <w:lang w:val="zh-CN"/>
        </w:rPr>
        <w:t>供应商参与政府采购活动投标资格声明函</w:t>
      </w:r>
    </w:p>
    <w:tbl>
      <w:tblPr>
        <w:tblStyle w:val="41"/>
        <w:tblW w:w="98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56" w:type="dxa"/>
          </w:tcPr>
          <w:p>
            <w:pPr>
              <w:pStyle w:val="23"/>
              <w:snapToGrid w:val="0"/>
              <w:spacing w:line="400" w:lineRule="exact"/>
              <w:rPr>
                <w:rFonts w:hAnsi="宋体"/>
                <w:bCs/>
                <w:color w:val="auto"/>
                <w:highlight w:val="none"/>
              </w:rPr>
            </w:pPr>
            <w:r>
              <w:rPr>
                <w:rFonts w:hint="eastAsia" w:hAnsi="宋体"/>
                <w:bCs/>
                <w:color w:val="auto"/>
                <w:highlight w:val="none"/>
              </w:rPr>
              <w:t>项目名称</w:t>
            </w:r>
          </w:p>
        </w:tc>
        <w:tc>
          <w:tcPr>
            <w:tcW w:w="8185" w:type="dxa"/>
          </w:tcPr>
          <w:p>
            <w:pPr>
              <w:pStyle w:val="23"/>
              <w:snapToGrid w:val="0"/>
              <w:spacing w:line="400" w:lineRule="exact"/>
              <w:ind w:left="422" w:firstLine="331"/>
              <w:rPr>
                <w:rFonts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56" w:type="dxa"/>
          </w:tcPr>
          <w:p>
            <w:pPr>
              <w:pStyle w:val="23"/>
              <w:snapToGrid w:val="0"/>
              <w:spacing w:line="400" w:lineRule="exact"/>
              <w:rPr>
                <w:rFonts w:hAnsi="宋体"/>
                <w:bCs/>
                <w:color w:val="auto"/>
                <w:highlight w:val="none"/>
              </w:rPr>
            </w:pPr>
            <w:r>
              <w:rPr>
                <w:rFonts w:hint="eastAsia" w:hAnsi="宋体"/>
                <w:bCs/>
                <w:color w:val="auto"/>
                <w:highlight w:val="none"/>
              </w:rPr>
              <w:t>项目采购编号</w:t>
            </w:r>
          </w:p>
        </w:tc>
        <w:tc>
          <w:tcPr>
            <w:tcW w:w="8185" w:type="dxa"/>
          </w:tcPr>
          <w:p>
            <w:pPr>
              <w:pStyle w:val="23"/>
              <w:snapToGrid w:val="0"/>
              <w:spacing w:line="400" w:lineRule="exact"/>
              <w:ind w:left="422" w:firstLine="361"/>
              <w:rPr>
                <w:rFonts w:hAnsi="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56" w:type="dxa"/>
          </w:tcPr>
          <w:p>
            <w:pPr>
              <w:pStyle w:val="23"/>
              <w:snapToGrid w:val="0"/>
              <w:spacing w:line="400" w:lineRule="exact"/>
              <w:rPr>
                <w:rFonts w:hAnsi="宋体"/>
                <w:bCs/>
                <w:color w:val="auto"/>
                <w:highlight w:val="none"/>
              </w:rPr>
            </w:pPr>
            <w:r>
              <w:rPr>
                <w:rFonts w:hint="eastAsia" w:hAnsi="宋体"/>
                <w:bCs/>
                <w:color w:val="auto"/>
                <w:highlight w:val="none"/>
              </w:rPr>
              <w:t>时    间</w:t>
            </w:r>
          </w:p>
        </w:tc>
        <w:tc>
          <w:tcPr>
            <w:tcW w:w="8185" w:type="dxa"/>
          </w:tcPr>
          <w:p>
            <w:pPr>
              <w:pStyle w:val="23"/>
              <w:snapToGrid w:val="0"/>
              <w:spacing w:line="400" w:lineRule="exact"/>
              <w:rPr>
                <w:rFonts w:hAnsi="宋体"/>
                <w:bCs/>
                <w:color w:val="auto"/>
                <w:highlight w:val="none"/>
              </w:rPr>
            </w:pPr>
            <w:r>
              <w:rPr>
                <w:rFonts w:hint="eastAsia" w:hAnsi="宋体"/>
                <w:bCs/>
                <w:color w:val="auto"/>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4" w:hRule="atLeast"/>
        </w:trPr>
        <w:tc>
          <w:tcPr>
            <w:tcW w:w="9841" w:type="dxa"/>
            <w:gridSpan w:val="2"/>
          </w:tcPr>
          <w:p>
            <w:pPr>
              <w:pStyle w:val="23"/>
              <w:snapToGrid w:val="0"/>
              <w:spacing w:line="400" w:lineRule="exact"/>
              <w:ind w:firstLine="450"/>
              <w:rPr>
                <w:rFonts w:hAnsi="宋体"/>
                <w:color w:val="auto"/>
                <w:highlight w:val="none"/>
              </w:rPr>
            </w:pPr>
            <w:r>
              <w:rPr>
                <w:rFonts w:hint="eastAsia" w:hAnsi="宋体"/>
                <w:color w:val="auto"/>
                <w:highlight w:val="none"/>
              </w:rPr>
              <w:t>1、根据政府采购法第二十二条规定，我单位满足以下条件，并已经在技术资信部分投标文件中提供了相应的证明材料：</w:t>
            </w:r>
          </w:p>
          <w:p>
            <w:pPr>
              <w:pStyle w:val="23"/>
              <w:snapToGrid w:val="0"/>
              <w:spacing w:line="400" w:lineRule="exact"/>
              <w:ind w:firstLine="450"/>
              <w:rPr>
                <w:rFonts w:hAnsi="宋体"/>
                <w:color w:val="auto"/>
                <w:highlight w:val="none"/>
              </w:rPr>
            </w:pPr>
            <w:r>
              <w:rPr>
                <w:rFonts w:hint="eastAsia" w:hAnsi="宋体"/>
                <w:color w:val="auto"/>
                <w:highlight w:val="none"/>
              </w:rPr>
              <w:t xml:space="preserve">（一）具有独立承担民事责任的能力； </w:t>
            </w:r>
          </w:p>
          <w:p>
            <w:pPr>
              <w:pStyle w:val="23"/>
              <w:snapToGrid w:val="0"/>
              <w:spacing w:line="400" w:lineRule="exact"/>
              <w:ind w:firstLine="450"/>
              <w:rPr>
                <w:rFonts w:hAnsi="宋体"/>
                <w:color w:val="auto"/>
                <w:highlight w:val="none"/>
              </w:rPr>
            </w:pPr>
            <w:r>
              <w:rPr>
                <w:rFonts w:hint="eastAsia" w:hAnsi="宋体"/>
                <w:color w:val="auto"/>
                <w:highlight w:val="none"/>
              </w:rPr>
              <w:t xml:space="preserve">　　（二）具有良好的商业信誉和健全的财务会计制度； </w:t>
            </w:r>
          </w:p>
          <w:p>
            <w:pPr>
              <w:pStyle w:val="23"/>
              <w:snapToGrid w:val="0"/>
              <w:spacing w:line="400" w:lineRule="exact"/>
              <w:ind w:firstLine="450"/>
              <w:rPr>
                <w:rFonts w:hAnsi="宋体"/>
                <w:color w:val="auto"/>
                <w:highlight w:val="none"/>
              </w:rPr>
            </w:pPr>
            <w:r>
              <w:rPr>
                <w:rFonts w:hint="eastAsia" w:hAnsi="宋体"/>
                <w:color w:val="auto"/>
                <w:highlight w:val="none"/>
              </w:rPr>
              <w:t xml:space="preserve">　　（三）具有履行合同所必需的设备和专业技术能力； </w:t>
            </w:r>
          </w:p>
          <w:p>
            <w:pPr>
              <w:pStyle w:val="23"/>
              <w:snapToGrid w:val="0"/>
              <w:spacing w:line="400" w:lineRule="exact"/>
              <w:ind w:firstLine="450"/>
              <w:rPr>
                <w:rFonts w:hAnsi="宋体"/>
                <w:color w:val="auto"/>
                <w:highlight w:val="none"/>
              </w:rPr>
            </w:pPr>
            <w:r>
              <w:rPr>
                <w:rFonts w:hint="eastAsia" w:hAnsi="宋体"/>
                <w:color w:val="auto"/>
                <w:highlight w:val="none"/>
              </w:rPr>
              <w:t xml:space="preserve">　　（四）有依法缴纳税收和社会保障资金的良好记录； </w:t>
            </w:r>
          </w:p>
          <w:p>
            <w:pPr>
              <w:pStyle w:val="23"/>
              <w:snapToGrid w:val="0"/>
              <w:spacing w:line="400" w:lineRule="exact"/>
              <w:ind w:firstLine="450"/>
              <w:rPr>
                <w:rFonts w:hAnsi="宋体"/>
                <w:color w:val="auto"/>
                <w:highlight w:val="none"/>
              </w:rPr>
            </w:pPr>
            <w:r>
              <w:rPr>
                <w:rFonts w:hint="eastAsia" w:hAnsi="宋体"/>
                <w:color w:val="auto"/>
                <w:highlight w:val="none"/>
              </w:rPr>
              <w:t xml:space="preserve">　　（五）参加政府采购活动前三年内，在经营活动中没有重大违法记录； </w:t>
            </w:r>
          </w:p>
          <w:p>
            <w:pPr>
              <w:pStyle w:val="23"/>
              <w:snapToGrid w:val="0"/>
              <w:spacing w:line="400" w:lineRule="exact"/>
              <w:ind w:firstLine="450"/>
              <w:rPr>
                <w:rFonts w:hAnsi="宋体"/>
                <w:color w:val="auto"/>
                <w:highlight w:val="none"/>
              </w:rPr>
            </w:pPr>
            <w:r>
              <w:rPr>
                <w:rFonts w:hint="eastAsia" w:hAnsi="宋体"/>
                <w:color w:val="auto"/>
                <w:highlight w:val="none"/>
              </w:rPr>
              <w:t xml:space="preserve">　　（六）法律、行政法规规定的其他条件。 </w:t>
            </w:r>
          </w:p>
          <w:p>
            <w:pPr>
              <w:pStyle w:val="23"/>
              <w:snapToGrid w:val="0"/>
              <w:spacing w:line="400" w:lineRule="exact"/>
              <w:ind w:firstLine="450"/>
              <w:rPr>
                <w:rFonts w:hAnsi="宋体"/>
                <w:color w:val="auto"/>
                <w:highlight w:val="none"/>
              </w:rPr>
            </w:pPr>
            <w:r>
              <w:rPr>
                <w:rFonts w:hAnsi="宋体"/>
                <w:color w:val="auto"/>
                <w:highlight w:val="none"/>
              </w:rPr>
              <w:t>2</w:t>
            </w:r>
            <w:r>
              <w:rPr>
                <w:rFonts w:hint="eastAsia" w:hAnsi="宋体"/>
                <w:color w:val="auto"/>
                <w:highlight w:val="none"/>
              </w:rPr>
              <w:t>、根据</w:t>
            </w:r>
            <w:r>
              <w:rPr>
                <w:rFonts w:hAnsi="宋体"/>
                <w:color w:val="auto"/>
                <w:highlight w:val="none"/>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color w:val="auto"/>
                <w:highlight w:val="none"/>
              </w:rPr>
              <w:t>我单位不存在上述文件规定依法限制参与政府采购的情况，并提供“信用中国”、 “中国政府采购网”查询网页截图（公告发布之日至投标截止时间）。</w:t>
            </w:r>
          </w:p>
          <w:p>
            <w:pPr>
              <w:pStyle w:val="23"/>
              <w:snapToGrid w:val="0"/>
              <w:spacing w:line="400" w:lineRule="exact"/>
              <w:ind w:firstLine="450"/>
              <w:rPr>
                <w:rFonts w:hAnsi="宋体"/>
                <w:b/>
                <w:bCs/>
                <w:color w:val="auto"/>
                <w:highlight w:val="none"/>
              </w:rPr>
            </w:pPr>
            <w:r>
              <w:rPr>
                <w:rFonts w:hint="eastAsia" w:hAnsi="宋体"/>
                <w:b/>
                <w:color w:val="auto"/>
                <w:highlight w:val="none"/>
              </w:rPr>
              <w:t>3、我单位没有</w:t>
            </w:r>
            <w:r>
              <w:rPr>
                <w:rFonts w:hAnsi="宋体"/>
                <w:b/>
                <w:color w:val="auto"/>
                <w:highlight w:val="none"/>
              </w:rPr>
              <w:t>被</w:t>
            </w:r>
            <w:r>
              <w:rPr>
                <w:rFonts w:hint="eastAsia" w:hAnsi="宋体"/>
                <w:b/>
                <w:color w:val="auto"/>
                <w:highlight w:val="none"/>
              </w:rPr>
              <w:t>各地、</w:t>
            </w:r>
            <w:r>
              <w:rPr>
                <w:rFonts w:hAnsi="宋体"/>
                <w:b/>
                <w:color w:val="auto"/>
                <w:highlight w:val="none"/>
              </w:rPr>
              <w:t>各级财政部门</w:t>
            </w:r>
            <w:r>
              <w:rPr>
                <w:rFonts w:hint="eastAsia" w:hAnsi="宋体"/>
                <w:b/>
                <w:color w:val="auto"/>
                <w:highlight w:val="none"/>
              </w:rPr>
              <w:t>限制</w:t>
            </w:r>
            <w:r>
              <w:rPr>
                <w:rFonts w:hAnsi="宋体"/>
                <w:b/>
                <w:color w:val="auto"/>
                <w:highlight w:val="none"/>
              </w:rPr>
              <w:t>参加政府采购</w:t>
            </w:r>
            <w:r>
              <w:rPr>
                <w:rFonts w:hint="eastAsia" w:hAnsi="宋体"/>
                <w:b/>
                <w:color w:val="auto"/>
                <w:highlight w:val="none"/>
              </w:rPr>
              <w:t>活动，且在限制期内：</w:t>
            </w:r>
          </w:p>
          <w:p>
            <w:pPr>
              <w:tabs>
                <w:tab w:val="center" w:pos="4483"/>
              </w:tabs>
              <w:adjustRightInd w:val="0"/>
              <w:spacing w:line="360" w:lineRule="auto"/>
              <w:ind w:firstLine="400"/>
              <w:rPr>
                <w:rFonts w:ascii="宋体"/>
                <w:b/>
                <w:bCs/>
                <w:color w:val="auto"/>
                <w:highlight w:val="none"/>
              </w:rPr>
            </w:pPr>
            <w:r>
              <w:rPr>
                <w:rFonts w:ascii="宋体"/>
                <w:b/>
                <w:bCs/>
                <w:color w:val="auto"/>
                <w:highlight w:val="none"/>
              </w:rPr>
              <w:t>4</w:t>
            </w:r>
            <w:r>
              <w:rPr>
                <w:rFonts w:hint="eastAsia" w:ascii="宋体"/>
                <w:b/>
                <w:bCs/>
                <w:color w:val="auto"/>
                <w:highlight w:val="none"/>
              </w:rPr>
              <w:t>、清楚知道参加本项目采购活动的其他所有供应商名称，本单位与其他所有供应商之间均不存在利害关系。</w:t>
            </w:r>
          </w:p>
          <w:p>
            <w:pPr>
              <w:tabs>
                <w:tab w:val="center" w:pos="4483"/>
              </w:tabs>
              <w:adjustRightInd w:val="0"/>
              <w:spacing w:line="360" w:lineRule="auto"/>
              <w:ind w:firstLine="400"/>
              <w:rPr>
                <w:rFonts w:ascii="宋体"/>
                <w:b/>
                <w:color w:val="auto"/>
                <w:highlight w:val="none"/>
              </w:rPr>
            </w:pPr>
            <w:r>
              <w:rPr>
                <w:rFonts w:hint="eastAsia" w:ascii="宋体"/>
                <w:b/>
                <w:bCs/>
                <w:color w:val="auto"/>
                <w:highlight w:val="none"/>
              </w:rPr>
              <w:t>5、我单位</w:t>
            </w:r>
            <w:r>
              <w:rPr>
                <w:rFonts w:hint="eastAsia" w:ascii="宋体"/>
                <w:b/>
                <w:color w:val="auto"/>
                <w:highlight w:val="none"/>
              </w:rPr>
              <w:t>参与本项目政府采购活动3年内其它重大违法记录（重大违法记录，是指供应商因违法经营受到刑事处罚或者责令停产停业、吊销许可证或者执照、较大数额罚款等行政处罚）情况声明：</w:t>
            </w:r>
          </w:p>
          <w:p>
            <w:pPr>
              <w:tabs>
                <w:tab w:val="center" w:pos="4483"/>
              </w:tabs>
              <w:adjustRightInd w:val="0"/>
              <w:spacing w:line="360" w:lineRule="auto"/>
              <w:ind w:firstLine="400"/>
              <w:rPr>
                <w:rFonts w:ascii="宋体"/>
                <w:color w:val="auto"/>
                <w:highlight w:val="none"/>
                <w:u w:val="single"/>
              </w:rPr>
            </w:pPr>
            <w:r>
              <w:rPr>
                <w:rFonts w:ascii="宋体"/>
                <w:color w:val="auto"/>
                <w:highlight w:val="none"/>
                <w:u w:val="single"/>
              </w:rPr>
              <w:t xml:space="preserve">                                                                               </w:t>
            </w:r>
          </w:p>
          <w:p>
            <w:pPr>
              <w:tabs>
                <w:tab w:val="center" w:pos="4483"/>
              </w:tabs>
              <w:adjustRightInd w:val="0"/>
              <w:spacing w:line="360" w:lineRule="auto"/>
              <w:ind w:firstLine="400"/>
              <w:rPr>
                <w:rFonts w:ascii="宋体"/>
                <w:color w:val="auto"/>
                <w:highlight w:val="none"/>
              </w:rPr>
            </w:pPr>
            <w:r>
              <w:rPr>
                <w:rFonts w:hint="eastAsia" w:ascii="宋体"/>
                <w:color w:val="auto"/>
                <w:highlight w:val="none"/>
                <w:u w:val="single"/>
              </w:rPr>
              <w:t>6、我单位符合本项目特定资格条件：                         的要求，并在</w:t>
            </w:r>
            <w:r>
              <w:rPr>
                <w:rFonts w:hint="eastAsia" w:ascii="宋体"/>
                <w:color w:val="auto"/>
                <w:highlight w:val="none"/>
              </w:rPr>
              <w:t>技术资信部分投标文件中提供了相应的证明材料</w:t>
            </w:r>
            <w:r>
              <w:rPr>
                <w:rFonts w:hint="eastAsia" w:ascii="宋体"/>
                <w:color w:val="auto"/>
                <w:highlight w:val="none"/>
                <w:u w:val="single"/>
              </w:rPr>
              <w:t>（招标文件没有要求特定资格条件的，本条款空格处可以空白）</w:t>
            </w:r>
          </w:p>
          <w:p>
            <w:pPr>
              <w:tabs>
                <w:tab w:val="center" w:pos="4483"/>
              </w:tabs>
              <w:adjustRightInd w:val="0"/>
              <w:spacing w:line="360" w:lineRule="auto"/>
              <w:ind w:firstLine="420" w:firstLineChars="200"/>
              <w:rPr>
                <w:rFonts w:ascii="宋体"/>
                <w:bCs/>
                <w:color w:val="auto"/>
                <w:highlight w:val="none"/>
              </w:rPr>
            </w:pPr>
            <w:r>
              <w:rPr>
                <w:rFonts w:hint="eastAsia" w:ascii="宋体"/>
                <w:bCs/>
                <w:color w:val="auto"/>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9841" w:type="dxa"/>
            <w:gridSpan w:val="2"/>
            <w:vAlign w:val="center"/>
          </w:tcPr>
          <w:p>
            <w:pPr>
              <w:pStyle w:val="23"/>
              <w:snapToGrid w:val="0"/>
              <w:spacing w:line="400" w:lineRule="exact"/>
              <w:ind w:left="422" w:firstLine="331"/>
              <w:rPr>
                <w:rFonts w:hAnsi="宋体"/>
                <w:bCs/>
                <w:color w:val="auto"/>
                <w:highlight w:val="none"/>
              </w:rPr>
            </w:pPr>
            <w:r>
              <w:rPr>
                <w:rFonts w:hint="eastAsia" w:hAnsi="宋体"/>
                <w:bCs/>
                <w:color w:val="auto"/>
                <w:highlight w:val="none"/>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trPr>
        <w:tc>
          <w:tcPr>
            <w:tcW w:w="9841" w:type="dxa"/>
            <w:gridSpan w:val="2"/>
            <w:vAlign w:val="center"/>
          </w:tcPr>
          <w:p>
            <w:pPr>
              <w:pStyle w:val="23"/>
              <w:snapToGrid w:val="0"/>
              <w:spacing w:line="400" w:lineRule="exact"/>
              <w:ind w:left="422" w:firstLine="316"/>
              <w:rPr>
                <w:rFonts w:hAnsi="宋体"/>
                <w:bCs/>
                <w:color w:val="auto"/>
                <w:highlight w:val="none"/>
              </w:rPr>
            </w:pPr>
            <w:r>
              <w:rPr>
                <w:rFonts w:hint="eastAsia" w:hAnsi="宋体"/>
                <w:bCs/>
                <w:color w:val="auto"/>
                <w:highlight w:val="none"/>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9841" w:type="dxa"/>
            <w:gridSpan w:val="2"/>
            <w:vAlign w:val="center"/>
          </w:tcPr>
          <w:p>
            <w:pPr>
              <w:pStyle w:val="23"/>
              <w:snapToGrid w:val="0"/>
              <w:spacing w:line="400" w:lineRule="exact"/>
              <w:ind w:left="422" w:firstLine="331"/>
              <w:rPr>
                <w:rFonts w:hAnsi="宋体"/>
                <w:bCs/>
                <w:color w:val="auto"/>
                <w:highlight w:val="none"/>
              </w:rPr>
            </w:pPr>
            <w:r>
              <w:rPr>
                <w:rFonts w:hint="eastAsia" w:hAnsi="宋体"/>
                <w:bCs/>
                <w:color w:val="auto"/>
                <w:highlight w:val="none"/>
              </w:rPr>
              <w:t>签署日期：</w:t>
            </w:r>
          </w:p>
        </w:tc>
      </w:tr>
    </w:tbl>
    <w:p>
      <w:pPr>
        <w:autoSpaceDE w:val="0"/>
        <w:autoSpaceDN w:val="0"/>
        <w:adjustRightInd w:val="0"/>
        <w:snapToGrid w:val="0"/>
        <w:spacing w:line="360" w:lineRule="auto"/>
        <w:textAlignment w:val="bottom"/>
        <w:rPr>
          <w:rFonts w:ascii="宋体"/>
          <w:b/>
          <w:bCs/>
          <w:color w:val="auto"/>
          <w:sz w:val="22"/>
          <w:highlight w:val="none"/>
          <w:u w:val="single"/>
        </w:rPr>
      </w:pPr>
      <w:r>
        <w:rPr>
          <w:rFonts w:hint="eastAsia" w:ascii="宋体"/>
          <w:b/>
          <w:bCs/>
          <w:color w:val="auto"/>
          <w:sz w:val="22"/>
          <w:highlight w:val="none"/>
          <w:u w:val="single"/>
        </w:rPr>
        <w:t>备注：▲投标供应商必须提供本声明，不提供按无效投标处理。</w:t>
      </w:r>
    </w:p>
    <w:p>
      <w:pPr>
        <w:widowControl/>
        <w:spacing w:line="460" w:lineRule="atLeast"/>
        <w:jc w:val="left"/>
        <w:rPr>
          <w:rFonts w:ascii="宋体"/>
          <w:b/>
          <w:bCs/>
          <w:color w:val="auto"/>
          <w:sz w:val="22"/>
          <w:szCs w:val="22"/>
          <w:highlight w:val="none"/>
        </w:rPr>
      </w:pPr>
      <w:r>
        <w:rPr>
          <w:rFonts w:hint="eastAsia" w:ascii="宋体"/>
          <w:b/>
          <w:bCs/>
          <w:color w:val="auto"/>
          <w:sz w:val="22"/>
          <w:szCs w:val="22"/>
          <w:highlight w:val="none"/>
        </w:rPr>
        <w:t>附件七</w:t>
      </w:r>
    </w:p>
    <w:p>
      <w:pPr>
        <w:pStyle w:val="39"/>
        <w:rPr>
          <w:rFonts w:ascii="宋体" w:hAnsi="宋体"/>
          <w:color w:val="auto"/>
          <w:highlight w:val="none"/>
        </w:rPr>
      </w:pPr>
      <w:bookmarkStart w:id="153" w:name="_Toc430717503"/>
      <w:bookmarkStart w:id="154" w:name="_Toc42678697"/>
      <w:bookmarkStart w:id="155" w:name="_Toc427581337"/>
      <w:bookmarkStart w:id="156" w:name="_Toc42678618"/>
      <w:bookmarkStart w:id="157" w:name="_Toc404262445"/>
      <w:bookmarkStart w:id="158" w:name="_Toc19204522"/>
      <w:bookmarkStart w:id="159" w:name="_Toc9334951"/>
      <w:bookmarkStart w:id="160" w:name="_Toc522469121"/>
      <w:bookmarkStart w:id="161" w:name="_Toc42678186"/>
      <w:bookmarkStart w:id="162" w:name="_Toc410055446"/>
      <w:bookmarkStart w:id="163" w:name="_Toc42243289"/>
      <w:bookmarkStart w:id="164" w:name="_Toc42678031"/>
      <w:bookmarkStart w:id="165" w:name="_Toc518512536"/>
      <w:bookmarkStart w:id="166" w:name="_Toc402361081"/>
      <w:bookmarkStart w:id="167" w:name="_Toc402360964"/>
      <w:bookmarkStart w:id="168" w:name="_Toc96954544"/>
      <w:bookmarkStart w:id="169" w:name="_Toc28780"/>
      <w:bookmarkStart w:id="170" w:name="_Toc491606420"/>
      <w:bookmarkStart w:id="171" w:name="_Toc99807485"/>
      <w:bookmarkStart w:id="172" w:name="_Toc438150553"/>
      <w:bookmarkStart w:id="173" w:name="_Toc459450868"/>
      <w:bookmarkStart w:id="174" w:name="_Toc511045483"/>
      <w:bookmarkStart w:id="175" w:name="_Toc496618934"/>
      <w:bookmarkStart w:id="176" w:name="_Toc459361857"/>
      <w:r>
        <w:rPr>
          <w:rFonts w:hint="eastAsia" w:ascii="宋体" w:hAnsi="宋体"/>
          <w:color w:val="auto"/>
          <w:highlight w:val="none"/>
        </w:rPr>
        <w:t>法定代表人授权书</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spacing w:line="480" w:lineRule="auto"/>
        <w:rPr>
          <w:rFonts w:ascii="宋体"/>
          <w:color w:val="auto"/>
          <w:sz w:val="22"/>
          <w:szCs w:val="22"/>
          <w:highlight w:val="none"/>
        </w:rPr>
      </w:pPr>
      <w:r>
        <w:rPr>
          <w:rFonts w:hint="eastAsia" w:ascii="宋体"/>
          <w:color w:val="auto"/>
          <w:sz w:val="22"/>
          <w:szCs w:val="22"/>
          <w:highlight w:val="none"/>
          <w:u w:val="single"/>
        </w:rPr>
        <w:t>（采购人名称）</w:t>
      </w:r>
      <w:r>
        <w:rPr>
          <w:rFonts w:hint="eastAsia" w:ascii="宋体"/>
          <w:color w:val="auto"/>
          <w:sz w:val="22"/>
          <w:szCs w:val="22"/>
          <w:highlight w:val="none"/>
          <w:lang w:val="zh-CN"/>
        </w:rPr>
        <w:t>：</w:t>
      </w:r>
    </w:p>
    <w:p>
      <w:pPr>
        <w:spacing w:line="480" w:lineRule="auto"/>
        <w:ind w:firstLine="440" w:firstLineChars="200"/>
        <w:rPr>
          <w:rFonts w:ascii="宋体"/>
          <w:color w:val="auto"/>
          <w:sz w:val="22"/>
          <w:szCs w:val="22"/>
          <w:highlight w:val="none"/>
        </w:rPr>
      </w:pPr>
      <w:r>
        <w:rPr>
          <w:rFonts w:hint="eastAsia" w:ascii="宋体"/>
          <w:color w:val="auto"/>
          <w:sz w:val="22"/>
          <w:szCs w:val="22"/>
          <w:highlight w:val="none"/>
        </w:rPr>
        <w:t>本授权委托书声明：我</w:t>
      </w:r>
      <w:r>
        <w:rPr>
          <w:rFonts w:hint="eastAsia" w:ascii="宋体"/>
          <w:color w:val="auto"/>
          <w:sz w:val="22"/>
          <w:szCs w:val="22"/>
          <w:highlight w:val="none"/>
          <w:u w:val="single"/>
        </w:rPr>
        <w:t xml:space="preserve">   （法定代表人姓名）   </w:t>
      </w:r>
      <w:r>
        <w:rPr>
          <w:rFonts w:hint="eastAsia" w:ascii="宋体"/>
          <w:color w:val="auto"/>
          <w:sz w:val="22"/>
          <w:szCs w:val="22"/>
          <w:highlight w:val="none"/>
        </w:rPr>
        <w:t>系</w:t>
      </w:r>
      <w:r>
        <w:rPr>
          <w:rFonts w:hint="eastAsia" w:ascii="宋体"/>
          <w:color w:val="auto"/>
          <w:sz w:val="22"/>
          <w:szCs w:val="22"/>
          <w:highlight w:val="none"/>
          <w:u w:val="single"/>
        </w:rPr>
        <w:t xml:space="preserve">   （供 应 商 名 称）  </w:t>
      </w:r>
      <w:r>
        <w:rPr>
          <w:rFonts w:hint="eastAsia" w:ascii="宋体"/>
          <w:color w:val="auto"/>
          <w:sz w:val="22"/>
          <w:szCs w:val="22"/>
          <w:highlight w:val="none"/>
        </w:rPr>
        <w:t>的法定代表人，现授权委托</w:t>
      </w:r>
      <w:r>
        <w:rPr>
          <w:rFonts w:hint="eastAsia" w:ascii="宋体"/>
          <w:color w:val="auto"/>
          <w:sz w:val="22"/>
          <w:szCs w:val="22"/>
          <w:highlight w:val="none"/>
          <w:u w:val="single"/>
        </w:rPr>
        <w:t xml:space="preserve">  （单 位 名 称）   </w:t>
      </w:r>
      <w:r>
        <w:rPr>
          <w:rFonts w:hint="eastAsia" w:ascii="宋体"/>
          <w:color w:val="auto"/>
          <w:sz w:val="22"/>
          <w:szCs w:val="22"/>
          <w:highlight w:val="none"/>
        </w:rPr>
        <w:t>的</w:t>
      </w:r>
      <w:r>
        <w:rPr>
          <w:rFonts w:hint="eastAsia" w:ascii="宋体"/>
          <w:color w:val="auto"/>
          <w:sz w:val="22"/>
          <w:szCs w:val="22"/>
          <w:highlight w:val="none"/>
          <w:u w:val="single"/>
        </w:rPr>
        <w:t xml:space="preserve">  （授权代表姓名）  </w:t>
      </w:r>
      <w:r>
        <w:rPr>
          <w:rFonts w:hint="eastAsia" w:ascii="宋体"/>
          <w:color w:val="auto"/>
          <w:sz w:val="22"/>
          <w:szCs w:val="22"/>
          <w:highlight w:val="none"/>
        </w:rPr>
        <w:t>为我公司法定代表人授权代表，参加贵处组织的</w:t>
      </w:r>
      <w:r>
        <w:rPr>
          <w:rFonts w:hint="eastAsia" w:ascii="宋体"/>
          <w:color w:val="auto"/>
          <w:sz w:val="22"/>
          <w:szCs w:val="22"/>
          <w:highlight w:val="none"/>
          <w:u w:val="single"/>
        </w:rPr>
        <w:t xml:space="preserve">  （招标项目名称，括号中填写项目编号）  </w:t>
      </w:r>
      <w:r>
        <w:rPr>
          <w:rFonts w:hint="eastAsia" w:ascii="宋体"/>
          <w:color w:val="auto"/>
          <w:sz w:val="22"/>
          <w:szCs w:val="22"/>
          <w:highlight w:val="none"/>
        </w:rPr>
        <w:t>项目投标，全权处理本次招投标活动中的一切事宜，我承认授权代表全权代表我所签署的本项目的投标文件的内容。</w:t>
      </w:r>
    </w:p>
    <w:p>
      <w:pPr>
        <w:spacing w:line="480" w:lineRule="auto"/>
        <w:ind w:firstLine="440" w:firstLineChars="200"/>
        <w:rPr>
          <w:rFonts w:ascii="宋体"/>
          <w:color w:val="auto"/>
          <w:sz w:val="22"/>
          <w:szCs w:val="22"/>
          <w:highlight w:val="none"/>
        </w:rPr>
      </w:pPr>
      <w:r>
        <w:rPr>
          <w:rFonts w:hint="eastAsia" w:ascii="宋体"/>
          <w:color w:val="auto"/>
          <w:sz w:val="22"/>
          <w:szCs w:val="22"/>
          <w:highlight w:val="none"/>
        </w:rPr>
        <w:t>授权代表无转授权，特此授权</w:t>
      </w:r>
    </w:p>
    <w:p>
      <w:pPr>
        <w:spacing w:line="480" w:lineRule="auto"/>
        <w:ind w:left="2100" w:leftChars="1000" w:firstLine="440" w:firstLineChars="200"/>
        <w:rPr>
          <w:rFonts w:ascii="宋体"/>
          <w:color w:val="auto"/>
          <w:sz w:val="22"/>
          <w:szCs w:val="22"/>
          <w:highlight w:val="none"/>
          <w:u w:val="single"/>
        </w:rPr>
      </w:pPr>
      <w:r>
        <w:rPr>
          <w:rFonts w:hint="eastAsia" w:ascii="宋体"/>
          <w:color w:val="auto"/>
          <w:sz w:val="22"/>
          <w:szCs w:val="22"/>
          <w:highlight w:val="none"/>
        </w:rPr>
        <w:t>授权代表：</w:t>
      </w:r>
      <w:r>
        <w:rPr>
          <w:rFonts w:hint="eastAsia" w:ascii="宋体"/>
          <w:color w:val="auto"/>
          <w:sz w:val="22"/>
          <w:szCs w:val="22"/>
          <w:highlight w:val="none"/>
          <w:u w:val="single"/>
        </w:rPr>
        <w:t xml:space="preserve">             </w:t>
      </w:r>
      <w:r>
        <w:rPr>
          <w:rFonts w:hint="eastAsia" w:ascii="宋体"/>
          <w:color w:val="auto"/>
          <w:sz w:val="22"/>
          <w:szCs w:val="22"/>
          <w:highlight w:val="none"/>
        </w:rPr>
        <w:t xml:space="preserve"> 性别 ：</w:t>
      </w:r>
      <w:r>
        <w:rPr>
          <w:rFonts w:hint="eastAsia" w:ascii="宋体"/>
          <w:color w:val="auto"/>
          <w:sz w:val="22"/>
          <w:szCs w:val="22"/>
          <w:highlight w:val="none"/>
          <w:u w:val="single"/>
        </w:rPr>
        <w:t xml:space="preserve">                       </w:t>
      </w:r>
      <w:r>
        <w:rPr>
          <w:rFonts w:hint="eastAsia" w:ascii="宋体"/>
          <w:color w:val="auto"/>
          <w:sz w:val="22"/>
          <w:szCs w:val="22"/>
          <w:highlight w:val="none"/>
        </w:rPr>
        <w:t xml:space="preserve"> </w:t>
      </w:r>
    </w:p>
    <w:p>
      <w:pPr>
        <w:spacing w:line="480" w:lineRule="auto"/>
        <w:ind w:left="2100" w:leftChars="1000" w:firstLine="440" w:firstLineChars="200"/>
        <w:rPr>
          <w:rFonts w:ascii="宋体"/>
          <w:color w:val="auto"/>
          <w:sz w:val="22"/>
          <w:szCs w:val="22"/>
          <w:highlight w:val="none"/>
          <w:u w:val="single"/>
        </w:rPr>
      </w:pPr>
      <w:r>
        <w:rPr>
          <w:rFonts w:hint="eastAsia" w:ascii="宋体"/>
          <w:color w:val="auto"/>
          <w:sz w:val="22"/>
          <w:szCs w:val="22"/>
          <w:highlight w:val="none"/>
        </w:rPr>
        <w:t>职务：</w:t>
      </w:r>
      <w:r>
        <w:rPr>
          <w:rFonts w:hint="eastAsia" w:ascii="宋体"/>
          <w:color w:val="auto"/>
          <w:sz w:val="22"/>
          <w:szCs w:val="22"/>
          <w:highlight w:val="none"/>
          <w:u w:val="single"/>
        </w:rPr>
        <w:t xml:space="preserve">                  </w:t>
      </w:r>
      <w:r>
        <w:rPr>
          <w:rFonts w:hint="eastAsia" w:ascii="宋体"/>
          <w:color w:val="auto"/>
          <w:sz w:val="22"/>
          <w:szCs w:val="22"/>
          <w:highlight w:val="none"/>
        </w:rPr>
        <w:t>年龄：</w:t>
      </w:r>
      <w:r>
        <w:rPr>
          <w:rFonts w:hint="eastAsia" w:ascii="宋体"/>
          <w:color w:val="auto"/>
          <w:sz w:val="22"/>
          <w:szCs w:val="22"/>
          <w:highlight w:val="none"/>
          <w:u w:val="single"/>
        </w:rPr>
        <w:t xml:space="preserve">                        </w:t>
      </w:r>
    </w:p>
    <w:p>
      <w:pPr>
        <w:spacing w:line="480" w:lineRule="auto"/>
        <w:ind w:left="2100" w:leftChars="1000" w:firstLine="440" w:firstLineChars="200"/>
        <w:rPr>
          <w:rFonts w:ascii="宋体"/>
          <w:color w:val="auto"/>
          <w:sz w:val="22"/>
          <w:szCs w:val="22"/>
          <w:highlight w:val="none"/>
          <w:u w:val="single"/>
        </w:rPr>
      </w:pPr>
      <w:r>
        <w:rPr>
          <w:rFonts w:hint="eastAsia" w:ascii="宋体"/>
          <w:color w:val="auto"/>
          <w:sz w:val="22"/>
          <w:szCs w:val="22"/>
          <w:highlight w:val="none"/>
        </w:rPr>
        <w:t>详细通讯地址：</w:t>
      </w:r>
      <w:r>
        <w:rPr>
          <w:rFonts w:hint="eastAsia" w:ascii="宋体"/>
          <w:color w:val="auto"/>
          <w:sz w:val="22"/>
          <w:szCs w:val="22"/>
          <w:highlight w:val="none"/>
          <w:u w:val="single"/>
        </w:rPr>
        <w:t xml:space="preserve">                  </w:t>
      </w:r>
      <w:r>
        <w:rPr>
          <w:rFonts w:hint="eastAsia" w:ascii="宋体"/>
          <w:color w:val="auto"/>
          <w:sz w:val="22"/>
          <w:szCs w:val="22"/>
          <w:highlight w:val="none"/>
        </w:rPr>
        <w:t xml:space="preserve"> 邮政编码：</w:t>
      </w:r>
      <w:r>
        <w:rPr>
          <w:rFonts w:hint="eastAsia" w:ascii="宋体"/>
          <w:color w:val="auto"/>
          <w:sz w:val="22"/>
          <w:szCs w:val="22"/>
          <w:highlight w:val="none"/>
          <w:u w:val="single"/>
        </w:rPr>
        <w:t xml:space="preserve">           </w:t>
      </w:r>
    </w:p>
    <w:p>
      <w:pPr>
        <w:spacing w:line="480" w:lineRule="auto"/>
        <w:ind w:left="1" w:firstLine="2510" w:firstLineChars="1141"/>
        <w:rPr>
          <w:rFonts w:ascii="宋体"/>
          <w:color w:val="auto"/>
          <w:sz w:val="22"/>
          <w:szCs w:val="22"/>
          <w:highlight w:val="none"/>
          <w:u w:val="single"/>
        </w:rPr>
      </w:pPr>
      <w:r>
        <w:rPr>
          <w:rFonts w:hint="eastAsia" w:ascii="宋体"/>
          <w:color w:val="auto"/>
          <w:sz w:val="22"/>
          <w:szCs w:val="22"/>
          <w:highlight w:val="none"/>
        </w:rPr>
        <w:t>电话：</w:t>
      </w:r>
      <w:r>
        <w:rPr>
          <w:rFonts w:hint="eastAsia" w:ascii="宋体"/>
          <w:color w:val="auto"/>
          <w:sz w:val="22"/>
          <w:szCs w:val="22"/>
          <w:highlight w:val="none"/>
          <w:u w:val="single"/>
        </w:rPr>
        <w:t xml:space="preserve">                   </w:t>
      </w:r>
      <w:r>
        <w:rPr>
          <w:rFonts w:hint="eastAsia" w:ascii="宋体"/>
          <w:color w:val="auto"/>
          <w:sz w:val="22"/>
          <w:szCs w:val="22"/>
          <w:highlight w:val="none"/>
        </w:rPr>
        <w:t xml:space="preserve"> 传真：</w:t>
      </w:r>
      <w:r>
        <w:rPr>
          <w:rFonts w:hint="eastAsia" w:ascii="宋体"/>
          <w:color w:val="auto"/>
          <w:sz w:val="22"/>
          <w:szCs w:val="22"/>
          <w:highlight w:val="none"/>
          <w:u w:val="single"/>
        </w:rPr>
        <w:t xml:space="preserve">                      </w:t>
      </w:r>
    </w:p>
    <w:p>
      <w:pPr>
        <w:spacing w:line="480" w:lineRule="auto"/>
        <w:ind w:left="1" w:firstLine="422" w:firstLineChars="192"/>
        <w:rPr>
          <w:rFonts w:ascii="宋体"/>
          <w:color w:val="auto"/>
          <w:sz w:val="22"/>
          <w:szCs w:val="22"/>
          <w:highlight w:val="none"/>
        </w:rPr>
      </w:pPr>
      <w:r>
        <w:rPr>
          <w:rFonts w:hint="eastAsia" w:ascii="宋体"/>
          <w:color w:val="auto"/>
          <w:sz w:val="22"/>
          <w:szCs w:val="22"/>
          <w:highlight w:val="none"/>
        </w:rPr>
        <w:t xml:space="preserve">                   投标人：</w:t>
      </w:r>
      <w:r>
        <w:rPr>
          <w:rFonts w:hint="eastAsia" w:ascii="宋体"/>
          <w:color w:val="auto"/>
          <w:sz w:val="22"/>
          <w:szCs w:val="22"/>
          <w:highlight w:val="none"/>
          <w:u w:val="single"/>
        </w:rPr>
        <w:t xml:space="preserve">                                      （盖章）</w:t>
      </w:r>
    </w:p>
    <w:p>
      <w:pPr>
        <w:spacing w:line="480" w:lineRule="auto"/>
        <w:ind w:left="2100" w:right="440"/>
        <w:jc w:val="center"/>
        <w:rPr>
          <w:rFonts w:ascii="宋体"/>
          <w:color w:val="auto"/>
          <w:sz w:val="22"/>
          <w:szCs w:val="22"/>
          <w:highlight w:val="none"/>
        </w:rPr>
      </w:pPr>
      <w:r>
        <w:rPr>
          <w:rFonts w:hint="eastAsia" w:ascii="宋体"/>
          <w:color w:val="auto"/>
          <w:sz w:val="22"/>
          <w:szCs w:val="22"/>
          <w:highlight w:val="none"/>
        </w:rPr>
        <w:t xml:space="preserve">   法定代表人：</w:t>
      </w:r>
      <w:r>
        <w:rPr>
          <w:rFonts w:hint="eastAsia" w:ascii="宋体"/>
          <w:color w:val="auto"/>
          <w:sz w:val="22"/>
          <w:szCs w:val="22"/>
          <w:highlight w:val="none"/>
          <w:u w:val="single"/>
        </w:rPr>
        <w:t xml:space="preserve">                       （签字或盖章）</w:t>
      </w:r>
    </w:p>
    <w:p>
      <w:pPr>
        <w:spacing w:line="480" w:lineRule="auto"/>
        <w:ind w:right="440" w:firstLine="3300" w:firstLineChars="1500"/>
        <w:jc w:val="right"/>
        <w:rPr>
          <w:rFonts w:ascii="宋体"/>
          <w:color w:val="auto"/>
          <w:sz w:val="22"/>
          <w:szCs w:val="22"/>
          <w:highlight w:val="none"/>
        </w:rPr>
      </w:pPr>
      <w:r>
        <w:rPr>
          <w:rFonts w:hint="eastAsia" w:ascii="宋体"/>
          <w:color w:val="auto"/>
          <w:sz w:val="22"/>
          <w:szCs w:val="22"/>
          <w:highlight w:val="none"/>
        </w:rPr>
        <w:t>授权委托日期：</w:t>
      </w:r>
      <w:r>
        <w:rPr>
          <w:rFonts w:hint="eastAsia" w:ascii="宋体"/>
          <w:color w:val="auto"/>
          <w:sz w:val="22"/>
          <w:szCs w:val="22"/>
          <w:highlight w:val="none"/>
          <w:u w:val="single"/>
        </w:rPr>
        <w:t xml:space="preserve">     </w:t>
      </w:r>
      <w:r>
        <w:rPr>
          <w:rFonts w:hint="eastAsia" w:ascii="宋体"/>
          <w:color w:val="auto"/>
          <w:sz w:val="22"/>
          <w:szCs w:val="22"/>
          <w:highlight w:val="none"/>
        </w:rPr>
        <w:t xml:space="preserve">年 </w:t>
      </w:r>
      <w:r>
        <w:rPr>
          <w:rFonts w:hint="eastAsia" w:ascii="宋体"/>
          <w:color w:val="auto"/>
          <w:sz w:val="22"/>
          <w:szCs w:val="22"/>
          <w:highlight w:val="none"/>
          <w:u w:val="single"/>
        </w:rPr>
        <w:t xml:space="preserve">    </w:t>
      </w:r>
      <w:r>
        <w:rPr>
          <w:rFonts w:hint="eastAsia" w:ascii="宋体"/>
          <w:color w:val="auto"/>
          <w:sz w:val="22"/>
          <w:szCs w:val="22"/>
          <w:highlight w:val="none"/>
        </w:rPr>
        <w:t>月</w:t>
      </w:r>
      <w:r>
        <w:rPr>
          <w:rFonts w:hint="eastAsia" w:ascii="宋体"/>
          <w:color w:val="auto"/>
          <w:sz w:val="22"/>
          <w:szCs w:val="22"/>
          <w:highlight w:val="none"/>
          <w:u w:val="single"/>
        </w:rPr>
        <w:t xml:space="preserve">     </w:t>
      </w:r>
      <w:r>
        <w:rPr>
          <w:rFonts w:hint="eastAsia" w:ascii="宋体"/>
          <w:color w:val="auto"/>
          <w:sz w:val="22"/>
          <w:szCs w:val="22"/>
          <w:highlight w:val="none"/>
        </w:rPr>
        <w:t>日</w:t>
      </w:r>
    </w:p>
    <w:tbl>
      <w:tblPr>
        <w:tblStyle w:val="41"/>
        <w:tblW w:w="7839"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9" w:hRule="atLeast"/>
        </w:trPr>
        <w:tc>
          <w:tcPr>
            <w:tcW w:w="7839" w:type="dxa"/>
          </w:tcPr>
          <w:p>
            <w:pPr>
              <w:pStyle w:val="23"/>
              <w:spacing w:line="440" w:lineRule="atLeast"/>
              <w:rPr>
                <w:rFonts w:hAnsi="宋体"/>
                <w:b/>
                <w:color w:val="auto"/>
                <w:sz w:val="36"/>
                <w:highlight w:val="none"/>
              </w:rPr>
            </w:pPr>
          </w:p>
          <w:p>
            <w:pPr>
              <w:pStyle w:val="23"/>
              <w:spacing w:line="440" w:lineRule="atLeast"/>
              <w:jc w:val="center"/>
              <w:rPr>
                <w:rFonts w:hAnsi="宋体"/>
                <w:b/>
                <w:color w:val="auto"/>
                <w:sz w:val="36"/>
                <w:highlight w:val="none"/>
              </w:rPr>
            </w:pPr>
          </w:p>
          <w:p>
            <w:pPr>
              <w:pStyle w:val="23"/>
              <w:spacing w:line="440" w:lineRule="atLeast"/>
              <w:jc w:val="center"/>
              <w:rPr>
                <w:rFonts w:hAnsi="宋体"/>
                <w:b/>
                <w:color w:val="auto"/>
                <w:sz w:val="36"/>
                <w:highlight w:val="none"/>
              </w:rPr>
            </w:pPr>
          </w:p>
          <w:p>
            <w:pPr>
              <w:pStyle w:val="23"/>
              <w:spacing w:line="440" w:lineRule="atLeast"/>
              <w:jc w:val="center"/>
              <w:rPr>
                <w:rFonts w:hAnsi="宋体"/>
                <w:b/>
                <w:color w:val="auto"/>
                <w:sz w:val="36"/>
                <w:highlight w:val="none"/>
              </w:rPr>
            </w:pPr>
          </w:p>
          <w:p>
            <w:pPr>
              <w:pStyle w:val="23"/>
              <w:spacing w:line="440" w:lineRule="atLeast"/>
              <w:jc w:val="center"/>
              <w:rPr>
                <w:rFonts w:hAnsi="宋体"/>
                <w:b/>
                <w:color w:val="auto"/>
                <w:sz w:val="36"/>
                <w:highlight w:val="none"/>
              </w:rPr>
            </w:pPr>
            <w:r>
              <w:rPr>
                <w:rFonts w:hint="eastAsia" w:hAnsi="宋体"/>
                <w:b/>
                <w:color w:val="auto"/>
                <w:sz w:val="36"/>
                <w:highlight w:val="none"/>
              </w:rPr>
              <w:t>（授权代表身份证扫描件或影印件）</w:t>
            </w:r>
          </w:p>
          <w:p>
            <w:pPr>
              <w:pStyle w:val="23"/>
              <w:spacing w:line="440" w:lineRule="atLeast"/>
              <w:ind w:left="5271" w:firstLine="1084" w:firstLineChars="300"/>
              <w:rPr>
                <w:rFonts w:hAnsi="宋体"/>
                <w:b/>
                <w:color w:val="auto"/>
                <w:sz w:val="36"/>
                <w:highlight w:val="none"/>
              </w:rPr>
            </w:pPr>
          </w:p>
        </w:tc>
      </w:tr>
    </w:tbl>
    <w:p>
      <w:pPr>
        <w:pStyle w:val="39"/>
        <w:rPr>
          <w:rFonts w:ascii="宋体" w:hAnsi="宋体"/>
          <w:color w:val="auto"/>
          <w:highlight w:val="none"/>
        </w:rPr>
      </w:pPr>
      <w:r>
        <w:rPr>
          <w:color w:val="auto"/>
          <w:highlight w:val="none"/>
        </w:rPr>
        <w:br w:type="page"/>
      </w:r>
      <w:bookmarkStart w:id="177" w:name="_Toc42243285"/>
      <w:bookmarkStart w:id="178" w:name="_Toc28947"/>
      <w:bookmarkStart w:id="179" w:name="_Toc42678693"/>
      <w:r>
        <w:rPr>
          <w:rFonts w:hint="eastAsia" w:ascii="宋体" w:hAnsi="宋体"/>
          <w:color w:val="auto"/>
          <w:highlight w:val="none"/>
        </w:rPr>
        <w:t>二、报价文件部分格式</w:t>
      </w:r>
      <w:bookmarkEnd w:id="177"/>
      <w:bookmarkEnd w:id="178"/>
      <w:bookmarkEnd w:id="179"/>
    </w:p>
    <w:p>
      <w:pPr>
        <w:widowControl/>
        <w:spacing w:line="460" w:lineRule="atLeast"/>
        <w:jc w:val="left"/>
        <w:rPr>
          <w:rFonts w:ascii="宋体"/>
          <w:b/>
          <w:bCs/>
          <w:color w:val="auto"/>
          <w:sz w:val="22"/>
          <w:szCs w:val="22"/>
          <w:highlight w:val="none"/>
        </w:rPr>
      </w:pPr>
      <w:bookmarkStart w:id="180" w:name="_Toc413747701"/>
      <w:r>
        <w:rPr>
          <w:rFonts w:hint="eastAsia" w:ascii="宋体"/>
          <w:b/>
          <w:bCs/>
          <w:color w:val="auto"/>
          <w:sz w:val="22"/>
          <w:szCs w:val="22"/>
          <w:highlight w:val="none"/>
        </w:rPr>
        <w:t>附件</w:t>
      </w:r>
      <w:bookmarkEnd w:id="180"/>
      <w:r>
        <w:rPr>
          <w:rFonts w:hint="eastAsia" w:ascii="宋体"/>
          <w:b/>
          <w:bCs/>
          <w:color w:val="auto"/>
          <w:sz w:val="22"/>
          <w:szCs w:val="22"/>
          <w:highlight w:val="none"/>
        </w:rPr>
        <w:t>八</w:t>
      </w:r>
    </w:p>
    <w:p>
      <w:pPr>
        <w:pStyle w:val="39"/>
        <w:rPr>
          <w:rFonts w:ascii="宋体" w:hAnsi="宋体"/>
          <w:color w:val="auto"/>
          <w:highlight w:val="none"/>
        </w:rPr>
      </w:pPr>
      <w:bookmarkStart w:id="181" w:name="_Toc9334945"/>
      <w:bookmarkStart w:id="182" w:name="_Toc96954541"/>
      <w:bookmarkStart w:id="183" w:name="_Toc42678694"/>
      <w:bookmarkStart w:id="184" w:name="_Toc42678183"/>
      <w:bookmarkStart w:id="185" w:name="_Toc511045476"/>
      <w:bookmarkStart w:id="186" w:name="_Toc27044"/>
      <w:bookmarkStart w:id="187" w:name="_Toc99807482"/>
      <w:bookmarkStart w:id="188" w:name="_Toc19204519"/>
      <w:bookmarkStart w:id="189" w:name="_Toc42678615"/>
      <w:bookmarkStart w:id="190" w:name="_Toc496618930"/>
      <w:bookmarkStart w:id="191" w:name="_Toc42678028"/>
      <w:bookmarkStart w:id="192" w:name="_Toc522469114"/>
      <w:bookmarkStart w:id="193" w:name="_Toc518512529"/>
      <w:bookmarkStart w:id="194" w:name="_Toc42243286"/>
      <w:r>
        <w:rPr>
          <w:rFonts w:hint="eastAsia" w:ascii="宋体" w:hAnsi="宋体"/>
          <w:color w:val="auto"/>
          <w:highlight w:val="none"/>
        </w:rPr>
        <w:t>报价一览表</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autoSpaceDE w:val="0"/>
        <w:autoSpaceDN w:val="0"/>
        <w:adjustRightInd w:val="0"/>
        <w:rPr>
          <w:rFonts w:ascii="宋体"/>
          <w:color w:val="auto"/>
          <w:sz w:val="22"/>
          <w:szCs w:val="22"/>
          <w:highlight w:val="none"/>
          <w:lang w:val="zh-CN"/>
        </w:rPr>
      </w:pPr>
      <w:r>
        <w:rPr>
          <w:rFonts w:hint="eastAsia" w:ascii="宋体"/>
          <w:color w:val="auto"/>
          <w:sz w:val="22"/>
          <w:szCs w:val="22"/>
          <w:highlight w:val="none"/>
          <w:lang w:val="zh-CN"/>
        </w:rPr>
        <w:t>投标人名称：</w:t>
      </w:r>
      <w:r>
        <w:rPr>
          <w:rFonts w:ascii="宋体"/>
          <w:color w:val="auto"/>
          <w:sz w:val="22"/>
          <w:szCs w:val="22"/>
          <w:highlight w:val="none"/>
          <w:u w:val="single"/>
          <w:lang w:val="zh-CN"/>
        </w:rPr>
        <w:t xml:space="preserve">             </w:t>
      </w:r>
      <w:r>
        <w:rPr>
          <w:rFonts w:ascii="宋体"/>
          <w:color w:val="auto"/>
          <w:sz w:val="22"/>
          <w:szCs w:val="22"/>
          <w:highlight w:val="none"/>
          <w:lang w:val="zh-CN"/>
        </w:rPr>
        <w:t xml:space="preserve">     </w:t>
      </w:r>
      <w:r>
        <w:rPr>
          <w:rFonts w:hint="eastAsia" w:ascii="宋体"/>
          <w:color w:val="auto"/>
          <w:sz w:val="22"/>
          <w:szCs w:val="22"/>
          <w:highlight w:val="none"/>
          <w:lang w:val="zh-CN"/>
        </w:rPr>
        <w:t>采购编号：</w:t>
      </w:r>
      <w:r>
        <w:rPr>
          <w:rFonts w:ascii="宋体"/>
          <w:color w:val="auto"/>
          <w:sz w:val="22"/>
          <w:szCs w:val="22"/>
          <w:highlight w:val="none"/>
          <w:u w:val="single"/>
          <w:lang w:val="zh-CN"/>
        </w:rPr>
        <w:t xml:space="preserve">         </w:t>
      </w:r>
      <w:r>
        <w:rPr>
          <w:rFonts w:ascii="宋体"/>
          <w:color w:val="auto"/>
          <w:sz w:val="22"/>
          <w:szCs w:val="22"/>
          <w:highlight w:val="none"/>
          <w:lang w:val="zh-CN"/>
        </w:rPr>
        <w:t xml:space="preserve">  </w:t>
      </w:r>
      <w:r>
        <w:rPr>
          <w:rFonts w:hint="eastAsia" w:ascii="宋体"/>
          <w:color w:val="auto"/>
          <w:sz w:val="22"/>
          <w:szCs w:val="22"/>
          <w:highlight w:val="none"/>
          <w:lang w:val="zh-CN"/>
        </w:rPr>
        <w:t xml:space="preserve">  报价单位：</w:t>
      </w:r>
      <w:r>
        <w:rPr>
          <w:rFonts w:hint="eastAsia" w:ascii="宋体"/>
          <w:color w:val="auto"/>
          <w:sz w:val="22"/>
          <w:szCs w:val="22"/>
          <w:highlight w:val="none"/>
          <w:u w:val="single"/>
          <w:lang w:val="zh-CN"/>
        </w:rPr>
        <w:t>人民币元</w:t>
      </w:r>
    </w:p>
    <w:tbl>
      <w:tblPr>
        <w:tblStyle w:val="41"/>
        <w:tblW w:w="948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10"/>
        <w:gridCol w:w="3614"/>
        <w:gridCol w:w="23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280" w:hRule="atLeast"/>
        </w:trPr>
        <w:tc>
          <w:tcPr>
            <w:tcW w:w="3510" w:type="dxa"/>
            <w:tcBorders>
              <w:right w:val="single" w:color="auto" w:sz="4" w:space="0"/>
            </w:tcBorders>
            <w:vAlign w:val="center"/>
          </w:tcPr>
          <w:p>
            <w:pPr>
              <w:pStyle w:val="23"/>
              <w:jc w:val="center"/>
              <w:rPr>
                <w:rFonts w:hAnsi="宋体"/>
                <w:color w:val="auto"/>
                <w:sz w:val="22"/>
                <w:highlight w:val="none"/>
              </w:rPr>
            </w:pPr>
            <w:r>
              <w:rPr>
                <w:rFonts w:hint="eastAsia" w:hAnsi="宋体"/>
                <w:color w:val="auto"/>
                <w:sz w:val="22"/>
                <w:szCs w:val="22"/>
                <w:highlight w:val="none"/>
              </w:rPr>
              <w:t>项目名称</w:t>
            </w:r>
          </w:p>
        </w:tc>
        <w:tc>
          <w:tcPr>
            <w:tcW w:w="3614" w:type="dxa"/>
            <w:tcBorders>
              <w:left w:val="single" w:color="auto" w:sz="4" w:space="0"/>
              <w:right w:val="single" w:color="auto" w:sz="4" w:space="0"/>
            </w:tcBorders>
            <w:vAlign w:val="center"/>
          </w:tcPr>
          <w:p>
            <w:pPr>
              <w:pStyle w:val="23"/>
              <w:jc w:val="center"/>
              <w:rPr>
                <w:rFonts w:hAnsi="宋体"/>
                <w:color w:val="auto"/>
                <w:sz w:val="22"/>
                <w:highlight w:val="none"/>
              </w:rPr>
            </w:pPr>
            <w:r>
              <w:rPr>
                <w:rFonts w:hint="eastAsia" w:hAnsi="宋体"/>
                <w:color w:val="auto"/>
                <w:sz w:val="22"/>
                <w:szCs w:val="22"/>
                <w:highlight w:val="none"/>
              </w:rPr>
              <w:t>投标报价</w:t>
            </w:r>
          </w:p>
        </w:tc>
        <w:tc>
          <w:tcPr>
            <w:tcW w:w="2356" w:type="dxa"/>
            <w:tcBorders>
              <w:left w:val="single" w:color="auto" w:sz="4" w:space="0"/>
            </w:tcBorders>
            <w:vAlign w:val="center"/>
          </w:tcPr>
          <w:p>
            <w:pPr>
              <w:pStyle w:val="23"/>
              <w:jc w:val="center"/>
              <w:rPr>
                <w:rFonts w:hAnsi="宋体"/>
                <w:color w:val="auto"/>
                <w:sz w:val="22"/>
                <w:highlight w:val="none"/>
              </w:rPr>
            </w:pPr>
            <w:r>
              <w:rPr>
                <w:rFonts w:hint="eastAsia"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191" w:hRule="atLeast"/>
        </w:trPr>
        <w:tc>
          <w:tcPr>
            <w:tcW w:w="3510" w:type="dxa"/>
            <w:tcBorders>
              <w:right w:val="single" w:color="auto" w:sz="4" w:space="0"/>
            </w:tcBorders>
            <w:vAlign w:val="center"/>
          </w:tcPr>
          <w:p>
            <w:pPr>
              <w:pStyle w:val="23"/>
              <w:jc w:val="center"/>
              <w:rPr>
                <w:rFonts w:hAnsi="宋体"/>
                <w:color w:val="auto"/>
                <w:sz w:val="22"/>
                <w:highlight w:val="none"/>
              </w:rPr>
            </w:pPr>
            <w:r>
              <w:rPr>
                <w:rFonts w:hint="eastAsia" w:hAnsi="宋体"/>
                <w:color w:val="auto"/>
                <w:sz w:val="22"/>
                <w:szCs w:val="22"/>
                <w:highlight w:val="none"/>
              </w:rPr>
              <w:t>永嘉县人民医院保洁护工等外包项目</w:t>
            </w:r>
          </w:p>
        </w:tc>
        <w:tc>
          <w:tcPr>
            <w:tcW w:w="3614" w:type="dxa"/>
            <w:tcBorders>
              <w:left w:val="single" w:color="auto" w:sz="4" w:space="0"/>
              <w:right w:val="single" w:color="auto" w:sz="4" w:space="0"/>
            </w:tcBorders>
            <w:vAlign w:val="center"/>
          </w:tcPr>
          <w:p>
            <w:pPr>
              <w:pStyle w:val="23"/>
              <w:spacing w:line="460" w:lineRule="atLeast"/>
              <w:rPr>
                <w:rFonts w:hAnsi="宋体"/>
                <w:color w:val="auto"/>
                <w:sz w:val="22"/>
                <w:highlight w:val="none"/>
              </w:rPr>
            </w:pPr>
            <w:r>
              <w:rPr>
                <w:rFonts w:hint="eastAsia" w:hAnsi="宋体"/>
                <w:color w:val="auto"/>
                <w:sz w:val="22"/>
                <w:szCs w:val="22"/>
                <w:highlight w:val="none"/>
              </w:rPr>
              <w:t>大写：</w:t>
            </w:r>
          </w:p>
          <w:p>
            <w:pPr>
              <w:pStyle w:val="23"/>
              <w:spacing w:line="460" w:lineRule="atLeast"/>
              <w:rPr>
                <w:rFonts w:hAnsi="宋体"/>
                <w:color w:val="auto"/>
                <w:sz w:val="22"/>
                <w:highlight w:val="none"/>
              </w:rPr>
            </w:pPr>
            <w:r>
              <w:rPr>
                <w:rFonts w:hint="eastAsia" w:hAnsi="宋体"/>
                <w:color w:val="auto"/>
                <w:sz w:val="22"/>
                <w:szCs w:val="22"/>
                <w:highlight w:val="none"/>
              </w:rPr>
              <w:t>小写：</w:t>
            </w:r>
          </w:p>
        </w:tc>
        <w:tc>
          <w:tcPr>
            <w:tcW w:w="2356" w:type="dxa"/>
            <w:tcBorders>
              <w:left w:val="single" w:color="auto" w:sz="4" w:space="0"/>
            </w:tcBorders>
            <w:vAlign w:val="center"/>
          </w:tcPr>
          <w:p>
            <w:pPr>
              <w:widowControl/>
              <w:jc w:val="center"/>
              <w:rPr>
                <w:rFonts w:ascii="宋体"/>
                <w:color w:val="auto"/>
                <w:sz w:val="22"/>
                <w:highlight w:val="none"/>
              </w:rPr>
            </w:pPr>
          </w:p>
        </w:tc>
      </w:tr>
    </w:tbl>
    <w:p>
      <w:pPr>
        <w:pStyle w:val="23"/>
        <w:spacing w:line="460" w:lineRule="atLeast"/>
        <w:rPr>
          <w:rFonts w:hAnsi="宋体"/>
          <w:color w:val="auto"/>
          <w:sz w:val="22"/>
          <w:szCs w:val="22"/>
          <w:highlight w:val="none"/>
        </w:rPr>
      </w:pPr>
      <w:r>
        <w:rPr>
          <w:rFonts w:hint="eastAsia" w:hAnsi="宋体"/>
          <w:color w:val="auto"/>
          <w:sz w:val="22"/>
          <w:szCs w:val="22"/>
          <w:highlight w:val="none"/>
        </w:rPr>
        <w:t>开标一览表中投标报价为符合招标文件要求的总报价。</w:t>
      </w:r>
    </w:p>
    <w:p>
      <w:pPr>
        <w:pStyle w:val="23"/>
        <w:spacing w:line="460" w:lineRule="atLeast"/>
        <w:rPr>
          <w:rFonts w:hAnsi="宋体"/>
          <w:b/>
          <w:color w:val="auto"/>
          <w:sz w:val="22"/>
          <w:szCs w:val="22"/>
          <w:highlight w:val="none"/>
          <w:u w:val="single"/>
        </w:rPr>
      </w:pPr>
      <w:r>
        <w:rPr>
          <w:rFonts w:hint="eastAsia" w:hAnsi="宋体"/>
          <w:b/>
          <w:color w:val="auto"/>
          <w:sz w:val="22"/>
          <w:szCs w:val="22"/>
          <w:highlight w:val="none"/>
        </w:rPr>
        <w:t>▲</w:t>
      </w:r>
      <w:r>
        <w:rPr>
          <w:rFonts w:hint="eastAsia" w:hAnsi="宋体"/>
          <w:b/>
          <w:color w:val="auto"/>
          <w:sz w:val="22"/>
          <w:szCs w:val="22"/>
          <w:highlight w:val="none"/>
          <w:u w:val="single"/>
        </w:rPr>
        <w:t>不提供此表格的将视为没有实质性响应招标文件。</w:t>
      </w:r>
    </w:p>
    <w:p>
      <w:pPr>
        <w:autoSpaceDE w:val="0"/>
        <w:autoSpaceDN w:val="0"/>
        <w:adjustRightInd w:val="0"/>
        <w:spacing w:line="500" w:lineRule="atLeast"/>
        <w:rPr>
          <w:rFonts w:ascii="宋体" w:cs="仿宋_GB2312"/>
          <w:color w:val="auto"/>
          <w:sz w:val="30"/>
          <w:szCs w:val="30"/>
          <w:highlight w:val="none"/>
        </w:rPr>
      </w:pPr>
    </w:p>
    <w:p>
      <w:pPr>
        <w:spacing w:line="360" w:lineRule="auto"/>
        <w:ind w:left="359" w:leftChars="171"/>
        <w:rPr>
          <w:rFonts w:ascii="宋体" w:cs="Arial"/>
          <w:color w:val="auto"/>
          <w:sz w:val="22"/>
          <w:szCs w:val="22"/>
          <w:highlight w:val="none"/>
        </w:rPr>
      </w:pPr>
      <w:r>
        <w:rPr>
          <w:rFonts w:ascii="宋体" w:cs="Arial"/>
          <w:color w:val="auto"/>
          <w:sz w:val="22"/>
          <w:szCs w:val="22"/>
          <w:highlight w:val="none"/>
        </w:rPr>
        <w:t>投标人全称（盖章）：</w:t>
      </w:r>
    </w:p>
    <w:p>
      <w:pPr>
        <w:spacing w:line="360" w:lineRule="auto"/>
        <w:ind w:left="359" w:leftChars="171"/>
        <w:rPr>
          <w:rFonts w:ascii="宋体" w:cs="Arial"/>
          <w:color w:val="auto"/>
          <w:sz w:val="22"/>
          <w:szCs w:val="22"/>
          <w:highlight w:val="none"/>
        </w:rPr>
      </w:pPr>
      <w:r>
        <w:rPr>
          <w:rFonts w:ascii="宋体" w:cs="Arial"/>
          <w:color w:val="auto"/>
          <w:sz w:val="22"/>
          <w:szCs w:val="22"/>
          <w:highlight w:val="none"/>
        </w:rPr>
        <w:t>法定代表人或授权代表（签字）：</w:t>
      </w:r>
    </w:p>
    <w:p>
      <w:pPr>
        <w:spacing w:line="360" w:lineRule="auto"/>
        <w:ind w:firstLine="330" w:firstLineChars="150"/>
        <w:rPr>
          <w:rFonts w:ascii="宋体" w:cs="Arial"/>
          <w:color w:val="auto"/>
          <w:sz w:val="22"/>
          <w:szCs w:val="22"/>
          <w:highlight w:val="none"/>
          <w:u w:val="single"/>
        </w:rPr>
      </w:pPr>
      <w:r>
        <w:rPr>
          <w:rFonts w:ascii="宋体" w:cs="Arial"/>
          <w:color w:val="auto"/>
          <w:sz w:val="22"/>
          <w:szCs w:val="22"/>
          <w:highlight w:val="none"/>
        </w:rPr>
        <w:t>日 期：       年      月     日</w:t>
      </w:r>
    </w:p>
    <w:p>
      <w:pPr>
        <w:autoSpaceDE w:val="0"/>
        <w:autoSpaceDN w:val="0"/>
        <w:adjustRightInd w:val="0"/>
        <w:spacing w:line="500" w:lineRule="atLeast"/>
        <w:rPr>
          <w:rFonts w:ascii="宋体" w:cs="仿宋_GB2312"/>
          <w:color w:val="auto"/>
          <w:sz w:val="30"/>
          <w:szCs w:val="30"/>
          <w:highlight w:val="none"/>
          <w:lang w:val="zh-CN"/>
        </w:rPr>
      </w:pPr>
    </w:p>
    <w:p>
      <w:pPr>
        <w:autoSpaceDE w:val="0"/>
        <w:autoSpaceDN w:val="0"/>
        <w:adjustRightInd w:val="0"/>
        <w:spacing w:line="500" w:lineRule="atLeast"/>
        <w:rPr>
          <w:rFonts w:ascii="宋体" w:cs="仿宋_GB2312"/>
          <w:b/>
          <w:color w:val="auto"/>
          <w:sz w:val="30"/>
          <w:szCs w:val="30"/>
          <w:highlight w:val="none"/>
          <w:lang w:val="zh-CN"/>
        </w:rPr>
      </w:pPr>
    </w:p>
    <w:p>
      <w:pPr>
        <w:snapToGrid w:val="0"/>
        <w:spacing w:line="500" w:lineRule="atLeast"/>
        <w:ind w:firstLine="4367" w:firstLineChars="1450"/>
        <w:rPr>
          <w:rFonts w:ascii="宋体"/>
          <w:b/>
          <w:color w:val="auto"/>
          <w:sz w:val="30"/>
          <w:highlight w:val="none"/>
        </w:rPr>
        <w:sectPr>
          <w:headerReference r:id="rId5" w:type="first"/>
          <w:headerReference r:id="rId4" w:type="default"/>
          <w:footerReference r:id="rId6" w:type="default"/>
          <w:pgSz w:w="11906" w:h="16838"/>
          <w:pgMar w:top="1440" w:right="1701" w:bottom="1440" w:left="1701" w:header="851" w:footer="992" w:gutter="0"/>
          <w:cols w:space="720" w:num="1"/>
          <w:docGrid w:linePitch="312" w:charSpace="0"/>
        </w:sectPr>
      </w:pPr>
    </w:p>
    <w:p>
      <w:pPr>
        <w:widowControl/>
        <w:spacing w:line="460" w:lineRule="atLeast"/>
        <w:jc w:val="left"/>
        <w:rPr>
          <w:rFonts w:ascii="宋体"/>
          <w:b/>
          <w:bCs/>
          <w:color w:val="auto"/>
          <w:sz w:val="22"/>
          <w:szCs w:val="22"/>
          <w:highlight w:val="none"/>
        </w:rPr>
      </w:pPr>
      <w:bookmarkStart w:id="195" w:name="_Toc301961267"/>
      <w:r>
        <w:rPr>
          <w:rFonts w:hint="eastAsia" w:ascii="宋体"/>
          <w:b/>
          <w:bCs/>
          <w:color w:val="auto"/>
          <w:sz w:val="22"/>
          <w:szCs w:val="22"/>
          <w:highlight w:val="none"/>
        </w:rPr>
        <w:t xml:space="preserve">附件九 </w:t>
      </w:r>
      <w:bookmarkEnd w:id="195"/>
    </w:p>
    <w:p>
      <w:pPr>
        <w:autoSpaceDE w:val="0"/>
        <w:autoSpaceDN w:val="0"/>
        <w:adjustRightInd w:val="0"/>
        <w:spacing w:line="500" w:lineRule="atLeast"/>
        <w:jc w:val="center"/>
        <w:rPr>
          <w:rFonts w:ascii="宋体" w:cs="仿宋_GB2312"/>
          <w:b/>
          <w:color w:val="auto"/>
          <w:sz w:val="32"/>
          <w:szCs w:val="32"/>
          <w:highlight w:val="none"/>
          <w:lang w:val="zh-CN"/>
        </w:rPr>
      </w:pPr>
      <w:bookmarkStart w:id="196" w:name="_Toc301961268"/>
      <w:r>
        <w:rPr>
          <w:rFonts w:hint="eastAsia" w:ascii="宋体" w:cs="仿宋_GB2312"/>
          <w:b/>
          <w:color w:val="auto"/>
          <w:sz w:val="32"/>
          <w:szCs w:val="32"/>
          <w:highlight w:val="none"/>
          <w:lang w:val="zh-CN"/>
        </w:rPr>
        <w:t>分项报价明细表</w:t>
      </w:r>
    </w:p>
    <w:tbl>
      <w:tblPr>
        <w:tblStyle w:val="41"/>
        <w:tblW w:w="97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3"/>
        <w:gridCol w:w="4113"/>
        <w:gridCol w:w="1081"/>
        <w:gridCol w:w="1021"/>
        <w:gridCol w:w="1351"/>
        <w:gridCol w:w="13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c>
          <w:tcPr>
            <w:tcW w:w="833" w:type="dxa"/>
            <w:tcBorders>
              <w:top w:val="single" w:color="auto" w:sz="2" w:space="0"/>
              <w:left w:val="single" w:color="auto" w:sz="2" w:space="0"/>
              <w:bottom w:val="single" w:color="auto" w:sz="2" w:space="0"/>
              <w:right w:val="single" w:color="auto" w:sz="2" w:space="0"/>
            </w:tcBorders>
            <w:vAlign w:val="center"/>
          </w:tcPr>
          <w:p>
            <w:pPr>
              <w:spacing w:line="360" w:lineRule="exact"/>
              <w:ind w:right="-11"/>
              <w:jc w:val="center"/>
              <w:rPr>
                <w:rFonts w:ascii="宋体" w:cs="Arial"/>
                <w:bCs/>
                <w:color w:val="auto"/>
                <w:sz w:val="22"/>
                <w:highlight w:val="none"/>
              </w:rPr>
            </w:pPr>
            <w:r>
              <w:rPr>
                <w:rFonts w:hint="eastAsia" w:ascii="宋体" w:cs="Arial"/>
                <w:color w:val="auto"/>
                <w:sz w:val="22"/>
                <w:szCs w:val="22"/>
                <w:highlight w:val="none"/>
              </w:rPr>
              <w:t>序号</w:t>
            </w:r>
          </w:p>
        </w:tc>
        <w:tc>
          <w:tcPr>
            <w:tcW w:w="4113" w:type="dxa"/>
            <w:tcBorders>
              <w:top w:val="single" w:color="auto" w:sz="2" w:space="0"/>
              <w:left w:val="single" w:color="auto" w:sz="2" w:space="0"/>
              <w:bottom w:val="single" w:color="auto" w:sz="2" w:space="0"/>
              <w:right w:val="single" w:color="auto" w:sz="2" w:space="0"/>
            </w:tcBorders>
            <w:vAlign w:val="center"/>
          </w:tcPr>
          <w:p>
            <w:pPr>
              <w:spacing w:line="360" w:lineRule="exact"/>
              <w:ind w:right="-11"/>
              <w:jc w:val="center"/>
              <w:rPr>
                <w:rFonts w:ascii="宋体" w:cs="Arial"/>
                <w:bCs/>
                <w:color w:val="auto"/>
                <w:sz w:val="22"/>
                <w:highlight w:val="none"/>
              </w:rPr>
            </w:pPr>
            <w:r>
              <w:rPr>
                <w:rFonts w:hint="eastAsia" w:ascii="宋体" w:cs="Arial"/>
                <w:color w:val="auto"/>
                <w:sz w:val="22"/>
                <w:szCs w:val="22"/>
                <w:highlight w:val="none"/>
              </w:rPr>
              <w:t>项目</w:t>
            </w:r>
          </w:p>
        </w:tc>
        <w:tc>
          <w:tcPr>
            <w:tcW w:w="1081" w:type="dxa"/>
            <w:tcBorders>
              <w:top w:val="single" w:color="auto" w:sz="2" w:space="0"/>
              <w:left w:val="single" w:color="auto" w:sz="2" w:space="0"/>
              <w:bottom w:val="single" w:color="auto" w:sz="2" w:space="0"/>
              <w:right w:val="single" w:color="auto" w:sz="4" w:space="0"/>
            </w:tcBorders>
            <w:vAlign w:val="center"/>
          </w:tcPr>
          <w:p>
            <w:pPr>
              <w:spacing w:line="360" w:lineRule="exact"/>
              <w:ind w:right="-11"/>
              <w:jc w:val="center"/>
              <w:rPr>
                <w:rFonts w:ascii="宋体"/>
                <w:color w:val="auto"/>
                <w:sz w:val="22"/>
                <w:highlight w:val="none"/>
              </w:rPr>
            </w:pPr>
            <w:r>
              <w:rPr>
                <w:rFonts w:hint="eastAsia" w:ascii="宋体"/>
                <w:color w:val="auto"/>
                <w:sz w:val="22"/>
                <w:szCs w:val="22"/>
                <w:highlight w:val="none"/>
              </w:rPr>
              <w:t>单价</w:t>
            </w:r>
          </w:p>
          <w:p>
            <w:pPr>
              <w:spacing w:line="360" w:lineRule="exact"/>
              <w:ind w:right="-11"/>
              <w:jc w:val="center"/>
              <w:rPr>
                <w:rFonts w:ascii="宋体" w:cs="Arial"/>
                <w:color w:val="auto"/>
                <w:sz w:val="22"/>
                <w:highlight w:val="none"/>
              </w:rPr>
            </w:pPr>
            <w:r>
              <w:rPr>
                <w:rFonts w:hint="eastAsia" w:ascii="宋体"/>
                <w:color w:val="auto"/>
                <w:sz w:val="22"/>
                <w:szCs w:val="22"/>
                <w:highlight w:val="none"/>
              </w:rPr>
              <w:t>（元）</w:t>
            </w:r>
          </w:p>
        </w:tc>
        <w:tc>
          <w:tcPr>
            <w:tcW w:w="1021" w:type="dxa"/>
            <w:tcBorders>
              <w:top w:val="single" w:color="auto" w:sz="2" w:space="0"/>
              <w:left w:val="single" w:color="auto" w:sz="2" w:space="0"/>
              <w:bottom w:val="single" w:color="auto" w:sz="2" w:space="0"/>
              <w:right w:val="single" w:color="auto" w:sz="4" w:space="0"/>
            </w:tcBorders>
            <w:vAlign w:val="center"/>
          </w:tcPr>
          <w:p>
            <w:pPr>
              <w:spacing w:line="360" w:lineRule="exact"/>
              <w:ind w:right="-11"/>
              <w:jc w:val="center"/>
              <w:rPr>
                <w:rFonts w:ascii="宋体" w:cs="Arial"/>
                <w:color w:val="auto"/>
                <w:sz w:val="22"/>
                <w:highlight w:val="none"/>
              </w:rPr>
            </w:pPr>
            <w:r>
              <w:rPr>
                <w:rFonts w:hint="eastAsia" w:ascii="宋体" w:cs="Arial"/>
                <w:color w:val="auto"/>
                <w:sz w:val="22"/>
                <w:szCs w:val="22"/>
                <w:highlight w:val="none"/>
              </w:rPr>
              <w:t>数量</w:t>
            </w:r>
          </w:p>
        </w:tc>
        <w:tc>
          <w:tcPr>
            <w:tcW w:w="1351" w:type="dxa"/>
            <w:tcBorders>
              <w:top w:val="single" w:color="auto" w:sz="2" w:space="0"/>
              <w:left w:val="single" w:color="auto" w:sz="2" w:space="0"/>
              <w:bottom w:val="single" w:color="auto" w:sz="2" w:space="0"/>
              <w:right w:val="single" w:color="auto" w:sz="4" w:space="0"/>
            </w:tcBorders>
            <w:vAlign w:val="center"/>
          </w:tcPr>
          <w:p>
            <w:pPr>
              <w:spacing w:line="360" w:lineRule="exact"/>
              <w:ind w:right="-11"/>
              <w:jc w:val="center"/>
              <w:rPr>
                <w:rFonts w:ascii="宋体" w:cs="Arial"/>
                <w:bCs/>
                <w:color w:val="auto"/>
                <w:sz w:val="22"/>
                <w:highlight w:val="none"/>
              </w:rPr>
            </w:pPr>
            <w:r>
              <w:rPr>
                <w:rFonts w:hint="eastAsia" w:ascii="宋体" w:cs="Arial"/>
                <w:color w:val="auto"/>
                <w:sz w:val="22"/>
                <w:szCs w:val="22"/>
                <w:highlight w:val="none"/>
              </w:rPr>
              <w:t>总价</w:t>
            </w:r>
          </w:p>
          <w:p>
            <w:pPr>
              <w:spacing w:line="360" w:lineRule="exact"/>
              <w:ind w:right="-11"/>
              <w:jc w:val="center"/>
              <w:rPr>
                <w:rFonts w:ascii="宋体" w:cs="Arial"/>
                <w:color w:val="auto"/>
                <w:sz w:val="22"/>
                <w:highlight w:val="none"/>
              </w:rPr>
            </w:pPr>
            <w:r>
              <w:rPr>
                <w:rFonts w:hint="eastAsia" w:ascii="宋体" w:cs="Arial"/>
                <w:color w:val="auto"/>
                <w:sz w:val="22"/>
                <w:szCs w:val="22"/>
                <w:highlight w:val="none"/>
              </w:rPr>
              <w:t>（含税）</w:t>
            </w:r>
          </w:p>
        </w:tc>
        <w:tc>
          <w:tcPr>
            <w:tcW w:w="1321" w:type="dxa"/>
            <w:tcBorders>
              <w:top w:val="single" w:color="auto" w:sz="2" w:space="0"/>
              <w:left w:val="single" w:color="auto" w:sz="4" w:space="0"/>
              <w:bottom w:val="single" w:color="auto" w:sz="2" w:space="0"/>
              <w:right w:val="single" w:color="auto" w:sz="2" w:space="0"/>
            </w:tcBorders>
            <w:vAlign w:val="center"/>
          </w:tcPr>
          <w:p>
            <w:pPr>
              <w:spacing w:line="360" w:lineRule="exact"/>
              <w:ind w:right="-11"/>
              <w:jc w:val="center"/>
              <w:rPr>
                <w:rFonts w:ascii="宋体" w:cs="Arial"/>
                <w:bCs/>
                <w:color w:val="auto"/>
                <w:sz w:val="22"/>
                <w:highlight w:val="none"/>
              </w:rPr>
            </w:pPr>
            <w:r>
              <w:rPr>
                <w:rFonts w:hint="eastAsia" w:ascii="宋体" w:cs="Arial"/>
                <w:color w:val="auto"/>
                <w:sz w:val="22"/>
                <w:szCs w:val="22"/>
                <w:highlight w: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25" w:hRule="atLeast"/>
        </w:trPr>
        <w:tc>
          <w:tcPr>
            <w:tcW w:w="83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highlight w:val="none"/>
              </w:rPr>
            </w:pPr>
            <w:r>
              <w:rPr>
                <w:rFonts w:hint="eastAsia" w:ascii="宋体"/>
                <w:color w:val="auto"/>
                <w:sz w:val="22"/>
                <w:szCs w:val="22"/>
                <w:highlight w:val="none"/>
              </w:rPr>
              <w:t>1</w:t>
            </w:r>
          </w:p>
        </w:tc>
        <w:tc>
          <w:tcPr>
            <w:tcW w:w="411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highlight w:val="none"/>
              </w:rPr>
            </w:pPr>
          </w:p>
        </w:tc>
        <w:tc>
          <w:tcPr>
            <w:tcW w:w="1081" w:type="dxa"/>
            <w:tcBorders>
              <w:top w:val="single" w:color="auto" w:sz="2" w:space="0"/>
              <w:left w:val="single" w:color="auto" w:sz="2" w:space="0"/>
              <w:bottom w:val="single" w:color="auto" w:sz="2" w:space="0"/>
              <w:right w:val="single" w:color="auto" w:sz="4" w:space="0"/>
            </w:tcBorders>
          </w:tcPr>
          <w:p>
            <w:pPr>
              <w:spacing w:before="156" w:beforeLines="50" w:after="156" w:afterLines="50" w:line="360" w:lineRule="exact"/>
              <w:jc w:val="center"/>
              <w:rPr>
                <w:rFonts w:ascii="宋体" w:cs="Arial"/>
                <w:color w:val="auto"/>
                <w:sz w:val="22"/>
                <w:highlight w:val="none"/>
              </w:rPr>
            </w:pPr>
          </w:p>
        </w:tc>
        <w:tc>
          <w:tcPr>
            <w:tcW w:w="1021" w:type="dxa"/>
            <w:tcBorders>
              <w:top w:val="single" w:color="auto" w:sz="2" w:space="0"/>
              <w:left w:val="single" w:color="auto" w:sz="2" w:space="0"/>
              <w:bottom w:val="single" w:color="auto" w:sz="2" w:space="0"/>
              <w:right w:val="single" w:color="auto" w:sz="4" w:space="0"/>
            </w:tcBorders>
          </w:tcPr>
          <w:p>
            <w:pPr>
              <w:spacing w:before="156" w:beforeLines="50" w:after="156" w:afterLines="50" w:line="360" w:lineRule="exact"/>
              <w:jc w:val="center"/>
              <w:rPr>
                <w:rFonts w:ascii="宋体" w:cs="Arial"/>
                <w:color w:val="auto"/>
                <w:sz w:val="22"/>
                <w:highlight w:val="none"/>
              </w:rPr>
            </w:pPr>
          </w:p>
        </w:tc>
        <w:tc>
          <w:tcPr>
            <w:tcW w:w="1351" w:type="dxa"/>
            <w:tcBorders>
              <w:top w:val="single" w:color="auto" w:sz="2" w:space="0"/>
              <w:left w:val="single" w:color="auto" w:sz="2" w:space="0"/>
              <w:bottom w:val="single" w:color="auto" w:sz="2" w:space="0"/>
              <w:right w:val="single" w:color="auto" w:sz="4" w:space="0"/>
            </w:tcBorders>
          </w:tcPr>
          <w:p>
            <w:pPr>
              <w:spacing w:before="156" w:beforeLines="50" w:after="156" w:afterLines="50" w:line="360" w:lineRule="exact"/>
              <w:jc w:val="center"/>
              <w:rPr>
                <w:rFonts w:ascii="宋体" w:cs="Arial"/>
                <w:color w:val="auto"/>
                <w:sz w:val="22"/>
                <w:highlight w:val="none"/>
              </w:rPr>
            </w:pPr>
          </w:p>
        </w:tc>
        <w:tc>
          <w:tcPr>
            <w:tcW w:w="1321" w:type="dxa"/>
            <w:tcBorders>
              <w:top w:val="single" w:color="auto" w:sz="2" w:space="0"/>
              <w:left w:val="single" w:color="auto" w:sz="4" w:space="0"/>
              <w:bottom w:val="single" w:color="auto" w:sz="2" w:space="0"/>
              <w:right w:val="single" w:color="auto" w:sz="2" w:space="0"/>
            </w:tcBorders>
          </w:tcPr>
          <w:p>
            <w:pPr>
              <w:spacing w:before="156" w:beforeLines="50" w:after="156" w:afterLines="50" w:line="360" w:lineRule="exact"/>
              <w:jc w:val="center"/>
              <w:rPr>
                <w:rFonts w:ascii="宋体" w:cs="Arial"/>
                <w:color w:val="auto"/>
                <w:sz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25" w:hRule="atLeast"/>
        </w:trPr>
        <w:tc>
          <w:tcPr>
            <w:tcW w:w="83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highlight w:val="none"/>
              </w:rPr>
            </w:pPr>
            <w:r>
              <w:rPr>
                <w:rFonts w:hint="eastAsia" w:ascii="宋体"/>
                <w:color w:val="auto"/>
                <w:sz w:val="22"/>
                <w:szCs w:val="22"/>
                <w:highlight w:val="none"/>
              </w:rPr>
              <w:t>2</w:t>
            </w:r>
          </w:p>
        </w:tc>
        <w:tc>
          <w:tcPr>
            <w:tcW w:w="411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highlight w:val="none"/>
              </w:rPr>
            </w:pPr>
          </w:p>
        </w:tc>
        <w:tc>
          <w:tcPr>
            <w:tcW w:w="3453" w:type="dxa"/>
            <w:gridSpan w:val="3"/>
            <w:tcBorders>
              <w:top w:val="single" w:color="auto" w:sz="2" w:space="0"/>
              <w:left w:val="single" w:color="auto" w:sz="2" w:space="0"/>
              <w:bottom w:val="single" w:color="auto" w:sz="2" w:space="0"/>
              <w:right w:val="single" w:color="auto" w:sz="4" w:space="0"/>
            </w:tcBorders>
          </w:tcPr>
          <w:p>
            <w:pPr>
              <w:spacing w:before="156" w:beforeLines="50" w:after="156" w:afterLines="50" w:line="360" w:lineRule="exact"/>
              <w:jc w:val="center"/>
              <w:rPr>
                <w:rFonts w:ascii="宋体" w:cs="Arial"/>
                <w:color w:val="auto"/>
                <w:sz w:val="22"/>
                <w:highlight w:val="none"/>
              </w:rPr>
            </w:pPr>
          </w:p>
        </w:tc>
        <w:tc>
          <w:tcPr>
            <w:tcW w:w="1321" w:type="dxa"/>
            <w:tcBorders>
              <w:top w:val="single" w:color="auto" w:sz="2" w:space="0"/>
              <w:left w:val="single" w:color="auto" w:sz="4" w:space="0"/>
              <w:bottom w:val="single" w:color="auto" w:sz="2" w:space="0"/>
              <w:right w:val="single" w:color="auto" w:sz="2" w:space="0"/>
            </w:tcBorders>
          </w:tcPr>
          <w:p>
            <w:pPr>
              <w:spacing w:before="156" w:beforeLines="50" w:after="156" w:afterLines="50" w:line="360" w:lineRule="exact"/>
              <w:jc w:val="center"/>
              <w:rPr>
                <w:rFonts w:ascii="宋体" w:cs="Arial"/>
                <w:color w:val="auto"/>
                <w:sz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25" w:hRule="atLeast"/>
        </w:trPr>
        <w:tc>
          <w:tcPr>
            <w:tcW w:w="83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highlight w:val="none"/>
              </w:rPr>
            </w:pPr>
            <w:r>
              <w:rPr>
                <w:rFonts w:hint="eastAsia" w:ascii="宋体"/>
                <w:color w:val="auto"/>
                <w:sz w:val="22"/>
                <w:szCs w:val="22"/>
                <w:highlight w:val="none"/>
              </w:rPr>
              <w:t>3</w:t>
            </w:r>
          </w:p>
        </w:tc>
        <w:tc>
          <w:tcPr>
            <w:tcW w:w="411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highlight w:val="none"/>
              </w:rPr>
            </w:pPr>
            <w:r>
              <w:rPr>
                <w:rFonts w:hint="eastAsia" w:ascii="宋体"/>
                <w:color w:val="auto"/>
                <w:sz w:val="22"/>
                <w:szCs w:val="22"/>
                <w:highlight w:val="none"/>
              </w:rPr>
              <w:t>... ...</w:t>
            </w:r>
          </w:p>
        </w:tc>
        <w:tc>
          <w:tcPr>
            <w:tcW w:w="3453" w:type="dxa"/>
            <w:gridSpan w:val="3"/>
            <w:tcBorders>
              <w:top w:val="single" w:color="auto" w:sz="2" w:space="0"/>
              <w:left w:val="single" w:color="auto" w:sz="2" w:space="0"/>
              <w:bottom w:val="single" w:color="auto" w:sz="2" w:space="0"/>
              <w:right w:val="single" w:color="auto" w:sz="4" w:space="0"/>
            </w:tcBorders>
          </w:tcPr>
          <w:p>
            <w:pPr>
              <w:spacing w:before="156" w:beforeLines="50" w:after="156" w:afterLines="50" w:line="360" w:lineRule="exact"/>
              <w:jc w:val="center"/>
              <w:rPr>
                <w:rFonts w:ascii="宋体" w:cs="Arial"/>
                <w:color w:val="auto"/>
                <w:sz w:val="22"/>
                <w:highlight w:val="none"/>
              </w:rPr>
            </w:pPr>
          </w:p>
        </w:tc>
        <w:tc>
          <w:tcPr>
            <w:tcW w:w="1321" w:type="dxa"/>
            <w:tcBorders>
              <w:top w:val="single" w:color="auto" w:sz="2" w:space="0"/>
              <w:left w:val="single" w:color="auto" w:sz="4" w:space="0"/>
              <w:bottom w:val="single" w:color="auto" w:sz="2" w:space="0"/>
              <w:right w:val="single" w:color="auto" w:sz="2" w:space="0"/>
            </w:tcBorders>
          </w:tcPr>
          <w:p>
            <w:pPr>
              <w:spacing w:before="156" w:beforeLines="50" w:after="156" w:afterLines="50" w:line="360" w:lineRule="exact"/>
              <w:jc w:val="center"/>
              <w:rPr>
                <w:rFonts w:ascii="宋体" w:cs="Arial"/>
                <w:color w:val="auto"/>
                <w:sz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325" w:hRule="atLeast"/>
        </w:trPr>
        <w:tc>
          <w:tcPr>
            <w:tcW w:w="83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szCs w:val="22"/>
                <w:highlight w:val="none"/>
              </w:rPr>
            </w:pPr>
            <w:r>
              <w:rPr>
                <w:rFonts w:hint="eastAsia" w:ascii="宋体"/>
                <w:color w:val="auto"/>
                <w:sz w:val="22"/>
                <w:szCs w:val="22"/>
                <w:highlight w:val="none"/>
              </w:rPr>
              <w:t>4</w:t>
            </w:r>
          </w:p>
        </w:tc>
        <w:tc>
          <w:tcPr>
            <w:tcW w:w="411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szCs w:val="22"/>
                <w:highlight w:val="none"/>
              </w:rPr>
            </w:pPr>
            <w:r>
              <w:rPr>
                <w:rFonts w:hint="eastAsia" w:asciiTheme="minorEastAsia" w:hAnsiTheme="minorEastAsia" w:eastAsiaTheme="minorEastAsia"/>
                <w:color w:val="auto"/>
                <w:sz w:val="22"/>
                <w:szCs w:val="22"/>
                <w:highlight w:val="none"/>
              </w:rPr>
              <w:t>生活垃圾袋、拖把等消耗品</w:t>
            </w:r>
          </w:p>
        </w:tc>
        <w:tc>
          <w:tcPr>
            <w:tcW w:w="3453" w:type="dxa"/>
            <w:gridSpan w:val="3"/>
            <w:tcBorders>
              <w:top w:val="single" w:color="auto" w:sz="2" w:space="0"/>
              <w:left w:val="single" w:color="auto" w:sz="2" w:space="0"/>
              <w:bottom w:val="single" w:color="auto" w:sz="2" w:space="0"/>
              <w:right w:val="single" w:color="auto" w:sz="4" w:space="0"/>
            </w:tcBorders>
          </w:tcPr>
          <w:p>
            <w:pPr>
              <w:spacing w:before="156" w:beforeLines="50" w:after="156" w:afterLines="50" w:line="360" w:lineRule="exact"/>
              <w:jc w:val="center"/>
              <w:rPr>
                <w:rFonts w:ascii="宋体" w:cs="Arial"/>
                <w:color w:val="auto"/>
                <w:sz w:val="22"/>
                <w:highlight w:val="none"/>
              </w:rPr>
            </w:pPr>
            <w:r>
              <w:rPr>
                <w:rFonts w:hint="eastAsia" w:ascii="宋体"/>
                <w:color w:val="auto"/>
                <w:sz w:val="22"/>
                <w:szCs w:val="22"/>
                <w:highlight w:val="none"/>
              </w:rPr>
              <w:t>含</w:t>
            </w:r>
          </w:p>
        </w:tc>
        <w:tc>
          <w:tcPr>
            <w:tcW w:w="1321" w:type="dxa"/>
            <w:tcBorders>
              <w:top w:val="single" w:color="auto" w:sz="2" w:space="0"/>
              <w:left w:val="single" w:color="auto" w:sz="4" w:space="0"/>
              <w:bottom w:val="single" w:color="auto" w:sz="2" w:space="0"/>
              <w:right w:val="single" w:color="auto" w:sz="2" w:space="0"/>
            </w:tcBorders>
          </w:tcPr>
          <w:p>
            <w:pPr>
              <w:spacing w:before="156" w:beforeLines="50" w:after="156" w:afterLines="50" w:line="360" w:lineRule="exact"/>
              <w:jc w:val="center"/>
              <w:rPr>
                <w:rFonts w:ascii="宋体" w:cs="Arial"/>
                <w:color w:val="auto"/>
                <w:sz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85" w:hRule="atLeast"/>
        </w:trPr>
        <w:tc>
          <w:tcPr>
            <w:tcW w:w="83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highlight w:val="none"/>
              </w:rPr>
            </w:pPr>
            <w:r>
              <w:rPr>
                <w:rFonts w:hint="eastAsia" w:ascii="宋体"/>
                <w:color w:val="auto"/>
                <w:sz w:val="22"/>
                <w:szCs w:val="22"/>
                <w:highlight w:val="none"/>
              </w:rPr>
              <w:t>5</w:t>
            </w:r>
          </w:p>
        </w:tc>
        <w:tc>
          <w:tcPr>
            <w:tcW w:w="411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highlight w:val="none"/>
              </w:rPr>
            </w:pPr>
            <w:r>
              <w:rPr>
                <w:rFonts w:hint="eastAsia" w:ascii="宋体"/>
                <w:color w:val="auto"/>
                <w:sz w:val="22"/>
                <w:szCs w:val="22"/>
                <w:highlight w:val="none"/>
              </w:rPr>
              <w:t>易损件、专用工具</w:t>
            </w:r>
          </w:p>
        </w:tc>
        <w:tc>
          <w:tcPr>
            <w:tcW w:w="3453" w:type="dxa"/>
            <w:gridSpan w:val="3"/>
            <w:tcBorders>
              <w:top w:val="single" w:color="auto" w:sz="2" w:space="0"/>
              <w:left w:val="single" w:color="auto" w:sz="2" w:space="0"/>
              <w:bottom w:val="single" w:color="auto" w:sz="2" w:space="0"/>
              <w:right w:val="single" w:color="auto" w:sz="4" w:space="0"/>
            </w:tcBorders>
          </w:tcPr>
          <w:p>
            <w:pPr>
              <w:spacing w:before="156" w:beforeLines="50" w:after="156" w:afterLines="50" w:line="360" w:lineRule="exact"/>
              <w:jc w:val="center"/>
              <w:rPr>
                <w:rFonts w:ascii="宋体" w:cs="Arial"/>
                <w:color w:val="auto"/>
                <w:sz w:val="22"/>
                <w:highlight w:val="none"/>
              </w:rPr>
            </w:pPr>
            <w:r>
              <w:rPr>
                <w:rFonts w:hint="eastAsia" w:ascii="宋体"/>
                <w:color w:val="auto"/>
                <w:sz w:val="22"/>
                <w:szCs w:val="22"/>
                <w:highlight w:val="none"/>
              </w:rPr>
              <w:t>含</w:t>
            </w:r>
          </w:p>
        </w:tc>
        <w:tc>
          <w:tcPr>
            <w:tcW w:w="1321" w:type="dxa"/>
            <w:tcBorders>
              <w:top w:val="single" w:color="auto" w:sz="2" w:space="0"/>
              <w:left w:val="single" w:color="auto" w:sz="4" w:space="0"/>
              <w:bottom w:val="single" w:color="auto" w:sz="2" w:space="0"/>
              <w:right w:val="single" w:color="auto" w:sz="2" w:space="0"/>
            </w:tcBorders>
          </w:tcPr>
          <w:p>
            <w:pPr>
              <w:spacing w:before="156" w:beforeLines="50" w:after="156" w:afterLines="50" w:line="360" w:lineRule="exact"/>
              <w:jc w:val="center"/>
              <w:rPr>
                <w:rFonts w:ascii="宋体" w:cs="Arial"/>
                <w:color w:val="auto"/>
                <w:sz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85" w:hRule="atLeast"/>
        </w:trPr>
        <w:tc>
          <w:tcPr>
            <w:tcW w:w="83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highlight w:val="none"/>
              </w:rPr>
            </w:pPr>
            <w:r>
              <w:rPr>
                <w:rFonts w:hint="eastAsia" w:ascii="宋体"/>
                <w:color w:val="auto"/>
                <w:sz w:val="22"/>
                <w:szCs w:val="22"/>
                <w:highlight w:val="none"/>
              </w:rPr>
              <w:t>6</w:t>
            </w:r>
          </w:p>
        </w:tc>
        <w:tc>
          <w:tcPr>
            <w:tcW w:w="411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highlight w:val="none"/>
              </w:rPr>
            </w:pPr>
            <w:r>
              <w:rPr>
                <w:rFonts w:hint="eastAsia" w:ascii="宋体"/>
                <w:color w:val="auto"/>
                <w:sz w:val="22"/>
                <w:szCs w:val="22"/>
                <w:highlight w:val="none"/>
              </w:rPr>
              <w:t>安装、检验费（含第三方检验费）</w:t>
            </w:r>
          </w:p>
        </w:tc>
        <w:tc>
          <w:tcPr>
            <w:tcW w:w="3453" w:type="dxa"/>
            <w:gridSpan w:val="3"/>
            <w:tcBorders>
              <w:top w:val="single" w:color="auto" w:sz="2" w:space="0"/>
              <w:left w:val="single" w:color="auto" w:sz="2" w:space="0"/>
              <w:bottom w:val="single" w:color="auto" w:sz="2" w:space="0"/>
              <w:right w:val="single" w:color="auto" w:sz="4" w:space="0"/>
            </w:tcBorders>
          </w:tcPr>
          <w:p>
            <w:pPr>
              <w:spacing w:before="156" w:beforeLines="50" w:after="156" w:afterLines="50" w:line="360" w:lineRule="exact"/>
              <w:jc w:val="center"/>
              <w:rPr>
                <w:rFonts w:ascii="宋体" w:cs="Arial"/>
                <w:color w:val="auto"/>
                <w:sz w:val="22"/>
                <w:highlight w:val="none"/>
              </w:rPr>
            </w:pPr>
            <w:r>
              <w:rPr>
                <w:rFonts w:hint="eastAsia" w:ascii="宋体"/>
                <w:color w:val="auto"/>
                <w:sz w:val="22"/>
                <w:szCs w:val="22"/>
                <w:highlight w:val="none"/>
              </w:rPr>
              <w:t>含</w:t>
            </w:r>
          </w:p>
        </w:tc>
        <w:tc>
          <w:tcPr>
            <w:tcW w:w="1321" w:type="dxa"/>
            <w:tcBorders>
              <w:top w:val="single" w:color="auto" w:sz="2" w:space="0"/>
              <w:left w:val="single" w:color="auto" w:sz="4" w:space="0"/>
              <w:bottom w:val="single" w:color="auto" w:sz="2" w:space="0"/>
              <w:right w:val="single" w:color="auto" w:sz="2" w:space="0"/>
            </w:tcBorders>
          </w:tcPr>
          <w:p>
            <w:pPr>
              <w:spacing w:before="156" w:beforeLines="50" w:after="156" w:afterLines="50" w:line="360" w:lineRule="exact"/>
              <w:jc w:val="center"/>
              <w:rPr>
                <w:rFonts w:ascii="宋体" w:cs="Arial"/>
                <w:color w:val="auto"/>
                <w:sz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85" w:hRule="atLeast"/>
        </w:trPr>
        <w:tc>
          <w:tcPr>
            <w:tcW w:w="83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highlight w:val="none"/>
              </w:rPr>
            </w:pPr>
            <w:r>
              <w:rPr>
                <w:rFonts w:hint="eastAsia" w:ascii="宋体"/>
                <w:color w:val="auto"/>
                <w:sz w:val="22"/>
                <w:szCs w:val="22"/>
                <w:highlight w:val="none"/>
              </w:rPr>
              <w:t>7</w:t>
            </w:r>
          </w:p>
        </w:tc>
        <w:tc>
          <w:tcPr>
            <w:tcW w:w="411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highlight w:val="none"/>
              </w:rPr>
            </w:pPr>
            <w:r>
              <w:rPr>
                <w:rFonts w:hint="eastAsia" w:ascii="宋体"/>
                <w:color w:val="auto"/>
                <w:sz w:val="22"/>
                <w:szCs w:val="22"/>
                <w:highlight w:val="none"/>
              </w:rPr>
              <w:t>至最终目的地的运费、保险费</w:t>
            </w:r>
          </w:p>
        </w:tc>
        <w:tc>
          <w:tcPr>
            <w:tcW w:w="3453" w:type="dxa"/>
            <w:gridSpan w:val="3"/>
            <w:tcBorders>
              <w:top w:val="single" w:color="auto" w:sz="2" w:space="0"/>
              <w:left w:val="single" w:color="auto" w:sz="2" w:space="0"/>
              <w:bottom w:val="single" w:color="auto" w:sz="2" w:space="0"/>
              <w:right w:val="single" w:color="auto" w:sz="4" w:space="0"/>
            </w:tcBorders>
          </w:tcPr>
          <w:p>
            <w:pPr>
              <w:spacing w:before="156" w:beforeLines="50" w:after="156" w:afterLines="50" w:line="360" w:lineRule="exact"/>
              <w:jc w:val="center"/>
              <w:rPr>
                <w:rFonts w:ascii="宋体" w:cs="Arial"/>
                <w:color w:val="auto"/>
                <w:sz w:val="22"/>
                <w:highlight w:val="none"/>
              </w:rPr>
            </w:pPr>
            <w:r>
              <w:rPr>
                <w:rFonts w:hint="eastAsia" w:ascii="宋体"/>
                <w:color w:val="auto"/>
                <w:sz w:val="22"/>
                <w:szCs w:val="22"/>
                <w:highlight w:val="none"/>
              </w:rPr>
              <w:t>含</w:t>
            </w:r>
          </w:p>
        </w:tc>
        <w:tc>
          <w:tcPr>
            <w:tcW w:w="1321" w:type="dxa"/>
            <w:tcBorders>
              <w:top w:val="single" w:color="auto" w:sz="2" w:space="0"/>
              <w:left w:val="single" w:color="auto" w:sz="4" w:space="0"/>
              <w:bottom w:val="single" w:color="auto" w:sz="2" w:space="0"/>
              <w:right w:val="single" w:color="auto" w:sz="2" w:space="0"/>
            </w:tcBorders>
          </w:tcPr>
          <w:p>
            <w:pPr>
              <w:spacing w:before="156" w:beforeLines="50" w:after="156" w:afterLines="50" w:line="360" w:lineRule="exact"/>
              <w:jc w:val="center"/>
              <w:rPr>
                <w:rFonts w:ascii="宋体" w:cs="Arial"/>
                <w:color w:val="auto"/>
                <w:sz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85" w:hRule="atLeast"/>
        </w:trPr>
        <w:tc>
          <w:tcPr>
            <w:tcW w:w="83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highlight w:val="none"/>
              </w:rPr>
            </w:pPr>
            <w:r>
              <w:rPr>
                <w:rFonts w:hint="eastAsia" w:ascii="宋体"/>
                <w:color w:val="auto"/>
                <w:sz w:val="22"/>
                <w:szCs w:val="22"/>
                <w:highlight w:val="none"/>
              </w:rPr>
              <w:t>8</w:t>
            </w:r>
          </w:p>
        </w:tc>
        <w:tc>
          <w:tcPr>
            <w:tcW w:w="411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highlight w:val="none"/>
              </w:rPr>
            </w:pPr>
            <w:r>
              <w:rPr>
                <w:rFonts w:hint="eastAsia" w:ascii="宋体"/>
                <w:color w:val="auto"/>
                <w:sz w:val="22"/>
                <w:szCs w:val="22"/>
                <w:highlight w:val="none"/>
              </w:rPr>
              <w:t>招标代理服务费</w:t>
            </w:r>
          </w:p>
        </w:tc>
        <w:tc>
          <w:tcPr>
            <w:tcW w:w="3453" w:type="dxa"/>
            <w:gridSpan w:val="3"/>
            <w:tcBorders>
              <w:top w:val="single" w:color="auto" w:sz="2" w:space="0"/>
              <w:left w:val="single" w:color="auto" w:sz="2" w:space="0"/>
              <w:bottom w:val="single" w:color="auto" w:sz="2" w:space="0"/>
              <w:right w:val="single" w:color="auto" w:sz="4" w:space="0"/>
            </w:tcBorders>
          </w:tcPr>
          <w:p>
            <w:pPr>
              <w:spacing w:before="156" w:beforeLines="50" w:after="156" w:afterLines="50" w:line="360" w:lineRule="exact"/>
              <w:jc w:val="center"/>
              <w:rPr>
                <w:rFonts w:ascii="宋体" w:cs="Arial"/>
                <w:color w:val="auto"/>
                <w:sz w:val="22"/>
                <w:highlight w:val="none"/>
              </w:rPr>
            </w:pPr>
            <w:r>
              <w:rPr>
                <w:rFonts w:hint="eastAsia" w:ascii="宋体"/>
                <w:color w:val="auto"/>
                <w:sz w:val="22"/>
                <w:szCs w:val="22"/>
                <w:highlight w:val="none"/>
              </w:rPr>
              <w:t>含</w:t>
            </w:r>
          </w:p>
        </w:tc>
        <w:tc>
          <w:tcPr>
            <w:tcW w:w="1321" w:type="dxa"/>
            <w:tcBorders>
              <w:top w:val="single" w:color="auto" w:sz="2" w:space="0"/>
              <w:left w:val="single" w:color="auto" w:sz="4" w:space="0"/>
              <w:bottom w:val="single" w:color="auto" w:sz="2" w:space="0"/>
              <w:right w:val="single" w:color="auto" w:sz="2" w:space="0"/>
            </w:tcBorders>
          </w:tcPr>
          <w:p>
            <w:pPr>
              <w:spacing w:before="156" w:beforeLines="50" w:after="156" w:afterLines="50" w:line="360" w:lineRule="exact"/>
              <w:jc w:val="center"/>
              <w:rPr>
                <w:rFonts w:ascii="宋体" w:cs="Arial"/>
                <w:color w:val="auto"/>
                <w:sz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85" w:hRule="atLeast"/>
        </w:trPr>
        <w:tc>
          <w:tcPr>
            <w:tcW w:w="83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highlight w:val="none"/>
              </w:rPr>
            </w:pPr>
            <w:r>
              <w:rPr>
                <w:rFonts w:hint="eastAsia" w:ascii="宋体"/>
                <w:color w:val="auto"/>
                <w:sz w:val="22"/>
                <w:highlight w:val="none"/>
              </w:rPr>
              <w:t>9</w:t>
            </w:r>
          </w:p>
        </w:tc>
        <w:tc>
          <w:tcPr>
            <w:tcW w:w="411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color w:val="auto"/>
                <w:sz w:val="22"/>
                <w:highlight w:val="none"/>
              </w:rPr>
            </w:pPr>
            <w:r>
              <w:rPr>
                <w:rFonts w:hint="eastAsia" w:ascii="宋体"/>
                <w:color w:val="auto"/>
                <w:sz w:val="22"/>
                <w:szCs w:val="22"/>
                <w:highlight w:val="none"/>
              </w:rPr>
              <w:t>其他</w:t>
            </w:r>
          </w:p>
        </w:tc>
        <w:tc>
          <w:tcPr>
            <w:tcW w:w="3453" w:type="dxa"/>
            <w:gridSpan w:val="3"/>
            <w:tcBorders>
              <w:top w:val="single" w:color="auto" w:sz="2" w:space="0"/>
              <w:left w:val="single" w:color="auto" w:sz="2" w:space="0"/>
              <w:bottom w:val="single" w:color="auto" w:sz="2" w:space="0"/>
              <w:right w:val="single" w:color="auto" w:sz="4" w:space="0"/>
            </w:tcBorders>
          </w:tcPr>
          <w:p>
            <w:pPr>
              <w:spacing w:before="156" w:beforeLines="50" w:after="156" w:afterLines="50" w:line="360" w:lineRule="exact"/>
              <w:jc w:val="center"/>
              <w:rPr>
                <w:rFonts w:ascii="宋体" w:cs="Arial"/>
                <w:color w:val="auto"/>
                <w:sz w:val="22"/>
                <w:highlight w:val="none"/>
              </w:rPr>
            </w:pPr>
            <w:r>
              <w:rPr>
                <w:rFonts w:hint="eastAsia" w:ascii="宋体"/>
                <w:color w:val="auto"/>
                <w:sz w:val="22"/>
                <w:szCs w:val="22"/>
                <w:highlight w:val="none"/>
              </w:rPr>
              <w:t>含</w:t>
            </w:r>
          </w:p>
        </w:tc>
        <w:tc>
          <w:tcPr>
            <w:tcW w:w="1321" w:type="dxa"/>
            <w:tcBorders>
              <w:top w:val="single" w:color="auto" w:sz="2" w:space="0"/>
              <w:left w:val="single" w:color="auto" w:sz="4" w:space="0"/>
              <w:bottom w:val="single" w:color="auto" w:sz="2" w:space="0"/>
              <w:right w:val="single" w:color="auto" w:sz="2" w:space="0"/>
            </w:tcBorders>
          </w:tcPr>
          <w:p>
            <w:pPr>
              <w:spacing w:before="156" w:beforeLines="50" w:after="156" w:afterLines="50" w:line="360" w:lineRule="exact"/>
              <w:jc w:val="center"/>
              <w:rPr>
                <w:rFonts w:ascii="宋体" w:cs="Arial"/>
                <w:color w:val="auto"/>
                <w:sz w:val="22"/>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85" w:hRule="atLeast"/>
        </w:trPr>
        <w:tc>
          <w:tcPr>
            <w:tcW w:w="4946" w:type="dxa"/>
            <w:gridSpan w:val="2"/>
            <w:tcBorders>
              <w:top w:val="single" w:color="auto" w:sz="2" w:space="0"/>
              <w:left w:val="single" w:color="auto" w:sz="2" w:space="0"/>
              <w:bottom w:val="single" w:color="auto" w:sz="2" w:space="0"/>
              <w:right w:val="single" w:color="auto" w:sz="2" w:space="0"/>
            </w:tcBorders>
          </w:tcPr>
          <w:p>
            <w:pPr>
              <w:spacing w:before="156" w:beforeLines="50" w:after="156" w:afterLines="50" w:line="360" w:lineRule="exact"/>
              <w:jc w:val="center"/>
              <w:rPr>
                <w:rFonts w:ascii="宋体" w:cs="Arial"/>
                <w:color w:val="auto"/>
                <w:sz w:val="22"/>
                <w:highlight w:val="none"/>
              </w:rPr>
            </w:pPr>
            <w:r>
              <w:rPr>
                <w:rFonts w:hint="eastAsia" w:ascii="宋体" w:cs="Arial"/>
                <w:color w:val="auto"/>
                <w:sz w:val="22"/>
                <w:szCs w:val="22"/>
                <w:highlight w:val="none"/>
              </w:rPr>
              <w:t>总计价</w:t>
            </w:r>
          </w:p>
        </w:tc>
        <w:tc>
          <w:tcPr>
            <w:tcW w:w="4774" w:type="dxa"/>
            <w:gridSpan w:val="4"/>
            <w:tcBorders>
              <w:top w:val="single" w:color="auto" w:sz="2" w:space="0"/>
              <w:left w:val="single" w:color="auto" w:sz="2" w:space="0"/>
              <w:bottom w:val="single" w:color="auto" w:sz="2" w:space="0"/>
              <w:right w:val="single" w:color="auto" w:sz="2" w:space="0"/>
            </w:tcBorders>
          </w:tcPr>
          <w:p>
            <w:pPr>
              <w:spacing w:before="156" w:beforeLines="50" w:after="156" w:afterLines="50" w:line="360" w:lineRule="exact"/>
              <w:rPr>
                <w:rFonts w:ascii="宋体" w:cs="Arial"/>
                <w:color w:val="auto"/>
                <w:sz w:val="22"/>
                <w:highlight w:val="none"/>
              </w:rPr>
            </w:pPr>
            <w:r>
              <w:rPr>
                <w:rFonts w:hint="eastAsia" w:ascii="宋体" w:cs="Arial"/>
                <w:color w:val="auto"/>
                <w:sz w:val="22"/>
                <w:szCs w:val="22"/>
                <w:highlight w:val="none"/>
              </w:rPr>
              <w:t>¥：</w:t>
            </w:r>
          </w:p>
        </w:tc>
      </w:tr>
    </w:tbl>
    <w:p>
      <w:pPr>
        <w:autoSpaceDE w:val="0"/>
        <w:autoSpaceDN w:val="0"/>
        <w:adjustRightInd w:val="0"/>
        <w:spacing w:line="460" w:lineRule="atLeast"/>
        <w:rPr>
          <w:rFonts w:ascii="宋体" w:cs="仿宋_GB2312"/>
          <w:color w:val="auto"/>
          <w:sz w:val="22"/>
          <w:szCs w:val="22"/>
          <w:highlight w:val="none"/>
          <w:lang w:val="zh-CN"/>
        </w:rPr>
      </w:pPr>
      <w:r>
        <w:rPr>
          <w:rFonts w:hint="eastAsia" w:ascii="宋体" w:cs="仿宋_GB2312"/>
          <w:color w:val="auto"/>
          <w:sz w:val="22"/>
          <w:szCs w:val="22"/>
          <w:highlight w:val="none"/>
          <w:lang w:val="zh-CN"/>
        </w:rPr>
        <w:t>注：1. 合计应与“开标一览表”中投标报价相一致。</w:t>
      </w:r>
    </w:p>
    <w:p>
      <w:pPr>
        <w:autoSpaceDE w:val="0"/>
        <w:autoSpaceDN w:val="0"/>
        <w:adjustRightInd w:val="0"/>
        <w:spacing w:line="460" w:lineRule="atLeast"/>
        <w:ind w:firstLine="440" w:firstLineChars="200"/>
        <w:rPr>
          <w:rFonts w:ascii="宋体" w:cs="仿宋_GB2312"/>
          <w:color w:val="auto"/>
          <w:sz w:val="22"/>
          <w:szCs w:val="22"/>
          <w:highlight w:val="none"/>
          <w:lang w:val="zh-CN"/>
        </w:rPr>
      </w:pPr>
      <w:r>
        <w:rPr>
          <w:rFonts w:hint="eastAsia" w:ascii="宋体" w:cs="仿宋_GB2312"/>
          <w:color w:val="auto"/>
          <w:sz w:val="22"/>
          <w:szCs w:val="22"/>
          <w:highlight w:val="none"/>
          <w:lang w:val="zh-CN"/>
        </w:rPr>
        <w:t xml:space="preserve">2. 本表所列费用为本项目的全部费用，除此外，不允许增加任何费用。                    </w:t>
      </w:r>
    </w:p>
    <w:p>
      <w:pPr>
        <w:autoSpaceDE w:val="0"/>
        <w:autoSpaceDN w:val="0"/>
        <w:adjustRightInd w:val="0"/>
        <w:spacing w:line="460" w:lineRule="atLeast"/>
        <w:ind w:firstLine="442" w:firstLineChars="200"/>
        <w:rPr>
          <w:rFonts w:ascii="宋体" w:cs="仿宋_GB2312"/>
          <w:b/>
          <w:color w:val="auto"/>
          <w:sz w:val="22"/>
          <w:szCs w:val="22"/>
          <w:highlight w:val="none"/>
          <w:lang w:val="zh-CN"/>
        </w:rPr>
      </w:pPr>
      <w:r>
        <w:rPr>
          <w:rFonts w:hint="eastAsia" w:ascii="宋体" w:cs="仿宋_GB2312"/>
          <w:b/>
          <w:color w:val="auto"/>
          <w:sz w:val="22"/>
          <w:szCs w:val="22"/>
          <w:highlight w:val="none"/>
          <w:lang w:val="zh-CN"/>
        </w:rPr>
        <w:t>▲</w:t>
      </w:r>
      <w:r>
        <w:rPr>
          <w:rFonts w:hint="eastAsia" w:ascii="宋体" w:cs="仿宋_GB2312"/>
          <w:b/>
          <w:color w:val="auto"/>
          <w:sz w:val="22"/>
          <w:szCs w:val="22"/>
          <w:highlight w:val="none"/>
          <w:u w:val="single"/>
          <w:lang w:val="zh-CN"/>
        </w:rPr>
        <w:t>3. 不提供详细分项的投标价将视为没有实质性响应招标文件。</w:t>
      </w:r>
    </w:p>
    <w:p>
      <w:pPr>
        <w:autoSpaceDE w:val="0"/>
        <w:autoSpaceDN w:val="0"/>
        <w:adjustRightInd w:val="0"/>
        <w:spacing w:line="460" w:lineRule="atLeast"/>
        <w:ind w:firstLine="440" w:firstLineChars="200"/>
        <w:rPr>
          <w:rFonts w:ascii="宋体" w:cs="仿宋_GB2312"/>
          <w:color w:val="auto"/>
          <w:sz w:val="22"/>
          <w:szCs w:val="22"/>
          <w:highlight w:val="none"/>
          <w:lang w:val="zh-CN"/>
        </w:rPr>
      </w:pPr>
      <w:r>
        <w:rPr>
          <w:rFonts w:hint="eastAsia" w:ascii="宋体" w:cs="仿宋_GB2312"/>
          <w:color w:val="auto"/>
          <w:sz w:val="22"/>
          <w:szCs w:val="22"/>
          <w:highlight w:val="none"/>
          <w:lang w:val="zh-CN"/>
        </w:rPr>
        <w:t xml:space="preserve">4．本表可在不改变格式的情况下根据具体需要自行增减。                         </w:t>
      </w:r>
    </w:p>
    <w:p>
      <w:pPr>
        <w:autoSpaceDE w:val="0"/>
        <w:autoSpaceDN w:val="0"/>
        <w:adjustRightInd w:val="0"/>
        <w:spacing w:line="460" w:lineRule="atLeast"/>
        <w:ind w:firstLine="440" w:firstLineChars="200"/>
        <w:rPr>
          <w:rFonts w:ascii="宋体" w:cs="仿宋_GB2312"/>
          <w:color w:val="auto"/>
          <w:sz w:val="22"/>
          <w:szCs w:val="22"/>
          <w:highlight w:val="none"/>
          <w:lang w:val="zh-CN"/>
        </w:rPr>
      </w:pPr>
      <w:r>
        <w:rPr>
          <w:rFonts w:hint="eastAsia" w:ascii="宋体" w:cs="仿宋_GB2312"/>
          <w:color w:val="auto"/>
          <w:sz w:val="22"/>
          <w:szCs w:val="22"/>
          <w:highlight w:val="none"/>
          <w:lang w:val="zh-CN"/>
        </w:rPr>
        <w:t>5、 带有“……”的为本表未列的其他费用，供应商需视情况自行列出。</w:t>
      </w:r>
    </w:p>
    <w:p>
      <w:pPr>
        <w:spacing w:line="450" w:lineRule="atLeast"/>
        <w:rPr>
          <w:rFonts w:ascii="宋体"/>
          <w:b/>
          <w:color w:val="auto"/>
          <w:sz w:val="22"/>
          <w:szCs w:val="22"/>
          <w:highlight w:val="none"/>
        </w:rPr>
      </w:pPr>
    </w:p>
    <w:p>
      <w:pPr>
        <w:spacing w:line="360" w:lineRule="auto"/>
        <w:ind w:left="359" w:leftChars="171"/>
        <w:rPr>
          <w:rFonts w:ascii="宋体" w:cs="Arial"/>
          <w:color w:val="auto"/>
          <w:sz w:val="22"/>
          <w:szCs w:val="22"/>
          <w:highlight w:val="none"/>
        </w:rPr>
      </w:pPr>
      <w:r>
        <w:rPr>
          <w:rFonts w:ascii="宋体" w:cs="Arial"/>
          <w:color w:val="auto"/>
          <w:sz w:val="22"/>
          <w:szCs w:val="22"/>
          <w:highlight w:val="none"/>
        </w:rPr>
        <w:t>投标人全称（盖章）：</w:t>
      </w:r>
    </w:p>
    <w:p>
      <w:pPr>
        <w:spacing w:line="360" w:lineRule="auto"/>
        <w:ind w:left="359" w:leftChars="171"/>
        <w:rPr>
          <w:rFonts w:ascii="宋体" w:cs="Arial"/>
          <w:color w:val="auto"/>
          <w:sz w:val="22"/>
          <w:szCs w:val="22"/>
          <w:highlight w:val="none"/>
        </w:rPr>
      </w:pPr>
      <w:r>
        <w:rPr>
          <w:rFonts w:ascii="宋体" w:cs="Arial"/>
          <w:color w:val="auto"/>
          <w:sz w:val="22"/>
          <w:szCs w:val="22"/>
          <w:highlight w:val="none"/>
        </w:rPr>
        <w:t>法定代表人或授权代表（签字）：</w:t>
      </w:r>
    </w:p>
    <w:p>
      <w:pPr>
        <w:spacing w:line="360" w:lineRule="auto"/>
        <w:ind w:firstLine="330" w:firstLineChars="150"/>
        <w:rPr>
          <w:rFonts w:ascii="宋体" w:cs="Arial"/>
          <w:color w:val="auto"/>
          <w:sz w:val="22"/>
          <w:szCs w:val="22"/>
          <w:highlight w:val="none"/>
          <w:u w:val="single"/>
        </w:rPr>
      </w:pPr>
      <w:r>
        <w:rPr>
          <w:rFonts w:ascii="宋体" w:cs="Arial"/>
          <w:color w:val="auto"/>
          <w:sz w:val="22"/>
          <w:szCs w:val="22"/>
          <w:highlight w:val="none"/>
        </w:rPr>
        <w:t>日 期：       年      月      日</w:t>
      </w:r>
    </w:p>
    <w:p>
      <w:pPr>
        <w:spacing w:line="450" w:lineRule="atLeast"/>
        <w:rPr>
          <w:rFonts w:ascii="宋体"/>
          <w:color w:val="auto"/>
          <w:sz w:val="22"/>
          <w:szCs w:val="22"/>
          <w:highlight w:val="none"/>
        </w:rPr>
      </w:pPr>
    </w:p>
    <w:bookmarkEnd w:id="196"/>
    <w:p>
      <w:pPr>
        <w:pStyle w:val="39"/>
        <w:spacing w:line="400" w:lineRule="exact"/>
        <w:rPr>
          <w:rFonts w:ascii="宋体" w:hAnsi="宋体"/>
          <w:b w:val="0"/>
          <w:color w:val="auto"/>
          <w:sz w:val="22"/>
          <w:szCs w:val="22"/>
          <w:highlight w:val="none"/>
        </w:rPr>
      </w:pPr>
    </w:p>
    <w:p>
      <w:pPr>
        <w:pStyle w:val="39"/>
        <w:rPr>
          <w:rFonts w:ascii="宋体" w:hAnsi="宋体"/>
          <w:color w:val="auto"/>
          <w:highlight w:val="none"/>
        </w:rPr>
      </w:pPr>
      <w:r>
        <w:rPr>
          <w:rFonts w:ascii="宋体" w:hAnsi="宋体"/>
          <w:color w:val="auto"/>
          <w:highlight w:val="none"/>
        </w:rPr>
        <w:br w:type="page"/>
      </w:r>
      <w:bookmarkStart w:id="197" w:name="_Toc26385"/>
      <w:bookmarkStart w:id="198" w:name="_Toc42678695"/>
      <w:bookmarkStart w:id="199" w:name="_Toc42243287"/>
      <w:r>
        <w:rPr>
          <w:rFonts w:hint="eastAsia" w:ascii="宋体" w:hAnsi="宋体"/>
          <w:color w:val="auto"/>
          <w:highlight w:val="none"/>
        </w:rPr>
        <w:t>三、商务技术文件部分格式</w:t>
      </w:r>
      <w:bookmarkEnd w:id="197"/>
      <w:bookmarkEnd w:id="198"/>
      <w:bookmarkEnd w:id="199"/>
    </w:p>
    <w:p>
      <w:pPr>
        <w:widowControl/>
        <w:spacing w:line="460" w:lineRule="atLeast"/>
        <w:jc w:val="left"/>
        <w:rPr>
          <w:rFonts w:ascii="宋体"/>
          <w:b/>
          <w:bCs/>
          <w:color w:val="auto"/>
          <w:sz w:val="22"/>
          <w:szCs w:val="22"/>
          <w:highlight w:val="none"/>
        </w:rPr>
      </w:pPr>
      <w:bookmarkStart w:id="200" w:name="_Toc493530215"/>
      <w:r>
        <w:rPr>
          <w:rFonts w:hint="eastAsia" w:ascii="宋体"/>
          <w:b/>
          <w:bCs/>
          <w:color w:val="auto"/>
          <w:sz w:val="22"/>
          <w:szCs w:val="22"/>
          <w:highlight w:val="none"/>
        </w:rPr>
        <w:t xml:space="preserve">附件十 </w:t>
      </w:r>
      <w:bookmarkEnd w:id="200"/>
    </w:p>
    <w:p>
      <w:pPr>
        <w:pStyle w:val="39"/>
        <w:rPr>
          <w:rFonts w:ascii="宋体" w:hAnsi="宋体"/>
          <w:color w:val="auto"/>
          <w:highlight w:val="none"/>
        </w:rPr>
      </w:pPr>
      <w:bookmarkStart w:id="201" w:name="_Toc99807484"/>
      <w:bookmarkStart w:id="202" w:name="_Toc42678185"/>
      <w:bookmarkStart w:id="203" w:name="_Toc19204521"/>
      <w:bookmarkStart w:id="204" w:name="_Toc9334949"/>
      <w:bookmarkStart w:id="205" w:name="_Toc511045481"/>
      <w:bookmarkStart w:id="206" w:name="_Toc518512534"/>
      <w:bookmarkStart w:id="207" w:name="_Toc96954543"/>
      <w:bookmarkStart w:id="208" w:name="_Toc42243288"/>
      <w:bookmarkStart w:id="209" w:name="_Toc42678030"/>
      <w:bookmarkStart w:id="210" w:name="_Toc42678617"/>
      <w:bookmarkStart w:id="211" w:name="_Toc522469119"/>
      <w:bookmarkStart w:id="212" w:name="_Toc42678696"/>
      <w:bookmarkStart w:id="213" w:name="_Toc30047"/>
      <w:r>
        <w:rPr>
          <w:rFonts w:hint="eastAsia" w:ascii="宋体" w:hAnsi="宋体"/>
          <w:color w:val="auto"/>
          <w:highlight w:val="none"/>
        </w:rPr>
        <w:t xml:space="preserve">投 </w:t>
      </w:r>
      <w:r>
        <w:rPr>
          <w:rFonts w:ascii="宋体" w:hAnsi="宋体"/>
          <w:color w:val="auto"/>
          <w:highlight w:val="none"/>
        </w:rPr>
        <w:t xml:space="preserve"> </w:t>
      </w:r>
      <w:r>
        <w:rPr>
          <w:rFonts w:hint="eastAsia" w:ascii="宋体" w:hAnsi="宋体"/>
          <w:color w:val="auto"/>
          <w:highlight w:val="none"/>
        </w:rPr>
        <w:t>标</w:t>
      </w:r>
      <w:r>
        <w:rPr>
          <w:rFonts w:ascii="宋体" w:hAnsi="宋体"/>
          <w:color w:val="auto"/>
          <w:highlight w:val="none"/>
        </w:rPr>
        <w:t xml:space="preserve">  </w:t>
      </w:r>
      <w:r>
        <w:rPr>
          <w:rFonts w:hint="eastAsia" w:ascii="宋体" w:hAnsi="宋体"/>
          <w:color w:val="auto"/>
          <w:highlight w:val="none"/>
        </w:rPr>
        <w:t>函</w:t>
      </w:r>
      <w:bookmarkEnd w:id="201"/>
      <w:bookmarkEnd w:id="202"/>
      <w:bookmarkEnd w:id="203"/>
      <w:bookmarkEnd w:id="204"/>
      <w:bookmarkEnd w:id="205"/>
      <w:bookmarkEnd w:id="206"/>
      <w:bookmarkEnd w:id="207"/>
      <w:bookmarkEnd w:id="208"/>
      <w:bookmarkEnd w:id="209"/>
      <w:bookmarkEnd w:id="210"/>
      <w:bookmarkEnd w:id="211"/>
      <w:bookmarkEnd w:id="212"/>
      <w:bookmarkEnd w:id="213"/>
    </w:p>
    <w:p>
      <w:pPr>
        <w:autoSpaceDE w:val="0"/>
        <w:autoSpaceDN w:val="0"/>
        <w:adjustRightInd w:val="0"/>
        <w:snapToGrid w:val="0"/>
        <w:spacing w:line="480" w:lineRule="atLeast"/>
        <w:rPr>
          <w:rFonts w:ascii="宋体"/>
          <w:color w:val="auto"/>
          <w:sz w:val="22"/>
          <w:highlight w:val="none"/>
          <w:u w:val="single"/>
        </w:rPr>
      </w:pPr>
      <w:r>
        <w:rPr>
          <w:rFonts w:hint="eastAsia" w:ascii="宋体" w:cs="仿宋_GB2312"/>
          <w:color w:val="auto"/>
          <w:sz w:val="22"/>
          <w:highlight w:val="none"/>
          <w:u w:val="single"/>
          <w:lang w:val="zh-CN"/>
        </w:rPr>
        <w:t xml:space="preserve">  （采购人）   ：</w:t>
      </w:r>
    </w:p>
    <w:p>
      <w:pPr>
        <w:autoSpaceDE w:val="0"/>
        <w:autoSpaceDN w:val="0"/>
        <w:adjustRightInd w:val="0"/>
        <w:snapToGrid w:val="0"/>
        <w:spacing w:line="480" w:lineRule="atLeast"/>
        <w:rPr>
          <w:rFonts w:ascii="宋体" w:cs="仿宋_GB2312"/>
          <w:color w:val="auto"/>
          <w:sz w:val="22"/>
          <w:highlight w:val="none"/>
          <w:lang w:val="zh-CN"/>
        </w:rPr>
      </w:pPr>
      <w:r>
        <w:rPr>
          <w:rFonts w:ascii="宋体" w:cs="仿宋_GB2312"/>
          <w:color w:val="auto"/>
          <w:sz w:val="22"/>
          <w:highlight w:val="none"/>
          <w:lang w:val="zh-CN"/>
        </w:rPr>
        <w:t xml:space="preserve">    </w:t>
      </w:r>
      <w:r>
        <w:rPr>
          <w:rFonts w:ascii="宋体" w:cs="仿宋_GB2312"/>
          <w:color w:val="auto"/>
          <w:sz w:val="22"/>
          <w:highlight w:val="none"/>
          <w:u w:val="single"/>
          <w:lang w:val="zh-CN"/>
        </w:rPr>
        <w:t xml:space="preserve">                    </w:t>
      </w:r>
      <w:r>
        <w:rPr>
          <w:rFonts w:hint="eastAsia" w:ascii="宋体" w:cs="仿宋_GB2312"/>
          <w:color w:val="auto"/>
          <w:sz w:val="22"/>
          <w:highlight w:val="none"/>
          <w:lang w:val="zh-CN"/>
        </w:rPr>
        <w:t>（供应商全称）授权</w:t>
      </w:r>
      <w:r>
        <w:rPr>
          <w:rFonts w:ascii="宋体" w:cs="仿宋_GB2312"/>
          <w:color w:val="auto"/>
          <w:sz w:val="22"/>
          <w:highlight w:val="none"/>
          <w:u w:val="single"/>
          <w:lang w:val="zh-CN"/>
        </w:rPr>
        <w:t xml:space="preserve">              </w:t>
      </w:r>
      <w:r>
        <w:rPr>
          <w:rFonts w:ascii="宋体" w:cs="仿宋_GB2312"/>
          <w:color w:val="auto"/>
          <w:sz w:val="22"/>
          <w:highlight w:val="none"/>
          <w:lang w:val="zh-CN"/>
        </w:rPr>
        <w:t xml:space="preserve"> </w:t>
      </w:r>
      <w:r>
        <w:rPr>
          <w:rFonts w:hint="eastAsia" w:ascii="宋体" w:cs="仿宋_GB2312"/>
          <w:color w:val="auto"/>
          <w:sz w:val="22"/>
          <w:highlight w:val="none"/>
          <w:lang w:val="zh-CN"/>
        </w:rPr>
        <w:t>（授权代表名称）</w:t>
      </w:r>
      <w:r>
        <w:rPr>
          <w:rFonts w:ascii="宋体" w:cs="仿宋_GB2312"/>
          <w:color w:val="auto"/>
          <w:sz w:val="22"/>
          <w:highlight w:val="none"/>
          <w:u w:val="single"/>
          <w:lang w:val="zh-CN"/>
        </w:rPr>
        <w:t xml:space="preserve">         </w:t>
      </w:r>
      <w:r>
        <w:rPr>
          <w:rFonts w:hint="eastAsia" w:ascii="宋体" w:cs="仿宋_GB2312"/>
          <w:color w:val="auto"/>
          <w:sz w:val="22"/>
          <w:highlight w:val="none"/>
          <w:lang w:val="zh-CN"/>
        </w:rPr>
        <w:t>（职务、职称）为授权代表，参加贵方组织的</w:t>
      </w:r>
      <w:r>
        <w:rPr>
          <w:rFonts w:ascii="宋体" w:cs="仿宋_GB2312"/>
          <w:color w:val="auto"/>
          <w:sz w:val="22"/>
          <w:highlight w:val="none"/>
          <w:u w:val="single"/>
          <w:lang w:val="zh-CN"/>
        </w:rPr>
        <w:t xml:space="preserve">        </w:t>
      </w:r>
      <w:r>
        <w:rPr>
          <w:rFonts w:hint="eastAsia" w:ascii="宋体" w:cs="仿宋_GB2312"/>
          <w:color w:val="auto"/>
          <w:sz w:val="22"/>
          <w:highlight w:val="none"/>
          <w:u w:val="single"/>
          <w:lang w:val="zh-CN"/>
        </w:rPr>
        <w:t xml:space="preserve">    </w:t>
      </w:r>
      <w:r>
        <w:rPr>
          <w:rFonts w:ascii="宋体" w:cs="仿宋_GB2312"/>
          <w:color w:val="auto"/>
          <w:sz w:val="22"/>
          <w:highlight w:val="none"/>
          <w:u w:val="single"/>
          <w:lang w:val="zh-CN"/>
        </w:rPr>
        <w:t xml:space="preserve">   </w:t>
      </w:r>
      <w:r>
        <w:rPr>
          <w:rFonts w:hint="eastAsia" w:ascii="宋体" w:cs="仿宋_GB2312"/>
          <w:color w:val="auto"/>
          <w:sz w:val="22"/>
          <w:highlight w:val="none"/>
          <w:lang w:val="zh-CN"/>
        </w:rPr>
        <w:t xml:space="preserve">（招标项目名称）（括号内填投标编号） </w:t>
      </w:r>
      <w:r>
        <w:rPr>
          <w:rFonts w:hint="eastAsia" w:ascii="宋体" w:cs="仿宋_GB2312"/>
          <w:color w:val="auto"/>
          <w:sz w:val="22"/>
          <w:highlight w:val="none"/>
          <w:u w:val="single"/>
          <w:lang w:val="zh-CN"/>
        </w:rPr>
        <w:t xml:space="preserve">      </w:t>
      </w:r>
      <w:r>
        <w:rPr>
          <w:rFonts w:hint="eastAsia" w:ascii="宋体" w:cs="仿宋_GB2312"/>
          <w:color w:val="auto"/>
          <w:sz w:val="22"/>
          <w:highlight w:val="none"/>
          <w:lang w:val="zh-CN"/>
        </w:rPr>
        <w:t>招标的有关活动，并对该项目进行投标。为此：</w:t>
      </w:r>
      <w:r>
        <w:rPr>
          <w:rFonts w:ascii="宋体" w:cs="仿宋_GB2312"/>
          <w:color w:val="auto"/>
          <w:sz w:val="22"/>
          <w:highlight w:val="none"/>
          <w:lang w:val="zh-CN"/>
        </w:rPr>
        <w:t xml:space="preserve">    </w:t>
      </w:r>
    </w:p>
    <w:p>
      <w:pPr>
        <w:tabs>
          <w:tab w:val="left" w:pos="803"/>
        </w:tabs>
        <w:autoSpaceDE w:val="0"/>
        <w:autoSpaceDN w:val="0"/>
        <w:adjustRightInd w:val="0"/>
        <w:snapToGrid w:val="0"/>
        <w:spacing w:line="480" w:lineRule="atLeast"/>
        <w:ind w:left="443"/>
        <w:rPr>
          <w:rFonts w:ascii="宋体" w:cs="仿宋_GB2312"/>
          <w:color w:val="auto"/>
          <w:sz w:val="22"/>
          <w:highlight w:val="none"/>
        </w:rPr>
      </w:pPr>
      <w:r>
        <w:rPr>
          <w:rFonts w:hint="eastAsia" w:ascii="宋体" w:cs="仿宋_GB2312"/>
          <w:color w:val="auto"/>
          <w:sz w:val="22"/>
          <w:highlight w:val="none"/>
          <w:lang w:val="zh-CN"/>
        </w:rPr>
        <w:t>1、提供投标须知规定的全部响应文件。</w:t>
      </w:r>
    </w:p>
    <w:p>
      <w:pPr>
        <w:autoSpaceDE w:val="0"/>
        <w:autoSpaceDN w:val="0"/>
        <w:adjustRightInd w:val="0"/>
        <w:snapToGrid w:val="0"/>
        <w:spacing w:line="480" w:lineRule="atLeast"/>
        <w:ind w:firstLine="450"/>
        <w:rPr>
          <w:rFonts w:ascii="宋体"/>
          <w:color w:val="auto"/>
          <w:sz w:val="22"/>
          <w:highlight w:val="none"/>
          <w:u w:val="single"/>
          <w:lang w:val="zh-CN"/>
        </w:rPr>
      </w:pPr>
      <w:bookmarkStart w:id="214" w:name="_Toc356545138"/>
      <w:r>
        <w:rPr>
          <w:rFonts w:hint="eastAsia" w:ascii="宋体" w:cs="仿宋_GB2312"/>
          <w:color w:val="auto"/>
          <w:sz w:val="22"/>
          <w:highlight w:val="none"/>
          <w:lang w:val="zh-CN"/>
        </w:rPr>
        <w:t>2、</w:t>
      </w:r>
      <w:r>
        <w:rPr>
          <w:rFonts w:hint="eastAsia" w:ascii="宋体"/>
          <w:color w:val="auto"/>
          <w:sz w:val="22"/>
          <w:highlight w:val="none"/>
          <w:lang w:val="zh-CN"/>
        </w:rPr>
        <w:t>我方对服务期承诺如下：</w:t>
      </w:r>
      <w:bookmarkEnd w:id="214"/>
      <w:r>
        <w:rPr>
          <w:rFonts w:hint="eastAsia" w:ascii="宋体"/>
          <w:color w:val="auto"/>
          <w:sz w:val="22"/>
          <w:highlight w:val="none"/>
          <w:u w:val="single"/>
        </w:rPr>
        <w:t>按招标文件要求完成本项目</w:t>
      </w:r>
      <w:r>
        <w:rPr>
          <w:rFonts w:hint="eastAsia" w:ascii="宋体"/>
          <w:color w:val="auto"/>
          <w:sz w:val="22"/>
          <w:highlight w:val="none"/>
          <w:u w:val="single"/>
          <w:lang w:val="zh-CN"/>
        </w:rPr>
        <w:t>。</w:t>
      </w:r>
    </w:p>
    <w:p>
      <w:pPr>
        <w:autoSpaceDE w:val="0"/>
        <w:autoSpaceDN w:val="0"/>
        <w:adjustRightInd w:val="0"/>
        <w:snapToGrid w:val="0"/>
        <w:spacing w:line="480" w:lineRule="atLeast"/>
        <w:ind w:firstLine="450"/>
        <w:rPr>
          <w:rFonts w:ascii="宋体" w:cs="仿宋_GB2312"/>
          <w:color w:val="auto"/>
          <w:sz w:val="22"/>
          <w:highlight w:val="none"/>
          <w:lang w:val="zh-CN"/>
        </w:rPr>
      </w:pPr>
      <w:r>
        <w:rPr>
          <w:rFonts w:hint="eastAsia" w:ascii="宋体" w:cs="仿宋_GB2312"/>
          <w:color w:val="auto"/>
          <w:sz w:val="22"/>
          <w:highlight w:val="none"/>
          <w:lang w:val="zh-CN"/>
        </w:rPr>
        <w:t>3、保证遵守采购文件中的有关规定和收费标准。</w:t>
      </w:r>
    </w:p>
    <w:p>
      <w:pPr>
        <w:autoSpaceDE w:val="0"/>
        <w:autoSpaceDN w:val="0"/>
        <w:adjustRightInd w:val="0"/>
        <w:snapToGrid w:val="0"/>
        <w:spacing w:line="480" w:lineRule="atLeast"/>
        <w:ind w:firstLine="465"/>
        <w:rPr>
          <w:rFonts w:ascii="宋体" w:cs="仿宋_GB2312"/>
          <w:color w:val="auto"/>
          <w:sz w:val="22"/>
          <w:highlight w:val="none"/>
          <w:lang w:val="zh-CN"/>
        </w:rPr>
      </w:pPr>
      <w:r>
        <w:rPr>
          <w:rFonts w:hint="eastAsia" w:ascii="宋体" w:cs="仿宋_GB2312"/>
          <w:color w:val="auto"/>
          <w:sz w:val="22"/>
          <w:highlight w:val="none"/>
          <w:lang w:val="zh-CN"/>
        </w:rPr>
        <w:t>4、保证忠实地执行采购人、成交供应商双方所签的合同，并承担合同规定的责任义务。</w:t>
      </w:r>
    </w:p>
    <w:p>
      <w:pPr>
        <w:autoSpaceDE w:val="0"/>
        <w:autoSpaceDN w:val="0"/>
        <w:adjustRightInd w:val="0"/>
        <w:snapToGrid w:val="0"/>
        <w:spacing w:line="480" w:lineRule="atLeast"/>
        <w:ind w:firstLine="465"/>
        <w:rPr>
          <w:rFonts w:ascii="宋体" w:cs="仿宋_GB2312"/>
          <w:color w:val="auto"/>
          <w:sz w:val="22"/>
          <w:highlight w:val="none"/>
          <w:lang w:val="zh-CN"/>
        </w:rPr>
      </w:pPr>
      <w:r>
        <w:rPr>
          <w:rFonts w:hint="eastAsia" w:ascii="宋体" w:cs="仿宋_GB2312"/>
          <w:color w:val="auto"/>
          <w:sz w:val="22"/>
          <w:highlight w:val="none"/>
          <w:lang w:val="zh-CN"/>
        </w:rPr>
        <w:t>5、供应商已详细审查全部采购文件，包括采购文件补充文件（如有）。我方完全理解并同意放弃对这方面有不明及误解的权力。如果采购文件有相互矛盾之处，我方同意按采购人的理解处理。</w:t>
      </w:r>
    </w:p>
    <w:p>
      <w:pPr>
        <w:autoSpaceDE w:val="0"/>
        <w:autoSpaceDN w:val="0"/>
        <w:adjustRightInd w:val="0"/>
        <w:snapToGrid w:val="0"/>
        <w:spacing w:line="480" w:lineRule="atLeast"/>
        <w:ind w:firstLine="450"/>
        <w:rPr>
          <w:rFonts w:ascii="宋体" w:cs="仿宋_GB2312"/>
          <w:color w:val="auto"/>
          <w:sz w:val="22"/>
          <w:highlight w:val="none"/>
          <w:lang w:val="zh-CN"/>
        </w:rPr>
      </w:pPr>
      <w:r>
        <w:rPr>
          <w:rFonts w:hint="eastAsia" w:ascii="宋体" w:cs="仿宋_GB2312"/>
          <w:color w:val="auto"/>
          <w:sz w:val="22"/>
          <w:highlight w:val="none"/>
          <w:lang w:val="zh-CN"/>
        </w:rPr>
        <w:t>6、愿意向贵方提供任何与该项投标有关的数据、情况和技术资料，完全理解贵方不一定接受最低价的投标或收到的任何投标。</w:t>
      </w:r>
    </w:p>
    <w:p>
      <w:pPr>
        <w:autoSpaceDE w:val="0"/>
        <w:autoSpaceDN w:val="0"/>
        <w:adjustRightInd w:val="0"/>
        <w:snapToGrid w:val="0"/>
        <w:spacing w:line="480" w:lineRule="atLeast"/>
        <w:ind w:firstLine="450"/>
        <w:rPr>
          <w:rFonts w:ascii="宋体" w:cs="仿宋_GB2312"/>
          <w:color w:val="auto"/>
          <w:sz w:val="22"/>
          <w:highlight w:val="none"/>
          <w:lang w:val="zh-CN"/>
        </w:rPr>
      </w:pPr>
      <w:r>
        <w:rPr>
          <w:rFonts w:hint="eastAsia" w:ascii="宋体" w:cs="仿宋_GB2312"/>
          <w:color w:val="auto"/>
          <w:sz w:val="22"/>
          <w:highlight w:val="none"/>
          <w:lang w:val="zh-CN"/>
        </w:rPr>
        <w:t>7、利益冲突：近三年内直至目前，我公司与本项目的采购人、采购代理机构没有任何的隶属关系。</w:t>
      </w:r>
    </w:p>
    <w:p>
      <w:pPr>
        <w:autoSpaceDE w:val="0"/>
        <w:autoSpaceDN w:val="0"/>
        <w:adjustRightInd w:val="0"/>
        <w:snapToGrid w:val="0"/>
        <w:spacing w:line="480" w:lineRule="atLeast"/>
        <w:ind w:firstLine="450"/>
        <w:rPr>
          <w:rFonts w:ascii="宋体" w:cs="仿宋_GB2312"/>
          <w:color w:val="auto"/>
          <w:sz w:val="22"/>
          <w:highlight w:val="none"/>
          <w:lang w:val="zh-CN"/>
        </w:rPr>
      </w:pPr>
      <w:r>
        <w:rPr>
          <w:rFonts w:hint="eastAsia" w:ascii="宋体" w:cs="仿宋_GB2312"/>
          <w:color w:val="auto"/>
          <w:sz w:val="22"/>
          <w:highlight w:val="none"/>
          <w:lang w:val="zh-CN"/>
        </w:rPr>
        <w:t>8、</w:t>
      </w:r>
      <w:r>
        <w:rPr>
          <w:rFonts w:hint="eastAsia" w:ascii="宋体"/>
          <w:color w:val="auto"/>
          <w:sz w:val="22"/>
          <w:highlight w:val="none"/>
        </w:rPr>
        <w:t>我单位没有被各地、各级财政部门限制参加政府采购活动或曾被各地、各级财政部门限制参加政府采购活动但已不在限制期内。</w:t>
      </w:r>
    </w:p>
    <w:p>
      <w:pPr>
        <w:autoSpaceDE w:val="0"/>
        <w:autoSpaceDN w:val="0"/>
        <w:adjustRightInd w:val="0"/>
        <w:spacing w:line="440" w:lineRule="atLeast"/>
        <w:ind w:firstLine="450"/>
        <w:rPr>
          <w:rFonts w:ascii="宋体"/>
          <w:color w:val="auto"/>
          <w:sz w:val="22"/>
          <w:highlight w:val="none"/>
          <w:lang w:val="zh-CN"/>
        </w:rPr>
      </w:pPr>
      <w:r>
        <w:rPr>
          <w:rFonts w:hint="eastAsia" w:ascii="宋体" w:cs="新宋体"/>
          <w:color w:val="auto"/>
          <w:sz w:val="22"/>
          <w:szCs w:val="22"/>
          <w:highlight w:val="none"/>
          <w:lang w:val="zh-CN"/>
        </w:rPr>
        <w:t>9、</w:t>
      </w:r>
      <w:r>
        <w:rPr>
          <w:rFonts w:ascii="宋体"/>
          <w:color w:val="auto"/>
          <w:sz w:val="22"/>
          <w:highlight w:val="none"/>
          <w:lang w:val="zh-CN"/>
        </w:rPr>
        <w:t>投标有效期内不撤销投标文件；强行撤销的，承诺按采购预算金额</w:t>
      </w:r>
      <w:r>
        <w:rPr>
          <w:rFonts w:hint="eastAsia" w:ascii="宋体"/>
          <w:color w:val="auto"/>
          <w:sz w:val="22"/>
          <w:highlight w:val="none"/>
          <w:lang w:val="zh-CN"/>
        </w:rPr>
        <w:t>的</w:t>
      </w:r>
      <w:r>
        <w:rPr>
          <w:rFonts w:ascii="宋体"/>
          <w:color w:val="auto"/>
          <w:sz w:val="22"/>
          <w:highlight w:val="none"/>
          <w:lang w:val="zh-CN"/>
        </w:rPr>
        <w:t>2%赔偿对采购组织机构造成</w:t>
      </w:r>
      <w:r>
        <w:rPr>
          <w:rFonts w:hint="eastAsia" w:ascii="宋体"/>
          <w:color w:val="auto"/>
          <w:sz w:val="22"/>
          <w:highlight w:val="none"/>
          <w:lang w:val="zh-CN"/>
        </w:rPr>
        <w:t>的</w:t>
      </w:r>
      <w:r>
        <w:rPr>
          <w:rFonts w:ascii="宋体"/>
          <w:color w:val="auto"/>
          <w:sz w:val="22"/>
          <w:highlight w:val="none"/>
          <w:lang w:val="zh-CN"/>
        </w:rPr>
        <w:t>损失</w:t>
      </w:r>
      <w:r>
        <w:rPr>
          <w:rFonts w:hint="eastAsia" w:ascii="宋体"/>
          <w:color w:val="auto"/>
          <w:sz w:val="22"/>
          <w:highlight w:val="none"/>
          <w:lang w:val="zh-CN"/>
        </w:rPr>
        <w:t>。</w:t>
      </w:r>
    </w:p>
    <w:p>
      <w:pPr>
        <w:autoSpaceDE w:val="0"/>
        <w:autoSpaceDN w:val="0"/>
        <w:adjustRightInd w:val="0"/>
        <w:spacing w:line="440" w:lineRule="atLeast"/>
        <w:ind w:firstLine="450"/>
        <w:rPr>
          <w:rFonts w:ascii="宋体" w:cs="新宋体"/>
          <w:color w:val="auto"/>
          <w:sz w:val="22"/>
          <w:szCs w:val="22"/>
          <w:highlight w:val="none"/>
          <w:lang w:val="zh-CN"/>
        </w:rPr>
      </w:pPr>
      <w:r>
        <w:rPr>
          <w:rFonts w:hint="eastAsia" w:ascii="宋体" w:cs="新宋体"/>
          <w:color w:val="auto"/>
          <w:sz w:val="22"/>
          <w:szCs w:val="22"/>
          <w:highlight w:val="none"/>
          <w:lang w:val="zh-CN"/>
        </w:rPr>
        <w:t>10、中标或者成交后，按采购文件规定与采购人签订合同。拒绝签订合同的，承诺按采购预算金额的 2%对采购人进行赔偿；赔偿金额不足以弥补采购人损失的，承诺继续承担超过部分的损失。</w:t>
      </w:r>
    </w:p>
    <w:p>
      <w:pPr>
        <w:autoSpaceDE w:val="0"/>
        <w:autoSpaceDN w:val="0"/>
        <w:adjustRightInd w:val="0"/>
        <w:spacing w:line="440" w:lineRule="atLeast"/>
        <w:ind w:firstLine="450"/>
        <w:rPr>
          <w:rFonts w:ascii="宋体" w:cs="新宋体"/>
          <w:color w:val="auto"/>
          <w:sz w:val="22"/>
          <w:szCs w:val="22"/>
          <w:highlight w:val="none"/>
          <w:lang w:val="zh-CN"/>
        </w:rPr>
      </w:pPr>
      <w:r>
        <w:rPr>
          <w:rFonts w:hint="eastAsia" w:ascii="宋体" w:cs="新宋体"/>
          <w:color w:val="auto"/>
          <w:sz w:val="22"/>
          <w:szCs w:val="22"/>
          <w:highlight w:val="none"/>
          <w:lang w:val="zh-CN"/>
        </w:rPr>
        <w:t>11、中标或者成交后，按采购文件规定的采购代理服务费标准，承诺在签订合同前向采购代理机构支付采购代理服务费。</w:t>
      </w:r>
    </w:p>
    <w:p>
      <w:pPr>
        <w:autoSpaceDE w:val="0"/>
        <w:autoSpaceDN w:val="0"/>
        <w:adjustRightInd w:val="0"/>
        <w:spacing w:line="440" w:lineRule="atLeast"/>
        <w:ind w:firstLine="450"/>
        <w:rPr>
          <w:rFonts w:ascii="宋体" w:cs="新宋体"/>
          <w:color w:val="auto"/>
          <w:sz w:val="22"/>
          <w:szCs w:val="22"/>
          <w:highlight w:val="none"/>
          <w:lang w:val="zh-CN"/>
        </w:rPr>
      </w:pPr>
      <w:r>
        <w:rPr>
          <w:rFonts w:hint="eastAsia" w:ascii="宋体" w:cs="新宋体"/>
          <w:color w:val="auto"/>
          <w:sz w:val="22"/>
          <w:szCs w:val="22"/>
          <w:highlight w:val="none"/>
          <w:lang w:val="zh-CN"/>
        </w:rPr>
        <w:t>12、本投标自开标之日起90天内有效。</w:t>
      </w:r>
    </w:p>
    <w:p>
      <w:pPr>
        <w:spacing w:line="420" w:lineRule="exact"/>
        <w:ind w:firstLine="418" w:firstLineChars="190"/>
        <w:rPr>
          <w:rFonts w:ascii="宋体" w:cs="新宋体"/>
          <w:color w:val="auto"/>
          <w:sz w:val="22"/>
          <w:highlight w:val="none"/>
        </w:rPr>
      </w:pPr>
      <w:r>
        <w:rPr>
          <w:rFonts w:hint="eastAsia" w:ascii="宋体" w:cs="新宋体"/>
          <w:color w:val="auto"/>
          <w:sz w:val="22"/>
          <w:highlight w:val="none"/>
        </w:rPr>
        <w:t>13、如有列情形之一的，我方愿意被取消成交资格（如成交），同时继续承担其他一切法律后果，并不再寻求任何旨在减轻或免除法律责任的解释：</w:t>
      </w:r>
    </w:p>
    <w:p>
      <w:pPr>
        <w:spacing w:line="420" w:lineRule="exact"/>
        <w:ind w:firstLine="418" w:firstLineChars="190"/>
        <w:rPr>
          <w:rFonts w:ascii="宋体" w:cs="新宋体"/>
          <w:color w:val="auto"/>
          <w:sz w:val="22"/>
          <w:highlight w:val="none"/>
        </w:rPr>
      </w:pPr>
      <w:r>
        <w:rPr>
          <w:rFonts w:hint="eastAsia" w:ascii="宋体" w:cs="新宋体"/>
          <w:color w:val="auto"/>
          <w:sz w:val="22"/>
          <w:highlight w:val="none"/>
        </w:rPr>
        <w:t>(1)提供虚假材料（承诺）谋取成交、成交的；</w:t>
      </w:r>
    </w:p>
    <w:p>
      <w:pPr>
        <w:spacing w:line="420" w:lineRule="exact"/>
        <w:ind w:firstLine="418" w:firstLineChars="190"/>
        <w:rPr>
          <w:rFonts w:ascii="宋体" w:cs="新宋体"/>
          <w:color w:val="auto"/>
          <w:sz w:val="22"/>
          <w:highlight w:val="none"/>
        </w:rPr>
      </w:pPr>
      <w:r>
        <w:rPr>
          <w:rFonts w:hint="eastAsia" w:ascii="宋体" w:cs="新宋体"/>
          <w:color w:val="auto"/>
          <w:sz w:val="22"/>
          <w:highlight w:val="none"/>
        </w:rPr>
        <w:t>(2)采取不正当手段诋毁、排挤其他供应商的；</w:t>
      </w:r>
    </w:p>
    <w:p>
      <w:pPr>
        <w:spacing w:line="420" w:lineRule="exact"/>
        <w:ind w:firstLine="418" w:firstLineChars="190"/>
        <w:rPr>
          <w:rFonts w:ascii="宋体" w:cs="新宋体"/>
          <w:color w:val="auto"/>
          <w:sz w:val="22"/>
          <w:highlight w:val="none"/>
        </w:rPr>
      </w:pPr>
      <w:r>
        <w:rPr>
          <w:rFonts w:hint="eastAsia" w:ascii="宋体" w:cs="新宋体"/>
          <w:color w:val="auto"/>
          <w:sz w:val="22"/>
          <w:highlight w:val="none"/>
        </w:rPr>
        <w:t>(3)与采购人、其它供应商或者采购代理机构恶意串通的；</w:t>
      </w:r>
    </w:p>
    <w:p>
      <w:pPr>
        <w:spacing w:line="420" w:lineRule="exact"/>
        <w:ind w:firstLine="418" w:firstLineChars="190"/>
        <w:rPr>
          <w:rFonts w:ascii="宋体" w:cs="新宋体"/>
          <w:color w:val="auto"/>
          <w:sz w:val="22"/>
          <w:highlight w:val="none"/>
        </w:rPr>
      </w:pPr>
      <w:r>
        <w:rPr>
          <w:rFonts w:hint="eastAsia" w:ascii="宋体" w:cs="新宋体"/>
          <w:color w:val="auto"/>
          <w:sz w:val="22"/>
          <w:highlight w:val="none"/>
        </w:rPr>
        <w:t>(4)向采购人、采购代理机构行贿或者提供其他不正当利益的；</w:t>
      </w:r>
    </w:p>
    <w:p>
      <w:pPr>
        <w:spacing w:line="420" w:lineRule="exact"/>
        <w:ind w:firstLine="418" w:firstLineChars="190"/>
        <w:rPr>
          <w:rFonts w:ascii="宋体" w:cs="新宋体"/>
          <w:color w:val="auto"/>
          <w:sz w:val="22"/>
          <w:highlight w:val="none"/>
        </w:rPr>
      </w:pPr>
      <w:r>
        <w:rPr>
          <w:rFonts w:hint="eastAsia" w:ascii="宋体" w:cs="新宋体"/>
          <w:color w:val="auto"/>
          <w:sz w:val="22"/>
          <w:highlight w:val="none"/>
        </w:rPr>
        <w:t>(5)在招标采购过程中与采购人进行协商谈判的；</w:t>
      </w:r>
    </w:p>
    <w:p>
      <w:pPr>
        <w:spacing w:line="420" w:lineRule="exact"/>
        <w:ind w:firstLine="418" w:firstLineChars="190"/>
        <w:rPr>
          <w:rFonts w:ascii="宋体" w:cs="新宋体"/>
          <w:color w:val="auto"/>
          <w:sz w:val="22"/>
          <w:highlight w:val="none"/>
        </w:rPr>
      </w:pPr>
      <w:r>
        <w:rPr>
          <w:rFonts w:hint="eastAsia" w:ascii="宋体" w:cs="新宋体"/>
          <w:color w:val="auto"/>
          <w:sz w:val="22"/>
          <w:highlight w:val="none"/>
        </w:rPr>
        <w:t>(6)拒绝有关部门监督检查或提供虚假情况的。</w:t>
      </w:r>
    </w:p>
    <w:p>
      <w:pPr>
        <w:autoSpaceDE w:val="0"/>
        <w:autoSpaceDN w:val="0"/>
        <w:adjustRightInd w:val="0"/>
        <w:spacing w:line="440" w:lineRule="atLeast"/>
        <w:ind w:firstLine="450"/>
        <w:rPr>
          <w:rFonts w:ascii="宋体" w:cs="新宋体"/>
          <w:color w:val="auto"/>
          <w:sz w:val="22"/>
          <w:szCs w:val="22"/>
          <w:highlight w:val="none"/>
          <w:lang w:val="zh-CN"/>
        </w:rPr>
      </w:pPr>
      <w:r>
        <w:rPr>
          <w:rFonts w:hint="eastAsia" w:ascii="宋体" w:cs="新宋体"/>
          <w:color w:val="auto"/>
          <w:sz w:val="22"/>
          <w:szCs w:val="22"/>
          <w:highlight w:val="none"/>
          <w:lang w:val="zh-CN"/>
        </w:rPr>
        <w:t>14、与本投标有关的一切往来通讯请寄：</w:t>
      </w:r>
    </w:p>
    <w:p>
      <w:pPr>
        <w:autoSpaceDE w:val="0"/>
        <w:autoSpaceDN w:val="0"/>
        <w:adjustRightInd w:val="0"/>
        <w:spacing w:line="440" w:lineRule="atLeast"/>
        <w:rPr>
          <w:rFonts w:ascii="宋体" w:cs="新宋体"/>
          <w:color w:val="auto"/>
          <w:sz w:val="22"/>
          <w:szCs w:val="22"/>
          <w:highlight w:val="none"/>
          <w:lang w:val="zh-CN"/>
        </w:rPr>
      </w:pPr>
      <w:r>
        <w:rPr>
          <w:rFonts w:hint="eastAsia" w:ascii="宋体" w:cs="新宋体"/>
          <w:color w:val="auto"/>
          <w:sz w:val="22"/>
          <w:szCs w:val="22"/>
          <w:highlight w:val="none"/>
          <w:lang w:val="zh-CN"/>
        </w:rPr>
        <w:t>地址：</w:t>
      </w:r>
      <w:r>
        <w:rPr>
          <w:rFonts w:hint="eastAsia" w:ascii="宋体" w:cs="新宋体"/>
          <w:color w:val="auto"/>
          <w:sz w:val="22"/>
          <w:szCs w:val="22"/>
          <w:highlight w:val="none"/>
          <w:u w:val="single"/>
          <w:lang w:val="zh-CN"/>
        </w:rPr>
        <w:t xml:space="preserve">                                 </w:t>
      </w:r>
    </w:p>
    <w:p>
      <w:pPr>
        <w:autoSpaceDE w:val="0"/>
        <w:autoSpaceDN w:val="0"/>
        <w:adjustRightInd w:val="0"/>
        <w:spacing w:line="440" w:lineRule="atLeast"/>
        <w:rPr>
          <w:rFonts w:ascii="宋体" w:cs="新宋体"/>
          <w:color w:val="auto"/>
          <w:sz w:val="22"/>
          <w:szCs w:val="22"/>
          <w:highlight w:val="none"/>
          <w:lang w:val="zh-CN"/>
        </w:rPr>
      </w:pPr>
      <w:r>
        <w:rPr>
          <w:rFonts w:hint="eastAsia" w:ascii="宋体" w:cs="新宋体"/>
          <w:color w:val="auto"/>
          <w:sz w:val="22"/>
          <w:szCs w:val="22"/>
          <w:highlight w:val="none"/>
          <w:lang w:val="zh-CN"/>
        </w:rPr>
        <w:t>邮编：</w:t>
      </w:r>
      <w:r>
        <w:rPr>
          <w:rFonts w:hint="eastAsia" w:ascii="宋体" w:cs="新宋体"/>
          <w:color w:val="auto"/>
          <w:sz w:val="22"/>
          <w:szCs w:val="22"/>
          <w:highlight w:val="none"/>
          <w:u w:val="single"/>
          <w:lang w:val="zh-CN"/>
        </w:rPr>
        <w:t xml:space="preserve">               </w:t>
      </w:r>
      <w:r>
        <w:rPr>
          <w:rFonts w:hint="eastAsia" w:ascii="宋体" w:cs="新宋体"/>
          <w:color w:val="auto"/>
          <w:sz w:val="22"/>
          <w:szCs w:val="22"/>
          <w:highlight w:val="none"/>
          <w:lang w:val="zh-CN"/>
        </w:rPr>
        <w:t>电话：</w:t>
      </w:r>
      <w:r>
        <w:rPr>
          <w:rFonts w:hint="eastAsia" w:ascii="宋体" w:cs="新宋体"/>
          <w:color w:val="auto"/>
          <w:sz w:val="22"/>
          <w:szCs w:val="22"/>
          <w:highlight w:val="none"/>
          <w:u w:val="single"/>
          <w:lang w:val="zh-CN"/>
        </w:rPr>
        <w:t xml:space="preserve">                 </w:t>
      </w:r>
      <w:r>
        <w:rPr>
          <w:rFonts w:hint="eastAsia" w:ascii="宋体" w:cs="新宋体"/>
          <w:color w:val="auto"/>
          <w:sz w:val="22"/>
          <w:szCs w:val="22"/>
          <w:highlight w:val="none"/>
          <w:lang w:val="zh-CN"/>
        </w:rPr>
        <w:t>传真：</w:t>
      </w:r>
      <w:r>
        <w:rPr>
          <w:rFonts w:hint="eastAsia" w:ascii="宋体" w:cs="新宋体"/>
          <w:color w:val="auto"/>
          <w:sz w:val="22"/>
          <w:szCs w:val="22"/>
          <w:highlight w:val="none"/>
          <w:u w:val="single"/>
          <w:lang w:val="zh-CN"/>
        </w:rPr>
        <w:t xml:space="preserve">                 </w:t>
      </w:r>
    </w:p>
    <w:p>
      <w:pPr>
        <w:autoSpaceDE w:val="0"/>
        <w:autoSpaceDN w:val="0"/>
        <w:adjustRightInd w:val="0"/>
        <w:spacing w:line="440" w:lineRule="atLeast"/>
        <w:ind w:firstLine="1980" w:firstLineChars="900"/>
        <w:rPr>
          <w:rFonts w:ascii="宋体" w:cs="新宋体"/>
          <w:color w:val="auto"/>
          <w:sz w:val="22"/>
          <w:szCs w:val="22"/>
          <w:highlight w:val="none"/>
          <w:lang w:val="zh-CN"/>
        </w:rPr>
      </w:pPr>
    </w:p>
    <w:p>
      <w:pPr>
        <w:autoSpaceDE w:val="0"/>
        <w:autoSpaceDN w:val="0"/>
        <w:adjustRightInd w:val="0"/>
        <w:spacing w:line="440" w:lineRule="atLeast"/>
        <w:jc w:val="left"/>
        <w:rPr>
          <w:rFonts w:ascii="宋体" w:cs="新宋体"/>
          <w:color w:val="auto"/>
          <w:sz w:val="22"/>
          <w:szCs w:val="22"/>
          <w:highlight w:val="none"/>
          <w:lang w:val="zh-CN"/>
        </w:rPr>
      </w:pPr>
      <w:r>
        <w:rPr>
          <w:rFonts w:hint="eastAsia" w:ascii="宋体" w:cs="新宋体"/>
          <w:color w:val="auto"/>
          <w:sz w:val="22"/>
          <w:szCs w:val="22"/>
          <w:highlight w:val="none"/>
          <w:lang w:val="zh-CN"/>
        </w:rPr>
        <w:t>供应商全称（盖章）：</w:t>
      </w:r>
    </w:p>
    <w:p>
      <w:pPr>
        <w:autoSpaceDE w:val="0"/>
        <w:autoSpaceDN w:val="0"/>
        <w:adjustRightInd w:val="0"/>
        <w:spacing w:line="440" w:lineRule="atLeast"/>
        <w:jc w:val="left"/>
        <w:rPr>
          <w:rFonts w:ascii="宋体" w:cs="新宋体"/>
          <w:color w:val="auto"/>
          <w:sz w:val="22"/>
          <w:szCs w:val="22"/>
          <w:highlight w:val="none"/>
          <w:lang w:val="zh-CN"/>
        </w:rPr>
      </w:pPr>
      <w:r>
        <w:rPr>
          <w:rFonts w:hint="eastAsia" w:ascii="宋体"/>
          <w:color w:val="auto"/>
          <w:sz w:val="22"/>
          <w:szCs w:val="22"/>
          <w:highlight w:val="none"/>
        </w:rPr>
        <w:t>法定代表人或授权代表（签字或盖章）</w:t>
      </w:r>
      <w:r>
        <w:rPr>
          <w:rFonts w:hint="eastAsia" w:ascii="宋体" w:cs="新宋体"/>
          <w:color w:val="auto"/>
          <w:sz w:val="22"/>
          <w:szCs w:val="22"/>
          <w:highlight w:val="none"/>
          <w:lang w:val="zh-CN"/>
        </w:rPr>
        <w:t>：</w:t>
      </w:r>
    </w:p>
    <w:p>
      <w:pPr>
        <w:autoSpaceDE w:val="0"/>
        <w:autoSpaceDN w:val="0"/>
        <w:adjustRightInd w:val="0"/>
        <w:spacing w:line="440" w:lineRule="atLeast"/>
        <w:jc w:val="left"/>
        <w:rPr>
          <w:rFonts w:ascii="宋体" w:cs="新宋体"/>
          <w:color w:val="auto"/>
          <w:sz w:val="22"/>
          <w:szCs w:val="22"/>
          <w:highlight w:val="none"/>
          <w:lang w:val="zh-CN"/>
        </w:rPr>
      </w:pPr>
      <w:r>
        <w:rPr>
          <w:rFonts w:hint="eastAsia" w:ascii="宋体" w:cs="新宋体"/>
          <w:color w:val="auto"/>
          <w:sz w:val="22"/>
          <w:szCs w:val="22"/>
          <w:highlight w:val="none"/>
          <w:lang w:val="zh-CN"/>
        </w:rPr>
        <w:t>日期：</w:t>
      </w:r>
    </w:p>
    <w:p>
      <w:pPr>
        <w:autoSpaceDE w:val="0"/>
        <w:autoSpaceDN w:val="0"/>
        <w:adjustRightInd w:val="0"/>
        <w:snapToGrid w:val="0"/>
        <w:spacing w:line="480" w:lineRule="atLeast"/>
        <w:ind w:firstLine="440" w:firstLineChars="200"/>
        <w:jc w:val="left"/>
        <w:rPr>
          <w:rFonts w:ascii="宋体" w:cs="仿宋_GB2312"/>
          <w:color w:val="auto"/>
          <w:sz w:val="22"/>
          <w:highlight w:val="none"/>
          <w:lang w:val="zh-CN"/>
        </w:rPr>
      </w:pPr>
    </w:p>
    <w:p>
      <w:pPr>
        <w:widowControl/>
        <w:spacing w:line="460" w:lineRule="atLeast"/>
        <w:jc w:val="left"/>
        <w:rPr>
          <w:rFonts w:ascii="宋体"/>
          <w:b/>
          <w:bCs/>
          <w:color w:val="auto"/>
          <w:sz w:val="22"/>
          <w:szCs w:val="22"/>
          <w:highlight w:val="none"/>
        </w:rPr>
      </w:pPr>
      <w:r>
        <w:rPr>
          <w:rFonts w:ascii="宋体"/>
          <w:bCs/>
          <w:color w:val="auto"/>
          <w:sz w:val="22"/>
          <w:szCs w:val="22"/>
          <w:highlight w:val="none"/>
        </w:rPr>
        <w:br w:type="page"/>
      </w:r>
      <w:r>
        <w:rPr>
          <w:rFonts w:hint="eastAsia" w:ascii="宋体"/>
          <w:b/>
          <w:bCs/>
          <w:color w:val="auto"/>
          <w:sz w:val="22"/>
          <w:szCs w:val="22"/>
          <w:highlight w:val="none"/>
        </w:rPr>
        <w:t>附件十一</w:t>
      </w:r>
    </w:p>
    <w:p>
      <w:pPr>
        <w:tabs>
          <w:tab w:val="left" w:pos="1080"/>
        </w:tabs>
        <w:autoSpaceDE w:val="0"/>
        <w:autoSpaceDN w:val="0"/>
        <w:adjustRightInd w:val="0"/>
        <w:spacing w:line="440" w:lineRule="atLeast"/>
        <w:jc w:val="center"/>
        <w:rPr>
          <w:rFonts w:ascii="宋体" w:cs="新宋体"/>
          <w:b/>
          <w:color w:val="auto"/>
          <w:sz w:val="32"/>
          <w:szCs w:val="32"/>
          <w:highlight w:val="none"/>
          <w:lang w:val="zh-CN"/>
        </w:rPr>
      </w:pPr>
      <w:r>
        <w:rPr>
          <w:rFonts w:hint="eastAsia" w:ascii="宋体" w:cs="新宋体"/>
          <w:b/>
          <w:color w:val="auto"/>
          <w:sz w:val="32"/>
          <w:szCs w:val="32"/>
          <w:highlight w:val="none"/>
          <w:lang w:val="zh-CN"/>
        </w:rPr>
        <w:t>法定代表人诚信投标承诺书</w:t>
      </w:r>
    </w:p>
    <w:p>
      <w:pPr>
        <w:spacing w:line="360" w:lineRule="auto"/>
        <w:jc w:val="left"/>
        <w:rPr>
          <w:rFonts w:ascii="宋体" w:cs="新宋体"/>
          <w:color w:val="auto"/>
          <w:sz w:val="24"/>
          <w:highlight w:val="none"/>
        </w:rPr>
      </w:pPr>
    </w:p>
    <w:p>
      <w:pPr>
        <w:spacing w:line="460" w:lineRule="atLeast"/>
        <w:jc w:val="left"/>
        <w:rPr>
          <w:rFonts w:ascii="宋体" w:cs="新宋体"/>
          <w:color w:val="auto"/>
          <w:sz w:val="22"/>
          <w:szCs w:val="22"/>
          <w:highlight w:val="none"/>
        </w:rPr>
      </w:pPr>
      <w:r>
        <w:rPr>
          <w:rFonts w:hint="eastAsia" w:ascii="宋体" w:cs="新宋体"/>
          <w:color w:val="auto"/>
          <w:sz w:val="22"/>
          <w:szCs w:val="22"/>
          <w:highlight w:val="none"/>
        </w:rPr>
        <w:t>本人以企业法定代表人的身份郑重承诺：</w:t>
      </w:r>
    </w:p>
    <w:p>
      <w:pPr>
        <w:spacing w:line="460" w:lineRule="atLeast"/>
        <w:ind w:firstLine="440" w:firstLineChars="200"/>
        <w:jc w:val="left"/>
        <w:rPr>
          <w:rFonts w:ascii="宋体" w:cs="新宋体"/>
          <w:color w:val="auto"/>
          <w:sz w:val="22"/>
          <w:szCs w:val="22"/>
          <w:highlight w:val="none"/>
        </w:rPr>
      </w:pPr>
      <w:r>
        <w:rPr>
          <w:rFonts w:hint="eastAsia" w:ascii="宋体" w:cs="新宋体"/>
          <w:color w:val="auto"/>
          <w:sz w:val="22"/>
          <w:szCs w:val="22"/>
          <w:highlight w:val="none"/>
        </w:rPr>
        <w:t>将遵循公开、公平、公正和诚信信用的原则参加</w:t>
      </w:r>
      <w:r>
        <w:rPr>
          <w:rFonts w:hint="eastAsia" w:ascii="宋体" w:cs="新宋体"/>
          <w:color w:val="auto"/>
          <w:sz w:val="22"/>
          <w:szCs w:val="22"/>
          <w:highlight w:val="none"/>
          <w:u w:val="single"/>
        </w:rPr>
        <w:t xml:space="preserve">              项目（项目编号：   ）</w:t>
      </w:r>
      <w:r>
        <w:rPr>
          <w:rFonts w:hint="eastAsia" w:ascii="宋体" w:cs="新宋体"/>
          <w:color w:val="auto"/>
          <w:sz w:val="22"/>
          <w:szCs w:val="22"/>
          <w:highlight w:val="none"/>
        </w:rPr>
        <w:t>的投标；</w:t>
      </w:r>
    </w:p>
    <w:p>
      <w:pPr>
        <w:spacing w:line="460" w:lineRule="atLeast"/>
        <w:ind w:firstLine="440" w:firstLineChars="200"/>
        <w:jc w:val="left"/>
        <w:rPr>
          <w:rFonts w:ascii="宋体" w:cs="新宋体"/>
          <w:color w:val="auto"/>
          <w:sz w:val="22"/>
          <w:szCs w:val="22"/>
          <w:highlight w:val="none"/>
          <w:u w:val="single"/>
        </w:rPr>
      </w:pPr>
      <w:r>
        <w:rPr>
          <w:rFonts w:hint="eastAsia" w:ascii="宋体" w:cs="新宋体"/>
          <w:color w:val="auto"/>
          <w:sz w:val="22"/>
          <w:szCs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40" w:firstLineChars="200"/>
        <w:jc w:val="left"/>
        <w:rPr>
          <w:rFonts w:ascii="宋体" w:cs="新宋体"/>
          <w:color w:val="auto"/>
          <w:sz w:val="22"/>
          <w:szCs w:val="22"/>
          <w:highlight w:val="none"/>
        </w:rPr>
      </w:pPr>
      <w:r>
        <w:rPr>
          <w:rFonts w:hint="eastAsia" w:ascii="宋体" w:cs="新宋体"/>
          <w:color w:val="auto"/>
          <w:sz w:val="22"/>
          <w:szCs w:val="22"/>
          <w:highlight w:val="none"/>
        </w:rPr>
        <w:t>二、投标文件所提供的一切材料都是真实、有效、合法的。</w:t>
      </w:r>
    </w:p>
    <w:p>
      <w:pPr>
        <w:spacing w:line="460" w:lineRule="atLeast"/>
        <w:ind w:firstLine="440" w:firstLineChars="200"/>
        <w:jc w:val="left"/>
        <w:rPr>
          <w:rFonts w:ascii="宋体" w:cs="新宋体"/>
          <w:color w:val="auto"/>
          <w:sz w:val="22"/>
          <w:szCs w:val="22"/>
          <w:highlight w:val="none"/>
        </w:rPr>
      </w:pPr>
      <w:r>
        <w:rPr>
          <w:rFonts w:hint="eastAsia" w:ascii="宋体" w:cs="新宋体"/>
          <w:color w:val="auto"/>
          <w:sz w:val="22"/>
          <w:szCs w:val="22"/>
          <w:highlight w:val="none"/>
        </w:rPr>
        <w:t>三、不与其他投标人相互串通投标报价，不排挤其他投标人的公平竞争，不损害招标人或其他投标人的合法权益。</w:t>
      </w:r>
    </w:p>
    <w:p>
      <w:pPr>
        <w:spacing w:line="460" w:lineRule="atLeast"/>
        <w:ind w:firstLine="440" w:firstLineChars="200"/>
        <w:jc w:val="left"/>
        <w:rPr>
          <w:rFonts w:ascii="宋体" w:cs="新宋体"/>
          <w:color w:val="auto"/>
          <w:sz w:val="22"/>
          <w:szCs w:val="22"/>
          <w:highlight w:val="none"/>
        </w:rPr>
      </w:pPr>
      <w:r>
        <w:rPr>
          <w:rFonts w:hint="eastAsia" w:ascii="宋体" w:cs="新宋体"/>
          <w:color w:val="auto"/>
          <w:sz w:val="22"/>
          <w:szCs w:val="22"/>
          <w:highlight w:val="none"/>
        </w:rPr>
        <w:t>四、不与采购人或采购代理机构串通投标，不损害国家利益，社会公共利益或其他人的合法权益。</w:t>
      </w:r>
    </w:p>
    <w:p>
      <w:pPr>
        <w:spacing w:line="460" w:lineRule="atLeast"/>
        <w:ind w:firstLine="440" w:firstLineChars="200"/>
        <w:jc w:val="left"/>
        <w:rPr>
          <w:rFonts w:ascii="宋体" w:cs="新宋体"/>
          <w:color w:val="auto"/>
          <w:sz w:val="22"/>
          <w:szCs w:val="22"/>
          <w:highlight w:val="none"/>
        </w:rPr>
      </w:pPr>
      <w:r>
        <w:rPr>
          <w:rFonts w:hint="eastAsia" w:ascii="宋体" w:cs="新宋体"/>
          <w:color w:val="auto"/>
          <w:sz w:val="22"/>
          <w:szCs w:val="22"/>
          <w:highlight w:val="none"/>
        </w:rPr>
        <w:t>五、不向采购人或者评标委员会成员行贿以牟取中标。</w:t>
      </w:r>
    </w:p>
    <w:p>
      <w:pPr>
        <w:spacing w:line="460" w:lineRule="atLeast"/>
        <w:ind w:firstLine="440" w:firstLineChars="200"/>
        <w:jc w:val="left"/>
        <w:rPr>
          <w:rFonts w:ascii="宋体" w:cs="新宋体"/>
          <w:color w:val="auto"/>
          <w:sz w:val="22"/>
          <w:szCs w:val="22"/>
          <w:highlight w:val="none"/>
        </w:rPr>
      </w:pPr>
      <w:r>
        <w:rPr>
          <w:rFonts w:hint="eastAsia" w:ascii="宋体" w:cs="新宋体"/>
          <w:color w:val="auto"/>
          <w:sz w:val="22"/>
          <w:szCs w:val="22"/>
          <w:highlight w:val="none"/>
        </w:rPr>
        <w:t>六、不以其他人名义投标或者以其他方式弄虚作假，骗取中标。</w:t>
      </w:r>
    </w:p>
    <w:p>
      <w:pPr>
        <w:spacing w:line="460" w:lineRule="atLeast"/>
        <w:ind w:firstLine="440" w:firstLineChars="200"/>
        <w:jc w:val="left"/>
        <w:rPr>
          <w:rFonts w:ascii="宋体" w:cs="新宋体"/>
          <w:color w:val="auto"/>
          <w:sz w:val="22"/>
          <w:szCs w:val="22"/>
          <w:highlight w:val="none"/>
        </w:rPr>
      </w:pPr>
      <w:r>
        <w:rPr>
          <w:rFonts w:hint="eastAsia" w:ascii="宋体" w:cs="新宋体"/>
          <w:color w:val="auto"/>
          <w:sz w:val="22"/>
          <w:szCs w:val="22"/>
          <w:highlight w:val="none"/>
        </w:rPr>
        <w:t>七、不在开标后进行虚假恶意投诉。</w:t>
      </w:r>
    </w:p>
    <w:p>
      <w:pPr>
        <w:spacing w:line="460" w:lineRule="atLeast"/>
        <w:ind w:firstLine="440" w:firstLineChars="200"/>
        <w:jc w:val="left"/>
        <w:rPr>
          <w:rFonts w:ascii="宋体" w:cs="新宋体"/>
          <w:color w:val="auto"/>
          <w:sz w:val="22"/>
          <w:szCs w:val="22"/>
          <w:highlight w:val="none"/>
        </w:rPr>
      </w:pPr>
      <w:r>
        <w:rPr>
          <w:rFonts w:hint="eastAsia" w:ascii="宋体" w:cs="新宋体"/>
          <w:color w:val="auto"/>
          <w:sz w:val="22"/>
          <w:szCs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60" w:lineRule="atLeast"/>
        <w:ind w:firstLine="440" w:firstLineChars="200"/>
        <w:jc w:val="left"/>
        <w:rPr>
          <w:rFonts w:ascii="宋体" w:cs="新宋体"/>
          <w:color w:val="auto"/>
          <w:sz w:val="22"/>
          <w:szCs w:val="22"/>
          <w:highlight w:val="none"/>
        </w:rPr>
      </w:pPr>
      <w:r>
        <w:rPr>
          <w:rFonts w:hint="eastAsia" w:ascii="宋体" w:cs="新宋体"/>
          <w:color w:val="auto"/>
          <w:sz w:val="22"/>
          <w:szCs w:val="22"/>
          <w:highlight w:val="none"/>
        </w:rPr>
        <w:t xml:space="preserve">九、没有被各地、各级财政部门禁止参加政府采购活动，且在限制期限内：    </w:t>
      </w:r>
    </w:p>
    <w:p>
      <w:pPr>
        <w:spacing w:line="460" w:lineRule="atLeast"/>
        <w:ind w:firstLine="440" w:firstLineChars="200"/>
        <w:jc w:val="left"/>
        <w:rPr>
          <w:rFonts w:ascii="宋体" w:cs="新宋体"/>
          <w:color w:val="auto"/>
          <w:sz w:val="22"/>
          <w:szCs w:val="22"/>
          <w:highlight w:val="none"/>
        </w:rPr>
      </w:pPr>
      <w:r>
        <w:rPr>
          <w:rFonts w:hint="eastAsia" w:ascii="宋体" w:cs="新宋体"/>
          <w:color w:val="auto"/>
          <w:sz w:val="22"/>
          <w:szCs w:val="22"/>
          <w:highlight w:val="none"/>
        </w:rPr>
        <w:t>十、参与本项目政府采购活动3年内没有重大违法记录情况。</w:t>
      </w:r>
    </w:p>
    <w:p>
      <w:pPr>
        <w:spacing w:line="460" w:lineRule="atLeast"/>
        <w:ind w:firstLine="440" w:firstLineChars="200"/>
        <w:rPr>
          <w:rFonts w:ascii="宋体" w:cs="新宋体"/>
          <w:color w:val="auto"/>
          <w:sz w:val="22"/>
          <w:szCs w:val="22"/>
          <w:highlight w:val="none"/>
        </w:rPr>
      </w:pPr>
      <w:r>
        <w:rPr>
          <w:rFonts w:hint="eastAsia" w:ascii="宋体" w:cs="新宋体"/>
          <w:color w:val="auto"/>
          <w:sz w:val="22"/>
          <w:szCs w:val="22"/>
          <w:highlight w:val="none"/>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2970" w:firstLineChars="1350"/>
        <w:rPr>
          <w:rFonts w:ascii="宋体" w:cs="新宋体"/>
          <w:color w:val="auto"/>
          <w:sz w:val="22"/>
          <w:szCs w:val="22"/>
          <w:highlight w:val="none"/>
        </w:rPr>
      </w:pPr>
      <w:r>
        <w:rPr>
          <w:rFonts w:hint="eastAsia" w:ascii="宋体"/>
          <w:color w:val="auto"/>
          <w:sz w:val="22"/>
          <w:szCs w:val="22"/>
          <w:highlight w:val="none"/>
        </w:rPr>
        <w:t>法定代表人或授权代表（签字或盖章）：</w:t>
      </w:r>
    </w:p>
    <w:p>
      <w:pPr>
        <w:spacing w:line="460" w:lineRule="atLeast"/>
        <w:ind w:right="1120" w:firstLine="2970" w:firstLineChars="1350"/>
        <w:rPr>
          <w:rFonts w:ascii="宋体" w:cs="新宋体"/>
          <w:color w:val="auto"/>
          <w:sz w:val="22"/>
          <w:szCs w:val="22"/>
          <w:highlight w:val="none"/>
        </w:rPr>
      </w:pPr>
      <w:r>
        <w:rPr>
          <w:rFonts w:hint="eastAsia" w:ascii="宋体" w:cs="新宋体"/>
          <w:color w:val="auto"/>
          <w:sz w:val="22"/>
          <w:szCs w:val="22"/>
          <w:highlight w:val="none"/>
        </w:rPr>
        <w:t>投标供应商（盖章）</w:t>
      </w:r>
    </w:p>
    <w:p>
      <w:pPr>
        <w:spacing w:line="460" w:lineRule="atLeast"/>
        <w:ind w:right="1120" w:firstLine="2970" w:firstLineChars="1350"/>
        <w:rPr>
          <w:rFonts w:ascii="宋体" w:cs="新宋体"/>
          <w:color w:val="auto"/>
          <w:highlight w:val="none"/>
        </w:rPr>
      </w:pPr>
      <w:r>
        <w:rPr>
          <w:rFonts w:hint="eastAsia" w:ascii="宋体" w:cs="新宋体"/>
          <w:color w:val="auto"/>
          <w:sz w:val="22"/>
          <w:szCs w:val="22"/>
          <w:highlight w:val="none"/>
        </w:rPr>
        <w:t>承诺书签署日期：         年  月  日</w:t>
      </w:r>
    </w:p>
    <w:p>
      <w:pPr>
        <w:spacing w:line="360" w:lineRule="exact"/>
        <w:jc w:val="left"/>
        <w:rPr>
          <w:rFonts w:ascii="宋体" w:cs="新宋体"/>
          <w:bCs/>
          <w:color w:val="auto"/>
          <w:sz w:val="22"/>
          <w:szCs w:val="22"/>
          <w:highlight w:val="none"/>
          <w:u w:val="single"/>
        </w:rPr>
      </w:pPr>
    </w:p>
    <w:p>
      <w:pPr>
        <w:spacing w:line="360" w:lineRule="exact"/>
        <w:jc w:val="left"/>
        <w:rPr>
          <w:rFonts w:ascii="宋体" w:cs="新宋体"/>
          <w:b/>
          <w:color w:val="auto"/>
          <w:sz w:val="30"/>
          <w:highlight w:val="none"/>
        </w:rPr>
      </w:pPr>
      <w:r>
        <w:rPr>
          <w:rFonts w:hint="eastAsia" w:ascii="宋体" w:cs="新宋体"/>
          <w:b/>
          <w:bCs/>
          <w:color w:val="auto"/>
          <w:sz w:val="22"/>
          <w:szCs w:val="22"/>
          <w:highlight w:val="none"/>
          <w:u w:val="single"/>
        </w:rPr>
        <w:t>备注：▲投标供应商必须提供本承诺书，不提供按无效投标处理。</w:t>
      </w:r>
    </w:p>
    <w:p>
      <w:pPr>
        <w:tabs>
          <w:tab w:val="left" w:pos="2520"/>
        </w:tabs>
        <w:spacing w:line="440" w:lineRule="exact"/>
        <w:outlineLvl w:val="0"/>
        <w:rPr>
          <w:rFonts w:ascii="宋体" w:cs="新宋体"/>
          <w:color w:val="auto"/>
          <w:highlight w:val="none"/>
        </w:rPr>
      </w:pPr>
    </w:p>
    <w:p>
      <w:pPr>
        <w:tabs>
          <w:tab w:val="left" w:pos="2520"/>
        </w:tabs>
        <w:spacing w:line="440" w:lineRule="exact"/>
        <w:outlineLvl w:val="0"/>
        <w:rPr>
          <w:rFonts w:ascii="宋体" w:cs="新宋体"/>
          <w:color w:val="auto"/>
          <w:highlight w:val="none"/>
        </w:rPr>
      </w:pPr>
    </w:p>
    <w:p>
      <w:pPr>
        <w:spacing w:line="360" w:lineRule="exact"/>
        <w:jc w:val="left"/>
        <w:rPr>
          <w:rFonts w:ascii="宋体"/>
          <w:b/>
          <w:bCs/>
          <w:color w:val="auto"/>
          <w:sz w:val="22"/>
          <w:szCs w:val="22"/>
          <w:highlight w:val="none"/>
        </w:rPr>
      </w:pPr>
      <w:r>
        <w:rPr>
          <w:rFonts w:ascii="宋体"/>
          <w:color w:val="auto"/>
          <w:sz w:val="22"/>
          <w:szCs w:val="22"/>
          <w:highlight w:val="none"/>
        </w:rPr>
        <w:br w:type="page"/>
      </w:r>
      <w:r>
        <w:rPr>
          <w:rFonts w:hint="eastAsia" w:ascii="宋体"/>
          <w:b/>
          <w:color w:val="auto"/>
          <w:sz w:val="22"/>
          <w:szCs w:val="22"/>
          <w:highlight w:val="none"/>
        </w:rPr>
        <w:t>附件十二</w:t>
      </w:r>
    </w:p>
    <w:p>
      <w:pPr>
        <w:tabs>
          <w:tab w:val="left" w:pos="1080"/>
        </w:tabs>
        <w:autoSpaceDE w:val="0"/>
        <w:autoSpaceDN w:val="0"/>
        <w:adjustRightInd w:val="0"/>
        <w:spacing w:line="440" w:lineRule="atLeast"/>
        <w:jc w:val="center"/>
        <w:rPr>
          <w:rFonts w:ascii="宋体" w:cs="仿宋_GB2312"/>
          <w:b/>
          <w:color w:val="auto"/>
          <w:sz w:val="32"/>
          <w:szCs w:val="32"/>
          <w:highlight w:val="none"/>
          <w:lang w:val="zh-CN"/>
        </w:rPr>
      </w:pPr>
      <w:r>
        <w:rPr>
          <w:rFonts w:hint="eastAsia" w:ascii="宋体" w:cs="仿宋_GB2312"/>
          <w:b/>
          <w:color w:val="auto"/>
          <w:sz w:val="32"/>
          <w:szCs w:val="32"/>
          <w:highlight w:val="none"/>
          <w:lang w:val="zh-CN"/>
        </w:rPr>
        <w:t>类似业绩（时间以签订的时间为准）</w:t>
      </w:r>
    </w:p>
    <w:p>
      <w:pPr>
        <w:spacing w:line="460" w:lineRule="exact"/>
        <w:rPr>
          <w:rFonts w:ascii="宋体"/>
          <w:color w:val="auto"/>
          <w:sz w:val="22"/>
          <w:szCs w:val="22"/>
          <w:highlight w:val="none"/>
        </w:rPr>
      </w:pPr>
      <w:r>
        <w:rPr>
          <w:rFonts w:hint="eastAsia" w:ascii="宋体"/>
          <w:color w:val="auto"/>
          <w:sz w:val="22"/>
          <w:szCs w:val="22"/>
          <w:highlight w:val="none"/>
        </w:rPr>
        <w:t>项目名称：                                              项目编号：</w:t>
      </w:r>
    </w:p>
    <w:tbl>
      <w:tblPr>
        <w:tblStyle w:val="41"/>
        <w:tblW w:w="938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aps/>
                <w:color w:val="auto"/>
                <w:spacing w:val="20"/>
                <w:sz w:val="22"/>
                <w:szCs w:val="22"/>
                <w:highlight w:val="none"/>
              </w:rPr>
              <w:t>序号</w:t>
            </w:r>
          </w:p>
        </w:tc>
        <w:tc>
          <w:tcPr>
            <w:tcW w:w="1285" w:type="dxa"/>
            <w:vAlign w:val="center"/>
          </w:tcPr>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szCs w:val="22"/>
                <w:highlight w:val="none"/>
              </w:rPr>
              <w:t>采购单位</w:t>
            </w:r>
          </w:p>
        </w:tc>
        <w:tc>
          <w:tcPr>
            <w:tcW w:w="1299" w:type="dxa"/>
            <w:vAlign w:val="center"/>
          </w:tcPr>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aps/>
                <w:color w:val="auto"/>
                <w:spacing w:val="20"/>
                <w:sz w:val="22"/>
                <w:szCs w:val="22"/>
                <w:highlight w:val="none"/>
              </w:rPr>
              <w:t>项目名称</w:t>
            </w:r>
          </w:p>
        </w:tc>
        <w:tc>
          <w:tcPr>
            <w:tcW w:w="1355" w:type="dxa"/>
            <w:vAlign w:val="center"/>
          </w:tcPr>
          <w:p>
            <w:pPr>
              <w:tabs>
                <w:tab w:val="left" w:pos="4140"/>
              </w:tabs>
              <w:adjustRightInd w:val="0"/>
              <w:snapToGrid w:val="0"/>
              <w:spacing w:line="320" w:lineRule="atLeast"/>
              <w:jc w:val="center"/>
              <w:rPr>
                <w:rFonts w:ascii="宋体"/>
                <w:caps/>
                <w:color w:val="auto"/>
                <w:spacing w:val="20"/>
                <w:sz w:val="22"/>
                <w:highlight w:val="none"/>
              </w:rPr>
            </w:pPr>
            <w:r>
              <w:rPr>
                <w:rFonts w:hint="eastAsia" w:ascii="宋体"/>
                <w:caps/>
                <w:color w:val="auto"/>
                <w:spacing w:val="20"/>
                <w:sz w:val="22"/>
                <w:szCs w:val="22"/>
                <w:highlight w:val="none"/>
              </w:rPr>
              <w:t>合同金额</w:t>
            </w:r>
          </w:p>
        </w:tc>
        <w:tc>
          <w:tcPr>
            <w:tcW w:w="1296" w:type="dxa"/>
            <w:vAlign w:val="center"/>
          </w:tcPr>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szCs w:val="22"/>
                <w:highlight w:val="none"/>
              </w:rPr>
              <w:t>签约日期</w:t>
            </w: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szCs w:val="22"/>
                <w:highlight w:val="none"/>
              </w:rPr>
              <w:t>联系人</w:t>
            </w:r>
          </w:p>
        </w:tc>
        <w:tc>
          <w:tcPr>
            <w:tcW w:w="1271" w:type="dxa"/>
            <w:vAlign w:val="center"/>
          </w:tcPr>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szCs w:val="22"/>
                <w:highlight w:val="none"/>
              </w:rPr>
              <w:t>联系电话</w:t>
            </w: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r>
              <w:rPr>
                <w:rFonts w:hint="eastAsia" w:ascii="宋体"/>
                <w:color w:val="auto"/>
                <w:spacing w:val="2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74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8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9"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355"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96"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271" w:type="dxa"/>
            <w:vAlign w:val="center"/>
          </w:tcPr>
          <w:p>
            <w:pPr>
              <w:tabs>
                <w:tab w:val="left" w:pos="4140"/>
              </w:tabs>
              <w:adjustRightInd w:val="0"/>
              <w:snapToGrid w:val="0"/>
              <w:spacing w:line="320" w:lineRule="atLeast"/>
              <w:jc w:val="center"/>
              <w:rPr>
                <w:rFonts w:ascii="宋体"/>
                <w:color w:val="auto"/>
                <w:spacing w:val="20"/>
                <w:sz w:val="22"/>
                <w:highlight w:val="none"/>
              </w:rPr>
            </w:pPr>
          </w:p>
        </w:tc>
        <w:tc>
          <w:tcPr>
            <w:tcW w:w="1064" w:type="dxa"/>
            <w:vAlign w:val="center"/>
          </w:tcPr>
          <w:p>
            <w:pPr>
              <w:tabs>
                <w:tab w:val="left" w:pos="4140"/>
              </w:tabs>
              <w:adjustRightInd w:val="0"/>
              <w:snapToGrid w:val="0"/>
              <w:spacing w:line="320" w:lineRule="atLeast"/>
              <w:jc w:val="center"/>
              <w:rPr>
                <w:rFonts w:ascii="宋体"/>
                <w:color w:val="auto"/>
                <w:spacing w:val="20"/>
                <w:sz w:val="22"/>
                <w:highlight w:val="none"/>
              </w:rPr>
            </w:pPr>
          </w:p>
        </w:tc>
      </w:tr>
    </w:tbl>
    <w:p>
      <w:pPr>
        <w:spacing w:line="460" w:lineRule="exact"/>
        <w:ind w:left="755" w:hanging="754" w:hangingChars="343"/>
        <w:rPr>
          <w:rFonts w:ascii="宋体"/>
          <w:bCs/>
          <w:color w:val="auto"/>
          <w:sz w:val="22"/>
          <w:szCs w:val="22"/>
          <w:highlight w:val="none"/>
        </w:rPr>
      </w:pPr>
      <w:r>
        <w:rPr>
          <w:rFonts w:hint="eastAsia" w:ascii="宋体"/>
          <w:color w:val="auto"/>
          <w:sz w:val="22"/>
          <w:szCs w:val="22"/>
          <w:highlight w:val="none"/>
        </w:rPr>
        <w:t>注：投标供应商可按此表格式复制，需后附合同</w:t>
      </w:r>
      <w:r>
        <w:rPr>
          <w:rFonts w:hint="eastAsia" w:ascii="宋体"/>
          <w:color w:val="auto"/>
          <w:sz w:val="22"/>
          <w:szCs w:val="22"/>
          <w:highlight w:val="none"/>
          <w:lang w:eastAsia="zh-CN"/>
        </w:rPr>
        <w:t>扫描件</w:t>
      </w:r>
      <w:r>
        <w:rPr>
          <w:rFonts w:hint="eastAsia" w:ascii="宋体"/>
          <w:color w:val="auto"/>
          <w:sz w:val="22"/>
          <w:szCs w:val="22"/>
          <w:highlight w:val="none"/>
        </w:rPr>
        <w:t>加盖公章。</w:t>
      </w:r>
    </w:p>
    <w:p>
      <w:pPr>
        <w:spacing w:line="460" w:lineRule="exact"/>
        <w:ind w:left="755" w:hanging="754" w:hangingChars="343"/>
        <w:rPr>
          <w:rFonts w:ascii="宋体"/>
          <w:bCs/>
          <w:color w:val="auto"/>
          <w:sz w:val="22"/>
          <w:szCs w:val="22"/>
          <w:highlight w:val="none"/>
        </w:rPr>
      </w:pPr>
    </w:p>
    <w:p>
      <w:pPr>
        <w:spacing w:line="440" w:lineRule="atLeast"/>
        <w:rPr>
          <w:rFonts w:ascii="宋体"/>
          <w:color w:val="auto"/>
          <w:sz w:val="22"/>
          <w:szCs w:val="22"/>
          <w:highlight w:val="none"/>
        </w:rPr>
      </w:pPr>
      <w:r>
        <w:rPr>
          <w:rFonts w:hint="eastAsia" w:ascii="宋体"/>
          <w:color w:val="auto"/>
          <w:sz w:val="22"/>
          <w:szCs w:val="22"/>
          <w:highlight w:val="none"/>
        </w:rPr>
        <w:t>供应商全称（盖章）：</w:t>
      </w:r>
    </w:p>
    <w:p>
      <w:pPr>
        <w:spacing w:line="440" w:lineRule="atLeast"/>
        <w:rPr>
          <w:rFonts w:ascii="宋体"/>
          <w:color w:val="auto"/>
          <w:sz w:val="22"/>
          <w:szCs w:val="22"/>
          <w:highlight w:val="none"/>
        </w:rPr>
      </w:pPr>
      <w:r>
        <w:rPr>
          <w:rFonts w:hint="eastAsia" w:ascii="宋体"/>
          <w:color w:val="auto"/>
          <w:sz w:val="22"/>
          <w:szCs w:val="22"/>
          <w:highlight w:val="none"/>
        </w:rPr>
        <w:t>法定代表人或授权代表（签字或盖章）：</w:t>
      </w:r>
    </w:p>
    <w:p>
      <w:pPr>
        <w:autoSpaceDE w:val="0"/>
        <w:autoSpaceDN w:val="0"/>
        <w:adjustRightInd w:val="0"/>
        <w:spacing w:line="460" w:lineRule="atLeast"/>
        <w:rPr>
          <w:rFonts w:ascii="宋体"/>
          <w:color w:val="auto"/>
          <w:sz w:val="22"/>
          <w:szCs w:val="22"/>
          <w:highlight w:val="none"/>
        </w:rPr>
      </w:pPr>
      <w:r>
        <w:rPr>
          <w:rFonts w:hint="eastAsia" w:ascii="宋体"/>
          <w:color w:val="auto"/>
          <w:sz w:val="22"/>
          <w:szCs w:val="22"/>
          <w:highlight w:val="none"/>
        </w:rPr>
        <w:t>日期：</w:t>
      </w:r>
    </w:p>
    <w:p>
      <w:pPr>
        <w:autoSpaceDE w:val="0"/>
        <w:autoSpaceDN w:val="0"/>
        <w:adjustRightInd w:val="0"/>
        <w:spacing w:line="460" w:lineRule="atLeast"/>
        <w:rPr>
          <w:rFonts w:ascii="宋体"/>
          <w:color w:val="auto"/>
          <w:sz w:val="22"/>
          <w:highlight w:val="none"/>
        </w:rPr>
      </w:pPr>
      <w:r>
        <w:rPr>
          <w:rFonts w:hint="eastAsia" w:ascii="宋体"/>
          <w:color w:val="auto"/>
          <w:sz w:val="22"/>
          <w:highlight w:val="none"/>
        </w:rPr>
        <w:t xml:space="preserve"> </w:t>
      </w:r>
    </w:p>
    <w:p>
      <w:pPr>
        <w:autoSpaceDE w:val="0"/>
        <w:autoSpaceDN w:val="0"/>
        <w:adjustRightInd w:val="0"/>
        <w:spacing w:line="460" w:lineRule="atLeast"/>
        <w:rPr>
          <w:rFonts w:ascii="宋体"/>
          <w:color w:val="auto"/>
          <w:sz w:val="22"/>
          <w:highlight w:val="none"/>
        </w:rPr>
      </w:pPr>
    </w:p>
    <w:p>
      <w:pPr>
        <w:pStyle w:val="39"/>
        <w:rPr>
          <w:rFonts w:ascii="宋体" w:hAnsi="宋体"/>
          <w:color w:val="auto"/>
          <w:highlight w:val="none"/>
        </w:rPr>
      </w:pPr>
      <w:bookmarkStart w:id="215" w:name="_Toc493530220"/>
    </w:p>
    <w:p>
      <w:pPr>
        <w:pStyle w:val="39"/>
        <w:rPr>
          <w:rFonts w:ascii="宋体" w:hAnsi="宋体"/>
          <w:color w:val="auto"/>
          <w:highlight w:val="none"/>
        </w:rPr>
      </w:pPr>
      <w:bookmarkStart w:id="216" w:name="_Toc46386541"/>
      <w:bookmarkStart w:id="217" w:name="_Toc19204523"/>
      <w:bookmarkStart w:id="218" w:name="_Toc17126"/>
      <w:r>
        <w:rPr>
          <w:rFonts w:hint="eastAsia" w:ascii="宋体" w:hAnsi="宋体"/>
          <w:color w:val="auto"/>
          <w:highlight w:val="none"/>
        </w:rPr>
        <w:t>三、技术标部分格式</w:t>
      </w:r>
      <w:bookmarkEnd w:id="215"/>
      <w:bookmarkEnd w:id="216"/>
      <w:bookmarkEnd w:id="217"/>
      <w:bookmarkEnd w:id="218"/>
    </w:p>
    <w:p>
      <w:pPr>
        <w:widowControl/>
        <w:spacing w:line="460" w:lineRule="atLeast"/>
        <w:jc w:val="left"/>
        <w:rPr>
          <w:rFonts w:ascii="宋体"/>
          <w:b/>
          <w:bCs/>
          <w:color w:val="auto"/>
          <w:sz w:val="22"/>
          <w:szCs w:val="22"/>
          <w:highlight w:val="none"/>
        </w:rPr>
      </w:pPr>
      <w:r>
        <w:rPr>
          <w:rFonts w:hint="eastAsia" w:ascii="宋体"/>
          <w:b/>
          <w:color w:val="auto"/>
          <w:sz w:val="22"/>
          <w:szCs w:val="22"/>
          <w:highlight w:val="none"/>
        </w:rPr>
        <w:t>附件十三</w:t>
      </w:r>
    </w:p>
    <w:p>
      <w:pPr>
        <w:pStyle w:val="39"/>
        <w:rPr>
          <w:rFonts w:ascii="宋体" w:hAnsi="宋体"/>
          <w:color w:val="auto"/>
          <w:highlight w:val="none"/>
        </w:rPr>
      </w:pPr>
      <w:bookmarkStart w:id="219" w:name="_Toc511045490"/>
      <w:bookmarkStart w:id="220" w:name="_Toc42243291"/>
      <w:bookmarkStart w:id="221" w:name="_Toc518512543"/>
      <w:bookmarkStart w:id="222" w:name="_Toc19204524"/>
      <w:bookmarkStart w:id="223" w:name="_Toc496618932"/>
      <w:bookmarkStart w:id="224" w:name="_Toc46386542"/>
      <w:bookmarkStart w:id="225" w:name="_Toc9334958"/>
      <w:bookmarkStart w:id="226" w:name="_Toc522469128"/>
      <w:bookmarkStart w:id="227" w:name="_Toc99807487"/>
      <w:bookmarkStart w:id="228" w:name="_Toc96954546"/>
      <w:bookmarkStart w:id="229" w:name="_Toc3185"/>
      <w:r>
        <w:rPr>
          <w:rFonts w:hint="eastAsia" w:ascii="宋体" w:hAnsi="宋体"/>
          <w:color w:val="auto"/>
          <w:highlight w:val="none"/>
        </w:rPr>
        <w:t>偏离表</w:t>
      </w:r>
      <w:bookmarkEnd w:id="219"/>
      <w:bookmarkEnd w:id="220"/>
      <w:bookmarkEnd w:id="221"/>
      <w:bookmarkEnd w:id="222"/>
      <w:bookmarkEnd w:id="223"/>
      <w:bookmarkEnd w:id="224"/>
      <w:bookmarkEnd w:id="225"/>
      <w:bookmarkEnd w:id="226"/>
      <w:bookmarkEnd w:id="227"/>
      <w:bookmarkEnd w:id="228"/>
      <w:bookmarkEnd w:id="229"/>
    </w:p>
    <w:p>
      <w:pPr>
        <w:spacing w:line="560" w:lineRule="exact"/>
        <w:ind w:firstLine="431" w:firstLineChars="196"/>
        <w:rPr>
          <w:rFonts w:ascii="宋体"/>
          <w:bCs/>
          <w:color w:val="auto"/>
          <w:sz w:val="22"/>
          <w:szCs w:val="22"/>
          <w:highlight w:val="none"/>
        </w:rPr>
      </w:pPr>
      <w:r>
        <w:rPr>
          <w:rFonts w:hint="eastAsia" w:ascii="宋体"/>
          <w:color w:val="auto"/>
          <w:sz w:val="22"/>
          <w:szCs w:val="22"/>
          <w:highlight w:val="none"/>
        </w:rPr>
        <w:t>项目名称：                                       项目编号：</w:t>
      </w:r>
    </w:p>
    <w:tbl>
      <w:tblPr>
        <w:tblStyle w:val="4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34"/>
        <w:gridCol w:w="2743"/>
        <w:gridCol w:w="302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368" w:type="dxa"/>
            <w:vAlign w:val="center"/>
          </w:tcPr>
          <w:p>
            <w:pPr>
              <w:jc w:val="center"/>
              <w:rPr>
                <w:rFonts w:ascii="宋体"/>
                <w:color w:val="auto"/>
                <w:sz w:val="22"/>
                <w:highlight w:val="none"/>
              </w:rPr>
            </w:pPr>
            <w:r>
              <w:rPr>
                <w:rFonts w:hint="eastAsia" w:ascii="宋体"/>
                <w:color w:val="auto"/>
                <w:sz w:val="22"/>
                <w:szCs w:val="22"/>
                <w:highlight w:val="none"/>
              </w:rPr>
              <w:t>内   容</w:t>
            </w:r>
          </w:p>
        </w:tc>
        <w:tc>
          <w:tcPr>
            <w:tcW w:w="1434" w:type="dxa"/>
            <w:vAlign w:val="center"/>
          </w:tcPr>
          <w:p>
            <w:pPr>
              <w:jc w:val="center"/>
              <w:rPr>
                <w:rFonts w:ascii="宋体"/>
                <w:color w:val="auto"/>
                <w:sz w:val="22"/>
                <w:highlight w:val="none"/>
              </w:rPr>
            </w:pPr>
            <w:r>
              <w:rPr>
                <w:rFonts w:hint="eastAsia" w:ascii="宋体"/>
                <w:color w:val="auto"/>
                <w:sz w:val="22"/>
                <w:szCs w:val="22"/>
                <w:highlight w:val="none"/>
              </w:rPr>
              <w:t>采购文件</w:t>
            </w:r>
          </w:p>
          <w:p>
            <w:pPr>
              <w:jc w:val="center"/>
              <w:rPr>
                <w:rFonts w:ascii="宋体"/>
                <w:color w:val="auto"/>
                <w:sz w:val="22"/>
                <w:highlight w:val="none"/>
              </w:rPr>
            </w:pPr>
            <w:r>
              <w:rPr>
                <w:rFonts w:hint="eastAsia" w:ascii="宋体"/>
                <w:color w:val="auto"/>
                <w:sz w:val="22"/>
                <w:szCs w:val="22"/>
                <w:highlight w:val="none"/>
              </w:rPr>
              <w:t>条目</w:t>
            </w:r>
          </w:p>
        </w:tc>
        <w:tc>
          <w:tcPr>
            <w:tcW w:w="2743" w:type="dxa"/>
            <w:vAlign w:val="center"/>
          </w:tcPr>
          <w:p>
            <w:pPr>
              <w:jc w:val="center"/>
              <w:rPr>
                <w:rFonts w:ascii="宋体"/>
                <w:color w:val="auto"/>
                <w:sz w:val="22"/>
                <w:highlight w:val="none"/>
              </w:rPr>
            </w:pPr>
            <w:r>
              <w:rPr>
                <w:rFonts w:hint="eastAsia" w:ascii="宋体"/>
                <w:color w:val="auto"/>
                <w:sz w:val="22"/>
                <w:szCs w:val="22"/>
                <w:highlight w:val="none"/>
              </w:rPr>
              <w:t>采购文件</w:t>
            </w:r>
          </w:p>
          <w:p>
            <w:pPr>
              <w:jc w:val="center"/>
              <w:rPr>
                <w:rFonts w:ascii="宋体"/>
                <w:color w:val="auto"/>
                <w:sz w:val="22"/>
                <w:highlight w:val="none"/>
              </w:rPr>
            </w:pPr>
            <w:r>
              <w:rPr>
                <w:rFonts w:hint="eastAsia" w:ascii="宋体"/>
                <w:color w:val="auto"/>
                <w:sz w:val="22"/>
                <w:szCs w:val="22"/>
                <w:highlight w:val="none"/>
              </w:rPr>
              <w:t>规格要求</w:t>
            </w:r>
          </w:p>
        </w:tc>
        <w:tc>
          <w:tcPr>
            <w:tcW w:w="3023" w:type="dxa"/>
            <w:vAlign w:val="center"/>
          </w:tcPr>
          <w:p>
            <w:pPr>
              <w:jc w:val="center"/>
              <w:rPr>
                <w:rFonts w:ascii="宋体"/>
                <w:color w:val="auto"/>
                <w:sz w:val="22"/>
                <w:highlight w:val="none"/>
              </w:rPr>
            </w:pPr>
            <w:r>
              <w:rPr>
                <w:rFonts w:hint="eastAsia" w:ascii="宋体"/>
                <w:color w:val="auto"/>
                <w:sz w:val="22"/>
                <w:szCs w:val="22"/>
                <w:highlight w:val="none"/>
              </w:rPr>
              <w:t>投标文件</w:t>
            </w:r>
          </w:p>
          <w:p>
            <w:pPr>
              <w:jc w:val="center"/>
              <w:rPr>
                <w:rFonts w:ascii="宋体"/>
                <w:color w:val="auto"/>
                <w:sz w:val="22"/>
                <w:highlight w:val="none"/>
              </w:rPr>
            </w:pPr>
            <w:r>
              <w:rPr>
                <w:rFonts w:hint="eastAsia" w:ascii="宋体"/>
                <w:color w:val="auto"/>
                <w:sz w:val="22"/>
                <w:szCs w:val="22"/>
                <w:highlight w:val="none"/>
              </w:rPr>
              <w:t>对应规格</w:t>
            </w:r>
          </w:p>
        </w:tc>
        <w:tc>
          <w:tcPr>
            <w:tcW w:w="1260" w:type="dxa"/>
            <w:vAlign w:val="center"/>
          </w:tcPr>
          <w:p>
            <w:pPr>
              <w:jc w:val="center"/>
              <w:rPr>
                <w:rFonts w:ascii="宋体"/>
                <w:color w:val="auto"/>
                <w:sz w:val="22"/>
                <w:highlight w:val="none"/>
              </w:rPr>
            </w:pPr>
            <w:r>
              <w:rPr>
                <w:rFonts w:hint="eastAsia" w:ascii="宋体"/>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368" w:type="dxa"/>
            <w:vMerge w:val="restart"/>
            <w:vAlign w:val="center"/>
          </w:tcPr>
          <w:p>
            <w:pPr>
              <w:rPr>
                <w:rFonts w:ascii="宋体"/>
                <w:color w:val="auto"/>
                <w:sz w:val="22"/>
                <w:highlight w:val="none"/>
              </w:rPr>
            </w:pPr>
            <w:r>
              <w:rPr>
                <w:rFonts w:hint="eastAsia" w:ascii="宋体"/>
                <w:color w:val="auto"/>
                <w:sz w:val="22"/>
                <w:szCs w:val="22"/>
                <w:highlight w:val="none"/>
              </w:rPr>
              <w:t>技术偏离</w:t>
            </w:r>
          </w:p>
        </w:tc>
        <w:tc>
          <w:tcPr>
            <w:tcW w:w="1434" w:type="dxa"/>
            <w:vAlign w:val="center"/>
          </w:tcPr>
          <w:p>
            <w:pPr>
              <w:jc w:val="center"/>
              <w:rPr>
                <w:rFonts w:ascii="宋体"/>
                <w:color w:val="auto"/>
                <w:sz w:val="22"/>
                <w:highlight w:val="none"/>
              </w:rPr>
            </w:pPr>
          </w:p>
        </w:tc>
        <w:tc>
          <w:tcPr>
            <w:tcW w:w="2743" w:type="dxa"/>
            <w:vAlign w:val="center"/>
          </w:tcPr>
          <w:p>
            <w:pPr>
              <w:jc w:val="center"/>
              <w:rPr>
                <w:rFonts w:ascii="宋体"/>
                <w:color w:val="auto"/>
                <w:sz w:val="22"/>
                <w:highlight w:val="none"/>
              </w:rPr>
            </w:pPr>
          </w:p>
        </w:tc>
        <w:tc>
          <w:tcPr>
            <w:tcW w:w="3023" w:type="dxa"/>
            <w:vAlign w:val="center"/>
          </w:tcPr>
          <w:p>
            <w:pPr>
              <w:jc w:val="center"/>
              <w:rPr>
                <w:rFonts w:ascii="宋体"/>
                <w:color w:val="auto"/>
                <w:sz w:val="22"/>
                <w:highlight w:val="none"/>
              </w:rPr>
            </w:pPr>
          </w:p>
        </w:tc>
        <w:tc>
          <w:tcPr>
            <w:tcW w:w="1260" w:type="dxa"/>
            <w:vAlign w:val="center"/>
          </w:tcPr>
          <w:p>
            <w:pPr>
              <w:jc w:val="center"/>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color w:val="auto"/>
                <w:sz w:val="22"/>
                <w:highlight w:val="none"/>
              </w:rPr>
            </w:pPr>
          </w:p>
        </w:tc>
        <w:tc>
          <w:tcPr>
            <w:tcW w:w="1434" w:type="dxa"/>
            <w:vAlign w:val="center"/>
          </w:tcPr>
          <w:p>
            <w:pPr>
              <w:jc w:val="center"/>
              <w:rPr>
                <w:rFonts w:ascii="宋体"/>
                <w:color w:val="auto"/>
                <w:sz w:val="22"/>
                <w:highlight w:val="none"/>
              </w:rPr>
            </w:pPr>
          </w:p>
        </w:tc>
        <w:tc>
          <w:tcPr>
            <w:tcW w:w="2743" w:type="dxa"/>
            <w:vAlign w:val="center"/>
          </w:tcPr>
          <w:p>
            <w:pPr>
              <w:jc w:val="center"/>
              <w:rPr>
                <w:rFonts w:ascii="宋体"/>
                <w:color w:val="auto"/>
                <w:sz w:val="22"/>
                <w:highlight w:val="none"/>
              </w:rPr>
            </w:pPr>
          </w:p>
        </w:tc>
        <w:tc>
          <w:tcPr>
            <w:tcW w:w="3023" w:type="dxa"/>
            <w:vAlign w:val="center"/>
          </w:tcPr>
          <w:p>
            <w:pPr>
              <w:jc w:val="center"/>
              <w:rPr>
                <w:rFonts w:ascii="宋体"/>
                <w:color w:val="auto"/>
                <w:sz w:val="22"/>
                <w:highlight w:val="none"/>
              </w:rPr>
            </w:pPr>
          </w:p>
        </w:tc>
        <w:tc>
          <w:tcPr>
            <w:tcW w:w="1260" w:type="dxa"/>
            <w:vAlign w:val="center"/>
          </w:tcPr>
          <w:p>
            <w:pPr>
              <w:jc w:val="center"/>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color w:val="auto"/>
                <w:sz w:val="22"/>
                <w:highlight w:val="none"/>
              </w:rPr>
            </w:pPr>
          </w:p>
        </w:tc>
        <w:tc>
          <w:tcPr>
            <w:tcW w:w="1434" w:type="dxa"/>
            <w:vAlign w:val="center"/>
          </w:tcPr>
          <w:p>
            <w:pPr>
              <w:jc w:val="center"/>
              <w:rPr>
                <w:rFonts w:ascii="宋体"/>
                <w:color w:val="auto"/>
                <w:sz w:val="22"/>
                <w:highlight w:val="none"/>
              </w:rPr>
            </w:pPr>
          </w:p>
        </w:tc>
        <w:tc>
          <w:tcPr>
            <w:tcW w:w="2743" w:type="dxa"/>
            <w:vAlign w:val="center"/>
          </w:tcPr>
          <w:p>
            <w:pPr>
              <w:jc w:val="center"/>
              <w:rPr>
                <w:rFonts w:ascii="宋体"/>
                <w:color w:val="auto"/>
                <w:sz w:val="22"/>
                <w:highlight w:val="none"/>
              </w:rPr>
            </w:pPr>
          </w:p>
        </w:tc>
        <w:tc>
          <w:tcPr>
            <w:tcW w:w="3023" w:type="dxa"/>
            <w:vAlign w:val="center"/>
          </w:tcPr>
          <w:p>
            <w:pPr>
              <w:jc w:val="center"/>
              <w:rPr>
                <w:rFonts w:ascii="宋体"/>
                <w:color w:val="auto"/>
                <w:sz w:val="22"/>
                <w:highlight w:val="none"/>
              </w:rPr>
            </w:pPr>
          </w:p>
        </w:tc>
        <w:tc>
          <w:tcPr>
            <w:tcW w:w="1260" w:type="dxa"/>
            <w:vAlign w:val="center"/>
          </w:tcPr>
          <w:p>
            <w:pPr>
              <w:jc w:val="center"/>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color w:val="auto"/>
                <w:sz w:val="22"/>
                <w:highlight w:val="none"/>
              </w:rPr>
            </w:pPr>
          </w:p>
        </w:tc>
        <w:tc>
          <w:tcPr>
            <w:tcW w:w="1434" w:type="dxa"/>
            <w:vAlign w:val="center"/>
          </w:tcPr>
          <w:p>
            <w:pPr>
              <w:jc w:val="center"/>
              <w:rPr>
                <w:rFonts w:ascii="宋体"/>
                <w:color w:val="auto"/>
                <w:sz w:val="22"/>
                <w:highlight w:val="none"/>
              </w:rPr>
            </w:pPr>
          </w:p>
        </w:tc>
        <w:tc>
          <w:tcPr>
            <w:tcW w:w="2743" w:type="dxa"/>
            <w:vAlign w:val="center"/>
          </w:tcPr>
          <w:p>
            <w:pPr>
              <w:jc w:val="center"/>
              <w:rPr>
                <w:rFonts w:ascii="宋体"/>
                <w:color w:val="auto"/>
                <w:sz w:val="22"/>
                <w:highlight w:val="none"/>
              </w:rPr>
            </w:pPr>
          </w:p>
        </w:tc>
        <w:tc>
          <w:tcPr>
            <w:tcW w:w="3023" w:type="dxa"/>
            <w:vAlign w:val="center"/>
          </w:tcPr>
          <w:p>
            <w:pPr>
              <w:jc w:val="center"/>
              <w:rPr>
                <w:rFonts w:ascii="宋体"/>
                <w:color w:val="auto"/>
                <w:sz w:val="22"/>
                <w:highlight w:val="none"/>
              </w:rPr>
            </w:pPr>
          </w:p>
        </w:tc>
        <w:tc>
          <w:tcPr>
            <w:tcW w:w="1260" w:type="dxa"/>
            <w:vAlign w:val="center"/>
          </w:tcPr>
          <w:p>
            <w:pPr>
              <w:jc w:val="center"/>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color w:val="auto"/>
                <w:sz w:val="22"/>
                <w:highlight w:val="none"/>
              </w:rPr>
            </w:pPr>
          </w:p>
        </w:tc>
        <w:tc>
          <w:tcPr>
            <w:tcW w:w="1434" w:type="dxa"/>
            <w:vAlign w:val="center"/>
          </w:tcPr>
          <w:p>
            <w:pPr>
              <w:jc w:val="center"/>
              <w:rPr>
                <w:rFonts w:ascii="宋体"/>
                <w:color w:val="auto"/>
                <w:sz w:val="22"/>
                <w:highlight w:val="none"/>
              </w:rPr>
            </w:pPr>
          </w:p>
        </w:tc>
        <w:tc>
          <w:tcPr>
            <w:tcW w:w="2743" w:type="dxa"/>
            <w:vAlign w:val="center"/>
          </w:tcPr>
          <w:p>
            <w:pPr>
              <w:jc w:val="center"/>
              <w:rPr>
                <w:rFonts w:ascii="宋体"/>
                <w:color w:val="auto"/>
                <w:sz w:val="22"/>
                <w:highlight w:val="none"/>
              </w:rPr>
            </w:pPr>
          </w:p>
        </w:tc>
        <w:tc>
          <w:tcPr>
            <w:tcW w:w="3023" w:type="dxa"/>
            <w:vAlign w:val="center"/>
          </w:tcPr>
          <w:p>
            <w:pPr>
              <w:jc w:val="center"/>
              <w:rPr>
                <w:rFonts w:ascii="宋体"/>
                <w:color w:val="auto"/>
                <w:sz w:val="22"/>
                <w:highlight w:val="none"/>
              </w:rPr>
            </w:pPr>
          </w:p>
        </w:tc>
        <w:tc>
          <w:tcPr>
            <w:tcW w:w="1260" w:type="dxa"/>
            <w:vAlign w:val="center"/>
          </w:tcPr>
          <w:p>
            <w:pPr>
              <w:jc w:val="center"/>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368" w:type="dxa"/>
            <w:vMerge w:val="restart"/>
            <w:vAlign w:val="center"/>
          </w:tcPr>
          <w:p>
            <w:pPr>
              <w:rPr>
                <w:rFonts w:ascii="宋体"/>
                <w:color w:val="auto"/>
                <w:sz w:val="22"/>
                <w:highlight w:val="none"/>
              </w:rPr>
            </w:pPr>
            <w:r>
              <w:rPr>
                <w:rFonts w:hint="eastAsia" w:ascii="宋体"/>
                <w:color w:val="auto"/>
                <w:sz w:val="22"/>
                <w:szCs w:val="22"/>
                <w:highlight w:val="none"/>
              </w:rPr>
              <w:t>商务偏离</w:t>
            </w:r>
          </w:p>
        </w:tc>
        <w:tc>
          <w:tcPr>
            <w:tcW w:w="1434" w:type="dxa"/>
            <w:vAlign w:val="center"/>
          </w:tcPr>
          <w:p>
            <w:pPr>
              <w:jc w:val="center"/>
              <w:rPr>
                <w:rFonts w:ascii="宋体"/>
                <w:color w:val="auto"/>
                <w:sz w:val="22"/>
                <w:highlight w:val="none"/>
              </w:rPr>
            </w:pPr>
          </w:p>
        </w:tc>
        <w:tc>
          <w:tcPr>
            <w:tcW w:w="2743" w:type="dxa"/>
            <w:vAlign w:val="center"/>
          </w:tcPr>
          <w:p>
            <w:pPr>
              <w:jc w:val="center"/>
              <w:rPr>
                <w:rFonts w:ascii="宋体"/>
                <w:color w:val="auto"/>
                <w:sz w:val="22"/>
                <w:highlight w:val="none"/>
              </w:rPr>
            </w:pPr>
          </w:p>
        </w:tc>
        <w:tc>
          <w:tcPr>
            <w:tcW w:w="3023" w:type="dxa"/>
            <w:vAlign w:val="center"/>
          </w:tcPr>
          <w:p>
            <w:pPr>
              <w:jc w:val="center"/>
              <w:rPr>
                <w:rFonts w:ascii="宋体"/>
                <w:color w:val="auto"/>
                <w:sz w:val="22"/>
                <w:highlight w:val="none"/>
              </w:rPr>
            </w:pPr>
          </w:p>
        </w:tc>
        <w:tc>
          <w:tcPr>
            <w:tcW w:w="1260" w:type="dxa"/>
            <w:vAlign w:val="center"/>
          </w:tcPr>
          <w:p>
            <w:pPr>
              <w:jc w:val="center"/>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color w:val="auto"/>
                <w:sz w:val="22"/>
                <w:highlight w:val="none"/>
              </w:rPr>
            </w:pPr>
          </w:p>
        </w:tc>
        <w:tc>
          <w:tcPr>
            <w:tcW w:w="1434" w:type="dxa"/>
            <w:vAlign w:val="center"/>
          </w:tcPr>
          <w:p>
            <w:pPr>
              <w:jc w:val="center"/>
              <w:rPr>
                <w:rFonts w:ascii="宋体"/>
                <w:color w:val="auto"/>
                <w:sz w:val="22"/>
                <w:highlight w:val="none"/>
              </w:rPr>
            </w:pPr>
          </w:p>
        </w:tc>
        <w:tc>
          <w:tcPr>
            <w:tcW w:w="2743" w:type="dxa"/>
            <w:vAlign w:val="center"/>
          </w:tcPr>
          <w:p>
            <w:pPr>
              <w:jc w:val="center"/>
              <w:rPr>
                <w:rFonts w:ascii="宋体"/>
                <w:color w:val="auto"/>
                <w:sz w:val="22"/>
                <w:highlight w:val="none"/>
              </w:rPr>
            </w:pPr>
          </w:p>
        </w:tc>
        <w:tc>
          <w:tcPr>
            <w:tcW w:w="3023" w:type="dxa"/>
            <w:vAlign w:val="center"/>
          </w:tcPr>
          <w:p>
            <w:pPr>
              <w:jc w:val="center"/>
              <w:rPr>
                <w:rFonts w:ascii="宋体"/>
                <w:color w:val="auto"/>
                <w:sz w:val="22"/>
                <w:highlight w:val="none"/>
              </w:rPr>
            </w:pPr>
          </w:p>
        </w:tc>
        <w:tc>
          <w:tcPr>
            <w:tcW w:w="1260" w:type="dxa"/>
            <w:vAlign w:val="center"/>
          </w:tcPr>
          <w:p>
            <w:pPr>
              <w:jc w:val="center"/>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color w:val="auto"/>
                <w:sz w:val="22"/>
                <w:highlight w:val="none"/>
              </w:rPr>
            </w:pPr>
          </w:p>
        </w:tc>
        <w:tc>
          <w:tcPr>
            <w:tcW w:w="1434" w:type="dxa"/>
            <w:vAlign w:val="center"/>
          </w:tcPr>
          <w:p>
            <w:pPr>
              <w:jc w:val="center"/>
              <w:rPr>
                <w:rFonts w:ascii="宋体"/>
                <w:color w:val="auto"/>
                <w:sz w:val="22"/>
                <w:highlight w:val="none"/>
              </w:rPr>
            </w:pPr>
          </w:p>
        </w:tc>
        <w:tc>
          <w:tcPr>
            <w:tcW w:w="2743" w:type="dxa"/>
            <w:vAlign w:val="center"/>
          </w:tcPr>
          <w:p>
            <w:pPr>
              <w:jc w:val="center"/>
              <w:rPr>
                <w:rFonts w:ascii="宋体"/>
                <w:color w:val="auto"/>
                <w:sz w:val="22"/>
                <w:highlight w:val="none"/>
              </w:rPr>
            </w:pPr>
          </w:p>
        </w:tc>
        <w:tc>
          <w:tcPr>
            <w:tcW w:w="3023" w:type="dxa"/>
            <w:vAlign w:val="center"/>
          </w:tcPr>
          <w:p>
            <w:pPr>
              <w:jc w:val="center"/>
              <w:rPr>
                <w:rFonts w:ascii="宋体"/>
                <w:color w:val="auto"/>
                <w:sz w:val="22"/>
                <w:highlight w:val="none"/>
              </w:rPr>
            </w:pPr>
          </w:p>
        </w:tc>
        <w:tc>
          <w:tcPr>
            <w:tcW w:w="1260" w:type="dxa"/>
            <w:vAlign w:val="center"/>
          </w:tcPr>
          <w:p>
            <w:pPr>
              <w:jc w:val="center"/>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color w:val="auto"/>
                <w:sz w:val="22"/>
                <w:highlight w:val="none"/>
              </w:rPr>
            </w:pPr>
          </w:p>
        </w:tc>
        <w:tc>
          <w:tcPr>
            <w:tcW w:w="1434" w:type="dxa"/>
            <w:vAlign w:val="center"/>
          </w:tcPr>
          <w:p>
            <w:pPr>
              <w:jc w:val="center"/>
              <w:rPr>
                <w:rFonts w:ascii="宋体"/>
                <w:color w:val="auto"/>
                <w:sz w:val="22"/>
                <w:highlight w:val="none"/>
              </w:rPr>
            </w:pPr>
          </w:p>
        </w:tc>
        <w:tc>
          <w:tcPr>
            <w:tcW w:w="2743" w:type="dxa"/>
            <w:vAlign w:val="center"/>
          </w:tcPr>
          <w:p>
            <w:pPr>
              <w:jc w:val="center"/>
              <w:rPr>
                <w:rFonts w:ascii="宋体"/>
                <w:color w:val="auto"/>
                <w:sz w:val="22"/>
                <w:highlight w:val="none"/>
              </w:rPr>
            </w:pPr>
          </w:p>
        </w:tc>
        <w:tc>
          <w:tcPr>
            <w:tcW w:w="3023" w:type="dxa"/>
            <w:vAlign w:val="center"/>
          </w:tcPr>
          <w:p>
            <w:pPr>
              <w:jc w:val="center"/>
              <w:rPr>
                <w:rFonts w:ascii="宋体"/>
                <w:color w:val="auto"/>
                <w:sz w:val="22"/>
                <w:highlight w:val="none"/>
              </w:rPr>
            </w:pPr>
          </w:p>
        </w:tc>
        <w:tc>
          <w:tcPr>
            <w:tcW w:w="1260" w:type="dxa"/>
            <w:vAlign w:val="center"/>
          </w:tcPr>
          <w:p>
            <w:pPr>
              <w:jc w:val="center"/>
              <w:rPr>
                <w:rFonts w:asci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4" w:hRule="atLeast"/>
        </w:trPr>
        <w:tc>
          <w:tcPr>
            <w:tcW w:w="1368" w:type="dxa"/>
            <w:vMerge w:val="continue"/>
            <w:vAlign w:val="center"/>
          </w:tcPr>
          <w:p>
            <w:pPr>
              <w:jc w:val="center"/>
              <w:rPr>
                <w:rFonts w:ascii="宋体"/>
                <w:color w:val="auto"/>
                <w:sz w:val="22"/>
                <w:highlight w:val="none"/>
              </w:rPr>
            </w:pPr>
          </w:p>
        </w:tc>
        <w:tc>
          <w:tcPr>
            <w:tcW w:w="1434" w:type="dxa"/>
            <w:vAlign w:val="center"/>
          </w:tcPr>
          <w:p>
            <w:pPr>
              <w:jc w:val="center"/>
              <w:rPr>
                <w:rFonts w:ascii="宋体"/>
                <w:color w:val="auto"/>
                <w:sz w:val="22"/>
                <w:highlight w:val="none"/>
              </w:rPr>
            </w:pPr>
          </w:p>
        </w:tc>
        <w:tc>
          <w:tcPr>
            <w:tcW w:w="2743" w:type="dxa"/>
            <w:vAlign w:val="center"/>
          </w:tcPr>
          <w:p>
            <w:pPr>
              <w:jc w:val="center"/>
              <w:rPr>
                <w:rFonts w:ascii="宋体"/>
                <w:color w:val="auto"/>
                <w:sz w:val="22"/>
                <w:highlight w:val="none"/>
              </w:rPr>
            </w:pPr>
          </w:p>
        </w:tc>
        <w:tc>
          <w:tcPr>
            <w:tcW w:w="3023" w:type="dxa"/>
            <w:vAlign w:val="center"/>
          </w:tcPr>
          <w:p>
            <w:pPr>
              <w:jc w:val="center"/>
              <w:rPr>
                <w:rFonts w:ascii="宋体"/>
                <w:color w:val="auto"/>
                <w:sz w:val="22"/>
                <w:highlight w:val="none"/>
              </w:rPr>
            </w:pPr>
          </w:p>
        </w:tc>
        <w:tc>
          <w:tcPr>
            <w:tcW w:w="1260" w:type="dxa"/>
            <w:vAlign w:val="center"/>
          </w:tcPr>
          <w:p>
            <w:pPr>
              <w:jc w:val="center"/>
              <w:rPr>
                <w:rFonts w:ascii="宋体"/>
                <w:color w:val="auto"/>
                <w:sz w:val="22"/>
                <w:highlight w:val="none"/>
              </w:rPr>
            </w:pPr>
          </w:p>
        </w:tc>
      </w:tr>
    </w:tbl>
    <w:p>
      <w:pPr>
        <w:pStyle w:val="23"/>
        <w:spacing w:line="340" w:lineRule="exact"/>
        <w:rPr>
          <w:rFonts w:hAnsi="宋体"/>
          <w:color w:val="auto"/>
          <w:sz w:val="22"/>
          <w:highlight w:val="none"/>
        </w:rPr>
      </w:pPr>
      <w:r>
        <w:rPr>
          <w:rFonts w:hint="eastAsia" w:hAnsi="宋体" w:cs="仿宋"/>
          <w:color w:val="auto"/>
          <w:sz w:val="22"/>
          <w:szCs w:val="22"/>
          <w:highlight w:val="none"/>
        </w:rPr>
        <w:t>注：如有偏离，必须在偏离表中进行详细对比说明并注明正偏离和负偏离，如不说明偏离情况，视为完全响应招标文件要求无偏离。</w:t>
      </w:r>
    </w:p>
    <w:p>
      <w:pPr>
        <w:pStyle w:val="23"/>
        <w:spacing w:line="340" w:lineRule="exact"/>
        <w:ind w:left="657" w:leftChars="313" w:firstLine="4180" w:firstLineChars="1900"/>
        <w:rPr>
          <w:rFonts w:hAnsi="宋体"/>
          <w:color w:val="auto"/>
          <w:sz w:val="22"/>
          <w:highlight w:val="none"/>
        </w:rPr>
      </w:pPr>
    </w:p>
    <w:p>
      <w:pPr>
        <w:pStyle w:val="23"/>
        <w:spacing w:line="340" w:lineRule="exact"/>
        <w:ind w:left="657" w:leftChars="313" w:firstLine="4180" w:firstLineChars="1900"/>
        <w:rPr>
          <w:rFonts w:hAnsi="宋体"/>
          <w:color w:val="auto"/>
          <w:sz w:val="22"/>
          <w:highlight w:val="none"/>
        </w:rPr>
      </w:pPr>
    </w:p>
    <w:p>
      <w:pPr>
        <w:pStyle w:val="23"/>
        <w:spacing w:line="340" w:lineRule="exact"/>
        <w:ind w:left="657" w:leftChars="313" w:firstLine="4180" w:firstLineChars="1900"/>
        <w:rPr>
          <w:rFonts w:hAnsi="宋体"/>
          <w:color w:val="auto"/>
          <w:sz w:val="22"/>
          <w:highlight w:val="none"/>
        </w:rPr>
      </w:pPr>
      <w:r>
        <w:rPr>
          <w:rFonts w:hint="eastAsia" w:hAnsi="宋体"/>
          <w:color w:val="auto"/>
          <w:sz w:val="22"/>
          <w:highlight w:val="none"/>
        </w:rPr>
        <w:t>投标单位名称（盖章）：</w:t>
      </w:r>
    </w:p>
    <w:p>
      <w:pPr>
        <w:spacing w:line="440" w:lineRule="atLeast"/>
        <w:rPr>
          <w:rFonts w:ascii="宋体"/>
          <w:color w:val="auto"/>
          <w:sz w:val="22"/>
          <w:szCs w:val="22"/>
          <w:highlight w:val="none"/>
        </w:rPr>
      </w:pPr>
      <w:r>
        <w:rPr>
          <w:rFonts w:hint="eastAsia" w:ascii="宋体"/>
          <w:color w:val="auto"/>
          <w:sz w:val="22"/>
          <w:highlight w:val="none"/>
        </w:rPr>
        <w:t xml:space="preserve">                                            </w:t>
      </w:r>
      <w:r>
        <w:rPr>
          <w:rFonts w:hint="eastAsia" w:ascii="宋体"/>
          <w:color w:val="auto"/>
          <w:sz w:val="22"/>
          <w:szCs w:val="22"/>
          <w:highlight w:val="none"/>
        </w:rPr>
        <w:t>法定代表人或授权代表（签字或盖章）：</w:t>
      </w:r>
    </w:p>
    <w:p>
      <w:pPr>
        <w:pStyle w:val="23"/>
        <w:tabs>
          <w:tab w:val="left" w:pos="0"/>
          <w:tab w:val="left" w:pos="540"/>
        </w:tabs>
        <w:spacing w:line="340" w:lineRule="exact"/>
        <w:rPr>
          <w:rFonts w:hAnsi="宋体"/>
          <w:color w:val="auto"/>
          <w:sz w:val="22"/>
          <w:highlight w:val="none"/>
        </w:rPr>
      </w:pPr>
      <w:r>
        <w:rPr>
          <w:rFonts w:hint="eastAsia" w:hAnsi="宋体"/>
          <w:color w:val="auto"/>
          <w:sz w:val="22"/>
          <w:highlight w:val="none"/>
        </w:rPr>
        <w:t xml:space="preserve">                                            日    期：    年   月   日</w:t>
      </w:r>
    </w:p>
    <w:p>
      <w:pPr>
        <w:widowControl/>
        <w:autoSpaceDE w:val="0"/>
        <w:autoSpaceDN w:val="0"/>
        <w:adjustRightInd w:val="0"/>
        <w:spacing w:line="460" w:lineRule="atLeast"/>
        <w:textAlignment w:val="bottom"/>
        <w:rPr>
          <w:rFonts w:ascii="宋体"/>
          <w:b/>
          <w:bCs/>
          <w:color w:val="auto"/>
          <w:sz w:val="22"/>
          <w:szCs w:val="22"/>
          <w:highlight w:val="none"/>
        </w:rPr>
      </w:pPr>
      <w:r>
        <w:rPr>
          <w:rFonts w:ascii="宋体" w:cs="新宋体"/>
          <w:color w:val="auto"/>
          <w:sz w:val="22"/>
          <w:szCs w:val="22"/>
          <w:highlight w:val="none"/>
        </w:rPr>
        <w:br w:type="page"/>
      </w:r>
      <w:r>
        <w:rPr>
          <w:rFonts w:hint="eastAsia" w:ascii="宋体"/>
          <w:b/>
          <w:color w:val="auto"/>
          <w:sz w:val="22"/>
          <w:szCs w:val="22"/>
          <w:highlight w:val="none"/>
        </w:rPr>
        <w:t>附件十四</w:t>
      </w:r>
    </w:p>
    <w:p>
      <w:pPr>
        <w:spacing w:after="240" w:line="360" w:lineRule="exact"/>
        <w:jc w:val="center"/>
        <w:rPr>
          <w:rFonts w:ascii="宋体"/>
          <w:b/>
          <w:color w:val="auto"/>
          <w:sz w:val="28"/>
          <w:szCs w:val="28"/>
          <w:highlight w:val="none"/>
        </w:rPr>
      </w:pPr>
      <w:r>
        <w:rPr>
          <w:rFonts w:hint="eastAsia" w:ascii="宋体"/>
          <w:b/>
          <w:color w:val="auto"/>
          <w:sz w:val="28"/>
          <w:szCs w:val="28"/>
          <w:highlight w:val="none"/>
        </w:rPr>
        <w:t>（1）项目负责人情况表</w:t>
      </w:r>
    </w:p>
    <w:p>
      <w:pPr>
        <w:spacing w:line="360" w:lineRule="exact"/>
        <w:rPr>
          <w:rFonts w:ascii="宋体"/>
          <w:color w:val="auto"/>
          <w:sz w:val="22"/>
          <w:highlight w:val="none"/>
        </w:rPr>
      </w:pPr>
      <w:r>
        <w:rPr>
          <w:rFonts w:hint="eastAsia" w:ascii="宋体"/>
          <w:color w:val="auto"/>
          <w:sz w:val="22"/>
          <w:highlight w:val="none"/>
        </w:rPr>
        <w:t>项目名称：                                         项目编号：</w:t>
      </w:r>
    </w:p>
    <w:tbl>
      <w:tblPr>
        <w:tblStyle w:val="41"/>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45"/>
        <w:gridCol w:w="1822"/>
        <w:gridCol w:w="1587"/>
        <w:gridCol w:w="1726"/>
        <w:gridCol w:w="144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9648" w:type="dxa"/>
            <w:gridSpan w:val="7"/>
            <w:tcBorders>
              <w:top w:val="single" w:color="auto" w:sz="12" w:space="0"/>
              <w:left w:val="single" w:color="auto" w:sz="12" w:space="0"/>
              <w:bottom w:val="single" w:color="auto" w:sz="4" w:space="0"/>
              <w:right w:val="single" w:color="auto" w:sz="12" w:space="0"/>
            </w:tcBorders>
            <w:vAlign w:val="center"/>
          </w:tcPr>
          <w:p>
            <w:pPr>
              <w:spacing w:line="360" w:lineRule="exact"/>
              <w:jc w:val="center"/>
              <w:rPr>
                <w:rFonts w:ascii="宋体"/>
                <w:color w:val="auto"/>
                <w:highlight w:val="none"/>
              </w:rPr>
            </w:pPr>
            <w:r>
              <w:rPr>
                <w:rFonts w:hint="eastAsia" w:ascii="宋体"/>
                <w:color w:val="auto"/>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color w:val="auto"/>
                <w:highlight w:val="none"/>
              </w:rPr>
            </w:pPr>
            <w:r>
              <w:rPr>
                <w:rFonts w:hint="eastAsia" w:ascii="宋体"/>
                <w:color w:val="auto"/>
                <w:highlight w:val="none"/>
              </w:rPr>
              <w:t>姓   名</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highlight w:val="none"/>
              </w:rPr>
            </w:pPr>
            <w:r>
              <w:rPr>
                <w:rFonts w:hint="eastAsia" w:ascii="宋体"/>
                <w:color w:val="auto"/>
                <w:highlight w:val="none"/>
              </w:rPr>
              <w:t>年  龄</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highlight w:val="none"/>
              </w:rPr>
            </w:pPr>
            <w:r>
              <w:rPr>
                <w:rFonts w:hint="eastAsia" w:ascii="宋体"/>
                <w:color w:val="auto"/>
                <w:highlight w:val="none"/>
              </w:rPr>
              <w:t>学  历</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color w:val="auto"/>
                <w:highlight w:val="none"/>
              </w:rPr>
            </w:pPr>
            <w:r>
              <w:rPr>
                <w:rFonts w:hint="eastAsia" w:ascii="宋体"/>
                <w:color w:val="auto"/>
                <w:highlight w:val="none"/>
              </w:rPr>
              <w:t>毕业学校</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highlight w:val="none"/>
              </w:rPr>
            </w:pPr>
            <w:r>
              <w:rPr>
                <w:rFonts w:hint="eastAsia" w:ascii="宋体"/>
                <w:color w:val="auto"/>
                <w:highlight w:val="none"/>
              </w:rPr>
              <w:t>专  业</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highlight w:val="none"/>
              </w:rPr>
            </w:pPr>
            <w:r>
              <w:rPr>
                <w:rFonts w:hint="eastAsia" w:ascii="宋体"/>
                <w:color w:val="auto"/>
                <w:highlight w:val="none"/>
              </w:rPr>
              <w:t>职  务</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color w:val="auto"/>
                <w:highlight w:val="none"/>
              </w:rPr>
            </w:pPr>
            <w:r>
              <w:rPr>
                <w:rFonts w:hint="eastAsia" w:ascii="宋体"/>
                <w:color w:val="auto"/>
                <w:highlight w:val="none"/>
              </w:rPr>
              <w:t>职  称</w:t>
            </w:r>
          </w:p>
          <w:p>
            <w:pPr>
              <w:spacing w:line="260" w:lineRule="exact"/>
              <w:jc w:val="center"/>
              <w:rPr>
                <w:rFonts w:ascii="宋体"/>
                <w:color w:val="auto"/>
                <w:highlight w:val="none"/>
              </w:rPr>
            </w:pPr>
            <w:r>
              <w:rPr>
                <w:rFonts w:hint="eastAsia" w:ascii="宋体"/>
                <w:color w:val="auto"/>
                <w:highlight w:val="none"/>
              </w:rPr>
              <w:t>（或资格）</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olor w:val="auto"/>
                <w:highlight w:val="none"/>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highlight w:val="none"/>
              </w:rPr>
            </w:pPr>
            <w:r>
              <w:rPr>
                <w:rFonts w:hint="eastAsia" w:ascii="宋体"/>
                <w:color w:val="auto"/>
                <w:highlight w:val="none"/>
              </w:rPr>
              <w:t>拟任何职</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highlight w:val="none"/>
              </w:rPr>
            </w:pPr>
          </w:p>
        </w:tc>
        <w:tc>
          <w:tcPr>
            <w:tcW w:w="14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color w:val="auto"/>
                <w:highlight w:val="none"/>
              </w:rPr>
            </w:pPr>
            <w:r>
              <w:rPr>
                <w:rFonts w:hint="eastAsia" w:ascii="宋体"/>
                <w:color w:val="auto"/>
                <w:highlight w:val="none"/>
              </w:rPr>
              <w:t>参加工作</w:t>
            </w:r>
          </w:p>
          <w:p>
            <w:pPr>
              <w:spacing w:line="280" w:lineRule="exact"/>
              <w:jc w:val="center"/>
              <w:rPr>
                <w:rFonts w:ascii="宋体"/>
                <w:color w:val="auto"/>
                <w:highlight w:val="none"/>
              </w:rPr>
            </w:pPr>
            <w:r>
              <w:rPr>
                <w:rFonts w:hint="eastAsia" w:ascii="宋体"/>
                <w:color w:val="auto"/>
                <w:highlight w:val="none"/>
              </w:rPr>
              <w:t>时间</w:t>
            </w:r>
          </w:p>
        </w:tc>
        <w:tc>
          <w:tcPr>
            <w:tcW w:w="1588"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ascii="宋体"/>
                <w:color w:val="auto"/>
                <w:highlight w:val="none"/>
              </w:rPr>
            </w:pPr>
            <w:r>
              <w:rPr>
                <w:rFonts w:hint="eastAsia" w:ascii="宋体"/>
                <w:color w:val="auto"/>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color w:val="auto"/>
                <w:highlight w:val="none"/>
              </w:rPr>
            </w:pPr>
            <w:r>
              <w:rPr>
                <w:rFonts w:hint="eastAsia" w:ascii="宋体"/>
                <w:color w:val="auto"/>
                <w:highlight w:val="none"/>
              </w:rPr>
              <w:t>时  间</w:t>
            </w: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olor w:val="auto"/>
                <w:highlight w:val="none"/>
              </w:rPr>
            </w:pPr>
            <w:r>
              <w:rPr>
                <w:rFonts w:hint="eastAsia" w:ascii="宋体"/>
                <w:color w:val="auto"/>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color w:val="auto"/>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76"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color w:val="auto"/>
                <w:highlight w:val="none"/>
              </w:rPr>
            </w:pPr>
          </w:p>
        </w:tc>
        <w:tc>
          <w:tcPr>
            <w:tcW w:w="8172" w:type="dxa"/>
            <w:gridSpan w:val="5"/>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48" w:type="dxa"/>
            <w:gridSpan w:val="7"/>
            <w:tcBorders>
              <w:top w:val="single" w:color="auto" w:sz="4" w:space="0"/>
              <w:left w:val="single" w:color="auto" w:sz="12" w:space="0"/>
              <w:bottom w:val="single" w:color="auto" w:sz="4" w:space="0"/>
              <w:right w:val="single" w:color="auto" w:sz="12" w:space="0"/>
            </w:tcBorders>
            <w:vAlign w:val="center"/>
          </w:tcPr>
          <w:p>
            <w:pPr>
              <w:spacing w:line="360" w:lineRule="exact"/>
              <w:jc w:val="center"/>
              <w:rPr>
                <w:rFonts w:ascii="宋体"/>
                <w:color w:val="auto"/>
                <w:highlight w:val="none"/>
              </w:rPr>
            </w:pPr>
            <w:r>
              <w:rPr>
                <w:rFonts w:hint="eastAsia" w:ascii="宋体"/>
                <w:color w:val="auto"/>
                <w:highlight w:val="none"/>
              </w:rPr>
              <w:t>3、负责类似项目业绩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color w:val="auto"/>
                <w:highlight w:val="none"/>
              </w:rPr>
            </w:pPr>
            <w:r>
              <w:rPr>
                <w:rFonts w:hint="eastAsia" w:ascii="宋体"/>
                <w:color w:val="auto"/>
                <w:highlight w:val="none"/>
              </w:rPr>
              <w:t>序号</w:t>
            </w: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highlight w:val="none"/>
              </w:rPr>
            </w:pPr>
            <w:r>
              <w:rPr>
                <w:rFonts w:hint="eastAsia" w:ascii="宋体"/>
                <w:color w:val="auto"/>
                <w:highlight w:val="none"/>
              </w:rPr>
              <w:t>项  目  名  称</w:t>
            </w: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olor w:val="auto"/>
                <w:highlight w:val="none"/>
              </w:rPr>
            </w:pPr>
            <w:r>
              <w:rPr>
                <w:rFonts w:hint="eastAsia" w:ascii="宋体"/>
                <w:color w:val="auto"/>
                <w:highlight w:val="none"/>
              </w:rPr>
              <w:t>该项目中任何职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color w:val="auto"/>
                <w:highlight w:val="none"/>
              </w:rPr>
            </w:pPr>
          </w:p>
        </w:tc>
        <w:tc>
          <w:tcPr>
            <w:tcW w:w="558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color w:val="auto"/>
                <w:highlight w:val="none"/>
              </w:rPr>
            </w:pPr>
          </w:p>
        </w:tc>
        <w:tc>
          <w:tcPr>
            <w:tcW w:w="3037"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31" w:type="dxa"/>
            <w:tcBorders>
              <w:top w:val="single" w:color="auto" w:sz="4" w:space="0"/>
              <w:left w:val="single" w:color="auto" w:sz="12" w:space="0"/>
              <w:bottom w:val="single" w:color="auto" w:sz="12" w:space="0"/>
              <w:right w:val="single" w:color="auto" w:sz="4" w:space="0"/>
            </w:tcBorders>
            <w:vAlign w:val="center"/>
          </w:tcPr>
          <w:p>
            <w:pPr>
              <w:spacing w:line="360" w:lineRule="exact"/>
              <w:rPr>
                <w:rFonts w:ascii="宋体"/>
                <w:color w:val="auto"/>
                <w:highlight w:val="none"/>
              </w:rPr>
            </w:pPr>
          </w:p>
        </w:tc>
        <w:tc>
          <w:tcPr>
            <w:tcW w:w="5580" w:type="dxa"/>
            <w:gridSpan w:val="4"/>
            <w:tcBorders>
              <w:top w:val="single" w:color="auto" w:sz="4" w:space="0"/>
              <w:left w:val="single" w:color="auto" w:sz="4" w:space="0"/>
              <w:bottom w:val="single" w:color="auto" w:sz="12" w:space="0"/>
              <w:right w:val="single" w:color="auto" w:sz="4" w:space="0"/>
            </w:tcBorders>
            <w:vAlign w:val="center"/>
          </w:tcPr>
          <w:p>
            <w:pPr>
              <w:spacing w:line="360" w:lineRule="exact"/>
              <w:rPr>
                <w:rFonts w:ascii="宋体"/>
                <w:color w:val="auto"/>
                <w:highlight w:val="none"/>
              </w:rPr>
            </w:pPr>
          </w:p>
        </w:tc>
        <w:tc>
          <w:tcPr>
            <w:tcW w:w="3037" w:type="dxa"/>
            <w:gridSpan w:val="2"/>
            <w:tcBorders>
              <w:top w:val="single" w:color="auto" w:sz="4" w:space="0"/>
              <w:left w:val="single" w:color="auto" w:sz="4" w:space="0"/>
              <w:bottom w:val="single" w:color="auto" w:sz="12" w:space="0"/>
              <w:right w:val="single" w:color="auto" w:sz="12" w:space="0"/>
            </w:tcBorders>
            <w:vAlign w:val="center"/>
          </w:tcPr>
          <w:p>
            <w:pPr>
              <w:spacing w:line="360" w:lineRule="exact"/>
              <w:rPr>
                <w:rFonts w:ascii="宋体"/>
                <w:color w:val="auto"/>
                <w:highlight w:val="none"/>
              </w:rPr>
            </w:pPr>
          </w:p>
        </w:tc>
      </w:tr>
    </w:tbl>
    <w:p>
      <w:pPr>
        <w:spacing w:line="360" w:lineRule="exact"/>
        <w:ind w:left="770" w:hanging="770" w:hangingChars="350"/>
        <w:rPr>
          <w:rFonts w:ascii="宋体"/>
          <w:color w:val="auto"/>
          <w:sz w:val="22"/>
          <w:highlight w:val="none"/>
        </w:rPr>
      </w:pPr>
      <w:r>
        <w:rPr>
          <w:rFonts w:hint="eastAsia" w:ascii="宋体"/>
          <w:color w:val="auto"/>
          <w:sz w:val="22"/>
          <w:highlight w:val="none"/>
        </w:rPr>
        <w:t>注：1、本表应附相关证书、社保等证明。</w:t>
      </w:r>
    </w:p>
    <w:p>
      <w:pPr>
        <w:pStyle w:val="23"/>
        <w:spacing w:line="400" w:lineRule="atLeast"/>
        <w:ind w:left="4618" w:leftChars="156" w:hanging="4290" w:hangingChars="1950"/>
        <w:rPr>
          <w:rFonts w:hAnsi="宋体"/>
          <w:color w:val="auto"/>
          <w:sz w:val="22"/>
          <w:highlight w:val="none"/>
        </w:rPr>
      </w:pPr>
      <w:r>
        <w:rPr>
          <w:rFonts w:hint="eastAsia" w:hAnsi="宋体"/>
          <w:color w:val="auto"/>
          <w:sz w:val="22"/>
          <w:highlight w:val="none"/>
        </w:rPr>
        <w:t xml:space="preserve">2、本表可在不改变格式的情况下根据具体需要自行增减。 </w:t>
      </w:r>
    </w:p>
    <w:p>
      <w:pPr>
        <w:pStyle w:val="23"/>
        <w:spacing w:line="340" w:lineRule="exact"/>
        <w:ind w:left="657" w:leftChars="313" w:firstLine="4180" w:firstLineChars="1900"/>
        <w:rPr>
          <w:rFonts w:hAnsi="宋体"/>
          <w:color w:val="auto"/>
          <w:sz w:val="22"/>
          <w:highlight w:val="none"/>
        </w:rPr>
      </w:pPr>
      <w:r>
        <w:rPr>
          <w:rFonts w:hint="eastAsia" w:hAnsi="宋体"/>
          <w:color w:val="auto"/>
          <w:sz w:val="22"/>
          <w:highlight w:val="none"/>
        </w:rPr>
        <w:t>投标单位名称（盖章）：</w:t>
      </w:r>
    </w:p>
    <w:p>
      <w:pPr>
        <w:spacing w:line="440" w:lineRule="atLeast"/>
        <w:rPr>
          <w:rFonts w:ascii="宋体"/>
          <w:color w:val="auto"/>
          <w:sz w:val="22"/>
          <w:szCs w:val="22"/>
          <w:highlight w:val="none"/>
        </w:rPr>
      </w:pPr>
      <w:r>
        <w:rPr>
          <w:rFonts w:hint="eastAsia" w:ascii="宋体"/>
          <w:color w:val="auto"/>
          <w:sz w:val="22"/>
          <w:highlight w:val="none"/>
        </w:rPr>
        <w:t xml:space="preserve">                                            </w:t>
      </w:r>
      <w:r>
        <w:rPr>
          <w:rFonts w:hint="eastAsia" w:ascii="宋体"/>
          <w:color w:val="auto"/>
          <w:sz w:val="22"/>
          <w:szCs w:val="22"/>
          <w:highlight w:val="none"/>
        </w:rPr>
        <w:t>法定代表人或授权代表（签字或盖章）：</w:t>
      </w:r>
    </w:p>
    <w:p>
      <w:pPr>
        <w:pStyle w:val="23"/>
        <w:tabs>
          <w:tab w:val="left" w:pos="0"/>
          <w:tab w:val="left" w:pos="540"/>
        </w:tabs>
        <w:spacing w:line="340" w:lineRule="exact"/>
        <w:rPr>
          <w:rFonts w:hAnsi="宋体"/>
          <w:color w:val="auto"/>
          <w:sz w:val="22"/>
          <w:highlight w:val="none"/>
        </w:rPr>
      </w:pPr>
      <w:r>
        <w:rPr>
          <w:rFonts w:hint="eastAsia" w:hAnsi="宋体"/>
          <w:color w:val="auto"/>
          <w:sz w:val="22"/>
          <w:highlight w:val="none"/>
        </w:rPr>
        <w:t xml:space="preserve">                                            日    期：    年   月   日</w:t>
      </w:r>
    </w:p>
    <w:p>
      <w:pPr>
        <w:pStyle w:val="39"/>
        <w:jc w:val="left"/>
        <w:rPr>
          <w:rFonts w:ascii="宋体" w:hAnsi="宋体" w:cs="宋体"/>
          <w:b w:val="0"/>
          <w:color w:val="auto"/>
          <w:sz w:val="22"/>
          <w:szCs w:val="22"/>
          <w:highlight w:val="none"/>
        </w:rPr>
      </w:pPr>
    </w:p>
    <w:p>
      <w:pPr>
        <w:widowControl/>
        <w:jc w:val="center"/>
        <w:rPr>
          <w:rFonts w:ascii="宋体"/>
          <w:b/>
          <w:color w:val="auto"/>
          <w:sz w:val="28"/>
          <w:szCs w:val="28"/>
          <w:highlight w:val="none"/>
        </w:rPr>
      </w:pPr>
      <w:r>
        <w:rPr>
          <w:rFonts w:ascii="宋体"/>
          <w:color w:val="auto"/>
          <w:sz w:val="28"/>
          <w:szCs w:val="28"/>
          <w:highlight w:val="none"/>
        </w:rPr>
        <w:br w:type="page"/>
      </w:r>
      <w:r>
        <w:rPr>
          <w:rFonts w:hint="eastAsia" w:ascii="宋体"/>
          <w:color w:val="auto"/>
          <w:sz w:val="28"/>
          <w:szCs w:val="28"/>
          <w:highlight w:val="none"/>
        </w:rPr>
        <w:t>（2）项目组人员一览表</w:t>
      </w:r>
    </w:p>
    <w:p>
      <w:pPr>
        <w:rPr>
          <w:rFonts w:ascii="宋体"/>
          <w:color w:val="auto"/>
          <w:highlight w:val="none"/>
        </w:rPr>
      </w:pPr>
    </w:p>
    <w:p>
      <w:pPr>
        <w:spacing w:line="360" w:lineRule="exact"/>
        <w:rPr>
          <w:rFonts w:ascii="宋体"/>
          <w:color w:val="auto"/>
          <w:highlight w:val="none"/>
        </w:rPr>
      </w:pPr>
      <w:r>
        <w:rPr>
          <w:rFonts w:hint="eastAsia" w:ascii="宋体"/>
          <w:color w:val="auto"/>
          <w:sz w:val="22"/>
          <w:highlight w:val="none"/>
        </w:rPr>
        <w:t>项目名称：                                        项目编号：</w:t>
      </w:r>
    </w:p>
    <w:tbl>
      <w:tblPr>
        <w:tblStyle w:val="41"/>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013"/>
        <w:gridCol w:w="1013"/>
        <w:gridCol w:w="1340"/>
        <w:gridCol w:w="1317"/>
        <w:gridCol w:w="1392"/>
        <w:gridCol w:w="1435"/>
        <w:gridCol w:w="14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 w:hRule="atLeast"/>
        </w:trPr>
        <w:tc>
          <w:tcPr>
            <w:tcW w:w="909" w:type="dxa"/>
            <w:tcBorders>
              <w:top w:val="single" w:color="auto" w:sz="12" w:space="0"/>
              <w:left w:val="single" w:color="auto" w:sz="12" w:space="0"/>
              <w:bottom w:val="single" w:color="auto" w:sz="4" w:space="0"/>
              <w:right w:val="single" w:color="auto" w:sz="4" w:space="0"/>
            </w:tcBorders>
            <w:vAlign w:val="center"/>
          </w:tcPr>
          <w:p>
            <w:pPr>
              <w:spacing w:line="300" w:lineRule="exact"/>
              <w:jc w:val="center"/>
              <w:rPr>
                <w:rFonts w:ascii="宋体"/>
                <w:color w:val="auto"/>
                <w:sz w:val="22"/>
                <w:highlight w:val="none"/>
              </w:rPr>
            </w:pPr>
            <w:r>
              <w:rPr>
                <w:rFonts w:hint="eastAsia" w:ascii="宋体"/>
                <w:color w:val="auto"/>
                <w:sz w:val="22"/>
                <w:szCs w:val="22"/>
                <w:highlight w:val="none"/>
              </w:rPr>
              <w:t>姓名</w:t>
            </w:r>
          </w:p>
        </w:tc>
        <w:tc>
          <w:tcPr>
            <w:tcW w:w="1013"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color w:val="auto"/>
                <w:sz w:val="22"/>
                <w:highlight w:val="none"/>
              </w:rPr>
            </w:pPr>
            <w:r>
              <w:rPr>
                <w:rFonts w:hint="eastAsia" w:ascii="宋体"/>
                <w:color w:val="auto"/>
                <w:sz w:val="22"/>
                <w:szCs w:val="22"/>
                <w:highlight w:val="none"/>
              </w:rPr>
              <w:t>性别</w:t>
            </w:r>
          </w:p>
        </w:tc>
        <w:tc>
          <w:tcPr>
            <w:tcW w:w="1013"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color w:val="auto"/>
                <w:sz w:val="22"/>
                <w:highlight w:val="none"/>
              </w:rPr>
            </w:pPr>
            <w:r>
              <w:rPr>
                <w:rFonts w:hint="eastAsia" w:ascii="宋体"/>
                <w:color w:val="auto"/>
                <w:sz w:val="22"/>
                <w:szCs w:val="22"/>
                <w:highlight w:val="none"/>
              </w:rPr>
              <w:t>年龄</w:t>
            </w:r>
          </w:p>
        </w:tc>
        <w:tc>
          <w:tcPr>
            <w:tcW w:w="1340"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color w:val="auto"/>
                <w:sz w:val="22"/>
                <w:highlight w:val="none"/>
              </w:rPr>
            </w:pPr>
            <w:r>
              <w:rPr>
                <w:rFonts w:hint="eastAsia" w:ascii="宋体"/>
                <w:color w:val="auto"/>
                <w:sz w:val="22"/>
                <w:szCs w:val="22"/>
                <w:highlight w:val="none"/>
              </w:rPr>
              <w:t>学历/职称</w:t>
            </w:r>
          </w:p>
        </w:tc>
        <w:tc>
          <w:tcPr>
            <w:tcW w:w="1317"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color w:val="auto"/>
                <w:sz w:val="22"/>
                <w:highlight w:val="none"/>
              </w:rPr>
            </w:pPr>
            <w:r>
              <w:rPr>
                <w:rFonts w:hint="eastAsia" w:ascii="宋体"/>
                <w:color w:val="auto"/>
                <w:sz w:val="22"/>
                <w:szCs w:val="22"/>
                <w:highlight w:val="none"/>
              </w:rPr>
              <w:t>专业</w:t>
            </w:r>
          </w:p>
        </w:tc>
        <w:tc>
          <w:tcPr>
            <w:tcW w:w="1392" w:type="dxa"/>
            <w:tcBorders>
              <w:top w:val="single" w:color="auto" w:sz="12" w:space="0"/>
              <w:left w:val="single" w:color="auto" w:sz="4" w:space="0"/>
              <w:bottom w:val="single" w:color="auto" w:sz="4" w:space="0"/>
              <w:right w:val="single" w:color="auto" w:sz="4" w:space="0"/>
            </w:tcBorders>
            <w:vAlign w:val="center"/>
          </w:tcPr>
          <w:p>
            <w:pPr>
              <w:spacing w:line="300" w:lineRule="exact"/>
              <w:rPr>
                <w:rFonts w:ascii="宋体"/>
                <w:color w:val="auto"/>
                <w:sz w:val="22"/>
                <w:highlight w:val="none"/>
              </w:rPr>
            </w:pPr>
            <w:r>
              <w:rPr>
                <w:rFonts w:hint="eastAsia" w:ascii="宋体"/>
                <w:color w:val="auto"/>
                <w:sz w:val="22"/>
                <w:szCs w:val="22"/>
                <w:highlight w:val="none"/>
              </w:rPr>
              <w:t>专业工作年限</w:t>
            </w:r>
          </w:p>
        </w:tc>
        <w:tc>
          <w:tcPr>
            <w:tcW w:w="1435" w:type="dxa"/>
            <w:tcBorders>
              <w:top w:val="single" w:color="auto" w:sz="12" w:space="0"/>
              <w:left w:val="single" w:color="auto" w:sz="4" w:space="0"/>
              <w:bottom w:val="single" w:color="auto" w:sz="4" w:space="0"/>
              <w:right w:val="single" w:color="auto" w:sz="4" w:space="0"/>
            </w:tcBorders>
            <w:vAlign w:val="center"/>
          </w:tcPr>
          <w:p>
            <w:pPr>
              <w:spacing w:line="300" w:lineRule="exact"/>
              <w:jc w:val="center"/>
              <w:rPr>
                <w:rFonts w:ascii="宋体"/>
                <w:color w:val="auto"/>
                <w:sz w:val="22"/>
                <w:highlight w:val="none"/>
              </w:rPr>
            </w:pPr>
            <w:r>
              <w:rPr>
                <w:rFonts w:hint="eastAsia" w:ascii="宋体"/>
                <w:color w:val="auto"/>
                <w:sz w:val="22"/>
                <w:szCs w:val="22"/>
                <w:highlight w:val="none"/>
              </w:rPr>
              <w:t>拟任何职</w:t>
            </w:r>
          </w:p>
        </w:tc>
        <w:tc>
          <w:tcPr>
            <w:tcW w:w="1435" w:type="dxa"/>
            <w:tcBorders>
              <w:top w:val="single" w:color="auto" w:sz="12" w:space="0"/>
              <w:left w:val="single" w:color="auto" w:sz="4" w:space="0"/>
              <w:bottom w:val="single" w:color="auto" w:sz="4" w:space="0"/>
              <w:right w:val="single" w:color="auto" w:sz="12" w:space="0"/>
            </w:tcBorders>
            <w:vAlign w:val="center"/>
          </w:tcPr>
          <w:p>
            <w:pPr>
              <w:spacing w:line="300" w:lineRule="exact"/>
              <w:jc w:val="center"/>
              <w:rPr>
                <w:rFonts w:ascii="宋体"/>
                <w:color w:val="auto"/>
                <w:sz w:val="22"/>
                <w:highlight w:val="none"/>
              </w:rPr>
            </w:pPr>
            <w:r>
              <w:rPr>
                <w:rFonts w:ascii="宋体"/>
                <w:color w:val="auto"/>
                <w:sz w:val="22"/>
                <w:szCs w:val="22"/>
                <w:highlight w:val="none"/>
              </w:rPr>
              <w:t>是否常驻</w:t>
            </w:r>
            <w:r>
              <w:rPr>
                <w:rFonts w:hint="eastAsia" w:ascii="宋体"/>
                <w:color w:val="auto"/>
                <w:sz w:val="22"/>
                <w:szCs w:val="22"/>
                <w:highlight w:val="none"/>
              </w:rPr>
              <w:t>（填：是或否）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exact"/>
        </w:trPr>
        <w:tc>
          <w:tcPr>
            <w:tcW w:w="90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exact"/>
        </w:trPr>
        <w:tc>
          <w:tcPr>
            <w:tcW w:w="90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exact"/>
        </w:trPr>
        <w:tc>
          <w:tcPr>
            <w:tcW w:w="90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exact"/>
        </w:trPr>
        <w:tc>
          <w:tcPr>
            <w:tcW w:w="90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exact"/>
        </w:trPr>
        <w:tc>
          <w:tcPr>
            <w:tcW w:w="90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exact"/>
        </w:trPr>
        <w:tc>
          <w:tcPr>
            <w:tcW w:w="90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exact"/>
        </w:trPr>
        <w:tc>
          <w:tcPr>
            <w:tcW w:w="90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exact"/>
        </w:trPr>
        <w:tc>
          <w:tcPr>
            <w:tcW w:w="90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exact"/>
        </w:trPr>
        <w:tc>
          <w:tcPr>
            <w:tcW w:w="90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exact"/>
        </w:trPr>
        <w:tc>
          <w:tcPr>
            <w:tcW w:w="90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exact"/>
        </w:trPr>
        <w:tc>
          <w:tcPr>
            <w:tcW w:w="90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exact"/>
        </w:trPr>
        <w:tc>
          <w:tcPr>
            <w:tcW w:w="909"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color w:val="auto"/>
                <w:sz w:val="22"/>
                <w:highlight w:val="none"/>
              </w:rPr>
            </w:pPr>
          </w:p>
        </w:tc>
        <w:tc>
          <w:tcPr>
            <w:tcW w:w="1013"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color w:val="auto"/>
                <w:sz w:val="22"/>
                <w:highlight w:val="none"/>
              </w:rPr>
            </w:pPr>
          </w:p>
        </w:tc>
        <w:tc>
          <w:tcPr>
            <w:tcW w:w="1340"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color w:val="auto"/>
                <w:sz w:val="22"/>
                <w:highlight w:val="none"/>
              </w:rPr>
            </w:pPr>
          </w:p>
        </w:tc>
        <w:tc>
          <w:tcPr>
            <w:tcW w:w="1317"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color w:val="auto"/>
                <w:sz w:val="22"/>
                <w:highlight w:val="none"/>
              </w:rPr>
            </w:pPr>
          </w:p>
        </w:tc>
        <w:tc>
          <w:tcPr>
            <w:tcW w:w="1392"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color w:val="auto"/>
                <w:sz w:val="22"/>
                <w:highlight w:val="none"/>
              </w:rPr>
            </w:pPr>
          </w:p>
        </w:tc>
        <w:tc>
          <w:tcPr>
            <w:tcW w:w="1435"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rFonts w:ascii="宋体"/>
                <w:color w:val="auto"/>
                <w:sz w:val="22"/>
                <w:highlight w:val="none"/>
              </w:rPr>
            </w:pPr>
          </w:p>
        </w:tc>
      </w:tr>
    </w:tbl>
    <w:p>
      <w:pPr>
        <w:spacing w:line="360" w:lineRule="exact"/>
        <w:ind w:left="660" w:hanging="660" w:hangingChars="300"/>
        <w:rPr>
          <w:rFonts w:ascii="宋体"/>
          <w:color w:val="auto"/>
          <w:sz w:val="22"/>
          <w:highlight w:val="none"/>
        </w:rPr>
      </w:pPr>
      <w:r>
        <w:rPr>
          <w:rFonts w:hint="eastAsia" w:ascii="宋体"/>
          <w:color w:val="auto"/>
          <w:sz w:val="22"/>
          <w:highlight w:val="none"/>
        </w:rPr>
        <w:t>注：1、本表应附所列项目组成员相关证书、社保等证明。</w:t>
      </w:r>
    </w:p>
    <w:p>
      <w:pPr>
        <w:pStyle w:val="23"/>
        <w:tabs>
          <w:tab w:val="left" w:pos="0"/>
          <w:tab w:val="left" w:pos="540"/>
        </w:tabs>
        <w:spacing w:line="300" w:lineRule="auto"/>
        <w:ind w:left="438" w:leftChars="156" w:hanging="110" w:hangingChars="50"/>
        <w:rPr>
          <w:rFonts w:hAnsi="宋体"/>
          <w:color w:val="auto"/>
          <w:sz w:val="22"/>
          <w:szCs w:val="22"/>
          <w:highlight w:val="none"/>
        </w:rPr>
      </w:pPr>
      <w:r>
        <w:rPr>
          <w:rFonts w:hint="eastAsia" w:hAnsi="宋体"/>
          <w:color w:val="auto"/>
          <w:sz w:val="22"/>
          <w:szCs w:val="22"/>
          <w:highlight w:val="none"/>
        </w:rPr>
        <w:t>2、此表仅提供了表格形式，可按此表格复制。</w:t>
      </w:r>
    </w:p>
    <w:p>
      <w:pPr>
        <w:pStyle w:val="23"/>
        <w:tabs>
          <w:tab w:val="left" w:pos="0"/>
          <w:tab w:val="left" w:pos="540"/>
        </w:tabs>
        <w:spacing w:line="300" w:lineRule="auto"/>
        <w:ind w:left="438" w:leftChars="156" w:hanging="110" w:hangingChars="50"/>
        <w:rPr>
          <w:rFonts w:hAnsi="宋体"/>
          <w:color w:val="auto"/>
          <w:sz w:val="22"/>
          <w:szCs w:val="22"/>
          <w:highlight w:val="none"/>
        </w:rPr>
      </w:pPr>
    </w:p>
    <w:p>
      <w:pPr>
        <w:pStyle w:val="23"/>
        <w:spacing w:line="340" w:lineRule="exact"/>
        <w:ind w:left="657" w:leftChars="313" w:firstLine="4180" w:firstLineChars="1900"/>
        <w:rPr>
          <w:rFonts w:hAnsi="宋体"/>
          <w:color w:val="auto"/>
          <w:sz w:val="22"/>
          <w:highlight w:val="none"/>
        </w:rPr>
      </w:pPr>
      <w:r>
        <w:rPr>
          <w:rFonts w:hint="eastAsia" w:hAnsi="宋体"/>
          <w:color w:val="auto"/>
          <w:sz w:val="22"/>
          <w:highlight w:val="none"/>
        </w:rPr>
        <w:t>投标单位名称（盖章）：</w:t>
      </w:r>
    </w:p>
    <w:p>
      <w:pPr>
        <w:spacing w:line="440" w:lineRule="atLeast"/>
        <w:rPr>
          <w:rFonts w:ascii="宋体"/>
          <w:color w:val="auto"/>
          <w:sz w:val="22"/>
          <w:szCs w:val="22"/>
          <w:highlight w:val="none"/>
        </w:rPr>
      </w:pPr>
      <w:r>
        <w:rPr>
          <w:rFonts w:hint="eastAsia" w:ascii="宋体"/>
          <w:color w:val="auto"/>
          <w:sz w:val="22"/>
          <w:highlight w:val="none"/>
        </w:rPr>
        <w:t xml:space="preserve">                                            </w:t>
      </w:r>
      <w:r>
        <w:rPr>
          <w:rFonts w:hint="eastAsia" w:ascii="宋体"/>
          <w:color w:val="auto"/>
          <w:sz w:val="22"/>
          <w:szCs w:val="22"/>
          <w:highlight w:val="none"/>
        </w:rPr>
        <w:t>法定代表人或授权代表（签字或盖章）：</w:t>
      </w:r>
    </w:p>
    <w:p>
      <w:pPr>
        <w:pStyle w:val="23"/>
        <w:tabs>
          <w:tab w:val="left" w:pos="0"/>
          <w:tab w:val="left" w:pos="540"/>
        </w:tabs>
        <w:spacing w:line="340" w:lineRule="exact"/>
        <w:rPr>
          <w:rFonts w:hAnsi="宋体"/>
          <w:color w:val="auto"/>
          <w:sz w:val="22"/>
          <w:highlight w:val="none"/>
        </w:rPr>
      </w:pPr>
      <w:r>
        <w:rPr>
          <w:rFonts w:hint="eastAsia" w:hAnsi="宋体"/>
          <w:color w:val="auto"/>
          <w:sz w:val="22"/>
          <w:highlight w:val="none"/>
        </w:rPr>
        <w:t xml:space="preserve">                                            日    期：    年   月   日</w:t>
      </w:r>
    </w:p>
    <w:p>
      <w:pPr>
        <w:pStyle w:val="39"/>
        <w:jc w:val="left"/>
        <w:rPr>
          <w:rFonts w:ascii="宋体" w:cs="Times New Roman"/>
          <w:b w:val="0"/>
          <w:bCs w:val="0"/>
          <w:color w:val="auto"/>
          <w:sz w:val="22"/>
          <w:szCs w:val="22"/>
          <w:highlight w:val="none"/>
        </w:rPr>
      </w:pPr>
    </w:p>
    <w:p>
      <w:pPr>
        <w:pStyle w:val="23"/>
        <w:spacing w:line="400" w:lineRule="atLeast"/>
        <w:ind w:left="632" w:hanging="632" w:hangingChars="300"/>
        <w:jc w:val="center"/>
        <w:rPr>
          <w:rFonts w:ascii="新宋体" w:hAnsi="新宋体" w:eastAsia="新宋体" w:cs="Times New Roman"/>
          <w:b/>
          <w:bCs/>
          <w:color w:val="auto"/>
          <w:highlight w:val="none"/>
        </w:rPr>
      </w:pPr>
    </w:p>
    <w:p>
      <w:pPr>
        <w:pStyle w:val="39"/>
        <w:rPr>
          <w:rFonts w:ascii="宋体" w:cs="Times New Roman"/>
          <w:color w:val="auto"/>
          <w:sz w:val="30"/>
          <w:szCs w:val="30"/>
          <w:highlight w:val="none"/>
        </w:rPr>
      </w:pPr>
      <w:r>
        <w:rPr>
          <w:rFonts w:ascii="新宋体" w:hAnsi="新宋体" w:eastAsia="新宋体"/>
          <w:color w:val="auto"/>
          <w:sz w:val="28"/>
          <w:szCs w:val="28"/>
          <w:highlight w:val="none"/>
        </w:rPr>
        <w:br w:type="page"/>
      </w:r>
      <w:bookmarkEnd w:id="110"/>
      <w:bookmarkStart w:id="230" w:name="_Toc1824"/>
      <w:r>
        <w:rPr>
          <w:rFonts w:hint="eastAsia" w:ascii="宋体" w:hAnsi="宋体" w:cs="宋体"/>
          <w:color w:val="auto"/>
          <w:sz w:val="30"/>
          <w:szCs w:val="30"/>
          <w:highlight w:val="none"/>
        </w:rPr>
        <w:t>第七部分</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评标定标办法</w:t>
      </w:r>
      <w:bookmarkEnd w:id="104"/>
      <w:bookmarkEnd w:id="105"/>
      <w:bookmarkEnd w:id="106"/>
      <w:bookmarkEnd w:id="230"/>
    </w:p>
    <w:p>
      <w:pPr>
        <w:tabs>
          <w:tab w:val="left" w:pos="8820"/>
        </w:tabs>
        <w:adjustRightInd w:val="0"/>
        <w:snapToGrid w:val="0"/>
        <w:spacing w:before="100" w:after="50" w:line="460" w:lineRule="atLeast"/>
        <w:ind w:firstLine="440" w:firstLineChars="200"/>
        <w:rPr>
          <w:rFonts w:ascii="宋体"/>
          <w:color w:val="auto"/>
          <w:sz w:val="22"/>
          <w:szCs w:val="22"/>
          <w:highlight w:val="none"/>
        </w:rPr>
      </w:pPr>
      <w:r>
        <w:rPr>
          <w:rFonts w:hint="eastAsia" w:ascii="宋体" w:hAnsi="宋体" w:cs="宋体"/>
          <w:color w:val="auto"/>
          <w:sz w:val="22"/>
          <w:szCs w:val="22"/>
          <w:highlight w:val="none"/>
        </w:rPr>
        <w:t>根据《中华人民共和国政府采购法》等有关政府采购法规，结合本次所要采购服务的实际，按照公平、公正、科学、择优的原则选择中标供应商，特制定本评标办法。</w:t>
      </w:r>
    </w:p>
    <w:p>
      <w:pPr>
        <w:adjustRightInd w:val="0"/>
        <w:snapToGrid w:val="0"/>
        <w:spacing w:before="156" w:beforeLines="50" w:after="50" w:line="460" w:lineRule="atLeast"/>
        <w:jc w:val="center"/>
        <w:rPr>
          <w:rFonts w:ascii="宋体"/>
          <w:color w:val="auto"/>
          <w:sz w:val="22"/>
          <w:szCs w:val="22"/>
          <w:highlight w:val="none"/>
        </w:rPr>
      </w:pPr>
      <w:r>
        <w:rPr>
          <w:rFonts w:hint="eastAsia" w:ascii="宋体" w:hAnsi="宋体" w:cs="宋体"/>
          <w:color w:val="auto"/>
          <w:sz w:val="22"/>
          <w:szCs w:val="22"/>
          <w:highlight w:val="none"/>
        </w:rPr>
        <w:t>一、总则</w:t>
      </w:r>
    </w:p>
    <w:p>
      <w:pPr>
        <w:pStyle w:val="25"/>
        <w:adjustRightInd w:val="0"/>
        <w:snapToGrid w:val="0"/>
        <w:spacing w:before="100" w:after="50" w:line="460" w:lineRule="atLeast"/>
        <w:rPr>
          <w:rFonts w:eastAsia="宋体" w:cs="Times New Roman"/>
          <w:b w:val="0"/>
          <w:bCs w:val="0"/>
          <w:color w:val="auto"/>
          <w:sz w:val="22"/>
          <w:szCs w:val="22"/>
          <w:highlight w:val="none"/>
        </w:rPr>
      </w:pPr>
      <w:r>
        <w:rPr>
          <w:rFonts w:hint="eastAsia" w:eastAsia="宋体"/>
          <w:b w:val="0"/>
          <w:bCs w:val="0"/>
          <w:color w:val="auto"/>
          <w:sz w:val="22"/>
          <w:szCs w:val="22"/>
          <w:highlight w:val="none"/>
        </w:rPr>
        <w:t>评标工作遵循公平、公正、民主、科学的原则和诚实、信誉、效率的服务原则。本着科学、严谨的态度，认真进行评标。择优选定服务供应商，确保服务质量，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156" w:beforeLines="50" w:after="50" w:line="460" w:lineRule="atLeast"/>
        <w:jc w:val="center"/>
        <w:rPr>
          <w:rFonts w:ascii="宋体"/>
          <w:color w:val="auto"/>
          <w:sz w:val="22"/>
          <w:szCs w:val="22"/>
          <w:highlight w:val="none"/>
        </w:rPr>
      </w:pPr>
      <w:r>
        <w:rPr>
          <w:rFonts w:hint="eastAsia" w:ascii="宋体" w:hAnsi="宋体" w:cs="宋体"/>
          <w:color w:val="auto"/>
          <w:sz w:val="22"/>
          <w:szCs w:val="22"/>
          <w:highlight w:val="none"/>
        </w:rPr>
        <w:t>二、评标组织</w:t>
      </w:r>
    </w:p>
    <w:p>
      <w:pPr>
        <w:pStyle w:val="25"/>
        <w:adjustRightInd w:val="0"/>
        <w:snapToGrid w:val="0"/>
        <w:spacing w:before="100" w:after="50" w:line="460" w:lineRule="atLeast"/>
        <w:rPr>
          <w:rFonts w:eastAsia="宋体" w:cs="Times New Roman"/>
          <w:b w:val="0"/>
          <w:bCs w:val="0"/>
          <w:color w:val="auto"/>
          <w:sz w:val="22"/>
          <w:szCs w:val="22"/>
          <w:highlight w:val="none"/>
        </w:rPr>
      </w:pPr>
      <w:r>
        <w:rPr>
          <w:rFonts w:hint="eastAsia" w:eastAsia="宋体"/>
          <w:b w:val="0"/>
          <w:bCs w:val="0"/>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72"/>
        <w:widowControl w:val="0"/>
        <w:pBdr>
          <w:left w:val="none" w:color="auto" w:sz="0" w:space="0"/>
          <w:bottom w:val="none" w:color="auto" w:sz="0" w:space="0"/>
          <w:right w:val="none" w:color="auto" w:sz="0" w:space="0"/>
        </w:pBdr>
        <w:adjustRightInd w:val="0"/>
        <w:snapToGrid w:val="0"/>
        <w:spacing w:before="156" w:beforeLines="50" w:beforeAutospacing="0" w:after="50" w:afterAutospacing="0" w:line="460" w:lineRule="atLeast"/>
        <w:textAlignment w:val="auto"/>
        <w:rPr>
          <w:rFonts w:ascii="宋体" w:cs="Times New Roman"/>
          <w:b w:val="0"/>
          <w:bCs w:val="0"/>
          <w:color w:val="auto"/>
          <w:kern w:val="2"/>
          <w:sz w:val="22"/>
          <w:szCs w:val="22"/>
          <w:highlight w:val="none"/>
        </w:rPr>
      </w:pPr>
      <w:r>
        <w:rPr>
          <w:rFonts w:hint="eastAsia" w:ascii="宋体" w:hAnsi="宋体" w:cs="宋体"/>
          <w:b w:val="0"/>
          <w:bCs w:val="0"/>
          <w:color w:val="auto"/>
          <w:kern w:val="2"/>
          <w:sz w:val="22"/>
          <w:szCs w:val="22"/>
          <w:highlight w:val="none"/>
        </w:rPr>
        <w:t>三、评标程序</w:t>
      </w:r>
    </w:p>
    <w:p>
      <w:pPr>
        <w:adjustRightInd w:val="0"/>
        <w:snapToGrid w:val="0"/>
        <w:spacing w:before="100" w:after="50" w:line="460" w:lineRule="atLeast"/>
        <w:ind w:firstLine="440" w:firstLineChars="200"/>
        <w:rPr>
          <w:rFonts w:ascii="宋体"/>
          <w:color w:val="auto"/>
          <w:sz w:val="22"/>
          <w:szCs w:val="22"/>
          <w:highlight w:val="none"/>
        </w:rPr>
      </w:pPr>
      <w:r>
        <w:rPr>
          <w:rFonts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pPr>
        <w:pStyle w:val="7"/>
        <w:adjustRightInd w:val="0"/>
        <w:snapToGrid w:val="0"/>
        <w:spacing w:before="156" w:beforeLines="50" w:after="50" w:line="460" w:lineRule="atLeast"/>
        <w:ind w:firstLine="440"/>
        <w:rPr>
          <w:rFonts w:ascii="宋体" w:eastAsia="宋体" w:cs="Times New Roman"/>
          <w:b w:val="0"/>
          <w:bCs w:val="0"/>
          <w:color w:val="auto"/>
          <w:sz w:val="22"/>
          <w:szCs w:val="22"/>
          <w:highlight w:val="none"/>
        </w:rPr>
      </w:pPr>
      <w:r>
        <w:rPr>
          <w:rFonts w:ascii="宋体" w:eastAsia="宋体" w:cs="宋体"/>
          <w:b w:val="0"/>
          <w:bCs w:val="0"/>
          <w:color w:val="auto"/>
          <w:sz w:val="22"/>
          <w:szCs w:val="22"/>
          <w:highlight w:val="none"/>
        </w:rPr>
        <w:t>2</w:t>
      </w:r>
      <w:r>
        <w:rPr>
          <w:rFonts w:hint="eastAsia" w:ascii="宋体" w:eastAsia="宋体" w:cs="宋体"/>
          <w:b w:val="0"/>
          <w:bCs w:val="0"/>
          <w:color w:val="auto"/>
          <w:sz w:val="22"/>
          <w:szCs w:val="22"/>
          <w:highlight w:val="none"/>
        </w:rPr>
        <w:t>、由评标委员会根据评审报告推荐综合得分第一名的供应商为中标人。如果第一名得分相同，以报价低的优先；报价也相同，以抽签随机决定。</w:t>
      </w:r>
    </w:p>
    <w:p>
      <w:pPr>
        <w:pStyle w:val="7"/>
        <w:adjustRightInd w:val="0"/>
        <w:snapToGrid w:val="0"/>
        <w:spacing w:before="156" w:beforeLines="50" w:after="50" w:line="460" w:lineRule="atLeast"/>
        <w:ind w:firstLine="440"/>
        <w:rPr>
          <w:rFonts w:ascii="宋体" w:eastAsia="宋体" w:cs="宋体"/>
          <w:b w:val="0"/>
          <w:bCs w:val="0"/>
          <w:color w:val="auto"/>
          <w:sz w:val="22"/>
          <w:szCs w:val="22"/>
          <w:highlight w:val="none"/>
        </w:rPr>
      </w:pPr>
      <w:r>
        <w:rPr>
          <w:rFonts w:ascii="宋体" w:eastAsia="宋体" w:cs="宋体"/>
          <w:b w:val="0"/>
          <w:bCs w:val="0"/>
          <w:color w:val="auto"/>
          <w:sz w:val="22"/>
          <w:szCs w:val="22"/>
          <w:highlight w:val="none"/>
        </w:rPr>
        <w:t>3</w:t>
      </w:r>
      <w:r>
        <w:rPr>
          <w:rFonts w:hint="eastAsia" w:ascii="宋体" w:eastAsia="宋体" w:cs="宋体"/>
          <w:b w:val="0"/>
          <w:bCs w:val="0"/>
          <w:color w:val="auto"/>
          <w:sz w:val="22"/>
          <w:szCs w:val="22"/>
          <w:highlight w:val="none"/>
        </w:rPr>
        <w:t>、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w:t>
      </w:r>
      <w:r>
        <w:rPr>
          <w:rFonts w:ascii="宋体" w:eastAsia="宋体" w:cs="宋体"/>
          <w:b w:val="0"/>
          <w:bCs w:val="0"/>
          <w:color w:val="auto"/>
          <w:sz w:val="22"/>
          <w:szCs w:val="22"/>
          <w:highlight w:val="none"/>
        </w:rPr>
        <w:t xml:space="preserve"> </w:t>
      </w:r>
    </w:p>
    <w:p>
      <w:pPr>
        <w:pStyle w:val="7"/>
        <w:adjustRightInd w:val="0"/>
        <w:snapToGrid w:val="0"/>
        <w:spacing w:before="156" w:beforeLines="50" w:after="50" w:line="460" w:lineRule="atLeast"/>
        <w:ind w:firstLine="440"/>
        <w:rPr>
          <w:rFonts w:ascii="宋体" w:eastAsia="宋体" w:cs="Times New Roman"/>
          <w:b w:val="0"/>
          <w:bCs w:val="0"/>
          <w:color w:val="auto"/>
          <w:sz w:val="22"/>
          <w:szCs w:val="22"/>
          <w:highlight w:val="none"/>
        </w:rPr>
      </w:pPr>
      <w:r>
        <w:rPr>
          <w:rFonts w:ascii="宋体" w:eastAsia="宋体" w:cs="宋体"/>
          <w:b w:val="0"/>
          <w:bCs w:val="0"/>
          <w:color w:val="auto"/>
          <w:sz w:val="22"/>
          <w:szCs w:val="22"/>
          <w:highlight w:val="none"/>
        </w:rPr>
        <w:t>4</w:t>
      </w:r>
      <w:r>
        <w:rPr>
          <w:rFonts w:hint="eastAsia" w:ascii="宋体" w:eastAsia="宋体" w:cs="宋体"/>
          <w:b w:val="0"/>
          <w:bCs w:val="0"/>
          <w:color w:val="auto"/>
          <w:sz w:val="22"/>
          <w:szCs w:val="22"/>
          <w:highlight w:val="none"/>
        </w:rPr>
        <w:t>、如果无候选供应商，或者侯选供应商因前款规定的同样原因不能签订合同的，本次采购失败，重新组织采购。</w:t>
      </w:r>
    </w:p>
    <w:p>
      <w:pPr>
        <w:pStyle w:val="7"/>
        <w:adjustRightInd w:val="0"/>
        <w:snapToGrid w:val="0"/>
        <w:spacing w:before="156" w:beforeLines="50" w:after="50" w:line="460" w:lineRule="atLeast"/>
        <w:ind w:firstLine="440"/>
        <w:rPr>
          <w:rFonts w:ascii="宋体" w:eastAsia="宋体" w:cs="Times New Roman"/>
          <w:b w:val="0"/>
          <w:bCs w:val="0"/>
          <w:color w:val="auto"/>
          <w:sz w:val="22"/>
          <w:szCs w:val="22"/>
          <w:highlight w:val="none"/>
        </w:rPr>
      </w:pPr>
      <w:r>
        <w:rPr>
          <w:rFonts w:ascii="宋体" w:eastAsia="宋体" w:cs="宋体"/>
          <w:b w:val="0"/>
          <w:bCs w:val="0"/>
          <w:color w:val="auto"/>
          <w:sz w:val="22"/>
          <w:szCs w:val="22"/>
          <w:highlight w:val="none"/>
        </w:rPr>
        <w:t>5</w:t>
      </w:r>
      <w:r>
        <w:rPr>
          <w:rFonts w:hint="eastAsia" w:ascii="宋体" w:eastAsia="宋体" w:cs="宋体"/>
          <w:b w:val="0"/>
          <w:bCs w:val="0"/>
          <w:color w:val="auto"/>
          <w:sz w:val="22"/>
          <w:szCs w:val="22"/>
          <w:highlight w:val="none"/>
        </w:rPr>
        <w:t>、其它参见本采购文件第三部分：“供应商须知”</w:t>
      </w:r>
      <w:r>
        <w:rPr>
          <w:rFonts w:ascii="宋体" w:eastAsia="宋体" w:cs="宋体"/>
          <w:b w:val="0"/>
          <w:bCs w:val="0"/>
          <w:color w:val="auto"/>
          <w:sz w:val="22"/>
          <w:szCs w:val="22"/>
          <w:highlight w:val="none"/>
        </w:rPr>
        <w:t xml:space="preserve"> </w:t>
      </w:r>
      <w:r>
        <w:rPr>
          <w:rFonts w:hint="eastAsia" w:ascii="宋体" w:eastAsia="宋体" w:cs="宋体"/>
          <w:b w:val="0"/>
          <w:bCs w:val="0"/>
          <w:color w:val="auto"/>
          <w:sz w:val="22"/>
          <w:szCs w:val="22"/>
          <w:highlight w:val="none"/>
        </w:rPr>
        <w:t>中的相关内容。</w:t>
      </w:r>
    </w:p>
    <w:bookmarkEnd w:id="107"/>
    <w:p>
      <w:pPr>
        <w:spacing w:line="400" w:lineRule="exact"/>
        <w:rPr>
          <w:rFonts w:ascii="宋体"/>
          <w:color w:val="auto"/>
          <w:highlight w:val="none"/>
        </w:rPr>
      </w:pPr>
    </w:p>
    <w:p>
      <w:pPr>
        <w:adjustRightInd w:val="0"/>
        <w:spacing w:before="100" w:after="50" w:line="460" w:lineRule="atLeast"/>
        <w:jc w:val="center"/>
        <w:rPr>
          <w:rFonts w:ascii="宋体"/>
          <w:b/>
          <w:bCs/>
          <w:color w:val="auto"/>
          <w:sz w:val="22"/>
          <w:szCs w:val="22"/>
          <w:highlight w:val="none"/>
        </w:rPr>
      </w:pPr>
      <w:r>
        <w:rPr>
          <w:rFonts w:hint="eastAsia" w:ascii="宋体" w:hAnsi="宋体" w:cs="宋体"/>
          <w:b/>
          <w:bCs/>
          <w:color w:val="auto"/>
          <w:sz w:val="22"/>
          <w:szCs w:val="22"/>
          <w:highlight w:val="none"/>
        </w:rPr>
        <w:t>四、评分细则</w:t>
      </w:r>
    </w:p>
    <w:p>
      <w:pPr>
        <w:spacing w:line="460" w:lineRule="atLeast"/>
        <w:ind w:firstLine="440" w:firstLineChars="200"/>
        <w:rPr>
          <w:rFonts w:ascii="宋体"/>
          <w:color w:val="auto"/>
          <w:sz w:val="22"/>
          <w:szCs w:val="22"/>
          <w:highlight w:val="none"/>
        </w:rPr>
      </w:pPr>
      <w:r>
        <w:rPr>
          <w:rFonts w:hint="eastAsia" w:ascii="宋体" w:hAnsi="宋体" w:cs="宋体"/>
          <w:color w:val="auto"/>
          <w:sz w:val="22"/>
          <w:szCs w:val="22"/>
          <w:highlight w:val="none"/>
        </w:rPr>
        <w:t>一、商务报价评分</w:t>
      </w:r>
      <w:r>
        <w:rPr>
          <w:rFonts w:ascii="宋体" w:hAnsi="宋体" w:cs="宋体"/>
          <w:color w:val="auto"/>
          <w:sz w:val="22"/>
          <w:szCs w:val="22"/>
          <w:highlight w:val="none"/>
        </w:rPr>
        <w:t>15</w:t>
      </w:r>
      <w:r>
        <w:rPr>
          <w:rFonts w:hint="eastAsia" w:ascii="宋体" w:hAnsi="宋体" w:cs="宋体"/>
          <w:color w:val="auto"/>
          <w:sz w:val="22"/>
          <w:szCs w:val="22"/>
          <w:highlight w:val="none"/>
        </w:rPr>
        <w:t>分</w:t>
      </w:r>
    </w:p>
    <w:p>
      <w:pPr>
        <w:widowControl/>
        <w:autoSpaceDE w:val="0"/>
        <w:autoSpaceDN w:val="0"/>
        <w:adjustRightInd w:val="0"/>
        <w:spacing w:line="460" w:lineRule="atLeast"/>
        <w:ind w:firstLine="442" w:firstLineChars="200"/>
        <w:textAlignment w:val="bottom"/>
        <w:rPr>
          <w:rFonts w:ascii="宋体"/>
          <w:b/>
          <w:bCs/>
          <w:color w:val="auto"/>
          <w:sz w:val="22"/>
          <w:szCs w:val="22"/>
          <w:highlight w:val="none"/>
          <w:u w:val="single"/>
        </w:rPr>
      </w:pPr>
      <w:r>
        <w:rPr>
          <w:rFonts w:ascii="宋体" w:hAnsi="宋体" w:cs="宋体"/>
          <w:b/>
          <w:bCs/>
          <w:color w:val="auto"/>
          <w:sz w:val="22"/>
          <w:szCs w:val="22"/>
          <w:highlight w:val="none"/>
          <w:u w:val="single"/>
        </w:rPr>
        <w:t>1</w:t>
      </w:r>
      <w:r>
        <w:rPr>
          <w:rFonts w:hint="eastAsia" w:ascii="宋体" w:hAnsi="宋体" w:cs="宋体"/>
          <w:b/>
          <w:bCs/>
          <w:color w:val="auto"/>
          <w:sz w:val="22"/>
          <w:szCs w:val="22"/>
          <w:highlight w:val="none"/>
          <w:u w:val="single"/>
        </w:rPr>
        <w:t>、以供应商有效投标价中的最低价为评标基准价，得满分</w:t>
      </w:r>
      <w:r>
        <w:rPr>
          <w:rFonts w:ascii="宋体" w:hAnsi="宋体" w:cs="宋体"/>
          <w:b/>
          <w:bCs/>
          <w:color w:val="auto"/>
          <w:sz w:val="22"/>
          <w:szCs w:val="22"/>
          <w:highlight w:val="none"/>
          <w:u w:val="single"/>
        </w:rPr>
        <w:t>15</w:t>
      </w:r>
      <w:r>
        <w:rPr>
          <w:rFonts w:hint="eastAsia" w:ascii="宋体" w:hAnsi="宋体" w:cs="宋体"/>
          <w:b/>
          <w:bCs/>
          <w:color w:val="auto"/>
          <w:sz w:val="22"/>
          <w:szCs w:val="22"/>
          <w:highlight w:val="none"/>
          <w:u w:val="single"/>
        </w:rPr>
        <w:t>分。商务报价评分结算公式为</w:t>
      </w:r>
      <w:r>
        <w:rPr>
          <w:rFonts w:ascii="宋体" w:hAnsi="宋体" w:cs="宋体"/>
          <w:b/>
          <w:bCs/>
          <w:color w:val="auto"/>
          <w:sz w:val="22"/>
          <w:szCs w:val="22"/>
          <w:highlight w:val="none"/>
          <w:u w:val="single"/>
        </w:rPr>
        <w:t>:</w:t>
      </w:r>
      <w:r>
        <w:rPr>
          <w:rFonts w:hint="eastAsia" w:ascii="宋体" w:hAnsi="宋体" w:cs="宋体"/>
          <w:b/>
          <w:bCs/>
          <w:color w:val="auto"/>
          <w:sz w:val="22"/>
          <w:szCs w:val="22"/>
          <w:highlight w:val="none"/>
          <w:u w:val="single"/>
        </w:rPr>
        <w:t>投标报价得分</w:t>
      </w:r>
      <w:r>
        <w:rPr>
          <w:rFonts w:ascii="宋体" w:hAnsi="宋体" w:cs="宋体"/>
          <w:b/>
          <w:bCs/>
          <w:color w:val="auto"/>
          <w:sz w:val="22"/>
          <w:szCs w:val="22"/>
          <w:highlight w:val="none"/>
          <w:u w:val="single"/>
        </w:rPr>
        <w:t>=</w:t>
      </w:r>
      <w:bookmarkStart w:id="231" w:name="OLE_LINK1"/>
      <w:r>
        <w:rPr>
          <w:rFonts w:ascii="宋体" w:hAnsi="宋体" w:cs="宋体"/>
          <w:b/>
          <w:bCs/>
          <w:color w:val="auto"/>
          <w:sz w:val="22"/>
          <w:szCs w:val="22"/>
          <w:highlight w:val="none"/>
          <w:u w:val="single"/>
        </w:rPr>
        <w:t>(</w:t>
      </w:r>
      <w:r>
        <w:rPr>
          <w:rFonts w:hint="eastAsia" w:ascii="宋体" w:hAnsi="宋体" w:cs="宋体"/>
          <w:b/>
          <w:bCs/>
          <w:color w:val="auto"/>
          <w:sz w:val="22"/>
          <w:szCs w:val="22"/>
          <w:highlight w:val="none"/>
          <w:u w:val="single"/>
        </w:rPr>
        <w:t>评标基准价／投标报价</w:t>
      </w:r>
      <w:r>
        <w:rPr>
          <w:rFonts w:ascii="宋体" w:hAnsi="宋体" w:cs="宋体"/>
          <w:b/>
          <w:bCs/>
          <w:color w:val="auto"/>
          <w:sz w:val="22"/>
          <w:szCs w:val="22"/>
          <w:highlight w:val="none"/>
          <w:u w:val="single"/>
        </w:rPr>
        <w:t>)</w:t>
      </w:r>
      <w:r>
        <w:rPr>
          <w:rFonts w:hint="eastAsia" w:ascii="宋体" w:hAnsi="宋体" w:cs="宋体"/>
          <w:b/>
          <w:bCs/>
          <w:color w:val="auto"/>
          <w:sz w:val="22"/>
          <w:szCs w:val="22"/>
          <w:highlight w:val="none"/>
          <w:u w:val="single"/>
        </w:rPr>
        <w:t>×</w:t>
      </w:r>
      <w:r>
        <w:rPr>
          <w:rFonts w:ascii="宋体" w:hAnsi="宋体" w:cs="宋体"/>
          <w:b/>
          <w:bCs/>
          <w:color w:val="auto"/>
          <w:sz w:val="22"/>
          <w:szCs w:val="22"/>
          <w:highlight w:val="none"/>
          <w:u w:val="single"/>
        </w:rPr>
        <w:t>15%</w:t>
      </w:r>
      <w:r>
        <w:rPr>
          <w:rFonts w:hint="eastAsia" w:ascii="宋体" w:hAnsi="宋体" w:cs="宋体"/>
          <w:b/>
          <w:bCs/>
          <w:color w:val="auto"/>
          <w:sz w:val="22"/>
          <w:szCs w:val="22"/>
          <w:highlight w:val="none"/>
          <w:u w:val="single"/>
        </w:rPr>
        <w:t>×</w:t>
      </w:r>
      <w:r>
        <w:rPr>
          <w:rFonts w:ascii="宋体" w:hAnsi="宋体" w:cs="宋体"/>
          <w:b/>
          <w:bCs/>
          <w:color w:val="auto"/>
          <w:sz w:val="22"/>
          <w:szCs w:val="22"/>
          <w:highlight w:val="none"/>
          <w:u w:val="single"/>
        </w:rPr>
        <w:t>100</w:t>
      </w:r>
      <w:bookmarkEnd w:id="231"/>
      <w:r>
        <w:rPr>
          <w:rFonts w:hint="eastAsia" w:ascii="宋体" w:hAnsi="宋体" w:cs="宋体"/>
          <w:b/>
          <w:bCs/>
          <w:color w:val="auto"/>
          <w:sz w:val="22"/>
          <w:szCs w:val="22"/>
          <w:highlight w:val="none"/>
          <w:u w:val="single"/>
        </w:rPr>
        <w:t>。</w:t>
      </w:r>
    </w:p>
    <w:p>
      <w:pPr>
        <w:autoSpaceDE w:val="0"/>
        <w:autoSpaceDN w:val="0"/>
        <w:adjustRightInd w:val="0"/>
        <w:spacing w:line="460" w:lineRule="atLeast"/>
        <w:ind w:firstLine="442" w:firstLineChars="200"/>
        <w:rPr>
          <w:rFonts w:ascii="宋体"/>
          <w:color w:val="auto"/>
          <w:sz w:val="22"/>
          <w:szCs w:val="22"/>
          <w:highlight w:val="none"/>
        </w:rPr>
      </w:pPr>
      <w:r>
        <w:rPr>
          <w:rFonts w:ascii="宋体" w:hAnsi="宋体" w:cs="宋体"/>
          <w:b/>
          <w:bCs/>
          <w:color w:val="auto"/>
          <w:sz w:val="22"/>
          <w:szCs w:val="22"/>
          <w:highlight w:val="none"/>
          <w:u w:val="single"/>
        </w:rPr>
        <w:t>2</w:t>
      </w:r>
      <w:r>
        <w:rPr>
          <w:rFonts w:hint="eastAsia" w:ascii="宋体" w:hAnsi="宋体" w:cs="宋体"/>
          <w:b/>
          <w:bCs/>
          <w:color w:val="auto"/>
          <w:sz w:val="22"/>
          <w:szCs w:val="22"/>
          <w:highlight w:val="none"/>
          <w:u w:val="single"/>
        </w:rPr>
        <w:t>、本项目采购预算见采购公告。</w:t>
      </w:r>
      <w:r>
        <w:rPr>
          <w:rFonts w:hint="eastAsia" w:ascii="宋体" w:hAnsi="宋体" w:cs="宋体"/>
          <w:color w:val="auto"/>
          <w:sz w:val="22"/>
          <w:szCs w:val="22"/>
          <w:highlight w:val="none"/>
        </w:rPr>
        <w:t>如果所有供应商的报价均超出采购最高限价且采购人确认不能支付的情况，本次采购做流（废）标处理。如果仅仅某个（些）供应商的商务报价超出采购最高限价则该供应商按无效投标处理。</w:t>
      </w:r>
    </w:p>
    <w:p>
      <w:pPr>
        <w:spacing w:line="4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二、技术、服务、资信业绩综合评分</w:t>
      </w:r>
      <w:r>
        <w:rPr>
          <w:rFonts w:ascii="宋体" w:hAnsi="宋体" w:cs="宋体"/>
          <w:color w:val="auto"/>
          <w:sz w:val="22"/>
          <w:szCs w:val="22"/>
          <w:highlight w:val="none"/>
        </w:rPr>
        <w:t>85</w:t>
      </w:r>
      <w:r>
        <w:rPr>
          <w:rFonts w:hint="eastAsia" w:ascii="宋体" w:hAnsi="宋体" w:cs="宋体"/>
          <w:color w:val="auto"/>
          <w:sz w:val="22"/>
          <w:szCs w:val="22"/>
          <w:highlight w:val="none"/>
        </w:rPr>
        <w:t>分</w:t>
      </w:r>
    </w:p>
    <w:tbl>
      <w:tblPr>
        <w:tblStyle w:val="41"/>
        <w:tblW w:w="963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210"/>
        <w:gridCol w:w="1172"/>
        <w:gridCol w:w="56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44" w:type="dxa"/>
            <w:tcBorders>
              <w:top w:val="single" w:color="auto" w:sz="12" w:space="0"/>
              <w:left w:val="single" w:color="auto" w:sz="12" w:space="0"/>
              <w:bottom w:val="single" w:color="auto" w:sz="4" w:space="0"/>
              <w:right w:val="single" w:color="auto" w:sz="4" w:space="0"/>
            </w:tcBorders>
            <w:vAlign w:val="center"/>
          </w:tcPr>
          <w:p>
            <w:pPr>
              <w:spacing w:line="240" w:lineRule="exact"/>
              <w:ind w:left="-50"/>
              <w:jc w:val="center"/>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序号</w:t>
            </w:r>
          </w:p>
        </w:tc>
        <w:tc>
          <w:tcPr>
            <w:tcW w:w="2210" w:type="dxa"/>
            <w:tcBorders>
              <w:top w:val="single" w:color="auto" w:sz="12" w:space="0"/>
              <w:left w:val="single" w:color="auto" w:sz="4" w:space="0"/>
              <w:bottom w:val="single" w:color="auto" w:sz="4" w:space="0"/>
              <w:right w:val="single" w:color="auto" w:sz="4" w:space="0"/>
            </w:tcBorders>
            <w:vAlign w:val="center"/>
          </w:tcPr>
          <w:p>
            <w:pPr>
              <w:spacing w:line="240" w:lineRule="exact"/>
              <w:ind w:left="-50"/>
              <w:jc w:val="center"/>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评分内容</w:t>
            </w:r>
          </w:p>
        </w:tc>
        <w:tc>
          <w:tcPr>
            <w:tcW w:w="1172"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分值</w:t>
            </w:r>
          </w:p>
          <w:p>
            <w:pPr>
              <w:spacing w:line="240" w:lineRule="exact"/>
              <w:jc w:val="center"/>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范围</w:t>
            </w:r>
          </w:p>
        </w:tc>
        <w:tc>
          <w:tcPr>
            <w:tcW w:w="5613" w:type="dxa"/>
            <w:tcBorders>
              <w:top w:val="single" w:color="auto" w:sz="12" w:space="0"/>
              <w:left w:val="single" w:color="auto" w:sz="4" w:space="0"/>
              <w:bottom w:val="single" w:color="auto" w:sz="4" w:space="0"/>
              <w:right w:val="single" w:color="auto" w:sz="12" w:space="0"/>
            </w:tcBorders>
            <w:vAlign w:val="center"/>
          </w:tcPr>
          <w:p>
            <w:pPr>
              <w:spacing w:line="240" w:lineRule="exact"/>
              <w:ind w:left="-50"/>
              <w:jc w:val="center"/>
              <w:rPr>
                <w:rFonts w:cs="新宋体" w:asciiTheme="majorEastAsia" w:hAnsiTheme="majorEastAsia" w:eastAsiaTheme="majorEastAsia"/>
                <w:b/>
                <w:color w:val="auto"/>
                <w:sz w:val="22"/>
                <w:szCs w:val="22"/>
                <w:highlight w:val="none"/>
              </w:rPr>
            </w:pPr>
            <w:r>
              <w:rPr>
                <w:rFonts w:hint="eastAsia" w:cs="新宋体" w:asciiTheme="majorEastAsia" w:hAnsiTheme="majorEastAsia" w:eastAsiaTheme="majorEastAsia"/>
                <w:b/>
                <w:color w:val="auto"/>
                <w:sz w:val="22"/>
                <w:szCs w:val="22"/>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644" w:type="dxa"/>
            <w:vMerge w:val="restart"/>
            <w:tcBorders>
              <w:top w:val="single" w:color="auto" w:sz="4" w:space="0"/>
              <w:left w:val="single" w:color="auto" w:sz="12"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w:t>
            </w:r>
          </w:p>
        </w:tc>
        <w:tc>
          <w:tcPr>
            <w:tcW w:w="2210" w:type="dxa"/>
            <w:vMerge w:val="restart"/>
            <w:tcBorders>
              <w:top w:val="single" w:color="auto" w:sz="4" w:space="0"/>
              <w:left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投标人资信</w:t>
            </w:r>
          </w:p>
        </w:tc>
        <w:tc>
          <w:tcPr>
            <w:tcW w:w="1172" w:type="dxa"/>
            <w:vMerge w:val="restart"/>
            <w:tcBorders>
              <w:top w:val="single" w:color="auto" w:sz="4" w:space="0"/>
              <w:left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13</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bottom w:val="single" w:color="auto" w:sz="4" w:space="0"/>
              <w:right w:val="single" w:color="auto" w:sz="12" w:space="0"/>
            </w:tcBorders>
            <w:vAlign w:val="center"/>
          </w:tcPr>
          <w:p>
            <w:pPr>
              <w:spacing w:line="360" w:lineRule="auto"/>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投标</w:t>
            </w:r>
            <w:r>
              <w:rPr>
                <w:rFonts w:hint="eastAsia" w:cs="宋体" w:asciiTheme="majorEastAsia" w:hAnsiTheme="majorEastAsia" w:eastAsiaTheme="majorEastAsia"/>
                <w:color w:val="auto"/>
                <w:sz w:val="22"/>
                <w:szCs w:val="22"/>
                <w:highlight w:val="none"/>
              </w:rPr>
              <w:t>供应商2019年1月1日以来</w:t>
            </w:r>
            <w:r>
              <w:rPr>
                <w:rFonts w:cs="宋体" w:asciiTheme="majorEastAsia" w:hAnsiTheme="majorEastAsia" w:eastAsiaTheme="majorEastAsia"/>
                <w:color w:val="auto"/>
                <w:sz w:val="22"/>
                <w:szCs w:val="22"/>
                <w:highlight w:val="none"/>
              </w:rPr>
              <w:t>获得</w:t>
            </w:r>
            <w:r>
              <w:rPr>
                <w:rFonts w:hint="eastAsia" w:cs="宋体" w:asciiTheme="majorEastAsia" w:hAnsiTheme="majorEastAsia" w:eastAsiaTheme="majorEastAsia"/>
                <w:color w:val="auto"/>
                <w:sz w:val="22"/>
                <w:szCs w:val="22"/>
                <w:highlight w:val="none"/>
              </w:rPr>
              <w:t>物业相关的荣誉证书，每项得</w:t>
            </w:r>
            <w:r>
              <w:rPr>
                <w:rFonts w:cs="宋体" w:asciiTheme="majorEastAsia" w:hAnsiTheme="majorEastAsia" w:eastAsiaTheme="majorEastAsia"/>
                <w:color w:val="auto"/>
                <w:sz w:val="22"/>
                <w:szCs w:val="22"/>
                <w:highlight w:val="none"/>
              </w:rPr>
              <w:t>1</w:t>
            </w:r>
            <w:r>
              <w:rPr>
                <w:rFonts w:hint="eastAsia" w:cs="宋体" w:asciiTheme="majorEastAsia" w:hAnsiTheme="majorEastAsia" w:eastAsiaTheme="majorEastAsia"/>
                <w:color w:val="auto"/>
                <w:sz w:val="22"/>
                <w:szCs w:val="22"/>
                <w:highlight w:val="none"/>
              </w:rPr>
              <w:t>分，最多得</w:t>
            </w:r>
            <w:r>
              <w:rPr>
                <w:rFonts w:cs="宋体" w:asciiTheme="majorEastAsia" w:hAnsiTheme="majorEastAsia" w:eastAsiaTheme="majorEastAsia"/>
                <w:color w:val="auto"/>
                <w:sz w:val="22"/>
                <w:szCs w:val="22"/>
                <w:highlight w:val="none"/>
              </w:rPr>
              <w:t>2</w:t>
            </w:r>
            <w:r>
              <w:rPr>
                <w:rFonts w:hint="eastAsia" w:cs="宋体" w:asciiTheme="majorEastAsia" w:hAnsiTheme="majorEastAsia" w:eastAsiaTheme="majorEastAsia"/>
                <w:color w:val="auto"/>
                <w:sz w:val="22"/>
                <w:szCs w:val="22"/>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66" w:hRule="atLeast"/>
        </w:trPr>
        <w:tc>
          <w:tcPr>
            <w:tcW w:w="644" w:type="dxa"/>
            <w:vMerge w:val="continue"/>
            <w:tcBorders>
              <w:left w:val="single" w:color="auto" w:sz="12" w:space="0"/>
              <w:right w:val="single" w:color="auto" w:sz="4" w:space="0"/>
            </w:tcBorders>
            <w:vAlign w:val="center"/>
          </w:tcPr>
          <w:p>
            <w:pPr>
              <w:widowControl/>
              <w:jc w:val="left"/>
              <w:rPr>
                <w:rFonts w:cs="新宋体" w:asciiTheme="majorEastAsia" w:hAnsiTheme="majorEastAsia" w:eastAsiaTheme="majorEastAsia"/>
                <w:color w:val="auto"/>
                <w:sz w:val="22"/>
                <w:szCs w:val="22"/>
                <w:highlight w:val="none"/>
              </w:rPr>
            </w:pPr>
          </w:p>
        </w:tc>
        <w:tc>
          <w:tcPr>
            <w:tcW w:w="2210" w:type="dxa"/>
            <w:vMerge w:val="continue"/>
            <w:tcBorders>
              <w:left w:val="single" w:color="auto" w:sz="4" w:space="0"/>
              <w:right w:val="single" w:color="auto" w:sz="4" w:space="0"/>
            </w:tcBorders>
            <w:vAlign w:val="center"/>
          </w:tcPr>
          <w:p>
            <w:pPr>
              <w:widowControl/>
              <w:jc w:val="left"/>
              <w:rPr>
                <w:rFonts w:cs="新宋体" w:asciiTheme="majorEastAsia" w:hAnsiTheme="majorEastAsia" w:eastAsiaTheme="majorEastAsia"/>
                <w:color w:val="auto"/>
                <w:sz w:val="22"/>
                <w:szCs w:val="22"/>
                <w:highlight w:val="none"/>
              </w:rPr>
            </w:pPr>
          </w:p>
        </w:tc>
        <w:tc>
          <w:tcPr>
            <w:tcW w:w="1172" w:type="dxa"/>
            <w:vMerge w:val="continue"/>
            <w:tcBorders>
              <w:left w:val="single" w:color="auto" w:sz="4" w:space="0"/>
              <w:right w:val="single" w:color="auto" w:sz="4" w:space="0"/>
            </w:tcBorders>
            <w:vAlign w:val="center"/>
          </w:tcPr>
          <w:p>
            <w:pPr>
              <w:widowControl/>
              <w:jc w:val="center"/>
              <w:rPr>
                <w:rFonts w:cs="新宋体" w:asciiTheme="majorEastAsia" w:hAnsiTheme="majorEastAsia" w:eastAsiaTheme="majorEastAsia"/>
                <w:color w:val="auto"/>
                <w:sz w:val="22"/>
                <w:szCs w:val="22"/>
                <w:highlight w:val="none"/>
              </w:rPr>
            </w:pPr>
          </w:p>
        </w:tc>
        <w:tc>
          <w:tcPr>
            <w:tcW w:w="5613" w:type="dxa"/>
            <w:tcBorders>
              <w:top w:val="single" w:color="auto" w:sz="4" w:space="0"/>
              <w:left w:val="single" w:color="auto" w:sz="4" w:space="0"/>
              <w:right w:val="single" w:color="auto" w:sz="12" w:space="0"/>
            </w:tcBorders>
          </w:tcPr>
          <w:p>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（1）通过环境管理体系认证得2分</w:t>
            </w:r>
          </w:p>
          <w:p>
            <w:pPr>
              <w:rPr>
                <w:rFonts w:cs="宋体"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（2）通过质量管理体系认证</w:t>
            </w:r>
            <w:r>
              <w:rPr>
                <w:rFonts w:hint="eastAsia" w:asciiTheme="majorEastAsia" w:hAnsiTheme="majorEastAsia" w:eastAsiaTheme="majorEastAsia"/>
                <w:color w:val="auto"/>
                <w:sz w:val="22"/>
                <w:szCs w:val="22"/>
                <w:highlight w:val="none"/>
                <w:lang w:eastAsia="zh-CN"/>
              </w:rPr>
              <w:t>得</w:t>
            </w:r>
            <w:r>
              <w:rPr>
                <w:rFonts w:hint="eastAsia" w:asciiTheme="majorEastAsia" w:hAnsiTheme="majorEastAsia" w:eastAsiaTheme="majorEastAsia"/>
                <w:color w:val="auto"/>
                <w:sz w:val="22"/>
                <w:szCs w:val="22"/>
                <w:highlight w:val="none"/>
              </w:rPr>
              <w:t>2分</w:t>
            </w:r>
          </w:p>
          <w:p>
            <w:pPr>
              <w:rPr>
                <w:rFonts w:cs="宋体"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（3）通过职业健康安全管理体系认证</w:t>
            </w:r>
            <w:r>
              <w:rPr>
                <w:rFonts w:hint="eastAsia" w:asciiTheme="majorEastAsia" w:hAnsiTheme="majorEastAsia" w:eastAsiaTheme="majorEastAsia"/>
                <w:color w:val="auto"/>
                <w:sz w:val="22"/>
                <w:szCs w:val="22"/>
                <w:highlight w:val="none"/>
                <w:lang w:eastAsia="zh-CN"/>
              </w:rPr>
              <w:t>得</w:t>
            </w:r>
            <w:r>
              <w:rPr>
                <w:rFonts w:hint="eastAsia" w:asciiTheme="majorEastAsia" w:hAnsiTheme="majorEastAsia" w:eastAsiaTheme="majorEastAsia"/>
                <w:color w:val="auto"/>
                <w:sz w:val="22"/>
                <w:szCs w:val="22"/>
                <w:highlight w:val="none"/>
              </w:rPr>
              <w:t>2分</w:t>
            </w:r>
          </w:p>
          <w:p>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（4）通过信息安全管理体系认证</w:t>
            </w:r>
            <w:r>
              <w:rPr>
                <w:rFonts w:hint="eastAsia" w:asciiTheme="majorEastAsia" w:hAnsiTheme="majorEastAsia" w:eastAsiaTheme="majorEastAsia"/>
                <w:color w:val="auto"/>
                <w:sz w:val="22"/>
                <w:szCs w:val="22"/>
                <w:highlight w:val="none"/>
                <w:lang w:eastAsia="zh-CN"/>
              </w:rPr>
              <w:t>得</w:t>
            </w:r>
            <w:r>
              <w:rPr>
                <w:rFonts w:hint="eastAsia" w:asciiTheme="majorEastAsia" w:hAnsiTheme="majorEastAsia" w:eastAsiaTheme="majorEastAsia"/>
                <w:color w:val="auto"/>
                <w:sz w:val="22"/>
                <w:szCs w:val="22"/>
                <w:highlight w:val="none"/>
              </w:rPr>
              <w:t>2分</w:t>
            </w:r>
          </w:p>
          <w:p>
            <w:pPr>
              <w:pStyle w:val="3"/>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（注：提供上述各类认证证书扫描件加盖公章，并提供http://cx.cnca.cn/有效查询截图，不提供或查询过期、无效的均不得分。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644" w:type="dxa"/>
            <w:vMerge w:val="continue"/>
            <w:tcBorders>
              <w:left w:val="single" w:color="auto" w:sz="12" w:space="0"/>
              <w:bottom w:val="single" w:color="auto" w:sz="4" w:space="0"/>
              <w:right w:val="single" w:color="auto" w:sz="4" w:space="0"/>
            </w:tcBorders>
            <w:vAlign w:val="center"/>
          </w:tcPr>
          <w:p>
            <w:pPr>
              <w:widowControl/>
              <w:jc w:val="left"/>
              <w:rPr>
                <w:rFonts w:cs="新宋体" w:asciiTheme="majorEastAsia" w:hAnsiTheme="majorEastAsia" w:eastAsiaTheme="majorEastAsia"/>
                <w:color w:val="auto"/>
                <w:sz w:val="22"/>
                <w:szCs w:val="22"/>
                <w:highlight w:val="none"/>
              </w:rPr>
            </w:pPr>
          </w:p>
        </w:tc>
        <w:tc>
          <w:tcPr>
            <w:tcW w:w="2210" w:type="dxa"/>
            <w:vMerge w:val="continue"/>
            <w:tcBorders>
              <w:left w:val="single" w:color="auto" w:sz="4" w:space="0"/>
              <w:bottom w:val="single" w:color="auto" w:sz="4" w:space="0"/>
              <w:right w:val="single" w:color="auto" w:sz="4" w:space="0"/>
            </w:tcBorders>
            <w:vAlign w:val="center"/>
          </w:tcPr>
          <w:p>
            <w:pPr>
              <w:widowControl/>
              <w:jc w:val="left"/>
              <w:rPr>
                <w:rFonts w:cs="新宋体" w:asciiTheme="majorEastAsia" w:hAnsiTheme="majorEastAsia" w:eastAsiaTheme="majorEastAsia"/>
                <w:color w:val="auto"/>
                <w:sz w:val="22"/>
                <w:szCs w:val="22"/>
                <w:highlight w:val="none"/>
              </w:rPr>
            </w:pPr>
          </w:p>
        </w:tc>
        <w:tc>
          <w:tcPr>
            <w:tcW w:w="1172" w:type="dxa"/>
            <w:vMerge w:val="continue"/>
            <w:tcBorders>
              <w:left w:val="single" w:color="auto" w:sz="4" w:space="0"/>
              <w:bottom w:val="single" w:color="auto" w:sz="4" w:space="0"/>
              <w:right w:val="single" w:color="auto" w:sz="4" w:space="0"/>
            </w:tcBorders>
            <w:vAlign w:val="center"/>
          </w:tcPr>
          <w:p>
            <w:pPr>
              <w:widowControl/>
              <w:jc w:val="center"/>
              <w:rPr>
                <w:rFonts w:cs="新宋体" w:asciiTheme="majorEastAsia" w:hAnsiTheme="majorEastAsia" w:eastAsiaTheme="majorEastAsia"/>
                <w:color w:val="auto"/>
                <w:sz w:val="22"/>
                <w:szCs w:val="22"/>
                <w:highlight w:val="none"/>
              </w:rPr>
            </w:pPr>
          </w:p>
        </w:tc>
        <w:tc>
          <w:tcPr>
            <w:tcW w:w="5613" w:type="dxa"/>
            <w:tcBorders>
              <w:top w:val="single" w:color="auto" w:sz="4" w:space="0"/>
              <w:left w:val="single" w:color="auto" w:sz="4" w:space="0"/>
              <w:right w:val="single" w:color="auto" w:sz="12" w:space="0"/>
            </w:tcBorders>
          </w:tcPr>
          <w:p>
            <w:pPr>
              <w:rPr>
                <w:rFonts w:cs="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投标供应商具备国家知识产权局颁发的物业相关专利每项得</w:t>
            </w:r>
            <w:r>
              <w:rPr>
                <w:rFonts w:cs="宋体" w:asciiTheme="majorEastAsia" w:hAnsiTheme="majorEastAsia" w:eastAsiaTheme="majorEastAsia"/>
                <w:color w:val="auto"/>
                <w:sz w:val="22"/>
                <w:szCs w:val="22"/>
                <w:highlight w:val="none"/>
              </w:rPr>
              <w:t>1</w:t>
            </w:r>
            <w:r>
              <w:rPr>
                <w:rFonts w:hint="eastAsia" w:cs="宋体" w:asciiTheme="majorEastAsia" w:hAnsiTheme="majorEastAsia" w:eastAsiaTheme="majorEastAsia"/>
                <w:color w:val="auto"/>
                <w:sz w:val="22"/>
                <w:szCs w:val="22"/>
                <w:highlight w:val="none"/>
              </w:rPr>
              <w:t>分，最多得</w:t>
            </w:r>
            <w:r>
              <w:rPr>
                <w:rFonts w:cs="宋体" w:asciiTheme="majorEastAsia" w:hAnsiTheme="majorEastAsia" w:eastAsiaTheme="majorEastAsia"/>
                <w:color w:val="auto"/>
                <w:sz w:val="22"/>
                <w:szCs w:val="22"/>
                <w:highlight w:val="none"/>
              </w:rPr>
              <w:t>3</w:t>
            </w:r>
            <w:r>
              <w:rPr>
                <w:rFonts w:hint="eastAsia" w:cs="宋体" w:asciiTheme="majorEastAsia" w:hAnsiTheme="majorEastAsia" w:eastAsiaTheme="majorEastAsia"/>
                <w:color w:val="auto"/>
                <w:sz w:val="22"/>
                <w:szCs w:val="22"/>
                <w:highlight w:val="none"/>
              </w:rPr>
              <w:t>分。</w:t>
            </w:r>
          </w:p>
          <w:p>
            <w:pPr>
              <w:rPr>
                <w:rFonts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注：提供“国家知识产权局”有效查询截图</w:t>
            </w:r>
            <w:bookmarkStart w:id="232" w:name="_GoBack"/>
            <w:r>
              <w:rPr>
                <w:rFonts w:hint="eastAsia" w:cs="宋体" w:asciiTheme="majorEastAsia" w:hAnsiTheme="majorEastAsia" w:eastAsiaTheme="majorEastAsia"/>
                <w:color w:val="auto"/>
                <w:sz w:val="22"/>
                <w:szCs w:val="22"/>
                <w:highlight w:val="none"/>
              </w:rPr>
              <w:t>http://cponline.cnipa.gov.cn/</w:t>
            </w:r>
            <w:bookmarkEnd w:id="232"/>
            <w:r>
              <w:rPr>
                <w:rFonts w:hint="eastAsia" w:cs="宋体" w:asciiTheme="majorEastAsia" w:hAnsiTheme="majorEastAsia" w:eastAsiaTheme="majorEastAsia"/>
                <w:color w:val="auto"/>
                <w:sz w:val="22"/>
                <w:szCs w:val="22"/>
                <w:highlight w:val="none"/>
              </w:rPr>
              <w:t>，</w:t>
            </w:r>
            <w:r>
              <w:rPr>
                <w:rFonts w:hint="eastAsia" w:asciiTheme="majorEastAsia" w:hAnsiTheme="majorEastAsia" w:eastAsiaTheme="majorEastAsia"/>
                <w:color w:val="auto"/>
                <w:sz w:val="22"/>
                <w:szCs w:val="22"/>
                <w:highlight w:val="none"/>
              </w:rPr>
              <w:t>不提供的均不得分</w:t>
            </w:r>
            <w:r>
              <w:rPr>
                <w:rFonts w:hint="eastAsia" w:cs="宋体" w:asciiTheme="majorEastAsia" w:hAnsiTheme="majorEastAsia" w:eastAsiaTheme="majorEastAsia"/>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4" w:type="dxa"/>
            <w:tcBorders>
              <w:top w:val="single" w:color="auto" w:sz="4" w:space="0"/>
              <w:left w:val="single" w:color="auto" w:sz="12" w:space="0"/>
              <w:bottom w:val="single" w:color="auto" w:sz="4" w:space="0"/>
              <w:right w:val="single" w:color="auto" w:sz="4" w:space="0"/>
            </w:tcBorders>
            <w:vAlign w:val="center"/>
          </w:tcPr>
          <w:p>
            <w:pPr>
              <w:spacing w:line="280" w:lineRule="exact"/>
              <w:ind w:left="-50"/>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2</w:t>
            </w:r>
          </w:p>
        </w:tc>
        <w:tc>
          <w:tcPr>
            <w:tcW w:w="2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办公设施和物资装备配置</w:t>
            </w:r>
          </w:p>
        </w:tc>
        <w:tc>
          <w:tcPr>
            <w:tcW w:w="11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6</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bottom w:val="single" w:color="auto" w:sz="4" w:space="0"/>
              <w:right w:val="single" w:color="auto" w:sz="12" w:space="0"/>
            </w:tcBorders>
            <w:vAlign w:val="center"/>
          </w:tcPr>
          <w:p>
            <w:pPr>
              <w:spacing w:line="280" w:lineRule="exac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根据投标人设备及工具、消耗材料配备情况打分：</w:t>
            </w:r>
          </w:p>
          <w:p>
            <w:pPr>
              <w:spacing w:line="280" w:lineRule="exac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1、设备及工具、消耗材料配备的满足合理性，0</w:t>
            </w:r>
            <w:r>
              <w:rPr>
                <w:rFonts w:cs="新宋体" w:asciiTheme="majorEastAsia" w:hAnsiTheme="majorEastAsia" w:eastAsiaTheme="majorEastAsia"/>
                <w:color w:val="auto"/>
                <w:sz w:val="22"/>
                <w:szCs w:val="22"/>
                <w:highlight w:val="none"/>
              </w:rPr>
              <w:t>-3</w:t>
            </w:r>
            <w:r>
              <w:rPr>
                <w:rFonts w:hint="eastAsia" w:cs="新宋体" w:asciiTheme="majorEastAsia" w:hAnsiTheme="majorEastAsia" w:eastAsiaTheme="majorEastAsia"/>
                <w:color w:val="auto"/>
                <w:sz w:val="22"/>
                <w:szCs w:val="22"/>
                <w:highlight w:val="none"/>
              </w:rPr>
              <w:t>分；</w:t>
            </w:r>
          </w:p>
          <w:p>
            <w:pPr>
              <w:spacing w:line="280" w:lineRule="exact"/>
              <w:rPr>
                <w:rFonts w:cs="新宋体" w:asciiTheme="majorEastAsia" w:hAnsiTheme="majorEastAsia" w:eastAsiaTheme="majorEastAsia"/>
                <w:color w:val="auto"/>
                <w:sz w:val="22"/>
                <w:szCs w:val="22"/>
                <w:highlight w:val="none"/>
              </w:rPr>
            </w:pPr>
            <w:r>
              <w:rPr>
                <w:rFonts w:cs="新宋体" w:asciiTheme="majorEastAsia" w:hAnsiTheme="majorEastAsia" w:eastAsiaTheme="majorEastAsia"/>
                <w:color w:val="auto"/>
                <w:sz w:val="22"/>
                <w:szCs w:val="22"/>
                <w:highlight w:val="none"/>
              </w:rPr>
              <w:t>2</w:t>
            </w:r>
            <w:r>
              <w:rPr>
                <w:rFonts w:hint="eastAsia" w:cs="新宋体" w:asciiTheme="majorEastAsia" w:hAnsiTheme="majorEastAsia" w:eastAsiaTheme="majorEastAsia"/>
                <w:color w:val="auto"/>
                <w:sz w:val="22"/>
                <w:szCs w:val="22"/>
                <w:highlight w:val="none"/>
              </w:rPr>
              <w:t>、设备及工具、消耗材料配备的先进性，0</w:t>
            </w:r>
            <w:r>
              <w:rPr>
                <w:rFonts w:cs="新宋体" w:asciiTheme="majorEastAsia" w:hAnsiTheme="majorEastAsia" w:eastAsiaTheme="majorEastAsia"/>
                <w:color w:val="auto"/>
                <w:sz w:val="22"/>
                <w:szCs w:val="22"/>
                <w:highlight w:val="none"/>
              </w:rPr>
              <w:t>-3</w:t>
            </w:r>
            <w:r>
              <w:rPr>
                <w:rFonts w:hint="eastAsia" w:cs="新宋体" w:asciiTheme="majorEastAsia" w:hAnsiTheme="majorEastAsia" w:eastAsiaTheme="majorEastAsia"/>
                <w:color w:val="auto"/>
                <w:sz w:val="22"/>
                <w:szCs w:val="22"/>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644" w:type="dxa"/>
            <w:vMerge w:val="restart"/>
            <w:tcBorders>
              <w:top w:val="single" w:color="auto" w:sz="4" w:space="0"/>
              <w:left w:val="single" w:color="auto" w:sz="12" w:space="0"/>
              <w:bottom w:val="single" w:color="auto" w:sz="4" w:space="0"/>
              <w:right w:val="single" w:color="auto" w:sz="4" w:space="0"/>
            </w:tcBorders>
            <w:vAlign w:val="center"/>
          </w:tcPr>
          <w:p>
            <w:pPr>
              <w:spacing w:line="280" w:lineRule="exact"/>
              <w:ind w:left="-50"/>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3</w:t>
            </w:r>
          </w:p>
        </w:tc>
        <w:tc>
          <w:tcPr>
            <w:tcW w:w="221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项目管理组织结构</w:t>
            </w:r>
          </w:p>
        </w:tc>
        <w:tc>
          <w:tcPr>
            <w:tcW w:w="11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9</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bottom w:val="single" w:color="auto" w:sz="4" w:space="0"/>
              <w:right w:val="single" w:color="auto" w:sz="12" w:space="0"/>
            </w:tcBorders>
            <w:vAlign w:val="center"/>
          </w:tcPr>
          <w:p>
            <w:pPr>
              <w:spacing w:line="280" w:lineRule="exact"/>
              <w:rPr>
                <w:rFonts w:asciiTheme="majorEastAsia" w:hAnsiTheme="majorEastAsia" w:eastAsiaTheme="majorEastAsia"/>
                <w:color w:val="auto"/>
                <w:sz w:val="22"/>
                <w:szCs w:val="22"/>
                <w:highlight w:val="none"/>
              </w:rPr>
            </w:pPr>
            <w:r>
              <w:rPr>
                <w:rFonts w:hint="eastAsia" w:asciiTheme="majorEastAsia" w:hAnsiTheme="majorEastAsia" w:eastAsiaTheme="majorEastAsia"/>
                <w:snapToGrid w:val="0"/>
                <w:color w:val="auto"/>
                <w:kern w:val="0"/>
                <w:sz w:val="22"/>
                <w:szCs w:val="22"/>
                <w:highlight w:val="none"/>
              </w:rPr>
              <w:t>岗位设置及配备情况打分：</w:t>
            </w:r>
          </w:p>
          <w:p>
            <w:pPr>
              <w:pStyle w:val="2"/>
              <w:ind w:firstLine="22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1、人员的年轻化，0-</w:t>
            </w:r>
            <w:r>
              <w:rPr>
                <w:rFonts w:asciiTheme="majorEastAsia" w:hAnsiTheme="majorEastAsia" w:eastAsiaTheme="majorEastAsia"/>
                <w:color w:val="auto"/>
                <w:sz w:val="22"/>
                <w:szCs w:val="22"/>
                <w:highlight w:val="none"/>
              </w:rPr>
              <w:t>3</w:t>
            </w:r>
            <w:r>
              <w:rPr>
                <w:rFonts w:hint="eastAsia" w:asciiTheme="majorEastAsia" w:hAnsiTheme="majorEastAsia" w:eastAsiaTheme="majorEastAsia"/>
                <w:color w:val="auto"/>
                <w:sz w:val="22"/>
                <w:szCs w:val="22"/>
                <w:highlight w:val="none"/>
              </w:rPr>
              <w:t>分；</w:t>
            </w:r>
          </w:p>
          <w:p>
            <w:pPr>
              <w:pStyle w:val="2"/>
              <w:ind w:firstLine="22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2、人员（除项目负责人）的文化程度，0-</w:t>
            </w:r>
            <w:r>
              <w:rPr>
                <w:rFonts w:asciiTheme="majorEastAsia" w:hAnsiTheme="majorEastAsia" w:eastAsiaTheme="majorEastAsia"/>
                <w:color w:val="auto"/>
                <w:sz w:val="22"/>
                <w:szCs w:val="22"/>
                <w:highlight w:val="none"/>
              </w:rPr>
              <w:t>3</w:t>
            </w:r>
            <w:r>
              <w:rPr>
                <w:rFonts w:hint="eastAsia" w:asciiTheme="majorEastAsia" w:hAnsiTheme="majorEastAsia" w:eastAsiaTheme="majorEastAsia"/>
                <w:color w:val="auto"/>
                <w:sz w:val="22"/>
                <w:szCs w:val="22"/>
                <w:highlight w:val="none"/>
              </w:rPr>
              <w:t>分；</w:t>
            </w:r>
          </w:p>
          <w:p>
            <w:pPr>
              <w:pStyle w:val="2"/>
              <w:ind w:firstLine="220"/>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3、人员安排的合理性、完整性，0-</w:t>
            </w:r>
            <w:r>
              <w:rPr>
                <w:rFonts w:asciiTheme="majorEastAsia" w:hAnsiTheme="majorEastAsia" w:eastAsiaTheme="majorEastAsia"/>
                <w:color w:val="auto"/>
                <w:sz w:val="22"/>
                <w:szCs w:val="22"/>
                <w:highlight w:val="none"/>
              </w:rPr>
              <w:t>3</w:t>
            </w:r>
            <w:r>
              <w:rPr>
                <w:rFonts w:hint="eastAsia" w:asciiTheme="majorEastAsia" w:hAnsiTheme="majorEastAsia" w:eastAsiaTheme="majorEastAsia"/>
                <w:color w:val="auto"/>
                <w:sz w:val="22"/>
                <w:szCs w:val="22"/>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644"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新宋体" w:asciiTheme="majorEastAsia" w:hAnsiTheme="majorEastAsia" w:eastAsiaTheme="majorEastAsia"/>
                <w:color w:val="auto"/>
                <w:sz w:val="22"/>
                <w:szCs w:val="22"/>
                <w:highlight w:val="none"/>
              </w:rPr>
            </w:pPr>
          </w:p>
        </w:tc>
        <w:tc>
          <w:tcPr>
            <w:tcW w:w="2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新宋体" w:asciiTheme="majorEastAsia" w:hAnsiTheme="majorEastAsia" w:eastAsiaTheme="majorEastAsia"/>
                <w:color w:val="auto"/>
                <w:sz w:val="22"/>
                <w:szCs w:val="22"/>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6</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bottom w:val="single" w:color="auto" w:sz="4" w:space="0"/>
              <w:right w:val="single" w:color="auto" w:sz="12" w:space="0"/>
            </w:tcBorders>
            <w:vAlign w:val="center"/>
          </w:tcPr>
          <w:p>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1、投标项目负责人具全日制专科及以上学历得</w:t>
            </w:r>
            <w:r>
              <w:rPr>
                <w:rFonts w:asciiTheme="majorEastAsia" w:hAnsiTheme="majorEastAsia" w:eastAsiaTheme="majorEastAsia"/>
                <w:color w:val="auto"/>
                <w:sz w:val="22"/>
                <w:szCs w:val="22"/>
                <w:highlight w:val="none"/>
              </w:rPr>
              <w:t>2</w:t>
            </w:r>
            <w:r>
              <w:rPr>
                <w:rFonts w:hint="eastAsia" w:asciiTheme="majorEastAsia" w:hAnsiTheme="majorEastAsia" w:eastAsiaTheme="majorEastAsia"/>
                <w:color w:val="auto"/>
                <w:sz w:val="22"/>
                <w:szCs w:val="22"/>
                <w:highlight w:val="none"/>
              </w:rPr>
              <w:t>分；</w:t>
            </w:r>
          </w:p>
          <w:p>
            <w:pPr>
              <w:rPr>
                <w:rFonts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2、投标项目负责人具全国物业管理企业经理证得</w:t>
            </w:r>
            <w:r>
              <w:rPr>
                <w:rFonts w:asciiTheme="majorEastAsia" w:hAnsiTheme="majorEastAsia" w:eastAsiaTheme="majorEastAsia"/>
                <w:color w:val="auto"/>
                <w:sz w:val="22"/>
                <w:szCs w:val="22"/>
                <w:highlight w:val="none"/>
              </w:rPr>
              <w:t>2</w:t>
            </w:r>
            <w:r>
              <w:rPr>
                <w:rFonts w:hint="eastAsia" w:asciiTheme="majorEastAsia" w:hAnsiTheme="majorEastAsia" w:eastAsiaTheme="majorEastAsia"/>
                <w:color w:val="auto"/>
                <w:sz w:val="22"/>
                <w:szCs w:val="22"/>
                <w:highlight w:val="none"/>
              </w:rPr>
              <w:t>分；</w:t>
            </w:r>
          </w:p>
          <w:p>
            <w:pPr>
              <w:pStyle w:val="3"/>
              <w:rPr>
                <w:rFonts w:asciiTheme="majorEastAsia" w:hAnsiTheme="majorEastAsia" w:eastAsiaTheme="majorEastAsia"/>
                <w:color w:val="auto"/>
                <w:sz w:val="22"/>
                <w:szCs w:val="22"/>
                <w:highlight w:val="none"/>
              </w:rPr>
            </w:pPr>
            <w:r>
              <w:rPr>
                <w:rFonts w:asciiTheme="majorEastAsia" w:hAnsiTheme="majorEastAsia" w:eastAsiaTheme="majorEastAsia"/>
                <w:color w:val="auto"/>
                <w:sz w:val="22"/>
                <w:szCs w:val="22"/>
                <w:highlight w:val="none"/>
              </w:rPr>
              <w:t>3</w:t>
            </w:r>
            <w:r>
              <w:rPr>
                <w:rFonts w:hint="eastAsia" w:asciiTheme="majorEastAsia" w:hAnsiTheme="majorEastAsia" w:eastAsiaTheme="majorEastAsia"/>
                <w:color w:val="auto"/>
                <w:sz w:val="22"/>
                <w:szCs w:val="22"/>
                <w:highlight w:val="none"/>
              </w:rPr>
              <w:t>、投标项目负责人具</w:t>
            </w:r>
            <w:r>
              <w:rPr>
                <w:rFonts w:hint="eastAsia" w:asciiTheme="majorEastAsia" w:hAnsiTheme="majorEastAsia" w:eastAsiaTheme="majorEastAsia"/>
                <w:color w:val="auto"/>
                <w:sz w:val="22"/>
                <w:szCs w:val="22"/>
                <w:highlight w:val="none"/>
                <w:lang w:eastAsia="zh-Hans"/>
              </w:rPr>
              <w:t>低压电工证得</w:t>
            </w:r>
            <w:r>
              <w:rPr>
                <w:rFonts w:asciiTheme="majorEastAsia" w:hAnsiTheme="majorEastAsia" w:eastAsiaTheme="majorEastAsia"/>
                <w:color w:val="auto"/>
                <w:sz w:val="22"/>
                <w:szCs w:val="22"/>
                <w:highlight w:val="none"/>
                <w:lang w:eastAsia="zh-Hans"/>
              </w:rPr>
              <w:t>2</w:t>
            </w:r>
            <w:r>
              <w:rPr>
                <w:rFonts w:hint="eastAsia" w:asciiTheme="majorEastAsia" w:hAnsiTheme="majorEastAsia" w:eastAsiaTheme="majorEastAsia"/>
                <w:color w:val="auto"/>
                <w:sz w:val="22"/>
                <w:szCs w:val="22"/>
                <w:highlight w:val="none"/>
                <w:lang w:eastAsia="zh-Hans"/>
              </w:rPr>
              <w:t>分</w:t>
            </w:r>
          </w:p>
          <w:p>
            <w:pPr>
              <w:spacing w:line="280" w:lineRule="exact"/>
              <w:rPr>
                <w:rFonts w:cs="新宋体" w:asciiTheme="majorEastAsia" w:hAnsiTheme="majorEastAsia" w:eastAsiaTheme="majorEastAsia"/>
                <w:color w:val="auto"/>
                <w:sz w:val="22"/>
                <w:szCs w:val="22"/>
                <w:highlight w:val="none"/>
              </w:rPr>
            </w:pPr>
            <w:r>
              <w:rPr>
                <w:rFonts w:hint="eastAsia" w:cs="宋体" w:asciiTheme="majorEastAsia" w:hAnsiTheme="majorEastAsia" w:eastAsiaTheme="majorEastAsia"/>
                <w:b/>
                <w:bCs/>
                <w:color w:val="auto"/>
                <w:sz w:val="22"/>
                <w:szCs w:val="22"/>
                <w:highlight w:val="none"/>
              </w:rPr>
              <w:t>注：提供相关证书扫描件加盖公章，否则不予得分，人员须为投标人单位正式员工，提供近三个月社保证明，不提供不得分。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Merge w:val="restart"/>
            <w:tcBorders>
              <w:top w:val="single" w:color="auto" w:sz="4" w:space="0"/>
              <w:left w:val="single" w:color="auto" w:sz="12" w:space="0"/>
              <w:bottom w:val="single" w:color="auto" w:sz="4" w:space="0"/>
              <w:right w:val="single" w:color="auto" w:sz="4" w:space="0"/>
            </w:tcBorders>
            <w:vAlign w:val="center"/>
          </w:tcPr>
          <w:p>
            <w:pPr>
              <w:spacing w:line="280" w:lineRule="exact"/>
              <w:ind w:left="-50"/>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4</w:t>
            </w:r>
          </w:p>
        </w:tc>
        <w:tc>
          <w:tcPr>
            <w:tcW w:w="221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各项管理服务分项工作的流程、标准，具体实施计划和方案</w:t>
            </w:r>
          </w:p>
        </w:tc>
        <w:tc>
          <w:tcPr>
            <w:tcW w:w="11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5</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bottom w:val="single" w:color="auto" w:sz="4" w:space="0"/>
              <w:right w:val="single" w:color="auto" w:sz="12" w:space="0"/>
            </w:tcBorders>
            <w:vAlign w:val="center"/>
          </w:tcPr>
          <w:p>
            <w:pPr>
              <w:spacing w:line="280" w:lineRule="exac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管理服务模式、工作流程；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新宋体" w:asciiTheme="majorEastAsia" w:hAnsiTheme="majorEastAsia" w:eastAsiaTheme="majorEastAsia"/>
                <w:color w:val="auto"/>
                <w:sz w:val="22"/>
                <w:szCs w:val="22"/>
                <w:highlight w:val="none"/>
              </w:rPr>
            </w:pPr>
          </w:p>
        </w:tc>
        <w:tc>
          <w:tcPr>
            <w:tcW w:w="2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新宋体" w:asciiTheme="majorEastAsia" w:hAnsiTheme="majorEastAsia" w:eastAsiaTheme="majorEastAsia"/>
                <w:color w:val="auto"/>
                <w:sz w:val="22"/>
                <w:szCs w:val="22"/>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5</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bottom w:val="single" w:color="auto" w:sz="4" w:space="0"/>
              <w:right w:val="single" w:color="auto" w:sz="12" w:space="0"/>
            </w:tcBorders>
            <w:vAlign w:val="center"/>
          </w:tcPr>
          <w:p>
            <w:pPr>
              <w:spacing w:line="280" w:lineRule="exac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各项管理服务标准；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新宋体" w:asciiTheme="majorEastAsia" w:hAnsiTheme="majorEastAsia" w:eastAsiaTheme="majorEastAsia"/>
                <w:color w:val="auto"/>
                <w:sz w:val="22"/>
                <w:szCs w:val="22"/>
                <w:highlight w:val="none"/>
              </w:rPr>
            </w:pPr>
          </w:p>
        </w:tc>
        <w:tc>
          <w:tcPr>
            <w:tcW w:w="2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新宋体" w:asciiTheme="majorEastAsia" w:hAnsiTheme="majorEastAsia" w:eastAsiaTheme="majorEastAsia"/>
                <w:color w:val="auto"/>
                <w:sz w:val="22"/>
                <w:szCs w:val="22"/>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5</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bottom w:val="single" w:color="auto" w:sz="4" w:space="0"/>
              <w:right w:val="single" w:color="auto" w:sz="12" w:space="0"/>
            </w:tcBorders>
            <w:vAlign w:val="center"/>
          </w:tcPr>
          <w:p>
            <w:pPr>
              <w:spacing w:line="280" w:lineRule="exac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 xml:space="preserve">防止交叉感染和消毒隔离制度和措施；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新宋体" w:asciiTheme="majorEastAsia" w:hAnsiTheme="majorEastAsia" w:eastAsiaTheme="majorEastAsia"/>
                <w:color w:val="auto"/>
                <w:sz w:val="22"/>
                <w:szCs w:val="22"/>
                <w:highlight w:val="none"/>
              </w:rPr>
            </w:pPr>
          </w:p>
        </w:tc>
        <w:tc>
          <w:tcPr>
            <w:tcW w:w="2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新宋体" w:asciiTheme="majorEastAsia" w:hAnsiTheme="majorEastAsia" w:eastAsiaTheme="majorEastAsia"/>
                <w:color w:val="auto"/>
                <w:sz w:val="22"/>
                <w:szCs w:val="22"/>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5</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bottom w:val="single" w:color="auto" w:sz="4" w:space="0"/>
              <w:right w:val="single" w:color="auto" w:sz="12" w:space="0"/>
            </w:tcBorders>
            <w:vAlign w:val="center"/>
          </w:tcPr>
          <w:p>
            <w:pPr>
              <w:spacing w:line="280" w:lineRule="exac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 xml:space="preserve">服务管理承诺；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644"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cs="新宋体" w:asciiTheme="majorEastAsia" w:hAnsiTheme="majorEastAsia" w:eastAsiaTheme="majorEastAsia"/>
                <w:color w:val="auto"/>
                <w:sz w:val="22"/>
                <w:szCs w:val="22"/>
                <w:highlight w:val="none"/>
              </w:rPr>
            </w:pPr>
          </w:p>
        </w:tc>
        <w:tc>
          <w:tcPr>
            <w:tcW w:w="2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新宋体" w:asciiTheme="majorEastAsia" w:hAnsiTheme="majorEastAsia" w:eastAsiaTheme="majorEastAsia"/>
                <w:color w:val="auto"/>
                <w:sz w:val="22"/>
                <w:szCs w:val="22"/>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5</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bottom w:val="single" w:color="auto" w:sz="4" w:space="0"/>
              <w:right w:val="single" w:color="auto" w:sz="12" w:space="0"/>
            </w:tcBorders>
            <w:vAlign w:val="center"/>
          </w:tcPr>
          <w:p>
            <w:pPr>
              <w:spacing w:line="280" w:lineRule="exact"/>
              <w:rPr>
                <w:rFonts w:cs="新宋体" w:asciiTheme="majorEastAsia" w:hAnsiTheme="majorEastAsia" w:eastAsiaTheme="majorEastAsia"/>
                <w:color w:val="auto"/>
                <w:sz w:val="22"/>
                <w:szCs w:val="22"/>
                <w:highlight w:val="none"/>
              </w:rPr>
            </w:pPr>
            <w:r>
              <w:rPr>
                <w:rFonts w:hint="eastAsia" w:cs="Arial" w:asciiTheme="majorEastAsia" w:hAnsiTheme="majorEastAsia" w:eastAsiaTheme="majorEastAsia"/>
                <w:snapToGrid w:val="0"/>
                <w:color w:val="auto"/>
                <w:kern w:val="0"/>
                <w:sz w:val="22"/>
                <w:szCs w:val="22"/>
                <w:highlight w:val="none"/>
              </w:rPr>
              <w:t>保持员工队伍稳定措施的有效性打分；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644" w:type="dxa"/>
            <w:tcBorders>
              <w:top w:val="single" w:color="auto" w:sz="4" w:space="0"/>
              <w:left w:val="single" w:color="auto" w:sz="12" w:space="0"/>
              <w:bottom w:val="single" w:color="auto" w:sz="4" w:space="0"/>
              <w:right w:val="single" w:color="auto" w:sz="4" w:space="0"/>
            </w:tcBorders>
            <w:vAlign w:val="center"/>
          </w:tcPr>
          <w:p>
            <w:pPr>
              <w:widowControl/>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5</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jc w:val="left"/>
              <w:rPr>
                <w:rFonts w:cs="新宋体" w:asciiTheme="majorEastAsia" w:hAnsiTheme="majorEastAsia" w:eastAsiaTheme="majorEastAsia"/>
                <w:color w:val="auto"/>
                <w:sz w:val="22"/>
                <w:szCs w:val="22"/>
                <w:highlight w:val="none"/>
              </w:rPr>
            </w:pPr>
            <w:r>
              <w:rPr>
                <w:rFonts w:cs="Arial" w:asciiTheme="majorEastAsia" w:hAnsiTheme="majorEastAsia" w:eastAsiaTheme="majorEastAsia"/>
                <w:snapToGrid w:val="0"/>
                <w:color w:val="auto"/>
                <w:kern w:val="0"/>
                <w:sz w:val="22"/>
                <w:szCs w:val="22"/>
                <w:highlight w:val="none"/>
              </w:rPr>
              <w:t>针对本项目特点和难点分析及解决措施</w:t>
            </w:r>
          </w:p>
        </w:tc>
        <w:tc>
          <w:tcPr>
            <w:tcW w:w="11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-6</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bottom w:val="single" w:color="auto" w:sz="4" w:space="0"/>
              <w:right w:val="single" w:color="auto" w:sz="12" w:space="0"/>
            </w:tcBorders>
          </w:tcPr>
          <w:p>
            <w:pPr>
              <w:spacing w:line="280" w:lineRule="exac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w:t>
            </w:r>
            <w:r>
              <w:rPr>
                <w:rFonts w:hint="eastAsia" w:cs="新宋体" w:asciiTheme="majorEastAsia" w:hAnsiTheme="majorEastAsia" w:eastAsiaTheme="majorEastAsia"/>
                <w:color w:val="auto"/>
                <w:sz w:val="22"/>
                <w:szCs w:val="22"/>
                <w:highlight w:val="none"/>
                <w:lang w:eastAsia="zh-Hans"/>
              </w:rPr>
              <w:t>本项目特点和难点分析，</w:t>
            </w: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-3</w:t>
            </w:r>
            <w:r>
              <w:rPr>
                <w:rFonts w:hint="eastAsia" w:cs="新宋体" w:asciiTheme="majorEastAsia" w:hAnsiTheme="majorEastAsia" w:eastAsiaTheme="majorEastAsia"/>
                <w:color w:val="auto"/>
                <w:sz w:val="22"/>
                <w:szCs w:val="22"/>
                <w:highlight w:val="none"/>
              </w:rPr>
              <w:t>分；</w:t>
            </w:r>
          </w:p>
          <w:p>
            <w:pPr>
              <w:spacing w:line="280" w:lineRule="exact"/>
              <w:rPr>
                <w:rFonts w:cs="Arial" w:asciiTheme="majorEastAsia" w:hAnsiTheme="majorEastAsia" w:eastAsiaTheme="majorEastAsia"/>
                <w:snapToGrid w:val="0"/>
                <w:color w:val="auto"/>
                <w:kern w:val="0"/>
                <w:sz w:val="22"/>
                <w:szCs w:val="22"/>
                <w:highlight w:val="none"/>
              </w:rPr>
            </w:pPr>
            <w:r>
              <w:rPr>
                <w:rFonts w:cs="新宋体" w:asciiTheme="majorEastAsia" w:hAnsiTheme="majorEastAsia" w:eastAsiaTheme="majorEastAsia"/>
                <w:color w:val="auto"/>
                <w:sz w:val="22"/>
                <w:szCs w:val="22"/>
                <w:highlight w:val="none"/>
                <w:lang w:eastAsia="zh-Hans"/>
              </w:rPr>
              <w:t>2</w:t>
            </w:r>
            <w:r>
              <w:rPr>
                <w:rFonts w:hint="eastAsia" w:cs="新宋体" w:asciiTheme="majorEastAsia" w:hAnsiTheme="majorEastAsia" w:eastAsiaTheme="majorEastAsia"/>
                <w:color w:val="auto"/>
                <w:sz w:val="22"/>
                <w:szCs w:val="22"/>
                <w:highlight w:val="none"/>
                <w:lang w:eastAsia="zh-Hans"/>
              </w:rPr>
              <w:t>、解决措施，</w:t>
            </w: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-3</w:t>
            </w:r>
            <w:r>
              <w:rPr>
                <w:rFonts w:hint="eastAsia" w:cs="新宋体" w:asciiTheme="majorEastAsia" w:hAnsiTheme="majorEastAsia" w:eastAsiaTheme="majorEastAsia"/>
                <w:color w:val="auto"/>
                <w:sz w:val="22"/>
                <w:szCs w:val="22"/>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644" w:type="dxa"/>
            <w:tcBorders>
              <w:top w:val="single" w:color="auto" w:sz="4" w:space="0"/>
              <w:left w:val="single" w:color="auto" w:sz="12" w:space="0"/>
              <w:bottom w:val="single" w:color="auto" w:sz="4" w:space="0"/>
              <w:right w:val="single" w:color="auto" w:sz="4" w:space="0"/>
            </w:tcBorders>
            <w:vAlign w:val="center"/>
          </w:tcPr>
          <w:p>
            <w:pPr>
              <w:spacing w:line="280" w:lineRule="exact"/>
              <w:ind w:left="-50"/>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6</w:t>
            </w:r>
          </w:p>
        </w:tc>
        <w:tc>
          <w:tcPr>
            <w:tcW w:w="2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asciiTheme="majorEastAsia" w:hAnsiTheme="majorEastAsia" w:eastAsiaTheme="majorEastAsia"/>
                <w:color w:val="auto"/>
                <w:sz w:val="22"/>
                <w:szCs w:val="22"/>
                <w:highlight w:val="none"/>
              </w:rPr>
              <w:t>本地化服务</w:t>
            </w:r>
          </w:p>
        </w:tc>
        <w:tc>
          <w:tcPr>
            <w:tcW w:w="1172" w:type="dxa"/>
            <w:tcBorders>
              <w:top w:val="single" w:color="auto" w:sz="4" w:space="0"/>
              <w:left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4</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right w:val="single" w:color="auto" w:sz="12" w:space="0"/>
            </w:tcBorders>
          </w:tcPr>
          <w:p>
            <w:pPr>
              <w:spacing w:line="280" w:lineRule="exact"/>
              <w:rPr>
                <w:rFonts w:cs="新宋体" w:asciiTheme="majorEastAsia" w:hAnsiTheme="majorEastAsia" w:eastAsiaTheme="majorEastAsia"/>
                <w:color w:val="auto"/>
                <w:sz w:val="22"/>
                <w:szCs w:val="22"/>
                <w:highlight w:val="none"/>
              </w:rPr>
            </w:pPr>
            <w:r>
              <w:rPr>
                <w:rFonts w:hint="eastAsia" w:cs="Arial" w:asciiTheme="majorEastAsia" w:hAnsiTheme="majorEastAsia" w:eastAsiaTheme="majorEastAsia"/>
                <w:snapToGrid w:val="0"/>
                <w:color w:val="auto"/>
                <w:kern w:val="0"/>
                <w:sz w:val="22"/>
                <w:szCs w:val="22"/>
                <w:highlight w:val="none"/>
              </w:rPr>
              <w:t>根据本地化服务机构的远近及可靠性打分。（本地化服务机构以营业执照、租赁合同或自有产权等</w:t>
            </w:r>
            <w:r>
              <w:rPr>
                <w:rFonts w:hint="eastAsia" w:asciiTheme="majorEastAsia" w:hAnsiTheme="majorEastAsia" w:eastAsiaTheme="majorEastAsia"/>
                <w:color w:val="auto"/>
                <w:sz w:val="22"/>
                <w:szCs w:val="22"/>
                <w:highlight w:val="none"/>
              </w:rPr>
              <w:t>行政主管部门出具证明材料</w:t>
            </w:r>
            <w:r>
              <w:rPr>
                <w:rFonts w:hint="eastAsia" w:cs="Arial" w:asciiTheme="majorEastAsia" w:hAnsiTheme="majorEastAsia" w:eastAsiaTheme="majorEastAsia"/>
                <w:snapToGrid w:val="0"/>
                <w:color w:val="auto"/>
                <w:kern w:val="0"/>
                <w:sz w:val="22"/>
                <w:szCs w:val="22"/>
                <w:highlight w:val="none"/>
              </w:rPr>
              <w:t>为准，</w:t>
            </w:r>
            <w:r>
              <w:rPr>
                <w:rFonts w:hint="eastAsia" w:cs="Arial" w:asciiTheme="majorEastAsia" w:hAnsiTheme="majorEastAsia" w:eastAsiaTheme="majorEastAsia"/>
                <w:snapToGrid w:val="0"/>
                <w:color w:val="auto"/>
                <w:kern w:val="0"/>
                <w:sz w:val="22"/>
                <w:szCs w:val="22"/>
                <w:highlight w:val="none"/>
                <w:lang w:eastAsia="zh-CN"/>
              </w:rPr>
              <w:t>扫描件</w:t>
            </w:r>
            <w:r>
              <w:rPr>
                <w:rFonts w:hint="eastAsia" w:cs="Arial" w:asciiTheme="majorEastAsia" w:hAnsiTheme="majorEastAsia" w:eastAsiaTheme="majorEastAsia"/>
                <w:snapToGrid w:val="0"/>
                <w:color w:val="auto"/>
                <w:kern w:val="0"/>
                <w:sz w:val="22"/>
                <w:szCs w:val="22"/>
                <w:highlight w:val="none"/>
              </w:rPr>
              <w:t>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644" w:type="dxa"/>
            <w:tcBorders>
              <w:top w:val="single" w:color="auto" w:sz="4" w:space="0"/>
              <w:left w:val="single" w:color="auto" w:sz="12" w:space="0"/>
              <w:bottom w:val="single" w:color="auto" w:sz="4" w:space="0"/>
              <w:right w:val="single" w:color="auto" w:sz="4" w:space="0"/>
            </w:tcBorders>
            <w:vAlign w:val="center"/>
          </w:tcPr>
          <w:p>
            <w:pPr>
              <w:spacing w:line="280" w:lineRule="exact"/>
              <w:ind w:left="-50"/>
              <w:jc w:val="center"/>
              <w:rPr>
                <w:rFonts w:cs="新宋体" w:asciiTheme="majorEastAsia" w:hAnsiTheme="majorEastAsia" w:eastAsiaTheme="majorEastAsia"/>
                <w:color w:val="auto"/>
                <w:sz w:val="22"/>
                <w:szCs w:val="22"/>
                <w:highlight w:val="none"/>
              </w:rPr>
            </w:pPr>
            <w:r>
              <w:rPr>
                <w:rFonts w:cs="新宋体" w:asciiTheme="majorEastAsia" w:hAnsiTheme="majorEastAsia" w:eastAsiaTheme="majorEastAsia"/>
                <w:color w:val="auto"/>
                <w:sz w:val="22"/>
                <w:szCs w:val="22"/>
                <w:highlight w:val="none"/>
              </w:rPr>
              <w:t>7</w:t>
            </w:r>
          </w:p>
        </w:tc>
        <w:tc>
          <w:tcPr>
            <w:tcW w:w="2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类似业绩</w:t>
            </w:r>
          </w:p>
        </w:tc>
        <w:tc>
          <w:tcPr>
            <w:tcW w:w="1172" w:type="dxa"/>
            <w:tcBorders>
              <w:top w:val="single" w:color="auto" w:sz="4" w:space="0"/>
              <w:left w:val="single" w:color="auto" w:sz="4" w:space="0"/>
              <w:bottom w:val="single" w:color="auto" w:sz="4" w:space="0"/>
              <w:right w:val="single" w:color="auto" w:sz="4" w:space="0"/>
            </w:tcBorders>
            <w:vAlign w:val="center"/>
          </w:tcPr>
          <w:p>
            <w:pPr>
              <w:pStyle w:val="18"/>
              <w:spacing w:line="280" w:lineRule="exact"/>
              <w:ind w:left="440" w:hanging="440"/>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1.5</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bottom w:val="single" w:color="auto" w:sz="4" w:space="0"/>
              <w:right w:val="single" w:color="auto" w:sz="12" w:space="0"/>
            </w:tcBorders>
          </w:tcPr>
          <w:p>
            <w:pPr>
              <w:spacing w:line="280" w:lineRule="exac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投标供应商201</w:t>
            </w:r>
            <w:r>
              <w:rPr>
                <w:rFonts w:cs="新宋体" w:asciiTheme="majorEastAsia" w:hAnsiTheme="majorEastAsia" w:eastAsiaTheme="majorEastAsia"/>
                <w:color w:val="auto"/>
                <w:sz w:val="22"/>
                <w:szCs w:val="22"/>
                <w:highlight w:val="none"/>
              </w:rPr>
              <w:t>9</w:t>
            </w:r>
            <w:r>
              <w:rPr>
                <w:rFonts w:hint="eastAsia" w:cs="新宋体" w:asciiTheme="majorEastAsia" w:hAnsiTheme="majorEastAsia" w:eastAsiaTheme="majorEastAsia"/>
                <w:color w:val="auto"/>
                <w:sz w:val="22"/>
                <w:szCs w:val="22"/>
                <w:highlight w:val="none"/>
              </w:rPr>
              <w:t>年1月1日至今类似保洁或物业含保洁的业绩。（在标书中提供合同扫描件和中标通知书及业主评价），每提供一个得</w:t>
            </w:r>
            <w:r>
              <w:rPr>
                <w:rFonts w:cs="新宋体" w:asciiTheme="majorEastAsia" w:hAnsiTheme="majorEastAsia" w:eastAsiaTheme="majorEastAsia"/>
                <w:color w:val="auto"/>
                <w:sz w:val="22"/>
                <w:szCs w:val="22"/>
                <w:highlight w:val="none"/>
              </w:rPr>
              <w:t>0</w:t>
            </w:r>
            <w:r>
              <w:rPr>
                <w:rFonts w:hint="eastAsia" w:cs="新宋体" w:asciiTheme="majorEastAsia" w:hAnsiTheme="majorEastAsia" w:eastAsiaTheme="majorEastAsia"/>
                <w:color w:val="auto"/>
                <w:sz w:val="22"/>
                <w:szCs w:val="22"/>
                <w:highlight w:val="none"/>
                <w:lang w:eastAsia="zh-Hans"/>
              </w:rPr>
              <w:t>.</w:t>
            </w:r>
            <w:r>
              <w:rPr>
                <w:rFonts w:cs="新宋体" w:asciiTheme="majorEastAsia" w:hAnsiTheme="majorEastAsia" w:eastAsiaTheme="majorEastAsia"/>
                <w:color w:val="auto"/>
                <w:sz w:val="22"/>
                <w:szCs w:val="22"/>
                <w:highlight w:val="none"/>
                <w:lang w:eastAsia="zh-Hans"/>
              </w:rPr>
              <w:t>5</w:t>
            </w:r>
            <w:r>
              <w:rPr>
                <w:rFonts w:hint="eastAsia" w:cs="新宋体" w:asciiTheme="majorEastAsia" w:hAnsiTheme="majorEastAsia" w:eastAsiaTheme="majorEastAsia"/>
                <w:color w:val="auto"/>
                <w:sz w:val="22"/>
                <w:szCs w:val="22"/>
                <w:highlight w:val="none"/>
              </w:rPr>
              <w:t>分，最多得</w:t>
            </w:r>
            <w:r>
              <w:rPr>
                <w:rFonts w:cs="新宋体" w:asciiTheme="majorEastAsia" w:hAnsiTheme="majorEastAsia" w:eastAsiaTheme="majorEastAsia"/>
                <w:color w:val="auto"/>
                <w:sz w:val="22"/>
                <w:szCs w:val="22"/>
                <w:highlight w:val="none"/>
              </w:rPr>
              <w:t>1.5</w:t>
            </w:r>
            <w:r>
              <w:rPr>
                <w:rFonts w:hint="eastAsia" w:cs="新宋体" w:asciiTheme="majorEastAsia" w:hAnsiTheme="majorEastAsia" w:eastAsiaTheme="majorEastAsia"/>
                <w:color w:val="auto"/>
                <w:sz w:val="22"/>
                <w:szCs w:val="22"/>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644" w:type="dxa"/>
            <w:tcBorders>
              <w:top w:val="single" w:color="auto" w:sz="4" w:space="0"/>
              <w:left w:val="single" w:color="auto" w:sz="12" w:space="0"/>
              <w:bottom w:val="single" w:color="auto" w:sz="4" w:space="0"/>
              <w:right w:val="single" w:color="auto" w:sz="4" w:space="0"/>
            </w:tcBorders>
            <w:vAlign w:val="center"/>
          </w:tcPr>
          <w:p>
            <w:pPr>
              <w:spacing w:line="280" w:lineRule="exact"/>
              <w:ind w:left="-50"/>
              <w:jc w:val="center"/>
              <w:rPr>
                <w:rFonts w:cs="新宋体" w:asciiTheme="majorEastAsia" w:hAnsiTheme="majorEastAsia" w:eastAsiaTheme="majorEastAsia"/>
                <w:color w:val="auto"/>
                <w:sz w:val="22"/>
                <w:szCs w:val="22"/>
                <w:highlight w:val="none"/>
              </w:rPr>
            </w:pPr>
            <w:r>
              <w:rPr>
                <w:rFonts w:cs="新宋体" w:asciiTheme="majorEastAsia" w:hAnsiTheme="majorEastAsia" w:eastAsiaTheme="majorEastAsia"/>
                <w:color w:val="auto"/>
                <w:sz w:val="22"/>
                <w:szCs w:val="22"/>
                <w:highlight w:val="none"/>
              </w:rPr>
              <w:t>8</w:t>
            </w:r>
          </w:p>
        </w:tc>
        <w:tc>
          <w:tcPr>
            <w:tcW w:w="2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突发事件应急处理措施</w:t>
            </w:r>
          </w:p>
        </w:tc>
        <w:tc>
          <w:tcPr>
            <w:tcW w:w="1172" w:type="dxa"/>
            <w:tcBorders>
              <w:top w:val="single" w:color="auto" w:sz="4" w:space="0"/>
              <w:left w:val="single" w:color="auto" w:sz="4" w:space="0"/>
              <w:bottom w:val="single" w:color="auto" w:sz="4" w:space="0"/>
              <w:right w:val="single" w:color="auto" w:sz="4" w:space="0"/>
            </w:tcBorders>
            <w:vAlign w:val="center"/>
          </w:tcPr>
          <w:p>
            <w:pPr>
              <w:pStyle w:val="18"/>
              <w:spacing w:line="280" w:lineRule="exact"/>
              <w:ind w:left="440" w:hanging="440"/>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4</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bottom w:val="single" w:color="auto" w:sz="4" w:space="0"/>
              <w:right w:val="single" w:color="auto" w:sz="12" w:space="0"/>
            </w:tcBorders>
          </w:tcPr>
          <w:p>
            <w:pPr>
              <w:spacing w:line="280" w:lineRule="exac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在投标文件中详细说明本项目的特征及针对本项目制定的紧急预案，并具有可操作性</w:t>
            </w:r>
            <w:r>
              <w:rPr>
                <w:rFonts w:hint="eastAsia" w:cs="新宋体" w:asciiTheme="majorEastAsia" w:hAnsiTheme="majorEastAsia" w:eastAsiaTheme="majorEastAsia"/>
                <w:color w:val="auto"/>
                <w:sz w:val="22"/>
                <w:szCs w:val="22"/>
                <w:highlight w:val="none"/>
                <w:lang w:eastAsia="zh-CN"/>
              </w:rPr>
              <w:t>，</w:t>
            </w:r>
            <w:r>
              <w:rPr>
                <w:rFonts w:hint="eastAsia" w:cs="新宋体" w:asciiTheme="majorEastAsia" w:hAnsiTheme="majorEastAsia" w:eastAsiaTheme="majorEastAsia"/>
                <w:color w:val="auto"/>
                <w:sz w:val="22"/>
                <w:szCs w:val="22"/>
                <w:highlight w:val="none"/>
              </w:rPr>
              <w:t>每制定一项应急预案得1分，最多得</w:t>
            </w:r>
            <w:r>
              <w:rPr>
                <w:rFonts w:cs="新宋体" w:asciiTheme="majorEastAsia" w:hAnsiTheme="majorEastAsia" w:eastAsiaTheme="majorEastAsia"/>
                <w:color w:val="auto"/>
                <w:sz w:val="22"/>
                <w:szCs w:val="22"/>
                <w:highlight w:val="none"/>
              </w:rPr>
              <w:t>4</w:t>
            </w:r>
            <w:r>
              <w:rPr>
                <w:rFonts w:hint="eastAsia" w:cs="新宋体" w:asciiTheme="majorEastAsia" w:hAnsiTheme="majorEastAsia" w:eastAsiaTheme="majorEastAsia"/>
                <w:color w:val="auto"/>
                <w:sz w:val="22"/>
                <w:szCs w:val="22"/>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644" w:type="dxa"/>
            <w:tcBorders>
              <w:top w:val="single" w:color="auto" w:sz="4" w:space="0"/>
              <w:left w:val="single" w:color="auto" w:sz="12" w:space="0"/>
              <w:bottom w:val="single" w:color="auto" w:sz="4" w:space="0"/>
              <w:right w:val="single" w:color="auto" w:sz="4" w:space="0"/>
            </w:tcBorders>
            <w:vAlign w:val="center"/>
          </w:tcPr>
          <w:p>
            <w:pPr>
              <w:spacing w:line="280" w:lineRule="exact"/>
              <w:ind w:left="-50"/>
              <w:jc w:val="center"/>
              <w:rPr>
                <w:rFonts w:cs="新宋体" w:asciiTheme="majorEastAsia" w:hAnsiTheme="majorEastAsia" w:eastAsiaTheme="majorEastAsia"/>
                <w:color w:val="auto"/>
                <w:sz w:val="22"/>
                <w:szCs w:val="22"/>
                <w:highlight w:val="none"/>
              </w:rPr>
            </w:pPr>
            <w:r>
              <w:rPr>
                <w:rFonts w:cs="新宋体" w:asciiTheme="majorEastAsia" w:hAnsiTheme="majorEastAsia" w:eastAsiaTheme="majorEastAsia"/>
                <w:color w:val="auto"/>
                <w:sz w:val="22"/>
                <w:szCs w:val="22"/>
                <w:highlight w:val="none"/>
              </w:rPr>
              <w:t>9</w:t>
            </w:r>
          </w:p>
        </w:tc>
        <w:tc>
          <w:tcPr>
            <w:tcW w:w="2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合理化创新及建议</w:t>
            </w:r>
          </w:p>
        </w:tc>
        <w:tc>
          <w:tcPr>
            <w:tcW w:w="1172" w:type="dxa"/>
            <w:tcBorders>
              <w:top w:val="single" w:color="auto" w:sz="4" w:space="0"/>
              <w:left w:val="single" w:color="auto" w:sz="4" w:space="0"/>
              <w:bottom w:val="single" w:color="auto" w:sz="4" w:space="0"/>
              <w:right w:val="single" w:color="auto" w:sz="4" w:space="0"/>
            </w:tcBorders>
            <w:vAlign w:val="center"/>
          </w:tcPr>
          <w:p>
            <w:pPr>
              <w:pStyle w:val="18"/>
              <w:spacing w:line="280" w:lineRule="exact"/>
              <w:ind w:left="440" w:hanging="440"/>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3</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bottom w:val="single" w:color="auto" w:sz="4" w:space="0"/>
              <w:right w:val="single" w:color="auto" w:sz="12" w:space="0"/>
            </w:tcBorders>
            <w:vAlign w:val="center"/>
          </w:tcPr>
          <w:p>
            <w:pPr>
              <w:spacing w:line="280" w:lineRule="exact"/>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是否给出实质性合理化创新及建议，以及针对本次采购的其他特殊承诺等情况。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644" w:type="dxa"/>
            <w:vMerge w:val="restart"/>
            <w:tcBorders>
              <w:top w:val="single" w:color="auto" w:sz="4" w:space="0"/>
              <w:left w:val="single" w:color="auto" w:sz="12" w:space="0"/>
              <w:right w:val="single" w:color="auto" w:sz="4" w:space="0"/>
            </w:tcBorders>
            <w:vAlign w:val="center"/>
          </w:tcPr>
          <w:p>
            <w:pPr>
              <w:spacing w:line="280" w:lineRule="exact"/>
              <w:ind w:left="-50"/>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w:t>
            </w:r>
            <w:r>
              <w:rPr>
                <w:rFonts w:cs="新宋体" w:asciiTheme="majorEastAsia" w:hAnsiTheme="majorEastAsia" w:eastAsiaTheme="majorEastAsia"/>
                <w:color w:val="auto"/>
                <w:sz w:val="22"/>
                <w:szCs w:val="22"/>
                <w:highlight w:val="none"/>
              </w:rPr>
              <w:t>0</w:t>
            </w:r>
          </w:p>
        </w:tc>
        <w:tc>
          <w:tcPr>
            <w:tcW w:w="2210" w:type="dxa"/>
            <w:vMerge w:val="restart"/>
            <w:tcBorders>
              <w:top w:val="single" w:color="auto" w:sz="4" w:space="0"/>
              <w:left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内部管理考核制度、员工培训计划及质量保证措施</w:t>
            </w:r>
          </w:p>
        </w:tc>
        <w:tc>
          <w:tcPr>
            <w:tcW w:w="1172" w:type="dxa"/>
            <w:tcBorders>
              <w:top w:val="single" w:color="auto" w:sz="4" w:space="0"/>
              <w:left w:val="single" w:color="auto" w:sz="4" w:space="0"/>
              <w:bottom w:val="single" w:color="auto" w:sz="4" w:space="0"/>
              <w:right w:val="single" w:color="auto" w:sz="4" w:space="0"/>
            </w:tcBorders>
            <w:vAlign w:val="center"/>
          </w:tcPr>
          <w:p>
            <w:pPr>
              <w:pStyle w:val="18"/>
              <w:spacing w:line="280" w:lineRule="exact"/>
              <w:ind w:left="440" w:hanging="440"/>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-2</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bottom w:val="single" w:color="auto" w:sz="4" w:space="0"/>
              <w:right w:val="single" w:color="auto" w:sz="12" w:space="0"/>
            </w:tcBorders>
            <w:vAlign w:val="center"/>
          </w:tcPr>
          <w:p>
            <w:pPr>
              <w:spacing w:line="280" w:lineRule="exact"/>
              <w:rPr>
                <w:rFonts w:cs="新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针对本项目的人员招聘计划、员工培训计划打分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644" w:type="dxa"/>
            <w:vMerge w:val="continue"/>
            <w:tcBorders>
              <w:left w:val="single" w:color="auto" w:sz="12" w:space="0"/>
              <w:bottom w:val="single" w:color="auto" w:sz="4" w:space="0"/>
              <w:right w:val="single" w:color="auto" w:sz="4" w:space="0"/>
            </w:tcBorders>
            <w:vAlign w:val="center"/>
          </w:tcPr>
          <w:p>
            <w:pPr>
              <w:spacing w:line="280" w:lineRule="exact"/>
              <w:ind w:left="-50"/>
              <w:jc w:val="center"/>
              <w:rPr>
                <w:rFonts w:cs="新宋体" w:asciiTheme="majorEastAsia" w:hAnsiTheme="majorEastAsia" w:eastAsiaTheme="majorEastAsia"/>
                <w:color w:val="auto"/>
                <w:sz w:val="22"/>
                <w:szCs w:val="22"/>
                <w:highlight w:val="none"/>
              </w:rPr>
            </w:pPr>
          </w:p>
        </w:tc>
        <w:tc>
          <w:tcPr>
            <w:tcW w:w="2210" w:type="dxa"/>
            <w:vMerge w:val="continue"/>
            <w:tcBorders>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pStyle w:val="18"/>
              <w:spacing w:line="280" w:lineRule="exact"/>
              <w:ind w:left="440" w:hanging="440"/>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5</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bottom w:val="single" w:color="auto" w:sz="4" w:space="0"/>
              <w:right w:val="single" w:color="auto" w:sz="12" w:space="0"/>
            </w:tcBorders>
            <w:vAlign w:val="center"/>
          </w:tcPr>
          <w:p>
            <w:pPr>
              <w:spacing w:line="280" w:lineRule="exact"/>
              <w:rPr>
                <w:rFonts w:cs="新宋体" w:asciiTheme="majorEastAsia" w:hAnsiTheme="majorEastAsia" w:eastAsiaTheme="majorEastAsia"/>
                <w:color w:val="auto"/>
                <w:sz w:val="22"/>
                <w:szCs w:val="22"/>
                <w:highlight w:val="none"/>
              </w:rPr>
            </w:pPr>
            <w:r>
              <w:rPr>
                <w:rFonts w:hint="eastAsia" w:cs="宋体" w:asciiTheme="majorEastAsia" w:hAnsiTheme="majorEastAsia" w:eastAsiaTheme="majorEastAsia"/>
                <w:color w:val="auto"/>
                <w:sz w:val="22"/>
                <w:szCs w:val="22"/>
                <w:highlight w:val="none"/>
              </w:rPr>
              <w:t>根据投标人内部管理考核制度及质量保证措施的完善性、合理性打分。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644" w:type="dxa"/>
            <w:tcBorders>
              <w:top w:val="single" w:color="auto" w:sz="4" w:space="0"/>
              <w:left w:val="single" w:color="auto" w:sz="12" w:space="0"/>
              <w:bottom w:val="single" w:color="auto" w:sz="4" w:space="0"/>
              <w:right w:val="single" w:color="auto" w:sz="4" w:space="0"/>
            </w:tcBorders>
            <w:vAlign w:val="center"/>
          </w:tcPr>
          <w:p>
            <w:pPr>
              <w:spacing w:line="280" w:lineRule="exact"/>
              <w:ind w:left="-50"/>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1</w:t>
            </w:r>
            <w:r>
              <w:rPr>
                <w:rFonts w:cs="新宋体" w:asciiTheme="majorEastAsia" w:hAnsiTheme="majorEastAsia" w:eastAsiaTheme="majorEastAsia"/>
                <w:color w:val="auto"/>
                <w:sz w:val="22"/>
                <w:szCs w:val="22"/>
                <w:highlight w:val="none"/>
              </w:rPr>
              <w:t>1</w:t>
            </w:r>
          </w:p>
        </w:tc>
        <w:tc>
          <w:tcPr>
            <w:tcW w:w="221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投标文件制作</w:t>
            </w:r>
          </w:p>
        </w:tc>
        <w:tc>
          <w:tcPr>
            <w:tcW w:w="1172" w:type="dxa"/>
            <w:tcBorders>
              <w:top w:val="single" w:color="auto" w:sz="4" w:space="0"/>
              <w:left w:val="single" w:color="auto" w:sz="4" w:space="0"/>
              <w:bottom w:val="single" w:color="auto" w:sz="4" w:space="0"/>
              <w:right w:val="single" w:color="auto" w:sz="4" w:space="0"/>
            </w:tcBorders>
            <w:vAlign w:val="center"/>
          </w:tcPr>
          <w:p>
            <w:pPr>
              <w:pStyle w:val="18"/>
              <w:spacing w:line="280" w:lineRule="exact"/>
              <w:ind w:left="440" w:hanging="440"/>
              <w:jc w:val="center"/>
              <w:rPr>
                <w:rFonts w:cs="新宋体" w:asciiTheme="majorEastAsia" w:hAnsiTheme="majorEastAsia" w:eastAsiaTheme="majorEastAsia"/>
                <w:color w:val="auto"/>
                <w:sz w:val="22"/>
                <w:szCs w:val="22"/>
                <w:highlight w:val="none"/>
              </w:rPr>
            </w:pPr>
            <w:r>
              <w:rPr>
                <w:rFonts w:hint="eastAsia" w:cs="新宋体" w:asciiTheme="majorEastAsia" w:hAnsiTheme="majorEastAsia" w:eastAsiaTheme="majorEastAsia"/>
                <w:color w:val="auto"/>
                <w:sz w:val="22"/>
                <w:szCs w:val="22"/>
                <w:highlight w:val="none"/>
              </w:rPr>
              <w:t>0</w:t>
            </w:r>
            <w:r>
              <w:rPr>
                <w:rFonts w:cs="新宋体" w:asciiTheme="majorEastAsia" w:hAnsiTheme="majorEastAsia" w:eastAsiaTheme="majorEastAsia"/>
                <w:color w:val="auto"/>
                <w:sz w:val="22"/>
                <w:szCs w:val="22"/>
                <w:highlight w:val="none"/>
              </w:rPr>
              <w:t>-0.5</w:t>
            </w:r>
            <w:r>
              <w:rPr>
                <w:rFonts w:hint="eastAsia" w:cs="新宋体" w:asciiTheme="majorEastAsia" w:hAnsiTheme="majorEastAsia" w:eastAsiaTheme="majorEastAsia"/>
                <w:color w:val="auto"/>
                <w:sz w:val="22"/>
                <w:szCs w:val="22"/>
                <w:highlight w:val="none"/>
              </w:rPr>
              <w:t>分</w:t>
            </w:r>
          </w:p>
        </w:tc>
        <w:tc>
          <w:tcPr>
            <w:tcW w:w="5613" w:type="dxa"/>
            <w:tcBorders>
              <w:top w:val="single" w:color="auto" w:sz="4" w:space="0"/>
              <w:left w:val="single" w:color="auto" w:sz="4" w:space="0"/>
              <w:bottom w:val="single" w:color="auto" w:sz="4" w:space="0"/>
              <w:right w:val="single" w:color="auto" w:sz="12" w:space="0"/>
            </w:tcBorders>
            <w:vAlign w:val="center"/>
          </w:tcPr>
          <w:p>
            <w:pPr>
              <w:spacing w:line="280" w:lineRule="exact"/>
              <w:rPr>
                <w:rFonts w:hint="eastAsia" w:cs="宋体" w:asciiTheme="majorEastAsia" w:hAnsiTheme="majorEastAsia" w:eastAsiaTheme="majorEastAsia"/>
                <w:color w:val="auto"/>
                <w:sz w:val="22"/>
                <w:szCs w:val="22"/>
                <w:highlight w:val="none"/>
                <w:lang w:eastAsia="zh-CN"/>
              </w:rPr>
            </w:pPr>
            <w:r>
              <w:rPr>
                <w:rFonts w:hint="eastAsia" w:cs="宋体" w:asciiTheme="majorEastAsia" w:hAnsiTheme="majorEastAsia" w:eastAsiaTheme="majorEastAsia"/>
                <w:color w:val="auto"/>
                <w:sz w:val="22"/>
                <w:szCs w:val="22"/>
                <w:highlight w:val="none"/>
              </w:rPr>
              <w:t>标书制作质量：目录准确、编排简洁、检索方便、内容精练、合理、格式符合招标文件要求，条理清晰、无缺页漏项等打分</w:t>
            </w:r>
            <w:r>
              <w:rPr>
                <w:rFonts w:hint="eastAsia" w:cs="宋体" w:asciiTheme="majorEastAsia" w:hAnsiTheme="majorEastAsia" w:eastAsiaTheme="majorEastAsia"/>
                <w:color w:val="auto"/>
                <w:sz w:val="22"/>
                <w:szCs w:val="22"/>
                <w:highlight w:val="none"/>
                <w:lang w:eastAsia="zh-CN"/>
              </w:rPr>
              <w:t>。</w:t>
            </w:r>
          </w:p>
        </w:tc>
      </w:tr>
    </w:tbl>
    <w:p>
      <w:pPr>
        <w:spacing w:line="460" w:lineRule="atLeast"/>
        <w:ind w:firstLine="440" w:firstLineChars="200"/>
        <w:rPr>
          <w:rFonts w:ascii="宋体"/>
          <w:color w:val="auto"/>
          <w:sz w:val="22"/>
          <w:szCs w:val="22"/>
          <w:highlight w:val="none"/>
        </w:rPr>
      </w:pPr>
      <w:r>
        <w:rPr>
          <w:rFonts w:hint="eastAsia" w:ascii="宋体" w:hAnsi="宋体" w:cs="宋体"/>
          <w:color w:val="auto"/>
          <w:sz w:val="22"/>
          <w:szCs w:val="22"/>
          <w:highlight w:val="none"/>
        </w:rPr>
        <w:t>三、说明</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、每个供应商最终得分</w:t>
      </w:r>
      <w:r>
        <w:rPr>
          <w:rFonts w:ascii="宋体" w:hAnsi="宋体" w:cs="宋体"/>
          <w:color w:val="auto"/>
          <w:sz w:val="22"/>
          <w:szCs w:val="22"/>
          <w:highlight w:val="none"/>
        </w:rPr>
        <w:t>=</w:t>
      </w:r>
      <w:r>
        <w:rPr>
          <w:rFonts w:hint="eastAsia" w:ascii="宋体" w:hAnsi="宋体" w:cs="宋体"/>
          <w:color w:val="auto"/>
          <w:sz w:val="22"/>
          <w:szCs w:val="22"/>
          <w:highlight w:val="none"/>
        </w:rPr>
        <w:t>技术资信部分分值（所有评标委员会成员打分的算术平均值）＋商务报价部分分值。</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、评标委员会推荐得分最高的供应商为预中标供应商（如果得分相同则按报价从低到高顺序依次推荐为预中标单位）；如果得分相同，报价也相同，以抽签决定，并编写评标报告。</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、所有分值计算保留小数点后二位，小数点后三位四舍五入。</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hint="eastAsia" w:ascii="宋体" w:hAnsi="宋体" w:cs="宋体"/>
          <w:color w:val="auto"/>
          <w:sz w:val="22"/>
          <w:szCs w:val="22"/>
          <w:highlight w:val="none"/>
        </w:rPr>
        <w:t>参见本招标文件第三部分：“供应商须知”</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中的相关内容，未尽事宜按有关法律规定处理。</w:t>
      </w:r>
    </w:p>
    <w:p>
      <w:pPr>
        <w:widowControl/>
        <w:autoSpaceDE w:val="0"/>
        <w:autoSpaceDN w:val="0"/>
        <w:adjustRightInd w:val="0"/>
        <w:spacing w:line="460" w:lineRule="atLeast"/>
        <w:ind w:firstLine="420" w:firstLineChars="200"/>
        <w:textAlignment w:val="bottom"/>
        <w:rPr>
          <w:rFonts w:ascii="宋体"/>
          <w:color w:val="auto"/>
          <w:sz w:val="22"/>
          <w:szCs w:val="22"/>
          <w:highlight w:val="none"/>
        </w:rPr>
      </w:pPr>
      <w:r>
        <w:rPr>
          <w:rFonts w:hint="eastAsia" w:ascii="宋体" w:hAnsi="宋体" w:cs="宋体"/>
          <w:color w:val="auto"/>
          <w:highlight w:val="none"/>
        </w:rPr>
        <w:t>四</w:t>
      </w:r>
      <w:r>
        <w:rPr>
          <w:rFonts w:hint="eastAsia" w:ascii="宋体" w:hAnsi="宋体" w:cs="宋体"/>
          <w:color w:val="auto"/>
          <w:sz w:val="22"/>
          <w:szCs w:val="22"/>
          <w:highlight w:val="none"/>
        </w:rPr>
        <w:t>、注意事项</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hint="eastAsia" w:ascii="宋体" w:hAnsi="宋体" w:cs="宋体"/>
          <w:color w:val="auto"/>
          <w:sz w:val="22"/>
          <w:szCs w:val="22"/>
          <w:highlight w:val="none"/>
        </w:rPr>
        <w:t>为确保评标工作的顺利进行，防止因泄密或其它意外而造成不良后果及影响，凡参加评标工作的人员都必须认真执行下面规定：</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1</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在评标工作期间，所有分发的投标文件、资料等仅限于在评标场所中使用，不得带往其它地方。</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评标人员及工作人员不得在公共场合谈论有关评标内容。</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评标人员及工作人员不得以书信、电讯、口述等方式将有关评标内容（如资料、投标文件、报价、评标方式、评标委员会的决定、评标人员名单等）披露给未参加评标的任何无关人员，包括上级领导、同级和下级人员，任何与评标无关的人员（包括亲朋好友和同事）不得进入评标场所。</w:t>
      </w:r>
    </w:p>
    <w:p>
      <w:pPr>
        <w:widowControl/>
        <w:autoSpaceDE w:val="0"/>
        <w:autoSpaceDN w:val="0"/>
        <w:adjustRightInd w:val="0"/>
        <w:spacing w:line="460" w:lineRule="atLeast"/>
        <w:ind w:firstLine="440" w:firstLineChars="200"/>
        <w:textAlignment w:val="bottom"/>
        <w:rPr>
          <w:rFonts w:ascii="宋体"/>
          <w:color w:val="auto"/>
          <w:sz w:val="22"/>
          <w:szCs w:val="22"/>
          <w:highlight w:val="none"/>
        </w:rPr>
      </w:pPr>
      <w:r>
        <w:rPr>
          <w:rFonts w:ascii="宋体" w:hAnsi="宋体" w:cs="宋体"/>
          <w:color w:val="auto"/>
          <w:sz w:val="22"/>
          <w:szCs w:val="22"/>
          <w:highlight w:val="none"/>
        </w:rPr>
        <w:t>4</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任何需要向投标人进行询标的问题必须经评标委员会成员签字并由主询标人提出。在询标期间，对于涉及本规定保密范畴的所有内容，主询标人不得向投标人透露。</w:t>
      </w:r>
    </w:p>
    <w:p>
      <w:pPr>
        <w:widowControl/>
        <w:autoSpaceDE w:val="0"/>
        <w:autoSpaceDN w:val="0"/>
        <w:adjustRightInd w:val="0"/>
        <w:spacing w:line="460" w:lineRule="atLeast"/>
        <w:ind w:firstLine="440" w:firstLineChars="200"/>
        <w:textAlignment w:val="bottom"/>
        <w:rPr>
          <w:rFonts w:ascii="宋体"/>
          <w:color w:val="auto"/>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任何评标人员和工作人员不得对外公布评标的一切内容。</w:t>
      </w:r>
    </w:p>
    <w:sectPr>
      <w:headerReference r:id="rId7" w:type="default"/>
      <w:footerReference r:id="rId8" w:type="default"/>
      <w:pgSz w:w="11906" w:h="16838"/>
      <w:pgMar w:top="1134" w:right="1134" w:bottom="1134" w:left="1134"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354799"/>
      <w:docPartObj>
        <w:docPartGallery w:val="autotext"/>
      </w:docPartObj>
    </w:sdtPr>
    <w:sdtContent>
      <w:p>
        <w:pPr>
          <w:pStyle w:val="27"/>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page" w:x="5719" w:y="18"/>
      <w:rPr>
        <w:rStyle w:val="45"/>
        <w:rFonts w:ascii="宋体"/>
      </w:rPr>
    </w:pPr>
    <w:r>
      <w:rPr>
        <w:rFonts w:ascii="宋体"/>
      </w:rPr>
      <w:fldChar w:fldCharType="begin"/>
    </w:r>
    <w:r>
      <w:rPr>
        <w:rStyle w:val="45"/>
        <w:rFonts w:ascii="宋体"/>
      </w:rPr>
      <w:instrText xml:space="preserve">PAGE  </w:instrText>
    </w:r>
    <w:r>
      <w:rPr>
        <w:rFonts w:ascii="宋体"/>
      </w:rPr>
      <w:fldChar w:fldCharType="separate"/>
    </w:r>
    <w:r>
      <w:rPr>
        <w:rStyle w:val="45"/>
        <w:rFonts w:ascii="宋体"/>
      </w:rPr>
      <w:t>38</w:t>
    </w:r>
    <w:r>
      <w:rPr>
        <w:rFonts w:ascii="宋体"/>
      </w:rPr>
      <w:fldChar w:fldCharType="end"/>
    </w:r>
  </w:p>
  <w:p>
    <w:pPr>
      <w:pStyle w:val="27"/>
      <w:jc w:val="right"/>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page" w:x="5719" w:y="18"/>
      <w:rPr>
        <w:rStyle w:val="45"/>
        <w:rFonts w:ascii="宋体"/>
      </w:rPr>
    </w:pPr>
    <w:r>
      <w:rPr>
        <w:rStyle w:val="45"/>
        <w:rFonts w:ascii="宋体" w:cs="宋体"/>
      </w:rPr>
      <w:fldChar w:fldCharType="begin"/>
    </w:r>
    <w:r>
      <w:rPr>
        <w:rStyle w:val="45"/>
        <w:rFonts w:ascii="宋体" w:cs="宋体"/>
      </w:rPr>
      <w:instrText xml:space="preserve">PAGE  </w:instrText>
    </w:r>
    <w:r>
      <w:rPr>
        <w:rStyle w:val="45"/>
        <w:rFonts w:ascii="宋体" w:cs="宋体"/>
      </w:rPr>
      <w:fldChar w:fldCharType="separate"/>
    </w:r>
    <w:r>
      <w:rPr>
        <w:rStyle w:val="45"/>
        <w:rFonts w:ascii="宋体" w:cs="宋体"/>
      </w:rPr>
      <w:t>49</w:t>
    </w:r>
    <w:r>
      <w:rPr>
        <w:rStyle w:val="45"/>
        <w:rFonts w:ascii="宋体" w:cs="宋体"/>
      </w:rPr>
      <w:fldChar w:fldCharType="end"/>
    </w:r>
  </w:p>
  <w:p>
    <w:pPr>
      <w:pStyle w:val="27"/>
      <w:ind w:right="720"/>
      <w:jc w:val="both"/>
      <w:rPr>
        <w:rFonts w:asci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宋体"/>
        <w:b/>
      </w:rPr>
    </w:pPr>
    <w:r>
      <w:rPr>
        <w:rFonts w:hint="eastAsia" w:ascii="宋体"/>
        <w:b/>
      </w:rPr>
      <w:t>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宋体"/>
        <w:b/>
      </w:rPr>
    </w:pPr>
    <w:r>
      <w:rPr>
        <w:rFonts w:hint="eastAsia" w:ascii="宋体"/>
        <w:b/>
      </w:rPr>
      <w:t>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宋体"/>
        <w:b/>
        <w:bCs/>
      </w:rPr>
    </w:pPr>
    <w:r>
      <w:rPr>
        <w:rFonts w:hint="eastAsia" w:ascii="宋体" w:cs="宋体"/>
        <w:b/>
        <w:bCs/>
      </w:rPr>
      <w:t>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42DAA"/>
    <w:multiLevelType w:val="singleLevel"/>
    <w:tmpl w:val="84A42DAA"/>
    <w:lvl w:ilvl="0" w:tentative="0">
      <w:start w:val="1"/>
      <w:numFmt w:val="decimal"/>
      <w:suff w:val="nothing"/>
      <w:lvlText w:val="%1．"/>
      <w:lvlJc w:val="left"/>
      <w:pPr>
        <w:ind w:left="0" w:firstLine="400"/>
      </w:pPr>
    </w:lvl>
  </w:abstractNum>
  <w:abstractNum w:abstractNumId="1">
    <w:nsid w:val="8B163FCC"/>
    <w:multiLevelType w:val="singleLevel"/>
    <w:tmpl w:val="8B163FCC"/>
    <w:lvl w:ilvl="0" w:tentative="0">
      <w:start w:val="1"/>
      <w:numFmt w:val="decimal"/>
      <w:suff w:val="nothing"/>
      <w:lvlText w:val="%1．"/>
      <w:lvlJc w:val="left"/>
      <w:pPr>
        <w:ind w:left="0" w:firstLine="400"/>
      </w:pPr>
    </w:lvl>
  </w:abstractNum>
  <w:abstractNum w:abstractNumId="2">
    <w:nsid w:val="BD6BEECB"/>
    <w:multiLevelType w:val="singleLevel"/>
    <w:tmpl w:val="BD6BEECB"/>
    <w:lvl w:ilvl="0" w:tentative="0">
      <w:start w:val="1"/>
      <w:numFmt w:val="decimal"/>
      <w:suff w:val="nothing"/>
      <w:lvlText w:val="%1．"/>
      <w:lvlJc w:val="left"/>
      <w:pPr>
        <w:ind w:left="0" w:firstLine="400"/>
      </w:pPr>
    </w:lvl>
  </w:abstractNum>
  <w:abstractNum w:abstractNumId="3">
    <w:nsid w:val="0000000C"/>
    <w:multiLevelType w:val="multilevel"/>
    <w:tmpl w:val="0000000C"/>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420"/>
        </w:tabs>
        <w:ind w:left="420" w:hanging="420"/>
      </w:pPr>
      <w:rPr>
        <w:rFonts w:hint="eastAsia"/>
        <w:b w:val="0"/>
        <w:color w:val="000000"/>
        <w:sz w:val="21"/>
        <w:szCs w:val="21"/>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decimalEnclosedCircleChinese"/>
      <w:lvlText w:val="%3　"/>
      <w:lvlJc w:val="left"/>
      <w:pPr>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multilevel"/>
    <w:tmpl w:val="0000001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1B7709B"/>
    <w:multiLevelType w:val="multilevel"/>
    <w:tmpl w:val="01B7709B"/>
    <w:lvl w:ilvl="0" w:tentative="0">
      <w:start w:val="1"/>
      <w:numFmt w:val="decimal"/>
      <w:lvlText w:val="%1."/>
      <w:lvlJc w:val="left"/>
      <w:pPr>
        <w:tabs>
          <w:tab w:val="left" w:pos="680"/>
        </w:tabs>
        <w:ind w:left="680" w:hanging="680"/>
      </w:pPr>
      <w:rPr>
        <w:rFonts w:hint="default" w:ascii="Arial" w:hAnsi="Arial" w:eastAsia="宋体"/>
        <w:b w:val="0"/>
        <w:i w:val="0"/>
        <w:sz w:val="21"/>
      </w:rPr>
    </w:lvl>
    <w:lvl w:ilvl="1" w:tentative="0">
      <w:start w:val="1"/>
      <w:numFmt w:val="decimal"/>
      <w:lvlText w:val="%1.%2"/>
      <w:lvlJc w:val="left"/>
      <w:pPr>
        <w:tabs>
          <w:tab w:val="left" w:pos="680"/>
        </w:tabs>
        <w:ind w:left="680" w:hanging="680"/>
      </w:pPr>
      <w:rPr>
        <w:rFonts w:hint="default" w:ascii="Arial" w:hAnsi="Arial" w:eastAsia="宋体"/>
        <w:b w:val="0"/>
        <w:i w:val="0"/>
        <w:sz w:val="21"/>
      </w:rPr>
    </w:lvl>
    <w:lvl w:ilvl="2" w:tentative="0">
      <w:start w:val="1"/>
      <w:numFmt w:val="decimal"/>
      <w:lvlText w:val="%1.%2.%3"/>
      <w:lvlJc w:val="left"/>
      <w:pPr>
        <w:tabs>
          <w:tab w:val="left" w:pos="1156"/>
        </w:tabs>
        <w:ind w:left="856" w:hanging="420"/>
      </w:pPr>
      <w:rPr>
        <w:rFonts w:hint="default" w:ascii="Arial" w:hAnsi="Arial" w:cs="Arial"/>
        <w:b w:val="0"/>
        <w:sz w:val="21"/>
        <w:szCs w:val="21"/>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7">
    <w:nsid w:val="155C404F"/>
    <w:multiLevelType w:val="singleLevel"/>
    <w:tmpl w:val="155C404F"/>
    <w:lvl w:ilvl="0" w:tentative="0">
      <w:start w:val="1"/>
      <w:numFmt w:val="decimalEnclosedCircleChinese"/>
      <w:suff w:val="nothing"/>
      <w:lvlText w:val="%1　"/>
      <w:lvlJc w:val="left"/>
      <w:pPr>
        <w:ind w:left="0" w:firstLine="400"/>
      </w:pPr>
    </w:lvl>
  </w:abstractNum>
  <w:abstractNum w:abstractNumId="8">
    <w:nsid w:val="1AB2CB15"/>
    <w:multiLevelType w:val="singleLevel"/>
    <w:tmpl w:val="1AB2CB15"/>
    <w:lvl w:ilvl="0" w:tentative="0">
      <w:start w:val="1"/>
      <w:numFmt w:val="decimal"/>
      <w:suff w:val="nothing"/>
      <w:lvlText w:val="%1．"/>
      <w:lvlJc w:val="left"/>
      <w:pPr>
        <w:ind w:left="0" w:firstLine="400"/>
      </w:pPr>
    </w:lvl>
  </w:abstractNum>
  <w:abstractNum w:abstractNumId="9">
    <w:nsid w:val="1F01C481"/>
    <w:multiLevelType w:val="singleLevel"/>
    <w:tmpl w:val="1F01C481"/>
    <w:lvl w:ilvl="0" w:tentative="0">
      <w:start w:val="1"/>
      <w:numFmt w:val="decimal"/>
      <w:suff w:val="nothing"/>
      <w:lvlText w:val="%1．"/>
      <w:lvlJc w:val="left"/>
      <w:pPr>
        <w:ind w:left="0" w:firstLine="400"/>
      </w:pPr>
    </w:lvl>
  </w:abstractNum>
  <w:abstractNum w:abstractNumId="10">
    <w:nsid w:val="21184F10"/>
    <w:multiLevelType w:val="multilevel"/>
    <w:tmpl w:val="21184F10"/>
    <w:lvl w:ilvl="0" w:tentative="0">
      <w:start w:val="1"/>
      <w:numFmt w:val="upperLetter"/>
      <w:lvlText w:val="%1."/>
      <w:lvlJc w:val="left"/>
      <w:pPr>
        <w:tabs>
          <w:tab w:val="left" w:pos="600"/>
        </w:tabs>
        <w:ind w:left="600" w:hanging="420"/>
      </w:pPr>
    </w:lvl>
    <w:lvl w:ilvl="1" w:tentative="0">
      <w:start w:val="1"/>
      <w:numFmt w:val="decimal"/>
      <w:lvlText w:val="%2."/>
      <w:lvlJc w:val="left"/>
      <w:pPr>
        <w:tabs>
          <w:tab w:val="left" w:pos="420"/>
        </w:tabs>
        <w:ind w:left="420" w:hanging="420"/>
      </w:pPr>
    </w:lvl>
    <w:lvl w:ilvl="2" w:tentative="0">
      <w:start w:val="1"/>
      <w:numFmt w:val="decimal"/>
      <w:lvlText w:val="%3、"/>
      <w:lvlJc w:val="left"/>
      <w:pPr>
        <w:tabs>
          <w:tab w:val="left" w:pos="1530"/>
        </w:tabs>
        <w:ind w:left="1530" w:hanging="360"/>
      </w:pPr>
      <w:rPr>
        <w:rFonts w:hint="default"/>
      </w:rPr>
    </w:lvl>
    <w:lvl w:ilvl="3" w:tentative="0">
      <w:start w:val="2"/>
      <w:numFmt w:val="decimal"/>
      <w:lvlText w:val="（%4）"/>
      <w:lvlJc w:val="left"/>
      <w:pPr>
        <w:tabs>
          <w:tab w:val="left" w:pos="2310"/>
        </w:tabs>
        <w:ind w:left="2310" w:hanging="720"/>
      </w:pPr>
      <w:rPr>
        <w:rFonts w:hint="default"/>
      </w:rPr>
    </w:lvl>
    <w:lvl w:ilvl="4" w:tentative="0">
      <w:start w:val="1"/>
      <w:numFmt w:val="lowerLetter"/>
      <w:lvlText w:val="%5)"/>
      <w:lvlJc w:val="left"/>
      <w:pPr>
        <w:tabs>
          <w:tab w:val="left" w:pos="2430"/>
        </w:tabs>
        <w:ind w:left="2430" w:hanging="420"/>
      </w:pPr>
    </w:lvl>
    <w:lvl w:ilvl="5" w:tentative="0">
      <w:start w:val="1"/>
      <w:numFmt w:val="lowerRoman"/>
      <w:lvlText w:val="%6."/>
      <w:lvlJc w:val="right"/>
      <w:pPr>
        <w:tabs>
          <w:tab w:val="left" w:pos="2850"/>
        </w:tabs>
        <w:ind w:left="2850" w:hanging="420"/>
      </w:pPr>
    </w:lvl>
    <w:lvl w:ilvl="6" w:tentative="0">
      <w:start w:val="1"/>
      <w:numFmt w:val="decimal"/>
      <w:lvlText w:val="%7."/>
      <w:lvlJc w:val="left"/>
      <w:pPr>
        <w:tabs>
          <w:tab w:val="left" w:pos="3270"/>
        </w:tabs>
        <w:ind w:left="3270" w:hanging="420"/>
      </w:pPr>
    </w:lvl>
    <w:lvl w:ilvl="7" w:tentative="0">
      <w:start w:val="1"/>
      <w:numFmt w:val="lowerLetter"/>
      <w:lvlText w:val="%8)"/>
      <w:lvlJc w:val="left"/>
      <w:pPr>
        <w:tabs>
          <w:tab w:val="left" w:pos="3690"/>
        </w:tabs>
        <w:ind w:left="3690" w:hanging="420"/>
      </w:pPr>
    </w:lvl>
    <w:lvl w:ilvl="8" w:tentative="0">
      <w:start w:val="1"/>
      <w:numFmt w:val="lowerRoman"/>
      <w:lvlText w:val="%9."/>
      <w:lvlJc w:val="right"/>
      <w:pPr>
        <w:tabs>
          <w:tab w:val="left" w:pos="4110"/>
        </w:tabs>
        <w:ind w:left="4110" w:hanging="420"/>
      </w:pPr>
    </w:lvl>
  </w:abstractNum>
  <w:abstractNum w:abstractNumId="11">
    <w:nsid w:val="24E1C065"/>
    <w:multiLevelType w:val="singleLevel"/>
    <w:tmpl w:val="24E1C065"/>
    <w:lvl w:ilvl="0" w:tentative="0">
      <w:start w:val="1"/>
      <w:numFmt w:val="decimal"/>
      <w:suff w:val="nothing"/>
      <w:lvlText w:val="%1．"/>
      <w:lvlJc w:val="left"/>
      <w:pPr>
        <w:ind w:left="0" w:firstLine="400"/>
      </w:pPr>
    </w:lvl>
  </w:abstractNum>
  <w:abstractNum w:abstractNumId="12">
    <w:nsid w:val="2BE2361B"/>
    <w:multiLevelType w:val="multilevel"/>
    <w:tmpl w:val="2BE2361B"/>
    <w:lvl w:ilvl="0" w:tentative="0">
      <w:start w:val="1"/>
      <w:numFmt w:val="decimal"/>
      <w:lvlText w:val="%1."/>
      <w:lvlJc w:val="left"/>
      <w:pPr>
        <w:tabs>
          <w:tab w:val="left" w:pos="720"/>
        </w:tabs>
        <w:ind w:left="720" w:hanging="720"/>
      </w:pPr>
      <w:rPr>
        <w:rFonts w:hint="default"/>
        <w:b w:val="0"/>
        <w:i w:val="0"/>
        <w:sz w:val="21"/>
      </w:rPr>
    </w:lvl>
    <w:lvl w:ilvl="1" w:tentative="0">
      <w:start w:val="1"/>
      <w:numFmt w:val="decimal"/>
      <w:lvlText w:val="%2."/>
      <w:lvlJc w:val="left"/>
      <w:pPr>
        <w:tabs>
          <w:tab w:val="left" w:pos="720"/>
        </w:tabs>
        <w:ind w:left="720" w:hanging="720"/>
      </w:pPr>
      <w:rPr>
        <w:rFonts w:hint="default" w:ascii="Arial (W1)" w:hAnsi="Arial (W1)"/>
        <w:b w:val="0"/>
        <w:i w:val="0"/>
        <w:sz w:val="28"/>
      </w:rPr>
    </w:lvl>
    <w:lvl w:ilvl="2" w:tentative="0">
      <w:start w:val="1"/>
      <w:numFmt w:val="decimal"/>
      <w:lvlText w:val="%1.%3."/>
      <w:lvlJc w:val="left"/>
      <w:pPr>
        <w:tabs>
          <w:tab w:val="left" w:pos="720"/>
        </w:tabs>
        <w:ind w:left="720" w:hanging="720"/>
      </w:pPr>
      <w:rPr>
        <w:rFonts w:hint="default" w:cs="Arial"/>
        <w:b w:val="0"/>
        <w:sz w:val="21"/>
        <w:szCs w:val="21"/>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3">
    <w:nsid w:val="428A67A5"/>
    <w:multiLevelType w:val="multilevel"/>
    <w:tmpl w:val="428A67A5"/>
    <w:lvl w:ilvl="0" w:tentative="0">
      <w:start w:val="1"/>
      <w:numFmt w:val="decimal"/>
      <w:lvlText w:val="%1)"/>
      <w:lvlJc w:val="left"/>
      <w:pPr>
        <w:tabs>
          <w:tab w:val="left" w:pos="2591"/>
        </w:tabs>
        <w:ind w:left="2591" w:hanging="57"/>
      </w:pPr>
      <w:rPr>
        <w:rFonts w:hint="default"/>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abstractNum w:abstractNumId="14">
    <w:nsid w:val="51D0D205"/>
    <w:multiLevelType w:val="singleLevel"/>
    <w:tmpl w:val="51D0D205"/>
    <w:lvl w:ilvl="0" w:tentative="0">
      <w:start w:val="1"/>
      <w:numFmt w:val="decimal"/>
      <w:suff w:val="nothing"/>
      <w:lvlText w:val="%1．"/>
      <w:lvlJc w:val="left"/>
      <w:pPr>
        <w:ind w:left="0" w:firstLine="400"/>
      </w:pPr>
    </w:lvl>
  </w:abstractNum>
  <w:abstractNum w:abstractNumId="15">
    <w:nsid w:val="581253D1"/>
    <w:multiLevelType w:val="singleLevel"/>
    <w:tmpl w:val="581253D1"/>
    <w:lvl w:ilvl="0" w:tentative="0">
      <w:start w:val="1"/>
      <w:numFmt w:val="decimal"/>
      <w:suff w:val="nothing"/>
      <w:lvlText w:val="%1．"/>
      <w:lvlJc w:val="left"/>
      <w:pPr>
        <w:ind w:left="0" w:firstLine="400"/>
      </w:pPr>
    </w:lvl>
  </w:abstractNum>
  <w:abstractNum w:abstractNumId="16">
    <w:nsid w:val="5C44190A"/>
    <w:multiLevelType w:val="singleLevel"/>
    <w:tmpl w:val="5C44190A"/>
    <w:lvl w:ilvl="0" w:tentative="0">
      <w:start w:val="1"/>
      <w:numFmt w:val="decimal"/>
      <w:suff w:val="nothing"/>
      <w:lvlText w:val="%1．"/>
      <w:lvlJc w:val="left"/>
      <w:pPr>
        <w:ind w:left="0" w:firstLine="400"/>
      </w:pPr>
    </w:lvl>
  </w:abstractNum>
  <w:abstractNum w:abstractNumId="17">
    <w:nsid w:val="5FA34353"/>
    <w:multiLevelType w:val="multilevel"/>
    <w:tmpl w:val="5FA3435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bullet"/>
      <w:lvlText w:val=""/>
      <w:lvlJc w:val="left"/>
      <w:pPr>
        <w:ind w:left="1418" w:hanging="567"/>
      </w:pPr>
      <w:rPr>
        <w:rFonts w:hint="default" w:ascii="Wingdings" w:hAnsi="Wingdings"/>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8">
    <w:nsid w:val="604C8E32"/>
    <w:multiLevelType w:val="singleLevel"/>
    <w:tmpl w:val="604C8E32"/>
    <w:lvl w:ilvl="0" w:tentative="0">
      <w:start w:val="1"/>
      <w:numFmt w:val="decimalEnclosedCircleChinese"/>
      <w:suff w:val="nothing"/>
      <w:lvlText w:val="%1　"/>
      <w:lvlJc w:val="left"/>
      <w:pPr>
        <w:ind w:left="0" w:firstLine="400"/>
      </w:pPr>
    </w:lvl>
  </w:abstractNum>
  <w:abstractNum w:abstractNumId="19">
    <w:nsid w:val="60A44331"/>
    <w:multiLevelType w:val="multilevel"/>
    <w:tmpl w:val="60A44331"/>
    <w:lvl w:ilvl="0" w:tentative="0">
      <w:start w:val="1"/>
      <w:numFmt w:val="bullet"/>
      <w:lvlText w:val=""/>
      <w:lvlJc w:val="left"/>
      <w:pPr>
        <w:tabs>
          <w:tab w:val="left" w:pos="2591"/>
        </w:tabs>
        <w:ind w:left="2591" w:hanging="57"/>
      </w:pPr>
      <w:rPr>
        <w:rFonts w:hint="default" w:ascii="Wingdings" w:hAnsi="Wingdings"/>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abstractNum w:abstractNumId="20">
    <w:nsid w:val="60D04BAB"/>
    <w:multiLevelType w:val="singleLevel"/>
    <w:tmpl w:val="60D04BAB"/>
    <w:lvl w:ilvl="0" w:tentative="0">
      <w:start w:val="1"/>
      <w:numFmt w:val="decimal"/>
      <w:suff w:val="nothing"/>
      <w:lvlText w:val="%1．"/>
      <w:lvlJc w:val="left"/>
      <w:pPr>
        <w:ind w:left="0" w:firstLine="400"/>
      </w:pPr>
    </w:lvl>
  </w:abstractNum>
  <w:abstractNum w:abstractNumId="21">
    <w:nsid w:val="6C5CFB62"/>
    <w:multiLevelType w:val="singleLevel"/>
    <w:tmpl w:val="6C5CFB62"/>
    <w:lvl w:ilvl="0" w:tentative="0">
      <w:start w:val="1"/>
      <w:numFmt w:val="decimalEnclosedCircleChinese"/>
      <w:suff w:val="nothing"/>
      <w:lvlText w:val="%1　"/>
      <w:lvlJc w:val="left"/>
      <w:pPr>
        <w:ind w:left="0" w:firstLine="400"/>
      </w:pPr>
    </w:lvl>
  </w:abstractNum>
  <w:abstractNum w:abstractNumId="22">
    <w:nsid w:val="6D785E78"/>
    <w:multiLevelType w:val="multilevel"/>
    <w:tmpl w:val="6D785E78"/>
    <w:lvl w:ilvl="0" w:tentative="0">
      <w:start w:val="1"/>
      <w:numFmt w:val="decimal"/>
      <w:lvlText w:val="%1."/>
      <w:lvlJc w:val="left"/>
      <w:pPr>
        <w:tabs>
          <w:tab w:val="left" w:pos="680"/>
        </w:tabs>
        <w:ind w:left="680" w:hanging="680"/>
      </w:pPr>
      <w:rPr>
        <w:rFonts w:hint="default" w:ascii="Arial" w:hAnsi="Arial" w:eastAsia="宋体"/>
        <w:b w:val="0"/>
        <w:i w:val="0"/>
        <w:sz w:val="21"/>
      </w:rPr>
    </w:lvl>
    <w:lvl w:ilvl="1" w:tentative="0">
      <w:start w:val="1"/>
      <w:numFmt w:val="decimal"/>
      <w:lvlText w:val="%1.%2"/>
      <w:lvlJc w:val="left"/>
      <w:pPr>
        <w:tabs>
          <w:tab w:val="left" w:pos="680"/>
        </w:tabs>
        <w:ind w:left="680" w:hanging="680"/>
      </w:pPr>
      <w:rPr>
        <w:rFonts w:hint="default" w:ascii="Arial" w:hAnsi="Arial" w:eastAsia="宋体"/>
        <w:b w:val="0"/>
        <w:i w:val="0"/>
        <w:sz w:val="21"/>
      </w:rPr>
    </w:lvl>
    <w:lvl w:ilvl="2" w:tentative="0">
      <w:start w:val="1"/>
      <w:numFmt w:val="decimal"/>
      <w:lvlText w:val="%1.%2.%3"/>
      <w:lvlJc w:val="left"/>
      <w:pPr>
        <w:tabs>
          <w:tab w:val="left" w:pos="1156"/>
        </w:tabs>
        <w:ind w:left="856" w:hanging="420"/>
      </w:pPr>
      <w:rPr>
        <w:rFonts w:hint="default" w:ascii="Arial" w:hAnsi="Arial" w:cs="Arial"/>
        <w:b w:val="0"/>
        <w:sz w:val="21"/>
        <w:szCs w:val="21"/>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12"/>
  </w:num>
  <w:num w:numId="2">
    <w:abstractNumId w:val="5"/>
  </w:num>
  <w:num w:numId="3">
    <w:abstractNumId w:val="4"/>
  </w:num>
  <w:num w:numId="4">
    <w:abstractNumId w:val="17"/>
  </w:num>
  <w:num w:numId="5">
    <w:abstractNumId w:val="13"/>
  </w:num>
  <w:num w:numId="6">
    <w:abstractNumId w:val="19"/>
  </w:num>
  <w:num w:numId="7">
    <w:abstractNumId w:val="6"/>
  </w:num>
  <w:num w:numId="8">
    <w:abstractNumId w:val="22"/>
  </w:num>
  <w:num w:numId="9">
    <w:abstractNumId w:val="10"/>
  </w:num>
  <w:num w:numId="10">
    <w:abstractNumId w:val="3"/>
  </w:num>
  <w:num w:numId="11">
    <w:abstractNumId w:val="8"/>
    <w:lvlOverride w:ilvl="0">
      <w:startOverride w:val="1"/>
    </w:lvlOverride>
  </w:num>
  <w:num w:numId="12">
    <w:abstractNumId w:val="16"/>
    <w:lvlOverride w:ilvl="0">
      <w:startOverride w:val="1"/>
    </w:lvlOverride>
  </w:num>
  <w:num w:numId="13">
    <w:abstractNumId w:val="15"/>
    <w:lvlOverride w:ilvl="0">
      <w:startOverride w:val="1"/>
    </w:lvlOverride>
  </w:num>
  <w:num w:numId="14">
    <w:abstractNumId w:val="21"/>
    <w:lvlOverride w:ilvl="0">
      <w:startOverride w:val="1"/>
    </w:lvlOverride>
  </w:num>
  <w:num w:numId="15">
    <w:abstractNumId w:val="18"/>
    <w:lvlOverride w:ilvl="0">
      <w:startOverride w:val="1"/>
    </w:lvlOverride>
  </w:num>
  <w:num w:numId="16">
    <w:abstractNumId w:val="7"/>
    <w:lvlOverride w:ilvl="0">
      <w:startOverride w:val="1"/>
    </w:lvlOverride>
  </w:num>
  <w:num w:numId="17">
    <w:abstractNumId w:val="9"/>
    <w:lvlOverride w:ilvl="0">
      <w:startOverride w:val="1"/>
    </w:lvlOverride>
  </w:num>
  <w:num w:numId="18">
    <w:abstractNumId w:val="11"/>
    <w:lvlOverride w:ilvl="0">
      <w:startOverride w:val="1"/>
    </w:lvlOverride>
  </w:num>
  <w:num w:numId="19">
    <w:abstractNumId w:val="14"/>
    <w:lvlOverride w:ilvl="0">
      <w:startOverride w:val="1"/>
    </w:lvlOverride>
  </w:num>
  <w:num w:numId="20">
    <w:abstractNumId w:val="1"/>
    <w:lvlOverride w:ilvl="0">
      <w:startOverride w:val="1"/>
    </w:lvlOverride>
  </w:num>
  <w:num w:numId="21">
    <w:abstractNumId w:val="0"/>
    <w:lvlOverride w:ilvl="0">
      <w:startOverride w:val="1"/>
    </w:lvlOverride>
  </w:num>
  <w:num w:numId="22">
    <w:abstractNumId w:val="2"/>
    <w:lvlOverride w:ilvl="0">
      <w:startOverride w:val="1"/>
    </w:lvlOverride>
  </w:num>
  <w:num w:numId="23">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27"/>
    <w:rsid w:val="0000005C"/>
    <w:rsid w:val="00002061"/>
    <w:rsid w:val="000020A8"/>
    <w:rsid w:val="000025D0"/>
    <w:rsid w:val="00005A48"/>
    <w:rsid w:val="00006A42"/>
    <w:rsid w:val="00007907"/>
    <w:rsid w:val="00007A30"/>
    <w:rsid w:val="0001039F"/>
    <w:rsid w:val="00011410"/>
    <w:rsid w:val="000115DC"/>
    <w:rsid w:val="0001323D"/>
    <w:rsid w:val="000144E5"/>
    <w:rsid w:val="000163FB"/>
    <w:rsid w:val="00017269"/>
    <w:rsid w:val="00017C20"/>
    <w:rsid w:val="00020796"/>
    <w:rsid w:val="00021D1D"/>
    <w:rsid w:val="00024C7A"/>
    <w:rsid w:val="00025079"/>
    <w:rsid w:val="00027072"/>
    <w:rsid w:val="00027A5C"/>
    <w:rsid w:val="00030435"/>
    <w:rsid w:val="00030C19"/>
    <w:rsid w:val="00030C61"/>
    <w:rsid w:val="0003197C"/>
    <w:rsid w:val="000332A8"/>
    <w:rsid w:val="000352D7"/>
    <w:rsid w:val="000356EA"/>
    <w:rsid w:val="00037F27"/>
    <w:rsid w:val="000410B8"/>
    <w:rsid w:val="00041F1F"/>
    <w:rsid w:val="00042A65"/>
    <w:rsid w:val="000430D7"/>
    <w:rsid w:val="0004325C"/>
    <w:rsid w:val="00044563"/>
    <w:rsid w:val="00044A09"/>
    <w:rsid w:val="0004559B"/>
    <w:rsid w:val="00046E9A"/>
    <w:rsid w:val="00051F29"/>
    <w:rsid w:val="0005220E"/>
    <w:rsid w:val="00052A89"/>
    <w:rsid w:val="00053D63"/>
    <w:rsid w:val="00054613"/>
    <w:rsid w:val="00054A1A"/>
    <w:rsid w:val="00054CDE"/>
    <w:rsid w:val="0005556E"/>
    <w:rsid w:val="00060FB3"/>
    <w:rsid w:val="00062A47"/>
    <w:rsid w:val="0006310B"/>
    <w:rsid w:val="000634EC"/>
    <w:rsid w:val="0006355C"/>
    <w:rsid w:val="00064C44"/>
    <w:rsid w:val="00064C6E"/>
    <w:rsid w:val="00065845"/>
    <w:rsid w:val="00067B67"/>
    <w:rsid w:val="000708F6"/>
    <w:rsid w:val="0007127B"/>
    <w:rsid w:val="00073CEA"/>
    <w:rsid w:val="00073DCC"/>
    <w:rsid w:val="00074EF5"/>
    <w:rsid w:val="00075082"/>
    <w:rsid w:val="0007537F"/>
    <w:rsid w:val="000776B7"/>
    <w:rsid w:val="00077E2F"/>
    <w:rsid w:val="00080672"/>
    <w:rsid w:val="00081438"/>
    <w:rsid w:val="0008321E"/>
    <w:rsid w:val="000836EA"/>
    <w:rsid w:val="000842D2"/>
    <w:rsid w:val="00084586"/>
    <w:rsid w:val="00084844"/>
    <w:rsid w:val="00085C2F"/>
    <w:rsid w:val="00085E61"/>
    <w:rsid w:val="00086538"/>
    <w:rsid w:val="00086C22"/>
    <w:rsid w:val="00086C2A"/>
    <w:rsid w:val="00087389"/>
    <w:rsid w:val="00087781"/>
    <w:rsid w:val="00091BE1"/>
    <w:rsid w:val="00093339"/>
    <w:rsid w:val="000938BC"/>
    <w:rsid w:val="00093AE4"/>
    <w:rsid w:val="000944AD"/>
    <w:rsid w:val="000945AF"/>
    <w:rsid w:val="00094AAF"/>
    <w:rsid w:val="000953C4"/>
    <w:rsid w:val="00095548"/>
    <w:rsid w:val="00095570"/>
    <w:rsid w:val="000956DF"/>
    <w:rsid w:val="00095E6A"/>
    <w:rsid w:val="0009608E"/>
    <w:rsid w:val="00096711"/>
    <w:rsid w:val="000A0293"/>
    <w:rsid w:val="000A1491"/>
    <w:rsid w:val="000A1E95"/>
    <w:rsid w:val="000A24D9"/>
    <w:rsid w:val="000A26E7"/>
    <w:rsid w:val="000A3745"/>
    <w:rsid w:val="000A4E23"/>
    <w:rsid w:val="000A4FB6"/>
    <w:rsid w:val="000A533B"/>
    <w:rsid w:val="000A53F9"/>
    <w:rsid w:val="000A5EBC"/>
    <w:rsid w:val="000A7AB5"/>
    <w:rsid w:val="000B02A3"/>
    <w:rsid w:val="000B0393"/>
    <w:rsid w:val="000B0648"/>
    <w:rsid w:val="000B2641"/>
    <w:rsid w:val="000B3313"/>
    <w:rsid w:val="000B5045"/>
    <w:rsid w:val="000B52ED"/>
    <w:rsid w:val="000B6938"/>
    <w:rsid w:val="000B7114"/>
    <w:rsid w:val="000B7352"/>
    <w:rsid w:val="000B7A57"/>
    <w:rsid w:val="000C0973"/>
    <w:rsid w:val="000C139D"/>
    <w:rsid w:val="000C1A09"/>
    <w:rsid w:val="000C2BB1"/>
    <w:rsid w:val="000C2ED9"/>
    <w:rsid w:val="000C3605"/>
    <w:rsid w:val="000C3F83"/>
    <w:rsid w:val="000C5181"/>
    <w:rsid w:val="000C59AC"/>
    <w:rsid w:val="000C5C41"/>
    <w:rsid w:val="000C783C"/>
    <w:rsid w:val="000D0CE1"/>
    <w:rsid w:val="000D1234"/>
    <w:rsid w:val="000D12CD"/>
    <w:rsid w:val="000D139B"/>
    <w:rsid w:val="000D1D8D"/>
    <w:rsid w:val="000D1E63"/>
    <w:rsid w:val="000D261B"/>
    <w:rsid w:val="000D26C8"/>
    <w:rsid w:val="000D3866"/>
    <w:rsid w:val="000D4569"/>
    <w:rsid w:val="000D4B9A"/>
    <w:rsid w:val="000D6053"/>
    <w:rsid w:val="000D64E5"/>
    <w:rsid w:val="000E024B"/>
    <w:rsid w:val="000E118B"/>
    <w:rsid w:val="000E1253"/>
    <w:rsid w:val="000E21CE"/>
    <w:rsid w:val="000E24CD"/>
    <w:rsid w:val="000E28C6"/>
    <w:rsid w:val="000E3B25"/>
    <w:rsid w:val="000E4034"/>
    <w:rsid w:val="000E4481"/>
    <w:rsid w:val="000E4776"/>
    <w:rsid w:val="000E4C02"/>
    <w:rsid w:val="000E4EF2"/>
    <w:rsid w:val="000E63BA"/>
    <w:rsid w:val="000E6A7B"/>
    <w:rsid w:val="000F115A"/>
    <w:rsid w:val="000F188F"/>
    <w:rsid w:val="000F2200"/>
    <w:rsid w:val="000F35E2"/>
    <w:rsid w:val="000F39AA"/>
    <w:rsid w:val="000F3BEA"/>
    <w:rsid w:val="000F4740"/>
    <w:rsid w:val="000F61EC"/>
    <w:rsid w:val="0010035B"/>
    <w:rsid w:val="0010063E"/>
    <w:rsid w:val="001014AF"/>
    <w:rsid w:val="0010229C"/>
    <w:rsid w:val="0010279A"/>
    <w:rsid w:val="00107410"/>
    <w:rsid w:val="001108DE"/>
    <w:rsid w:val="00110F7D"/>
    <w:rsid w:val="00111825"/>
    <w:rsid w:val="001124B3"/>
    <w:rsid w:val="00112BF0"/>
    <w:rsid w:val="00112E48"/>
    <w:rsid w:val="00113862"/>
    <w:rsid w:val="00113DEA"/>
    <w:rsid w:val="00115FCC"/>
    <w:rsid w:val="00116893"/>
    <w:rsid w:val="001178CF"/>
    <w:rsid w:val="00123D6A"/>
    <w:rsid w:val="00125555"/>
    <w:rsid w:val="00126530"/>
    <w:rsid w:val="00127130"/>
    <w:rsid w:val="0012764E"/>
    <w:rsid w:val="00127AB3"/>
    <w:rsid w:val="00130065"/>
    <w:rsid w:val="00133381"/>
    <w:rsid w:val="0013430F"/>
    <w:rsid w:val="001361BD"/>
    <w:rsid w:val="00136250"/>
    <w:rsid w:val="00140B8B"/>
    <w:rsid w:val="00140C87"/>
    <w:rsid w:val="0014129F"/>
    <w:rsid w:val="00141F27"/>
    <w:rsid w:val="0014214B"/>
    <w:rsid w:val="00143C54"/>
    <w:rsid w:val="001444BE"/>
    <w:rsid w:val="00144918"/>
    <w:rsid w:val="00145A19"/>
    <w:rsid w:val="001463A9"/>
    <w:rsid w:val="00146555"/>
    <w:rsid w:val="00146D9B"/>
    <w:rsid w:val="00146EE0"/>
    <w:rsid w:val="001502BC"/>
    <w:rsid w:val="00151F6C"/>
    <w:rsid w:val="001529AE"/>
    <w:rsid w:val="001542FA"/>
    <w:rsid w:val="0015469B"/>
    <w:rsid w:val="001550AC"/>
    <w:rsid w:val="00155860"/>
    <w:rsid w:val="00155E47"/>
    <w:rsid w:val="00155F48"/>
    <w:rsid w:val="00156EEE"/>
    <w:rsid w:val="001579B6"/>
    <w:rsid w:val="001602B0"/>
    <w:rsid w:val="00161E2A"/>
    <w:rsid w:val="0016216C"/>
    <w:rsid w:val="00163794"/>
    <w:rsid w:val="00163D03"/>
    <w:rsid w:val="00164B0D"/>
    <w:rsid w:val="001655BA"/>
    <w:rsid w:val="00166F8C"/>
    <w:rsid w:val="001673E0"/>
    <w:rsid w:val="00167C28"/>
    <w:rsid w:val="001705F9"/>
    <w:rsid w:val="00171516"/>
    <w:rsid w:val="001727E7"/>
    <w:rsid w:val="00173674"/>
    <w:rsid w:val="001748DC"/>
    <w:rsid w:val="001758C8"/>
    <w:rsid w:val="00175D42"/>
    <w:rsid w:val="00175DAB"/>
    <w:rsid w:val="00175FBB"/>
    <w:rsid w:val="00176D09"/>
    <w:rsid w:val="00177B64"/>
    <w:rsid w:val="00180A3A"/>
    <w:rsid w:val="00183061"/>
    <w:rsid w:val="001832A3"/>
    <w:rsid w:val="00184681"/>
    <w:rsid w:val="001848B8"/>
    <w:rsid w:val="001851AB"/>
    <w:rsid w:val="0018525E"/>
    <w:rsid w:val="00185510"/>
    <w:rsid w:val="00185DDD"/>
    <w:rsid w:val="00185E0D"/>
    <w:rsid w:val="001861A0"/>
    <w:rsid w:val="0018678B"/>
    <w:rsid w:val="00187E4E"/>
    <w:rsid w:val="00190D79"/>
    <w:rsid w:val="001910E8"/>
    <w:rsid w:val="0019112F"/>
    <w:rsid w:val="00191910"/>
    <w:rsid w:val="0019298D"/>
    <w:rsid w:val="00192EA7"/>
    <w:rsid w:val="001931EF"/>
    <w:rsid w:val="0019325A"/>
    <w:rsid w:val="00193BBC"/>
    <w:rsid w:val="00194588"/>
    <w:rsid w:val="00194D56"/>
    <w:rsid w:val="00194DEA"/>
    <w:rsid w:val="00196A61"/>
    <w:rsid w:val="001970B6"/>
    <w:rsid w:val="00197329"/>
    <w:rsid w:val="001974F3"/>
    <w:rsid w:val="001976DD"/>
    <w:rsid w:val="001A0831"/>
    <w:rsid w:val="001A25E3"/>
    <w:rsid w:val="001A3847"/>
    <w:rsid w:val="001A3AD5"/>
    <w:rsid w:val="001A3B9E"/>
    <w:rsid w:val="001A3DEA"/>
    <w:rsid w:val="001A4DC0"/>
    <w:rsid w:val="001A6700"/>
    <w:rsid w:val="001A77A5"/>
    <w:rsid w:val="001B0428"/>
    <w:rsid w:val="001B0C6B"/>
    <w:rsid w:val="001B13D3"/>
    <w:rsid w:val="001B1E03"/>
    <w:rsid w:val="001B2DC1"/>
    <w:rsid w:val="001B3A4C"/>
    <w:rsid w:val="001B3DF5"/>
    <w:rsid w:val="001B41FD"/>
    <w:rsid w:val="001B4216"/>
    <w:rsid w:val="001B4971"/>
    <w:rsid w:val="001B4AC5"/>
    <w:rsid w:val="001B515D"/>
    <w:rsid w:val="001B66E0"/>
    <w:rsid w:val="001B7574"/>
    <w:rsid w:val="001B75D2"/>
    <w:rsid w:val="001B7FBF"/>
    <w:rsid w:val="001C0E2E"/>
    <w:rsid w:val="001C13F5"/>
    <w:rsid w:val="001C1D62"/>
    <w:rsid w:val="001C29CC"/>
    <w:rsid w:val="001C2B4B"/>
    <w:rsid w:val="001C3F18"/>
    <w:rsid w:val="001C4B16"/>
    <w:rsid w:val="001C6427"/>
    <w:rsid w:val="001C7031"/>
    <w:rsid w:val="001C7C9F"/>
    <w:rsid w:val="001D1380"/>
    <w:rsid w:val="001D24EC"/>
    <w:rsid w:val="001D4502"/>
    <w:rsid w:val="001D50BA"/>
    <w:rsid w:val="001D5518"/>
    <w:rsid w:val="001D563E"/>
    <w:rsid w:val="001D7588"/>
    <w:rsid w:val="001D75F5"/>
    <w:rsid w:val="001D7EF1"/>
    <w:rsid w:val="001E0EA9"/>
    <w:rsid w:val="001E0EEA"/>
    <w:rsid w:val="001E131D"/>
    <w:rsid w:val="001E1A7A"/>
    <w:rsid w:val="001E2150"/>
    <w:rsid w:val="001E26AE"/>
    <w:rsid w:val="001E2C3D"/>
    <w:rsid w:val="001E6581"/>
    <w:rsid w:val="001E6FEE"/>
    <w:rsid w:val="001F064C"/>
    <w:rsid w:val="001F1178"/>
    <w:rsid w:val="001F1850"/>
    <w:rsid w:val="001F1E70"/>
    <w:rsid w:val="001F2B78"/>
    <w:rsid w:val="001F3285"/>
    <w:rsid w:val="001F3595"/>
    <w:rsid w:val="001F38AA"/>
    <w:rsid w:val="001F3CFB"/>
    <w:rsid w:val="001F40CC"/>
    <w:rsid w:val="001F5246"/>
    <w:rsid w:val="001F5456"/>
    <w:rsid w:val="001F6574"/>
    <w:rsid w:val="001F6BE3"/>
    <w:rsid w:val="001F6C53"/>
    <w:rsid w:val="001F795D"/>
    <w:rsid w:val="00200A92"/>
    <w:rsid w:val="00202BC0"/>
    <w:rsid w:val="0020392B"/>
    <w:rsid w:val="002039DA"/>
    <w:rsid w:val="00203D45"/>
    <w:rsid w:val="002044FE"/>
    <w:rsid w:val="002048BB"/>
    <w:rsid w:val="00205404"/>
    <w:rsid w:val="0020556E"/>
    <w:rsid w:val="002108F2"/>
    <w:rsid w:val="002118CB"/>
    <w:rsid w:val="00211B42"/>
    <w:rsid w:val="0021379B"/>
    <w:rsid w:val="00215318"/>
    <w:rsid w:val="00215A0E"/>
    <w:rsid w:val="00216EDF"/>
    <w:rsid w:val="0022107C"/>
    <w:rsid w:val="00222052"/>
    <w:rsid w:val="0022246D"/>
    <w:rsid w:val="00222B5D"/>
    <w:rsid w:val="0022377D"/>
    <w:rsid w:val="00224E41"/>
    <w:rsid w:val="0022580B"/>
    <w:rsid w:val="00226D48"/>
    <w:rsid w:val="00226D76"/>
    <w:rsid w:val="0022799E"/>
    <w:rsid w:val="00227F94"/>
    <w:rsid w:val="002343C2"/>
    <w:rsid w:val="002348CF"/>
    <w:rsid w:val="00234FB0"/>
    <w:rsid w:val="0023544B"/>
    <w:rsid w:val="002357FE"/>
    <w:rsid w:val="00235F5D"/>
    <w:rsid w:val="00236429"/>
    <w:rsid w:val="00236A21"/>
    <w:rsid w:val="00236DD9"/>
    <w:rsid w:val="00237FDB"/>
    <w:rsid w:val="00241202"/>
    <w:rsid w:val="002418CB"/>
    <w:rsid w:val="002419B0"/>
    <w:rsid w:val="00241C9A"/>
    <w:rsid w:val="00241EBD"/>
    <w:rsid w:val="00242B92"/>
    <w:rsid w:val="00244B1A"/>
    <w:rsid w:val="00245A31"/>
    <w:rsid w:val="00245D4A"/>
    <w:rsid w:val="002462DE"/>
    <w:rsid w:val="00247F72"/>
    <w:rsid w:val="0025102F"/>
    <w:rsid w:val="002510AD"/>
    <w:rsid w:val="00254AFB"/>
    <w:rsid w:val="00254DCA"/>
    <w:rsid w:val="0025508A"/>
    <w:rsid w:val="002552B5"/>
    <w:rsid w:val="00255F2D"/>
    <w:rsid w:val="0026190B"/>
    <w:rsid w:val="0026209E"/>
    <w:rsid w:val="00263FCC"/>
    <w:rsid w:val="00264182"/>
    <w:rsid w:val="002649EE"/>
    <w:rsid w:val="00264A2C"/>
    <w:rsid w:val="002652A5"/>
    <w:rsid w:val="002654EC"/>
    <w:rsid w:val="002658CC"/>
    <w:rsid w:val="00265C87"/>
    <w:rsid w:val="00265F89"/>
    <w:rsid w:val="002715F0"/>
    <w:rsid w:val="00272FFF"/>
    <w:rsid w:val="00273952"/>
    <w:rsid w:val="00274171"/>
    <w:rsid w:val="002747E3"/>
    <w:rsid w:val="002752AA"/>
    <w:rsid w:val="002757B8"/>
    <w:rsid w:val="00275A05"/>
    <w:rsid w:val="00277D43"/>
    <w:rsid w:val="002803EA"/>
    <w:rsid w:val="00280C3F"/>
    <w:rsid w:val="00280F86"/>
    <w:rsid w:val="0028162F"/>
    <w:rsid w:val="002817C5"/>
    <w:rsid w:val="002821F9"/>
    <w:rsid w:val="00282DFA"/>
    <w:rsid w:val="00282F30"/>
    <w:rsid w:val="002833A3"/>
    <w:rsid w:val="00283984"/>
    <w:rsid w:val="002839D9"/>
    <w:rsid w:val="002854D7"/>
    <w:rsid w:val="002868E1"/>
    <w:rsid w:val="00286AA5"/>
    <w:rsid w:val="00286D89"/>
    <w:rsid w:val="00287140"/>
    <w:rsid w:val="00290BE4"/>
    <w:rsid w:val="0029108F"/>
    <w:rsid w:val="002913B3"/>
    <w:rsid w:val="00292E14"/>
    <w:rsid w:val="00293E4F"/>
    <w:rsid w:val="002962D4"/>
    <w:rsid w:val="002964E2"/>
    <w:rsid w:val="00296A1F"/>
    <w:rsid w:val="00296F17"/>
    <w:rsid w:val="00297482"/>
    <w:rsid w:val="002A0F48"/>
    <w:rsid w:val="002A1279"/>
    <w:rsid w:val="002A2269"/>
    <w:rsid w:val="002A288B"/>
    <w:rsid w:val="002A2C24"/>
    <w:rsid w:val="002A3871"/>
    <w:rsid w:val="002A3E40"/>
    <w:rsid w:val="002B0164"/>
    <w:rsid w:val="002B0AE9"/>
    <w:rsid w:val="002B0ECA"/>
    <w:rsid w:val="002B1E6E"/>
    <w:rsid w:val="002B2F4B"/>
    <w:rsid w:val="002B66AB"/>
    <w:rsid w:val="002B6BF9"/>
    <w:rsid w:val="002C10E0"/>
    <w:rsid w:val="002C2865"/>
    <w:rsid w:val="002C28B7"/>
    <w:rsid w:val="002C3114"/>
    <w:rsid w:val="002C3C04"/>
    <w:rsid w:val="002C6660"/>
    <w:rsid w:val="002C6AEB"/>
    <w:rsid w:val="002C7435"/>
    <w:rsid w:val="002D1361"/>
    <w:rsid w:val="002D1B96"/>
    <w:rsid w:val="002D2822"/>
    <w:rsid w:val="002D3325"/>
    <w:rsid w:val="002D3756"/>
    <w:rsid w:val="002D3B3B"/>
    <w:rsid w:val="002D4143"/>
    <w:rsid w:val="002D422C"/>
    <w:rsid w:val="002D4CC8"/>
    <w:rsid w:val="002D6BA2"/>
    <w:rsid w:val="002E41C8"/>
    <w:rsid w:val="002E5C2C"/>
    <w:rsid w:val="002E5C70"/>
    <w:rsid w:val="002E6B46"/>
    <w:rsid w:val="002E7A62"/>
    <w:rsid w:val="002E7BFC"/>
    <w:rsid w:val="002E7C35"/>
    <w:rsid w:val="002F1F75"/>
    <w:rsid w:val="002F1FF4"/>
    <w:rsid w:val="002F2DE3"/>
    <w:rsid w:val="002F3831"/>
    <w:rsid w:val="002F3A07"/>
    <w:rsid w:val="002F4334"/>
    <w:rsid w:val="002F5525"/>
    <w:rsid w:val="002F658E"/>
    <w:rsid w:val="002F7003"/>
    <w:rsid w:val="00303B36"/>
    <w:rsid w:val="00303C5B"/>
    <w:rsid w:val="00305BD3"/>
    <w:rsid w:val="00306B04"/>
    <w:rsid w:val="0030757E"/>
    <w:rsid w:val="003075D2"/>
    <w:rsid w:val="0031039B"/>
    <w:rsid w:val="00310FF5"/>
    <w:rsid w:val="00311692"/>
    <w:rsid w:val="00311FAA"/>
    <w:rsid w:val="003121BE"/>
    <w:rsid w:val="003130D6"/>
    <w:rsid w:val="00313ED0"/>
    <w:rsid w:val="003141E7"/>
    <w:rsid w:val="003156AC"/>
    <w:rsid w:val="003168A3"/>
    <w:rsid w:val="00317845"/>
    <w:rsid w:val="00317A4E"/>
    <w:rsid w:val="003200B5"/>
    <w:rsid w:val="00322AC4"/>
    <w:rsid w:val="00323034"/>
    <w:rsid w:val="00323ABA"/>
    <w:rsid w:val="00325FD8"/>
    <w:rsid w:val="003268FA"/>
    <w:rsid w:val="00326E13"/>
    <w:rsid w:val="00334E12"/>
    <w:rsid w:val="00334FA2"/>
    <w:rsid w:val="003354C7"/>
    <w:rsid w:val="0033578E"/>
    <w:rsid w:val="00335F8B"/>
    <w:rsid w:val="0033688B"/>
    <w:rsid w:val="0033743D"/>
    <w:rsid w:val="00340F8B"/>
    <w:rsid w:val="003436F0"/>
    <w:rsid w:val="003439E0"/>
    <w:rsid w:val="00344703"/>
    <w:rsid w:val="003467E9"/>
    <w:rsid w:val="003474A7"/>
    <w:rsid w:val="00350476"/>
    <w:rsid w:val="0035198D"/>
    <w:rsid w:val="00351CC3"/>
    <w:rsid w:val="00351F6A"/>
    <w:rsid w:val="00352953"/>
    <w:rsid w:val="0035342E"/>
    <w:rsid w:val="00354767"/>
    <w:rsid w:val="00354A41"/>
    <w:rsid w:val="0035533C"/>
    <w:rsid w:val="00355384"/>
    <w:rsid w:val="003558A4"/>
    <w:rsid w:val="00356F95"/>
    <w:rsid w:val="003575E6"/>
    <w:rsid w:val="00360B48"/>
    <w:rsid w:val="00360D82"/>
    <w:rsid w:val="00361CB9"/>
    <w:rsid w:val="003623B6"/>
    <w:rsid w:val="003638C6"/>
    <w:rsid w:val="00363DE7"/>
    <w:rsid w:val="00364BED"/>
    <w:rsid w:val="00364C9D"/>
    <w:rsid w:val="0036606D"/>
    <w:rsid w:val="003663CE"/>
    <w:rsid w:val="00366A4D"/>
    <w:rsid w:val="00366DBC"/>
    <w:rsid w:val="00367D64"/>
    <w:rsid w:val="003712C1"/>
    <w:rsid w:val="0037282B"/>
    <w:rsid w:val="00376C1A"/>
    <w:rsid w:val="00377A6A"/>
    <w:rsid w:val="00377DD3"/>
    <w:rsid w:val="00380332"/>
    <w:rsid w:val="003809C8"/>
    <w:rsid w:val="00382AC2"/>
    <w:rsid w:val="003841DF"/>
    <w:rsid w:val="00384245"/>
    <w:rsid w:val="0038439F"/>
    <w:rsid w:val="0038453E"/>
    <w:rsid w:val="003851F7"/>
    <w:rsid w:val="003862ED"/>
    <w:rsid w:val="00386C5E"/>
    <w:rsid w:val="003875EB"/>
    <w:rsid w:val="00387CAB"/>
    <w:rsid w:val="0039054A"/>
    <w:rsid w:val="00390FB3"/>
    <w:rsid w:val="00392FD4"/>
    <w:rsid w:val="00393019"/>
    <w:rsid w:val="00394173"/>
    <w:rsid w:val="0039451A"/>
    <w:rsid w:val="00394CFD"/>
    <w:rsid w:val="003954D8"/>
    <w:rsid w:val="00395916"/>
    <w:rsid w:val="00396E09"/>
    <w:rsid w:val="00397EB8"/>
    <w:rsid w:val="003A0B8B"/>
    <w:rsid w:val="003A1709"/>
    <w:rsid w:val="003A22C0"/>
    <w:rsid w:val="003A35A2"/>
    <w:rsid w:val="003A4855"/>
    <w:rsid w:val="003A501C"/>
    <w:rsid w:val="003A54FF"/>
    <w:rsid w:val="003A5529"/>
    <w:rsid w:val="003A5FBE"/>
    <w:rsid w:val="003A6911"/>
    <w:rsid w:val="003A7276"/>
    <w:rsid w:val="003A7B32"/>
    <w:rsid w:val="003B012F"/>
    <w:rsid w:val="003B0131"/>
    <w:rsid w:val="003B064A"/>
    <w:rsid w:val="003B0D42"/>
    <w:rsid w:val="003B0FBF"/>
    <w:rsid w:val="003B2124"/>
    <w:rsid w:val="003B3BD2"/>
    <w:rsid w:val="003B5167"/>
    <w:rsid w:val="003B5953"/>
    <w:rsid w:val="003B5A30"/>
    <w:rsid w:val="003B5D5A"/>
    <w:rsid w:val="003C088F"/>
    <w:rsid w:val="003C0D38"/>
    <w:rsid w:val="003C114A"/>
    <w:rsid w:val="003C11AF"/>
    <w:rsid w:val="003C1736"/>
    <w:rsid w:val="003C198E"/>
    <w:rsid w:val="003C1D34"/>
    <w:rsid w:val="003C2743"/>
    <w:rsid w:val="003C3387"/>
    <w:rsid w:val="003C363F"/>
    <w:rsid w:val="003C6925"/>
    <w:rsid w:val="003D0AF5"/>
    <w:rsid w:val="003D114D"/>
    <w:rsid w:val="003D1BA8"/>
    <w:rsid w:val="003D2060"/>
    <w:rsid w:val="003D2A01"/>
    <w:rsid w:val="003D5A9F"/>
    <w:rsid w:val="003D5F9E"/>
    <w:rsid w:val="003D6E96"/>
    <w:rsid w:val="003D6F6E"/>
    <w:rsid w:val="003D70D7"/>
    <w:rsid w:val="003D7DCB"/>
    <w:rsid w:val="003E07DA"/>
    <w:rsid w:val="003E3046"/>
    <w:rsid w:val="003E4957"/>
    <w:rsid w:val="003E4C4B"/>
    <w:rsid w:val="003E5300"/>
    <w:rsid w:val="003E6165"/>
    <w:rsid w:val="003E7070"/>
    <w:rsid w:val="003E7798"/>
    <w:rsid w:val="003E7A0A"/>
    <w:rsid w:val="003E7B27"/>
    <w:rsid w:val="003F084E"/>
    <w:rsid w:val="003F08CE"/>
    <w:rsid w:val="003F0BCA"/>
    <w:rsid w:val="003F17E1"/>
    <w:rsid w:val="003F25F9"/>
    <w:rsid w:val="003F3EFC"/>
    <w:rsid w:val="003F4043"/>
    <w:rsid w:val="003F724B"/>
    <w:rsid w:val="004007EE"/>
    <w:rsid w:val="00402C80"/>
    <w:rsid w:val="00402D26"/>
    <w:rsid w:val="00402DBC"/>
    <w:rsid w:val="00403FC1"/>
    <w:rsid w:val="00404429"/>
    <w:rsid w:val="00404591"/>
    <w:rsid w:val="00404AB1"/>
    <w:rsid w:val="004052C7"/>
    <w:rsid w:val="00405CA0"/>
    <w:rsid w:val="004061DE"/>
    <w:rsid w:val="00407ABB"/>
    <w:rsid w:val="00407CB8"/>
    <w:rsid w:val="004101A6"/>
    <w:rsid w:val="004103A5"/>
    <w:rsid w:val="004109E6"/>
    <w:rsid w:val="00411175"/>
    <w:rsid w:val="00413181"/>
    <w:rsid w:val="004139E1"/>
    <w:rsid w:val="00413F04"/>
    <w:rsid w:val="00421264"/>
    <w:rsid w:val="00421E01"/>
    <w:rsid w:val="004222DB"/>
    <w:rsid w:val="004234C0"/>
    <w:rsid w:val="00424125"/>
    <w:rsid w:val="00424E11"/>
    <w:rsid w:val="0042736A"/>
    <w:rsid w:val="00427AA3"/>
    <w:rsid w:val="0043028B"/>
    <w:rsid w:val="00430841"/>
    <w:rsid w:val="004314CE"/>
    <w:rsid w:val="004318B4"/>
    <w:rsid w:val="00431C5E"/>
    <w:rsid w:val="00432ADD"/>
    <w:rsid w:val="004330F7"/>
    <w:rsid w:val="004341D5"/>
    <w:rsid w:val="0043437F"/>
    <w:rsid w:val="004348F1"/>
    <w:rsid w:val="0043629F"/>
    <w:rsid w:val="004367CC"/>
    <w:rsid w:val="00436F17"/>
    <w:rsid w:val="0044125C"/>
    <w:rsid w:val="004422A7"/>
    <w:rsid w:val="00442D1D"/>
    <w:rsid w:val="00443261"/>
    <w:rsid w:val="00450AEB"/>
    <w:rsid w:val="00452B9A"/>
    <w:rsid w:val="00454701"/>
    <w:rsid w:val="0045477E"/>
    <w:rsid w:val="0045479B"/>
    <w:rsid w:val="00454CE9"/>
    <w:rsid w:val="00454E63"/>
    <w:rsid w:val="00455FBB"/>
    <w:rsid w:val="00456139"/>
    <w:rsid w:val="00456594"/>
    <w:rsid w:val="00456840"/>
    <w:rsid w:val="004571E4"/>
    <w:rsid w:val="00462FA8"/>
    <w:rsid w:val="00463024"/>
    <w:rsid w:val="004633BC"/>
    <w:rsid w:val="00463A7A"/>
    <w:rsid w:val="00464D73"/>
    <w:rsid w:val="00465919"/>
    <w:rsid w:val="00466BDD"/>
    <w:rsid w:val="00467203"/>
    <w:rsid w:val="004674D6"/>
    <w:rsid w:val="00467EC9"/>
    <w:rsid w:val="00467FC0"/>
    <w:rsid w:val="00470525"/>
    <w:rsid w:val="0047193E"/>
    <w:rsid w:val="004725D1"/>
    <w:rsid w:val="00472FBD"/>
    <w:rsid w:val="004732A8"/>
    <w:rsid w:val="00473DAB"/>
    <w:rsid w:val="00474063"/>
    <w:rsid w:val="004746E4"/>
    <w:rsid w:val="00475035"/>
    <w:rsid w:val="00476152"/>
    <w:rsid w:val="00477296"/>
    <w:rsid w:val="004779BF"/>
    <w:rsid w:val="004802E9"/>
    <w:rsid w:val="0048033F"/>
    <w:rsid w:val="0048062E"/>
    <w:rsid w:val="00487C38"/>
    <w:rsid w:val="004902D0"/>
    <w:rsid w:val="00490F10"/>
    <w:rsid w:val="004913B0"/>
    <w:rsid w:val="00492644"/>
    <w:rsid w:val="0049418F"/>
    <w:rsid w:val="0049467D"/>
    <w:rsid w:val="004969C5"/>
    <w:rsid w:val="00496FCF"/>
    <w:rsid w:val="004A1E94"/>
    <w:rsid w:val="004A21DB"/>
    <w:rsid w:val="004A6B85"/>
    <w:rsid w:val="004A7A2B"/>
    <w:rsid w:val="004B15FC"/>
    <w:rsid w:val="004B18D5"/>
    <w:rsid w:val="004B1D36"/>
    <w:rsid w:val="004B40DA"/>
    <w:rsid w:val="004B4654"/>
    <w:rsid w:val="004B5676"/>
    <w:rsid w:val="004B5A55"/>
    <w:rsid w:val="004B63BB"/>
    <w:rsid w:val="004B63EF"/>
    <w:rsid w:val="004B686D"/>
    <w:rsid w:val="004B6EA1"/>
    <w:rsid w:val="004B73D5"/>
    <w:rsid w:val="004B7615"/>
    <w:rsid w:val="004B7EA1"/>
    <w:rsid w:val="004C06EA"/>
    <w:rsid w:val="004C2F2D"/>
    <w:rsid w:val="004C3F1A"/>
    <w:rsid w:val="004C48B6"/>
    <w:rsid w:val="004C49C1"/>
    <w:rsid w:val="004C4DC0"/>
    <w:rsid w:val="004C55AD"/>
    <w:rsid w:val="004C60C0"/>
    <w:rsid w:val="004C78AD"/>
    <w:rsid w:val="004D0999"/>
    <w:rsid w:val="004D0AFC"/>
    <w:rsid w:val="004D162E"/>
    <w:rsid w:val="004D1FE2"/>
    <w:rsid w:val="004D2067"/>
    <w:rsid w:val="004D26CB"/>
    <w:rsid w:val="004D2ED1"/>
    <w:rsid w:val="004D3C71"/>
    <w:rsid w:val="004D3CD2"/>
    <w:rsid w:val="004D489A"/>
    <w:rsid w:val="004D4F35"/>
    <w:rsid w:val="004D57DD"/>
    <w:rsid w:val="004D601B"/>
    <w:rsid w:val="004D60A9"/>
    <w:rsid w:val="004D651B"/>
    <w:rsid w:val="004D69A0"/>
    <w:rsid w:val="004E0F73"/>
    <w:rsid w:val="004E13A8"/>
    <w:rsid w:val="004E3AF3"/>
    <w:rsid w:val="004E524B"/>
    <w:rsid w:val="004E6919"/>
    <w:rsid w:val="004E6EB1"/>
    <w:rsid w:val="004F0318"/>
    <w:rsid w:val="004F044B"/>
    <w:rsid w:val="004F0669"/>
    <w:rsid w:val="004F0D46"/>
    <w:rsid w:val="004F133F"/>
    <w:rsid w:val="004F19E3"/>
    <w:rsid w:val="004F2445"/>
    <w:rsid w:val="004F2A83"/>
    <w:rsid w:val="004F44D5"/>
    <w:rsid w:val="004F480A"/>
    <w:rsid w:val="004F4A10"/>
    <w:rsid w:val="004F5617"/>
    <w:rsid w:val="004F666B"/>
    <w:rsid w:val="004F6BE7"/>
    <w:rsid w:val="005003B5"/>
    <w:rsid w:val="00500439"/>
    <w:rsid w:val="00502733"/>
    <w:rsid w:val="00503096"/>
    <w:rsid w:val="005030A9"/>
    <w:rsid w:val="0050313A"/>
    <w:rsid w:val="00504588"/>
    <w:rsid w:val="005049D5"/>
    <w:rsid w:val="00504FB2"/>
    <w:rsid w:val="005053F4"/>
    <w:rsid w:val="00505E13"/>
    <w:rsid w:val="00506799"/>
    <w:rsid w:val="00506B3A"/>
    <w:rsid w:val="00506E80"/>
    <w:rsid w:val="005072EE"/>
    <w:rsid w:val="00507AF2"/>
    <w:rsid w:val="0051027B"/>
    <w:rsid w:val="00510EA8"/>
    <w:rsid w:val="00511360"/>
    <w:rsid w:val="00511EE1"/>
    <w:rsid w:val="0051224B"/>
    <w:rsid w:val="00512721"/>
    <w:rsid w:val="00513303"/>
    <w:rsid w:val="00516410"/>
    <w:rsid w:val="00516A40"/>
    <w:rsid w:val="005172F3"/>
    <w:rsid w:val="005203DA"/>
    <w:rsid w:val="0052049C"/>
    <w:rsid w:val="0052112B"/>
    <w:rsid w:val="00521283"/>
    <w:rsid w:val="005217F0"/>
    <w:rsid w:val="005219BD"/>
    <w:rsid w:val="005231C2"/>
    <w:rsid w:val="0052346C"/>
    <w:rsid w:val="0052383A"/>
    <w:rsid w:val="005238FD"/>
    <w:rsid w:val="00523DDE"/>
    <w:rsid w:val="00523F0C"/>
    <w:rsid w:val="00525079"/>
    <w:rsid w:val="00526B3D"/>
    <w:rsid w:val="0052731C"/>
    <w:rsid w:val="00527770"/>
    <w:rsid w:val="005277B2"/>
    <w:rsid w:val="00530FCA"/>
    <w:rsid w:val="00531F98"/>
    <w:rsid w:val="00533ECD"/>
    <w:rsid w:val="00533F42"/>
    <w:rsid w:val="005344DE"/>
    <w:rsid w:val="005347F8"/>
    <w:rsid w:val="005348DA"/>
    <w:rsid w:val="00534FAA"/>
    <w:rsid w:val="00535285"/>
    <w:rsid w:val="00535628"/>
    <w:rsid w:val="005358A0"/>
    <w:rsid w:val="00535DEE"/>
    <w:rsid w:val="00540537"/>
    <w:rsid w:val="00540690"/>
    <w:rsid w:val="00540DB0"/>
    <w:rsid w:val="00541BEB"/>
    <w:rsid w:val="005426DF"/>
    <w:rsid w:val="005439BE"/>
    <w:rsid w:val="00543B1F"/>
    <w:rsid w:val="00543DEA"/>
    <w:rsid w:val="005457A5"/>
    <w:rsid w:val="00546C38"/>
    <w:rsid w:val="00546D55"/>
    <w:rsid w:val="00546FAB"/>
    <w:rsid w:val="00547ADA"/>
    <w:rsid w:val="00550A00"/>
    <w:rsid w:val="005510B0"/>
    <w:rsid w:val="00551E0D"/>
    <w:rsid w:val="00554418"/>
    <w:rsid w:val="005547E9"/>
    <w:rsid w:val="005554B9"/>
    <w:rsid w:val="00555822"/>
    <w:rsid w:val="00556479"/>
    <w:rsid w:val="00556B66"/>
    <w:rsid w:val="00556E29"/>
    <w:rsid w:val="005577F1"/>
    <w:rsid w:val="00560D19"/>
    <w:rsid w:val="00561119"/>
    <w:rsid w:val="00561CD5"/>
    <w:rsid w:val="005622BB"/>
    <w:rsid w:val="0056304C"/>
    <w:rsid w:val="0057003B"/>
    <w:rsid w:val="0057059B"/>
    <w:rsid w:val="00571844"/>
    <w:rsid w:val="00571BF4"/>
    <w:rsid w:val="00571FD7"/>
    <w:rsid w:val="0057267E"/>
    <w:rsid w:val="00573536"/>
    <w:rsid w:val="00573CC5"/>
    <w:rsid w:val="00574B59"/>
    <w:rsid w:val="00576444"/>
    <w:rsid w:val="00576BB8"/>
    <w:rsid w:val="00577587"/>
    <w:rsid w:val="005775C8"/>
    <w:rsid w:val="00581DD5"/>
    <w:rsid w:val="005822C3"/>
    <w:rsid w:val="0058356C"/>
    <w:rsid w:val="00583E5F"/>
    <w:rsid w:val="005868AB"/>
    <w:rsid w:val="00586AE2"/>
    <w:rsid w:val="00587712"/>
    <w:rsid w:val="00590A35"/>
    <w:rsid w:val="00591647"/>
    <w:rsid w:val="005920D4"/>
    <w:rsid w:val="005930AA"/>
    <w:rsid w:val="00593577"/>
    <w:rsid w:val="00594458"/>
    <w:rsid w:val="00595FA4"/>
    <w:rsid w:val="005A1A49"/>
    <w:rsid w:val="005A2236"/>
    <w:rsid w:val="005A3E93"/>
    <w:rsid w:val="005A6D9F"/>
    <w:rsid w:val="005B050D"/>
    <w:rsid w:val="005B05AA"/>
    <w:rsid w:val="005B1182"/>
    <w:rsid w:val="005B1E4A"/>
    <w:rsid w:val="005B2421"/>
    <w:rsid w:val="005B2A71"/>
    <w:rsid w:val="005B565E"/>
    <w:rsid w:val="005B62BB"/>
    <w:rsid w:val="005B6560"/>
    <w:rsid w:val="005B6858"/>
    <w:rsid w:val="005B7482"/>
    <w:rsid w:val="005B7C6F"/>
    <w:rsid w:val="005C0056"/>
    <w:rsid w:val="005C0777"/>
    <w:rsid w:val="005C0A0F"/>
    <w:rsid w:val="005C0D41"/>
    <w:rsid w:val="005C1B1A"/>
    <w:rsid w:val="005C2775"/>
    <w:rsid w:val="005C5462"/>
    <w:rsid w:val="005C6106"/>
    <w:rsid w:val="005C73CC"/>
    <w:rsid w:val="005D0522"/>
    <w:rsid w:val="005D1524"/>
    <w:rsid w:val="005D31F1"/>
    <w:rsid w:val="005D36A0"/>
    <w:rsid w:val="005D469F"/>
    <w:rsid w:val="005D475C"/>
    <w:rsid w:val="005D47F7"/>
    <w:rsid w:val="005D483E"/>
    <w:rsid w:val="005D4B41"/>
    <w:rsid w:val="005D70B2"/>
    <w:rsid w:val="005D7334"/>
    <w:rsid w:val="005D77E0"/>
    <w:rsid w:val="005E0836"/>
    <w:rsid w:val="005E0B9F"/>
    <w:rsid w:val="005E0EF5"/>
    <w:rsid w:val="005E0F5D"/>
    <w:rsid w:val="005E1A33"/>
    <w:rsid w:val="005E1C3B"/>
    <w:rsid w:val="005E2BD3"/>
    <w:rsid w:val="005E31A3"/>
    <w:rsid w:val="005E3D0B"/>
    <w:rsid w:val="005E5B1C"/>
    <w:rsid w:val="005F229D"/>
    <w:rsid w:val="005F2388"/>
    <w:rsid w:val="005F2724"/>
    <w:rsid w:val="005F293F"/>
    <w:rsid w:val="005F2A34"/>
    <w:rsid w:val="005F2E07"/>
    <w:rsid w:val="005F325B"/>
    <w:rsid w:val="005F35C2"/>
    <w:rsid w:val="005F3EE7"/>
    <w:rsid w:val="005F4EE2"/>
    <w:rsid w:val="005F54C9"/>
    <w:rsid w:val="005F56A2"/>
    <w:rsid w:val="005F624C"/>
    <w:rsid w:val="005F65CB"/>
    <w:rsid w:val="005F6FB6"/>
    <w:rsid w:val="005F774A"/>
    <w:rsid w:val="00600D7A"/>
    <w:rsid w:val="006013E3"/>
    <w:rsid w:val="006026AF"/>
    <w:rsid w:val="00602815"/>
    <w:rsid w:val="00602CE6"/>
    <w:rsid w:val="00603292"/>
    <w:rsid w:val="006039A7"/>
    <w:rsid w:val="0060440E"/>
    <w:rsid w:val="00604BB0"/>
    <w:rsid w:val="00605D26"/>
    <w:rsid w:val="00605E78"/>
    <w:rsid w:val="006064E3"/>
    <w:rsid w:val="00607AB9"/>
    <w:rsid w:val="00607E5B"/>
    <w:rsid w:val="00611267"/>
    <w:rsid w:val="00611F8B"/>
    <w:rsid w:val="0061295E"/>
    <w:rsid w:val="00612C74"/>
    <w:rsid w:val="00612CE7"/>
    <w:rsid w:val="00612F99"/>
    <w:rsid w:val="0061320B"/>
    <w:rsid w:val="006135D5"/>
    <w:rsid w:val="00613729"/>
    <w:rsid w:val="006156E6"/>
    <w:rsid w:val="006165BB"/>
    <w:rsid w:val="00616E90"/>
    <w:rsid w:val="00617C71"/>
    <w:rsid w:val="0062088B"/>
    <w:rsid w:val="006209E1"/>
    <w:rsid w:val="00620CF0"/>
    <w:rsid w:val="0062273F"/>
    <w:rsid w:val="0062286E"/>
    <w:rsid w:val="00622E40"/>
    <w:rsid w:val="00622FEE"/>
    <w:rsid w:val="00623172"/>
    <w:rsid w:val="006234AE"/>
    <w:rsid w:val="00624889"/>
    <w:rsid w:val="00626864"/>
    <w:rsid w:val="00630785"/>
    <w:rsid w:val="00630786"/>
    <w:rsid w:val="00631B80"/>
    <w:rsid w:val="006322F9"/>
    <w:rsid w:val="006327EB"/>
    <w:rsid w:val="006338CB"/>
    <w:rsid w:val="00634B93"/>
    <w:rsid w:val="00634C5A"/>
    <w:rsid w:val="006400E7"/>
    <w:rsid w:val="00640A10"/>
    <w:rsid w:val="00641242"/>
    <w:rsid w:val="00643B1D"/>
    <w:rsid w:val="006442D7"/>
    <w:rsid w:val="00645629"/>
    <w:rsid w:val="006458E1"/>
    <w:rsid w:val="00645EBF"/>
    <w:rsid w:val="0064611C"/>
    <w:rsid w:val="006461A0"/>
    <w:rsid w:val="00647DC3"/>
    <w:rsid w:val="0065112C"/>
    <w:rsid w:val="00651E01"/>
    <w:rsid w:val="0065248B"/>
    <w:rsid w:val="00652CE6"/>
    <w:rsid w:val="006530E7"/>
    <w:rsid w:val="00655EED"/>
    <w:rsid w:val="006567CE"/>
    <w:rsid w:val="00660785"/>
    <w:rsid w:val="00660859"/>
    <w:rsid w:val="00660863"/>
    <w:rsid w:val="00661102"/>
    <w:rsid w:val="006611C4"/>
    <w:rsid w:val="00661304"/>
    <w:rsid w:val="0066172F"/>
    <w:rsid w:val="00662108"/>
    <w:rsid w:val="00662983"/>
    <w:rsid w:val="00662E05"/>
    <w:rsid w:val="006634BF"/>
    <w:rsid w:val="006648F7"/>
    <w:rsid w:val="006651C8"/>
    <w:rsid w:val="00665835"/>
    <w:rsid w:val="00665B86"/>
    <w:rsid w:val="00666143"/>
    <w:rsid w:val="00666149"/>
    <w:rsid w:val="006661B8"/>
    <w:rsid w:val="00666B10"/>
    <w:rsid w:val="00666CC0"/>
    <w:rsid w:val="0066738A"/>
    <w:rsid w:val="006675A7"/>
    <w:rsid w:val="0066797C"/>
    <w:rsid w:val="006706D8"/>
    <w:rsid w:val="006711FF"/>
    <w:rsid w:val="00671AA6"/>
    <w:rsid w:val="00672858"/>
    <w:rsid w:val="00674409"/>
    <w:rsid w:val="00677617"/>
    <w:rsid w:val="00680BAF"/>
    <w:rsid w:val="00681466"/>
    <w:rsid w:val="006818D2"/>
    <w:rsid w:val="00684EA0"/>
    <w:rsid w:val="006853A5"/>
    <w:rsid w:val="00685992"/>
    <w:rsid w:val="00685AFF"/>
    <w:rsid w:val="00686237"/>
    <w:rsid w:val="0069237A"/>
    <w:rsid w:val="0069256A"/>
    <w:rsid w:val="006925BB"/>
    <w:rsid w:val="00692D45"/>
    <w:rsid w:val="00693623"/>
    <w:rsid w:val="00693C64"/>
    <w:rsid w:val="00693FA7"/>
    <w:rsid w:val="00694488"/>
    <w:rsid w:val="006960E0"/>
    <w:rsid w:val="0069659B"/>
    <w:rsid w:val="00696B03"/>
    <w:rsid w:val="006973AE"/>
    <w:rsid w:val="00697B29"/>
    <w:rsid w:val="00697F9F"/>
    <w:rsid w:val="006A094E"/>
    <w:rsid w:val="006A0D2E"/>
    <w:rsid w:val="006A1738"/>
    <w:rsid w:val="006A1E72"/>
    <w:rsid w:val="006A2060"/>
    <w:rsid w:val="006A22DB"/>
    <w:rsid w:val="006A233F"/>
    <w:rsid w:val="006A2DF1"/>
    <w:rsid w:val="006A3151"/>
    <w:rsid w:val="006A3C61"/>
    <w:rsid w:val="006A3F9D"/>
    <w:rsid w:val="006A4DBB"/>
    <w:rsid w:val="006A5A6E"/>
    <w:rsid w:val="006A688A"/>
    <w:rsid w:val="006A6FA0"/>
    <w:rsid w:val="006B1054"/>
    <w:rsid w:val="006B1368"/>
    <w:rsid w:val="006B3C23"/>
    <w:rsid w:val="006B3E6C"/>
    <w:rsid w:val="006B3E74"/>
    <w:rsid w:val="006B4DBB"/>
    <w:rsid w:val="006B6371"/>
    <w:rsid w:val="006B6ADD"/>
    <w:rsid w:val="006B78EB"/>
    <w:rsid w:val="006C0553"/>
    <w:rsid w:val="006C0A48"/>
    <w:rsid w:val="006C141F"/>
    <w:rsid w:val="006C1796"/>
    <w:rsid w:val="006C1CE3"/>
    <w:rsid w:val="006C4655"/>
    <w:rsid w:val="006C5007"/>
    <w:rsid w:val="006C5253"/>
    <w:rsid w:val="006C673C"/>
    <w:rsid w:val="006C68CB"/>
    <w:rsid w:val="006C703E"/>
    <w:rsid w:val="006C793B"/>
    <w:rsid w:val="006C7E23"/>
    <w:rsid w:val="006D0C35"/>
    <w:rsid w:val="006D252E"/>
    <w:rsid w:val="006D3856"/>
    <w:rsid w:val="006D4EA8"/>
    <w:rsid w:val="006D50B9"/>
    <w:rsid w:val="006D5334"/>
    <w:rsid w:val="006D69A8"/>
    <w:rsid w:val="006D6A05"/>
    <w:rsid w:val="006D7A89"/>
    <w:rsid w:val="006D7BB3"/>
    <w:rsid w:val="006E0F48"/>
    <w:rsid w:val="006E110F"/>
    <w:rsid w:val="006E30B4"/>
    <w:rsid w:val="006E3E01"/>
    <w:rsid w:val="006E3F96"/>
    <w:rsid w:val="006E54F6"/>
    <w:rsid w:val="006E66CC"/>
    <w:rsid w:val="006E789E"/>
    <w:rsid w:val="006F0536"/>
    <w:rsid w:val="006F165C"/>
    <w:rsid w:val="006F2FE2"/>
    <w:rsid w:val="006F32F5"/>
    <w:rsid w:val="006F3EB5"/>
    <w:rsid w:val="006F498F"/>
    <w:rsid w:val="006F4A6A"/>
    <w:rsid w:val="006F5185"/>
    <w:rsid w:val="006F5A65"/>
    <w:rsid w:val="006F66B1"/>
    <w:rsid w:val="006F7816"/>
    <w:rsid w:val="00701088"/>
    <w:rsid w:val="0070188F"/>
    <w:rsid w:val="007029C1"/>
    <w:rsid w:val="00702CC6"/>
    <w:rsid w:val="00703253"/>
    <w:rsid w:val="0070346A"/>
    <w:rsid w:val="0070357B"/>
    <w:rsid w:val="00703D3E"/>
    <w:rsid w:val="00705B4D"/>
    <w:rsid w:val="00705B9C"/>
    <w:rsid w:val="00706276"/>
    <w:rsid w:val="007104CA"/>
    <w:rsid w:val="00710571"/>
    <w:rsid w:val="007106F9"/>
    <w:rsid w:val="0071185F"/>
    <w:rsid w:val="00711B5B"/>
    <w:rsid w:val="00711C7B"/>
    <w:rsid w:val="0071332E"/>
    <w:rsid w:val="00713548"/>
    <w:rsid w:val="00714F03"/>
    <w:rsid w:val="0071501F"/>
    <w:rsid w:val="0071688F"/>
    <w:rsid w:val="00717901"/>
    <w:rsid w:val="00717A1F"/>
    <w:rsid w:val="007209A0"/>
    <w:rsid w:val="00720B87"/>
    <w:rsid w:val="00721422"/>
    <w:rsid w:val="00721BB0"/>
    <w:rsid w:val="00721EB4"/>
    <w:rsid w:val="00722110"/>
    <w:rsid w:val="00722DCF"/>
    <w:rsid w:val="007240EE"/>
    <w:rsid w:val="007241E2"/>
    <w:rsid w:val="00725EBD"/>
    <w:rsid w:val="007262F0"/>
    <w:rsid w:val="007264D5"/>
    <w:rsid w:val="007267CA"/>
    <w:rsid w:val="00726F62"/>
    <w:rsid w:val="00727244"/>
    <w:rsid w:val="007278C4"/>
    <w:rsid w:val="00730B41"/>
    <w:rsid w:val="007314DB"/>
    <w:rsid w:val="00732BDD"/>
    <w:rsid w:val="007340FE"/>
    <w:rsid w:val="007348F8"/>
    <w:rsid w:val="00735238"/>
    <w:rsid w:val="007365B7"/>
    <w:rsid w:val="00736B0B"/>
    <w:rsid w:val="00737A25"/>
    <w:rsid w:val="007401A4"/>
    <w:rsid w:val="00741685"/>
    <w:rsid w:val="00742A2F"/>
    <w:rsid w:val="00744978"/>
    <w:rsid w:val="00745021"/>
    <w:rsid w:val="007456E0"/>
    <w:rsid w:val="00746B41"/>
    <w:rsid w:val="007478C0"/>
    <w:rsid w:val="00750080"/>
    <w:rsid w:val="00750DB0"/>
    <w:rsid w:val="00751970"/>
    <w:rsid w:val="00752FE3"/>
    <w:rsid w:val="00753212"/>
    <w:rsid w:val="00753697"/>
    <w:rsid w:val="00753B55"/>
    <w:rsid w:val="00753FAC"/>
    <w:rsid w:val="007553A2"/>
    <w:rsid w:val="0075549C"/>
    <w:rsid w:val="00755B5F"/>
    <w:rsid w:val="00755CCF"/>
    <w:rsid w:val="00756751"/>
    <w:rsid w:val="00757B46"/>
    <w:rsid w:val="00760322"/>
    <w:rsid w:val="00760D19"/>
    <w:rsid w:val="00761B12"/>
    <w:rsid w:val="007639BC"/>
    <w:rsid w:val="00763BCF"/>
    <w:rsid w:val="00764D34"/>
    <w:rsid w:val="00764E01"/>
    <w:rsid w:val="00765652"/>
    <w:rsid w:val="00765A19"/>
    <w:rsid w:val="00765D05"/>
    <w:rsid w:val="007661F3"/>
    <w:rsid w:val="007678A6"/>
    <w:rsid w:val="007700DA"/>
    <w:rsid w:val="00770330"/>
    <w:rsid w:val="0077252E"/>
    <w:rsid w:val="00774030"/>
    <w:rsid w:val="00774826"/>
    <w:rsid w:val="007749A2"/>
    <w:rsid w:val="00774C4F"/>
    <w:rsid w:val="00775167"/>
    <w:rsid w:val="00775CCD"/>
    <w:rsid w:val="00780161"/>
    <w:rsid w:val="00780939"/>
    <w:rsid w:val="007816A5"/>
    <w:rsid w:val="00781C33"/>
    <w:rsid w:val="00781E62"/>
    <w:rsid w:val="00782E75"/>
    <w:rsid w:val="00784E62"/>
    <w:rsid w:val="00784F0C"/>
    <w:rsid w:val="0078533A"/>
    <w:rsid w:val="00786833"/>
    <w:rsid w:val="00790B41"/>
    <w:rsid w:val="00790E39"/>
    <w:rsid w:val="00790F4E"/>
    <w:rsid w:val="00791483"/>
    <w:rsid w:val="00791954"/>
    <w:rsid w:val="0079411F"/>
    <w:rsid w:val="00794181"/>
    <w:rsid w:val="007948C0"/>
    <w:rsid w:val="00795E13"/>
    <w:rsid w:val="0079699C"/>
    <w:rsid w:val="007A278E"/>
    <w:rsid w:val="007A2C42"/>
    <w:rsid w:val="007A3D24"/>
    <w:rsid w:val="007A47FB"/>
    <w:rsid w:val="007A4E10"/>
    <w:rsid w:val="007A58DC"/>
    <w:rsid w:val="007A5B63"/>
    <w:rsid w:val="007A638E"/>
    <w:rsid w:val="007B19FC"/>
    <w:rsid w:val="007B3EEF"/>
    <w:rsid w:val="007B3FB6"/>
    <w:rsid w:val="007B5A59"/>
    <w:rsid w:val="007B5D96"/>
    <w:rsid w:val="007B5F02"/>
    <w:rsid w:val="007B6C90"/>
    <w:rsid w:val="007B76A1"/>
    <w:rsid w:val="007C00B7"/>
    <w:rsid w:val="007C0A8E"/>
    <w:rsid w:val="007C0C17"/>
    <w:rsid w:val="007C0D41"/>
    <w:rsid w:val="007C0FE0"/>
    <w:rsid w:val="007C1B1F"/>
    <w:rsid w:val="007C2BAC"/>
    <w:rsid w:val="007C2BF3"/>
    <w:rsid w:val="007C32B1"/>
    <w:rsid w:val="007C38F2"/>
    <w:rsid w:val="007C418C"/>
    <w:rsid w:val="007C4DAC"/>
    <w:rsid w:val="007C573F"/>
    <w:rsid w:val="007C5D12"/>
    <w:rsid w:val="007C655E"/>
    <w:rsid w:val="007C6AC9"/>
    <w:rsid w:val="007C7043"/>
    <w:rsid w:val="007C79A1"/>
    <w:rsid w:val="007C7A15"/>
    <w:rsid w:val="007D0D81"/>
    <w:rsid w:val="007D15CB"/>
    <w:rsid w:val="007D17E7"/>
    <w:rsid w:val="007D30E0"/>
    <w:rsid w:val="007D3B6B"/>
    <w:rsid w:val="007D4F98"/>
    <w:rsid w:val="007D5B19"/>
    <w:rsid w:val="007D5D84"/>
    <w:rsid w:val="007D6CD7"/>
    <w:rsid w:val="007D6F0F"/>
    <w:rsid w:val="007E0BCC"/>
    <w:rsid w:val="007E19FB"/>
    <w:rsid w:val="007E1FB8"/>
    <w:rsid w:val="007E2ED5"/>
    <w:rsid w:val="007E34A9"/>
    <w:rsid w:val="007E45D3"/>
    <w:rsid w:val="007E4B62"/>
    <w:rsid w:val="007E4BE8"/>
    <w:rsid w:val="007E5B06"/>
    <w:rsid w:val="007E657B"/>
    <w:rsid w:val="007F1E8F"/>
    <w:rsid w:val="007F2D71"/>
    <w:rsid w:val="007F39BC"/>
    <w:rsid w:val="007F3B11"/>
    <w:rsid w:val="007F4274"/>
    <w:rsid w:val="007F4A5D"/>
    <w:rsid w:val="007F5651"/>
    <w:rsid w:val="007F7D14"/>
    <w:rsid w:val="00800183"/>
    <w:rsid w:val="00800BCF"/>
    <w:rsid w:val="008010E5"/>
    <w:rsid w:val="00801D88"/>
    <w:rsid w:val="00803F1D"/>
    <w:rsid w:val="00804658"/>
    <w:rsid w:val="008050C1"/>
    <w:rsid w:val="00805EC4"/>
    <w:rsid w:val="00806B0D"/>
    <w:rsid w:val="00810321"/>
    <w:rsid w:val="008108EF"/>
    <w:rsid w:val="0081157E"/>
    <w:rsid w:val="008120C6"/>
    <w:rsid w:val="00813E27"/>
    <w:rsid w:val="0081426D"/>
    <w:rsid w:val="00814385"/>
    <w:rsid w:val="00815927"/>
    <w:rsid w:val="00815AA4"/>
    <w:rsid w:val="00816A02"/>
    <w:rsid w:val="00816BE7"/>
    <w:rsid w:val="00816F54"/>
    <w:rsid w:val="00817574"/>
    <w:rsid w:val="00821AE1"/>
    <w:rsid w:val="00822A64"/>
    <w:rsid w:val="00822CCA"/>
    <w:rsid w:val="008236E5"/>
    <w:rsid w:val="008239F0"/>
    <w:rsid w:val="008252C2"/>
    <w:rsid w:val="0082578E"/>
    <w:rsid w:val="008275F3"/>
    <w:rsid w:val="00827B3E"/>
    <w:rsid w:val="00830B95"/>
    <w:rsid w:val="008316A5"/>
    <w:rsid w:val="008317D1"/>
    <w:rsid w:val="0083262E"/>
    <w:rsid w:val="00833762"/>
    <w:rsid w:val="0083454A"/>
    <w:rsid w:val="008346F6"/>
    <w:rsid w:val="00834A29"/>
    <w:rsid w:val="00834EB5"/>
    <w:rsid w:val="008350D3"/>
    <w:rsid w:val="00835327"/>
    <w:rsid w:val="00835723"/>
    <w:rsid w:val="00841213"/>
    <w:rsid w:val="00841F8B"/>
    <w:rsid w:val="00842CB6"/>
    <w:rsid w:val="0084336E"/>
    <w:rsid w:val="00845656"/>
    <w:rsid w:val="008457B4"/>
    <w:rsid w:val="0085007C"/>
    <w:rsid w:val="00850218"/>
    <w:rsid w:val="00850544"/>
    <w:rsid w:val="008527A7"/>
    <w:rsid w:val="008530D9"/>
    <w:rsid w:val="008530DA"/>
    <w:rsid w:val="008533C7"/>
    <w:rsid w:val="0085366F"/>
    <w:rsid w:val="0085474F"/>
    <w:rsid w:val="008548C6"/>
    <w:rsid w:val="00856798"/>
    <w:rsid w:val="00860FBA"/>
    <w:rsid w:val="00863547"/>
    <w:rsid w:val="0086354E"/>
    <w:rsid w:val="00863596"/>
    <w:rsid w:val="008648A5"/>
    <w:rsid w:val="0086604D"/>
    <w:rsid w:val="00866487"/>
    <w:rsid w:val="008664F7"/>
    <w:rsid w:val="00866FB2"/>
    <w:rsid w:val="008710D3"/>
    <w:rsid w:val="00871209"/>
    <w:rsid w:val="008754BC"/>
    <w:rsid w:val="00876489"/>
    <w:rsid w:val="00876E3B"/>
    <w:rsid w:val="00880669"/>
    <w:rsid w:val="0088079F"/>
    <w:rsid w:val="00880860"/>
    <w:rsid w:val="008818DD"/>
    <w:rsid w:val="008820F9"/>
    <w:rsid w:val="008821F9"/>
    <w:rsid w:val="008838D5"/>
    <w:rsid w:val="00883C52"/>
    <w:rsid w:val="00885A1C"/>
    <w:rsid w:val="0088685B"/>
    <w:rsid w:val="00890ED3"/>
    <w:rsid w:val="0089204E"/>
    <w:rsid w:val="0089230F"/>
    <w:rsid w:val="0089248E"/>
    <w:rsid w:val="008925C6"/>
    <w:rsid w:val="00893398"/>
    <w:rsid w:val="00893B43"/>
    <w:rsid w:val="00893D30"/>
    <w:rsid w:val="00895B6A"/>
    <w:rsid w:val="00896A1B"/>
    <w:rsid w:val="00896FE9"/>
    <w:rsid w:val="00897521"/>
    <w:rsid w:val="00897CAF"/>
    <w:rsid w:val="008A02E5"/>
    <w:rsid w:val="008A119A"/>
    <w:rsid w:val="008A1E19"/>
    <w:rsid w:val="008A3DC3"/>
    <w:rsid w:val="008A4E24"/>
    <w:rsid w:val="008A5EAE"/>
    <w:rsid w:val="008A7675"/>
    <w:rsid w:val="008A7D2B"/>
    <w:rsid w:val="008B1A7F"/>
    <w:rsid w:val="008B21A9"/>
    <w:rsid w:val="008B2393"/>
    <w:rsid w:val="008B256C"/>
    <w:rsid w:val="008B31CC"/>
    <w:rsid w:val="008B3E35"/>
    <w:rsid w:val="008B4159"/>
    <w:rsid w:val="008B4857"/>
    <w:rsid w:val="008B4AE6"/>
    <w:rsid w:val="008B4C8D"/>
    <w:rsid w:val="008B53BA"/>
    <w:rsid w:val="008B663A"/>
    <w:rsid w:val="008B70AD"/>
    <w:rsid w:val="008C03DE"/>
    <w:rsid w:val="008C04D9"/>
    <w:rsid w:val="008C12C5"/>
    <w:rsid w:val="008C157C"/>
    <w:rsid w:val="008C16FD"/>
    <w:rsid w:val="008C1C4F"/>
    <w:rsid w:val="008C3025"/>
    <w:rsid w:val="008C3672"/>
    <w:rsid w:val="008C3A73"/>
    <w:rsid w:val="008C3AF8"/>
    <w:rsid w:val="008C5926"/>
    <w:rsid w:val="008C6512"/>
    <w:rsid w:val="008C66CD"/>
    <w:rsid w:val="008C788F"/>
    <w:rsid w:val="008C797D"/>
    <w:rsid w:val="008D09DF"/>
    <w:rsid w:val="008D1374"/>
    <w:rsid w:val="008D1FE9"/>
    <w:rsid w:val="008D2B77"/>
    <w:rsid w:val="008D36FF"/>
    <w:rsid w:val="008D42BD"/>
    <w:rsid w:val="008D52B7"/>
    <w:rsid w:val="008D55ED"/>
    <w:rsid w:val="008E019C"/>
    <w:rsid w:val="008E0621"/>
    <w:rsid w:val="008E1A32"/>
    <w:rsid w:val="008E1E5B"/>
    <w:rsid w:val="008E2057"/>
    <w:rsid w:val="008E20E9"/>
    <w:rsid w:val="008E2B30"/>
    <w:rsid w:val="008E2E44"/>
    <w:rsid w:val="008E3783"/>
    <w:rsid w:val="008E37E7"/>
    <w:rsid w:val="008E46F9"/>
    <w:rsid w:val="008E5FE3"/>
    <w:rsid w:val="008E70F6"/>
    <w:rsid w:val="008E7904"/>
    <w:rsid w:val="008E79C1"/>
    <w:rsid w:val="008F0A3D"/>
    <w:rsid w:val="008F103F"/>
    <w:rsid w:val="008F1CCC"/>
    <w:rsid w:val="008F1CFA"/>
    <w:rsid w:val="008F254B"/>
    <w:rsid w:val="008F30B8"/>
    <w:rsid w:val="008F464C"/>
    <w:rsid w:val="008F5CE6"/>
    <w:rsid w:val="008F71A8"/>
    <w:rsid w:val="008F73EB"/>
    <w:rsid w:val="00901B8F"/>
    <w:rsid w:val="00901E73"/>
    <w:rsid w:val="00902CA7"/>
    <w:rsid w:val="00902E1E"/>
    <w:rsid w:val="00903400"/>
    <w:rsid w:val="0090496B"/>
    <w:rsid w:val="00904AD4"/>
    <w:rsid w:val="00905C08"/>
    <w:rsid w:val="009061E8"/>
    <w:rsid w:val="00906448"/>
    <w:rsid w:val="009066A3"/>
    <w:rsid w:val="00906EB3"/>
    <w:rsid w:val="009129AF"/>
    <w:rsid w:val="00912ACF"/>
    <w:rsid w:val="00912D61"/>
    <w:rsid w:val="009152E6"/>
    <w:rsid w:val="009152F8"/>
    <w:rsid w:val="00915D2A"/>
    <w:rsid w:val="009160D9"/>
    <w:rsid w:val="009164DA"/>
    <w:rsid w:val="009177B0"/>
    <w:rsid w:val="00920141"/>
    <w:rsid w:val="009208FB"/>
    <w:rsid w:val="0092197F"/>
    <w:rsid w:val="00922206"/>
    <w:rsid w:val="00922A08"/>
    <w:rsid w:val="00923A92"/>
    <w:rsid w:val="00933606"/>
    <w:rsid w:val="009338B1"/>
    <w:rsid w:val="00934809"/>
    <w:rsid w:val="0093524E"/>
    <w:rsid w:val="00936664"/>
    <w:rsid w:val="00937A41"/>
    <w:rsid w:val="00940315"/>
    <w:rsid w:val="00942307"/>
    <w:rsid w:val="00943202"/>
    <w:rsid w:val="00943DCB"/>
    <w:rsid w:val="0094577A"/>
    <w:rsid w:val="00946087"/>
    <w:rsid w:val="00946122"/>
    <w:rsid w:val="00947034"/>
    <w:rsid w:val="00947F3A"/>
    <w:rsid w:val="00951CB2"/>
    <w:rsid w:val="00952AB7"/>
    <w:rsid w:val="00952EF7"/>
    <w:rsid w:val="00952F2B"/>
    <w:rsid w:val="00954FAE"/>
    <w:rsid w:val="009558D4"/>
    <w:rsid w:val="00955D64"/>
    <w:rsid w:val="00955FE6"/>
    <w:rsid w:val="009608EF"/>
    <w:rsid w:val="00960C90"/>
    <w:rsid w:val="009612CB"/>
    <w:rsid w:val="0096281D"/>
    <w:rsid w:val="00963F09"/>
    <w:rsid w:val="0096517D"/>
    <w:rsid w:val="0096590B"/>
    <w:rsid w:val="009676B8"/>
    <w:rsid w:val="00970D1F"/>
    <w:rsid w:val="00971386"/>
    <w:rsid w:val="00971513"/>
    <w:rsid w:val="0097170E"/>
    <w:rsid w:val="00972D96"/>
    <w:rsid w:val="0097421B"/>
    <w:rsid w:val="00975597"/>
    <w:rsid w:val="00980A0D"/>
    <w:rsid w:val="00981846"/>
    <w:rsid w:val="00981AD9"/>
    <w:rsid w:val="00982518"/>
    <w:rsid w:val="009836BB"/>
    <w:rsid w:val="0098578A"/>
    <w:rsid w:val="00985834"/>
    <w:rsid w:val="00985E27"/>
    <w:rsid w:val="0098680E"/>
    <w:rsid w:val="00987959"/>
    <w:rsid w:val="009903CD"/>
    <w:rsid w:val="009905C9"/>
    <w:rsid w:val="00991A1B"/>
    <w:rsid w:val="00992193"/>
    <w:rsid w:val="00992431"/>
    <w:rsid w:val="00993D19"/>
    <w:rsid w:val="009948E2"/>
    <w:rsid w:val="0099494C"/>
    <w:rsid w:val="009949ED"/>
    <w:rsid w:val="00994D84"/>
    <w:rsid w:val="00995876"/>
    <w:rsid w:val="009959EB"/>
    <w:rsid w:val="009961EC"/>
    <w:rsid w:val="009964D6"/>
    <w:rsid w:val="009A2324"/>
    <w:rsid w:val="009A245D"/>
    <w:rsid w:val="009A4265"/>
    <w:rsid w:val="009A4295"/>
    <w:rsid w:val="009A42A3"/>
    <w:rsid w:val="009A66DC"/>
    <w:rsid w:val="009A6E23"/>
    <w:rsid w:val="009B1FD4"/>
    <w:rsid w:val="009B2177"/>
    <w:rsid w:val="009B38F7"/>
    <w:rsid w:val="009B43CD"/>
    <w:rsid w:val="009B4422"/>
    <w:rsid w:val="009B4694"/>
    <w:rsid w:val="009B4790"/>
    <w:rsid w:val="009B4D03"/>
    <w:rsid w:val="009B550D"/>
    <w:rsid w:val="009B633B"/>
    <w:rsid w:val="009B66B7"/>
    <w:rsid w:val="009C0280"/>
    <w:rsid w:val="009C09FC"/>
    <w:rsid w:val="009C0D90"/>
    <w:rsid w:val="009C0FDF"/>
    <w:rsid w:val="009C2466"/>
    <w:rsid w:val="009C33CC"/>
    <w:rsid w:val="009C4906"/>
    <w:rsid w:val="009C4B3F"/>
    <w:rsid w:val="009C4D33"/>
    <w:rsid w:val="009C5EBE"/>
    <w:rsid w:val="009C6574"/>
    <w:rsid w:val="009C6B9F"/>
    <w:rsid w:val="009C74DE"/>
    <w:rsid w:val="009C7790"/>
    <w:rsid w:val="009C7A40"/>
    <w:rsid w:val="009C7F13"/>
    <w:rsid w:val="009D0392"/>
    <w:rsid w:val="009D1886"/>
    <w:rsid w:val="009D1BA8"/>
    <w:rsid w:val="009D2489"/>
    <w:rsid w:val="009D29D7"/>
    <w:rsid w:val="009D3049"/>
    <w:rsid w:val="009D5C0C"/>
    <w:rsid w:val="009D63A8"/>
    <w:rsid w:val="009D6A38"/>
    <w:rsid w:val="009D73EF"/>
    <w:rsid w:val="009E016A"/>
    <w:rsid w:val="009E0EBA"/>
    <w:rsid w:val="009E266E"/>
    <w:rsid w:val="009E3F9E"/>
    <w:rsid w:val="009E40F8"/>
    <w:rsid w:val="009E53D1"/>
    <w:rsid w:val="009E559C"/>
    <w:rsid w:val="009E69A9"/>
    <w:rsid w:val="009E6FD0"/>
    <w:rsid w:val="009F19AF"/>
    <w:rsid w:val="009F24F0"/>
    <w:rsid w:val="009F32F8"/>
    <w:rsid w:val="009F3A1A"/>
    <w:rsid w:val="009F5116"/>
    <w:rsid w:val="009F6C2B"/>
    <w:rsid w:val="009F6F03"/>
    <w:rsid w:val="00A002A5"/>
    <w:rsid w:val="00A00631"/>
    <w:rsid w:val="00A01C94"/>
    <w:rsid w:val="00A03578"/>
    <w:rsid w:val="00A048B1"/>
    <w:rsid w:val="00A057FB"/>
    <w:rsid w:val="00A05DEF"/>
    <w:rsid w:val="00A0728C"/>
    <w:rsid w:val="00A07DE8"/>
    <w:rsid w:val="00A10611"/>
    <w:rsid w:val="00A111B8"/>
    <w:rsid w:val="00A1123D"/>
    <w:rsid w:val="00A13120"/>
    <w:rsid w:val="00A138C5"/>
    <w:rsid w:val="00A13DF3"/>
    <w:rsid w:val="00A15144"/>
    <w:rsid w:val="00A15828"/>
    <w:rsid w:val="00A1741B"/>
    <w:rsid w:val="00A17668"/>
    <w:rsid w:val="00A24D9C"/>
    <w:rsid w:val="00A257CF"/>
    <w:rsid w:val="00A25C99"/>
    <w:rsid w:val="00A26293"/>
    <w:rsid w:val="00A27BDC"/>
    <w:rsid w:val="00A307C7"/>
    <w:rsid w:val="00A31003"/>
    <w:rsid w:val="00A31B06"/>
    <w:rsid w:val="00A32C9D"/>
    <w:rsid w:val="00A37418"/>
    <w:rsid w:val="00A4005F"/>
    <w:rsid w:val="00A4017E"/>
    <w:rsid w:val="00A42526"/>
    <w:rsid w:val="00A44DC2"/>
    <w:rsid w:val="00A45C92"/>
    <w:rsid w:val="00A463AE"/>
    <w:rsid w:val="00A47587"/>
    <w:rsid w:val="00A47A2A"/>
    <w:rsid w:val="00A47DA5"/>
    <w:rsid w:val="00A528F0"/>
    <w:rsid w:val="00A52CA9"/>
    <w:rsid w:val="00A546E0"/>
    <w:rsid w:val="00A5559F"/>
    <w:rsid w:val="00A56AC8"/>
    <w:rsid w:val="00A57101"/>
    <w:rsid w:val="00A57152"/>
    <w:rsid w:val="00A57AFC"/>
    <w:rsid w:val="00A615F9"/>
    <w:rsid w:val="00A62E98"/>
    <w:rsid w:val="00A637F0"/>
    <w:rsid w:val="00A64FCF"/>
    <w:rsid w:val="00A65D59"/>
    <w:rsid w:val="00A65E4B"/>
    <w:rsid w:val="00A667FF"/>
    <w:rsid w:val="00A66B6F"/>
    <w:rsid w:val="00A66D69"/>
    <w:rsid w:val="00A70904"/>
    <w:rsid w:val="00A70AA6"/>
    <w:rsid w:val="00A71601"/>
    <w:rsid w:val="00A71EFC"/>
    <w:rsid w:val="00A72EF1"/>
    <w:rsid w:val="00A7392A"/>
    <w:rsid w:val="00A74927"/>
    <w:rsid w:val="00A74963"/>
    <w:rsid w:val="00A7498D"/>
    <w:rsid w:val="00A7507D"/>
    <w:rsid w:val="00A757CD"/>
    <w:rsid w:val="00A76081"/>
    <w:rsid w:val="00A77189"/>
    <w:rsid w:val="00A777C1"/>
    <w:rsid w:val="00A77A04"/>
    <w:rsid w:val="00A82D74"/>
    <w:rsid w:val="00A83F6D"/>
    <w:rsid w:val="00A84339"/>
    <w:rsid w:val="00A84C69"/>
    <w:rsid w:val="00A85A26"/>
    <w:rsid w:val="00A86143"/>
    <w:rsid w:val="00A86154"/>
    <w:rsid w:val="00A8696A"/>
    <w:rsid w:val="00A86F4B"/>
    <w:rsid w:val="00A8790C"/>
    <w:rsid w:val="00A91764"/>
    <w:rsid w:val="00A93C5F"/>
    <w:rsid w:val="00A95744"/>
    <w:rsid w:val="00A96127"/>
    <w:rsid w:val="00A96BB9"/>
    <w:rsid w:val="00AA0439"/>
    <w:rsid w:val="00AA1E0B"/>
    <w:rsid w:val="00AA3659"/>
    <w:rsid w:val="00AA37BA"/>
    <w:rsid w:val="00AA494E"/>
    <w:rsid w:val="00AA544C"/>
    <w:rsid w:val="00AA749D"/>
    <w:rsid w:val="00AA7988"/>
    <w:rsid w:val="00AA79FF"/>
    <w:rsid w:val="00AB0147"/>
    <w:rsid w:val="00AB21C4"/>
    <w:rsid w:val="00AB522E"/>
    <w:rsid w:val="00AB54F7"/>
    <w:rsid w:val="00AB6291"/>
    <w:rsid w:val="00AB7663"/>
    <w:rsid w:val="00AC07E9"/>
    <w:rsid w:val="00AC0DC5"/>
    <w:rsid w:val="00AC217E"/>
    <w:rsid w:val="00AC23FD"/>
    <w:rsid w:val="00AC2EA8"/>
    <w:rsid w:val="00AC340C"/>
    <w:rsid w:val="00AC470D"/>
    <w:rsid w:val="00AC4D2F"/>
    <w:rsid w:val="00AC55B5"/>
    <w:rsid w:val="00AC5639"/>
    <w:rsid w:val="00AC67EE"/>
    <w:rsid w:val="00AC6966"/>
    <w:rsid w:val="00AC7887"/>
    <w:rsid w:val="00AD0397"/>
    <w:rsid w:val="00AD0976"/>
    <w:rsid w:val="00AD0EF1"/>
    <w:rsid w:val="00AD10BA"/>
    <w:rsid w:val="00AD175A"/>
    <w:rsid w:val="00AD2CF2"/>
    <w:rsid w:val="00AD2EF1"/>
    <w:rsid w:val="00AD3E04"/>
    <w:rsid w:val="00AD5B85"/>
    <w:rsid w:val="00AD6027"/>
    <w:rsid w:val="00AD693E"/>
    <w:rsid w:val="00AD7DF9"/>
    <w:rsid w:val="00AD7FEF"/>
    <w:rsid w:val="00AE0378"/>
    <w:rsid w:val="00AE0784"/>
    <w:rsid w:val="00AE0A80"/>
    <w:rsid w:val="00AE1810"/>
    <w:rsid w:val="00AE1DE8"/>
    <w:rsid w:val="00AE21C1"/>
    <w:rsid w:val="00AE39F6"/>
    <w:rsid w:val="00AE3C67"/>
    <w:rsid w:val="00AE4205"/>
    <w:rsid w:val="00AE4826"/>
    <w:rsid w:val="00AE4F93"/>
    <w:rsid w:val="00AE7561"/>
    <w:rsid w:val="00AE768F"/>
    <w:rsid w:val="00AE79B4"/>
    <w:rsid w:val="00AE7CE4"/>
    <w:rsid w:val="00AF047D"/>
    <w:rsid w:val="00AF0836"/>
    <w:rsid w:val="00AF0C81"/>
    <w:rsid w:val="00AF188B"/>
    <w:rsid w:val="00AF1E04"/>
    <w:rsid w:val="00AF1E22"/>
    <w:rsid w:val="00AF24DE"/>
    <w:rsid w:val="00AF3B18"/>
    <w:rsid w:val="00AF4516"/>
    <w:rsid w:val="00AF474C"/>
    <w:rsid w:val="00AF4B84"/>
    <w:rsid w:val="00AF4E85"/>
    <w:rsid w:val="00AF6227"/>
    <w:rsid w:val="00AF688A"/>
    <w:rsid w:val="00AF6A0E"/>
    <w:rsid w:val="00B0018F"/>
    <w:rsid w:val="00B00ED4"/>
    <w:rsid w:val="00B012AA"/>
    <w:rsid w:val="00B01524"/>
    <w:rsid w:val="00B01B3D"/>
    <w:rsid w:val="00B02398"/>
    <w:rsid w:val="00B0246C"/>
    <w:rsid w:val="00B03C1F"/>
    <w:rsid w:val="00B0402C"/>
    <w:rsid w:val="00B04F80"/>
    <w:rsid w:val="00B0653E"/>
    <w:rsid w:val="00B068C7"/>
    <w:rsid w:val="00B069D6"/>
    <w:rsid w:val="00B06F29"/>
    <w:rsid w:val="00B07A9D"/>
    <w:rsid w:val="00B10CE1"/>
    <w:rsid w:val="00B114BB"/>
    <w:rsid w:val="00B135AA"/>
    <w:rsid w:val="00B14C61"/>
    <w:rsid w:val="00B14E9A"/>
    <w:rsid w:val="00B16707"/>
    <w:rsid w:val="00B17357"/>
    <w:rsid w:val="00B17B4B"/>
    <w:rsid w:val="00B17BA1"/>
    <w:rsid w:val="00B20AC0"/>
    <w:rsid w:val="00B21228"/>
    <w:rsid w:val="00B21C60"/>
    <w:rsid w:val="00B21DC0"/>
    <w:rsid w:val="00B2286D"/>
    <w:rsid w:val="00B22C97"/>
    <w:rsid w:val="00B23AE5"/>
    <w:rsid w:val="00B242D9"/>
    <w:rsid w:val="00B24F6F"/>
    <w:rsid w:val="00B252F5"/>
    <w:rsid w:val="00B25717"/>
    <w:rsid w:val="00B25BE0"/>
    <w:rsid w:val="00B25DC8"/>
    <w:rsid w:val="00B2603B"/>
    <w:rsid w:val="00B268A6"/>
    <w:rsid w:val="00B277ED"/>
    <w:rsid w:val="00B278E2"/>
    <w:rsid w:val="00B30FEA"/>
    <w:rsid w:val="00B31110"/>
    <w:rsid w:val="00B33925"/>
    <w:rsid w:val="00B33B31"/>
    <w:rsid w:val="00B35394"/>
    <w:rsid w:val="00B35563"/>
    <w:rsid w:val="00B35B92"/>
    <w:rsid w:val="00B36320"/>
    <w:rsid w:val="00B36934"/>
    <w:rsid w:val="00B36D69"/>
    <w:rsid w:val="00B400BD"/>
    <w:rsid w:val="00B4079A"/>
    <w:rsid w:val="00B40833"/>
    <w:rsid w:val="00B40902"/>
    <w:rsid w:val="00B41EFC"/>
    <w:rsid w:val="00B42840"/>
    <w:rsid w:val="00B431E9"/>
    <w:rsid w:val="00B439F8"/>
    <w:rsid w:val="00B44DE8"/>
    <w:rsid w:val="00B459C2"/>
    <w:rsid w:val="00B51310"/>
    <w:rsid w:val="00B515AA"/>
    <w:rsid w:val="00B5199A"/>
    <w:rsid w:val="00B51EE1"/>
    <w:rsid w:val="00B540C1"/>
    <w:rsid w:val="00B540D4"/>
    <w:rsid w:val="00B54380"/>
    <w:rsid w:val="00B55638"/>
    <w:rsid w:val="00B5660D"/>
    <w:rsid w:val="00B5684E"/>
    <w:rsid w:val="00B57981"/>
    <w:rsid w:val="00B60A34"/>
    <w:rsid w:val="00B61175"/>
    <w:rsid w:val="00B614FB"/>
    <w:rsid w:val="00B618C2"/>
    <w:rsid w:val="00B6194E"/>
    <w:rsid w:val="00B61950"/>
    <w:rsid w:val="00B6295A"/>
    <w:rsid w:val="00B634E3"/>
    <w:rsid w:val="00B6419B"/>
    <w:rsid w:val="00B646C0"/>
    <w:rsid w:val="00B65941"/>
    <w:rsid w:val="00B65CFD"/>
    <w:rsid w:val="00B660F5"/>
    <w:rsid w:val="00B66986"/>
    <w:rsid w:val="00B706EF"/>
    <w:rsid w:val="00B708DC"/>
    <w:rsid w:val="00B72360"/>
    <w:rsid w:val="00B74426"/>
    <w:rsid w:val="00B7587A"/>
    <w:rsid w:val="00B76019"/>
    <w:rsid w:val="00B76445"/>
    <w:rsid w:val="00B765BA"/>
    <w:rsid w:val="00B76797"/>
    <w:rsid w:val="00B76D1B"/>
    <w:rsid w:val="00B80335"/>
    <w:rsid w:val="00B82487"/>
    <w:rsid w:val="00B83E08"/>
    <w:rsid w:val="00B85885"/>
    <w:rsid w:val="00B85BB8"/>
    <w:rsid w:val="00B86461"/>
    <w:rsid w:val="00B8646B"/>
    <w:rsid w:val="00B872D2"/>
    <w:rsid w:val="00B901A4"/>
    <w:rsid w:val="00B9092A"/>
    <w:rsid w:val="00B91C8A"/>
    <w:rsid w:val="00B91DFB"/>
    <w:rsid w:val="00B920D1"/>
    <w:rsid w:val="00B925BE"/>
    <w:rsid w:val="00B93061"/>
    <w:rsid w:val="00B933CF"/>
    <w:rsid w:val="00B93A48"/>
    <w:rsid w:val="00B945F5"/>
    <w:rsid w:val="00B9681A"/>
    <w:rsid w:val="00B971E9"/>
    <w:rsid w:val="00BA0ED2"/>
    <w:rsid w:val="00BA11CB"/>
    <w:rsid w:val="00BA1AC3"/>
    <w:rsid w:val="00BA1C54"/>
    <w:rsid w:val="00BA2D33"/>
    <w:rsid w:val="00BA3F82"/>
    <w:rsid w:val="00BA4468"/>
    <w:rsid w:val="00BA5B14"/>
    <w:rsid w:val="00BA6BE4"/>
    <w:rsid w:val="00BA7461"/>
    <w:rsid w:val="00BB01B5"/>
    <w:rsid w:val="00BB08B2"/>
    <w:rsid w:val="00BB35DF"/>
    <w:rsid w:val="00BB3EC0"/>
    <w:rsid w:val="00BB4A0D"/>
    <w:rsid w:val="00BB4A5B"/>
    <w:rsid w:val="00BB5336"/>
    <w:rsid w:val="00BB5538"/>
    <w:rsid w:val="00BB554E"/>
    <w:rsid w:val="00BB5B81"/>
    <w:rsid w:val="00BB5E21"/>
    <w:rsid w:val="00BB611E"/>
    <w:rsid w:val="00BB62D4"/>
    <w:rsid w:val="00BB6D39"/>
    <w:rsid w:val="00BB71A8"/>
    <w:rsid w:val="00BB7792"/>
    <w:rsid w:val="00BB7A3C"/>
    <w:rsid w:val="00BB7C2D"/>
    <w:rsid w:val="00BC092A"/>
    <w:rsid w:val="00BC0BCA"/>
    <w:rsid w:val="00BC22D7"/>
    <w:rsid w:val="00BC2AD6"/>
    <w:rsid w:val="00BC3756"/>
    <w:rsid w:val="00BC4D9A"/>
    <w:rsid w:val="00BC5602"/>
    <w:rsid w:val="00BC56FA"/>
    <w:rsid w:val="00BC719C"/>
    <w:rsid w:val="00BC7D17"/>
    <w:rsid w:val="00BD3603"/>
    <w:rsid w:val="00BD425A"/>
    <w:rsid w:val="00BD4B3A"/>
    <w:rsid w:val="00BD4DBD"/>
    <w:rsid w:val="00BD657E"/>
    <w:rsid w:val="00BD7328"/>
    <w:rsid w:val="00BD7498"/>
    <w:rsid w:val="00BD7EE7"/>
    <w:rsid w:val="00BE039B"/>
    <w:rsid w:val="00BE0BA8"/>
    <w:rsid w:val="00BE1798"/>
    <w:rsid w:val="00BE2510"/>
    <w:rsid w:val="00BE4793"/>
    <w:rsid w:val="00BE5757"/>
    <w:rsid w:val="00BE59EF"/>
    <w:rsid w:val="00BE6BD1"/>
    <w:rsid w:val="00BE7BA2"/>
    <w:rsid w:val="00BF1B16"/>
    <w:rsid w:val="00BF2FF1"/>
    <w:rsid w:val="00BF3697"/>
    <w:rsid w:val="00BF3DAB"/>
    <w:rsid w:val="00BF4ED4"/>
    <w:rsid w:val="00BF4FD6"/>
    <w:rsid w:val="00BF569C"/>
    <w:rsid w:val="00BF6563"/>
    <w:rsid w:val="00BF6A65"/>
    <w:rsid w:val="00BF6ACE"/>
    <w:rsid w:val="00BF7356"/>
    <w:rsid w:val="00BF7F1C"/>
    <w:rsid w:val="00C0057C"/>
    <w:rsid w:val="00C0177B"/>
    <w:rsid w:val="00C01827"/>
    <w:rsid w:val="00C0250D"/>
    <w:rsid w:val="00C04F0C"/>
    <w:rsid w:val="00C04FB6"/>
    <w:rsid w:val="00C0518A"/>
    <w:rsid w:val="00C05C58"/>
    <w:rsid w:val="00C0754D"/>
    <w:rsid w:val="00C07667"/>
    <w:rsid w:val="00C10295"/>
    <w:rsid w:val="00C102E4"/>
    <w:rsid w:val="00C10C4D"/>
    <w:rsid w:val="00C13A51"/>
    <w:rsid w:val="00C1476B"/>
    <w:rsid w:val="00C15CC7"/>
    <w:rsid w:val="00C1746A"/>
    <w:rsid w:val="00C20039"/>
    <w:rsid w:val="00C20538"/>
    <w:rsid w:val="00C20CD5"/>
    <w:rsid w:val="00C2110E"/>
    <w:rsid w:val="00C2119A"/>
    <w:rsid w:val="00C226E6"/>
    <w:rsid w:val="00C22E85"/>
    <w:rsid w:val="00C24CAC"/>
    <w:rsid w:val="00C2517F"/>
    <w:rsid w:val="00C26A45"/>
    <w:rsid w:val="00C273EB"/>
    <w:rsid w:val="00C31018"/>
    <w:rsid w:val="00C313BF"/>
    <w:rsid w:val="00C31432"/>
    <w:rsid w:val="00C31EAE"/>
    <w:rsid w:val="00C323A5"/>
    <w:rsid w:val="00C32750"/>
    <w:rsid w:val="00C32BBA"/>
    <w:rsid w:val="00C3342D"/>
    <w:rsid w:val="00C35CFB"/>
    <w:rsid w:val="00C36B6B"/>
    <w:rsid w:val="00C37071"/>
    <w:rsid w:val="00C37D32"/>
    <w:rsid w:val="00C37F3E"/>
    <w:rsid w:val="00C41586"/>
    <w:rsid w:val="00C42902"/>
    <w:rsid w:val="00C429CF"/>
    <w:rsid w:val="00C4353C"/>
    <w:rsid w:val="00C43C45"/>
    <w:rsid w:val="00C43FE2"/>
    <w:rsid w:val="00C44118"/>
    <w:rsid w:val="00C444CE"/>
    <w:rsid w:val="00C505E4"/>
    <w:rsid w:val="00C522E9"/>
    <w:rsid w:val="00C524A3"/>
    <w:rsid w:val="00C52681"/>
    <w:rsid w:val="00C53095"/>
    <w:rsid w:val="00C5317F"/>
    <w:rsid w:val="00C53680"/>
    <w:rsid w:val="00C55D51"/>
    <w:rsid w:val="00C57C43"/>
    <w:rsid w:val="00C60AC0"/>
    <w:rsid w:val="00C617D4"/>
    <w:rsid w:val="00C61F61"/>
    <w:rsid w:val="00C62342"/>
    <w:rsid w:val="00C634A0"/>
    <w:rsid w:val="00C645F9"/>
    <w:rsid w:val="00C6482B"/>
    <w:rsid w:val="00C64967"/>
    <w:rsid w:val="00C65456"/>
    <w:rsid w:val="00C65AA3"/>
    <w:rsid w:val="00C679ED"/>
    <w:rsid w:val="00C71151"/>
    <w:rsid w:val="00C715E1"/>
    <w:rsid w:val="00C72544"/>
    <w:rsid w:val="00C734E9"/>
    <w:rsid w:val="00C7590D"/>
    <w:rsid w:val="00C75C22"/>
    <w:rsid w:val="00C76765"/>
    <w:rsid w:val="00C76FBB"/>
    <w:rsid w:val="00C777A9"/>
    <w:rsid w:val="00C80455"/>
    <w:rsid w:val="00C8114F"/>
    <w:rsid w:val="00C86DAC"/>
    <w:rsid w:val="00C87C55"/>
    <w:rsid w:val="00C92596"/>
    <w:rsid w:val="00C92FD1"/>
    <w:rsid w:val="00C93576"/>
    <w:rsid w:val="00C93BB7"/>
    <w:rsid w:val="00C954E6"/>
    <w:rsid w:val="00C955A6"/>
    <w:rsid w:val="00C96353"/>
    <w:rsid w:val="00C97369"/>
    <w:rsid w:val="00C97628"/>
    <w:rsid w:val="00C97F5E"/>
    <w:rsid w:val="00CA0D6F"/>
    <w:rsid w:val="00CA0D7D"/>
    <w:rsid w:val="00CA1147"/>
    <w:rsid w:val="00CA2ACA"/>
    <w:rsid w:val="00CA50E5"/>
    <w:rsid w:val="00CA6044"/>
    <w:rsid w:val="00CA645C"/>
    <w:rsid w:val="00CA650E"/>
    <w:rsid w:val="00CA6F45"/>
    <w:rsid w:val="00CA7473"/>
    <w:rsid w:val="00CB0D7D"/>
    <w:rsid w:val="00CB151B"/>
    <w:rsid w:val="00CB36C1"/>
    <w:rsid w:val="00CB4258"/>
    <w:rsid w:val="00CB42EF"/>
    <w:rsid w:val="00CB45BC"/>
    <w:rsid w:val="00CB4609"/>
    <w:rsid w:val="00CB4B74"/>
    <w:rsid w:val="00CC16ED"/>
    <w:rsid w:val="00CC29FD"/>
    <w:rsid w:val="00CC311F"/>
    <w:rsid w:val="00CC50E3"/>
    <w:rsid w:val="00CC5511"/>
    <w:rsid w:val="00CC66AF"/>
    <w:rsid w:val="00CC69B2"/>
    <w:rsid w:val="00CC6A11"/>
    <w:rsid w:val="00CC7AC1"/>
    <w:rsid w:val="00CD139A"/>
    <w:rsid w:val="00CD209F"/>
    <w:rsid w:val="00CD31CD"/>
    <w:rsid w:val="00CD35CA"/>
    <w:rsid w:val="00CD3CB8"/>
    <w:rsid w:val="00CD4F11"/>
    <w:rsid w:val="00CD592C"/>
    <w:rsid w:val="00CD5AD0"/>
    <w:rsid w:val="00CD6665"/>
    <w:rsid w:val="00CD70F8"/>
    <w:rsid w:val="00CE02D2"/>
    <w:rsid w:val="00CE32D5"/>
    <w:rsid w:val="00CE4537"/>
    <w:rsid w:val="00CE588D"/>
    <w:rsid w:val="00CE6528"/>
    <w:rsid w:val="00CE75EF"/>
    <w:rsid w:val="00CF17FD"/>
    <w:rsid w:val="00CF1B4B"/>
    <w:rsid w:val="00CF1C7F"/>
    <w:rsid w:val="00CF50E5"/>
    <w:rsid w:val="00CF62D6"/>
    <w:rsid w:val="00CF721B"/>
    <w:rsid w:val="00CF75F9"/>
    <w:rsid w:val="00D0122B"/>
    <w:rsid w:val="00D01FEC"/>
    <w:rsid w:val="00D027D9"/>
    <w:rsid w:val="00D03150"/>
    <w:rsid w:val="00D054E8"/>
    <w:rsid w:val="00D0715E"/>
    <w:rsid w:val="00D074E2"/>
    <w:rsid w:val="00D07950"/>
    <w:rsid w:val="00D11C1F"/>
    <w:rsid w:val="00D13A8F"/>
    <w:rsid w:val="00D15073"/>
    <w:rsid w:val="00D15407"/>
    <w:rsid w:val="00D166CB"/>
    <w:rsid w:val="00D178CE"/>
    <w:rsid w:val="00D20490"/>
    <w:rsid w:val="00D213D1"/>
    <w:rsid w:val="00D214EF"/>
    <w:rsid w:val="00D22F72"/>
    <w:rsid w:val="00D2371B"/>
    <w:rsid w:val="00D24F9D"/>
    <w:rsid w:val="00D25899"/>
    <w:rsid w:val="00D276A0"/>
    <w:rsid w:val="00D325B3"/>
    <w:rsid w:val="00D33370"/>
    <w:rsid w:val="00D33A16"/>
    <w:rsid w:val="00D33AAF"/>
    <w:rsid w:val="00D356F9"/>
    <w:rsid w:val="00D36426"/>
    <w:rsid w:val="00D36C4E"/>
    <w:rsid w:val="00D36D9A"/>
    <w:rsid w:val="00D370AB"/>
    <w:rsid w:val="00D37729"/>
    <w:rsid w:val="00D402B0"/>
    <w:rsid w:val="00D402EB"/>
    <w:rsid w:val="00D4076E"/>
    <w:rsid w:val="00D41484"/>
    <w:rsid w:val="00D42135"/>
    <w:rsid w:val="00D423EA"/>
    <w:rsid w:val="00D45206"/>
    <w:rsid w:val="00D46A00"/>
    <w:rsid w:val="00D46F74"/>
    <w:rsid w:val="00D47132"/>
    <w:rsid w:val="00D50391"/>
    <w:rsid w:val="00D50839"/>
    <w:rsid w:val="00D50B5D"/>
    <w:rsid w:val="00D5124C"/>
    <w:rsid w:val="00D512D2"/>
    <w:rsid w:val="00D517D4"/>
    <w:rsid w:val="00D55330"/>
    <w:rsid w:val="00D55558"/>
    <w:rsid w:val="00D566E1"/>
    <w:rsid w:val="00D56989"/>
    <w:rsid w:val="00D5740A"/>
    <w:rsid w:val="00D57410"/>
    <w:rsid w:val="00D5755B"/>
    <w:rsid w:val="00D6095E"/>
    <w:rsid w:val="00D621E0"/>
    <w:rsid w:val="00D622DA"/>
    <w:rsid w:val="00D632B5"/>
    <w:rsid w:val="00D64301"/>
    <w:rsid w:val="00D64E04"/>
    <w:rsid w:val="00D652F2"/>
    <w:rsid w:val="00D66AF8"/>
    <w:rsid w:val="00D66CD0"/>
    <w:rsid w:val="00D70D04"/>
    <w:rsid w:val="00D70FD0"/>
    <w:rsid w:val="00D7100F"/>
    <w:rsid w:val="00D71406"/>
    <w:rsid w:val="00D72429"/>
    <w:rsid w:val="00D73260"/>
    <w:rsid w:val="00D73F2A"/>
    <w:rsid w:val="00D7543F"/>
    <w:rsid w:val="00D760DF"/>
    <w:rsid w:val="00D7644F"/>
    <w:rsid w:val="00D76C5B"/>
    <w:rsid w:val="00D7730C"/>
    <w:rsid w:val="00D8068A"/>
    <w:rsid w:val="00D818FC"/>
    <w:rsid w:val="00D81B34"/>
    <w:rsid w:val="00D81E5D"/>
    <w:rsid w:val="00D8268A"/>
    <w:rsid w:val="00D844CC"/>
    <w:rsid w:val="00D8479E"/>
    <w:rsid w:val="00D848D0"/>
    <w:rsid w:val="00D84EF5"/>
    <w:rsid w:val="00D90081"/>
    <w:rsid w:val="00D91AA3"/>
    <w:rsid w:val="00D92C18"/>
    <w:rsid w:val="00D970D3"/>
    <w:rsid w:val="00D974D9"/>
    <w:rsid w:val="00D9784A"/>
    <w:rsid w:val="00D97F26"/>
    <w:rsid w:val="00DA1553"/>
    <w:rsid w:val="00DA2AE9"/>
    <w:rsid w:val="00DA4326"/>
    <w:rsid w:val="00DA6F73"/>
    <w:rsid w:val="00DB1531"/>
    <w:rsid w:val="00DB2067"/>
    <w:rsid w:val="00DB4212"/>
    <w:rsid w:val="00DB4C26"/>
    <w:rsid w:val="00DB4D1E"/>
    <w:rsid w:val="00DB516B"/>
    <w:rsid w:val="00DB5ED6"/>
    <w:rsid w:val="00DC56C0"/>
    <w:rsid w:val="00DC5A39"/>
    <w:rsid w:val="00DC6707"/>
    <w:rsid w:val="00DD0BF1"/>
    <w:rsid w:val="00DD34C7"/>
    <w:rsid w:val="00DD364F"/>
    <w:rsid w:val="00DD3B77"/>
    <w:rsid w:val="00DD4069"/>
    <w:rsid w:val="00DD418A"/>
    <w:rsid w:val="00DD43CA"/>
    <w:rsid w:val="00DD494B"/>
    <w:rsid w:val="00DD514D"/>
    <w:rsid w:val="00DD59AB"/>
    <w:rsid w:val="00DD5AB8"/>
    <w:rsid w:val="00DD789E"/>
    <w:rsid w:val="00DE014E"/>
    <w:rsid w:val="00DE01D1"/>
    <w:rsid w:val="00DE0839"/>
    <w:rsid w:val="00DE14E5"/>
    <w:rsid w:val="00DE1BC4"/>
    <w:rsid w:val="00DE5C64"/>
    <w:rsid w:val="00DE6304"/>
    <w:rsid w:val="00DF17AE"/>
    <w:rsid w:val="00DF1C40"/>
    <w:rsid w:val="00DF359C"/>
    <w:rsid w:val="00DF3A46"/>
    <w:rsid w:val="00DF4163"/>
    <w:rsid w:val="00DF589D"/>
    <w:rsid w:val="00DF66B5"/>
    <w:rsid w:val="00DF6E0F"/>
    <w:rsid w:val="00DF724E"/>
    <w:rsid w:val="00DF75AF"/>
    <w:rsid w:val="00E00704"/>
    <w:rsid w:val="00E010F8"/>
    <w:rsid w:val="00E013F0"/>
    <w:rsid w:val="00E01EAB"/>
    <w:rsid w:val="00E025C3"/>
    <w:rsid w:val="00E02DF8"/>
    <w:rsid w:val="00E034E0"/>
    <w:rsid w:val="00E04CA7"/>
    <w:rsid w:val="00E05C89"/>
    <w:rsid w:val="00E066F3"/>
    <w:rsid w:val="00E075A5"/>
    <w:rsid w:val="00E075EF"/>
    <w:rsid w:val="00E07D2A"/>
    <w:rsid w:val="00E11270"/>
    <w:rsid w:val="00E115B4"/>
    <w:rsid w:val="00E11A15"/>
    <w:rsid w:val="00E12D5D"/>
    <w:rsid w:val="00E14BC1"/>
    <w:rsid w:val="00E14F63"/>
    <w:rsid w:val="00E15F47"/>
    <w:rsid w:val="00E167ED"/>
    <w:rsid w:val="00E171C2"/>
    <w:rsid w:val="00E20542"/>
    <w:rsid w:val="00E21914"/>
    <w:rsid w:val="00E234BE"/>
    <w:rsid w:val="00E24C40"/>
    <w:rsid w:val="00E2615F"/>
    <w:rsid w:val="00E26AE7"/>
    <w:rsid w:val="00E2747D"/>
    <w:rsid w:val="00E278F8"/>
    <w:rsid w:val="00E303F1"/>
    <w:rsid w:val="00E305AA"/>
    <w:rsid w:val="00E30C0D"/>
    <w:rsid w:val="00E31D2D"/>
    <w:rsid w:val="00E32A0A"/>
    <w:rsid w:val="00E34122"/>
    <w:rsid w:val="00E35066"/>
    <w:rsid w:val="00E353D2"/>
    <w:rsid w:val="00E35A74"/>
    <w:rsid w:val="00E35E78"/>
    <w:rsid w:val="00E363BF"/>
    <w:rsid w:val="00E365C0"/>
    <w:rsid w:val="00E365FA"/>
    <w:rsid w:val="00E36F35"/>
    <w:rsid w:val="00E42736"/>
    <w:rsid w:val="00E43517"/>
    <w:rsid w:val="00E43C40"/>
    <w:rsid w:val="00E44630"/>
    <w:rsid w:val="00E44D75"/>
    <w:rsid w:val="00E44E70"/>
    <w:rsid w:val="00E46572"/>
    <w:rsid w:val="00E46635"/>
    <w:rsid w:val="00E4685E"/>
    <w:rsid w:val="00E47046"/>
    <w:rsid w:val="00E47E99"/>
    <w:rsid w:val="00E508D0"/>
    <w:rsid w:val="00E50A06"/>
    <w:rsid w:val="00E511BD"/>
    <w:rsid w:val="00E5207C"/>
    <w:rsid w:val="00E523B3"/>
    <w:rsid w:val="00E545CD"/>
    <w:rsid w:val="00E57340"/>
    <w:rsid w:val="00E6017F"/>
    <w:rsid w:val="00E60A7B"/>
    <w:rsid w:val="00E611CC"/>
    <w:rsid w:val="00E6227E"/>
    <w:rsid w:val="00E626B6"/>
    <w:rsid w:val="00E6456B"/>
    <w:rsid w:val="00E64D54"/>
    <w:rsid w:val="00E64F29"/>
    <w:rsid w:val="00E663BA"/>
    <w:rsid w:val="00E66932"/>
    <w:rsid w:val="00E67881"/>
    <w:rsid w:val="00E70033"/>
    <w:rsid w:val="00E70135"/>
    <w:rsid w:val="00E70461"/>
    <w:rsid w:val="00E7069A"/>
    <w:rsid w:val="00E70A57"/>
    <w:rsid w:val="00E71351"/>
    <w:rsid w:val="00E714BE"/>
    <w:rsid w:val="00E740A7"/>
    <w:rsid w:val="00E748F1"/>
    <w:rsid w:val="00E75DF2"/>
    <w:rsid w:val="00E76290"/>
    <w:rsid w:val="00E7702F"/>
    <w:rsid w:val="00E775D4"/>
    <w:rsid w:val="00E77ACA"/>
    <w:rsid w:val="00E77B8F"/>
    <w:rsid w:val="00E8141A"/>
    <w:rsid w:val="00E81EC5"/>
    <w:rsid w:val="00E825ED"/>
    <w:rsid w:val="00E82F28"/>
    <w:rsid w:val="00E835AC"/>
    <w:rsid w:val="00E839DB"/>
    <w:rsid w:val="00E84027"/>
    <w:rsid w:val="00E850B8"/>
    <w:rsid w:val="00E850FE"/>
    <w:rsid w:val="00E85D1F"/>
    <w:rsid w:val="00E86059"/>
    <w:rsid w:val="00E8642A"/>
    <w:rsid w:val="00E86F0B"/>
    <w:rsid w:val="00E87877"/>
    <w:rsid w:val="00E879C9"/>
    <w:rsid w:val="00E87CB4"/>
    <w:rsid w:val="00E90016"/>
    <w:rsid w:val="00E905A4"/>
    <w:rsid w:val="00E914ED"/>
    <w:rsid w:val="00E928C6"/>
    <w:rsid w:val="00E9341F"/>
    <w:rsid w:val="00E94CA8"/>
    <w:rsid w:val="00E94F0B"/>
    <w:rsid w:val="00E956D4"/>
    <w:rsid w:val="00E95CB2"/>
    <w:rsid w:val="00E968D7"/>
    <w:rsid w:val="00E96C9B"/>
    <w:rsid w:val="00EA08B1"/>
    <w:rsid w:val="00EA18AF"/>
    <w:rsid w:val="00EA30AA"/>
    <w:rsid w:val="00EA30F5"/>
    <w:rsid w:val="00EA4369"/>
    <w:rsid w:val="00EA5016"/>
    <w:rsid w:val="00EA5310"/>
    <w:rsid w:val="00EA5E0C"/>
    <w:rsid w:val="00EA5F60"/>
    <w:rsid w:val="00EA69A1"/>
    <w:rsid w:val="00EA6E93"/>
    <w:rsid w:val="00EA71FA"/>
    <w:rsid w:val="00EA7A2A"/>
    <w:rsid w:val="00EB015B"/>
    <w:rsid w:val="00EB1995"/>
    <w:rsid w:val="00EB27CC"/>
    <w:rsid w:val="00EB2EFD"/>
    <w:rsid w:val="00EB49DB"/>
    <w:rsid w:val="00EB6299"/>
    <w:rsid w:val="00EB6B8D"/>
    <w:rsid w:val="00EB6CF1"/>
    <w:rsid w:val="00EB6ED9"/>
    <w:rsid w:val="00EB6EFB"/>
    <w:rsid w:val="00EB78EA"/>
    <w:rsid w:val="00EB7BF1"/>
    <w:rsid w:val="00EC01D8"/>
    <w:rsid w:val="00EC17BB"/>
    <w:rsid w:val="00EC1977"/>
    <w:rsid w:val="00EC2088"/>
    <w:rsid w:val="00EC274D"/>
    <w:rsid w:val="00EC38FD"/>
    <w:rsid w:val="00EC3D3E"/>
    <w:rsid w:val="00EC517B"/>
    <w:rsid w:val="00EC576A"/>
    <w:rsid w:val="00EC5816"/>
    <w:rsid w:val="00EC5838"/>
    <w:rsid w:val="00EC5BD1"/>
    <w:rsid w:val="00EC5BFC"/>
    <w:rsid w:val="00EC64A9"/>
    <w:rsid w:val="00EC6798"/>
    <w:rsid w:val="00EC6A81"/>
    <w:rsid w:val="00EC6B30"/>
    <w:rsid w:val="00EC6E05"/>
    <w:rsid w:val="00EC7681"/>
    <w:rsid w:val="00EC78D1"/>
    <w:rsid w:val="00EC7929"/>
    <w:rsid w:val="00ED1A6D"/>
    <w:rsid w:val="00ED321E"/>
    <w:rsid w:val="00ED440A"/>
    <w:rsid w:val="00ED460F"/>
    <w:rsid w:val="00ED5E8C"/>
    <w:rsid w:val="00ED6831"/>
    <w:rsid w:val="00ED7D0D"/>
    <w:rsid w:val="00EE16D2"/>
    <w:rsid w:val="00EE2809"/>
    <w:rsid w:val="00EE2FB1"/>
    <w:rsid w:val="00EE3BBD"/>
    <w:rsid w:val="00EE4499"/>
    <w:rsid w:val="00EE4D99"/>
    <w:rsid w:val="00EE62DF"/>
    <w:rsid w:val="00EE65BC"/>
    <w:rsid w:val="00EE70D3"/>
    <w:rsid w:val="00EF00B8"/>
    <w:rsid w:val="00EF0E19"/>
    <w:rsid w:val="00EF16A3"/>
    <w:rsid w:val="00EF254D"/>
    <w:rsid w:val="00EF44F7"/>
    <w:rsid w:val="00EF471A"/>
    <w:rsid w:val="00EF692E"/>
    <w:rsid w:val="00F005AC"/>
    <w:rsid w:val="00F02EE3"/>
    <w:rsid w:val="00F0418B"/>
    <w:rsid w:val="00F04CA3"/>
    <w:rsid w:val="00F0673C"/>
    <w:rsid w:val="00F06C34"/>
    <w:rsid w:val="00F0740E"/>
    <w:rsid w:val="00F106A3"/>
    <w:rsid w:val="00F10DDE"/>
    <w:rsid w:val="00F10E4D"/>
    <w:rsid w:val="00F11B72"/>
    <w:rsid w:val="00F138A3"/>
    <w:rsid w:val="00F14554"/>
    <w:rsid w:val="00F14629"/>
    <w:rsid w:val="00F1615C"/>
    <w:rsid w:val="00F162CA"/>
    <w:rsid w:val="00F16BE9"/>
    <w:rsid w:val="00F2015A"/>
    <w:rsid w:val="00F2049E"/>
    <w:rsid w:val="00F20DB1"/>
    <w:rsid w:val="00F21545"/>
    <w:rsid w:val="00F21B8B"/>
    <w:rsid w:val="00F22060"/>
    <w:rsid w:val="00F22200"/>
    <w:rsid w:val="00F23A7E"/>
    <w:rsid w:val="00F2491D"/>
    <w:rsid w:val="00F25301"/>
    <w:rsid w:val="00F25480"/>
    <w:rsid w:val="00F26691"/>
    <w:rsid w:val="00F27430"/>
    <w:rsid w:val="00F30115"/>
    <w:rsid w:val="00F30A19"/>
    <w:rsid w:val="00F323A9"/>
    <w:rsid w:val="00F34FD0"/>
    <w:rsid w:val="00F359B9"/>
    <w:rsid w:val="00F35CCB"/>
    <w:rsid w:val="00F35CD9"/>
    <w:rsid w:val="00F40605"/>
    <w:rsid w:val="00F41169"/>
    <w:rsid w:val="00F419E3"/>
    <w:rsid w:val="00F41AD9"/>
    <w:rsid w:val="00F41B9E"/>
    <w:rsid w:val="00F430C7"/>
    <w:rsid w:val="00F440E1"/>
    <w:rsid w:val="00F44B4E"/>
    <w:rsid w:val="00F457B3"/>
    <w:rsid w:val="00F45B8B"/>
    <w:rsid w:val="00F4620C"/>
    <w:rsid w:val="00F51C4C"/>
    <w:rsid w:val="00F53E6C"/>
    <w:rsid w:val="00F5446A"/>
    <w:rsid w:val="00F54C45"/>
    <w:rsid w:val="00F55248"/>
    <w:rsid w:val="00F55396"/>
    <w:rsid w:val="00F55587"/>
    <w:rsid w:val="00F55B70"/>
    <w:rsid w:val="00F578DE"/>
    <w:rsid w:val="00F605F5"/>
    <w:rsid w:val="00F62C41"/>
    <w:rsid w:val="00F64389"/>
    <w:rsid w:val="00F64891"/>
    <w:rsid w:val="00F64B64"/>
    <w:rsid w:val="00F64FDE"/>
    <w:rsid w:val="00F654EA"/>
    <w:rsid w:val="00F65BB8"/>
    <w:rsid w:val="00F65FFA"/>
    <w:rsid w:val="00F66B02"/>
    <w:rsid w:val="00F6702A"/>
    <w:rsid w:val="00F67102"/>
    <w:rsid w:val="00F67E8D"/>
    <w:rsid w:val="00F67EDB"/>
    <w:rsid w:val="00F70758"/>
    <w:rsid w:val="00F7152E"/>
    <w:rsid w:val="00F75E9C"/>
    <w:rsid w:val="00F76393"/>
    <w:rsid w:val="00F76DA4"/>
    <w:rsid w:val="00F76F8A"/>
    <w:rsid w:val="00F8019B"/>
    <w:rsid w:val="00F80488"/>
    <w:rsid w:val="00F80843"/>
    <w:rsid w:val="00F80AD3"/>
    <w:rsid w:val="00F8144C"/>
    <w:rsid w:val="00F81F51"/>
    <w:rsid w:val="00F84851"/>
    <w:rsid w:val="00F85D7D"/>
    <w:rsid w:val="00F86697"/>
    <w:rsid w:val="00F86801"/>
    <w:rsid w:val="00F869F0"/>
    <w:rsid w:val="00F86AED"/>
    <w:rsid w:val="00F90224"/>
    <w:rsid w:val="00F9113D"/>
    <w:rsid w:val="00F912CC"/>
    <w:rsid w:val="00F92AD7"/>
    <w:rsid w:val="00F92CF0"/>
    <w:rsid w:val="00F94D61"/>
    <w:rsid w:val="00F95556"/>
    <w:rsid w:val="00F95C26"/>
    <w:rsid w:val="00F96D2A"/>
    <w:rsid w:val="00F97198"/>
    <w:rsid w:val="00F977B9"/>
    <w:rsid w:val="00F97B19"/>
    <w:rsid w:val="00F97DEF"/>
    <w:rsid w:val="00FA0350"/>
    <w:rsid w:val="00FA40B1"/>
    <w:rsid w:val="00FA46F8"/>
    <w:rsid w:val="00FA693F"/>
    <w:rsid w:val="00FA69EB"/>
    <w:rsid w:val="00FA75A9"/>
    <w:rsid w:val="00FA7600"/>
    <w:rsid w:val="00FA7745"/>
    <w:rsid w:val="00FB0896"/>
    <w:rsid w:val="00FB09F0"/>
    <w:rsid w:val="00FB0AC1"/>
    <w:rsid w:val="00FB41C7"/>
    <w:rsid w:val="00FB5274"/>
    <w:rsid w:val="00FB587C"/>
    <w:rsid w:val="00FB58A9"/>
    <w:rsid w:val="00FB681C"/>
    <w:rsid w:val="00FB71D2"/>
    <w:rsid w:val="00FB7C04"/>
    <w:rsid w:val="00FC11FC"/>
    <w:rsid w:val="00FC1E2D"/>
    <w:rsid w:val="00FC2B66"/>
    <w:rsid w:val="00FC352A"/>
    <w:rsid w:val="00FC359D"/>
    <w:rsid w:val="00FC40D8"/>
    <w:rsid w:val="00FC41BD"/>
    <w:rsid w:val="00FC487C"/>
    <w:rsid w:val="00FC4E69"/>
    <w:rsid w:val="00FC5C2A"/>
    <w:rsid w:val="00FC5F5D"/>
    <w:rsid w:val="00FC61F9"/>
    <w:rsid w:val="00FC622E"/>
    <w:rsid w:val="00FC66E0"/>
    <w:rsid w:val="00FD051E"/>
    <w:rsid w:val="00FD0BD6"/>
    <w:rsid w:val="00FD1309"/>
    <w:rsid w:val="00FD14DE"/>
    <w:rsid w:val="00FD28F1"/>
    <w:rsid w:val="00FD44C2"/>
    <w:rsid w:val="00FD452A"/>
    <w:rsid w:val="00FD4FFA"/>
    <w:rsid w:val="00FD705E"/>
    <w:rsid w:val="00FD76AA"/>
    <w:rsid w:val="00FE0A16"/>
    <w:rsid w:val="00FE0C04"/>
    <w:rsid w:val="00FE1437"/>
    <w:rsid w:val="00FE1529"/>
    <w:rsid w:val="00FE1A12"/>
    <w:rsid w:val="00FE2D54"/>
    <w:rsid w:val="00FE43BE"/>
    <w:rsid w:val="00FE4710"/>
    <w:rsid w:val="00FE4736"/>
    <w:rsid w:val="00FE5304"/>
    <w:rsid w:val="00FE66B4"/>
    <w:rsid w:val="00FE740A"/>
    <w:rsid w:val="00FE7866"/>
    <w:rsid w:val="00FE7C19"/>
    <w:rsid w:val="00FF0849"/>
    <w:rsid w:val="00FF0A08"/>
    <w:rsid w:val="00FF1647"/>
    <w:rsid w:val="00FF2F76"/>
    <w:rsid w:val="00FF3F2D"/>
    <w:rsid w:val="00FF4F57"/>
    <w:rsid w:val="00FF54B8"/>
    <w:rsid w:val="00FF7497"/>
    <w:rsid w:val="00FF7835"/>
    <w:rsid w:val="00FF784D"/>
    <w:rsid w:val="023976A3"/>
    <w:rsid w:val="04D03C86"/>
    <w:rsid w:val="05886E77"/>
    <w:rsid w:val="06311DE4"/>
    <w:rsid w:val="06770B85"/>
    <w:rsid w:val="067D1B0C"/>
    <w:rsid w:val="07E472F9"/>
    <w:rsid w:val="084600EB"/>
    <w:rsid w:val="0AAF72EA"/>
    <w:rsid w:val="0B487219"/>
    <w:rsid w:val="0D1A404E"/>
    <w:rsid w:val="0D7F30F0"/>
    <w:rsid w:val="0F7B718E"/>
    <w:rsid w:val="112A0D9C"/>
    <w:rsid w:val="133348AD"/>
    <w:rsid w:val="13F101CF"/>
    <w:rsid w:val="146A6E8E"/>
    <w:rsid w:val="151E6F20"/>
    <w:rsid w:val="15263142"/>
    <w:rsid w:val="171B7BDA"/>
    <w:rsid w:val="177A601F"/>
    <w:rsid w:val="17F14618"/>
    <w:rsid w:val="183744C0"/>
    <w:rsid w:val="1BA84949"/>
    <w:rsid w:val="1C3F46C7"/>
    <w:rsid w:val="1E153080"/>
    <w:rsid w:val="201F13EF"/>
    <w:rsid w:val="21D94230"/>
    <w:rsid w:val="228A7A53"/>
    <w:rsid w:val="252F54BB"/>
    <w:rsid w:val="25FF65CF"/>
    <w:rsid w:val="278B5777"/>
    <w:rsid w:val="27FA3D2E"/>
    <w:rsid w:val="2A1A69A8"/>
    <w:rsid w:val="30573025"/>
    <w:rsid w:val="329E3EA3"/>
    <w:rsid w:val="335B278A"/>
    <w:rsid w:val="34603EF5"/>
    <w:rsid w:val="34C808C4"/>
    <w:rsid w:val="35F06B08"/>
    <w:rsid w:val="36E14E00"/>
    <w:rsid w:val="384B4234"/>
    <w:rsid w:val="3A090F25"/>
    <w:rsid w:val="3A69631D"/>
    <w:rsid w:val="3AB65BDF"/>
    <w:rsid w:val="3AB66A06"/>
    <w:rsid w:val="3AD0536F"/>
    <w:rsid w:val="3B9200E5"/>
    <w:rsid w:val="3CBA041E"/>
    <w:rsid w:val="3D873265"/>
    <w:rsid w:val="43F43652"/>
    <w:rsid w:val="44344E18"/>
    <w:rsid w:val="45501F6F"/>
    <w:rsid w:val="471D6E2E"/>
    <w:rsid w:val="47D56224"/>
    <w:rsid w:val="4A31496B"/>
    <w:rsid w:val="4AFC12FE"/>
    <w:rsid w:val="4D83633C"/>
    <w:rsid w:val="50351F31"/>
    <w:rsid w:val="515F2A06"/>
    <w:rsid w:val="53241C21"/>
    <w:rsid w:val="54801B99"/>
    <w:rsid w:val="56175B84"/>
    <w:rsid w:val="57F62965"/>
    <w:rsid w:val="584B6891"/>
    <w:rsid w:val="5877457A"/>
    <w:rsid w:val="58A737D0"/>
    <w:rsid w:val="58EC1008"/>
    <w:rsid w:val="5B47766D"/>
    <w:rsid w:val="5C0319EA"/>
    <w:rsid w:val="641B01B1"/>
    <w:rsid w:val="64DD3BD7"/>
    <w:rsid w:val="662B343F"/>
    <w:rsid w:val="68195C76"/>
    <w:rsid w:val="69305119"/>
    <w:rsid w:val="6FE21A59"/>
    <w:rsid w:val="714670E7"/>
    <w:rsid w:val="71A46F90"/>
    <w:rsid w:val="72E04D55"/>
    <w:rsid w:val="747E36F6"/>
    <w:rsid w:val="74CC78E6"/>
    <w:rsid w:val="77534F03"/>
    <w:rsid w:val="7A0B1FB8"/>
    <w:rsid w:val="7A593C8E"/>
    <w:rsid w:val="7A69398A"/>
    <w:rsid w:val="7AA74046"/>
    <w:rsid w:val="7B9361A0"/>
    <w:rsid w:val="7CA15635"/>
    <w:rsid w:val="7D327AC5"/>
    <w:rsid w:val="7E092BAE"/>
    <w:rsid w:val="7E7A6380"/>
    <w:rsid w:val="7F3A5F72"/>
    <w:rsid w:val="7F487573"/>
    <w:rsid w:val="7F853D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nhideWhenUsed="0" w:uiPriority="0" w:semiHidden="0" w:name="table of authorities"/>
    <w:lsdException w:uiPriority="99" w:name="macro" w:locked="1"/>
    <w:lsdException w:uiPriority="99" w:name="toa heading" w:locked="1"/>
    <w:lsdException w:qFormat="1" w:unhideWhenUsed="0" w:uiPriority="0" w:semiHidden="0" w:name="List"/>
    <w:lsdException w:qFormat="1" w:unhideWhenUsed="0" w:uiPriority="0"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0" w:semiHidden="0"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ocked="1"/>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qFormat="1" w:unhideWhenUsed="0" w:uiPriority="0" w:semiHidden="0" w:name="Body Text First Indent"/>
    <w:lsdException w:uiPriority="99"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sdException w:qFormat="1" w:unhideWhenUsed="0" w:uiPriority="0" w:semiHidden="0" w:name="Body Text Indent 3" w:locked="1"/>
    <w:lsdException w:qFormat="1" w:unhideWhenUsed="0" w:uiPriority="0" w:semiHidden="0" w:name="Block Text" w:locked="1"/>
    <w:lsdException w:qFormat="1" w:unhideWhenUsed="0" w:uiPriority="99" w:semiHidden="0" w:name="Hyperlink"/>
    <w:lsdException w:qFormat="1" w:unhideWhenUsed="0" w:uiPriority="0" w:semiHidden="0" w:name="FollowedHyperlink" w:locked="1"/>
    <w:lsdException w:qFormat="1" w:unhideWhenUsed="0" w:uiPriority="0" w:semiHidden="0" w:name="Strong"/>
    <w:lsdException w:qFormat="1" w:unhideWhenUsed="0" w:uiPriority="0" w:semiHidden="0" w:name="Emphasis"/>
    <w:lsdException w:qFormat="1" w:unhideWhenUsed="0" w:uiPriority="0"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qFormat="1" w:unhideWhenUsed="0" w:uiPriority="0" w:semiHidden="0"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2"/>
    <w:qFormat/>
    <w:uiPriority w:val="0"/>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7"/>
    <w:link w:val="89"/>
    <w:qFormat/>
    <w:uiPriority w:val="0"/>
    <w:pPr>
      <w:keepNext/>
      <w:keepLines/>
      <w:tabs>
        <w:tab w:val="left" w:pos="720"/>
      </w:tabs>
      <w:spacing w:before="260" w:afterLines="50" w:line="416" w:lineRule="auto"/>
      <w:ind w:left="720" w:hanging="720"/>
      <w:outlineLvl w:val="2"/>
    </w:pPr>
    <w:rPr>
      <w:rFonts w:ascii="Arial" w:hAnsi="Arial" w:eastAsia="黑体" w:cs="宋体"/>
      <w:color w:val="000000"/>
      <w:spacing w:val="20"/>
      <w:kern w:val="0"/>
      <w:sz w:val="30"/>
      <w:szCs w:val="32"/>
    </w:rPr>
  </w:style>
  <w:style w:type="paragraph" w:styleId="8">
    <w:name w:val="heading 4"/>
    <w:basedOn w:val="1"/>
    <w:next w:val="7"/>
    <w:link w:val="90"/>
    <w:qFormat/>
    <w:uiPriority w:val="0"/>
    <w:pPr>
      <w:keepNext/>
      <w:keepLines/>
      <w:tabs>
        <w:tab w:val="left" w:pos="1079"/>
      </w:tabs>
      <w:spacing w:before="280" w:afterLines="50" w:line="377" w:lineRule="auto"/>
      <w:ind w:left="1077" w:hanging="1077"/>
      <w:outlineLvl w:val="3"/>
    </w:pPr>
    <w:rPr>
      <w:rFonts w:ascii="Arial" w:hAnsi="Arial" w:eastAsia="黑体" w:cs="宋体"/>
      <w:color w:val="000000"/>
      <w:spacing w:val="10"/>
      <w:kern w:val="0"/>
      <w:sz w:val="28"/>
      <w:szCs w:val="28"/>
    </w:rPr>
  </w:style>
  <w:style w:type="paragraph" w:styleId="9">
    <w:name w:val="heading 5"/>
    <w:basedOn w:val="1"/>
    <w:next w:val="7"/>
    <w:link w:val="91"/>
    <w:qFormat/>
    <w:uiPriority w:val="0"/>
    <w:pPr>
      <w:keepNext/>
      <w:keepLines/>
      <w:tabs>
        <w:tab w:val="left" w:pos="1260"/>
      </w:tabs>
      <w:spacing w:before="280" w:afterLines="50" w:line="377" w:lineRule="auto"/>
      <w:ind w:left="1259" w:hanging="1259"/>
      <w:outlineLvl w:val="4"/>
    </w:pPr>
    <w:rPr>
      <w:rFonts w:ascii="Arial" w:hAnsi="Arial" w:eastAsia="黑体" w:cs="宋体"/>
      <w:color w:val="000000"/>
      <w:spacing w:val="10"/>
      <w:kern w:val="0"/>
      <w:sz w:val="28"/>
      <w:szCs w:val="28"/>
    </w:rPr>
  </w:style>
  <w:style w:type="paragraph" w:styleId="10">
    <w:name w:val="heading 6"/>
    <w:basedOn w:val="1"/>
    <w:next w:val="7"/>
    <w:link w:val="92"/>
    <w:qFormat/>
    <w:uiPriority w:val="0"/>
    <w:pPr>
      <w:keepNext/>
      <w:keepLines/>
      <w:tabs>
        <w:tab w:val="left" w:pos="1428"/>
      </w:tabs>
      <w:spacing w:before="240" w:afterLines="50" w:line="319" w:lineRule="auto"/>
      <w:ind w:left="550" w:hanging="550" w:hangingChars="550"/>
      <w:outlineLvl w:val="5"/>
    </w:pPr>
    <w:rPr>
      <w:rFonts w:ascii="Arial" w:hAnsi="Arial" w:eastAsia="黑体" w:cs="宋体"/>
      <w:color w:val="000000"/>
      <w:spacing w:val="10"/>
      <w:kern w:val="0"/>
      <w:sz w:val="24"/>
    </w:rPr>
  </w:style>
  <w:style w:type="paragraph" w:styleId="11">
    <w:name w:val="heading 7"/>
    <w:basedOn w:val="1"/>
    <w:next w:val="7"/>
    <w:link w:val="93"/>
    <w:qFormat/>
    <w:uiPriority w:val="0"/>
    <w:pPr>
      <w:keepNext/>
      <w:keepLines/>
      <w:tabs>
        <w:tab w:val="left" w:pos="1638"/>
      </w:tabs>
      <w:spacing w:before="240" w:afterLines="50" w:line="319" w:lineRule="auto"/>
      <w:ind w:left="1633" w:hanging="1633"/>
      <w:outlineLvl w:val="6"/>
    </w:pPr>
    <w:rPr>
      <w:rFonts w:ascii="Arial" w:hAnsi="Arial" w:eastAsia="黑体" w:cs="宋体"/>
      <w:color w:val="000000"/>
      <w:kern w:val="0"/>
      <w:sz w:val="24"/>
    </w:rPr>
  </w:style>
  <w:style w:type="paragraph" w:styleId="12">
    <w:name w:val="heading 8"/>
    <w:basedOn w:val="1"/>
    <w:next w:val="7"/>
    <w:link w:val="94"/>
    <w:qFormat/>
    <w:uiPriority w:val="0"/>
    <w:pPr>
      <w:keepNext/>
      <w:keepLines/>
      <w:tabs>
        <w:tab w:val="left" w:pos="1800"/>
      </w:tabs>
      <w:spacing w:before="240" w:afterLines="50" w:line="319" w:lineRule="auto"/>
      <w:ind w:left="1797" w:hanging="1797"/>
      <w:outlineLvl w:val="7"/>
    </w:pPr>
    <w:rPr>
      <w:rFonts w:ascii="Arial" w:hAnsi="Arial" w:eastAsia="黑体" w:cs="宋体"/>
      <w:b/>
      <w:bCs/>
      <w:color w:val="000000"/>
      <w:kern w:val="0"/>
      <w:sz w:val="24"/>
    </w:rPr>
  </w:style>
  <w:style w:type="paragraph" w:styleId="13">
    <w:name w:val="heading 9"/>
    <w:basedOn w:val="1"/>
    <w:next w:val="7"/>
    <w:link w:val="95"/>
    <w:qFormat/>
    <w:uiPriority w:val="0"/>
    <w:pPr>
      <w:keepNext/>
      <w:keepLines/>
      <w:tabs>
        <w:tab w:val="left" w:pos="1980"/>
      </w:tabs>
      <w:spacing w:before="240" w:afterLines="50" w:line="319" w:lineRule="auto"/>
      <w:ind w:left="1979" w:hanging="1979"/>
      <w:outlineLvl w:val="8"/>
    </w:pPr>
    <w:rPr>
      <w:rFonts w:ascii="Arial" w:hAnsi="Arial" w:eastAsia="黑体" w:cs="宋体"/>
      <w:b/>
      <w:bCs/>
      <w:color w:val="000000"/>
      <w:kern w:val="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style>
  <w:style w:type="paragraph" w:styleId="3">
    <w:name w:val="Body Text"/>
    <w:basedOn w:val="1"/>
    <w:next w:val="2"/>
    <w:link w:val="53"/>
    <w:qFormat/>
    <w:uiPriority w:val="0"/>
  </w:style>
  <w:style w:type="paragraph" w:styleId="7">
    <w:name w:val="Normal Indent"/>
    <w:basedOn w:val="1"/>
    <w:link w:val="65"/>
    <w:qFormat/>
    <w:uiPriority w:val="0"/>
    <w:pPr>
      <w:ind w:firstLine="420" w:firstLineChars="200"/>
    </w:pPr>
    <w:rPr>
      <w:rFonts w:ascii="仿宋_GB2312" w:hAnsi="宋体" w:eastAsia="仿宋_GB2312" w:cs="仿宋_GB2312"/>
      <w:b/>
      <w:bCs/>
      <w:color w:val="000000"/>
      <w:kern w:val="0"/>
    </w:rPr>
  </w:style>
  <w:style w:type="paragraph" w:styleId="14">
    <w:name w:val="caption"/>
    <w:basedOn w:val="1"/>
    <w:next w:val="1"/>
    <w:qFormat/>
    <w:uiPriority w:val="0"/>
    <w:rPr>
      <w:rFonts w:ascii="Arial" w:hAnsi="Arial" w:eastAsia="黑体" w:cs="Arial"/>
      <w:color w:val="000000"/>
      <w:kern w:val="1"/>
      <w:sz w:val="20"/>
      <w:szCs w:val="20"/>
    </w:rPr>
  </w:style>
  <w:style w:type="paragraph" w:styleId="15">
    <w:name w:val="List Bullet"/>
    <w:basedOn w:val="1"/>
    <w:qFormat/>
    <w:uiPriority w:val="0"/>
    <w:pPr>
      <w:spacing w:line="360" w:lineRule="auto"/>
    </w:pPr>
    <w:rPr>
      <w:rFonts w:ascii="宋体" w:hAnsi="宋体"/>
      <w:sz w:val="20"/>
      <w:szCs w:val="20"/>
    </w:rPr>
  </w:style>
  <w:style w:type="paragraph" w:styleId="16">
    <w:name w:val="Document Map"/>
    <w:basedOn w:val="1"/>
    <w:link w:val="96"/>
    <w:semiHidden/>
    <w:qFormat/>
    <w:locked/>
    <w:uiPriority w:val="0"/>
    <w:pPr>
      <w:shd w:val="clear" w:color="auto" w:fill="000080"/>
    </w:pPr>
    <w:rPr>
      <w:szCs w:val="24"/>
    </w:rPr>
  </w:style>
  <w:style w:type="paragraph" w:styleId="17">
    <w:name w:val="annotation text"/>
    <w:basedOn w:val="1"/>
    <w:link w:val="55"/>
    <w:qFormat/>
    <w:uiPriority w:val="0"/>
    <w:pPr>
      <w:jc w:val="left"/>
    </w:pPr>
  </w:style>
  <w:style w:type="paragraph" w:styleId="18">
    <w:name w:val="Body Text Indent"/>
    <w:basedOn w:val="1"/>
    <w:link w:val="56"/>
    <w:qFormat/>
    <w:uiPriority w:val="0"/>
    <w:pPr>
      <w:ind w:left="480" w:hanging="480" w:hangingChars="200"/>
    </w:pPr>
    <w:rPr>
      <w:sz w:val="24"/>
      <w:szCs w:val="24"/>
    </w:rPr>
  </w:style>
  <w:style w:type="paragraph" w:styleId="19">
    <w:name w:val="List Number 3"/>
    <w:basedOn w:val="1"/>
    <w:qFormat/>
    <w:locked/>
    <w:uiPriority w:val="0"/>
    <w:pPr>
      <w:widowControl/>
      <w:tabs>
        <w:tab w:val="left" w:pos="2260"/>
      </w:tabs>
      <w:spacing w:afterLines="50"/>
      <w:ind w:left="2260" w:hanging="340"/>
      <w:jc w:val="left"/>
    </w:pPr>
    <w:rPr>
      <w:kern w:val="0"/>
      <w:sz w:val="24"/>
      <w:szCs w:val="20"/>
    </w:rPr>
  </w:style>
  <w:style w:type="paragraph" w:styleId="20">
    <w:name w:val="List Continue"/>
    <w:basedOn w:val="1"/>
    <w:qFormat/>
    <w:locked/>
    <w:uiPriority w:val="0"/>
    <w:pPr>
      <w:spacing w:after="120"/>
      <w:ind w:left="420"/>
    </w:pPr>
    <w:rPr>
      <w:rFonts w:eastAsia="楷体_GB2312"/>
      <w:sz w:val="32"/>
      <w:szCs w:val="20"/>
    </w:rPr>
  </w:style>
  <w:style w:type="paragraph" w:styleId="21">
    <w:name w:val="Block Text"/>
    <w:basedOn w:val="1"/>
    <w:qFormat/>
    <w:locked/>
    <w:uiPriority w:val="0"/>
    <w:pPr>
      <w:spacing w:after="120"/>
      <w:ind w:left="1440" w:leftChars="700" w:right="1440" w:rightChars="700"/>
    </w:pPr>
    <w:rPr>
      <w:szCs w:val="22"/>
    </w:rPr>
  </w:style>
  <w:style w:type="paragraph" w:styleId="22">
    <w:name w:val="toc 3"/>
    <w:basedOn w:val="1"/>
    <w:next w:val="1"/>
    <w:semiHidden/>
    <w:qFormat/>
    <w:uiPriority w:val="0"/>
    <w:pPr>
      <w:tabs>
        <w:tab w:val="right" w:leader="dot" w:pos="8777"/>
      </w:tabs>
      <w:spacing w:line="500" w:lineRule="atLeast"/>
      <w:ind w:left="540" w:leftChars="257"/>
    </w:pPr>
  </w:style>
  <w:style w:type="paragraph" w:styleId="23">
    <w:name w:val="Plain Text"/>
    <w:basedOn w:val="1"/>
    <w:link w:val="57"/>
    <w:qFormat/>
    <w:uiPriority w:val="0"/>
    <w:pPr>
      <w:widowControl/>
      <w:overflowPunct w:val="0"/>
      <w:autoSpaceDE w:val="0"/>
      <w:autoSpaceDN w:val="0"/>
      <w:adjustRightInd w:val="0"/>
      <w:jc w:val="left"/>
      <w:textAlignment w:val="baseline"/>
    </w:pPr>
    <w:rPr>
      <w:rFonts w:ascii="宋体" w:hAnsi="Courier New" w:cs="宋体"/>
      <w:kern w:val="0"/>
    </w:rPr>
  </w:style>
  <w:style w:type="paragraph" w:styleId="24">
    <w:name w:val="Date"/>
    <w:basedOn w:val="1"/>
    <w:next w:val="1"/>
    <w:link w:val="97"/>
    <w:qFormat/>
    <w:locked/>
    <w:uiPriority w:val="0"/>
    <w:pPr>
      <w:ind w:left="100" w:leftChars="2500"/>
    </w:pPr>
    <w:rPr>
      <w:rFonts w:ascii="仿宋_GB2312" w:hAnsi="宋体" w:eastAsia="仿宋_GB2312" w:cs="宋体"/>
      <w:b/>
      <w:bCs/>
      <w:color w:val="000000"/>
      <w:kern w:val="0"/>
      <w:sz w:val="24"/>
    </w:rPr>
  </w:style>
  <w:style w:type="paragraph" w:styleId="25">
    <w:name w:val="Body Text Indent 2"/>
    <w:basedOn w:val="1"/>
    <w:link w:val="58"/>
    <w:qFormat/>
    <w:uiPriority w:val="0"/>
    <w:pPr>
      <w:widowControl/>
      <w:spacing w:line="480" w:lineRule="atLeast"/>
      <w:ind w:firstLine="480"/>
    </w:pPr>
    <w:rPr>
      <w:rFonts w:ascii="宋体" w:hAnsi="宋体" w:eastAsia="仿宋_GB2312" w:cs="宋体"/>
      <w:b/>
      <w:bCs/>
      <w:color w:val="000000"/>
      <w:kern w:val="0"/>
      <w:sz w:val="24"/>
      <w:szCs w:val="24"/>
    </w:rPr>
  </w:style>
  <w:style w:type="paragraph" w:styleId="26">
    <w:name w:val="Balloon Text"/>
    <w:basedOn w:val="1"/>
    <w:link w:val="59"/>
    <w:semiHidden/>
    <w:qFormat/>
    <w:uiPriority w:val="0"/>
    <w:rPr>
      <w:sz w:val="18"/>
      <w:szCs w:val="18"/>
    </w:rPr>
  </w:style>
  <w:style w:type="paragraph" w:styleId="27">
    <w:name w:val="footer"/>
    <w:basedOn w:val="1"/>
    <w:link w:val="60"/>
    <w:qFormat/>
    <w:uiPriority w:val="0"/>
    <w:pPr>
      <w:tabs>
        <w:tab w:val="center" w:pos="4153"/>
        <w:tab w:val="right" w:pos="8306"/>
      </w:tabs>
      <w:snapToGrid w:val="0"/>
      <w:jc w:val="left"/>
    </w:pPr>
    <w:rPr>
      <w:sz w:val="18"/>
      <w:szCs w:val="18"/>
    </w:rPr>
  </w:style>
  <w:style w:type="paragraph" w:styleId="28">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777"/>
      </w:tabs>
      <w:spacing w:line="500" w:lineRule="exact"/>
      <w:jc w:val="left"/>
    </w:pPr>
  </w:style>
  <w:style w:type="paragraph" w:styleId="30">
    <w:name w:val="Subtitle"/>
    <w:basedOn w:val="1"/>
    <w:next w:val="1"/>
    <w:link w:val="62"/>
    <w:qFormat/>
    <w:uiPriority w:val="0"/>
    <w:pPr>
      <w:spacing w:before="240" w:after="60" w:line="312" w:lineRule="auto"/>
      <w:jc w:val="center"/>
      <w:outlineLvl w:val="1"/>
    </w:pPr>
    <w:rPr>
      <w:rFonts w:ascii="Cambria" w:hAnsi="Cambria" w:cs="Cambria"/>
      <w:b/>
      <w:bCs/>
      <w:kern w:val="28"/>
      <w:sz w:val="32"/>
      <w:szCs w:val="32"/>
    </w:rPr>
  </w:style>
  <w:style w:type="paragraph" w:styleId="31">
    <w:name w:val="List"/>
    <w:basedOn w:val="1"/>
    <w:qFormat/>
    <w:uiPriority w:val="0"/>
    <w:pPr>
      <w:ind w:left="420" w:hanging="420"/>
    </w:pPr>
    <w:rPr>
      <w:rFonts w:eastAsia="楷体_GB2312"/>
      <w:sz w:val="32"/>
      <w:szCs w:val="20"/>
    </w:rPr>
  </w:style>
  <w:style w:type="paragraph" w:styleId="32">
    <w:name w:val="footnote text"/>
    <w:basedOn w:val="1"/>
    <w:link w:val="98"/>
    <w:qFormat/>
    <w:locked/>
    <w:uiPriority w:val="0"/>
    <w:pPr>
      <w:snapToGrid w:val="0"/>
      <w:jc w:val="left"/>
    </w:pPr>
    <w:rPr>
      <w:sz w:val="18"/>
      <w:szCs w:val="24"/>
    </w:rPr>
  </w:style>
  <w:style w:type="paragraph" w:styleId="33">
    <w:name w:val="toc 6"/>
    <w:basedOn w:val="1"/>
    <w:next w:val="1"/>
    <w:qFormat/>
    <w:uiPriority w:val="0"/>
    <w:pPr>
      <w:ind w:left="2100" w:leftChars="1000"/>
    </w:pPr>
    <w:rPr>
      <w:rFonts w:ascii="仿宋_GB2312" w:hAnsi="宋体" w:eastAsia="仿宋_GB2312" w:cs="宋体"/>
      <w:b/>
      <w:bCs/>
      <w:color w:val="000000"/>
      <w:kern w:val="0"/>
    </w:rPr>
  </w:style>
  <w:style w:type="paragraph" w:styleId="34">
    <w:name w:val="Body Text Indent 3"/>
    <w:basedOn w:val="1"/>
    <w:link w:val="99"/>
    <w:qFormat/>
    <w:locked/>
    <w:uiPriority w:val="0"/>
    <w:pPr>
      <w:spacing w:after="120"/>
      <w:ind w:left="420" w:leftChars="200"/>
    </w:pPr>
    <w:rPr>
      <w:rFonts w:ascii="仿宋_GB2312" w:hAnsi="宋体" w:eastAsia="仿宋_GB2312" w:cs="宋体"/>
      <w:b/>
      <w:bCs/>
      <w:color w:val="000000"/>
      <w:kern w:val="0"/>
      <w:sz w:val="16"/>
      <w:szCs w:val="16"/>
    </w:rPr>
  </w:style>
  <w:style w:type="paragraph" w:styleId="35">
    <w:name w:val="toc 2"/>
    <w:basedOn w:val="1"/>
    <w:next w:val="1"/>
    <w:qFormat/>
    <w:uiPriority w:val="39"/>
    <w:pPr>
      <w:tabs>
        <w:tab w:val="right" w:leader="dot" w:pos="8777"/>
      </w:tabs>
      <w:spacing w:line="500" w:lineRule="atLeast"/>
      <w:ind w:left="420" w:leftChars="200" w:firstLine="120" w:firstLineChars="50"/>
    </w:pPr>
  </w:style>
  <w:style w:type="paragraph" w:styleId="36">
    <w:name w:val="Body Text 2"/>
    <w:basedOn w:val="1"/>
    <w:link w:val="100"/>
    <w:qFormat/>
    <w:locked/>
    <w:uiPriority w:val="0"/>
    <w:pPr>
      <w:spacing w:after="120" w:line="480" w:lineRule="auto"/>
    </w:pPr>
    <w:rPr>
      <w:szCs w:val="24"/>
    </w:rPr>
  </w:style>
  <w:style w:type="paragraph" w:styleId="37">
    <w:name w:val="HTML Preformatted"/>
    <w:basedOn w:val="1"/>
    <w:link w:val="10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8">
    <w:name w:val="Normal (Web)"/>
    <w:basedOn w:val="1"/>
    <w:link w:val="88"/>
    <w:qFormat/>
    <w:uiPriority w:val="99"/>
    <w:pPr>
      <w:widowControl/>
      <w:spacing w:before="100" w:beforeAutospacing="1" w:after="100" w:afterAutospacing="1"/>
      <w:jc w:val="left"/>
    </w:pPr>
    <w:rPr>
      <w:rFonts w:ascii="宋体" w:hAnsi="宋体" w:cs="宋体"/>
      <w:kern w:val="0"/>
      <w:sz w:val="24"/>
      <w:szCs w:val="24"/>
    </w:rPr>
  </w:style>
  <w:style w:type="paragraph" w:styleId="39">
    <w:name w:val="Title"/>
    <w:basedOn w:val="1"/>
    <w:next w:val="1"/>
    <w:link w:val="63"/>
    <w:qFormat/>
    <w:uiPriority w:val="0"/>
    <w:pPr>
      <w:spacing w:before="240" w:after="60"/>
      <w:jc w:val="center"/>
      <w:outlineLvl w:val="0"/>
    </w:pPr>
    <w:rPr>
      <w:rFonts w:ascii="Cambria" w:hAnsi="Cambria" w:cs="Cambria"/>
      <w:b/>
      <w:bCs/>
      <w:sz w:val="32"/>
      <w:szCs w:val="32"/>
    </w:rPr>
  </w:style>
  <w:style w:type="paragraph" w:styleId="40">
    <w:name w:val="annotation subject"/>
    <w:basedOn w:val="17"/>
    <w:next w:val="17"/>
    <w:link w:val="64"/>
    <w:qFormat/>
    <w:uiPriority w:val="0"/>
    <w:rPr>
      <w:b/>
      <w:bCs/>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4">
    <w:name w:val="Strong"/>
    <w:basedOn w:val="43"/>
    <w:qFormat/>
    <w:uiPriority w:val="0"/>
    <w:rPr>
      <w:b/>
      <w:bCs/>
    </w:rPr>
  </w:style>
  <w:style w:type="character" w:styleId="45">
    <w:name w:val="page number"/>
    <w:basedOn w:val="43"/>
    <w:qFormat/>
    <w:uiPriority w:val="0"/>
  </w:style>
  <w:style w:type="character" w:styleId="46">
    <w:name w:val="FollowedHyperlink"/>
    <w:qFormat/>
    <w:locked/>
    <w:uiPriority w:val="0"/>
    <w:rPr>
      <w:color w:val="800080"/>
      <w:u w:val="single"/>
    </w:rPr>
  </w:style>
  <w:style w:type="character" w:styleId="47">
    <w:name w:val="Emphasis"/>
    <w:basedOn w:val="43"/>
    <w:qFormat/>
    <w:uiPriority w:val="0"/>
    <w:rPr>
      <w:i/>
      <w:iCs/>
    </w:rPr>
  </w:style>
  <w:style w:type="character" w:styleId="48">
    <w:name w:val="Hyperlink"/>
    <w:basedOn w:val="43"/>
    <w:qFormat/>
    <w:uiPriority w:val="99"/>
    <w:rPr>
      <w:color w:val="0000FF"/>
      <w:u w:val="single"/>
    </w:rPr>
  </w:style>
  <w:style w:type="character" w:styleId="49">
    <w:name w:val="annotation reference"/>
    <w:basedOn w:val="43"/>
    <w:qFormat/>
    <w:uiPriority w:val="0"/>
    <w:rPr>
      <w:sz w:val="21"/>
      <w:szCs w:val="21"/>
    </w:rPr>
  </w:style>
  <w:style w:type="character" w:styleId="50">
    <w:name w:val="HTML Keyboard"/>
    <w:qFormat/>
    <w:locked/>
    <w:uiPriority w:val="0"/>
    <w:rPr>
      <w:rFonts w:ascii="monospace" w:hAnsi="monospace" w:eastAsia="monospace" w:cs="monospace"/>
      <w:sz w:val="21"/>
      <w:szCs w:val="21"/>
    </w:rPr>
  </w:style>
  <w:style w:type="character" w:customStyle="1" w:styleId="51">
    <w:name w:val="标题 1 字符"/>
    <w:basedOn w:val="43"/>
    <w:link w:val="4"/>
    <w:qFormat/>
    <w:locked/>
    <w:uiPriority w:val="0"/>
    <w:rPr>
      <w:b/>
      <w:bCs/>
      <w:kern w:val="44"/>
      <w:sz w:val="44"/>
      <w:szCs w:val="44"/>
    </w:rPr>
  </w:style>
  <w:style w:type="character" w:customStyle="1" w:styleId="52">
    <w:name w:val="标题 2 字符"/>
    <w:basedOn w:val="43"/>
    <w:link w:val="5"/>
    <w:qFormat/>
    <w:locked/>
    <w:uiPriority w:val="0"/>
    <w:rPr>
      <w:rFonts w:ascii="Arial" w:hAnsi="Arial" w:eastAsia="黑体" w:cs="Arial"/>
      <w:b/>
      <w:bCs/>
      <w:kern w:val="2"/>
      <w:sz w:val="32"/>
      <w:szCs w:val="32"/>
    </w:rPr>
  </w:style>
  <w:style w:type="character" w:customStyle="1" w:styleId="53">
    <w:name w:val="正文文本 字符"/>
    <w:basedOn w:val="43"/>
    <w:link w:val="3"/>
    <w:semiHidden/>
    <w:qFormat/>
    <w:locked/>
    <w:uiPriority w:val="99"/>
    <w:rPr>
      <w:sz w:val="21"/>
      <w:szCs w:val="21"/>
    </w:rPr>
  </w:style>
  <w:style w:type="character" w:customStyle="1" w:styleId="54">
    <w:name w:val="正文文本首行缩进 字符"/>
    <w:basedOn w:val="53"/>
    <w:link w:val="2"/>
    <w:semiHidden/>
    <w:qFormat/>
    <w:locked/>
    <w:uiPriority w:val="99"/>
    <w:rPr>
      <w:sz w:val="21"/>
      <w:szCs w:val="21"/>
    </w:rPr>
  </w:style>
  <w:style w:type="character" w:customStyle="1" w:styleId="55">
    <w:name w:val="批注文字 字符"/>
    <w:basedOn w:val="43"/>
    <w:link w:val="17"/>
    <w:semiHidden/>
    <w:qFormat/>
    <w:locked/>
    <w:uiPriority w:val="0"/>
    <w:rPr>
      <w:kern w:val="2"/>
      <w:sz w:val="24"/>
      <w:szCs w:val="24"/>
    </w:rPr>
  </w:style>
  <w:style w:type="character" w:customStyle="1" w:styleId="56">
    <w:name w:val="正文文本缩进 字符"/>
    <w:basedOn w:val="43"/>
    <w:link w:val="18"/>
    <w:semiHidden/>
    <w:qFormat/>
    <w:locked/>
    <w:uiPriority w:val="0"/>
    <w:rPr>
      <w:sz w:val="21"/>
      <w:szCs w:val="21"/>
    </w:rPr>
  </w:style>
  <w:style w:type="character" w:customStyle="1" w:styleId="57">
    <w:name w:val="纯文本 字符"/>
    <w:basedOn w:val="43"/>
    <w:link w:val="23"/>
    <w:qFormat/>
    <w:locked/>
    <w:uiPriority w:val="0"/>
    <w:rPr>
      <w:rFonts w:ascii="宋体" w:hAnsi="Courier New" w:eastAsia="宋体" w:cs="宋体"/>
      <w:sz w:val="21"/>
      <w:szCs w:val="21"/>
      <w:lang w:val="en-US" w:eastAsia="zh-CN"/>
    </w:rPr>
  </w:style>
  <w:style w:type="character" w:customStyle="1" w:styleId="58">
    <w:name w:val="正文文本缩进 2 字符"/>
    <w:basedOn w:val="43"/>
    <w:link w:val="25"/>
    <w:qFormat/>
    <w:locked/>
    <w:uiPriority w:val="0"/>
    <w:rPr>
      <w:rFonts w:ascii="宋体" w:hAnsi="宋体" w:eastAsia="仿宋_GB2312" w:cs="宋体"/>
      <w:b/>
      <w:bCs/>
      <w:color w:val="000000"/>
      <w:sz w:val="24"/>
      <w:szCs w:val="24"/>
    </w:rPr>
  </w:style>
  <w:style w:type="character" w:customStyle="1" w:styleId="59">
    <w:name w:val="批注框文本 字符"/>
    <w:basedOn w:val="43"/>
    <w:link w:val="26"/>
    <w:semiHidden/>
    <w:qFormat/>
    <w:locked/>
    <w:uiPriority w:val="99"/>
    <w:rPr>
      <w:sz w:val="2"/>
      <w:szCs w:val="2"/>
    </w:rPr>
  </w:style>
  <w:style w:type="character" w:customStyle="1" w:styleId="60">
    <w:name w:val="页脚 字符"/>
    <w:basedOn w:val="43"/>
    <w:link w:val="27"/>
    <w:qFormat/>
    <w:locked/>
    <w:uiPriority w:val="0"/>
    <w:rPr>
      <w:kern w:val="2"/>
      <w:sz w:val="18"/>
      <w:szCs w:val="18"/>
    </w:rPr>
  </w:style>
  <w:style w:type="character" w:customStyle="1" w:styleId="61">
    <w:name w:val="页眉 字符"/>
    <w:basedOn w:val="43"/>
    <w:link w:val="28"/>
    <w:qFormat/>
    <w:locked/>
    <w:uiPriority w:val="0"/>
    <w:rPr>
      <w:kern w:val="2"/>
      <w:sz w:val="18"/>
      <w:szCs w:val="18"/>
    </w:rPr>
  </w:style>
  <w:style w:type="character" w:customStyle="1" w:styleId="62">
    <w:name w:val="副标题 字符"/>
    <w:basedOn w:val="43"/>
    <w:link w:val="30"/>
    <w:qFormat/>
    <w:locked/>
    <w:uiPriority w:val="0"/>
    <w:rPr>
      <w:rFonts w:ascii="Cambria" w:hAnsi="Cambria" w:cs="Cambria"/>
      <w:b/>
      <w:bCs/>
      <w:kern w:val="28"/>
      <w:sz w:val="32"/>
      <w:szCs w:val="32"/>
    </w:rPr>
  </w:style>
  <w:style w:type="character" w:customStyle="1" w:styleId="63">
    <w:name w:val="标题 字符"/>
    <w:basedOn w:val="43"/>
    <w:link w:val="39"/>
    <w:qFormat/>
    <w:locked/>
    <w:uiPriority w:val="0"/>
    <w:rPr>
      <w:rFonts w:ascii="Cambria" w:hAnsi="Cambria" w:cs="Cambria"/>
      <w:b/>
      <w:bCs/>
      <w:kern w:val="2"/>
      <w:sz w:val="32"/>
      <w:szCs w:val="32"/>
    </w:rPr>
  </w:style>
  <w:style w:type="character" w:customStyle="1" w:styleId="64">
    <w:name w:val="批注主题 字符"/>
    <w:basedOn w:val="55"/>
    <w:link w:val="40"/>
    <w:semiHidden/>
    <w:qFormat/>
    <w:locked/>
    <w:uiPriority w:val="0"/>
    <w:rPr>
      <w:b/>
      <w:bCs/>
      <w:kern w:val="2"/>
      <w:sz w:val="24"/>
      <w:szCs w:val="24"/>
    </w:rPr>
  </w:style>
  <w:style w:type="character" w:customStyle="1" w:styleId="65">
    <w:name w:val="正文缩进 字符"/>
    <w:link w:val="7"/>
    <w:qFormat/>
    <w:locked/>
    <w:uiPriority w:val="0"/>
    <w:rPr>
      <w:rFonts w:ascii="仿宋_GB2312" w:hAnsi="宋体" w:eastAsia="仿宋_GB2312" w:cs="仿宋_GB2312"/>
      <w:b/>
      <w:bCs/>
      <w:color w:val="000000"/>
      <w:sz w:val="21"/>
      <w:szCs w:val="21"/>
      <w:lang w:val="en-US" w:eastAsia="zh-CN"/>
    </w:rPr>
  </w:style>
  <w:style w:type="character" w:customStyle="1" w:styleId="66">
    <w:name w:val="Char Char5"/>
    <w:qFormat/>
    <w:uiPriority w:val="0"/>
    <w:rPr>
      <w:rFonts w:ascii="Arial" w:hAnsi="Arial" w:eastAsia="宋体" w:cs="Arial"/>
      <w:b/>
      <w:bCs/>
      <w:color w:val="000000"/>
      <w:sz w:val="32"/>
      <w:szCs w:val="32"/>
      <w:lang w:val="en-US" w:eastAsia="zh-CN"/>
    </w:rPr>
  </w:style>
  <w:style w:type="paragraph" w:customStyle="1" w:styleId="67">
    <w:name w:val="p16"/>
    <w:basedOn w:val="1"/>
    <w:qFormat/>
    <w:uiPriority w:val="0"/>
    <w:pPr>
      <w:widowControl/>
    </w:pPr>
    <w:rPr>
      <w:rFonts w:ascii="Calibri" w:hAnsi="Calibri" w:cs="Calibri"/>
      <w:kern w:val="0"/>
    </w:rPr>
  </w:style>
  <w:style w:type="paragraph" w:styleId="68">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Char Char Char Char Char Char Char"/>
    <w:basedOn w:val="1"/>
    <w:qFormat/>
    <w:uiPriority w:val="0"/>
    <w:rPr>
      <w:rFonts w:ascii="仿宋_GB2312" w:eastAsia="仿宋_GB2312" w:cs="仿宋_GB2312"/>
      <w:b/>
      <w:bCs/>
      <w:sz w:val="32"/>
      <w:szCs w:val="32"/>
    </w:rPr>
  </w:style>
  <w:style w:type="paragraph" w:customStyle="1" w:styleId="70">
    <w:name w:val="p15"/>
    <w:basedOn w:val="1"/>
    <w:qFormat/>
    <w:uiPriority w:val="0"/>
    <w:pPr>
      <w:widowControl/>
      <w:ind w:firstLine="420"/>
    </w:pPr>
    <w:rPr>
      <w:rFonts w:ascii="Calibri" w:hAnsi="Calibri" w:cs="Calibri"/>
      <w:kern w:val="0"/>
    </w:rPr>
  </w:style>
  <w:style w:type="paragraph" w:customStyle="1" w:styleId="71">
    <w:name w:val="Char Char"/>
    <w:basedOn w:val="1"/>
    <w:qFormat/>
    <w:uiPriority w:val="0"/>
    <w:pPr>
      <w:spacing w:line="360" w:lineRule="auto"/>
    </w:pPr>
    <w:rPr>
      <w:rFonts w:ascii="Tahoma" w:hAnsi="Tahoma" w:cs="Tahoma"/>
      <w:sz w:val="24"/>
      <w:szCs w:val="24"/>
    </w:rPr>
  </w:style>
  <w:style w:type="paragraph" w:customStyle="1" w:styleId="7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b/>
      <w:bCs/>
      <w:kern w:val="0"/>
      <w:sz w:val="28"/>
      <w:szCs w:val="28"/>
    </w:rPr>
  </w:style>
  <w:style w:type="paragraph" w:customStyle="1" w:styleId="73">
    <w:name w:val="[Normal]"/>
    <w:qFormat/>
    <w:uiPriority w:val="0"/>
    <w:rPr>
      <w:rFonts w:ascii="宋体" w:hAnsi="宋体" w:eastAsia="宋体" w:cs="宋体"/>
      <w:sz w:val="24"/>
      <w:szCs w:val="24"/>
      <w:lang w:val="zh-CN" w:eastAsia="zh-CN" w:bidi="ar-SA"/>
    </w:rPr>
  </w:style>
  <w:style w:type="paragraph" w:styleId="74">
    <w:name w:val="List Paragraph"/>
    <w:basedOn w:val="1"/>
    <w:qFormat/>
    <w:uiPriority w:val="99"/>
    <w:pPr>
      <w:ind w:firstLine="420" w:firstLineChars="200"/>
    </w:pPr>
  </w:style>
  <w:style w:type="paragraph" w:customStyle="1" w:styleId="75">
    <w:name w:val="纯文本2"/>
    <w:basedOn w:val="1"/>
    <w:qFormat/>
    <w:uiPriority w:val="0"/>
    <w:pPr>
      <w:adjustRightInd w:val="0"/>
      <w:snapToGrid w:val="0"/>
      <w:spacing w:line="288" w:lineRule="auto"/>
      <w:ind w:firstLine="200" w:firstLineChars="200"/>
    </w:pPr>
    <w:rPr>
      <w:rFonts w:ascii="宋体" w:hAnsi="Courier New" w:cs="宋体"/>
    </w:rPr>
  </w:style>
  <w:style w:type="paragraph" w:customStyle="1" w:styleId="76">
    <w:name w:val="正文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Table Paragraph"/>
    <w:basedOn w:val="1"/>
    <w:qFormat/>
    <w:uiPriority w:val="1"/>
    <w:pPr>
      <w:widowControl/>
      <w:autoSpaceDE w:val="0"/>
      <w:autoSpaceDN w:val="0"/>
      <w:spacing w:line="360" w:lineRule="auto"/>
      <w:jc w:val="left"/>
    </w:pPr>
    <w:rPr>
      <w:rFonts w:ascii="宋体" w:hAnsi="宋体" w:cs="宋体"/>
      <w:kern w:val="0"/>
      <w:sz w:val="22"/>
      <w:szCs w:val="22"/>
      <w:lang w:val="zh-CN"/>
    </w:rPr>
  </w:style>
  <w:style w:type="character" w:customStyle="1" w:styleId="78">
    <w:name w:val="纯文本 Char2"/>
    <w:qFormat/>
    <w:uiPriority w:val="0"/>
    <w:rPr>
      <w:rFonts w:ascii="宋体" w:hAnsi="Courier New" w:eastAsia="仿宋_GB2312" w:cs="宋体"/>
      <w:b/>
      <w:bCs/>
      <w:color w:val="000000"/>
      <w:sz w:val="21"/>
      <w:szCs w:val="21"/>
      <w:lang w:val="en-US" w:eastAsia="zh-CN"/>
    </w:rPr>
  </w:style>
  <w:style w:type="character" w:customStyle="1" w:styleId="79">
    <w:name w:val="NormalCharacter"/>
    <w:qFormat/>
    <w:uiPriority w:val="0"/>
  </w:style>
  <w:style w:type="paragraph" w:customStyle="1" w:styleId="80">
    <w:name w:val="列出段落3"/>
    <w:basedOn w:val="1"/>
    <w:qFormat/>
    <w:uiPriority w:val="0"/>
    <w:pPr>
      <w:spacing w:line="360" w:lineRule="auto"/>
      <w:ind w:firstLine="420" w:firstLineChars="200"/>
    </w:pPr>
    <w:rPr>
      <w:rFonts w:ascii="Calibri" w:hAnsi="Calibri" w:cs="Calibri"/>
      <w:sz w:val="24"/>
      <w:szCs w:val="24"/>
    </w:rPr>
  </w:style>
  <w:style w:type="character" w:customStyle="1" w:styleId="81">
    <w:name w:val="纯文本 Char1"/>
    <w:qFormat/>
    <w:uiPriority w:val="0"/>
    <w:rPr>
      <w:rFonts w:ascii="宋体" w:hAnsi="Courier New" w:eastAsia="仿宋_GB2312" w:cs="宋体"/>
      <w:b/>
      <w:bCs/>
      <w:color w:val="000000"/>
    </w:rPr>
  </w:style>
  <w:style w:type="character" w:customStyle="1" w:styleId="82">
    <w:name w:val="skancount"/>
    <w:basedOn w:val="43"/>
    <w:qFormat/>
    <w:uiPriority w:val="0"/>
  </w:style>
  <w:style w:type="character" w:customStyle="1" w:styleId="83">
    <w:name w:val="bookmark-item"/>
    <w:basedOn w:val="43"/>
    <w:qFormat/>
    <w:uiPriority w:val="0"/>
  </w:style>
  <w:style w:type="paragraph" w:customStyle="1" w:styleId="84">
    <w:name w:val="_Style 3"/>
    <w:basedOn w:val="1"/>
    <w:qFormat/>
    <w:uiPriority w:val="99"/>
    <w:pPr>
      <w:ind w:firstLine="420" w:firstLineChars="200"/>
    </w:pPr>
  </w:style>
  <w:style w:type="paragraph" w:customStyle="1" w:styleId="85">
    <w:name w:val="章正文"/>
    <w:basedOn w:val="1"/>
    <w:qFormat/>
    <w:uiPriority w:val="99"/>
    <w:pPr>
      <w:spacing w:beforeLines="50" w:after="120" w:line="300" w:lineRule="auto"/>
      <w:ind w:firstLine="480"/>
    </w:pPr>
    <w:rPr>
      <w:rFonts w:ascii="Helvetica" w:hAnsi="Helvetica" w:cs="Helvetica"/>
      <w:kern w:val="0"/>
      <w:sz w:val="24"/>
      <w:szCs w:val="24"/>
    </w:rPr>
  </w:style>
  <w:style w:type="paragraph" w:customStyle="1" w:styleId="86">
    <w:name w:val="Proposals body"/>
    <w:basedOn w:val="1"/>
    <w:next w:val="1"/>
    <w:qFormat/>
    <w:uiPriority w:val="99"/>
    <w:pPr>
      <w:widowControl/>
      <w:spacing w:line="360" w:lineRule="auto"/>
      <w:jc w:val="left"/>
    </w:pPr>
    <w:rPr>
      <w:rFonts w:ascii="宋体" w:cs="宋体"/>
      <w:color w:val="000000"/>
      <w:kern w:val="0"/>
      <w:sz w:val="24"/>
      <w:szCs w:val="24"/>
    </w:rPr>
  </w:style>
  <w:style w:type="character" w:customStyle="1" w:styleId="87">
    <w:name w:val="font31"/>
    <w:basedOn w:val="43"/>
    <w:qFormat/>
    <w:uiPriority w:val="0"/>
    <w:rPr>
      <w:rFonts w:hint="eastAsia" w:ascii="宋体" w:hAnsi="宋体" w:eastAsia="宋体" w:cs="宋体"/>
      <w:color w:val="000000"/>
      <w:sz w:val="22"/>
      <w:szCs w:val="22"/>
      <w:u w:val="none"/>
    </w:rPr>
  </w:style>
  <w:style w:type="character" w:customStyle="1" w:styleId="88">
    <w:name w:val="普通(网站) 字符"/>
    <w:link w:val="38"/>
    <w:qFormat/>
    <w:uiPriority w:val="0"/>
    <w:rPr>
      <w:rFonts w:ascii="宋体" w:hAnsi="宋体" w:cs="宋体"/>
      <w:sz w:val="24"/>
      <w:szCs w:val="24"/>
    </w:rPr>
  </w:style>
  <w:style w:type="character" w:customStyle="1" w:styleId="89">
    <w:name w:val="标题 3 字符"/>
    <w:basedOn w:val="43"/>
    <w:link w:val="6"/>
    <w:qFormat/>
    <w:uiPriority w:val="0"/>
    <w:rPr>
      <w:rFonts w:ascii="Arial" w:hAnsi="Arial" w:eastAsia="黑体" w:cs="宋体"/>
      <w:color w:val="000000"/>
      <w:spacing w:val="20"/>
      <w:sz w:val="30"/>
      <w:szCs w:val="32"/>
    </w:rPr>
  </w:style>
  <w:style w:type="character" w:customStyle="1" w:styleId="90">
    <w:name w:val="标题 4 字符"/>
    <w:basedOn w:val="43"/>
    <w:link w:val="8"/>
    <w:qFormat/>
    <w:uiPriority w:val="0"/>
    <w:rPr>
      <w:rFonts w:ascii="Arial" w:hAnsi="Arial" w:eastAsia="黑体" w:cs="宋体"/>
      <w:color w:val="000000"/>
      <w:spacing w:val="10"/>
      <w:sz w:val="28"/>
      <w:szCs w:val="28"/>
    </w:rPr>
  </w:style>
  <w:style w:type="character" w:customStyle="1" w:styleId="91">
    <w:name w:val="标题 5 字符"/>
    <w:basedOn w:val="43"/>
    <w:link w:val="9"/>
    <w:qFormat/>
    <w:uiPriority w:val="0"/>
    <w:rPr>
      <w:rFonts w:ascii="Arial" w:hAnsi="Arial" w:eastAsia="黑体" w:cs="宋体"/>
      <w:color w:val="000000"/>
      <w:spacing w:val="10"/>
      <w:sz w:val="28"/>
      <w:szCs w:val="28"/>
    </w:rPr>
  </w:style>
  <w:style w:type="character" w:customStyle="1" w:styleId="92">
    <w:name w:val="标题 6 字符"/>
    <w:basedOn w:val="43"/>
    <w:link w:val="10"/>
    <w:qFormat/>
    <w:uiPriority w:val="0"/>
    <w:rPr>
      <w:rFonts w:ascii="Arial" w:hAnsi="Arial" w:eastAsia="黑体" w:cs="宋体"/>
      <w:color w:val="000000"/>
      <w:spacing w:val="10"/>
      <w:sz w:val="24"/>
      <w:szCs w:val="21"/>
    </w:rPr>
  </w:style>
  <w:style w:type="character" w:customStyle="1" w:styleId="93">
    <w:name w:val="标题 7 字符"/>
    <w:basedOn w:val="43"/>
    <w:link w:val="11"/>
    <w:qFormat/>
    <w:uiPriority w:val="0"/>
    <w:rPr>
      <w:rFonts w:ascii="Arial" w:hAnsi="Arial" w:eastAsia="黑体" w:cs="宋体"/>
      <w:color w:val="000000"/>
      <w:sz w:val="24"/>
      <w:szCs w:val="21"/>
    </w:rPr>
  </w:style>
  <w:style w:type="character" w:customStyle="1" w:styleId="94">
    <w:name w:val="标题 8 字符"/>
    <w:basedOn w:val="43"/>
    <w:link w:val="12"/>
    <w:qFormat/>
    <w:uiPriority w:val="0"/>
    <w:rPr>
      <w:rFonts w:ascii="Arial" w:hAnsi="Arial" w:eastAsia="黑体" w:cs="宋体"/>
      <w:b/>
      <w:bCs/>
      <w:color w:val="000000"/>
      <w:sz w:val="24"/>
      <w:szCs w:val="21"/>
    </w:rPr>
  </w:style>
  <w:style w:type="character" w:customStyle="1" w:styleId="95">
    <w:name w:val="标题 9 字符"/>
    <w:basedOn w:val="43"/>
    <w:link w:val="13"/>
    <w:qFormat/>
    <w:uiPriority w:val="0"/>
    <w:rPr>
      <w:rFonts w:ascii="Arial" w:hAnsi="Arial" w:eastAsia="黑体" w:cs="宋体"/>
      <w:b/>
      <w:bCs/>
      <w:color w:val="000000"/>
      <w:sz w:val="21"/>
      <w:szCs w:val="21"/>
    </w:rPr>
  </w:style>
  <w:style w:type="character" w:customStyle="1" w:styleId="96">
    <w:name w:val="文档结构图 字符"/>
    <w:basedOn w:val="43"/>
    <w:link w:val="16"/>
    <w:semiHidden/>
    <w:qFormat/>
    <w:uiPriority w:val="0"/>
    <w:rPr>
      <w:kern w:val="2"/>
      <w:sz w:val="21"/>
      <w:szCs w:val="24"/>
      <w:shd w:val="clear" w:color="auto" w:fill="000080"/>
    </w:rPr>
  </w:style>
  <w:style w:type="character" w:customStyle="1" w:styleId="97">
    <w:name w:val="日期 字符"/>
    <w:basedOn w:val="43"/>
    <w:link w:val="24"/>
    <w:qFormat/>
    <w:uiPriority w:val="0"/>
    <w:rPr>
      <w:rFonts w:ascii="仿宋_GB2312" w:hAnsi="宋体" w:eastAsia="仿宋_GB2312" w:cs="宋体"/>
      <w:b/>
      <w:bCs/>
      <w:color w:val="000000"/>
      <w:sz w:val="24"/>
      <w:szCs w:val="21"/>
    </w:rPr>
  </w:style>
  <w:style w:type="character" w:customStyle="1" w:styleId="98">
    <w:name w:val="脚注文本 字符"/>
    <w:basedOn w:val="43"/>
    <w:link w:val="32"/>
    <w:qFormat/>
    <w:uiPriority w:val="0"/>
    <w:rPr>
      <w:kern w:val="2"/>
      <w:sz w:val="18"/>
      <w:szCs w:val="24"/>
    </w:rPr>
  </w:style>
  <w:style w:type="character" w:customStyle="1" w:styleId="99">
    <w:name w:val="正文文本缩进 3 字符"/>
    <w:basedOn w:val="43"/>
    <w:link w:val="34"/>
    <w:qFormat/>
    <w:uiPriority w:val="0"/>
    <w:rPr>
      <w:rFonts w:ascii="仿宋_GB2312" w:hAnsi="宋体" w:eastAsia="仿宋_GB2312" w:cs="宋体"/>
      <w:b/>
      <w:bCs/>
      <w:color w:val="000000"/>
      <w:sz w:val="16"/>
      <w:szCs w:val="16"/>
    </w:rPr>
  </w:style>
  <w:style w:type="character" w:customStyle="1" w:styleId="100">
    <w:name w:val="正文文本 2 字符"/>
    <w:basedOn w:val="43"/>
    <w:link w:val="36"/>
    <w:qFormat/>
    <w:uiPriority w:val="0"/>
    <w:rPr>
      <w:kern w:val="2"/>
      <w:sz w:val="21"/>
      <w:szCs w:val="24"/>
    </w:rPr>
  </w:style>
  <w:style w:type="character" w:customStyle="1" w:styleId="101">
    <w:name w:val="HTML 预设格式 字符"/>
    <w:basedOn w:val="43"/>
    <w:link w:val="37"/>
    <w:qFormat/>
    <w:uiPriority w:val="0"/>
    <w:rPr>
      <w:rFonts w:ascii="黑体" w:hAnsi="Courier New" w:eastAsia="黑体"/>
    </w:rPr>
  </w:style>
  <w:style w:type="paragraph" w:customStyle="1" w:styleId="102">
    <w:name w:val="文档正文"/>
    <w:basedOn w:val="1"/>
    <w:qFormat/>
    <w:uiPriority w:val="0"/>
    <w:pPr>
      <w:adjustRightInd w:val="0"/>
      <w:spacing w:line="300" w:lineRule="auto"/>
      <w:ind w:firstLine="567"/>
      <w:textAlignment w:val="baseline"/>
    </w:pPr>
    <w:rPr>
      <w:kern w:val="0"/>
      <w:sz w:val="24"/>
      <w:szCs w:val="20"/>
    </w:rPr>
  </w:style>
  <w:style w:type="paragraph" w:customStyle="1" w:styleId="10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列表段落1"/>
    <w:basedOn w:val="1"/>
    <w:qFormat/>
    <w:uiPriority w:val="34"/>
    <w:pPr>
      <w:ind w:firstLine="420" w:firstLineChars="200"/>
    </w:pPr>
    <w:rPr>
      <w:szCs w:val="24"/>
    </w:rPr>
  </w:style>
  <w:style w:type="paragraph" w:customStyle="1" w:styleId="105">
    <w:name w:val="正文文本首行缩进1"/>
    <w:basedOn w:val="3"/>
    <w:qFormat/>
    <w:uiPriority w:val="0"/>
    <w:pPr>
      <w:spacing w:line="360" w:lineRule="auto"/>
      <w:ind w:firstLine="200" w:firstLineChars="200"/>
    </w:pPr>
    <w:rPr>
      <w:rFonts w:ascii="宋体" w:hAnsi="宋体"/>
      <w:bCs/>
      <w:sz w:val="24"/>
    </w:rPr>
  </w:style>
  <w:style w:type="paragraph" w:customStyle="1" w:styleId="106">
    <w:name w:val="列表段落11"/>
    <w:basedOn w:val="1"/>
    <w:qFormat/>
    <w:uiPriority w:val="0"/>
    <w:pPr>
      <w:ind w:firstLine="420" w:firstLineChars="200"/>
    </w:pPr>
    <w:rPr>
      <w:rFonts w:asciiTheme="minorHAnsi" w:hAnsiTheme="minorHAnsi" w:eastAsiaTheme="minorEastAsia" w:cstheme="minorBidi"/>
      <w:sz w:val="24"/>
      <w:szCs w:val="24"/>
    </w:rPr>
  </w:style>
  <w:style w:type="character" w:customStyle="1" w:styleId="107">
    <w:name w:val="style11"/>
    <w:qFormat/>
    <w:uiPriority w:val="0"/>
    <w:rPr>
      <w:sz w:val="18"/>
      <w:szCs w:val="18"/>
    </w:rPr>
  </w:style>
  <w:style w:type="character" w:customStyle="1" w:styleId="108">
    <w:name w:val="Char Char2"/>
    <w:qFormat/>
    <w:uiPriority w:val="0"/>
    <w:rPr>
      <w:rFonts w:eastAsia="宋体"/>
      <w:kern w:val="2"/>
      <w:sz w:val="18"/>
      <w:szCs w:val="18"/>
      <w:lang w:val="en-US" w:eastAsia="zh-CN" w:bidi="ar-SA"/>
    </w:rPr>
  </w:style>
  <w:style w:type="character" w:customStyle="1" w:styleId="109">
    <w:name w:val="ca-6"/>
    <w:basedOn w:val="43"/>
    <w:qFormat/>
    <w:uiPriority w:val="0"/>
  </w:style>
  <w:style w:type="character" w:customStyle="1" w:styleId="110">
    <w:name w:val="unnamed11"/>
    <w:qFormat/>
    <w:uiPriority w:val="0"/>
    <w:rPr>
      <w:color w:val="000000"/>
      <w:sz w:val="20"/>
      <w:szCs w:val="20"/>
    </w:rPr>
  </w:style>
  <w:style w:type="character" w:customStyle="1" w:styleId="111">
    <w:name w:val="Texte Char Char"/>
    <w:qFormat/>
    <w:uiPriority w:val="0"/>
    <w:rPr>
      <w:rFonts w:ascii="宋体" w:hAnsi="Courier New" w:eastAsia="仿宋_GB2312" w:cs="宋体"/>
      <w:b/>
      <w:bCs/>
      <w:color w:val="000000"/>
      <w:sz w:val="21"/>
      <w:lang w:val="en-US" w:eastAsia="zh-CN" w:bidi="ar-SA"/>
    </w:rPr>
  </w:style>
  <w:style w:type="character" w:customStyle="1" w:styleId="112">
    <w:name w:val="f10"/>
    <w:basedOn w:val="43"/>
    <w:qFormat/>
    <w:uiPriority w:val="0"/>
  </w:style>
  <w:style w:type="character" w:customStyle="1" w:styleId="113">
    <w:name w:val="ca-2"/>
    <w:basedOn w:val="43"/>
    <w:qFormat/>
    <w:uiPriority w:val="0"/>
  </w:style>
  <w:style w:type="character" w:customStyle="1" w:styleId="114">
    <w:name w:val="缩进2字符 Char"/>
    <w:link w:val="115"/>
    <w:qFormat/>
    <w:locked/>
    <w:uiPriority w:val="0"/>
    <w:rPr>
      <w:rFonts w:ascii="仿宋_GB2312" w:hAnsi="仿宋_GB2312" w:eastAsia="仿宋_GB2312" w:cs="Arial"/>
      <w:snapToGrid w:val="0"/>
      <w:color w:val="000000"/>
      <w:sz w:val="28"/>
      <w:szCs w:val="28"/>
    </w:rPr>
  </w:style>
  <w:style w:type="paragraph" w:customStyle="1" w:styleId="115">
    <w:name w:val="缩进2字符"/>
    <w:basedOn w:val="1"/>
    <w:link w:val="114"/>
    <w:qFormat/>
    <w:uiPriority w:val="0"/>
    <w:pPr>
      <w:widowControl/>
      <w:ind w:firstLine="200" w:firstLineChars="200"/>
      <w:jc w:val="left"/>
    </w:pPr>
    <w:rPr>
      <w:rFonts w:ascii="仿宋_GB2312" w:hAnsi="仿宋_GB2312" w:eastAsia="仿宋_GB2312" w:cs="Arial"/>
      <w:snapToGrid w:val="0"/>
      <w:color w:val="000000"/>
      <w:kern w:val="0"/>
      <w:sz w:val="28"/>
      <w:szCs w:val="28"/>
    </w:rPr>
  </w:style>
  <w:style w:type="character" w:customStyle="1" w:styleId="116">
    <w:name w:val="ca-11"/>
    <w:qFormat/>
    <w:uiPriority w:val="0"/>
    <w:rPr>
      <w:rFonts w:hint="eastAsia" w:ascii="宋体" w:hAnsi="宋体" w:eastAsia="宋体"/>
      <w:sz w:val="18"/>
      <w:szCs w:val="18"/>
    </w:rPr>
  </w:style>
  <w:style w:type="character" w:customStyle="1" w:styleId="117">
    <w:name w:val="标题 Char1"/>
    <w:qFormat/>
    <w:locked/>
    <w:uiPriority w:val="0"/>
    <w:rPr>
      <w:rFonts w:ascii="Arial" w:hAnsi="Arial" w:cs="Arial"/>
      <w:b/>
      <w:bCs/>
      <w:color w:val="000000"/>
      <w:sz w:val="32"/>
      <w:szCs w:val="32"/>
    </w:rPr>
  </w:style>
  <w:style w:type="character" w:customStyle="1" w:styleId="118">
    <w:name w:val="ca-3"/>
    <w:basedOn w:val="43"/>
    <w:qFormat/>
    <w:uiPriority w:val="0"/>
  </w:style>
  <w:style w:type="character" w:customStyle="1" w:styleId="119">
    <w:name w:val="para"/>
    <w:basedOn w:val="43"/>
    <w:qFormat/>
    <w:uiPriority w:val="0"/>
  </w:style>
  <w:style w:type="character" w:customStyle="1" w:styleId="120">
    <w:name w:val="表格文本 Char"/>
    <w:link w:val="121"/>
    <w:qFormat/>
    <w:locked/>
    <w:uiPriority w:val="0"/>
    <w:rPr>
      <w:rFonts w:ascii="宋体" w:hAnsi="宋体" w:cs="Arial"/>
      <w:snapToGrid w:val="0"/>
      <w:szCs w:val="21"/>
    </w:rPr>
  </w:style>
  <w:style w:type="paragraph" w:customStyle="1" w:styleId="121">
    <w:name w:val="表格文本"/>
    <w:basedOn w:val="1"/>
    <w:link w:val="120"/>
    <w:qFormat/>
    <w:uiPriority w:val="0"/>
    <w:pPr>
      <w:snapToGrid w:val="0"/>
      <w:jc w:val="left"/>
    </w:pPr>
    <w:rPr>
      <w:rFonts w:ascii="宋体" w:hAnsi="宋体" w:cs="Arial"/>
      <w:snapToGrid w:val="0"/>
      <w:kern w:val="0"/>
      <w:sz w:val="20"/>
    </w:rPr>
  </w:style>
  <w:style w:type="character" w:customStyle="1" w:styleId="122">
    <w:name w:val="ca-8"/>
    <w:basedOn w:val="43"/>
    <w:qFormat/>
    <w:uiPriority w:val="0"/>
  </w:style>
  <w:style w:type="character" w:customStyle="1" w:styleId="123">
    <w:name w:val="smalltxt1"/>
    <w:qFormat/>
    <w:uiPriority w:val="0"/>
    <w:rPr>
      <w:rFonts w:hint="default" w:ascii="ˎ̥" w:hAnsi="ˎ̥" w:eastAsia="仿宋_GB2312"/>
      <w:b/>
      <w:sz w:val="24"/>
      <w:szCs w:val="24"/>
    </w:rPr>
  </w:style>
  <w:style w:type="character" w:customStyle="1" w:styleId="124">
    <w:name w:val="Char Char1"/>
    <w:qFormat/>
    <w:uiPriority w:val="0"/>
    <w:rPr>
      <w:rFonts w:ascii="宋体" w:hAnsi="Courier New" w:eastAsia="仿宋_GB2312" w:cs="宋体"/>
      <w:b/>
      <w:bCs/>
      <w:color w:val="000000"/>
      <w:sz w:val="21"/>
      <w:lang w:val="en-US" w:eastAsia="zh-CN" w:bidi="ar-SA"/>
    </w:rPr>
  </w:style>
  <w:style w:type="character" w:customStyle="1" w:styleId="125">
    <w:name w:val="apple-converted-space"/>
    <w:basedOn w:val="43"/>
    <w:qFormat/>
    <w:uiPriority w:val="0"/>
  </w:style>
  <w:style w:type="character" w:customStyle="1" w:styleId="126">
    <w:name w:val="bigtitle1"/>
    <w:qFormat/>
    <w:uiPriority w:val="0"/>
    <w:rPr>
      <w:sz w:val="28"/>
      <w:szCs w:val="28"/>
    </w:rPr>
  </w:style>
  <w:style w:type="character" w:customStyle="1" w:styleId="127">
    <w:name w:val="Char Char4"/>
    <w:qFormat/>
    <w:uiPriority w:val="0"/>
    <w:rPr>
      <w:rFonts w:eastAsia="宋体"/>
      <w:sz w:val="18"/>
      <w:szCs w:val="18"/>
      <w:lang w:val="en-US" w:eastAsia="zh-CN" w:bidi="ar-SA"/>
    </w:rPr>
  </w:style>
  <w:style w:type="character" w:customStyle="1" w:styleId="128">
    <w:name w:val="样式3 Char"/>
    <w:link w:val="129"/>
    <w:qFormat/>
    <w:uiPriority w:val="0"/>
    <w:rPr>
      <w:rFonts w:eastAsia="黑体"/>
      <w:kern w:val="2"/>
      <w:sz w:val="28"/>
      <w:szCs w:val="21"/>
    </w:rPr>
  </w:style>
  <w:style w:type="paragraph" w:customStyle="1" w:styleId="129">
    <w:name w:val="样式3"/>
    <w:basedOn w:val="1"/>
    <w:link w:val="128"/>
    <w:qFormat/>
    <w:uiPriority w:val="0"/>
    <w:pPr>
      <w:snapToGrid w:val="0"/>
      <w:outlineLvl w:val="2"/>
    </w:pPr>
    <w:rPr>
      <w:rFonts w:eastAsia="黑体"/>
      <w:sz w:val="28"/>
    </w:rPr>
  </w:style>
  <w:style w:type="character" w:customStyle="1" w:styleId="130">
    <w:name w:val="unnamed51"/>
    <w:qFormat/>
    <w:uiPriority w:val="0"/>
    <w:rPr>
      <w:sz w:val="22"/>
      <w:szCs w:val="22"/>
    </w:rPr>
  </w:style>
  <w:style w:type="paragraph" w:customStyle="1" w:styleId="131">
    <w:name w:val="默认段落字体 Para Char"/>
    <w:basedOn w:val="1"/>
    <w:qFormat/>
    <w:uiPriority w:val="0"/>
    <w:pPr>
      <w:adjustRightInd w:val="0"/>
      <w:spacing w:line="360" w:lineRule="auto"/>
    </w:pPr>
    <w:rPr>
      <w:kern w:val="0"/>
      <w:sz w:val="24"/>
      <w:szCs w:val="20"/>
    </w:rPr>
  </w:style>
  <w:style w:type="paragraph" w:customStyle="1" w:styleId="132">
    <w:name w:val="Char Char Char Char Char Char Char Char Char Char Char Char"/>
    <w:basedOn w:val="1"/>
    <w:qFormat/>
    <w:uiPriority w:val="0"/>
    <w:pPr>
      <w:spacing w:line="300" w:lineRule="auto"/>
    </w:pPr>
    <w:rPr>
      <w:rFonts w:ascii="宋体" w:hAnsi="宋体"/>
      <w:b/>
      <w:bCs/>
      <w:color w:val="000000"/>
      <w:spacing w:val="8"/>
      <w:kern w:val="0"/>
      <w:sz w:val="24"/>
      <w:szCs w:val="24"/>
    </w:rPr>
  </w:style>
  <w:style w:type="paragraph" w:customStyle="1" w:styleId="133">
    <w:name w:val="Char Char Char Char"/>
    <w:basedOn w:val="16"/>
    <w:qFormat/>
    <w:uiPriority w:val="0"/>
    <w:rPr>
      <w:rFonts w:ascii="Tahoma" w:hAnsi="Tahoma"/>
      <w:sz w:val="24"/>
    </w:rPr>
  </w:style>
  <w:style w:type="paragraph" w:customStyle="1" w:styleId="134">
    <w:name w:val="Char"/>
    <w:basedOn w:val="1"/>
    <w:qFormat/>
    <w:uiPriority w:val="0"/>
    <w:rPr>
      <w:rFonts w:ascii="仿宋_GB2312" w:eastAsia="仿宋_GB2312"/>
      <w:b/>
      <w:sz w:val="32"/>
      <w:szCs w:val="32"/>
    </w:rPr>
  </w:style>
  <w:style w:type="paragraph" w:customStyle="1" w:styleId="135">
    <w:name w:val="Char2"/>
    <w:basedOn w:val="1"/>
    <w:qFormat/>
    <w:uiPriority w:val="0"/>
    <w:rPr>
      <w:rFonts w:ascii="仿宋_GB2312" w:hAnsi="宋体" w:eastAsia="仿宋_GB2312" w:cs="宋体"/>
      <w:bCs/>
      <w:color w:val="000000"/>
      <w:kern w:val="0"/>
      <w:sz w:val="32"/>
      <w:szCs w:val="32"/>
    </w:rPr>
  </w:style>
  <w:style w:type="paragraph" w:customStyle="1" w:styleId="136">
    <w:name w:val="默认段落字体 Para Char Char Char Char"/>
    <w:basedOn w:val="1"/>
    <w:qFormat/>
    <w:uiPriority w:val="0"/>
    <w:rPr>
      <w:szCs w:val="24"/>
    </w:rPr>
  </w:style>
  <w:style w:type="paragraph" w:customStyle="1" w:styleId="137">
    <w:name w:val="样式1"/>
    <w:basedOn w:val="5"/>
    <w:qFormat/>
    <w:uiPriority w:val="0"/>
    <w:pPr>
      <w:tabs>
        <w:tab w:val="left" w:pos="432"/>
        <w:tab w:val="left" w:pos="576"/>
        <w:tab w:val="left" w:pos="2340"/>
        <w:tab w:val="left" w:pos="2700"/>
        <w:tab w:val="left" w:pos="2880"/>
        <w:tab w:val="left" w:pos="3060"/>
        <w:tab w:val="left" w:pos="3240"/>
        <w:tab w:val="left" w:pos="3420"/>
        <w:tab w:val="left" w:pos="3780"/>
      </w:tabs>
      <w:spacing w:before="120" w:after="0" w:line="360" w:lineRule="auto"/>
    </w:pPr>
    <w:rPr>
      <w:rFonts w:eastAsia="Arial" w:cs="Times New Roman"/>
      <w:color w:val="000000"/>
    </w:rPr>
  </w:style>
  <w:style w:type="paragraph" w:customStyle="1" w:styleId="138">
    <w:name w:val="pa-2"/>
    <w:basedOn w:val="1"/>
    <w:qFormat/>
    <w:uiPriority w:val="0"/>
    <w:pPr>
      <w:widowControl/>
      <w:spacing w:line="240" w:lineRule="atLeast"/>
      <w:ind w:firstLine="440"/>
    </w:pPr>
    <w:rPr>
      <w:rFonts w:ascii="宋体" w:hAnsi="宋体" w:cs="宋体"/>
      <w:kern w:val="0"/>
      <w:sz w:val="24"/>
      <w:szCs w:val="24"/>
    </w:rPr>
  </w:style>
  <w:style w:type="paragraph" w:customStyle="1" w:styleId="139">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Char1 Char Char Char"/>
    <w:basedOn w:val="1"/>
    <w:qFormat/>
    <w:uiPriority w:val="0"/>
    <w:rPr>
      <w:rFonts w:ascii="仿宋_GB2312" w:eastAsia="仿宋_GB2312"/>
      <w:b/>
      <w:sz w:val="32"/>
      <w:szCs w:val="32"/>
    </w:rPr>
  </w:style>
  <w:style w:type="paragraph" w:customStyle="1" w:styleId="141">
    <w:name w:val="Body Text(ch)"/>
    <w:basedOn w:val="1"/>
    <w:next w:val="3"/>
    <w:qFormat/>
    <w:uiPriority w:val="0"/>
    <w:pPr>
      <w:spacing w:line="500" w:lineRule="exact"/>
      <w:jc w:val="center"/>
    </w:pPr>
    <w:rPr>
      <w:szCs w:val="24"/>
    </w:rPr>
  </w:style>
  <w:style w:type="paragraph" w:customStyle="1" w:styleId="142">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143">
    <w:name w:val="Char Char1 Char Char Char Char Char Char Char Char Char Char"/>
    <w:basedOn w:val="1"/>
    <w:qFormat/>
    <w:uiPriority w:val="0"/>
    <w:rPr>
      <w:rFonts w:ascii="Tahoma" w:hAnsi="Tahoma" w:eastAsia="仿宋_GB2312" w:cs="宋体"/>
      <w:b/>
      <w:bCs/>
      <w:color w:val="000000"/>
      <w:kern w:val="0"/>
      <w:sz w:val="24"/>
      <w:szCs w:val="20"/>
    </w:rPr>
  </w:style>
  <w:style w:type="paragraph" w:customStyle="1" w:styleId="144">
    <w:name w:val="小点说明"/>
    <w:basedOn w:val="1"/>
    <w:qFormat/>
    <w:uiPriority w:val="0"/>
    <w:pPr>
      <w:tabs>
        <w:tab w:val="left" w:pos="0"/>
      </w:tabs>
      <w:adjustRightInd w:val="0"/>
      <w:snapToGrid w:val="0"/>
      <w:spacing w:line="340" w:lineRule="atLeast"/>
    </w:pPr>
    <w:rPr>
      <w:rFonts w:ascii="宋体" w:hAnsi="宋体"/>
      <w:bCs/>
      <w:kern w:val="0"/>
      <w:szCs w:val="24"/>
      <w:lang w:val="eu-ES"/>
    </w:rPr>
  </w:style>
  <w:style w:type="paragraph" w:customStyle="1" w:styleId="145">
    <w:name w:val="Char Char7 Char"/>
    <w:basedOn w:val="1"/>
    <w:qFormat/>
    <w:uiPriority w:val="0"/>
    <w:pPr>
      <w:tabs>
        <w:tab w:val="left" w:pos="425"/>
      </w:tabs>
      <w:ind w:left="420" w:leftChars="200" w:firstLine="270" w:firstLineChars="150"/>
    </w:pPr>
    <w:rPr>
      <w:rFonts w:ascii="宋体" w:hAnsi="宋体" w:cs="Arial"/>
      <w:color w:val="5E5E5E"/>
      <w:kern w:val="0"/>
    </w:rPr>
  </w:style>
  <w:style w:type="paragraph" w:customStyle="1" w:styleId="146">
    <w:name w:val="Char Char Char"/>
    <w:basedOn w:val="1"/>
    <w:qFormat/>
    <w:uiPriority w:val="0"/>
    <w:rPr>
      <w:rFonts w:ascii="Tahoma" w:hAnsi="Tahoma"/>
      <w:sz w:val="24"/>
      <w:szCs w:val="20"/>
    </w:rPr>
  </w:style>
  <w:style w:type="paragraph" w:customStyle="1" w:styleId="147">
    <w:name w:val="List Paragraph1"/>
    <w:basedOn w:val="1"/>
    <w:qFormat/>
    <w:uiPriority w:val="0"/>
    <w:pPr>
      <w:ind w:firstLine="420" w:firstLineChars="200"/>
    </w:pPr>
    <w:rPr>
      <w:rFonts w:ascii="仿宋_GB2312" w:hAnsi="宋体" w:eastAsia="仿宋_GB2312" w:cs="仿宋_GB2312"/>
      <w:b/>
      <w:bCs/>
      <w:color w:val="000000"/>
      <w:kern w:val="0"/>
    </w:rPr>
  </w:style>
  <w:style w:type="paragraph" w:customStyle="1" w:styleId="148">
    <w:name w:val="默认段落字体 Para Char Char Char Char Char Char Char Char Char1 Char Char Char Char Char Char Char"/>
    <w:basedOn w:val="16"/>
    <w:qFormat/>
    <w:uiPriority w:val="0"/>
    <w:rPr>
      <w:rFonts w:ascii="Tahoma" w:hAnsi="Tahoma"/>
      <w:sz w:val="24"/>
    </w:rPr>
  </w:style>
  <w:style w:type="paragraph" w:customStyle="1" w:styleId="149">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150">
    <w:name w:val="Numbered list 2.3"/>
    <w:basedOn w:val="6"/>
    <w:next w:val="1"/>
    <w:qFormat/>
    <w:uiPriority w:val="0"/>
    <w:pPr>
      <w:keepLines w:val="0"/>
      <w:widowControl/>
      <w:tabs>
        <w:tab w:val="left" w:pos="360"/>
        <w:tab w:val="left" w:pos="705"/>
        <w:tab w:val="left" w:pos="1080"/>
        <w:tab w:val="clear" w:pos="720"/>
      </w:tabs>
      <w:spacing w:before="240" w:afterLines="0" w:line="240" w:lineRule="auto"/>
      <w:jc w:val="left"/>
    </w:pPr>
    <w:rPr>
      <w:rFonts w:eastAsia="宋体" w:cs="Times New Roman"/>
      <w:bCs/>
      <w:iCs/>
      <w:color w:val="auto"/>
      <w:spacing w:val="0"/>
      <w:sz w:val="28"/>
      <w:szCs w:val="24"/>
    </w:rPr>
  </w:style>
  <w:style w:type="paragraph" w:customStyle="1" w:styleId="151">
    <w:name w:val="表格正文"/>
    <w:basedOn w:val="1"/>
    <w:qFormat/>
    <w:uiPriority w:val="0"/>
    <w:pPr>
      <w:adjustRightInd w:val="0"/>
      <w:snapToGrid w:val="0"/>
      <w:spacing w:before="60" w:after="60"/>
      <w:jc w:val="center"/>
      <w:textAlignment w:val="baseline"/>
    </w:pPr>
    <w:rPr>
      <w:kern w:val="0"/>
      <w:sz w:val="24"/>
      <w:szCs w:val="20"/>
    </w:rPr>
  </w:style>
  <w:style w:type="paragraph" w:customStyle="1" w:styleId="152">
    <w:name w:val="样式 宋体 小四 首行缩进:  0.93 厘米 段前: 11.15 磅 段后: 11.15 磅1"/>
    <w:basedOn w:val="1"/>
    <w:qFormat/>
    <w:uiPriority w:val="0"/>
    <w:pPr>
      <w:adjustRightInd w:val="0"/>
      <w:snapToGrid w:val="0"/>
      <w:ind w:left="200" w:leftChars="200"/>
    </w:pPr>
    <w:rPr>
      <w:rFonts w:ascii="宋体"/>
      <w:sz w:val="24"/>
      <w:szCs w:val="20"/>
    </w:rPr>
  </w:style>
  <w:style w:type="paragraph" w:customStyle="1" w:styleId="15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4">
    <w:name w:val="Char3"/>
    <w:basedOn w:val="1"/>
    <w:qFormat/>
    <w:uiPriority w:val="0"/>
    <w:rPr>
      <w:szCs w:val="20"/>
    </w:rPr>
  </w:style>
  <w:style w:type="paragraph" w:customStyle="1" w:styleId="155">
    <w:name w:val="style3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6">
    <w:name w:val="正文段"/>
    <w:basedOn w:val="1"/>
    <w:qFormat/>
    <w:uiPriority w:val="0"/>
    <w:pPr>
      <w:widowControl/>
      <w:snapToGrid w:val="0"/>
      <w:spacing w:afterLines="50"/>
      <w:ind w:firstLine="200" w:firstLineChars="200"/>
    </w:pPr>
    <w:rPr>
      <w:kern w:val="0"/>
      <w:sz w:val="24"/>
      <w:szCs w:val="20"/>
    </w:rPr>
  </w:style>
  <w:style w:type="paragraph" w:customStyle="1" w:styleId="15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szCs w:val="24"/>
    </w:rPr>
  </w:style>
  <w:style w:type="paragraph" w:customStyle="1" w:styleId="158">
    <w:name w:val="正文－恩普"/>
    <w:basedOn w:val="7"/>
    <w:qFormat/>
    <w:uiPriority w:val="0"/>
    <w:pPr>
      <w:widowControl/>
      <w:spacing w:before="100" w:beforeAutospacing="1" w:afterLines="50" w:afterAutospacing="1" w:line="360" w:lineRule="auto"/>
      <w:ind w:firstLine="480"/>
      <w:jc w:val="left"/>
    </w:pPr>
    <w:rPr>
      <w:rFonts w:cs="宋体"/>
      <w:sz w:val="24"/>
      <w:szCs w:val="20"/>
    </w:rPr>
  </w:style>
  <w:style w:type="paragraph" w:customStyle="1" w:styleId="159">
    <w:name w:val="Char1 Char Char Char Char Char"/>
    <w:basedOn w:val="1"/>
    <w:qFormat/>
    <w:uiPriority w:val="0"/>
    <w:rPr>
      <w:szCs w:val="24"/>
    </w:rPr>
  </w:style>
  <w:style w:type="paragraph" w:customStyle="1" w:styleId="160">
    <w:name w:val="Char Char Char1"/>
    <w:basedOn w:val="16"/>
    <w:qFormat/>
    <w:uiPriority w:val="0"/>
    <w:rPr>
      <w:rFonts w:ascii="Tahoma" w:hAnsi="Tahoma"/>
      <w:sz w:val="24"/>
    </w:rPr>
  </w:style>
  <w:style w:type="paragraph" w:customStyle="1" w:styleId="161">
    <w:name w:val="Char1 Char Char Char Char Char Char"/>
    <w:basedOn w:val="1"/>
    <w:qFormat/>
    <w:uiPriority w:val="0"/>
    <w:rPr>
      <w:rFonts w:ascii="Tahoma" w:hAnsi="Tahoma"/>
      <w:sz w:val="24"/>
      <w:szCs w:val="20"/>
    </w:rPr>
  </w:style>
  <w:style w:type="paragraph" w:customStyle="1" w:styleId="162">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63">
    <w:name w:val="表内文字"/>
    <w:basedOn w:val="1"/>
    <w:qFormat/>
    <w:uiPriority w:val="0"/>
    <w:pPr>
      <w:spacing w:line="500" w:lineRule="atLeast"/>
      <w:jc w:val="center"/>
    </w:pPr>
    <w:rPr>
      <w:rFonts w:ascii="Arial" w:hAnsi="Arial" w:eastAsia="楷体_GB2312" w:cs="Arial"/>
      <w:sz w:val="28"/>
      <w:szCs w:val="24"/>
    </w:rPr>
  </w:style>
  <w:style w:type="character" w:customStyle="1" w:styleId="164">
    <w:name w:val="标题 4 Char1"/>
    <w:qFormat/>
    <w:uiPriority w:val="0"/>
    <w:rPr>
      <w:rFonts w:ascii="Arial" w:hAnsi="Arial" w:eastAsia="黑体"/>
      <w:b/>
      <w:bCs/>
      <w:kern w:val="2"/>
      <w:sz w:val="28"/>
      <w:szCs w:val="28"/>
      <w:lang w:val="en-US" w:eastAsia="zh-CN" w:bidi="ar-SA"/>
    </w:rPr>
  </w:style>
  <w:style w:type="paragraph" w:customStyle="1" w:styleId="165">
    <w:name w:val="正文缩进1"/>
    <w:basedOn w:val="1"/>
    <w:qFormat/>
    <w:uiPriority w:val="0"/>
    <w:pPr>
      <w:spacing w:line="360" w:lineRule="auto"/>
      <w:ind w:firstLine="454"/>
      <w:jc w:val="left"/>
    </w:pPr>
    <w:rPr>
      <w:sz w:val="24"/>
      <w:szCs w:val="24"/>
    </w:rPr>
  </w:style>
  <w:style w:type="paragraph" w:customStyle="1" w:styleId="166">
    <w:name w:val="列出段落1"/>
    <w:basedOn w:val="1"/>
    <w:qFormat/>
    <w:uiPriority w:val="0"/>
    <w:pPr>
      <w:ind w:firstLine="420" w:firstLineChars="200"/>
    </w:pPr>
    <w:rPr>
      <w:sz w:val="36"/>
      <w:szCs w:val="20"/>
    </w:rPr>
  </w:style>
  <w:style w:type="character" w:customStyle="1" w:styleId="167">
    <w:name w:val="无"/>
    <w:qFormat/>
    <w:uiPriority w:val="0"/>
  </w:style>
  <w:style w:type="paragraph" w:customStyle="1" w:styleId="168">
    <w:name w:val="Other|1"/>
    <w:basedOn w:val="1"/>
    <w:qFormat/>
    <w:uiPriority w:val="0"/>
    <w:pPr>
      <w:spacing w:line="311" w:lineRule="exact"/>
    </w:pPr>
    <w:rPr>
      <w:rFonts w:ascii="宋体" w:hAnsi="宋体" w:cs="宋体"/>
      <w:sz w:val="20"/>
      <w:szCs w:val="20"/>
      <w:lang w:val="zh-TW" w:eastAsia="zh-TW" w:bidi="zh-TW"/>
    </w:rPr>
  </w:style>
  <w:style w:type="paragraph" w:customStyle="1" w:styleId="169">
    <w:name w:val="列表段落2"/>
    <w:basedOn w:val="1"/>
    <w:qFormat/>
    <w:uiPriority w:val="34"/>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65114E-F298-431B-B58D-1B139A72284E}">
  <ds:schemaRefs/>
</ds:datastoreItem>
</file>

<file path=docProps/app.xml><?xml version="1.0" encoding="utf-8"?>
<Properties xmlns="http://schemas.openxmlformats.org/officeDocument/2006/extended-properties" xmlns:vt="http://schemas.openxmlformats.org/officeDocument/2006/docPropsVTypes">
  <Template>Normal.dotm</Template>
  <Company>tuxin</Company>
  <Pages>77</Pages>
  <Words>48591</Words>
  <Characters>9370</Characters>
  <Lines>78</Lines>
  <Paragraphs>115</Paragraphs>
  <TotalTime>53</TotalTime>
  <ScaleCrop>false</ScaleCrop>
  <LinksUpToDate>false</LinksUpToDate>
  <CharactersWithSpaces>57846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2022-02-28T06:50:00Z</dcterms:created>
  <dc:creator>雨林木风</dc:creator>
  <cp:lastModifiedBy>Administrator</cp:lastModifiedBy>
  <cp:lastPrinted>2022-02-28T07:31:00Z</cp:lastPrinted>
  <dcterms:modified xsi:type="dcterms:W3CDTF">2022-05-23T02:56:25Z</dcterms:modified>
  <dc:title>投标须知前附表</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810A1CBE3FEE420C9814D002383E3725</vt:lpwstr>
  </property>
</Properties>
</file>