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0A4A2C7">
      <w:pPr>
        <w:adjustRightInd/>
        <w:spacing w:line="360" w:lineRule="auto"/>
        <w:jc w:val="center"/>
        <w:rPr>
          <w:rFonts w:hint="eastAsia" w:ascii="宋体" w:hAnsi="宋体" w:cs="宋体"/>
          <w:color w:val="auto"/>
          <w:sz w:val="48"/>
          <w:szCs w:val="48"/>
          <w:highlight w:val="none"/>
          <w:lang w:eastAsia="zh-CN"/>
        </w:rPr>
      </w:pPr>
    </w:p>
    <w:p w14:paraId="1D4BBA07">
      <w:pPr>
        <w:adjustRightInd/>
        <w:spacing w:line="360" w:lineRule="auto"/>
        <w:jc w:val="center"/>
        <w:rPr>
          <w:rFonts w:hint="eastAsia" w:ascii="宋体" w:hAnsi="宋体" w:cs="宋体"/>
          <w:color w:val="auto"/>
          <w:sz w:val="48"/>
          <w:szCs w:val="48"/>
          <w:highlight w:val="none"/>
          <w:lang w:eastAsia="zh-CN"/>
        </w:rPr>
      </w:pPr>
    </w:p>
    <w:p w14:paraId="729E6A86">
      <w:pPr>
        <w:adjustRightInd/>
        <w:spacing w:line="360" w:lineRule="auto"/>
        <w:jc w:val="center"/>
        <w:rPr>
          <w:rFonts w:ascii="宋体" w:hAnsi="宋体" w:cs="宋体"/>
          <w:color w:val="auto"/>
          <w:sz w:val="48"/>
          <w:szCs w:val="48"/>
          <w:highlight w:val="none"/>
        </w:rPr>
      </w:pPr>
      <w:r>
        <w:rPr>
          <w:rFonts w:hint="eastAsia" w:ascii="宋体" w:hAnsi="宋体" w:cs="宋体"/>
          <w:color w:val="auto"/>
          <w:sz w:val="48"/>
          <w:szCs w:val="48"/>
          <w:highlight w:val="none"/>
          <w:lang w:eastAsia="zh-CN"/>
        </w:rPr>
        <w:t>永嘉县瓯北第三小学科学实验室设备</w:t>
      </w:r>
      <w:r>
        <w:rPr>
          <w:rFonts w:hint="eastAsia" w:ascii="宋体" w:hAnsi="宋体" w:cs="宋体"/>
          <w:color w:val="auto"/>
          <w:sz w:val="48"/>
          <w:szCs w:val="48"/>
          <w:highlight w:val="none"/>
        </w:rPr>
        <w:t>项目</w:t>
      </w:r>
    </w:p>
    <w:p w14:paraId="60B0EDD1">
      <w:pPr>
        <w:adjustRightInd/>
        <w:spacing w:line="360" w:lineRule="auto"/>
        <w:jc w:val="center"/>
        <w:rPr>
          <w:rFonts w:ascii="宋体" w:hAnsi="宋体" w:cs="宋体"/>
          <w:color w:val="auto"/>
          <w:sz w:val="48"/>
          <w:szCs w:val="48"/>
          <w:highlight w:val="none"/>
        </w:rPr>
      </w:pPr>
      <w:r>
        <w:rPr>
          <w:rFonts w:hint="eastAsia" w:ascii="宋体" w:hAnsi="宋体" w:cs="宋体"/>
          <w:color w:val="auto"/>
          <w:sz w:val="48"/>
          <w:szCs w:val="48"/>
          <w:highlight w:val="none"/>
        </w:rPr>
        <w:t xml:space="preserve">招标文件 </w:t>
      </w:r>
    </w:p>
    <w:p w14:paraId="3C826D8E">
      <w:pPr>
        <w:adjustRightInd/>
        <w:spacing w:line="360" w:lineRule="auto"/>
        <w:jc w:val="center"/>
        <w:rPr>
          <w:rFonts w:ascii="宋体" w:hAnsi="宋体" w:cs="宋体"/>
          <w:b/>
          <w:color w:val="auto"/>
          <w:sz w:val="44"/>
          <w:szCs w:val="44"/>
          <w:highlight w:val="none"/>
        </w:rPr>
      </w:pPr>
      <w:r>
        <w:rPr>
          <w:rFonts w:hint="eastAsia" w:ascii="宋体" w:hAnsi="宋体" w:cs="宋体"/>
          <w:b/>
          <w:color w:val="auto"/>
          <w:sz w:val="44"/>
          <w:szCs w:val="44"/>
          <w:highlight w:val="none"/>
        </w:rPr>
        <w:t xml:space="preserve"> （电子招投标）</w:t>
      </w:r>
    </w:p>
    <w:p w14:paraId="10F7C1D4">
      <w:pPr>
        <w:snapToGrid w:val="0"/>
        <w:spacing w:line="360" w:lineRule="auto"/>
        <w:jc w:val="center"/>
        <w:rPr>
          <w:rFonts w:hint="default" w:ascii="宋体" w:hAnsi="宋体" w:eastAsia="仿宋" w:cs="宋体"/>
          <w:color w:val="auto"/>
          <w:sz w:val="30"/>
          <w:szCs w:val="30"/>
          <w:highlight w:val="none"/>
          <w:lang w:val="en-US" w:eastAsia="zh-CN"/>
        </w:rPr>
      </w:pPr>
      <w:r>
        <w:rPr>
          <w:rFonts w:hint="eastAsia" w:ascii="宋体" w:hAnsi="宋体" w:cs="宋体"/>
          <w:color w:val="auto"/>
          <w:sz w:val="30"/>
          <w:szCs w:val="30"/>
          <w:highlight w:val="none"/>
        </w:rPr>
        <w:t>编号:</w:t>
      </w:r>
      <w:r>
        <w:rPr>
          <w:rFonts w:hint="eastAsia" w:ascii="宋体" w:hAnsi="宋体" w:cs="宋体"/>
          <w:color w:val="auto"/>
          <w:sz w:val="30"/>
          <w:szCs w:val="30"/>
          <w:highlight w:val="none"/>
          <w:lang w:val="en-US" w:eastAsia="zh-CN"/>
        </w:rPr>
        <w:t>WZGL-YJ-2025071401</w:t>
      </w:r>
    </w:p>
    <w:p w14:paraId="5849305D">
      <w:pPr>
        <w:adjustRightInd/>
        <w:spacing w:line="360" w:lineRule="auto"/>
        <w:rPr>
          <w:rFonts w:ascii="宋体" w:hAnsi="宋体" w:cs="宋体"/>
          <w:color w:val="auto"/>
          <w:sz w:val="28"/>
          <w:szCs w:val="20"/>
          <w:highlight w:val="none"/>
        </w:rPr>
      </w:pPr>
    </w:p>
    <w:p w14:paraId="65DE1006">
      <w:pPr>
        <w:spacing w:line="360" w:lineRule="auto"/>
        <w:jc w:val="center"/>
        <w:rPr>
          <w:rFonts w:ascii="宋体" w:hAnsi="宋体" w:cs="宋体"/>
          <w:b/>
          <w:color w:val="auto"/>
          <w:sz w:val="44"/>
          <w:szCs w:val="44"/>
          <w:highlight w:val="none"/>
        </w:rPr>
      </w:pPr>
      <w:r>
        <w:rPr>
          <w:rFonts w:hint="eastAsia" w:ascii="宋体" w:hAnsi="宋体" w:cs="宋体"/>
          <w:b/>
          <w:color w:val="auto"/>
          <w:sz w:val="44"/>
          <w:szCs w:val="44"/>
          <w:highlight w:val="none"/>
        </w:rPr>
        <w:t xml:space="preserve"> </w:t>
      </w:r>
    </w:p>
    <w:p w14:paraId="219851FB">
      <w:pPr>
        <w:spacing w:line="360" w:lineRule="auto"/>
        <w:jc w:val="center"/>
        <w:rPr>
          <w:rFonts w:ascii="宋体" w:hAnsi="宋体" w:cs="宋体"/>
          <w:color w:val="auto"/>
          <w:sz w:val="24"/>
          <w:highlight w:val="none"/>
        </w:rPr>
      </w:pPr>
    </w:p>
    <w:p w14:paraId="205613BB">
      <w:pPr>
        <w:spacing w:line="360" w:lineRule="auto"/>
        <w:jc w:val="center"/>
        <w:rPr>
          <w:rFonts w:ascii="宋体" w:hAnsi="宋体" w:cs="宋体"/>
          <w:color w:val="auto"/>
          <w:sz w:val="24"/>
          <w:highlight w:val="none"/>
        </w:rPr>
      </w:pPr>
    </w:p>
    <w:p w14:paraId="1234DAF6">
      <w:pPr>
        <w:spacing w:line="360" w:lineRule="auto"/>
        <w:rPr>
          <w:rFonts w:ascii="宋体" w:hAnsi="宋体" w:cs="宋体"/>
          <w:color w:val="auto"/>
          <w:sz w:val="32"/>
          <w:szCs w:val="32"/>
          <w:highlight w:val="none"/>
        </w:rPr>
      </w:pPr>
    </w:p>
    <w:p w14:paraId="49BDE374">
      <w:pPr>
        <w:snapToGrid w:val="0"/>
        <w:spacing w:line="360" w:lineRule="auto"/>
        <w:jc w:val="center"/>
        <w:rPr>
          <w:rFonts w:hint="eastAsia" w:ascii="宋体" w:hAnsi="宋体" w:eastAsia="宋体" w:cs="宋体"/>
          <w:color w:val="auto"/>
          <w:sz w:val="32"/>
          <w:szCs w:val="32"/>
          <w:highlight w:val="none"/>
          <w:lang w:eastAsia="zh-CN"/>
        </w:rPr>
      </w:pPr>
      <w:r>
        <w:rPr>
          <w:rFonts w:hint="eastAsia" w:ascii="宋体" w:hAnsi="宋体" w:cs="宋体"/>
          <w:color w:val="auto"/>
          <w:sz w:val="32"/>
          <w:szCs w:val="32"/>
          <w:highlight w:val="none"/>
          <w:lang w:eastAsia="zh-CN"/>
        </w:rPr>
        <w:t>永嘉县瓯北第三小学</w:t>
      </w:r>
    </w:p>
    <w:p w14:paraId="4FF4F291">
      <w:pPr>
        <w:spacing w:line="360" w:lineRule="auto"/>
        <w:jc w:val="center"/>
        <w:rPr>
          <w:rFonts w:hint="eastAsia" w:ascii="宋体" w:hAnsi="宋体" w:eastAsia="宋体" w:cs="宋体"/>
          <w:bCs/>
          <w:color w:val="auto"/>
          <w:sz w:val="32"/>
          <w:szCs w:val="32"/>
          <w:highlight w:val="none"/>
          <w:lang w:eastAsia="zh-CN"/>
        </w:rPr>
      </w:pPr>
      <w:r>
        <w:rPr>
          <w:rFonts w:hint="eastAsia" w:ascii="宋体" w:hAnsi="宋体" w:cs="宋体"/>
          <w:bCs/>
          <w:color w:val="auto"/>
          <w:sz w:val="32"/>
          <w:szCs w:val="32"/>
          <w:highlight w:val="none"/>
          <w:lang w:eastAsia="zh-CN"/>
        </w:rPr>
        <w:t>温州国利项目管理咨询有限公司</w:t>
      </w:r>
    </w:p>
    <w:p w14:paraId="2252991D">
      <w:pPr>
        <w:snapToGrid w:val="0"/>
        <w:spacing w:line="360" w:lineRule="auto"/>
        <w:jc w:val="center"/>
        <w:rPr>
          <w:rFonts w:ascii="宋体" w:hAnsi="宋体" w:cs="宋体"/>
          <w:bCs/>
          <w:color w:val="auto"/>
          <w:sz w:val="32"/>
          <w:szCs w:val="32"/>
          <w:highlight w:val="none"/>
        </w:rPr>
      </w:pPr>
      <w:r>
        <w:rPr>
          <w:rFonts w:hint="eastAsia" w:ascii="宋体" w:hAnsi="宋体" w:cs="宋体"/>
          <w:bCs/>
          <w:color w:val="auto"/>
          <w:sz w:val="32"/>
          <w:szCs w:val="32"/>
          <w:highlight w:val="none"/>
        </w:rPr>
        <w:t>二〇二</w:t>
      </w:r>
      <w:r>
        <w:rPr>
          <w:rFonts w:hint="eastAsia" w:ascii="宋体" w:hAnsi="宋体" w:cs="宋体"/>
          <w:bCs/>
          <w:color w:val="auto"/>
          <w:sz w:val="32"/>
          <w:szCs w:val="32"/>
          <w:highlight w:val="none"/>
          <w:lang w:val="en-US" w:eastAsia="zh-CN"/>
        </w:rPr>
        <w:t>五</w:t>
      </w:r>
      <w:r>
        <w:rPr>
          <w:rFonts w:hint="eastAsia" w:ascii="宋体" w:hAnsi="宋体" w:cs="宋体"/>
          <w:bCs/>
          <w:color w:val="auto"/>
          <w:sz w:val="32"/>
          <w:szCs w:val="32"/>
          <w:highlight w:val="none"/>
        </w:rPr>
        <w:t>年</w:t>
      </w:r>
      <w:r>
        <w:rPr>
          <w:rFonts w:hint="eastAsia" w:ascii="宋体" w:hAnsi="宋体" w:cs="宋体"/>
          <w:bCs/>
          <w:color w:val="auto"/>
          <w:sz w:val="32"/>
          <w:szCs w:val="32"/>
          <w:highlight w:val="none"/>
          <w:lang w:val="en-US" w:eastAsia="zh-CN"/>
        </w:rPr>
        <w:t>七</w:t>
      </w:r>
      <w:r>
        <w:rPr>
          <w:rFonts w:hint="eastAsia" w:ascii="宋体" w:hAnsi="宋体" w:cs="宋体"/>
          <w:bCs/>
          <w:color w:val="auto"/>
          <w:sz w:val="32"/>
          <w:szCs w:val="32"/>
          <w:highlight w:val="none"/>
        </w:rPr>
        <w:t>月</w:t>
      </w:r>
    </w:p>
    <w:p w14:paraId="11ED3971">
      <w:pPr>
        <w:jc w:val="left"/>
        <w:rPr>
          <w:color w:val="auto"/>
          <w:highlight w:val="none"/>
        </w:rPr>
        <w:sectPr>
          <w:footerReference r:id="rId5" w:type="first"/>
          <w:headerReference r:id="rId3" w:type="default"/>
          <w:footerReference r:id="rId4" w:type="default"/>
          <w:pgSz w:w="11906" w:h="16838"/>
          <w:pgMar w:top="1440" w:right="1622" w:bottom="1440" w:left="1287" w:header="851" w:footer="992" w:gutter="0"/>
          <w:pgBorders>
            <w:top w:val="none" w:sz="0" w:space="0"/>
            <w:left w:val="none" w:sz="0" w:space="0"/>
            <w:bottom w:val="none" w:sz="0" w:space="0"/>
            <w:right w:val="none" w:sz="0" w:space="0"/>
          </w:pgBorders>
          <w:cols w:space="720" w:num="1"/>
          <w:titlePg/>
        </w:sectPr>
      </w:pPr>
    </w:p>
    <w:p w14:paraId="7F546142">
      <w:pPr>
        <w:spacing w:line="440" w:lineRule="atLeast"/>
        <w:jc w:val="center"/>
        <w:rPr>
          <w:rFonts w:ascii="宋体" w:hAnsi="宋体" w:eastAsia="宋体" w:cs="仿宋"/>
          <w:color w:val="auto"/>
          <w:sz w:val="36"/>
          <w:szCs w:val="36"/>
          <w:highlight w:val="none"/>
          <w:lang w:val="zh-CN"/>
        </w:rPr>
      </w:pPr>
    </w:p>
    <w:p w14:paraId="2E6BA132">
      <w:pPr>
        <w:spacing w:line="360" w:lineRule="auto"/>
        <w:ind w:firstLine="1606" w:firstLineChars="400"/>
        <w:jc w:val="center"/>
        <w:rPr>
          <w:rFonts w:hint="eastAsia" w:ascii="宋体" w:hAnsi="宋体"/>
          <w:color w:val="auto"/>
          <w:sz w:val="40"/>
          <w:szCs w:val="40"/>
          <w:highlight w:val="none"/>
          <w:lang w:val="zh-CN"/>
        </w:rPr>
      </w:pPr>
    </w:p>
    <w:p w14:paraId="5145BC38">
      <w:pPr>
        <w:spacing w:line="360" w:lineRule="auto"/>
        <w:jc w:val="center"/>
        <w:rPr>
          <w:rFonts w:hint="eastAsia" w:ascii="宋体" w:hAnsi="宋体"/>
          <w:color w:val="auto"/>
          <w:sz w:val="40"/>
          <w:szCs w:val="40"/>
          <w:highlight w:val="none"/>
          <w:lang w:val="zh-CN"/>
        </w:rPr>
      </w:pPr>
      <w:r>
        <w:rPr>
          <w:rFonts w:hint="eastAsia" w:ascii="宋体" w:hAnsi="宋体"/>
          <w:color w:val="auto"/>
          <w:sz w:val="40"/>
          <w:szCs w:val="40"/>
          <w:highlight w:val="none"/>
          <w:lang w:val="zh-CN"/>
        </w:rPr>
        <w:t>目录</w:t>
      </w:r>
    </w:p>
    <w:p w14:paraId="238B9F07">
      <w:pPr>
        <w:pStyle w:val="22"/>
        <w:rPr>
          <w:rFonts w:ascii="宋体" w:hAnsi="宋体" w:cs="仿宋"/>
          <w:color w:val="auto"/>
          <w:sz w:val="36"/>
          <w:szCs w:val="36"/>
          <w:highlight w:val="none"/>
          <w:lang w:val="zh-CN"/>
        </w:rPr>
      </w:pPr>
    </w:p>
    <w:p w14:paraId="5AE3BC13">
      <w:pPr>
        <w:spacing w:line="360" w:lineRule="auto"/>
        <w:ind w:firstLine="1285" w:firstLineChars="400"/>
        <w:rPr>
          <w:rFonts w:ascii="宋体" w:hAnsi="宋体" w:eastAsia="宋体"/>
          <w:color w:val="auto"/>
          <w:sz w:val="32"/>
          <w:szCs w:val="32"/>
          <w:highlight w:val="none"/>
        </w:rPr>
      </w:pPr>
      <w:r>
        <w:rPr>
          <w:rFonts w:hint="eastAsia" w:ascii="宋体" w:hAnsi="宋体"/>
          <w:color w:val="auto"/>
          <w:sz w:val="32"/>
          <w:szCs w:val="32"/>
          <w:highlight w:val="none"/>
        </w:rPr>
        <w:t>第一部分      招标公告</w:t>
      </w:r>
    </w:p>
    <w:p w14:paraId="58559F2F">
      <w:pPr>
        <w:spacing w:line="360" w:lineRule="auto"/>
        <w:ind w:firstLine="1285" w:firstLineChars="400"/>
        <w:rPr>
          <w:rFonts w:ascii="宋体" w:hAnsi="宋体" w:eastAsia="宋体"/>
          <w:color w:val="auto"/>
          <w:sz w:val="32"/>
          <w:szCs w:val="32"/>
          <w:highlight w:val="none"/>
        </w:rPr>
      </w:pPr>
      <w:r>
        <w:rPr>
          <w:rFonts w:hint="eastAsia" w:ascii="宋体" w:hAnsi="宋体"/>
          <w:color w:val="auto"/>
          <w:sz w:val="32"/>
          <w:szCs w:val="32"/>
          <w:highlight w:val="none"/>
        </w:rPr>
        <w:t>第二部分      投标人须知</w:t>
      </w:r>
    </w:p>
    <w:p w14:paraId="3D0765DA">
      <w:pPr>
        <w:spacing w:line="360" w:lineRule="auto"/>
        <w:ind w:firstLine="1285" w:firstLineChars="400"/>
        <w:rPr>
          <w:rFonts w:ascii="宋体" w:hAnsi="宋体" w:eastAsia="宋体"/>
          <w:color w:val="auto"/>
          <w:sz w:val="32"/>
          <w:szCs w:val="32"/>
          <w:highlight w:val="none"/>
        </w:rPr>
      </w:pPr>
      <w:r>
        <w:rPr>
          <w:rFonts w:hint="eastAsia" w:ascii="宋体" w:hAnsi="宋体"/>
          <w:color w:val="auto"/>
          <w:sz w:val="32"/>
          <w:szCs w:val="32"/>
          <w:highlight w:val="none"/>
        </w:rPr>
        <w:t>第三部分      采购需求</w:t>
      </w:r>
    </w:p>
    <w:p w14:paraId="77D0DB15">
      <w:pPr>
        <w:spacing w:line="360" w:lineRule="auto"/>
        <w:ind w:firstLine="1285" w:firstLineChars="400"/>
        <w:rPr>
          <w:rFonts w:ascii="宋体" w:hAnsi="宋体" w:eastAsia="宋体"/>
          <w:color w:val="auto"/>
          <w:sz w:val="32"/>
          <w:szCs w:val="32"/>
          <w:highlight w:val="none"/>
        </w:rPr>
      </w:pPr>
      <w:r>
        <w:rPr>
          <w:rFonts w:hint="eastAsia" w:ascii="宋体" w:hAnsi="宋体"/>
          <w:color w:val="auto"/>
          <w:sz w:val="32"/>
          <w:szCs w:val="32"/>
          <w:highlight w:val="none"/>
        </w:rPr>
        <w:t>第四部分      评标办法</w:t>
      </w:r>
    </w:p>
    <w:p w14:paraId="66AA9182">
      <w:pPr>
        <w:spacing w:line="360" w:lineRule="auto"/>
        <w:ind w:firstLine="1285" w:firstLineChars="400"/>
        <w:rPr>
          <w:rFonts w:ascii="宋体" w:hAnsi="宋体" w:eastAsia="宋体"/>
          <w:color w:val="auto"/>
          <w:sz w:val="32"/>
          <w:szCs w:val="32"/>
          <w:highlight w:val="none"/>
        </w:rPr>
      </w:pPr>
      <w:r>
        <w:rPr>
          <w:rFonts w:hint="eastAsia" w:ascii="宋体" w:hAnsi="宋体"/>
          <w:color w:val="auto"/>
          <w:sz w:val="32"/>
          <w:szCs w:val="32"/>
          <w:highlight w:val="none"/>
        </w:rPr>
        <w:t>第五部分      拟签订的合同文本</w:t>
      </w:r>
    </w:p>
    <w:p w14:paraId="558A3C70">
      <w:pPr>
        <w:spacing w:line="360" w:lineRule="auto"/>
        <w:ind w:firstLine="1285" w:firstLineChars="400"/>
        <w:rPr>
          <w:rFonts w:ascii="宋体" w:hAnsi="宋体" w:eastAsia="宋体"/>
          <w:color w:val="auto"/>
          <w:sz w:val="32"/>
          <w:szCs w:val="32"/>
          <w:highlight w:val="none"/>
        </w:rPr>
      </w:pPr>
      <w:r>
        <w:rPr>
          <w:rFonts w:hint="eastAsia" w:ascii="宋体" w:hAnsi="宋体"/>
          <w:color w:val="auto"/>
          <w:sz w:val="32"/>
          <w:szCs w:val="32"/>
          <w:highlight w:val="none"/>
        </w:rPr>
        <w:t>第六部分      应提交的有关格式范例</w:t>
      </w:r>
    </w:p>
    <w:p w14:paraId="26B8EEB9">
      <w:pPr>
        <w:spacing w:line="360" w:lineRule="auto"/>
        <w:ind w:firstLine="552" w:firstLineChars="229"/>
        <w:rPr>
          <w:rFonts w:ascii="宋体" w:hAnsi="宋体"/>
          <w:color w:val="auto"/>
          <w:sz w:val="24"/>
          <w:highlight w:val="none"/>
        </w:rPr>
      </w:pPr>
      <w:bookmarkStart w:id="0" w:name="_Hlt91233176"/>
      <w:bookmarkEnd w:id="0"/>
    </w:p>
    <w:p w14:paraId="10B8EC20">
      <w:pPr>
        <w:spacing w:line="360" w:lineRule="auto"/>
        <w:ind w:firstLine="552" w:firstLineChars="229"/>
        <w:rPr>
          <w:rFonts w:ascii="宋体" w:hAnsi="宋体"/>
          <w:color w:val="auto"/>
          <w:sz w:val="24"/>
          <w:highlight w:val="none"/>
        </w:rPr>
      </w:pPr>
    </w:p>
    <w:p w14:paraId="1B10B351">
      <w:pPr>
        <w:spacing w:line="560" w:lineRule="exact"/>
        <w:ind w:left="567" w:leftChars="270" w:right="565" w:rightChars="269" w:firstLine="426" w:firstLineChars="202"/>
        <w:rPr>
          <w:rFonts w:hint="eastAsia" w:ascii="楷体" w:hAnsi="楷体" w:eastAsia="楷体"/>
          <w:bCs/>
          <w:color w:val="auto"/>
          <w:highlight w:val="none"/>
          <w:u w:val="single"/>
        </w:rPr>
      </w:pPr>
    </w:p>
    <w:p w14:paraId="741F26B7">
      <w:pPr>
        <w:spacing w:line="560" w:lineRule="exact"/>
        <w:ind w:left="567" w:leftChars="270" w:right="565" w:rightChars="269" w:firstLine="426" w:firstLineChars="202"/>
        <w:rPr>
          <w:rFonts w:ascii="宋体" w:hAnsi="宋体"/>
          <w:bCs/>
          <w:color w:val="auto"/>
          <w:highlight w:val="none"/>
        </w:rPr>
      </w:pPr>
      <w:r>
        <w:rPr>
          <w:rFonts w:hint="eastAsia" w:ascii="楷体" w:hAnsi="楷体" w:eastAsia="楷体"/>
          <w:bCs/>
          <w:color w:val="auto"/>
          <w:highlight w:val="none"/>
          <w:u w:val="single"/>
        </w:rPr>
        <w:t>注：▲招标文件中标“▲”且加下划线部分，为招标的实质性要求，着重提醒各投标人必须响应。各投标人必须认真阅读和理解招标文件中的每一个条款及要求，因误读招标文件而造成的后果，采购人及采购代理机构概不负责。</w:t>
      </w:r>
    </w:p>
    <w:p w14:paraId="1825B544">
      <w:pPr>
        <w:pStyle w:val="35"/>
        <w:tabs>
          <w:tab w:val="right" w:leader="dot" w:pos="9169"/>
        </w:tabs>
        <w:spacing w:line="480" w:lineRule="auto"/>
        <w:rPr>
          <w:rFonts w:cs="宋体"/>
          <w:b w:val="0"/>
          <w:color w:val="auto"/>
          <w:kern w:val="0"/>
          <w:highlight w:val="none"/>
        </w:rPr>
      </w:pPr>
      <w:r>
        <w:rPr>
          <w:color w:val="auto"/>
          <w:highlight w:val="none"/>
          <w:lang w:val="zh-CN"/>
        </w:rPr>
        <w:t xml:space="preserve"> </w:t>
      </w:r>
      <w:bookmarkStart w:id="1" w:name="_Toc486964700"/>
      <w:bookmarkEnd w:id="1"/>
    </w:p>
    <w:p w14:paraId="2C4D23A0">
      <w:pPr>
        <w:pStyle w:val="16"/>
        <w:spacing w:before="240" w:after="60"/>
        <w:jc w:val="center"/>
        <w:outlineLvl w:val="0"/>
        <w:rPr>
          <w:rFonts w:ascii="宋体" w:hAnsi="宋体" w:eastAsia="宋体" w:cs="宋体"/>
          <w:b/>
          <w:color w:val="auto"/>
          <w:kern w:val="0"/>
          <w:sz w:val="32"/>
          <w:szCs w:val="32"/>
          <w:highlight w:val="none"/>
        </w:rPr>
      </w:pPr>
    </w:p>
    <w:p w14:paraId="537940F8">
      <w:pPr>
        <w:pStyle w:val="16"/>
        <w:spacing w:before="240" w:after="60"/>
        <w:jc w:val="center"/>
        <w:outlineLvl w:val="0"/>
        <w:rPr>
          <w:rFonts w:ascii="宋体" w:hAnsi="宋体" w:eastAsia="宋体" w:cs="宋体"/>
          <w:b/>
          <w:color w:val="auto"/>
          <w:kern w:val="0"/>
          <w:sz w:val="32"/>
          <w:szCs w:val="32"/>
          <w:highlight w:val="none"/>
        </w:rPr>
      </w:pPr>
    </w:p>
    <w:p w14:paraId="7484FB8E">
      <w:pPr>
        <w:rPr>
          <w:color w:val="auto"/>
          <w:highlight w:val="none"/>
        </w:rPr>
      </w:pPr>
    </w:p>
    <w:p w14:paraId="0E2CD298">
      <w:pPr>
        <w:rPr>
          <w:color w:val="auto"/>
          <w:highlight w:val="none"/>
        </w:rPr>
      </w:pPr>
    </w:p>
    <w:p w14:paraId="4A561210">
      <w:pPr>
        <w:pStyle w:val="16"/>
        <w:spacing w:before="240" w:after="60"/>
        <w:jc w:val="center"/>
        <w:outlineLvl w:val="0"/>
        <w:rPr>
          <w:rFonts w:hint="eastAsia" w:ascii="宋体" w:hAnsi="宋体" w:eastAsia="宋体" w:cs="宋体"/>
          <w:b/>
          <w:color w:val="auto"/>
          <w:kern w:val="0"/>
          <w:sz w:val="32"/>
          <w:szCs w:val="32"/>
          <w:highlight w:val="none"/>
        </w:rPr>
      </w:pPr>
    </w:p>
    <w:p w14:paraId="45084057">
      <w:pPr>
        <w:pStyle w:val="16"/>
        <w:spacing w:before="240" w:after="60"/>
        <w:jc w:val="center"/>
        <w:outlineLvl w:val="0"/>
        <w:rPr>
          <w:rFonts w:hint="eastAsia" w:ascii="宋体" w:hAnsi="宋体" w:eastAsia="宋体" w:cs="宋体"/>
          <w:b/>
          <w:color w:val="auto"/>
          <w:kern w:val="0"/>
          <w:sz w:val="32"/>
          <w:szCs w:val="32"/>
          <w:highlight w:val="none"/>
        </w:rPr>
      </w:pPr>
      <w:bookmarkStart w:id="2" w:name="_Toc567"/>
    </w:p>
    <w:p w14:paraId="3B167FBC">
      <w:pPr>
        <w:pStyle w:val="16"/>
        <w:spacing w:before="240" w:after="60"/>
        <w:jc w:val="center"/>
        <w:outlineLvl w:val="0"/>
        <w:rPr>
          <w:rFonts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第一部分 招标</w:t>
      </w:r>
      <w:r>
        <w:rPr>
          <w:rFonts w:ascii="宋体" w:hAnsi="宋体" w:eastAsia="宋体" w:cs="宋体"/>
          <w:b/>
          <w:color w:val="auto"/>
          <w:kern w:val="0"/>
          <w:sz w:val="32"/>
          <w:szCs w:val="32"/>
          <w:highlight w:val="none"/>
        </w:rPr>
        <w:t>公告</w:t>
      </w:r>
      <w:bookmarkEnd w:id="2"/>
    </w:p>
    <w:p w14:paraId="6A0117EC">
      <w:pPr>
        <w:widowControl/>
        <w:autoSpaceDE w:val="0"/>
        <w:autoSpaceDN w:val="0"/>
        <w:adjustRightInd w:val="0"/>
        <w:spacing w:line="460" w:lineRule="atLeast"/>
        <w:textAlignment w:val="bottom"/>
        <w:rPr>
          <w:rFonts w:ascii="宋体" w:eastAsia="宋体"/>
          <w:bCs/>
          <w:color w:val="auto"/>
          <w:sz w:val="22"/>
          <w:highlight w:val="none"/>
        </w:rPr>
      </w:pPr>
      <w:bookmarkStart w:id="3" w:name="_Hlk49874414"/>
      <w:r>
        <w:rPr>
          <w:rFonts w:hint="eastAsia" w:ascii="宋体" w:eastAsia="宋体"/>
          <w:bCs/>
          <w:color w:val="auto"/>
          <w:sz w:val="22"/>
          <w:highlight w:val="none"/>
        </w:rPr>
        <w:t>项目概况：</w:t>
      </w:r>
    </w:p>
    <w:p w14:paraId="0251A527">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lang w:eastAsia="zh-CN"/>
        </w:rPr>
        <w:t>永嘉县瓯北第三小学科学实验室设备</w:t>
      </w:r>
      <w:r>
        <w:rPr>
          <w:rFonts w:hint="eastAsia" w:ascii="宋体" w:eastAsia="宋体"/>
          <w:b w:val="0"/>
          <w:color w:val="auto"/>
          <w:sz w:val="22"/>
          <w:highlight w:val="none"/>
          <w:lang w:val="en-US" w:eastAsia="zh-CN"/>
        </w:rPr>
        <w:t>招标</w:t>
      </w:r>
      <w:r>
        <w:rPr>
          <w:rFonts w:hint="eastAsia" w:ascii="宋体" w:eastAsia="宋体"/>
          <w:b w:val="0"/>
          <w:color w:val="auto"/>
          <w:sz w:val="22"/>
          <w:highlight w:val="none"/>
        </w:rPr>
        <w:t>项目的潜在投标人应在政采云获取（下载）招标文件，并于</w:t>
      </w:r>
      <w:r>
        <w:rPr>
          <w:rFonts w:hint="eastAsia" w:ascii="宋体" w:eastAsia="宋体"/>
          <w:b w:val="0"/>
          <w:color w:val="auto"/>
          <w:sz w:val="22"/>
          <w:highlight w:val="none"/>
          <w:lang w:eastAsia="zh-CN"/>
        </w:rPr>
        <w:t>2025年</w:t>
      </w:r>
      <w:r>
        <w:rPr>
          <w:rFonts w:hint="eastAsia" w:ascii="宋体" w:eastAsia="宋体"/>
          <w:b w:val="0"/>
          <w:color w:val="auto"/>
          <w:sz w:val="22"/>
          <w:highlight w:val="none"/>
          <w:lang w:val="en-US" w:eastAsia="zh-CN"/>
        </w:rPr>
        <w:t>8</w:t>
      </w:r>
      <w:r>
        <w:rPr>
          <w:rFonts w:hint="eastAsia" w:ascii="宋体" w:eastAsia="宋体"/>
          <w:b w:val="0"/>
          <w:color w:val="auto"/>
          <w:sz w:val="22"/>
          <w:highlight w:val="none"/>
          <w:lang w:eastAsia="zh-CN"/>
        </w:rPr>
        <w:t>月</w:t>
      </w:r>
      <w:r>
        <w:rPr>
          <w:rFonts w:hint="eastAsia" w:ascii="宋体" w:eastAsia="宋体"/>
          <w:b w:val="0"/>
          <w:color w:val="auto"/>
          <w:sz w:val="22"/>
          <w:highlight w:val="none"/>
          <w:lang w:val="en-US" w:eastAsia="zh-CN"/>
        </w:rPr>
        <w:t>5</w:t>
      </w:r>
      <w:r>
        <w:rPr>
          <w:rFonts w:hint="eastAsia" w:ascii="宋体" w:eastAsia="宋体"/>
          <w:b w:val="0"/>
          <w:color w:val="auto"/>
          <w:sz w:val="22"/>
          <w:highlight w:val="none"/>
          <w:lang w:eastAsia="zh-CN"/>
        </w:rPr>
        <w:t>日</w:t>
      </w:r>
      <w:r>
        <w:rPr>
          <w:rFonts w:hint="eastAsia" w:ascii="宋体" w:eastAsia="宋体"/>
          <w:b w:val="0"/>
          <w:color w:val="auto"/>
          <w:sz w:val="22"/>
          <w:highlight w:val="none"/>
        </w:rPr>
        <w:t xml:space="preserve"> </w:t>
      </w:r>
      <w:r>
        <w:rPr>
          <w:rFonts w:hint="eastAsia" w:ascii="宋体" w:eastAsia="宋体"/>
          <w:b w:val="0"/>
          <w:color w:val="auto"/>
          <w:sz w:val="22"/>
          <w:highlight w:val="none"/>
          <w:lang w:val="en-US" w:eastAsia="zh-CN"/>
        </w:rPr>
        <w:t>14</w:t>
      </w:r>
      <w:r>
        <w:rPr>
          <w:rFonts w:hint="eastAsia" w:ascii="宋体" w:eastAsia="宋体"/>
          <w:b w:val="0"/>
          <w:color w:val="auto"/>
          <w:sz w:val="22"/>
          <w:highlight w:val="none"/>
        </w:rPr>
        <w:t>:30（北京时间）前递交（上传）投标文件。 </w:t>
      </w:r>
    </w:p>
    <w:p w14:paraId="69C09385">
      <w:pPr>
        <w:widowControl/>
        <w:autoSpaceDE w:val="0"/>
        <w:autoSpaceDN w:val="0"/>
        <w:adjustRightInd w:val="0"/>
        <w:spacing w:line="460" w:lineRule="atLeast"/>
        <w:textAlignment w:val="bottom"/>
        <w:rPr>
          <w:rFonts w:ascii="宋体" w:eastAsia="宋体"/>
          <w:b w:val="0"/>
          <w:color w:val="auto"/>
          <w:sz w:val="22"/>
          <w:highlight w:val="none"/>
        </w:rPr>
      </w:pPr>
      <w:r>
        <w:rPr>
          <w:rFonts w:hint="eastAsia" w:ascii="宋体" w:eastAsia="宋体"/>
          <w:bCs/>
          <w:color w:val="auto"/>
          <w:sz w:val="22"/>
          <w:highlight w:val="none"/>
        </w:rPr>
        <w:t>一、项目基本情况</w:t>
      </w:r>
    </w:p>
    <w:p w14:paraId="2B98FE03">
      <w:pPr>
        <w:widowControl/>
        <w:autoSpaceDE w:val="0"/>
        <w:autoSpaceDN w:val="0"/>
        <w:adjustRightInd w:val="0"/>
        <w:spacing w:line="460" w:lineRule="atLeast"/>
        <w:ind w:firstLine="440" w:firstLineChars="200"/>
        <w:textAlignment w:val="bottom"/>
        <w:rPr>
          <w:rFonts w:hint="eastAsia" w:ascii="宋体" w:eastAsia="宋体"/>
          <w:b w:val="0"/>
          <w:bCs/>
          <w:color w:val="auto"/>
          <w:sz w:val="22"/>
          <w:highlight w:val="none"/>
          <w:lang w:eastAsia="zh-CN"/>
        </w:rPr>
      </w:pPr>
      <w:r>
        <w:rPr>
          <w:rFonts w:hint="eastAsia" w:ascii="宋体" w:eastAsia="宋体"/>
          <w:b w:val="0"/>
          <w:color w:val="auto"/>
          <w:sz w:val="22"/>
          <w:highlight w:val="none"/>
        </w:rPr>
        <w:t>项目编号</w:t>
      </w:r>
      <w:r>
        <w:rPr>
          <w:rFonts w:hint="eastAsia" w:ascii="宋体" w:eastAsia="宋体"/>
          <w:b w:val="0"/>
          <w:bCs/>
          <w:color w:val="auto"/>
          <w:sz w:val="22"/>
          <w:highlight w:val="none"/>
          <w:lang w:eastAsia="zh-CN"/>
        </w:rPr>
        <w:t>：</w:t>
      </w:r>
      <w:r>
        <w:rPr>
          <w:rFonts w:hint="eastAsia" w:ascii="宋体" w:eastAsia="宋体"/>
          <w:b w:val="0"/>
          <w:bCs/>
          <w:color w:val="auto"/>
          <w:sz w:val="22"/>
          <w:highlight w:val="none"/>
          <w:lang w:val="en-US" w:eastAsia="zh-CN"/>
        </w:rPr>
        <w:t>WZGL-YJ-2025071401</w:t>
      </w:r>
    </w:p>
    <w:p w14:paraId="10851DB0">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bCs/>
          <w:color w:val="auto"/>
          <w:sz w:val="22"/>
          <w:highlight w:val="none"/>
        </w:rPr>
        <w:t>项目名称：</w:t>
      </w:r>
      <w:r>
        <w:rPr>
          <w:rFonts w:hint="eastAsia" w:ascii="宋体" w:eastAsia="宋体"/>
          <w:b w:val="0"/>
          <w:bCs/>
          <w:color w:val="auto"/>
          <w:sz w:val="22"/>
          <w:highlight w:val="none"/>
          <w:lang w:eastAsia="zh-CN"/>
        </w:rPr>
        <w:t>永嘉县瓯北第三小学科学实验室设备</w:t>
      </w:r>
    </w:p>
    <w:p w14:paraId="706D9B17">
      <w:pPr>
        <w:widowControl/>
        <w:autoSpaceDE w:val="0"/>
        <w:autoSpaceDN w:val="0"/>
        <w:adjustRightInd w:val="0"/>
        <w:spacing w:line="460" w:lineRule="atLeast"/>
        <w:ind w:firstLine="440" w:firstLineChars="200"/>
        <w:textAlignment w:val="bottom"/>
        <w:rPr>
          <w:rFonts w:hint="default" w:ascii="宋体" w:eastAsia="宋体"/>
          <w:b w:val="0"/>
          <w:color w:val="auto"/>
          <w:sz w:val="22"/>
          <w:highlight w:val="none"/>
          <w:lang w:val="en-US" w:eastAsia="zh-CN"/>
        </w:rPr>
      </w:pPr>
      <w:r>
        <w:rPr>
          <w:rFonts w:hint="eastAsia" w:ascii="宋体" w:eastAsia="宋体"/>
          <w:b w:val="0"/>
          <w:color w:val="auto"/>
          <w:sz w:val="22"/>
          <w:highlight w:val="none"/>
        </w:rPr>
        <w:t>预算金额（元）：</w:t>
      </w:r>
      <w:r>
        <w:rPr>
          <w:rFonts w:hint="eastAsia" w:ascii="宋体" w:eastAsia="宋体"/>
          <w:b w:val="0"/>
          <w:color w:val="auto"/>
          <w:sz w:val="22"/>
          <w:highlight w:val="none"/>
          <w:lang w:val="en-US" w:eastAsia="zh-CN"/>
        </w:rPr>
        <w:t>527924.75</w:t>
      </w:r>
    </w:p>
    <w:p w14:paraId="2B0879F3">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lang w:val="en-US" w:eastAsia="zh-CN"/>
        </w:rPr>
      </w:pPr>
      <w:r>
        <w:rPr>
          <w:rFonts w:hint="eastAsia" w:ascii="宋体" w:eastAsia="宋体"/>
          <w:b w:val="0"/>
          <w:color w:val="auto"/>
          <w:sz w:val="22"/>
          <w:highlight w:val="none"/>
        </w:rPr>
        <w:t>最高限价（元）：</w:t>
      </w:r>
      <w:r>
        <w:rPr>
          <w:rFonts w:hint="eastAsia" w:ascii="宋体" w:eastAsia="宋体"/>
          <w:b w:val="0"/>
          <w:color w:val="auto"/>
          <w:sz w:val="22"/>
          <w:highlight w:val="none"/>
          <w:lang w:val="en-US" w:eastAsia="zh-CN"/>
        </w:rPr>
        <w:t>415000</w:t>
      </w:r>
    </w:p>
    <w:p w14:paraId="47905BF3">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采购需求：</w:t>
      </w:r>
    </w:p>
    <w:p w14:paraId="00AB471A">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标项一:</w:t>
      </w:r>
    </w:p>
    <w:p w14:paraId="0AD956C7">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lang w:eastAsia="zh-CN"/>
        </w:rPr>
      </w:pPr>
      <w:r>
        <w:rPr>
          <w:rFonts w:hint="eastAsia" w:ascii="宋体" w:eastAsia="宋体"/>
          <w:b w:val="0"/>
          <w:color w:val="auto"/>
          <w:sz w:val="22"/>
          <w:highlight w:val="none"/>
        </w:rPr>
        <w:t>标项名称:</w:t>
      </w:r>
      <w:r>
        <w:rPr>
          <w:rFonts w:ascii="宋体" w:eastAsia="宋体"/>
          <w:b w:val="0"/>
          <w:color w:val="auto"/>
          <w:sz w:val="22"/>
          <w:highlight w:val="none"/>
        </w:rPr>
        <w:t> </w:t>
      </w:r>
      <w:r>
        <w:rPr>
          <w:rFonts w:hint="eastAsia" w:ascii="宋体" w:eastAsia="宋体"/>
          <w:b w:val="0"/>
          <w:color w:val="auto"/>
          <w:sz w:val="22"/>
          <w:highlight w:val="none"/>
          <w:lang w:eastAsia="zh-CN"/>
        </w:rPr>
        <w:t>永嘉县瓯北第三小学科学实验室设备</w:t>
      </w:r>
    </w:p>
    <w:p w14:paraId="076EB6C9">
      <w:pPr>
        <w:widowControl/>
        <w:autoSpaceDE w:val="0"/>
        <w:autoSpaceDN w:val="0"/>
        <w:adjustRightInd w:val="0"/>
        <w:spacing w:line="460" w:lineRule="atLeast"/>
        <w:ind w:firstLine="440" w:firstLineChars="200"/>
        <w:textAlignment w:val="bottom"/>
        <w:rPr>
          <w:rFonts w:hint="default" w:ascii="宋体" w:eastAsia="宋体"/>
          <w:b w:val="0"/>
          <w:color w:val="auto"/>
          <w:sz w:val="22"/>
          <w:highlight w:val="none"/>
          <w:lang w:val="en-US" w:eastAsia="zh-CN"/>
        </w:rPr>
      </w:pPr>
      <w:r>
        <w:rPr>
          <w:rFonts w:hint="eastAsia" w:ascii="宋体" w:eastAsia="宋体"/>
          <w:b w:val="0"/>
          <w:color w:val="auto"/>
          <w:sz w:val="22"/>
          <w:highlight w:val="none"/>
        </w:rPr>
        <w:t>数量:</w:t>
      </w:r>
      <w:r>
        <w:rPr>
          <w:rFonts w:hint="eastAsia" w:ascii="宋体" w:eastAsia="宋体"/>
          <w:b w:val="0"/>
          <w:color w:val="auto"/>
          <w:sz w:val="22"/>
          <w:highlight w:val="none"/>
          <w:lang w:val="en-US" w:eastAsia="zh-CN"/>
        </w:rPr>
        <w:t>1批</w:t>
      </w:r>
    </w:p>
    <w:p w14:paraId="06165757">
      <w:pPr>
        <w:widowControl/>
        <w:autoSpaceDE w:val="0"/>
        <w:autoSpaceDN w:val="0"/>
        <w:adjustRightInd w:val="0"/>
        <w:spacing w:line="460" w:lineRule="atLeast"/>
        <w:ind w:firstLine="440" w:firstLineChars="200"/>
        <w:textAlignment w:val="bottom"/>
        <w:rPr>
          <w:rFonts w:hint="default" w:ascii="宋体" w:eastAsia="宋体"/>
          <w:b w:val="0"/>
          <w:color w:val="auto"/>
          <w:sz w:val="22"/>
          <w:highlight w:val="none"/>
          <w:lang w:val="en-US" w:eastAsia="zh-CN"/>
        </w:rPr>
      </w:pPr>
      <w:r>
        <w:rPr>
          <w:rFonts w:hint="eastAsia" w:ascii="宋体" w:eastAsia="宋体"/>
          <w:b w:val="0"/>
          <w:color w:val="auto"/>
          <w:sz w:val="22"/>
          <w:highlight w:val="none"/>
        </w:rPr>
        <w:t>预算金额（元）:</w:t>
      </w:r>
      <w:r>
        <w:rPr>
          <w:rFonts w:hint="eastAsia" w:ascii="宋体" w:eastAsia="宋体"/>
          <w:b w:val="0"/>
          <w:color w:val="auto"/>
          <w:sz w:val="22"/>
          <w:highlight w:val="none"/>
          <w:lang w:val="en-US" w:eastAsia="zh-CN"/>
        </w:rPr>
        <w:t>527924.75</w:t>
      </w:r>
    </w:p>
    <w:p w14:paraId="182F5A95">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r>
        <w:rPr>
          <w:rFonts w:hint="eastAsia" w:ascii="宋体" w:eastAsia="宋体" w:cs="宋体"/>
          <w:b w:val="0"/>
          <w:color w:val="auto"/>
          <w:sz w:val="22"/>
          <w:highlight w:val="none"/>
          <w:lang w:val="en-US" w:eastAsia="zh-CN"/>
        </w:rPr>
        <w:t>简要规格描述： </w:t>
      </w:r>
      <w:r>
        <w:rPr>
          <w:rFonts w:hint="eastAsia" w:ascii="宋体" w:eastAsia="宋体"/>
          <w:b w:val="0"/>
          <w:color w:val="auto"/>
          <w:sz w:val="22"/>
          <w:highlight w:val="none"/>
          <w:lang w:eastAsia="zh-CN"/>
        </w:rPr>
        <w:t>永嘉县瓯北第三小学科学实验室设备</w:t>
      </w:r>
      <w:r>
        <w:rPr>
          <w:rFonts w:hint="eastAsia" w:ascii="宋体" w:eastAsia="宋体" w:cs="宋体"/>
          <w:b w:val="0"/>
          <w:color w:val="auto"/>
          <w:sz w:val="22"/>
          <w:highlight w:val="none"/>
          <w:lang w:val="en-US" w:eastAsia="zh-CN"/>
        </w:rPr>
        <w:t>项目。</w:t>
      </w:r>
    </w:p>
    <w:p w14:paraId="5DAD271D">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r>
        <w:rPr>
          <w:rFonts w:hint="eastAsia" w:ascii="宋体" w:eastAsia="宋体" w:cs="宋体"/>
          <w:b w:val="0"/>
          <w:color w:val="auto"/>
          <w:sz w:val="22"/>
          <w:highlight w:val="none"/>
          <w:lang w:val="en-US" w:eastAsia="zh-CN"/>
        </w:rPr>
        <w:t>备注：</w:t>
      </w:r>
    </w:p>
    <w:p w14:paraId="36909F62">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合同履约期限：</w:t>
      </w:r>
      <w:r>
        <w:rPr>
          <w:rFonts w:hint="eastAsia" w:ascii="宋体" w:eastAsia="宋体"/>
          <w:b w:val="0"/>
          <w:color w:val="auto"/>
          <w:sz w:val="22"/>
          <w:highlight w:val="none"/>
          <w:lang w:val="en-US" w:eastAsia="zh-CN"/>
        </w:rPr>
        <w:t>见招标文件</w:t>
      </w:r>
      <w:r>
        <w:rPr>
          <w:rFonts w:hint="eastAsia" w:ascii="宋体" w:eastAsia="宋体"/>
          <w:b w:val="0"/>
          <w:color w:val="auto"/>
          <w:sz w:val="22"/>
          <w:highlight w:val="none"/>
        </w:rPr>
        <w:t>。</w:t>
      </w:r>
    </w:p>
    <w:p w14:paraId="453D22C2">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本项目（</w:t>
      </w:r>
      <w:r>
        <w:rPr>
          <w:rFonts w:hint="eastAsia" w:ascii="宋体" w:eastAsia="宋体"/>
          <w:b w:val="0"/>
          <w:color w:val="auto"/>
          <w:sz w:val="22"/>
          <w:highlight w:val="none"/>
          <w:lang w:val="en-US" w:eastAsia="zh-CN"/>
        </w:rPr>
        <w:t>否</w:t>
      </w:r>
      <w:r>
        <w:rPr>
          <w:rFonts w:hint="eastAsia" w:ascii="宋体" w:eastAsia="宋体"/>
          <w:b w:val="0"/>
          <w:color w:val="auto"/>
          <w:sz w:val="22"/>
          <w:highlight w:val="none"/>
        </w:rPr>
        <w:t>）接受联合体投标。</w:t>
      </w:r>
    </w:p>
    <w:p w14:paraId="235C68DB">
      <w:pPr>
        <w:widowControl/>
        <w:autoSpaceDE w:val="0"/>
        <w:autoSpaceDN w:val="0"/>
        <w:adjustRightInd w:val="0"/>
        <w:spacing w:line="460" w:lineRule="atLeast"/>
        <w:textAlignment w:val="bottom"/>
        <w:rPr>
          <w:rFonts w:ascii="宋体" w:eastAsia="宋体"/>
          <w:bCs/>
          <w:color w:val="auto"/>
          <w:sz w:val="22"/>
          <w:highlight w:val="none"/>
        </w:rPr>
      </w:pPr>
      <w:r>
        <w:rPr>
          <w:rFonts w:hint="eastAsia" w:ascii="宋体" w:eastAsia="宋体"/>
          <w:bCs/>
          <w:color w:val="auto"/>
          <w:sz w:val="22"/>
          <w:highlight w:val="none"/>
        </w:rPr>
        <w:t>二、申请人的资格要求：</w:t>
      </w:r>
    </w:p>
    <w:p w14:paraId="34998C47">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1.满足《中华人民共和国政府采购法》第二十二条规定；未被“信用中国”（www.creditchina.gov.cn)、中国政府采购网（www.ccgp.gov.cn）列入失信被执行人、重大税收违法案件当事人名单、政府采购严重违法失信行为记录名单。</w:t>
      </w:r>
    </w:p>
    <w:p w14:paraId="1A21FE7A">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2.落实政府采购政策需满足的资格要求：</w:t>
      </w:r>
    </w:p>
    <w:p w14:paraId="6A0534F6">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sdt>
        <w:sdtPr>
          <w:rPr>
            <w:rFonts w:hint="eastAsia" w:ascii="宋体" w:eastAsia="宋体"/>
            <w:b w:val="0"/>
            <w:color w:val="auto"/>
            <w:sz w:val="22"/>
            <w:highlight w:val="none"/>
          </w:rPr>
          <w:id w:val="-1024704304"/>
          <w14:checkbox>
            <w14:checked w14:val="1"/>
            <w14:checkedState w14:val="00FE" w14:font="Wingdings"/>
            <w14:uncheckedState w14:val="2610" w14:font="MS Gothic"/>
          </w14:checkbox>
        </w:sdtPr>
        <w:sdtEndPr>
          <w:rPr>
            <w:rFonts w:hint="eastAsia" w:ascii="宋体" w:eastAsia="宋体"/>
            <w:b w:val="0"/>
            <w:color w:val="auto"/>
            <w:sz w:val="22"/>
            <w:highlight w:val="none"/>
          </w:rPr>
        </w:sdtEndPr>
        <w:sdtContent>
          <w:r>
            <w:rPr>
              <w:rFonts w:hint="eastAsia" w:ascii="Wingdings" w:hAnsi="Wingdings" w:eastAsia="宋体" w:cs="宋体"/>
              <w:b w:val="0"/>
              <w:color w:val="auto"/>
              <w:sz w:val="22"/>
              <w:szCs w:val="21"/>
              <w:highlight w:val="none"/>
              <w:lang w:val="en-US" w:eastAsia="zh-CN" w:bidi="ar-SA"/>
            </w:rPr>
            <w:t>þ</w:t>
          </w:r>
        </w:sdtContent>
      </w:sdt>
      <w:r>
        <w:rPr>
          <w:rFonts w:hint="eastAsia" w:ascii="宋体" w:eastAsia="宋体"/>
          <w:b w:val="0"/>
          <w:color w:val="auto"/>
          <w:sz w:val="22"/>
          <w:highlight w:val="none"/>
        </w:rPr>
        <w:t>专门面向中小企业</w:t>
      </w:r>
    </w:p>
    <w:p w14:paraId="11085311">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sym w:font="Wingdings" w:char="F0FE"/>
      </w:r>
      <w:r>
        <w:rPr>
          <w:rFonts w:hint="eastAsia" w:ascii="宋体" w:eastAsia="宋体"/>
          <w:b w:val="0"/>
          <w:color w:val="auto"/>
          <w:sz w:val="22"/>
          <w:highlight w:val="none"/>
        </w:rPr>
        <w:t>货物全部由符合政策要求的中小企业制造，提供中小企业声明函；</w:t>
      </w:r>
      <w:r>
        <w:rPr>
          <w:rFonts w:hint="eastAsia" w:ascii="宋体" w:eastAsia="宋体"/>
          <w:b w:val="0"/>
          <w:color w:val="auto"/>
          <w:sz w:val="22"/>
          <w:highlight w:val="none"/>
          <w:lang w:val="en-US" w:eastAsia="zh-CN"/>
        </w:rPr>
        <w:t>（监狱企业、残疾人企业等同中小企业）。</w:t>
      </w:r>
    </w:p>
    <w:p w14:paraId="7EAABB5A">
      <w:pPr>
        <w:widowControl/>
        <w:autoSpaceDE w:val="0"/>
        <w:autoSpaceDN w:val="0"/>
        <w:adjustRightInd w:val="0"/>
        <w:spacing w:line="460" w:lineRule="atLeast"/>
        <w:ind w:firstLine="440" w:firstLineChars="200"/>
        <w:textAlignment w:val="bottom"/>
        <w:rPr>
          <w:rFonts w:hint="eastAsia" w:eastAsia="宋体"/>
          <w:color w:val="auto"/>
          <w:highlight w:val="none"/>
          <w:lang w:val="en-US" w:eastAsia="zh-CN"/>
        </w:rPr>
      </w:pPr>
      <w:r>
        <w:rPr>
          <w:rFonts w:hint="eastAsia" w:ascii="宋体" w:eastAsia="宋体"/>
          <w:b w:val="0"/>
          <w:color w:val="auto"/>
          <w:sz w:val="22"/>
          <w:highlight w:val="none"/>
        </w:rPr>
        <w:t>3.本项目的特定资格要求：</w:t>
      </w:r>
      <w:r>
        <w:rPr>
          <w:rFonts w:hint="eastAsia" w:ascii="宋体" w:eastAsia="宋体"/>
          <w:b w:val="0"/>
          <w:color w:val="auto"/>
          <w:sz w:val="22"/>
          <w:highlight w:val="none"/>
          <w:lang w:val="en-US" w:eastAsia="zh-CN"/>
        </w:rPr>
        <w:t>无。</w:t>
      </w:r>
    </w:p>
    <w:p w14:paraId="72B8B640">
      <w:pPr>
        <w:widowControl/>
        <w:autoSpaceDE w:val="0"/>
        <w:autoSpaceDN w:val="0"/>
        <w:adjustRightInd w:val="0"/>
        <w:spacing w:line="460" w:lineRule="atLeast"/>
        <w:textAlignment w:val="bottom"/>
        <w:rPr>
          <w:rFonts w:ascii="宋体" w:eastAsia="宋体"/>
          <w:b w:val="0"/>
          <w:color w:val="auto"/>
          <w:sz w:val="22"/>
          <w:highlight w:val="none"/>
        </w:rPr>
      </w:pPr>
      <w:r>
        <w:rPr>
          <w:rFonts w:hint="eastAsia" w:ascii="宋体" w:eastAsia="宋体"/>
          <w:bCs/>
          <w:color w:val="auto"/>
          <w:sz w:val="22"/>
          <w:highlight w:val="none"/>
        </w:rPr>
        <w:t>三、获取招标文件</w:t>
      </w:r>
    </w:p>
    <w:p w14:paraId="317AFA4E">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时间：/至</w:t>
      </w:r>
      <w:r>
        <w:rPr>
          <w:rFonts w:hint="eastAsia" w:ascii="宋体" w:eastAsia="宋体"/>
          <w:b w:val="0"/>
          <w:color w:val="auto"/>
          <w:sz w:val="22"/>
          <w:highlight w:val="none"/>
          <w:lang w:val="en-US" w:eastAsia="zh-CN"/>
        </w:rPr>
        <w:t>投标截止</w:t>
      </w:r>
      <w:r>
        <w:rPr>
          <w:rFonts w:hint="eastAsia" w:ascii="宋体" w:eastAsia="宋体"/>
          <w:b w:val="0"/>
          <w:color w:val="auto"/>
          <w:sz w:val="22"/>
          <w:highlight w:val="none"/>
        </w:rPr>
        <w:t> ，每天上午00:00至12:00，下午12:00至23:59（北京时间，线上获取法定节假日均可，线下获取文件法定节假日除外）</w:t>
      </w:r>
    </w:p>
    <w:p w14:paraId="748D0EA2">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地点（网址）：政采云</w:t>
      </w:r>
      <w:r>
        <w:rPr>
          <w:rFonts w:ascii="宋体" w:eastAsia="宋体"/>
          <w:b w:val="0"/>
          <w:color w:val="auto"/>
          <w:sz w:val="22"/>
          <w:highlight w:val="none"/>
        </w:rPr>
        <w:t> </w:t>
      </w:r>
    </w:p>
    <w:p w14:paraId="67EAF0E7">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方式：供应商登录政采云平台https://www.zcygov.cn/在线申请获取采购文件（进入“项目采购”应用，在获取采购文件菜单中选择项目，申请获取采购文件） </w:t>
      </w:r>
    </w:p>
    <w:p w14:paraId="188A2FA7">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售价（元）：0</w:t>
      </w:r>
      <w:r>
        <w:rPr>
          <w:rFonts w:ascii="宋体" w:eastAsia="宋体"/>
          <w:b w:val="0"/>
          <w:color w:val="auto"/>
          <w:sz w:val="22"/>
          <w:highlight w:val="none"/>
        </w:rPr>
        <w:t> </w:t>
      </w:r>
    </w:p>
    <w:p w14:paraId="2CA19662">
      <w:pPr>
        <w:widowControl/>
        <w:autoSpaceDE w:val="0"/>
        <w:autoSpaceDN w:val="0"/>
        <w:adjustRightInd w:val="0"/>
        <w:spacing w:line="460" w:lineRule="atLeast"/>
        <w:textAlignment w:val="bottom"/>
        <w:rPr>
          <w:rFonts w:ascii="宋体" w:eastAsia="宋体"/>
          <w:bCs/>
          <w:color w:val="auto"/>
          <w:sz w:val="22"/>
          <w:highlight w:val="none"/>
        </w:rPr>
      </w:pPr>
      <w:r>
        <w:rPr>
          <w:rFonts w:hint="eastAsia" w:ascii="宋体" w:eastAsia="宋体"/>
          <w:bCs/>
          <w:color w:val="auto"/>
          <w:sz w:val="22"/>
          <w:highlight w:val="none"/>
        </w:rPr>
        <w:t>四、提交投标文件截止时间、开标时间和地点</w:t>
      </w:r>
    </w:p>
    <w:p w14:paraId="563CB283">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提交投标文件截止时间：</w:t>
      </w:r>
      <w:r>
        <w:rPr>
          <w:rFonts w:hint="eastAsia" w:ascii="宋体" w:eastAsia="宋体"/>
          <w:b w:val="0"/>
          <w:color w:val="auto"/>
          <w:sz w:val="22"/>
          <w:highlight w:val="none"/>
          <w:lang w:eastAsia="zh-CN"/>
        </w:rPr>
        <w:t>2025年</w:t>
      </w:r>
      <w:r>
        <w:rPr>
          <w:rFonts w:hint="eastAsia" w:ascii="宋体" w:eastAsia="宋体"/>
          <w:b w:val="0"/>
          <w:color w:val="auto"/>
          <w:sz w:val="22"/>
          <w:highlight w:val="none"/>
          <w:lang w:val="en-US" w:eastAsia="zh-CN"/>
        </w:rPr>
        <w:t>8</w:t>
      </w:r>
      <w:r>
        <w:rPr>
          <w:rFonts w:hint="eastAsia" w:ascii="宋体" w:eastAsia="宋体"/>
          <w:b w:val="0"/>
          <w:color w:val="auto"/>
          <w:sz w:val="22"/>
          <w:highlight w:val="none"/>
          <w:lang w:eastAsia="zh-CN"/>
        </w:rPr>
        <w:t>月</w:t>
      </w:r>
      <w:r>
        <w:rPr>
          <w:rFonts w:hint="eastAsia" w:ascii="宋体" w:eastAsia="宋体"/>
          <w:b w:val="0"/>
          <w:color w:val="auto"/>
          <w:sz w:val="22"/>
          <w:highlight w:val="none"/>
          <w:lang w:val="en-US" w:eastAsia="zh-CN"/>
        </w:rPr>
        <w:t>5</w:t>
      </w:r>
      <w:r>
        <w:rPr>
          <w:rFonts w:hint="eastAsia" w:ascii="宋体" w:eastAsia="宋体"/>
          <w:b w:val="0"/>
          <w:color w:val="auto"/>
          <w:sz w:val="22"/>
          <w:highlight w:val="none"/>
          <w:lang w:eastAsia="zh-CN"/>
        </w:rPr>
        <w:t>日</w:t>
      </w:r>
      <w:r>
        <w:rPr>
          <w:rFonts w:hint="eastAsia" w:ascii="宋体" w:eastAsia="宋体"/>
          <w:b w:val="0"/>
          <w:color w:val="auto"/>
          <w:sz w:val="22"/>
          <w:highlight w:val="none"/>
        </w:rPr>
        <w:t xml:space="preserve"> </w:t>
      </w:r>
      <w:r>
        <w:rPr>
          <w:rFonts w:hint="eastAsia" w:ascii="宋体" w:eastAsia="宋体"/>
          <w:b w:val="0"/>
          <w:color w:val="auto"/>
          <w:sz w:val="22"/>
          <w:highlight w:val="none"/>
          <w:lang w:val="en-US" w:eastAsia="zh-CN"/>
        </w:rPr>
        <w:t>14</w:t>
      </w:r>
      <w:r>
        <w:rPr>
          <w:rFonts w:hint="eastAsia" w:ascii="宋体" w:eastAsia="宋体"/>
          <w:b w:val="0"/>
          <w:color w:val="auto"/>
          <w:sz w:val="22"/>
          <w:highlight w:val="none"/>
        </w:rPr>
        <w:t>:30（北京时间）</w:t>
      </w:r>
    </w:p>
    <w:p w14:paraId="6BE74678">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投标地点（网址）：请登录政采云投标客户端投标</w:t>
      </w:r>
    </w:p>
    <w:p w14:paraId="7E624D58">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开标时间：</w:t>
      </w:r>
      <w:r>
        <w:rPr>
          <w:rFonts w:hint="eastAsia" w:ascii="宋体" w:eastAsia="宋体"/>
          <w:b w:val="0"/>
          <w:color w:val="auto"/>
          <w:sz w:val="22"/>
          <w:highlight w:val="none"/>
          <w:lang w:eastAsia="zh-CN"/>
        </w:rPr>
        <w:t>2025年</w:t>
      </w:r>
      <w:r>
        <w:rPr>
          <w:rFonts w:hint="eastAsia" w:ascii="宋体" w:eastAsia="宋体"/>
          <w:b w:val="0"/>
          <w:color w:val="auto"/>
          <w:sz w:val="22"/>
          <w:highlight w:val="none"/>
          <w:lang w:val="en-US" w:eastAsia="zh-CN"/>
        </w:rPr>
        <w:t>8</w:t>
      </w:r>
      <w:r>
        <w:rPr>
          <w:rFonts w:hint="eastAsia" w:ascii="宋体" w:eastAsia="宋体"/>
          <w:b w:val="0"/>
          <w:color w:val="auto"/>
          <w:sz w:val="22"/>
          <w:highlight w:val="none"/>
          <w:lang w:eastAsia="zh-CN"/>
        </w:rPr>
        <w:t>月</w:t>
      </w:r>
      <w:r>
        <w:rPr>
          <w:rFonts w:hint="eastAsia" w:ascii="宋体" w:eastAsia="宋体"/>
          <w:b w:val="0"/>
          <w:color w:val="auto"/>
          <w:sz w:val="22"/>
          <w:highlight w:val="none"/>
          <w:lang w:val="en-US" w:eastAsia="zh-CN"/>
        </w:rPr>
        <w:t>5</w:t>
      </w:r>
      <w:r>
        <w:rPr>
          <w:rFonts w:hint="eastAsia" w:ascii="宋体" w:eastAsia="宋体"/>
          <w:b w:val="0"/>
          <w:color w:val="auto"/>
          <w:sz w:val="22"/>
          <w:highlight w:val="none"/>
          <w:lang w:eastAsia="zh-CN"/>
        </w:rPr>
        <w:t>日</w:t>
      </w:r>
      <w:r>
        <w:rPr>
          <w:rFonts w:hint="eastAsia" w:ascii="宋体" w:eastAsia="宋体"/>
          <w:b w:val="0"/>
          <w:color w:val="auto"/>
          <w:sz w:val="22"/>
          <w:highlight w:val="none"/>
        </w:rPr>
        <w:t xml:space="preserve"> </w:t>
      </w:r>
      <w:r>
        <w:rPr>
          <w:rFonts w:hint="eastAsia" w:ascii="宋体" w:eastAsia="宋体"/>
          <w:b w:val="0"/>
          <w:color w:val="auto"/>
          <w:sz w:val="22"/>
          <w:highlight w:val="none"/>
          <w:lang w:val="en-US" w:eastAsia="zh-CN"/>
        </w:rPr>
        <w:t>14</w:t>
      </w:r>
      <w:r>
        <w:rPr>
          <w:rFonts w:hint="eastAsia" w:ascii="宋体" w:eastAsia="宋体"/>
          <w:b w:val="0"/>
          <w:color w:val="auto"/>
          <w:sz w:val="22"/>
          <w:highlight w:val="none"/>
        </w:rPr>
        <w:t>:30（北京时间）</w:t>
      </w:r>
    </w:p>
    <w:p w14:paraId="29929B5D">
      <w:pPr>
        <w:widowControl/>
        <w:autoSpaceDE w:val="0"/>
        <w:autoSpaceDN w:val="0"/>
        <w:adjustRightInd w:val="0"/>
        <w:spacing w:line="460" w:lineRule="atLeast"/>
        <w:ind w:firstLine="440" w:firstLineChars="200"/>
        <w:textAlignment w:val="bottom"/>
        <w:rPr>
          <w:rFonts w:ascii="宋体" w:eastAsia="宋体" w:cs="Times New Roman"/>
          <w:color w:val="auto"/>
          <w:sz w:val="22"/>
          <w:szCs w:val="22"/>
          <w:highlight w:val="none"/>
        </w:rPr>
      </w:pPr>
      <w:r>
        <w:rPr>
          <w:rFonts w:hint="eastAsia" w:ascii="宋体" w:eastAsia="宋体"/>
          <w:b w:val="0"/>
          <w:color w:val="auto"/>
          <w:sz w:val="22"/>
          <w:highlight w:val="none"/>
        </w:rPr>
        <w:t>开标地点（网址）：政</w:t>
      </w:r>
      <w:r>
        <w:rPr>
          <w:rFonts w:hint="eastAsia" w:ascii="宋体" w:hAnsi="宋体" w:eastAsia="宋体"/>
          <w:b w:val="0"/>
          <w:bCs/>
          <w:color w:val="auto"/>
          <w:sz w:val="22"/>
          <w:szCs w:val="22"/>
          <w:highlight w:val="none"/>
        </w:rPr>
        <w:t>采云平台（https://www.zcygov.cn/）</w:t>
      </w:r>
    </w:p>
    <w:p w14:paraId="513AC6C4">
      <w:pPr>
        <w:widowControl/>
        <w:autoSpaceDE w:val="0"/>
        <w:autoSpaceDN w:val="0"/>
        <w:adjustRightInd w:val="0"/>
        <w:spacing w:line="460" w:lineRule="atLeast"/>
        <w:textAlignment w:val="bottom"/>
        <w:rPr>
          <w:rFonts w:hint="eastAsia" w:ascii="宋体" w:hAnsi="宋体" w:eastAsia="宋体" w:cs="宋体"/>
          <w:b/>
          <w:bCs/>
          <w:color w:val="auto"/>
          <w:kern w:val="0"/>
          <w:sz w:val="22"/>
          <w:szCs w:val="21"/>
          <w:highlight w:val="none"/>
          <w:lang w:eastAsia="zh-CN"/>
        </w:rPr>
      </w:pPr>
      <w:r>
        <w:rPr>
          <w:rFonts w:hint="eastAsia" w:ascii="宋体" w:hAnsi="宋体" w:eastAsia="宋体" w:cs="宋体"/>
          <w:b/>
          <w:bCs/>
          <w:color w:val="auto"/>
          <w:kern w:val="0"/>
          <w:sz w:val="22"/>
          <w:szCs w:val="21"/>
          <w:highlight w:val="none"/>
          <w:lang w:val="en-US" w:eastAsia="zh-CN"/>
        </w:rPr>
        <w:t>五、</w:t>
      </w:r>
      <w:r>
        <w:rPr>
          <w:rFonts w:hint="eastAsia" w:ascii="宋体" w:hAnsi="宋体" w:eastAsia="宋体" w:cs="宋体"/>
          <w:b/>
          <w:bCs/>
          <w:color w:val="auto"/>
          <w:kern w:val="0"/>
          <w:sz w:val="22"/>
          <w:szCs w:val="21"/>
          <w:highlight w:val="none"/>
          <w:lang w:eastAsia="zh-CN"/>
        </w:rPr>
        <w:t>采购意向公开链接</w:t>
      </w:r>
    </w:p>
    <w:p w14:paraId="5E765E04">
      <w:pPr>
        <w:widowControl/>
        <w:autoSpaceDE w:val="0"/>
        <w:autoSpaceDN w:val="0"/>
        <w:adjustRightInd w:val="0"/>
        <w:spacing w:line="460" w:lineRule="atLeast"/>
        <w:ind w:firstLine="442" w:firstLineChars="200"/>
        <w:textAlignment w:val="bottom"/>
        <w:rPr>
          <w:rFonts w:hint="default" w:ascii="宋体" w:eastAsia="宋体"/>
          <w:bCs/>
          <w:color w:val="auto"/>
          <w:sz w:val="22"/>
          <w:highlight w:val="none"/>
          <w:lang w:val="en-US" w:eastAsia="zh-CN"/>
        </w:rPr>
      </w:pPr>
      <w:r>
        <w:rPr>
          <w:rFonts w:hint="eastAsia" w:ascii="宋体" w:eastAsia="宋体"/>
          <w:bCs/>
          <w:color w:val="auto"/>
          <w:sz w:val="22"/>
          <w:highlight w:val="none"/>
          <w:lang w:val="en-US" w:eastAsia="zh-CN"/>
        </w:rPr>
        <w:fldChar w:fldCharType="begin"/>
      </w:r>
      <w:r>
        <w:rPr>
          <w:rFonts w:hint="eastAsia" w:ascii="宋体" w:eastAsia="宋体"/>
          <w:bCs/>
          <w:color w:val="auto"/>
          <w:sz w:val="22"/>
          <w:highlight w:val="none"/>
          <w:lang w:val="en-US" w:eastAsia="zh-CN"/>
        </w:rPr>
        <w:instrText xml:space="preserve"> HYPERLINK "https://zfcg.czt.zj.gov.cn/site/detail?parentId=600007&amp;articleId=26MVdEZU5XUziKxPiDwyiQ%3D%3D" </w:instrText>
      </w:r>
      <w:r>
        <w:rPr>
          <w:rFonts w:hint="eastAsia" w:ascii="宋体" w:eastAsia="宋体"/>
          <w:bCs/>
          <w:color w:val="auto"/>
          <w:sz w:val="22"/>
          <w:highlight w:val="none"/>
          <w:lang w:val="en-US" w:eastAsia="zh-CN"/>
        </w:rPr>
        <w:fldChar w:fldCharType="separate"/>
      </w:r>
      <w:r>
        <w:rPr>
          <w:rStyle w:val="55"/>
          <w:rFonts w:hint="eastAsia" w:ascii="宋体" w:eastAsia="宋体"/>
          <w:bCs/>
          <w:color w:val="auto"/>
          <w:sz w:val="22"/>
          <w:highlight w:val="none"/>
          <w:lang w:val="en-US" w:eastAsia="zh-CN"/>
        </w:rPr>
        <w:t>https://zfcg.czt.zj.gov.cn/site/detail?parentId=600007&amp;articleId=26MVdEZU5XUziKxPiDwyiQ%3D%3D</w:t>
      </w:r>
      <w:r>
        <w:rPr>
          <w:rFonts w:hint="eastAsia" w:ascii="宋体" w:eastAsia="宋体"/>
          <w:bCs/>
          <w:color w:val="auto"/>
          <w:sz w:val="22"/>
          <w:highlight w:val="none"/>
          <w:lang w:val="en-US" w:eastAsia="zh-CN"/>
        </w:rPr>
        <w:fldChar w:fldCharType="end"/>
      </w:r>
      <w:r>
        <w:rPr>
          <w:rFonts w:hint="eastAsia" w:ascii="宋体" w:eastAsia="宋体"/>
          <w:bCs/>
          <w:color w:val="auto"/>
          <w:sz w:val="22"/>
          <w:highlight w:val="none"/>
          <w:lang w:val="en-US" w:eastAsia="zh-CN"/>
        </w:rPr>
        <w:t xml:space="preserve"> </w:t>
      </w:r>
    </w:p>
    <w:p w14:paraId="3557EECF">
      <w:pPr>
        <w:widowControl/>
        <w:autoSpaceDE w:val="0"/>
        <w:autoSpaceDN w:val="0"/>
        <w:adjustRightInd w:val="0"/>
        <w:spacing w:line="460" w:lineRule="atLeast"/>
        <w:textAlignment w:val="bottom"/>
        <w:rPr>
          <w:rFonts w:ascii="宋体" w:eastAsia="宋体"/>
          <w:b w:val="0"/>
          <w:color w:val="auto"/>
          <w:sz w:val="22"/>
          <w:highlight w:val="none"/>
        </w:rPr>
      </w:pPr>
      <w:r>
        <w:rPr>
          <w:rFonts w:hint="eastAsia" w:ascii="宋体" w:eastAsia="宋体"/>
          <w:bCs/>
          <w:color w:val="auto"/>
          <w:sz w:val="22"/>
          <w:highlight w:val="none"/>
          <w:lang w:val="en-US" w:eastAsia="zh-CN"/>
        </w:rPr>
        <w:t>六</w:t>
      </w:r>
      <w:r>
        <w:rPr>
          <w:rFonts w:hint="eastAsia" w:ascii="宋体" w:eastAsia="宋体"/>
          <w:bCs/>
          <w:color w:val="auto"/>
          <w:sz w:val="22"/>
          <w:highlight w:val="none"/>
        </w:rPr>
        <w:t>、公告期限</w:t>
      </w:r>
    </w:p>
    <w:p w14:paraId="78036F2A">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自本公告发布之日起5个工作日。</w:t>
      </w:r>
    </w:p>
    <w:p w14:paraId="223E3CAB">
      <w:pPr>
        <w:widowControl/>
        <w:autoSpaceDE w:val="0"/>
        <w:autoSpaceDN w:val="0"/>
        <w:adjustRightInd w:val="0"/>
        <w:spacing w:line="460" w:lineRule="atLeast"/>
        <w:textAlignment w:val="bottom"/>
        <w:rPr>
          <w:rFonts w:ascii="宋体" w:eastAsia="宋体"/>
          <w:bCs/>
          <w:color w:val="auto"/>
          <w:sz w:val="22"/>
          <w:highlight w:val="none"/>
        </w:rPr>
      </w:pPr>
      <w:r>
        <w:rPr>
          <w:rFonts w:hint="eastAsia" w:ascii="宋体" w:eastAsia="宋体"/>
          <w:bCs/>
          <w:color w:val="auto"/>
          <w:sz w:val="22"/>
          <w:highlight w:val="none"/>
          <w:lang w:val="en-US" w:eastAsia="zh-CN"/>
        </w:rPr>
        <w:t>七</w:t>
      </w:r>
      <w:r>
        <w:rPr>
          <w:rFonts w:hint="eastAsia" w:ascii="宋体" w:eastAsia="宋体"/>
          <w:bCs/>
          <w:color w:val="auto"/>
          <w:sz w:val="22"/>
          <w:highlight w:val="none"/>
        </w:rPr>
        <w:t>、其他补充事宜</w:t>
      </w:r>
    </w:p>
    <w:p w14:paraId="79A4B99A">
      <w:pPr>
        <w:widowControl/>
        <w:autoSpaceDE w:val="0"/>
        <w:autoSpaceDN w:val="0"/>
        <w:adjustRightInd w:val="0"/>
        <w:spacing w:line="460" w:lineRule="atLeast"/>
        <w:ind w:firstLine="440" w:firstLineChars="200"/>
        <w:textAlignment w:val="bottom"/>
        <w:rPr>
          <w:rFonts w:hint="eastAsia" w:ascii="宋体" w:hAnsi="宋体" w:eastAsia="宋体"/>
          <w:b w:val="0"/>
          <w:bCs/>
          <w:color w:val="auto"/>
          <w:sz w:val="22"/>
          <w:highlight w:val="none"/>
        </w:rPr>
      </w:pPr>
      <w:r>
        <w:rPr>
          <w:rFonts w:hint="eastAsia" w:ascii="宋体" w:hAnsi="宋体" w:eastAsia="宋体"/>
          <w:b w:val="0"/>
          <w:bCs/>
          <w:color w:val="auto"/>
          <w:sz w:val="22"/>
          <w:highlight w:val="none"/>
        </w:rPr>
        <w:t>1.《浙江省财政厅关于进一步发挥政府采购政策功能全力推动经济稳进提质的通知》 （浙财采监（2022）3号）、《浙江省财政厅关于进一步促进政府采购公平竞争打造最优营商环境的通知》（浙财采监（2021）22号）已分别于2022年1月29日和2022年2月1日开始实施，此前有关规定与上述文件内容不一致的，按上述文件要求执行。</w:t>
      </w:r>
    </w:p>
    <w:p w14:paraId="546DC525">
      <w:pPr>
        <w:widowControl/>
        <w:autoSpaceDE w:val="0"/>
        <w:autoSpaceDN w:val="0"/>
        <w:adjustRightInd w:val="0"/>
        <w:spacing w:line="460" w:lineRule="atLeast"/>
        <w:ind w:firstLine="440" w:firstLineChars="200"/>
        <w:textAlignment w:val="bottom"/>
        <w:rPr>
          <w:rFonts w:hint="eastAsia" w:ascii="宋体" w:hAnsi="宋体" w:eastAsia="宋体"/>
          <w:b w:val="0"/>
          <w:bCs/>
          <w:color w:val="auto"/>
          <w:sz w:val="22"/>
          <w:highlight w:val="none"/>
        </w:rPr>
      </w:pPr>
      <w:r>
        <w:rPr>
          <w:rFonts w:hint="eastAsia" w:ascii="宋体" w:hAnsi="宋体" w:eastAsia="宋体"/>
          <w:b w:val="0"/>
          <w:bCs/>
          <w:color w:val="auto"/>
          <w:sz w:val="22"/>
          <w:highlight w:val="none"/>
        </w:rPr>
        <w:t>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注意：需在线质疑后才可在线投诉，并电话告知相关采购人、代理机构、财政部门。</w:t>
      </w:r>
    </w:p>
    <w:p w14:paraId="66432D1A">
      <w:pPr>
        <w:widowControl/>
        <w:autoSpaceDE w:val="0"/>
        <w:autoSpaceDN w:val="0"/>
        <w:adjustRightInd w:val="0"/>
        <w:spacing w:line="460" w:lineRule="atLeast"/>
        <w:ind w:firstLine="440" w:firstLineChars="200"/>
        <w:textAlignment w:val="bottom"/>
        <w:rPr>
          <w:rFonts w:hint="eastAsia" w:ascii="宋体" w:hAnsi="宋体" w:eastAsia="宋体"/>
          <w:b w:val="0"/>
          <w:bCs/>
          <w:color w:val="auto"/>
          <w:sz w:val="22"/>
          <w:highlight w:val="none"/>
        </w:rPr>
      </w:pPr>
      <w:r>
        <w:rPr>
          <w:rFonts w:hint="eastAsia" w:ascii="宋体" w:hAnsi="宋体" w:eastAsia="宋体"/>
          <w:b w:val="0"/>
          <w:bCs/>
          <w:color w:val="auto"/>
          <w:sz w:val="22"/>
          <w:highlight w:val="none"/>
        </w:rPr>
        <w:t>3.供应商认为采购文件使自己的权益受到损害的，可以自获取采购文件之日或者采购公告期限届满之日（公告期限届满后获取采购文件的，以公告期限届满之日为准）起7个工作日内，对采购文件需求的以书面形式向采购人提出质疑，对其他内容的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14:paraId="2A00C78F">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lang w:val="en-US" w:eastAsia="zh-CN"/>
        </w:rPr>
        <w:t>4</w:t>
      </w:r>
      <w:r>
        <w:rPr>
          <w:rFonts w:hint="eastAsia" w:ascii="宋体" w:eastAsia="宋体"/>
          <w:b w:val="0"/>
          <w:color w:val="auto"/>
          <w:sz w:val="22"/>
          <w:highlight w:val="none"/>
        </w:rPr>
        <w:t>.其他事项：</w:t>
      </w:r>
    </w:p>
    <w:p w14:paraId="46D8FC7E">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hAnsi="宋体" w:eastAsia="宋体"/>
          <w:b w:val="0"/>
          <w:bCs/>
          <w:color w:val="auto"/>
          <w:sz w:val="22"/>
          <w:highlight w:val="none"/>
        </w:rPr>
        <w:t>（1）需要落实的政府采购政策：包括节约资源、保护环境、支持创新、促进中小企业发展等。详见招标文件。（2）电子招投标的说明：①电子招投标：本项目以数据电文形式，依托“政府采购云平台（www.zcygov.cn）”进行招投标活动，不接受纸质投标文件；②投标准备：注册账号--点击“商家入驻”，进行政府采购供应商资料填写；申领CA数字证书---申领流程详见“浙江政府采购网-下载专区-电子交易客户端-CA驱动和申领流程”；安装“政采云电子交易客户端”----前往“浙江政府采购网-下载专区-电子交易客户端”进行下载并安装；③招标文件的获取：使用账号登录或者使用CA登录政采云平台；进入“项目采购”应用，在获取采购文件菜单中选择项目，获取招标文件；④投标文件的制作：在“政采云电子交易客户端”中完成“填写基本信息”、“导入投标文件”、“标书关联”、“标书检查”、“电子签名”、“生成电子标书”等操作；⑤采购人、采购机构将依托政采云平台完成本项目的电子交易活动，平台不接受未按上述方式获取招标文件的供应商进行投标活动； ⑥对未按上述方式获取招标文件的供应商对该文件提出的质疑，采购人或采购代理机构将不予处理；⑦不提供招标文件纸质版；⑧投标文件的传输递交：投标人在投标截止时间前将加密的投标文件上传至政府采购云平台，还可以在投标截止时间前直接提交或者以邮政快递方式递交备份投标文件1份。备份投标文件的制作、存储、密封详见招标文件第三部分—“备份投标文件”；⑨投标文件的解密：投标人按照平台提示和招标文件的规定在半小时内完成在线解密。通过“政府采购云平台”上传递交的投标文件无法按时解密，投标供应商递交了备份投标文件的，以备份投标文件为依据，否则视为投标文件撤回。通过“政府采购云平台”上传递交的投标文件已按时解密的，备份投标文件自动失效。投标人仅提交备份投标文件，没有在电子交易平台传输递交投标文件的，投标无效；⑩具体操作指南：详见政采云平台“服务中心-帮助文档-项目采购-操作流程-电子招投标-政府采购项目电子交易管理操作指南-供应商”；（3）投标截止后，将不再接受对招标文件的质疑。</w:t>
      </w:r>
      <w:r>
        <w:rPr>
          <w:rFonts w:ascii="宋体" w:eastAsia="宋体"/>
          <w:b w:val="0"/>
          <w:color w:val="auto"/>
          <w:sz w:val="22"/>
          <w:highlight w:val="none"/>
        </w:rPr>
        <w:t>  </w:t>
      </w:r>
    </w:p>
    <w:p w14:paraId="71B22301">
      <w:pPr>
        <w:widowControl/>
        <w:autoSpaceDE w:val="0"/>
        <w:autoSpaceDN w:val="0"/>
        <w:adjustRightInd w:val="0"/>
        <w:spacing w:line="460" w:lineRule="atLeast"/>
        <w:textAlignment w:val="bottom"/>
        <w:rPr>
          <w:rFonts w:ascii="宋体" w:eastAsia="宋体"/>
          <w:bCs/>
          <w:color w:val="auto"/>
          <w:sz w:val="22"/>
          <w:highlight w:val="none"/>
        </w:rPr>
      </w:pPr>
      <w:r>
        <w:rPr>
          <w:rFonts w:hint="eastAsia" w:ascii="宋体" w:eastAsia="宋体"/>
          <w:bCs/>
          <w:color w:val="auto"/>
          <w:sz w:val="22"/>
          <w:highlight w:val="none"/>
          <w:lang w:val="en-US" w:eastAsia="zh-CN"/>
        </w:rPr>
        <w:t>八</w:t>
      </w:r>
      <w:r>
        <w:rPr>
          <w:rFonts w:hint="eastAsia" w:ascii="宋体" w:eastAsia="宋体"/>
          <w:bCs/>
          <w:color w:val="auto"/>
          <w:sz w:val="22"/>
          <w:highlight w:val="none"/>
        </w:rPr>
        <w:t>、对本次采购提出询问、质疑、投诉，请按以下方式联系</w:t>
      </w:r>
    </w:p>
    <w:p w14:paraId="404D6516">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1.采购人信息</w:t>
      </w:r>
    </w:p>
    <w:p w14:paraId="5F81926D">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lang w:eastAsia="zh-CN"/>
        </w:rPr>
      </w:pPr>
      <w:r>
        <w:rPr>
          <w:rFonts w:hint="eastAsia" w:ascii="宋体" w:eastAsia="宋体"/>
          <w:b w:val="0"/>
          <w:color w:val="auto"/>
          <w:sz w:val="22"/>
          <w:highlight w:val="none"/>
        </w:rPr>
        <w:t>采 购 人：</w:t>
      </w:r>
      <w:r>
        <w:rPr>
          <w:rFonts w:hint="eastAsia" w:ascii="宋体" w:eastAsia="宋体"/>
          <w:b w:val="0"/>
          <w:color w:val="auto"/>
          <w:sz w:val="22"/>
          <w:highlight w:val="none"/>
          <w:lang w:eastAsia="zh-CN"/>
        </w:rPr>
        <w:t>永嘉县瓯北第三小学</w:t>
      </w:r>
    </w:p>
    <w:p w14:paraId="33B9F5B3">
      <w:pPr>
        <w:widowControl/>
        <w:autoSpaceDE w:val="0"/>
        <w:autoSpaceDN w:val="0"/>
        <w:adjustRightInd w:val="0"/>
        <w:spacing w:line="460" w:lineRule="atLeast"/>
        <w:ind w:firstLine="440" w:firstLineChars="200"/>
        <w:textAlignment w:val="bottom"/>
        <w:rPr>
          <w:rFonts w:hint="eastAsia" w:ascii="宋体" w:hAnsi="宋体" w:eastAsia="宋体" w:cs="Times New Roman"/>
          <w:b w:val="0"/>
          <w:bCs/>
          <w:color w:val="auto"/>
          <w:sz w:val="22"/>
          <w:highlight w:val="none"/>
        </w:rPr>
      </w:pPr>
      <w:r>
        <w:rPr>
          <w:rFonts w:hint="eastAsia" w:ascii="宋体" w:hAnsi="宋体" w:eastAsia="宋体" w:cs="Times New Roman"/>
          <w:b w:val="0"/>
          <w:bCs/>
          <w:color w:val="auto"/>
          <w:sz w:val="22"/>
          <w:highlight w:val="none"/>
        </w:rPr>
        <w:t>传    真： /</w:t>
      </w:r>
    </w:p>
    <w:p w14:paraId="7B1D67BD">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项目联系人（询问）：</w:t>
      </w:r>
      <w:r>
        <w:rPr>
          <w:rFonts w:hint="eastAsia" w:ascii="宋体" w:eastAsia="宋体"/>
          <w:b w:val="0"/>
          <w:color w:val="auto"/>
          <w:sz w:val="22"/>
          <w:highlight w:val="none"/>
          <w:lang w:val="en-US" w:eastAsia="zh-CN"/>
        </w:rPr>
        <w:t>麻</w:t>
      </w:r>
      <w:r>
        <w:rPr>
          <w:rFonts w:hint="eastAsia" w:ascii="宋体" w:hAnsi="宋体" w:eastAsia="宋体" w:cs="宋体"/>
          <w:b w:val="0"/>
          <w:color w:val="auto"/>
          <w:sz w:val="22"/>
          <w:highlight w:val="none"/>
          <w:lang w:val="en-US" w:eastAsia="zh-CN"/>
        </w:rPr>
        <w:t>老师</w:t>
      </w:r>
    </w:p>
    <w:p w14:paraId="6A17A477">
      <w:pPr>
        <w:widowControl/>
        <w:autoSpaceDE w:val="0"/>
        <w:autoSpaceDN w:val="0"/>
        <w:adjustRightInd w:val="0"/>
        <w:spacing w:line="460" w:lineRule="atLeast"/>
        <w:ind w:firstLine="440" w:firstLineChars="200"/>
        <w:textAlignment w:val="bottom"/>
        <w:rPr>
          <w:rFonts w:hint="default" w:ascii="宋体" w:eastAsia="宋体"/>
          <w:b w:val="0"/>
          <w:color w:val="auto"/>
          <w:sz w:val="22"/>
          <w:highlight w:val="none"/>
          <w:lang w:val="en-US"/>
        </w:rPr>
      </w:pPr>
      <w:r>
        <w:rPr>
          <w:rFonts w:hint="eastAsia" w:ascii="宋体" w:eastAsia="宋体"/>
          <w:b w:val="0"/>
          <w:color w:val="auto"/>
          <w:sz w:val="22"/>
          <w:highlight w:val="none"/>
        </w:rPr>
        <w:t>项目联系方式（询问）：</w:t>
      </w:r>
      <w:r>
        <w:rPr>
          <w:rFonts w:hint="eastAsia" w:ascii="宋体" w:eastAsia="宋体"/>
          <w:b w:val="0"/>
          <w:color w:val="auto"/>
          <w:sz w:val="22"/>
          <w:highlight w:val="none"/>
          <w:lang w:eastAsia="zh-CN"/>
        </w:rPr>
        <w:t>18267886966</w:t>
      </w:r>
    </w:p>
    <w:p w14:paraId="7C3D98D1">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质疑联系人：</w:t>
      </w:r>
      <w:r>
        <w:rPr>
          <w:rFonts w:hint="eastAsia" w:ascii="宋体" w:eastAsia="宋体"/>
          <w:b w:val="0"/>
          <w:color w:val="auto"/>
          <w:sz w:val="22"/>
          <w:highlight w:val="none"/>
          <w:lang w:val="en-US" w:eastAsia="zh-CN"/>
        </w:rPr>
        <w:t>麻</w:t>
      </w:r>
      <w:r>
        <w:rPr>
          <w:rFonts w:hint="eastAsia" w:ascii="宋体" w:hAnsi="宋体" w:eastAsia="宋体" w:cs="宋体"/>
          <w:b w:val="0"/>
          <w:color w:val="auto"/>
          <w:sz w:val="22"/>
          <w:highlight w:val="none"/>
          <w:lang w:val="en-US" w:eastAsia="zh-CN"/>
        </w:rPr>
        <w:t>老师</w:t>
      </w:r>
    </w:p>
    <w:p w14:paraId="7A4BC0F7">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质疑联系方式：</w:t>
      </w:r>
      <w:r>
        <w:rPr>
          <w:rFonts w:hint="eastAsia" w:ascii="宋体" w:eastAsia="宋体"/>
          <w:b w:val="0"/>
          <w:color w:val="auto"/>
          <w:sz w:val="22"/>
          <w:highlight w:val="none"/>
          <w:lang w:eastAsia="zh-CN"/>
        </w:rPr>
        <w:t>18267886966</w:t>
      </w:r>
    </w:p>
    <w:p w14:paraId="376A60AA">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2.采购代理机构信息</w:t>
      </w:r>
    </w:p>
    <w:p w14:paraId="32E703B2">
      <w:pPr>
        <w:widowControl/>
        <w:spacing w:line="460" w:lineRule="atLeast"/>
        <w:ind w:firstLine="440" w:firstLineChars="200"/>
        <w:jc w:val="left"/>
        <w:rPr>
          <w:rFonts w:hint="eastAsia" w:ascii="宋体" w:eastAsia="宋体" w:cs="Times New Roman"/>
          <w:b w:val="0"/>
          <w:color w:val="auto"/>
          <w:sz w:val="22"/>
          <w:szCs w:val="22"/>
          <w:highlight w:val="none"/>
        </w:rPr>
      </w:pPr>
      <w:r>
        <w:rPr>
          <w:rFonts w:hint="eastAsia" w:ascii="宋体" w:eastAsia="宋体" w:cs="Times New Roman"/>
          <w:b w:val="0"/>
          <w:color w:val="auto"/>
          <w:sz w:val="22"/>
          <w:szCs w:val="22"/>
          <w:highlight w:val="none"/>
        </w:rPr>
        <w:t>名称：</w:t>
      </w:r>
      <w:r>
        <w:rPr>
          <w:rFonts w:hint="eastAsia" w:ascii="宋体" w:eastAsia="宋体" w:cs="Times New Roman"/>
          <w:b w:val="0"/>
          <w:color w:val="auto"/>
          <w:sz w:val="22"/>
          <w:szCs w:val="22"/>
          <w:highlight w:val="none"/>
          <w:lang w:eastAsia="zh-CN"/>
        </w:rPr>
        <w:t>温州国利项目管理咨询有限公司</w:t>
      </w:r>
      <w:r>
        <w:rPr>
          <w:rFonts w:ascii="宋体" w:eastAsia="宋体" w:cs="Times New Roman"/>
          <w:b w:val="0"/>
          <w:color w:val="auto"/>
          <w:sz w:val="22"/>
          <w:szCs w:val="22"/>
          <w:highlight w:val="none"/>
        </w:rPr>
        <w:t> </w:t>
      </w:r>
    </w:p>
    <w:p w14:paraId="1105A005">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lang w:eastAsia="zh-CN"/>
        </w:rPr>
      </w:pPr>
      <w:r>
        <w:rPr>
          <w:rFonts w:hint="eastAsia" w:ascii="宋体" w:eastAsia="宋体"/>
          <w:b w:val="0"/>
          <w:color w:val="auto"/>
          <w:sz w:val="22"/>
          <w:highlight w:val="none"/>
        </w:rPr>
        <w:t>地址：</w:t>
      </w:r>
      <w:r>
        <w:rPr>
          <w:rFonts w:hint="eastAsia" w:ascii="宋体" w:eastAsia="宋体"/>
          <w:b w:val="0"/>
          <w:color w:val="auto"/>
          <w:sz w:val="22"/>
          <w:szCs w:val="22"/>
          <w:highlight w:val="none"/>
          <w:lang w:eastAsia="zh-CN"/>
        </w:rPr>
        <w:t>永嘉县南城街道县前路242-246号勘查测绘大楼2楼</w:t>
      </w:r>
    </w:p>
    <w:p w14:paraId="4103D47B">
      <w:pPr>
        <w:widowControl/>
        <w:autoSpaceDE w:val="0"/>
        <w:autoSpaceDN w:val="0"/>
        <w:adjustRightInd w:val="0"/>
        <w:spacing w:line="460" w:lineRule="atLeast"/>
        <w:ind w:firstLine="440" w:firstLineChars="200"/>
        <w:textAlignment w:val="bottom"/>
        <w:rPr>
          <w:rFonts w:hint="default" w:ascii="宋体" w:eastAsia="宋体"/>
          <w:b w:val="0"/>
          <w:color w:val="auto"/>
          <w:sz w:val="22"/>
          <w:highlight w:val="none"/>
          <w:lang w:val="en-US" w:eastAsia="zh-CN"/>
        </w:rPr>
      </w:pPr>
      <w:r>
        <w:rPr>
          <w:rFonts w:hint="eastAsia" w:ascii="宋体" w:eastAsia="宋体"/>
          <w:b w:val="0"/>
          <w:color w:val="auto"/>
          <w:sz w:val="22"/>
          <w:highlight w:val="none"/>
        </w:rPr>
        <w:t>项目联系人（询问）：</w:t>
      </w:r>
      <w:r>
        <w:rPr>
          <w:rFonts w:hint="eastAsia" w:ascii="宋体" w:eastAsia="宋体"/>
          <w:b w:val="0"/>
          <w:color w:val="auto"/>
          <w:sz w:val="22"/>
          <w:highlight w:val="none"/>
          <w:lang w:val="en-US" w:eastAsia="zh-CN"/>
        </w:rPr>
        <w:t>余旭凡</w:t>
      </w:r>
    </w:p>
    <w:p w14:paraId="0B6155E7">
      <w:pPr>
        <w:widowControl/>
        <w:autoSpaceDE w:val="0"/>
        <w:autoSpaceDN w:val="0"/>
        <w:adjustRightInd w:val="0"/>
        <w:spacing w:line="460" w:lineRule="atLeast"/>
        <w:ind w:firstLine="440" w:firstLineChars="200"/>
        <w:textAlignment w:val="bottom"/>
        <w:rPr>
          <w:rFonts w:hint="default" w:ascii="宋体" w:eastAsia="宋体"/>
          <w:b w:val="0"/>
          <w:color w:val="auto"/>
          <w:sz w:val="22"/>
          <w:highlight w:val="none"/>
          <w:lang w:val="en-US" w:eastAsia="zh-CN"/>
        </w:rPr>
      </w:pPr>
      <w:r>
        <w:rPr>
          <w:rFonts w:hint="eastAsia" w:ascii="宋体" w:eastAsia="宋体"/>
          <w:b w:val="0"/>
          <w:color w:val="auto"/>
          <w:sz w:val="22"/>
          <w:highlight w:val="none"/>
        </w:rPr>
        <w:t>项目联系方式（询问）：1</w:t>
      </w:r>
      <w:r>
        <w:rPr>
          <w:rFonts w:hint="eastAsia" w:ascii="宋体" w:eastAsia="宋体"/>
          <w:b w:val="0"/>
          <w:color w:val="auto"/>
          <w:sz w:val="22"/>
          <w:highlight w:val="none"/>
          <w:lang w:val="en-US" w:eastAsia="zh-CN"/>
        </w:rPr>
        <w:t>8968868813</w:t>
      </w:r>
    </w:p>
    <w:p w14:paraId="44385039">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质疑联系人：刘茜茜</w:t>
      </w:r>
    </w:p>
    <w:p w14:paraId="221E5D86">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质疑联系方式：</w:t>
      </w:r>
      <w:r>
        <w:rPr>
          <w:rFonts w:hint="eastAsia" w:ascii="宋体" w:eastAsia="宋体"/>
          <w:b w:val="0"/>
          <w:bCs w:val="0"/>
          <w:color w:val="auto"/>
          <w:sz w:val="22"/>
          <w:szCs w:val="22"/>
          <w:highlight w:val="none"/>
        </w:rPr>
        <w:t>0577-86997769</w:t>
      </w:r>
    </w:p>
    <w:p w14:paraId="05F67678">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r>
        <w:rPr>
          <w:rFonts w:hint="eastAsia" w:ascii="宋体" w:eastAsia="宋体" w:cs="宋体"/>
          <w:b w:val="0"/>
          <w:color w:val="auto"/>
          <w:sz w:val="22"/>
          <w:highlight w:val="none"/>
          <w:lang w:val="en-US" w:eastAsia="zh-CN"/>
        </w:rPr>
        <w:t>3.同级政府采购监督管理部门</w:t>
      </w:r>
    </w:p>
    <w:bookmarkEnd w:id="3"/>
    <w:p w14:paraId="6F94F406">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r>
        <w:rPr>
          <w:rFonts w:hint="eastAsia" w:ascii="宋体" w:eastAsia="宋体" w:cs="宋体"/>
          <w:b w:val="0"/>
          <w:color w:val="auto"/>
          <w:sz w:val="22"/>
          <w:highlight w:val="none"/>
          <w:lang w:val="en-US" w:eastAsia="zh-CN"/>
        </w:rPr>
        <w:t>名称：永嘉县财政局（浙江省政府采购行政裁决服务中心（温州））</w:t>
      </w:r>
    </w:p>
    <w:p w14:paraId="14067CFF">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r>
        <w:rPr>
          <w:rFonts w:hint="eastAsia" w:ascii="宋体" w:eastAsia="宋体" w:cs="宋体"/>
          <w:b w:val="0"/>
          <w:color w:val="auto"/>
          <w:sz w:val="22"/>
          <w:highlight w:val="none"/>
          <w:lang w:val="en-US" w:eastAsia="zh-CN"/>
        </w:rPr>
        <w:t>地址：温州市鹿城区滨江街道瓯江路展银大厦1606室</w:t>
      </w:r>
    </w:p>
    <w:p w14:paraId="62523BB8">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r>
        <w:rPr>
          <w:rFonts w:hint="eastAsia" w:ascii="宋体" w:eastAsia="宋体" w:cs="宋体"/>
          <w:b w:val="0"/>
          <w:color w:val="auto"/>
          <w:sz w:val="22"/>
          <w:highlight w:val="none"/>
          <w:lang w:val="en-US" w:eastAsia="zh-CN"/>
        </w:rPr>
        <w:t>传真：</w:t>
      </w:r>
    </w:p>
    <w:p w14:paraId="5F5D05FB">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r>
        <w:rPr>
          <w:rFonts w:hint="eastAsia" w:ascii="宋体" w:eastAsia="宋体" w:cs="宋体"/>
          <w:b w:val="0"/>
          <w:color w:val="auto"/>
          <w:sz w:val="22"/>
          <w:highlight w:val="none"/>
          <w:lang w:val="en-US" w:eastAsia="zh-CN"/>
        </w:rPr>
        <w:t>联系人：李老师、王老师</w:t>
      </w:r>
    </w:p>
    <w:p w14:paraId="3EABBF6F">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r>
        <w:rPr>
          <w:rFonts w:hint="eastAsia" w:ascii="宋体" w:eastAsia="宋体" w:cs="宋体"/>
          <w:b w:val="0"/>
          <w:color w:val="auto"/>
          <w:sz w:val="22"/>
          <w:highlight w:val="none"/>
          <w:lang w:val="en-US" w:eastAsia="zh-CN"/>
        </w:rPr>
        <w:t>监督投诉电话：0577-85501561，0577-85501562</w:t>
      </w:r>
    </w:p>
    <w:p w14:paraId="4982513A">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p>
    <w:p w14:paraId="49E21E77">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若对项目采购电子交易系统操作有疑问，可登录政采云（https://www.zcygov.cn/），点击右侧咨询小采，获取采小蜜智能服务管家帮助，或拨打政采云服务热线400-881-7190获取热线服务帮助。CA问题联系电话（人工）：汇信CA 400-888-4636；天谷CA 400-087-8198。</w:t>
      </w:r>
    </w:p>
    <w:p w14:paraId="74BC690F">
      <w:pPr>
        <w:pStyle w:val="16"/>
        <w:spacing w:before="240" w:after="60"/>
        <w:jc w:val="center"/>
        <w:outlineLvl w:val="0"/>
        <w:rPr>
          <w:rFonts w:hint="eastAsia" w:ascii="宋体" w:hAnsi="宋体" w:eastAsia="宋体" w:cs="宋体"/>
          <w:b/>
          <w:color w:val="auto"/>
          <w:kern w:val="0"/>
          <w:sz w:val="32"/>
          <w:szCs w:val="32"/>
          <w:highlight w:val="none"/>
        </w:rPr>
      </w:pPr>
      <w:bookmarkStart w:id="4" w:name="_Toc7232"/>
    </w:p>
    <w:p w14:paraId="0AB30D96">
      <w:pPr>
        <w:pStyle w:val="16"/>
        <w:spacing w:before="240" w:after="60"/>
        <w:jc w:val="center"/>
        <w:outlineLvl w:val="0"/>
        <w:rPr>
          <w:rFonts w:hint="eastAsia" w:ascii="宋体" w:hAnsi="宋体" w:eastAsia="宋体" w:cs="宋体"/>
          <w:b/>
          <w:color w:val="auto"/>
          <w:kern w:val="0"/>
          <w:sz w:val="32"/>
          <w:szCs w:val="32"/>
          <w:highlight w:val="none"/>
        </w:rPr>
      </w:pPr>
    </w:p>
    <w:p w14:paraId="12C7666E">
      <w:pPr>
        <w:pStyle w:val="16"/>
        <w:spacing w:before="240" w:after="60"/>
        <w:jc w:val="center"/>
        <w:outlineLvl w:val="0"/>
        <w:rPr>
          <w:rFonts w:hint="eastAsia" w:ascii="宋体" w:hAnsi="宋体" w:eastAsia="宋体" w:cs="宋体"/>
          <w:b/>
          <w:color w:val="auto"/>
          <w:kern w:val="0"/>
          <w:sz w:val="32"/>
          <w:szCs w:val="32"/>
          <w:highlight w:val="none"/>
        </w:rPr>
      </w:pPr>
    </w:p>
    <w:p w14:paraId="67D04C5E">
      <w:pPr>
        <w:pStyle w:val="16"/>
        <w:spacing w:before="240" w:after="60"/>
        <w:jc w:val="center"/>
        <w:outlineLvl w:val="0"/>
        <w:rPr>
          <w:rFonts w:hint="eastAsia" w:ascii="宋体" w:hAnsi="宋体" w:eastAsia="宋体" w:cs="宋体"/>
          <w:b/>
          <w:color w:val="auto"/>
          <w:kern w:val="0"/>
          <w:sz w:val="32"/>
          <w:szCs w:val="32"/>
          <w:highlight w:val="none"/>
        </w:rPr>
      </w:pPr>
    </w:p>
    <w:p w14:paraId="24A41111">
      <w:pPr>
        <w:pStyle w:val="16"/>
        <w:spacing w:before="240" w:after="60"/>
        <w:jc w:val="center"/>
        <w:outlineLvl w:val="0"/>
        <w:rPr>
          <w:rFonts w:hint="eastAsia" w:ascii="宋体" w:hAnsi="宋体" w:eastAsia="宋体" w:cs="宋体"/>
          <w:b/>
          <w:color w:val="auto"/>
          <w:kern w:val="0"/>
          <w:sz w:val="32"/>
          <w:szCs w:val="32"/>
          <w:highlight w:val="none"/>
        </w:rPr>
      </w:pPr>
    </w:p>
    <w:p w14:paraId="05634935">
      <w:pPr>
        <w:pStyle w:val="16"/>
        <w:spacing w:before="240" w:after="60"/>
        <w:jc w:val="center"/>
        <w:outlineLvl w:val="0"/>
        <w:rPr>
          <w:rFonts w:hint="eastAsia" w:ascii="宋体" w:hAnsi="宋体" w:eastAsia="宋体" w:cs="宋体"/>
          <w:b/>
          <w:color w:val="auto"/>
          <w:kern w:val="0"/>
          <w:sz w:val="32"/>
          <w:szCs w:val="32"/>
          <w:highlight w:val="none"/>
        </w:rPr>
      </w:pPr>
    </w:p>
    <w:p w14:paraId="083E2ABB">
      <w:pPr>
        <w:pStyle w:val="16"/>
        <w:spacing w:before="240" w:after="60"/>
        <w:jc w:val="center"/>
        <w:outlineLvl w:val="0"/>
        <w:rPr>
          <w:rFonts w:hint="eastAsia" w:ascii="宋体" w:hAnsi="宋体" w:eastAsia="宋体" w:cs="宋体"/>
          <w:b/>
          <w:color w:val="auto"/>
          <w:kern w:val="0"/>
          <w:sz w:val="32"/>
          <w:szCs w:val="32"/>
          <w:highlight w:val="none"/>
        </w:rPr>
      </w:pPr>
    </w:p>
    <w:p w14:paraId="043FD553">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br w:type="column"/>
      </w:r>
      <w:r>
        <w:rPr>
          <w:rFonts w:hint="eastAsia" w:ascii="宋体" w:hAnsi="宋体" w:eastAsia="宋体" w:cs="宋体"/>
          <w:b/>
          <w:color w:val="auto"/>
          <w:kern w:val="0"/>
          <w:sz w:val="32"/>
          <w:szCs w:val="32"/>
          <w:highlight w:val="none"/>
        </w:rPr>
        <w:t xml:space="preserve">第二部分 </w:t>
      </w:r>
      <w:bookmarkEnd w:id="4"/>
      <w:r>
        <w:rPr>
          <w:rFonts w:hint="eastAsia" w:ascii="宋体" w:hAnsi="宋体" w:eastAsia="宋体" w:cs="宋体"/>
          <w:b/>
          <w:color w:val="auto"/>
          <w:kern w:val="0"/>
          <w:sz w:val="32"/>
          <w:szCs w:val="32"/>
          <w:highlight w:val="none"/>
        </w:rPr>
        <w:t>投标人须知</w:t>
      </w:r>
      <w:bookmarkStart w:id="407" w:name="_GoBack"/>
      <w:bookmarkEnd w:id="407"/>
    </w:p>
    <w:p w14:paraId="6761172B">
      <w:pPr>
        <w:pStyle w:val="16"/>
        <w:spacing w:before="240" w:after="60"/>
        <w:jc w:val="center"/>
        <w:outlineLvl w:val="0"/>
        <w:rPr>
          <w:rFonts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前附表</w:t>
      </w:r>
    </w:p>
    <w:tbl>
      <w:tblPr>
        <w:tblStyle w:val="48"/>
        <w:tblW w:w="1067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57" w:type="dxa"/>
          <w:left w:w="108" w:type="dxa"/>
          <w:bottom w:w="57" w:type="dxa"/>
          <w:right w:w="108" w:type="dxa"/>
        </w:tblCellMar>
      </w:tblPr>
      <w:tblGrid>
        <w:gridCol w:w="675"/>
        <w:gridCol w:w="2047"/>
        <w:gridCol w:w="7957"/>
      </w:tblGrid>
      <w:tr w14:paraId="66B576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552089F8">
            <w:pPr>
              <w:spacing w:line="400" w:lineRule="atLeast"/>
              <w:ind w:right="330"/>
              <w:jc w:val="right"/>
              <w:rPr>
                <w:rFonts w:ascii="宋体" w:eastAsia="宋体" w:cs="Arial"/>
                <w:b w:val="0"/>
                <w:color w:val="auto"/>
                <w:sz w:val="22"/>
                <w:szCs w:val="22"/>
                <w:highlight w:val="none"/>
              </w:rPr>
            </w:pPr>
            <w:r>
              <w:rPr>
                <w:rFonts w:hint="eastAsia" w:ascii="宋体" w:eastAsia="宋体" w:cs="Arial"/>
                <w:b w:val="0"/>
                <w:color w:val="auto"/>
                <w:sz w:val="22"/>
                <w:szCs w:val="22"/>
                <w:highlight w:val="none"/>
              </w:rPr>
              <w:t>项号</w:t>
            </w:r>
          </w:p>
        </w:tc>
        <w:tc>
          <w:tcPr>
            <w:tcW w:w="2047" w:type="dxa"/>
            <w:noWrap w:val="0"/>
            <w:vAlign w:val="center"/>
          </w:tcPr>
          <w:p w14:paraId="10955C5A">
            <w:pPr>
              <w:spacing w:line="400" w:lineRule="atLeast"/>
              <w:rPr>
                <w:rFonts w:ascii="宋体" w:eastAsia="宋体" w:cs="Arial"/>
                <w:b w:val="0"/>
                <w:color w:val="auto"/>
                <w:sz w:val="22"/>
                <w:szCs w:val="22"/>
                <w:highlight w:val="none"/>
              </w:rPr>
            </w:pPr>
            <w:r>
              <w:rPr>
                <w:rFonts w:hint="eastAsia" w:ascii="宋体" w:eastAsia="宋体" w:cs="Arial"/>
                <w:b w:val="0"/>
                <w:color w:val="auto"/>
                <w:sz w:val="22"/>
                <w:szCs w:val="22"/>
                <w:highlight w:val="none"/>
              </w:rPr>
              <w:t>内容</w:t>
            </w:r>
          </w:p>
        </w:tc>
        <w:tc>
          <w:tcPr>
            <w:tcW w:w="7957" w:type="dxa"/>
            <w:noWrap w:val="0"/>
            <w:vAlign w:val="center"/>
          </w:tcPr>
          <w:p w14:paraId="5129DE91">
            <w:pPr>
              <w:spacing w:line="400" w:lineRule="atLeast"/>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说明与要求</w:t>
            </w:r>
          </w:p>
        </w:tc>
      </w:tr>
      <w:tr w14:paraId="3EE6C5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2F89A2A0">
            <w:pPr>
              <w:widowControl/>
              <w:numPr>
                <w:ilvl w:val="0"/>
                <w:numId w:val="6"/>
                <w:numberingChange w:id="0" w:author="yu xufan" w:date="2019-10-30T12:00:00Z" w:original="%1:1:0:."/>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1D40C398">
            <w:pPr>
              <w:rPr>
                <w:rFonts w:ascii="宋体" w:eastAsia="宋体" w:cs="Arial"/>
                <w:b w:val="0"/>
                <w:color w:val="auto"/>
                <w:sz w:val="22"/>
                <w:szCs w:val="22"/>
                <w:highlight w:val="none"/>
              </w:rPr>
            </w:pPr>
            <w:r>
              <w:rPr>
                <w:rFonts w:hint="eastAsia" w:ascii="宋体" w:eastAsia="宋体" w:cs="Arial"/>
                <w:b w:val="0"/>
                <w:color w:val="auto"/>
                <w:sz w:val="22"/>
                <w:szCs w:val="22"/>
                <w:highlight w:val="none"/>
              </w:rPr>
              <w:t>项目名称</w:t>
            </w:r>
          </w:p>
        </w:tc>
        <w:tc>
          <w:tcPr>
            <w:tcW w:w="7957" w:type="dxa"/>
            <w:noWrap w:val="0"/>
            <w:vAlign w:val="center"/>
          </w:tcPr>
          <w:p w14:paraId="61E7C2CA">
            <w:pPr>
              <w:rPr>
                <w:rFonts w:hint="eastAsia" w:ascii="宋体" w:eastAsia="宋体" w:cs="宋体"/>
                <w:b w:val="0"/>
                <w:color w:val="auto"/>
                <w:sz w:val="22"/>
                <w:szCs w:val="22"/>
                <w:highlight w:val="none"/>
                <w:lang w:eastAsia="zh-CN"/>
              </w:rPr>
            </w:pPr>
            <w:r>
              <w:rPr>
                <w:rFonts w:hint="eastAsia" w:ascii="宋体" w:eastAsia="宋体" w:cs="宋体"/>
                <w:b w:val="0"/>
                <w:color w:val="auto"/>
                <w:sz w:val="22"/>
                <w:szCs w:val="22"/>
                <w:highlight w:val="none"/>
                <w:lang w:eastAsia="zh-CN"/>
              </w:rPr>
              <w:t>永嘉县瓯北第三小学科学实验室设备</w:t>
            </w:r>
          </w:p>
        </w:tc>
      </w:tr>
      <w:tr w14:paraId="32F6BF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6B6FBB5B">
            <w:pPr>
              <w:widowControl/>
              <w:numPr>
                <w:ilvl w:val="0"/>
                <w:numId w:val="6"/>
                <w:numberingChange w:id="1" w:author="yu xufan" w:date="2019-10-30T12:00:00Z" w:original="%1:2:0:."/>
              </w:numPr>
              <w:tabs>
                <w:tab w:val="left" w:pos="420"/>
                <w:tab w:val="clear" w:pos="720"/>
              </w:tabs>
              <w:ind w:left="420" w:hanging="420"/>
              <w:jc w:val="right"/>
              <w:rPr>
                <w:rFonts w:ascii="宋体" w:eastAsia="宋体" w:cs="Arial"/>
                <w:b w:val="0"/>
                <w:color w:val="auto"/>
                <w:sz w:val="22"/>
                <w:szCs w:val="22"/>
                <w:highlight w:val="none"/>
              </w:rPr>
            </w:pPr>
            <w:r>
              <w:rPr>
                <w:rFonts w:hint="eastAsia" w:ascii="宋体" w:eastAsia="宋体" w:cs="Arial"/>
                <w:b w:val="0"/>
                <w:color w:val="auto"/>
                <w:sz w:val="22"/>
                <w:szCs w:val="22"/>
                <w:highlight w:val="none"/>
              </w:rPr>
              <w:t xml:space="preserve"> </w:t>
            </w:r>
          </w:p>
        </w:tc>
        <w:tc>
          <w:tcPr>
            <w:tcW w:w="2047" w:type="dxa"/>
            <w:noWrap w:val="0"/>
            <w:vAlign w:val="center"/>
          </w:tcPr>
          <w:p w14:paraId="5AB8C3F3">
            <w:pPr>
              <w:rPr>
                <w:rFonts w:ascii="宋体" w:eastAsia="宋体"/>
                <w:b w:val="0"/>
                <w:color w:val="auto"/>
                <w:sz w:val="22"/>
                <w:szCs w:val="22"/>
                <w:highlight w:val="none"/>
              </w:rPr>
            </w:pPr>
            <w:r>
              <w:rPr>
                <w:rFonts w:hint="eastAsia" w:ascii="宋体" w:eastAsia="宋体"/>
                <w:b w:val="0"/>
                <w:color w:val="auto"/>
                <w:sz w:val="22"/>
                <w:szCs w:val="22"/>
                <w:highlight w:val="none"/>
              </w:rPr>
              <w:t>项目编号</w:t>
            </w:r>
          </w:p>
        </w:tc>
        <w:tc>
          <w:tcPr>
            <w:tcW w:w="7957" w:type="dxa"/>
            <w:noWrap w:val="0"/>
            <w:vAlign w:val="center"/>
          </w:tcPr>
          <w:p w14:paraId="75E9F4D4">
            <w:pPr>
              <w:rPr>
                <w:rFonts w:hint="eastAsia" w:ascii="宋体" w:eastAsia="宋体" w:cs="宋体"/>
                <w:b w:val="0"/>
                <w:color w:val="auto"/>
                <w:sz w:val="22"/>
                <w:szCs w:val="22"/>
                <w:highlight w:val="none"/>
                <w:lang w:eastAsia="zh-CN"/>
              </w:rPr>
            </w:pPr>
            <w:r>
              <w:rPr>
                <w:rFonts w:hint="eastAsia" w:ascii="宋体" w:eastAsia="宋体"/>
                <w:b w:val="0"/>
                <w:bCs/>
                <w:color w:val="auto"/>
                <w:sz w:val="22"/>
                <w:highlight w:val="none"/>
                <w:lang w:val="en-US" w:eastAsia="zh-CN"/>
              </w:rPr>
              <w:t>WZGL-YJ-2025071401</w:t>
            </w:r>
          </w:p>
        </w:tc>
      </w:tr>
      <w:tr w14:paraId="688202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3419A4DB">
            <w:pPr>
              <w:widowControl/>
              <w:numPr>
                <w:ilvl w:val="0"/>
                <w:numId w:val="6"/>
                <w:numberingChange w:id="2" w:author="yu xufan" w:date="2019-10-30T12:00:00Z" w:original="%1:3:0:."/>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1BA39751">
            <w:pPr>
              <w:rPr>
                <w:rFonts w:ascii="宋体" w:eastAsia="宋体" w:cs="Arial"/>
                <w:b w:val="0"/>
                <w:color w:val="auto"/>
                <w:sz w:val="22"/>
                <w:szCs w:val="22"/>
                <w:highlight w:val="none"/>
              </w:rPr>
            </w:pPr>
            <w:r>
              <w:rPr>
                <w:rFonts w:hint="eastAsia" w:ascii="宋体" w:eastAsia="宋体"/>
                <w:b w:val="0"/>
                <w:color w:val="auto"/>
                <w:sz w:val="22"/>
                <w:szCs w:val="22"/>
                <w:highlight w:val="none"/>
              </w:rPr>
              <w:t>资金来源</w:t>
            </w:r>
          </w:p>
        </w:tc>
        <w:tc>
          <w:tcPr>
            <w:tcW w:w="7957" w:type="dxa"/>
            <w:noWrap w:val="0"/>
            <w:vAlign w:val="center"/>
          </w:tcPr>
          <w:p w14:paraId="49F97CC5">
            <w:pPr>
              <w:rPr>
                <w:rFonts w:hint="eastAsia" w:ascii="宋体" w:eastAsia="宋体" w:cs="宋体"/>
                <w:b w:val="0"/>
                <w:color w:val="auto"/>
                <w:sz w:val="22"/>
                <w:szCs w:val="22"/>
                <w:highlight w:val="none"/>
              </w:rPr>
            </w:pPr>
            <w:r>
              <w:rPr>
                <w:rFonts w:hint="eastAsia" w:ascii="宋体" w:eastAsia="宋体" w:cs="宋体"/>
                <w:b w:val="0"/>
                <w:color w:val="auto"/>
                <w:sz w:val="22"/>
                <w:szCs w:val="22"/>
                <w:highlight w:val="none"/>
              </w:rPr>
              <w:t>财政性资金</w:t>
            </w:r>
          </w:p>
        </w:tc>
      </w:tr>
      <w:tr w14:paraId="6BE51D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2C49D4D7">
            <w:pPr>
              <w:widowControl/>
              <w:numPr>
                <w:ilvl w:val="0"/>
                <w:numId w:val="6"/>
                <w:numberingChange w:id="3" w:author="yu xufan" w:date="2019-10-30T12:00:00Z" w:original="%1:4:0:."/>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0B3C1C10">
            <w:pPr>
              <w:rPr>
                <w:rFonts w:ascii="宋体" w:eastAsia="宋体"/>
                <w:b w:val="0"/>
                <w:color w:val="auto"/>
                <w:sz w:val="22"/>
                <w:szCs w:val="22"/>
                <w:highlight w:val="none"/>
              </w:rPr>
            </w:pPr>
            <w:r>
              <w:rPr>
                <w:rFonts w:hint="eastAsia" w:ascii="宋体" w:eastAsia="宋体"/>
                <w:b w:val="0"/>
                <w:color w:val="auto"/>
                <w:sz w:val="22"/>
                <w:szCs w:val="22"/>
                <w:highlight w:val="none"/>
              </w:rPr>
              <w:t>采购方式</w:t>
            </w:r>
          </w:p>
        </w:tc>
        <w:tc>
          <w:tcPr>
            <w:tcW w:w="7957" w:type="dxa"/>
            <w:noWrap w:val="0"/>
            <w:vAlign w:val="center"/>
          </w:tcPr>
          <w:p w14:paraId="680FE479">
            <w:pPr>
              <w:rPr>
                <w:rFonts w:hint="eastAsia" w:ascii="宋体" w:eastAsia="宋体" w:cs="宋体"/>
                <w:b w:val="0"/>
                <w:color w:val="auto"/>
                <w:sz w:val="22"/>
                <w:szCs w:val="22"/>
                <w:highlight w:val="none"/>
              </w:rPr>
            </w:pPr>
            <w:r>
              <w:rPr>
                <w:rFonts w:hint="eastAsia" w:ascii="宋体" w:eastAsia="宋体" w:cs="宋体"/>
                <w:b w:val="0"/>
                <w:color w:val="auto"/>
                <w:sz w:val="22"/>
                <w:szCs w:val="22"/>
                <w:highlight w:val="none"/>
              </w:rPr>
              <w:t>公开招标</w:t>
            </w:r>
          </w:p>
        </w:tc>
      </w:tr>
      <w:tr w14:paraId="552347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5CB4DFF9">
            <w:pPr>
              <w:widowControl/>
              <w:numPr>
                <w:ilvl w:val="0"/>
                <w:numId w:val="6"/>
                <w:numberingChange w:id="4" w:author="yu xufan" w:date="2019-10-30T12:00:00Z" w:original="%1:5:0:."/>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431B6A6C">
            <w:pPr>
              <w:rPr>
                <w:rFonts w:ascii="宋体" w:eastAsia="宋体"/>
                <w:b w:val="0"/>
                <w:color w:val="auto"/>
                <w:sz w:val="22"/>
                <w:szCs w:val="22"/>
                <w:highlight w:val="none"/>
              </w:rPr>
            </w:pPr>
            <w:r>
              <w:rPr>
                <w:rFonts w:hint="eastAsia" w:ascii="宋体" w:eastAsia="宋体"/>
                <w:b w:val="0"/>
                <w:color w:val="auto"/>
                <w:sz w:val="22"/>
                <w:szCs w:val="22"/>
                <w:highlight w:val="none"/>
              </w:rPr>
              <w:t>采购预算（最高限价）</w:t>
            </w:r>
          </w:p>
        </w:tc>
        <w:tc>
          <w:tcPr>
            <w:tcW w:w="7957" w:type="dxa"/>
            <w:noWrap w:val="0"/>
            <w:vAlign w:val="center"/>
          </w:tcPr>
          <w:p w14:paraId="3C85DA9E">
            <w:pPr>
              <w:rPr>
                <w:rFonts w:ascii="宋体" w:eastAsia="宋体"/>
                <w:b w:val="0"/>
                <w:color w:val="auto"/>
                <w:sz w:val="22"/>
                <w:szCs w:val="22"/>
                <w:highlight w:val="none"/>
              </w:rPr>
            </w:pPr>
            <w:r>
              <w:rPr>
                <w:rFonts w:hint="eastAsia" w:ascii="宋体" w:eastAsia="宋体" w:cs="Arial"/>
                <w:b w:val="0"/>
                <w:color w:val="auto"/>
                <w:sz w:val="22"/>
                <w:szCs w:val="22"/>
                <w:highlight w:val="none"/>
              </w:rPr>
              <w:t>见招标公告</w:t>
            </w:r>
          </w:p>
        </w:tc>
      </w:tr>
      <w:tr w14:paraId="377854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51D78D1F">
            <w:pPr>
              <w:widowControl/>
              <w:numPr>
                <w:ilvl w:val="0"/>
                <w:numId w:val="6"/>
                <w:numberingChange w:id="5" w:author="yu xufan" w:date="2019-10-30T12:00:00Z" w:original="%1:6:0:."/>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28CDA1D5">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采购人</w:t>
            </w:r>
          </w:p>
        </w:tc>
        <w:tc>
          <w:tcPr>
            <w:tcW w:w="7957" w:type="dxa"/>
            <w:noWrap w:val="0"/>
            <w:vAlign w:val="center"/>
          </w:tcPr>
          <w:p w14:paraId="2529460C">
            <w:pPr>
              <w:adjustRightInd w:val="0"/>
              <w:rPr>
                <w:rFonts w:hint="eastAsia" w:ascii="宋体" w:eastAsia="宋体"/>
                <w:b w:val="0"/>
                <w:color w:val="auto"/>
                <w:sz w:val="22"/>
                <w:szCs w:val="22"/>
                <w:highlight w:val="none"/>
                <w:lang w:eastAsia="zh-CN"/>
              </w:rPr>
            </w:pPr>
            <w:r>
              <w:rPr>
                <w:rFonts w:hint="eastAsia" w:ascii="宋体" w:eastAsia="宋体"/>
                <w:b w:val="0"/>
                <w:color w:val="auto"/>
                <w:sz w:val="22"/>
                <w:szCs w:val="22"/>
                <w:highlight w:val="none"/>
                <w:lang w:eastAsia="zh-CN"/>
              </w:rPr>
              <w:t>永嘉县瓯北第三小学</w:t>
            </w:r>
          </w:p>
        </w:tc>
      </w:tr>
      <w:tr w14:paraId="48094B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546E586B">
            <w:pPr>
              <w:widowControl/>
              <w:numPr>
                <w:ilvl w:val="0"/>
                <w:numId w:val="6"/>
                <w:numberingChange w:id="6" w:author="yu xufan" w:date="2019-10-30T12:00:00Z" w:original="%1:7:0:."/>
              </w:numPr>
              <w:tabs>
                <w:tab w:val="left" w:pos="420"/>
                <w:tab w:val="clear" w:pos="720"/>
              </w:tabs>
              <w:ind w:left="420" w:right="105" w:hanging="420"/>
              <w:jc w:val="right"/>
              <w:rPr>
                <w:rFonts w:ascii="宋体" w:eastAsia="宋体" w:cs="Arial"/>
                <w:b w:val="0"/>
                <w:color w:val="auto"/>
                <w:sz w:val="22"/>
                <w:szCs w:val="22"/>
                <w:highlight w:val="none"/>
              </w:rPr>
            </w:pPr>
            <w:r>
              <w:rPr>
                <w:rFonts w:hint="eastAsia" w:ascii="宋体" w:eastAsia="宋体" w:cs="Arial"/>
                <w:b w:val="0"/>
                <w:color w:val="auto"/>
                <w:sz w:val="22"/>
                <w:szCs w:val="22"/>
                <w:highlight w:val="none"/>
              </w:rPr>
              <w:t xml:space="preserve"> </w:t>
            </w:r>
          </w:p>
        </w:tc>
        <w:tc>
          <w:tcPr>
            <w:tcW w:w="2047" w:type="dxa"/>
            <w:noWrap w:val="0"/>
            <w:vAlign w:val="center"/>
          </w:tcPr>
          <w:p w14:paraId="452BD583">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采购代理机构</w:t>
            </w:r>
          </w:p>
        </w:tc>
        <w:tc>
          <w:tcPr>
            <w:tcW w:w="7957" w:type="dxa"/>
            <w:noWrap w:val="0"/>
            <w:vAlign w:val="center"/>
          </w:tcPr>
          <w:p w14:paraId="3500737B">
            <w:pPr>
              <w:adjustRightInd w:val="0"/>
              <w:rPr>
                <w:rFonts w:hint="eastAsia" w:ascii="宋体" w:eastAsia="宋体"/>
                <w:b w:val="0"/>
                <w:color w:val="auto"/>
                <w:sz w:val="22"/>
                <w:szCs w:val="22"/>
                <w:highlight w:val="none"/>
              </w:rPr>
            </w:pPr>
            <w:r>
              <w:rPr>
                <w:rFonts w:hint="eastAsia" w:ascii="宋体" w:eastAsia="宋体"/>
                <w:b w:val="0"/>
                <w:color w:val="auto"/>
                <w:sz w:val="22"/>
                <w:szCs w:val="22"/>
                <w:highlight w:val="none"/>
              </w:rPr>
              <w:t>名称：</w:t>
            </w:r>
            <w:r>
              <w:rPr>
                <w:rFonts w:hint="eastAsia" w:ascii="宋体" w:eastAsia="宋体"/>
                <w:b w:val="0"/>
                <w:color w:val="auto"/>
                <w:sz w:val="22"/>
                <w:szCs w:val="22"/>
                <w:highlight w:val="none"/>
                <w:lang w:eastAsia="zh-CN"/>
              </w:rPr>
              <w:t>温州国利项目管理咨询有限公司</w:t>
            </w:r>
            <w:r>
              <w:rPr>
                <w:rFonts w:hint="eastAsia" w:ascii="宋体" w:eastAsia="宋体"/>
                <w:b w:val="0"/>
                <w:color w:val="auto"/>
                <w:sz w:val="22"/>
                <w:szCs w:val="22"/>
                <w:highlight w:val="none"/>
              </w:rPr>
              <w:t> </w:t>
            </w:r>
          </w:p>
          <w:p w14:paraId="5F40B2CA">
            <w:pPr>
              <w:adjustRightInd w:val="0"/>
              <w:rPr>
                <w:rFonts w:hint="eastAsia" w:ascii="宋体" w:eastAsia="宋体" w:cs="宋体"/>
                <w:b w:val="0"/>
                <w:color w:val="auto"/>
                <w:sz w:val="22"/>
                <w:szCs w:val="22"/>
                <w:highlight w:val="none"/>
                <w:lang w:eastAsia="zh-CN"/>
              </w:rPr>
            </w:pPr>
            <w:r>
              <w:rPr>
                <w:rFonts w:hint="eastAsia" w:ascii="宋体" w:eastAsia="宋体" w:cs="宋体"/>
                <w:b w:val="0"/>
                <w:color w:val="auto"/>
                <w:sz w:val="22"/>
                <w:szCs w:val="22"/>
                <w:highlight w:val="none"/>
                <w:lang w:eastAsia="zh-CN"/>
              </w:rPr>
              <w:t>地址：永嘉县南城街道县前路242-246号勘查测绘大楼2楼</w:t>
            </w:r>
          </w:p>
          <w:p w14:paraId="5853F879">
            <w:pPr>
              <w:adjustRightInd w:val="0"/>
              <w:rPr>
                <w:rFonts w:hint="default" w:ascii="宋体" w:eastAsia="宋体"/>
                <w:b w:val="0"/>
                <w:color w:val="auto"/>
                <w:sz w:val="22"/>
                <w:highlight w:val="none"/>
                <w:lang w:val="en-US" w:eastAsia="zh-CN"/>
              </w:rPr>
            </w:pPr>
            <w:r>
              <w:rPr>
                <w:rFonts w:hint="eastAsia" w:ascii="宋体" w:eastAsia="宋体"/>
                <w:b w:val="0"/>
                <w:color w:val="auto"/>
                <w:sz w:val="22"/>
                <w:highlight w:val="none"/>
              </w:rPr>
              <w:t>项目联系人（询问）：</w:t>
            </w:r>
            <w:r>
              <w:rPr>
                <w:rFonts w:hint="eastAsia" w:ascii="宋体" w:eastAsia="宋体"/>
                <w:b w:val="0"/>
                <w:color w:val="auto"/>
                <w:sz w:val="22"/>
                <w:highlight w:val="none"/>
                <w:lang w:val="en-US" w:eastAsia="zh-CN"/>
              </w:rPr>
              <w:t>余旭凡</w:t>
            </w:r>
          </w:p>
          <w:p w14:paraId="6D65ADA3">
            <w:pPr>
              <w:adjustRightInd w:val="0"/>
              <w:rPr>
                <w:rFonts w:hint="default" w:ascii="宋体" w:eastAsia="宋体"/>
                <w:b w:val="0"/>
                <w:color w:val="auto"/>
                <w:sz w:val="22"/>
                <w:highlight w:val="none"/>
                <w:lang w:val="en-US" w:eastAsia="zh-CN"/>
              </w:rPr>
            </w:pPr>
            <w:r>
              <w:rPr>
                <w:rFonts w:hint="eastAsia" w:ascii="宋体" w:eastAsia="宋体"/>
                <w:b w:val="0"/>
                <w:color w:val="auto"/>
                <w:sz w:val="22"/>
                <w:highlight w:val="none"/>
              </w:rPr>
              <w:t>项目联系方式（询问）：1</w:t>
            </w:r>
            <w:r>
              <w:rPr>
                <w:rFonts w:hint="eastAsia" w:ascii="宋体" w:eastAsia="宋体"/>
                <w:b w:val="0"/>
                <w:color w:val="auto"/>
                <w:sz w:val="22"/>
                <w:highlight w:val="none"/>
                <w:lang w:val="en-US" w:eastAsia="zh-CN"/>
              </w:rPr>
              <w:t>8968868813</w:t>
            </w:r>
          </w:p>
          <w:p w14:paraId="072930BA">
            <w:pPr>
              <w:adjustRightInd w:val="0"/>
              <w:rPr>
                <w:rFonts w:hint="eastAsia" w:ascii="宋体" w:eastAsia="宋体" w:cs="宋体"/>
                <w:b w:val="0"/>
                <w:color w:val="auto"/>
                <w:sz w:val="22"/>
                <w:szCs w:val="22"/>
                <w:highlight w:val="none"/>
                <w:lang w:eastAsia="zh-CN"/>
              </w:rPr>
            </w:pPr>
            <w:r>
              <w:rPr>
                <w:rFonts w:hint="eastAsia" w:ascii="宋体" w:eastAsia="宋体" w:cs="宋体"/>
                <w:b w:val="0"/>
                <w:color w:val="auto"/>
                <w:sz w:val="22"/>
                <w:szCs w:val="22"/>
                <w:highlight w:val="none"/>
                <w:lang w:eastAsia="zh-CN"/>
              </w:rPr>
              <w:t>质疑联系人：刘茜茜</w:t>
            </w:r>
          </w:p>
          <w:p w14:paraId="57EF9A3B">
            <w:pPr>
              <w:adjustRightInd w:val="0"/>
              <w:rPr>
                <w:rFonts w:ascii="宋体" w:eastAsia="宋体"/>
                <w:b w:val="0"/>
                <w:color w:val="auto"/>
                <w:sz w:val="22"/>
                <w:szCs w:val="22"/>
                <w:highlight w:val="none"/>
              </w:rPr>
            </w:pPr>
            <w:r>
              <w:rPr>
                <w:rFonts w:hint="eastAsia" w:ascii="宋体" w:eastAsia="宋体" w:cs="宋体"/>
                <w:b w:val="0"/>
                <w:color w:val="auto"/>
                <w:sz w:val="22"/>
                <w:szCs w:val="22"/>
                <w:highlight w:val="none"/>
                <w:lang w:eastAsia="zh-CN"/>
              </w:rPr>
              <w:t>质疑联系方式：</w:t>
            </w:r>
            <w:r>
              <w:rPr>
                <w:rFonts w:hint="eastAsia" w:ascii="宋体" w:eastAsia="宋体"/>
                <w:b w:val="0"/>
                <w:bCs w:val="0"/>
                <w:color w:val="auto"/>
                <w:sz w:val="22"/>
                <w:szCs w:val="22"/>
                <w:highlight w:val="none"/>
              </w:rPr>
              <w:t>0577-86997769</w:t>
            </w:r>
          </w:p>
        </w:tc>
      </w:tr>
      <w:tr w14:paraId="303FFE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6E76F77A">
            <w:pPr>
              <w:widowControl/>
              <w:numPr>
                <w:ilvl w:val="0"/>
                <w:numId w:val="6"/>
                <w:numberingChange w:id="7" w:author="yu xufan" w:date="2019-10-30T12:00:00Z" w:original="%1:8:0:."/>
              </w:numPr>
              <w:tabs>
                <w:tab w:val="left" w:pos="420"/>
                <w:tab w:val="clear" w:pos="720"/>
              </w:tabs>
              <w:ind w:left="420" w:right="105" w:hanging="420"/>
              <w:jc w:val="right"/>
              <w:rPr>
                <w:rFonts w:hint="eastAsia" w:ascii="宋体" w:eastAsia="宋体" w:cs="Arial"/>
                <w:b w:val="0"/>
                <w:color w:val="auto"/>
                <w:sz w:val="22"/>
                <w:szCs w:val="22"/>
                <w:highlight w:val="none"/>
              </w:rPr>
            </w:pPr>
          </w:p>
        </w:tc>
        <w:tc>
          <w:tcPr>
            <w:tcW w:w="2047" w:type="dxa"/>
            <w:noWrap w:val="0"/>
            <w:vAlign w:val="center"/>
          </w:tcPr>
          <w:p w14:paraId="28F9D614">
            <w:pPr>
              <w:adjustRightInd w:val="0"/>
              <w:rPr>
                <w:rFonts w:hint="eastAsia" w:ascii="宋体" w:eastAsia="宋体"/>
                <w:b w:val="0"/>
                <w:color w:val="auto"/>
                <w:sz w:val="22"/>
                <w:szCs w:val="22"/>
                <w:highlight w:val="none"/>
              </w:rPr>
            </w:pPr>
            <w:r>
              <w:rPr>
                <w:rFonts w:hint="eastAsia" w:ascii="宋体" w:eastAsia="宋体"/>
                <w:b w:val="0"/>
                <w:color w:val="auto"/>
                <w:sz w:val="22"/>
                <w:szCs w:val="22"/>
                <w:highlight w:val="none"/>
              </w:rPr>
              <w:t>评标办法</w:t>
            </w:r>
          </w:p>
        </w:tc>
        <w:tc>
          <w:tcPr>
            <w:tcW w:w="7957" w:type="dxa"/>
            <w:noWrap w:val="0"/>
            <w:vAlign w:val="center"/>
          </w:tcPr>
          <w:p w14:paraId="690F4E1C">
            <w:pPr>
              <w:adjustRightInd w:val="0"/>
              <w:rPr>
                <w:rFonts w:hint="eastAsia" w:ascii="宋体" w:eastAsia="宋体"/>
                <w:b w:val="0"/>
                <w:color w:val="auto"/>
                <w:sz w:val="22"/>
                <w:szCs w:val="22"/>
                <w:highlight w:val="none"/>
              </w:rPr>
            </w:pPr>
            <w:r>
              <w:rPr>
                <w:rFonts w:hint="eastAsia" w:ascii="宋体" w:eastAsia="宋体"/>
                <w:b w:val="0"/>
                <w:color w:val="auto"/>
                <w:sz w:val="22"/>
                <w:szCs w:val="22"/>
                <w:highlight w:val="none"/>
              </w:rPr>
              <w:t>综合评分法</w:t>
            </w:r>
          </w:p>
        </w:tc>
      </w:tr>
      <w:tr w14:paraId="267AE8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163C2F43">
            <w:pPr>
              <w:widowControl/>
              <w:numPr>
                <w:ilvl w:val="0"/>
                <w:numId w:val="6"/>
                <w:numberingChange w:id="8" w:author="yu xufan" w:date="2019-10-30T12:00:00Z" w:original="%1:9:0:."/>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275051F1">
            <w:pPr>
              <w:rPr>
                <w:rFonts w:ascii="宋体" w:eastAsia="宋体" w:cs="Arial"/>
                <w:b w:val="0"/>
                <w:color w:val="auto"/>
                <w:sz w:val="22"/>
                <w:szCs w:val="22"/>
                <w:highlight w:val="none"/>
              </w:rPr>
            </w:pPr>
            <w:r>
              <w:rPr>
                <w:rFonts w:hint="eastAsia" w:ascii="宋体" w:eastAsia="宋体" w:cs="Arial"/>
                <w:b w:val="0"/>
                <w:color w:val="auto"/>
                <w:sz w:val="22"/>
                <w:szCs w:val="22"/>
                <w:highlight w:val="none"/>
              </w:rPr>
              <w:t>招标内容</w:t>
            </w:r>
          </w:p>
        </w:tc>
        <w:tc>
          <w:tcPr>
            <w:tcW w:w="7957" w:type="dxa"/>
            <w:noWrap w:val="0"/>
            <w:vAlign w:val="center"/>
          </w:tcPr>
          <w:p w14:paraId="2C3BEDBA">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具体内容见招标文件。</w:t>
            </w:r>
          </w:p>
        </w:tc>
      </w:tr>
      <w:tr w14:paraId="0CA792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060C99DE">
            <w:pPr>
              <w:widowControl/>
              <w:numPr>
                <w:ilvl w:val="0"/>
                <w:numId w:val="6"/>
                <w:numberingChange w:id="9" w:author="yu xufan" w:date="2019-10-30T12:00:00Z" w:original="%1:10:0:."/>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7E76EB36">
            <w:pPr>
              <w:rPr>
                <w:rFonts w:ascii="宋体" w:eastAsia="宋体"/>
                <w:b w:val="0"/>
                <w:color w:val="auto"/>
                <w:sz w:val="22"/>
                <w:szCs w:val="22"/>
                <w:highlight w:val="none"/>
              </w:rPr>
            </w:pPr>
            <w:r>
              <w:rPr>
                <w:rFonts w:hint="eastAsia" w:ascii="宋体" w:eastAsia="宋体"/>
                <w:b w:val="0"/>
                <w:color w:val="auto"/>
                <w:sz w:val="22"/>
                <w:szCs w:val="22"/>
                <w:highlight w:val="none"/>
              </w:rPr>
              <w:t>投标供应商</w:t>
            </w:r>
          </w:p>
          <w:p w14:paraId="000C97DB">
            <w:pPr>
              <w:rPr>
                <w:rFonts w:ascii="宋体" w:eastAsia="宋体"/>
                <w:b w:val="0"/>
                <w:color w:val="auto"/>
                <w:sz w:val="22"/>
                <w:szCs w:val="22"/>
                <w:highlight w:val="none"/>
              </w:rPr>
            </w:pPr>
            <w:r>
              <w:rPr>
                <w:rFonts w:hint="eastAsia" w:ascii="宋体" w:eastAsia="宋体"/>
                <w:b w:val="0"/>
                <w:color w:val="auto"/>
                <w:sz w:val="22"/>
                <w:szCs w:val="22"/>
                <w:highlight w:val="none"/>
              </w:rPr>
              <w:t>资格要求</w:t>
            </w:r>
          </w:p>
        </w:tc>
        <w:tc>
          <w:tcPr>
            <w:tcW w:w="7957" w:type="dxa"/>
            <w:noWrap w:val="0"/>
            <w:vAlign w:val="center"/>
          </w:tcPr>
          <w:p w14:paraId="64C6F620">
            <w:pPr>
              <w:adjustRightInd w:val="0"/>
              <w:rPr>
                <w:rFonts w:hint="eastAsia" w:ascii="宋体" w:eastAsia="宋体"/>
                <w:b w:val="0"/>
                <w:iCs/>
                <w:color w:val="auto"/>
                <w:sz w:val="22"/>
                <w:szCs w:val="22"/>
                <w:highlight w:val="none"/>
              </w:rPr>
            </w:pPr>
            <w:r>
              <w:rPr>
                <w:rFonts w:hint="eastAsia" w:ascii="宋体" w:eastAsia="宋体"/>
                <w:b w:val="0"/>
                <w:iCs/>
                <w:color w:val="auto"/>
                <w:sz w:val="22"/>
                <w:szCs w:val="22"/>
                <w:highlight w:val="none"/>
              </w:rPr>
              <w:t>1.满足《中华人民共和国政府采购法》第二十二条规定；未被“信用中国”（www.creditchina.gov.cn)、中国政府采购网（www.ccgp.gov.cn）列入失信被执行人、重大税收违法案件当事人名单、政府采购严重违法失信行为记录名单。</w:t>
            </w:r>
          </w:p>
          <w:p w14:paraId="500FFF2C">
            <w:pPr>
              <w:adjustRightInd w:val="0"/>
              <w:rPr>
                <w:rFonts w:hint="eastAsia" w:ascii="宋体" w:eastAsia="宋体"/>
                <w:b w:val="0"/>
                <w:iCs/>
                <w:color w:val="auto"/>
                <w:sz w:val="22"/>
                <w:szCs w:val="22"/>
                <w:highlight w:val="none"/>
              </w:rPr>
            </w:pPr>
            <w:r>
              <w:rPr>
                <w:rFonts w:hint="eastAsia" w:ascii="宋体" w:eastAsia="宋体"/>
                <w:b w:val="0"/>
                <w:iCs/>
                <w:color w:val="auto"/>
                <w:sz w:val="22"/>
                <w:szCs w:val="22"/>
                <w:highlight w:val="none"/>
              </w:rPr>
              <w:t>2.落实政府采购政策需满足的资格要求：</w:t>
            </w:r>
          </w:p>
          <w:p w14:paraId="3F768481">
            <w:pPr>
              <w:adjustRightInd w:val="0"/>
              <w:rPr>
                <w:rFonts w:hint="eastAsia" w:ascii="宋体" w:eastAsia="宋体"/>
                <w:b w:val="0"/>
                <w:color w:val="auto"/>
                <w:sz w:val="22"/>
                <w:highlight w:val="none"/>
              </w:rPr>
            </w:pPr>
            <w:sdt>
              <w:sdtPr>
                <w:rPr>
                  <w:rFonts w:hint="eastAsia" w:ascii="宋体" w:eastAsia="宋体"/>
                  <w:b w:val="0"/>
                  <w:color w:val="auto"/>
                  <w:sz w:val="22"/>
                  <w:highlight w:val="none"/>
                </w:rPr>
                <w:id w:val="147481395"/>
                <w14:checkbox>
                  <w14:checked w14:val="1"/>
                  <w14:checkedState w14:val="00FE" w14:font="Wingdings"/>
                  <w14:uncheckedState w14:val="2610" w14:font="MS Gothic"/>
                </w14:checkbox>
              </w:sdtPr>
              <w:sdtEndPr>
                <w:rPr>
                  <w:rFonts w:hint="eastAsia" w:ascii="宋体" w:eastAsia="宋体"/>
                  <w:b w:val="0"/>
                  <w:color w:val="auto"/>
                  <w:sz w:val="22"/>
                  <w:highlight w:val="none"/>
                </w:rPr>
              </w:sdtEndPr>
              <w:sdtContent>
                <w:r>
                  <w:rPr>
                    <w:rFonts w:hint="eastAsia" w:ascii="Wingdings" w:hAnsi="Wingdings" w:eastAsia="宋体" w:cs="宋体"/>
                    <w:b w:val="0"/>
                    <w:color w:val="auto"/>
                    <w:sz w:val="22"/>
                    <w:szCs w:val="21"/>
                    <w:highlight w:val="none"/>
                    <w:lang w:val="en-US" w:eastAsia="zh-CN" w:bidi="ar-SA"/>
                  </w:rPr>
                  <w:t>þ</w:t>
                </w:r>
              </w:sdtContent>
            </w:sdt>
            <w:r>
              <w:rPr>
                <w:rFonts w:hint="eastAsia" w:ascii="宋体" w:eastAsia="宋体"/>
                <w:b w:val="0"/>
                <w:color w:val="auto"/>
                <w:sz w:val="22"/>
                <w:highlight w:val="none"/>
              </w:rPr>
              <w:t>专门面向中小企业</w:t>
            </w:r>
          </w:p>
          <w:p w14:paraId="022E5093">
            <w:pPr>
              <w:adjustRightInd w:val="0"/>
              <w:rPr>
                <w:rFonts w:hint="eastAsia"/>
                <w:color w:val="auto"/>
                <w:highlight w:val="none"/>
              </w:rPr>
            </w:pPr>
            <w:r>
              <w:rPr>
                <w:rFonts w:hint="eastAsia" w:ascii="宋体" w:eastAsia="宋体"/>
                <w:b w:val="0"/>
                <w:color w:val="auto"/>
                <w:sz w:val="22"/>
                <w:highlight w:val="none"/>
              </w:rPr>
              <w:sym w:font="Wingdings" w:char="F0FE"/>
            </w:r>
            <w:r>
              <w:rPr>
                <w:rFonts w:hint="eastAsia" w:ascii="宋体" w:eastAsia="宋体"/>
                <w:b w:val="0"/>
                <w:color w:val="auto"/>
                <w:sz w:val="22"/>
                <w:highlight w:val="none"/>
              </w:rPr>
              <w:t>货物全部由符合政策要求的中小企业制造，提供中小企业声明函；</w:t>
            </w:r>
            <w:r>
              <w:rPr>
                <w:rFonts w:hint="eastAsia" w:ascii="宋体" w:eastAsia="宋体"/>
                <w:b w:val="0"/>
                <w:color w:val="auto"/>
                <w:sz w:val="22"/>
                <w:highlight w:val="none"/>
                <w:lang w:val="en-US" w:eastAsia="zh-CN"/>
              </w:rPr>
              <w:t>（监狱企业、残疾人企业等同中小企业）</w:t>
            </w:r>
          </w:p>
          <w:p w14:paraId="142A137C">
            <w:pPr>
              <w:adjustRightInd w:val="0"/>
              <w:rPr>
                <w:color w:val="auto"/>
                <w:highlight w:val="none"/>
              </w:rPr>
            </w:pPr>
            <w:r>
              <w:rPr>
                <w:rFonts w:hint="eastAsia" w:ascii="宋体" w:eastAsia="宋体"/>
                <w:b w:val="0"/>
                <w:iCs/>
                <w:color w:val="auto"/>
                <w:sz w:val="22"/>
                <w:szCs w:val="22"/>
                <w:highlight w:val="none"/>
              </w:rPr>
              <w:t>3.本项目的特定资格要求：</w:t>
            </w:r>
            <w:r>
              <w:rPr>
                <w:rFonts w:hint="eastAsia" w:ascii="宋体" w:hAnsi="宋体" w:eastAsia="宋体" w:cs="宋体"/>
                <w:b w:val="0"/>
                <w:bCs w:val="0"/>
                <w:color w:val="auto"/>
                <w:sz w:val="22"/>
                <w:szCs w:val="22"/>
                <w:highlight w:val="none"/>
                <w:lang w:val="en-US" w:eastAsia="zh-CN"/>
              </w:rPr>
              <w:t>无</w:t>
            </w:r>
            <w:r>
              <w:rPr>
                <w:rFonts w:hint="eastAsia" w:ascii="宋体" w:hAnsi="宋体" w:eastAsia="宋体" w:cs="宋体"/>
                <w:b w:val="0"/>
                <w:bCs w:val="0"/>
                <w:color w:val="auto"/>
                <w:sz w:val="22"/>
                <w:szCs w:val="22"/>
                <w:highlight w:val="none"/>
              </w:rPr>
              <w:t>。</w:t>
            </w:r>
          </w:p>
        </w:tc>
      </w:tr>
      <w:tr w14:paraId="42408F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1A1EE3BC">
            <w:pPr>
              <w:widowControl/>
              <w:numPr>
                <w:ilvl w:val="0"/>
                <w:numId w:val="6"/>
                <w:numberingChange w:id="10" w:author="yu xufan" w:date="2019-10-30T12:00:00Z" w:original="%1:11:0:."/>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309EDC87">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是否接受联合体投标</w:t>
            </w:r>
          </w:p>
        </w:tc>
        <w:tc>
          <w:tcPr>
            <w:tcW w:w="7957" w:type="dxa"/>
            <w:noWrap w:val="0"/>
            <w:vAlign w:val="center"/>
          </w:tcPr>
          <w:p w14:paraId="2F783F22">
            <w:pPr>
              <w:adjustRightInd w:val="0"/>
              <w:rPr>
                <w:rFonts w:ascii="宋体" w:eastAsia="宋体"/>
                <w:b w:val="0"/>
                <w:i/>
                <w:color w:val="auto"/>
                <w:sz w:val="22"/>
                <w:szCs w:val="22"/>
                <w:highlight w:val="none"/>
              </w:rPr>
            </w:pPr>
            <w:r>
              <w:rPr>
                <w:rFonts w:ascii="宋体" w:eastAsia="宋体"/>
                <w:b w:val="0"/>
                <w:color w:val="auto"/>
                <w:sz w:val="22"/>
                <w:szCs w:val="22"/>
                <w:highlight w:val="none"/>
              </w:rPr>
              <w:fldChar w:fldCharType="begin"/>
            </w:r>
            <w:r>
              <w:rPr>
                <w:rFonts w:ascii="宋体" w:eastAsia="宋体"/>
                <w:b w:val="0"/>
                <w:color w:val="auto"/>
                <w:sz w:val="22"/>
                <w:szCs w:val="22"/>
                <w:highlight w:val="none"/>
              </w:rPr>
              <w:instrText xml:space="preserve"> </w:instrText>
            </w:r>
            <w:r>
              <w:rPr>
                <w:rFonts w:hint="eastAsia" w:ascii="宋体" w:eastAsia="宋体"/>
                <w:b w:val="0"/>
                <w:color w:val="auto"/>
                <w:sz w:val="22"/>
                <w:szCs w:val="22"/>
                <w:highlight w:val="none"/>
              </w:rPr>
              <w:instrText xml:space="preserve">eq \o\ac(□</w:instrText>
            </w:r>
            <w:r>
              <w:rPr>
                <w:rFonts w:hint="eastAsia" w:ascii="宋体" w:eastAsia="宋体"/>
                <w:b w:val="0"/>
                <w:color w:val="auto"/>
                <w:sz w:val="22"/>
                <w:szCs w:val="22"/>
                <w:highlight w:val="none"/>
                <w:lang w:eastAsia="zh-CN"/>
              </w:rPr>
              <w:instrText xml:space="preserve">,</w:instrText>
            </w:r>
            <w:r>
              <w:rPr>
                <w:rFonts w:hint="eastAsia" w:ascii="宋体" w:eastAsia="宋体"/>
                <w:b w:val="0"/>
                <w:color w:val="auto"/>
                <w:position w:val="2"/>
                <w:sz w:val="15"/>
                <w:szCs w:val="22"/>
                <w:highlight w:val="none"/>
                <w:lang w:eastAsia="zh-CN"/>
              </w:rPr>
              <w:instrText xml:space="preserve">√</w:instrText>
            </w:r>
            <w:r>
              <w:rPr>
                <w:rFonts w:hint="eastAsia" w:ascii="宋体" w:eastAsia="宋体"/>
                <w:b w:val="0"/>
                <w:color w:val="auto"/>
                <w:sz w:val="22"/>
                <w:szCs w:val="22"/>
                <w:highlight w:val="none"/>
              </w:rPr>
              <w:instrText xml:space="preserve">)</w:instrText>
            </w:r>
            <w:r>
              <w:rPr>
                <w:rFonts w:ascii="宋体" w:eastAsia="宋体"/>
                <w:b w:val="0"/>
                <w:color w:val="auto"/>
                <w:sz w:val="22"/>
                <w:szCs w:val="22"/>
                <w:highlight w:val="none"/>
              </w:rPr>
              <w:fldChar w:fldCharType="end"/>
            </w:r>
            <w:r>
              <w:rPr>
                <w:rFonts w:hint="eastAsia" w:ascii="宋体" w:eastAsia="宋体"/>
                <w:b w:val="0"/>
                <w:i/>
                <w:color w:val="auto"/>
                <w:sz w:val="22"/>
                <w:szCs w:val="22"/>
                <w:highlight w:val="none"/>
              </w:rPr>
              <w:t>不接受</w:t>
            </w:r>
          </w:p>
          <w:p w14:paraId="30E3C366">
            <w:pPr>
              <w:adjustRightInd w:val="0"/>
              <w:rPr>
                <w:rFonts w:ascii="宋体" w:eastAsia="宋体"/>
                <w:b w:val="0"/>
                <w:i/>
                <w:color w:val="auto"/>
                <w:sz w:val="22"/>
                <w:szCs w:val="22"/>
                <w:highlight w:val="none"/>
              </w:rPr>
            </w:pPr>
            <w:r>
              <w:rPr>
                <w:rFonts w:hint="eastAsia" w:ascii="宋体" w:eastAsia="宋体"/>
                <w:b w:val="0"/>
                <w:color w:val="auto"/>
                <w:sz w:val="22"/>
                <w:szCs w:val="22"/>
                <w:highlight w:val="none"/>
                <w:lang w:eastAsia="zh-CN"/>
              </w:rPr>
              <w:t>□</w:t>
            </w:r>
            <w:r>
              <w:rPr>
                <w:rFonts w:hint="eastAsia" w:ascii="宋体" w:eastAsia="宋体"/>
                <w:b w:val="0"/>
                <w:i/>
                <w:color w:val="auto"/>
                <w:sz w:val="22"/>
                <w:szCs w:val="22"/>
                <w:highlight w:val="none"/>
              </w:rPr>
              <w:t>接受</w:t>
            </w:r>
            <w:r>
              <w:rPr>
                <w:rFonts w:ascii="宋体" w:eastAsia="宋体"/>
                <w:b w:val="0"/>
                <w:i/>
                <w:color w:val="auto"/>
                <w:sz w:val="22"/>
                <w:szCs w:val="22"/>
                <w:highlight w:val="none"/>
              </w:rPr>
              <w:t xml:space="preserve"> </w:t>
            </w:r>
          </w:p>
        </w:tc>
      </w:tr>
      <w:tr w14:paraId="2E740C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1CD7DA08">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3F7F3F51">
            <w:pPr>
              <w:adjustRightInd w:val="0"/>
              <w:rPr>
                <w:rFonts w:hint="eastAsia" w:ascii="宋体" w:eastAsia="宋体"/>
                <w:b w:val="0"/>
                <w:color w:val="auto"/>
                <w:sz w:val="22"/>
                <w:szCs w:val="22"/>
                <w:highlight w:val="none"/>
              </w:rPr>
            </w:pPr>
            <w:r>
              <w:rPr>
                <w:rFonts w:hint="eastAsia" w:ascii="宋体" w:eastAsia="宋体"/>
                <w:b w:val="0"/>
                <w:color w:val="auto"/>
                <w:sz w:val="22"/>
                <w:szCs w:val="22"/>
                <w:highlight w:val="none"/>
              </w:rPr>
              <w:t>是否允许分包</w:t>
            </w:r>
          </w:p>
        </w:tc>
        <w:tc>
          <w:tcPr>
            <w:tcW w:w="7957" w:type="dxa"/>
            <w:noWrap w:val="0"/>
            <w:vAlign w:val="center"/>
          </w:tcPr>
          <w:p w14:paraId="1DDF54C1">
            <w:pPr>
              <w:adjustRightInd w:val="0"/>
              <w:rPr>
                <w:rFonts w:ascii="宋体" w:eastAsia="宋体"/>
                <w:b w:val="0"/>
                <w:i/>
                <w:color w:val="auto"/>
                <w:sz w:val="22"/>
                <w:szCs w:val="22"/>
                <w:highlight w:val="none"/>
              </w:rPr>
            </w:pPr>
            <w:r>
              <w:rPr>
                <w:rFonts w:ascii="宋体" w:eastAsia="宋体"/>
                <w:b w:val="0"/>
                <w:color w:val="auto"/>
                <w:sz w:val="22"/>
                <w:szCs w:val="22"/>
                <w:highlight w:val="none"/>
              </w:rPr>
              <w:fldChar w:fldCharType="begin"/>
            </w:r>
            <w:r>
              <w:rPr>
                <w:rFonts w:ascii="宋体" w:eastAsia="宋体"/>
                <w:b w:val="0"/>
                <w:color w:val="auto"/>
                <w:sz w:val="22"/>
                <w:szCs w:val="22"/>
                <w:highlight w:val="none"/>
              </w:rPr>
              <w:instrText xml:space="preserve"> </w:instrText>
            </w:r>
            <w:r>
              <w:rPr>
                <w:rFonts w:hint="eastAsia" w:ascii="宋体" w:eastAsia="宋体"/>
                <w:b w:val="0"/>
                <w:color w:val="auto"/>
                <w:sz w:val="22"/>
                <w:szCs w:val="22"/>
                <w:highlight w:val="none"/>
              </w:rPr>
              <w:instrText xml:space="preserve">eq \o\ac(□</w:instrText>
            </w:r>
            <w:r>
              <w:rPr>
                <w:rFonts w:hint="eastAsia" w:ascii="宋体" w:eastAsia="宋体"/>
                <w:b w:val="0"/>
                <w:color w:val="auto"/>
                <w:sz w:val="22"/>
                <w:szCs w:val="22"/>
                <w:highlight w:val="none"/>
                <w:lang w:eastAsia="zh-CN"/>
              </w:rPr>
              <w:instrText xml:space="preserve">,</w:instrText>
            </w:r>
            <w:r>
              <w:rPr>
                <w:rFonts w:hint="eastAsia" w:ascii="宋体" w:eastAsia="宋体"/>
                <w:b w:val="0"/>
                <w:color w:val="auto"/>
                <w:position w:val="2"/>
                <w:sz w:val="15"/>
                <w:szCs w:val="22"/>
                <w:highlight w:val="none"/>
                <w:lang w:eastAsia="zh-CN"/>
              </w:rPr>
              <w:instrText xml:space="preserve">√</w:instrText>
            </w:r>
            <w:r>
              <w:rPr>
                <w:rFonts w:hint="eastAsia" w:ascii="宋体" w:eastAsia="宋体"/>
                <w:b w:val="0"/>
                <w:color w:val="auto"/>
                <w:sz w:val="22"/>
                <w:szCs w:val="22"/>
                <w:highlight w:val="none"/>
              </w:rPr>
              <w:instrText xml:space="preserve">)</w:instrText>
            </w:r>
            <w:r>
              <w:rPr>
                <w:rFonts w:ascii="宋体" w:eastAsia="宋体"/>
                <w:b w:val="0"/>
                <w:color w:val="auto"/>
                <w:sz w:val="22"/>
                <w:szCs w:val="22"/>
                <w:highlight w:val="none"/>
              </w:rPr>
              <w:fldChar w:fldCharType="end"/>
            </w:r>
            <w:r>
              <w:rPr>
                <w:rFonts w:hint="eastAsia" w:ascii="宋体" w:eastAsia="宋体"/>
                <w:b w:val="0"/>
                <w:i/>
                <w:color w:val="auto"/>
                <w:sz w:val="22"/>
                <w:szCs w:val="22"/>
                <w:highlight w:val="none"/>
              </w:rPr>
              <w:t>不允许</w:t>
            </w:r>
          </w:p>
          <w:p w14:paraId="26030FD7">
            <w:pPr>
              <w:adjustRightInd w:val="0"/>
              <w:rPr>
                <w:rFonts w:hint="default" w:ascii="宋体" w:eastAsia="宋体"/>
                <w:b/>
                <w:bCs/>
                <w:color w:val="auto"/>
                <w:sz w:val="22"/>
                <w:szCs w:val="22"/>
                <w:highlight w:val="none"/>
                <w:lang w:val="en-US" w:eastAsia="zh-CN"/>
              </w:rPr>
            </w:pPr>
            <w:r>
              <w:rPr>
                <w:rFonts w:hint="eastAsia" w:ascii="宋体" w:eastAsia="宋体"/>
                <w:b w:val="0"/>
                <w:color w:val="auto"/>
                <w:sz w:val="22"/>
                <w:szCs w:val="22"/>
                <w:highlight w:val="none"/>
                <w:lang w:eastAsia="zh-CN"/>
              </w:rPr>
              <w:t>□</w:t>
            </w:r>
            <w:r>
              <w:rPr>
                <w:rFonts w:hint="eastAsia" w:ascii="宋体" w:eastAsia="宋体"/>
                <w:b w:val="0"/>
                <w:i/>
                <w:color w:val="auto"/>
                <w:sz w:val="22"/>
                <w:szCs w:val="22"/>
                <w:highlight w:val="none"/>
              </w:rPr>
              <w:t>允许</w:t>
            </w:r>
            <w:r>
              <w:rPr>
                <w:rFonts w:hint="eastAsia" w:ascii="宋体" w:eastAsia="宋体"/>
                <w:b w:val="0"/>
                <w:i/>
                <w:color w:val="auto"/>
                <w:sz w:val="22"/>
                <w:szCs w:val="22"/>
                <w:highlight w:val="none"/>
                <w:lang w:val="en-US" w:eastAsia="zh-CN"/>
              </w:rPr>
              <w:t xml:space="preserve"> </w:t>
            </w:r>
          </w:p>
        </w:tc>
      </w:tr>
      <w:tr w14:paraId="3AE7C2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3F37FFCC">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078A9BA3">
            <w:pPr>
              <w:adjustRightInd w:val="0"/>
              <w:rPr>
                <w:rFonts w:hint="eastAsia" w:ascii="宋体" w:hAnsi="宋体" w:eastAsia="宋体"/>
                <w:bCs/>
                <w:color w:val="auto"/>
                <w:sz w:val="22"/>
                <w:szCs w:val="22"/>
                <w:highlight w:val="none"/>
              </w:rPr>
            </w:pPr>
            <w:r>
              <w:rPr>
                <w:rFonts w:hint="eastAsia" w:ascii="宋体" w:hAnsi="宋体" w:eastAsia="宋体"/>
                <w:color w:val="auto"/>
                <w:sz w:val="22"/>
                <w:szCs w:val="22"/>
                <w:highlight w:val="none"/>
              </w:rPr>
              <w:t>项目属性与核心产品</w:t>
            </w:r>
          </w:p>
        </w:tc>
        <w:tc>
          <w:tcPr>
            <w:tcW w:w="7957" w:type="dxa"/>
            <w:noWrap w:val="0"/>
            <w:vAlign w:val="center"/>
          </w:tcPr>
          <w:p w14:paraId="1B05EBA8">
            <w:pPr>
              <w:keepNext w:val="0"/>
              <w:keepLines w:val="0"/>
              <w:pageBreakBefore w:val="0"/>
              <w:kinsoku/>
              <w:wordWrap/>
              <w:overflowPunct/>
              <w:topLinePunct w:val="0"/>
              <w:autoSpaceDE/>
              <w:autoSpaceDN/>
              <w:bidi w:val="0"/>
              <w:spacing w:line="240" w:lineRule="auto"/>
              <w:jc w:val="left"/>
              <w:rPr>
                <w:rFonts w:hint="eastAsia" w:ascii="宋体" w:hAnsi="宋体" w:eastAsia="宋体"/>
                <w:color w:val="auto"/>
                <w:sz w:val="22"/>
                <w:szCs w:val="22"/>
                <w:highlight w:val="none"/>
                <w:lang w:eastAsia="zh-CN"/>
              </w:rPr>
            </w:pPr>
            <w:r>
              <w:rPr>
                <w:rFonts w:hint="eastAsia" w:ascii="宋体" w:eastAsia="宋体"/>
                <w:b w:val="0"/>
                <w:color w:val="auto"/>
                <w:sz w:val="22"/>
                <w:szCs w:val="22"/>
                <w:highlight w:val="none"/>
                <w:lang w:eastAsia="zh-CN"/>
              </w:rPr>
              <w:t>☑</w:t>
            </w:r>
            <w:r>
              <w:rPr>
                <w:rFonts w:hint="eastAsia" w:ascii="宋体" w:hAnsi="宋体" w:eastAsia="宋体"/>
                <w:color w:val="auto"/>
                <w:sz w:val="22"/>
                <w:szCs w:val="22"/>
                <w:highlight w:val="none"/>
              </w:rPr>
              <w:t>A货物类</w:t>
            </w:r>
            <w:r>
              <w:rPr>
                <w:rFonts w:hint="eastAsia" w:ascii="宋体" w:hAnsi="宋体" w:eastAsia="宋体"/>
                <w:color w:val="auto"/>
                <w:sz w:val="22"/>
                <w:szCs w:val="22"/>
                <w:highlight w:val="none"/>
                <w:lang w:eastAsia="zh-CN"/>
              </w:rPr>
              <w:t>，</w:t>
            </w:r>
            <w:r>
              <w:rPr>
                <w:rFonts w:hint="eastAsia" w:ascii="宋体" w:eastAsia="宋体"/>
                <w:color w:val="auto"/>
                <w:sz w:val="22"/>
                <w:szCs w:val="22"/>
                <w:highlight w:val="none"/>
              </w:rPr>
              <w:t>单一产品或核心产品为：</w:t>
            </w:r>
            <w:r>
              <w:rPr>
                <w:rFonts w:hint="eastAsia" w:ascii="宋体" w:hAnsi="宋体" w:eastAsia="宋体" w:cs="宋体"/>
                <w:bCs/>
                <w:color w:val="auto"/>
                <w:sz w:val="22"/>
                <w:szCs w:val="22"/>
                <w:highlight w:val="none"/>
                <w:u w:val="single"/>
                <w:lang w:eastAsia="zh-CN"/>
              </w:rPr>
              <w:t>学生实验桌</w:t>
            </w:r>
            <w:r>
              <w:rPr>
                <w:rFonts w:hint="eastAsia" w:ascii="宋体" w:eastAsia="宋体"/>
                <w:color w:val="auto"/>
                <w:sz w:val="22"/>
                <w:szCs w:val="22"/>
                <w:highlight w:val="none"/>
              </w:rPr>
              <w:t>。</w:t>
            </w:r>
          </w:p>
          <w:p w14:paraId="23CE2ADC">
            <w:pPr>
              <w:adjustRightInd w:val="0"/>
              <w:rPr>
                <w:rFonts w:hint="eastAsia" w:ascii="宋体" w:hAnsi="宋体" w:eastAsia="宋体"/>
                <w:bCs/>
                <w:color w:val="auto"/>
                <w:sz w:val="22"/>
                <w:szCs w:val="22"/>
                <w:highlight w:val="none"/>
              </w:rPr>
            </w:pPr>
            <w:r>
              <w:rPr>
                <w:rFonts w:ascii="宋体" w:eastAsia="宋体"/>
                <w:b w:val="0"/>
                <w:color w:val="auto"/>
                <w:sz w:val="22"/>
                <w:szCs w:val="22"/>
                <w:highlight w:val="none"/>
              </w:rPr>
              <w:fldChar w:fldCharType="begin"/>
            </w:r>
            <w:r>
              <w:rPr>
                <w:rFonts w:ascii="宋体" w:eastAsia="宋体"/>
                <w:b w:val="0"/>
                <w:color w:val="auto"/>
                <w:sz w:val="22"/>
                <w:szCs w:val="22"/>
                <w:highlight w:val="none"/>
              </w:rPr>
              <w:instrText xml:space="preserve"> </w:instrText>
            </w:r>
            <w:r>
              <w:rPr>
                <w:rFonts w:hint="eastAsia" w:ascii="宋体" w:eastAsia="宋体"/>
                <w:b w:val="0"/>
                <w:color w:val="auto"/>
                <w:sz w:val="22"/>
                <w:szCs w:val="22"/>
                <w:highlight w:val="none"/>
              </w:rPr>
              <w:instrText xml:space="preserve">eq \o\ac(□)</w:instrText>
            </w:r>
            <w:r>
              <w:rPr>
                <w:rFonts w:ascii="宋体" w:eastAsia="宋体"/>
                <w:b w:val="0"/>
                <w:color w:val="auto"/>
                <w:sz w:val="22"/>
                <w:szCs w:val="22"/>
                <w:highlight w:val="none"/>
              </w:rPr>
              <w:fldChar w:fldCharType="end"/>
            </w:r>
            <w:r>
              <w:rPr>
                <w:rFonts w:hint="eastAsia" w:ascii="宋体" w:hAnsi="宋体" w:eastAsia="宋体"/>
                <w:color w:val="auto"/>
                <w:sz w:val="22"/>
                <w:szCs w:val="22"/>
                <w:highlight w:val="none"/>
              </w:rPr>
              <w:t>B服务类</w:t>
            </w:r>
          </w:p>
        </w:tc>
      </w:tr>
      <w:tr w14:paraId="471830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60F76A22">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6E860388">
            <w:pPr>
              <w:adjustRightInd w:val="0"/>
              <w:rPr>
                <w:rFonts w:hint="eastAsia" w:ascii="宋体" w:hAnsi="宋体" w:eastAsia="宋体"/>
                <w:bCs/>
                <w:color w:val="auto"/>
                <w:sz w:val="22"/>
                <w:szCs w:val="22"/>
                <w:highlight w:val="none"/>
              </w:rPr>
            </w:pPr>
            <w:r>
              <w:rPr>
                <w:rFonts w:hint="eastAsia" w:ascii="宋体" w:hAnsi="宋体" w:eastAsia="宋体"/>
                <w:color w:val="auto"/>
                <w:sz w:val="22"/>
                <w:szCs w:val="22"/>
                <w:highlight w:val="none"/>
              </w:rPr>
              <w:t>采购标的对应的中小企业划分标准所属行业</w:t>
            </w:r>
          </w:p>
        </w:tc>
        <w:tc>
          <w:tcPr>
            <w:tcW w:w="7957" w:type="dxa"/>
            <w:noWrap w:val="0"/>
            <w:vAlign w:val="center"/>
          </w:tcPr>
          <w:p w14:paraId="2F529239">
            <w:pPr>
              <w:adjustRightInd w:val="0"/>
              <w:rPr>
                <w:rFonts w:hint="eastAsia" w:ascii="宋体" w:hAnsi="宋体" w:eastAsia="宋体"/>
                <w:color w:val="auto"/>
                <w:sz w:val="22"/>
                <w:szCs w:val="22"/>
                <w:highlight w:val="none"/>
              </w:rPr>
            </w:pPr>
            <w:r>
              <w:rPr>
                <w:rFonts w:hint="eastAsia" w:ascii="宋体" w:hAnsi="宋体" w:eastAsia="宋体"/>
                <w:color w:val="auto"/>
                <w:sz w:val="22"/>
                <w:szCs w:val="22"/>
                <w:highlight w:val="none"/>
              </w:rPr>
              <w:t>（1）标的：</w:t>
            </w:r>
            <w:r>
              <w:rPr>
                <w:rFonts w:hint="eastAsia" w:ascii="宋体" w:hAnsi="宋体" w:eastAsia="宋体"/>
                <w:bCs/>
                <w:color w:val="auto"/>
                <w:sz w:val="22"/>
                <w:szCs w:val="22"/>
                <w:highlight w:val="none"/>
                <w:u w:val="single"/>
                <w:lang w:eastAsia="zh-CN"/>
              </w:rPr>
              <w:t>永嘉县瓯北第三小学科学实验室设备</w:t>
            </w:r>
            <w:r>
              <w:rPr>
                <w:rFonts w:hint="eastAsia" w:ascii="宋体" w:hAnsi="宋体" w:eastAsia="宋体"/>
                <w:color w:val="auto"/>
                <w:sz w:val="22"/>
                <w:szCs w:val="22"/>
                <w:highlight w:val="none"/>
              </w:rPr>
              <w:t>，属于</w:t>
            </w:r>
            <w:r>
              <w:rPr>
                <w:rFonts w:hint="eastAsia" w:ascii="宋体" w:hAnsi="宋体" w:eastAsia="宋体"/>
                <w:bCs/>
                <w:color w:val="auto"/>
                <w:sz w:val="22"/>
                <w:szCs w:val="22"/>
                <w:highlight w:val="none"/>
                <w:u w:val="single"/>
                <w:lang w:eastAsia="zh-CN"/>
              </w:rPr>
              <w:t>工业</w:t>
            </w:r>
            <w:r>
              <w:rPr>
                <w:rFonts w:hint="eastAsia" w:ascii="宋体" w:hAnsi="宋体" w:eastAsia="宋体"/>
                <w:color w:val="auto"/>
                <w:sz w:val="22"/>
                <w:szCs w:val="22"/>
                <w:highlight w:val="none"/>
              </w:rPr>
              <w:t>行业；</w:t>
            </w:r>
          </w:p>
          <w:p w14:paraId="0F083848">
            <w:pPr>
              <w:adjustRightInd w:val="0"/>
              <w:rPr>
                <w:rFonts w:hint="eastAsia" w:ascii="宋体" w:hAnsi="宋体" w:eastAsia="宋体"/>
                <w:b w:val="0"/>
                <w:color w:val="auto"/>
                <w:spacing w:val="20"/>
                <w:sz w:val="22"/>
                <w:szCs w:val="22"/>
                <w:highlight w:val="none"/>
              </w:rPr>
            </w:pPr>
            <w:r>
              <w:rPr>
                <w:rFonts w:hint="eastAsia" w:ascii="宋体" w:hAnsi="宋体" w:eastAsia="宋体"/>
                <w:color w:val="auto"/>
                <w:sz w:val="22"/>
                <w:szCs w:val="22"/>
                <w:highlight w:val="none"/>
              </w:rPr>
              <w:t>……</w:t>
            </w:r>
          </w:p>
        </w:tc>
      </w:tr>
      <w:tr w14:paraId="2FE23C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461FA62E">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5A87C43E">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踏勘现场</w:t>
            </w:r>
          </w:p>
        </w:tc>
        <w:tc>
          <w:tcPr>
            <w:tcW w:w="7957" w:type="dxa"/>
            <w:noWrap w:val="0"/>
            <w:vAlign w:val="center"/>
          </w:tcPr>
          <w:p w14:paraId="64CA0DE3">
            <w:pPr>
              <w:adjustRightInd w:val="0"/>
              <w:rPr>
                <w:rFonts w:ascii="宋体" w:eastAsia="宋体"/>
                <w:b w:val="0"/>
                <w:i/>
                <w:color w:val="auto"/>
                <w:sz w:val="22"/>
                <w:szCs w:val="22"/>
                <w:highlight w:val="none"/>
              </w:rPr>
            </w:pPr>
            <w:r>
              <w:rPr>
                <w:rFonts w:ascii="宋体" w:eastAsia="宋体"/>
                <w:b w:val="0"/>
                <w:color w:val="auto"/>
                <w:sz w:val="22"/>
                <w:szCs w:val="22"/>
                <w:highlight w:val="none"/>
              </w:rPr>
              <w:fldChar w:fldCharType="begin"/>
            </w:r>
            <w:r>
              <w:rPr>
                <w:rFonts w:ascii="宋体" w:eastAsia="宋体"/>
                <w:b w:val="0"/>
                <w:color w:val="auto"/>
                <w:sz w:val="22"/>
                <w:szCs w:val="22"/>
                <w:highlight w:val="none"/>
              </w:rPr>
              <w:instrText xml:space="preserve"> </w:instrText>
            </w:r>
            <w:r>
              <w:rPr>
                <w:rFonts w:hint="eastAsia" w:ascii="宋体" w:eastAsia="宋体"/>
                <w:b w:val="0"/>
                <w:color w:val="auto"/>
                <w:sz w:val="22"/>
                <w:szCs w:val="22"/>
                <w:highlight w:val="none"/>
              </w:rPr>
              <w:instrText xml:space="preserve">eq \o\ac(□,√)</w:instrText>
            </w:r>
            <w:r>
              <w:rPr>
                <w:rFonts w:ascii="宋体" w:eastAsia="宋体"/>
                <w:b w:val="0"/>
                <w:color w:val="auto"/>
                <w:sz w:val="22"/>
                <w:szCs w:val="22"/>
                <w:highlight w:val="none"/>
              </w:rPr>
              <w:fldChar w:fldCharType="end"/>
            </w:r>
            <w:r>
              <w:rPr>
                <w:rFonts w:hint="eastAsia" w:ascii="宋体" w:eastAsia="宋体"/>
                <w:b w:val="0"/>
                <w:i/>
                <w:color w:val="auto"/>
                <w:sz w:val="22"/>
                <w:szCs w:val="22"/>
                <w:highlight w:val="none"/>
              </w:rPr>
              <w:t>不组织</w:t>
            </w:r>
          </w:p>
          <w:p w14:paraId="178AAA7E">
            <w:pPr>
              <w:adjustRightInd w:val="0"/>
              <w:rPr>
                <w:rFonts w:ascii="宋体" w:eastAsia="宋体"/>
                <w:b w:val="0"/>
                <w:i/>
                <w:color w:val="auto"/>
                <w:sz w:val="22"/>
                <w:szCs w:val="22"/>
                <w:highlight w:val="none"/>
              </w:rPr>
            </w:pPr>
            <w:r>
              <w:rPr>
                <w:rFonts w:ascii="宋体" w:eastAsia="宋体"/>
                <w:b w:val="0"/>
                <w:color w:val="auto"/>
                <w:sz w:val="22"/>
                <w:szCs w:val="22"/>
                <w:highlight w:val="none"/>
              </w:rPr>
              <w:t>□</w:t>
            </w:r>
            <w:r>
              <w:rPr>
                <w:rFonts w:hint="eastAsia" w:ascii="宋体" w:eastAsia="宋体"/>
                <w:b w:val="0"/>
                <w:i/>
                <w:color w:val="auto"/>
                <w:sz w:val="22"/>
                <w:szCs w:val="22"/>
                <w:highlight w:val="none"/>
              </w:rPr>
              <w:t>组</w:t>
            </w:r>
            <w:r>
              <w:rPr>
                <w:rFonts w:hint="eastAsia" w:ascii="宋体" w:eastAsia="宋体"/>
                <w:b w:val="0"/>
                <w:color w:val="auto"/>
                <w:sz w:val="22"/>
                <w:szCs w:val="22"/>
                <w:highlight w:val="none"/>
              </w:rPr>
              <w:t>织</w:t>
            </w:r>
            <w:r>
              <w:rPr>
                <w:rFonts w:hint="eastAsia" w:ascii="宋体" w:eastAsia="宋体"/>
                <w:b w:val="0"/>
                <w:i/>
                <w:color w:val="auto"/>
                <w:sz w:val="22"/>
                <w:szCs w:val="22"/>
                <w:highlight w:val="none"/>
              </w:rPr>
              <w:t xml:space="preserve">   </w:t>
            </w:r>
          </w:p>
        </w:tc>
      </w:tr>
      <w:tr w14:paraId="7AFBDD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15A0DE06">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7BD5F637">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是否允许递交备选投标方案</w:t>
            </w:r>
          </w:p>
        </w:tc>
        <w:tc>
          <w:tcPr>
            <w:tcW w:w="7957" w:type="dxa"/>
            <w:noWrap w:val="0"/>
            <w:vAlign w:val="center"/>
          </w:tcPr>
          <w:p w14:paraId="67DAAAE7">
            <w:pPr>
              <w:adjustRightInd w:val="0"/>
              <w:rPr>
                <w:rFonts w:ascii="宋体" w:eastAsia="宋体"/>
                <w:b w:val="0"/>
                <w:i/>
                <w:color w:val="auto"/>
                <w:sz w:val="22"/>
                <w:szCs w:val="22"/>
                <w:highlight w:val="none"/>
              </w:rPr>
            </w:pPr>
            <w:r>
              <w:rPr>
                <w:rFonts w:ascii="宋体" w:eastAsia="宋体"/>
                <w:b w:val="0"/>
                <w:color w:val="auto"/>
                <w:sz w:val="22"/>
                <w:szCs w:val="22"/>
                <w:highlight w:val="none"/>
              </w:rPr>
              <w:fldChar w:fldCharType="begin"/>
            </w:r>
            <w:r>
              <w:rPr>
                <w:rFonts w:ascii="宋体" w:eastAsia="宋体"/>
                <w:b w:val="0"/>
                <w:color w:val="auto"/>
                <w:sz w:val="22"/>
                <w:szCs w:val="22"/>
                <w:highlight w:val="none"/>
              </w:rPr>
              <w:instrText xml:space="preserve"> </w:instrText>
            </w:r>
            <w:r>
              <w:rPr>
                <w:rFonts w:hint="eastAsia" w:ascii="宋体" w:eastAsia="宋体"/>
                <w:b w:val="0"/>
                <w:color w:val="auto"/>
                <w:sz w:val="22"/>
                <w:szCs w:val="22"/>
                <w:highlight w:val="none"/>
              </w:rPr>
              <w:instrText xml:space="preserve">eq \o\ac(□,√)</w:instrText>
            </w:r>
            <w:r>
              <w:rPr>
                <w:rFonts w:ascii="宋体" w:eastAsia="宋体"/>
                <w:b w:val="0"/>
                <w:color w:val="auto"/>
                <w:sz w:val="22"/>
                <w:szCs w:val="22"/>
                <w:highlight w:val="none"/>
              </w:rPr>
              <w:fldChar w:fldCharType="end"/>
            </w:r>
            <w:r>
              <w:rPr>
                <w:rFonts w:hint="eastAsia" w:ascii="宋体" w:eastAsia="宋体"/>
                <w:b w:val="0"/>
                <w:color w:val="auto"/>
                <w:sz w:val="22"/>
                <w:szCs w:val="22"/>
                <w:highlight w:val="none"/>
              </w:rPr>
              <w:t xml:space="preserve"> </w:t>
            </w:r>
            <w:r>
              <w:rPr>
                <w:rFonts w:hint="eastAsia" w:ascii="宋体" w:eastAsia="宋体"/>
                <w:b w:val="0"/>
                <w:i/>
                <w:color w:val="auto"/>
                <w:sz w:val="22"/>
                <w:szCs w:val="22"/>
                <w:highlight w:val="none"/>
              </w:rPr>
              <w:t>不允许</w:t>
            </w:r>
          </w:p>
          <w:p w14:paraId="080EF551">
            <w:pPr>
              <w:adjustRightInd w:val="0"/>
              <w:rPr>
                <w:rFonts w:ascii="宋体" w:eastAsia="宋体" w:cs="仿宋_GB2312"/>
                <w:b w:val="0"/>
                <w:color w:val="auto"/>
                <w:sz w:val="22"/>
                <w:szCs w:val="22"/>
                <w:highlight w:val="none"/>
              </w:rPr>
            </w:pPr>
            <w:r>
              <w:rPr>
                <w:rFonts w:ascii="宋体" w:eastAsia="宋体"/>
                <w:b w:val="0"/>
                <w:color w:val="auto"/>
                <w:sz w:val="22"/>
                <w:szCs w:val="22"/>
                <w:highlight w:val="none"/>
              </w:rPr>
              <w:t>□</w:t>
            </w:r>
            <w:r>
              <w:rPr>
                <w:rFonts w:hint="eastAsia" w:ascii="宋体" w:eastAsia="宋体"/>
                <w:b w:val="0"/>
                <w:color w:val="auto"/>
                <w:sz w:val="22"/>
                <w:szCs w:val="22"/>
                <w:highlight w:val="none"/>
              </w:rPr>
              <w:t xml:space="preserve"> </w:t>
            </w:r>
            <w:r>
              <w:rPr>
                <w:rFonts w:hint="eastAsia" w:ascii="宋体" w:eastAsia="宋体"/>
                <w:b w:val="0"/>
                <w:i/>
                <w:color w:val="auto"/>
                <w:sz w:val="22"/>
                <w:szCs w:val="22"/>
                <w:highlight w:val="none"/>
              </w:rPr>
              <w:t>允许</w:t>
            </w:r>
          </w:p>
        </w:tc>
      </w:tr>
      <w:tr w14:paraId="126752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60127CAD">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08155888">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投标货币</w:t>
            </w:r>
          </w:p>
        </w:tc>
        <w:tc>
          <w:tcPr>
            <w:tcW w:w="7957" w:type="dxa"/>
            <w:noWrap w:val="0"/>
            <w:vAlign w:val="center"/>
          </w:tcPr>
          <w:p w14:paraId="3DAAE53C">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人民币</w:t>
            </w:r>
          </w:p>
        </w:tc>
      </w:tr>
      <w:tr w14:paraId="6EA157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3A7F0DF2">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4F59ADAA">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投标语言</w:t>
            </w:r>
          </w:p>
        </w:tc>
        <w:tc>
          <w:tcPr>
            <w:tcW w:w="7957" w:type="dxa"/>
            <w:noWrap w:val="0"/>
            <w:vAlign w:val="center"/>
          </w:tcPr>
          <w:p w14:paraId="7B90E1AC">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中文</w:t>
            </w:r>
          </w:p>
        </w:tc>
      </w:tr>
      <w:tr w14:paraId="06F601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1BD6CA3B">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70E69CAE">
            <w:pPr>
              <w:rPr>
                <w:rFonts w:hint="eastAsia" w:ascii="宋体" w:eastAsia="宋体"/>
                <w:b w:val="0"/>
                <w:color w:val="auto"/>
                <w:sz w:val="22"/>
                <w:szCs w:val="22"/>
                <w:highlight w:val="none"/>
              </w:rPr>
            </w:pPr>
            <w:r>
              <w:rPr>
                <w:rFonts w:hint="eastAsia" w:ascii="宋体" w:eastAsia="宋体" w:cs="Courier New"/>
                <w:color w:val="auto"/>
                <w:sz w:val="22"/>
                <w:highlight w:val="none"/>
              </w:rPr>
              <w:t>投标文件的形式</w:t>
            </w:r>
          </w:p>
        </w:tc>
        <w:tc>
          <w:tcPr>
            <w:tcW w:w="7957" w:type="dxa"/>
            <w:noWrap w:val="0"/>
            <w:vAlign w:val="center"/>
          </w:tcPr>
          <w:p w14:paraId="4508C763">
            <w:pPr>
              <w:rPr>
                <w:rFonts w:ascii="宋体" w:eastAsia="宋体" w:cs="Courier New"/>
                <w:color w:val="auto"/>
                <w:sz w:val="22"/>
                <w:highlight w:val="none"/>
              </w:rPr>
            </w:pPr>
            <w:r>
              <w:rPr>
                <w:rFonts w:hint="eastAsia" w:ascii="宋体" w:eastAsia="宋体" w:cs="Courier New"/>
                <w:color w:val="auto"/>
                <w:sz w:val="22"/>
                <w:highlight w:val="none"/>
              </w:rPr>
              <w:t>投标供应商应准备电子投标文件</w:t>
            </w:r>
          </w:p>
          <w:p w14:paraId="3F4F0CA6">
            <w:pPr>
              <w:rPr>
                <w:rFonts w:hint="eastAsia" w:ascii="宋体" w:eastAsia="宋体"/>
                <w:b w:val="0"/>
                <w:color w:val="auto"/>
                <w:sz w:val="22"/>
                <w:szCs w:val="22"/>
                <w:highlight w:val="none"/>
              </w:rPr>
            </w:pPr>
            <w:r>
              <w:rPr>
                <w:rFonts w:hint="eastAsia" w:ascii="宋体" w:eastAsia="宋体" w:cs="Courier New"/>
                <w:color w:val="auto"/>
                <w:sz w:val="22"/>
                <w:highlight w:val="none"/>
              </w:rPr>
              <w:t>电子投标文件是指通过“政采云电子交易客户端”完成投标文件编制后生成并加密的数据电文形式的电子加密投标文件</w:t>
            </w:r>
            <w:r>
              <w:rPr>
                <w:rFonts w:hint="eastAsia" w:ascii="宋体" w:eastAsia="宋体" w:cs="Courier New"/>
                <w:color w:val="auto"/>
                <w:sz w:val="22"/>
                <w:highlight w:val="none"/>
                <w:lang w:bidi="ar"/>
              </w:rPr>
              <w:t>。</w:t>
            </w:r>
          </w:p>
        </w:tc>
      </w:tr>
      <w:tr w14:paraId="0AFBF0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365828B8">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19A2EFC4">
            <w:pPr>
              <w:rPr>
                <w:rFonts w:hint="eastAsia" w:ascii="宋体" w:eastAsia="宋体" w:cs="Courier New"/>
                <w:color w:val="auto"/>
                <w:sz w:val="22"/>
                <w:highlight w:val="none"/>
              </w:rPr>
            </w:pPr>
            <w:r>
              <w:rPr>
                <w:rFonts w:hint="eastAsia" w:ascii="宋体" w:eastAsia="宋体" w:cs="Courier New"/>
                <w:color w:val="auto"/>
                <w:sz w:val="22"/>
                <w:highlight w:val="none"/>
              </w:rPr>
              <w:t>投标文件的编制</w:t>
            </w:r>
          </w:p>
        </w:tc>
        <w:tc>
          <w:tcPr>
            <w:tcW w:w="7957" w:type="dxa"/>
            <w:noWrap w:val="0"/>
            <w:vAlign w:val="center"/>
          </w:tcPr>
          <w:p w14:paraId="0133455F">
            <w:pPr>
              <w:rPr>
                <w:rFonts w:hint="eastAsia" w:ascii="宋体" w:eastAsia="宋体" w:cs="Courier New"/>
                <w:color w:val="auto"/>
                <w:sz w:val="22"/>
                <w:highlight w:val="none"/>
              </w:rPr>
            </w:pPr>
            <w:r>
              <w:rPr>
                <w:rFonts w:hint="eastAsia" w:ascii="宋体" w:eastAsia="宋体" w:cs="Courier New"/>
                <w:color w:val="auto"/>
                <w:sz w:val="22"/>
                <w:highlight w:val="none"/>
              </w:rPr>
              <w:t>供应商应先安装“政采云电子交易客户端”，并按照本招标文件和“政府采购云平台”的要求，通过“政采云电子交易客户端”编制并加密投标文件。</w:t>
            </w:r>
          </w:p>
        </w:tc>
      </w:tr>
      <w:tr w14:paraId="332489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25B8AE5A">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75CF765B">
            <w:pPr>
              <w:rPr>
                <w:rFonts w:ascii="宋体" w:eastAsia="宋体" w:cs="Arial"/>
                <w:b w:val="0"/>
                <w:color w:val="auto"/>
                <w:sz w:val="22"/>
                <w:szCs w:val="22"/>
                <w:highlight w:val="none"/>
              </w:rPr>
            </w:pPr>
            <w:r>
              <w:rPr>
                <w:rFonts w:hint="eastAsia" w:ascii="宋体" w:eastAsia="宋体" w:cs="Courier New"/>
                <w:color w:val="auto"/>
                <w:sz w:val="22"/>
                <w:highlight w:val="none"/>
              </w:rPr>
              <w:t>投标文件份数</w:t>
            </w:r>
          </w:p>
        </w:tc>
        <w:tc>
          <w:tcPr>
            <w:tcW w:w="7957" w:type="dxa"/>
            <w:noWrap w:val="0"/>
            <w:vAlign w:val="center"/>
          </w:tcPr>
          <w:p w14:paraId="7243D029">
            <w:pPr>
              <w:rPr>
                <w:b w:val="0"/>
                <w:color w:val="auto"/>
                <w:highlight w:val="none"/>
              </w:rPr>
            </w:pPr>
            <w:r>
              <w:rPr>
                <w:rFonts w:hint="eastAsia" w:ascii="宋体" w:eastAsia="宋体"/>
                <w:color w:val="auto"/>
                <w:sz w:val="22"/>
                <w:szCs w:val="22"/>
                <w:highlight w:val="none"/>
              </w:rPr>
              <w:t>“电子加密投标文件”：在线上传递交，一份。</w:t>
            </w:r>
          </w:p>
        </w:tc>
      </w:tr>
      <w:tr w14:paraId="408E8B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6A66301A">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1718D7FB">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投标有效期</w:t>
            </w:r>
          </w:p>
        </w:tc>
        <w:tc>
          <w:tcPr>
            <w:tcW w:w="7957" w:type="dxa"/>
            <w:noWrap w:val="0"/>
            <w:vAlign w:val="center"/>
          </w:tcPr>
          <w:p w14:paraId="749AC2C6">
            <w:pPr>
              <w:rPr>
                <w:rFonts w:ascii="宋体" w:eastAsia="宋体" w:cs="Arial"/>
                <w:b w:val="0"/>
                <w:i/>
                <w:color w:val="auto"/>
                <w:sz w:val="22"/>
                <w:szCs w:val="22"/>
                <w:highlight w:val="none"/>
              </w:rPr>
            </w:pPr>
            <w:r>
              <w:rPr>
                <w:rFonts w:hint="eastAsia" w:ascii="宋体" w:eastAsia="宋体" w:cs="Arial"/>
                <w:b w:val="0"/>
                <w:i/>
                <w:color w:val="auto"/>
                <w:sz w:val="22"/>
                <w:szCs w:val="22"/>
                <w:highlight w:val="none"/>
              </w:rPr>
              <w:t>提交投标文件截止时间起90天内</w:t>
            </w:r>
          </w:p>
        </w:tc>
      </w:tr>
      <w:tr w14:paraId="460F29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7F1078F5">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0B9CA5DA">
            <w:pPr>
              <w:rPr>
                <w:rFonts w:ascii="宋体" w:eastAsia="宋体" w:cs="Arial"/>
                <w:b w:val="0"/>
                <w:color w:val="auto"/>
                <w:sz w:val="22"/>
                <w:szCs w:val="22"/>
                <w:highlight w:val="none"/>
              </w:rPr>
            </w:pPr>
            <w:r>
              <w:rPr>
                <w:rFonts w:hint="eastAsia" w:ascii="宋体" w:eastAsia="宋体" w:cs="Courier New"/>
                <w:color w:val="auto"/>
                <w:sz w:val="22"/>
                <w:highlight w:val="none"/>
              </w:rPr>
              <w:t>投标文件的签章</w:t>
            </w:r>
          </w:p>
        </w:tc>
        <w:tc>
          <w:tcPr>
            <w:tcW w:w="7957" w:type="dxa"/>
            <w:noWrap w:val="0"/>
            <w:vAlign w:val="center"/>
          </w:tcPr>
          <w:p w14:paraId="3464FB27">
            <w:pPr>
              <w:rPr>
                <w:rFonts w:ascii="宋体" w:eastAsia="宋体" w:cs="Arial"/>
                <w:b w:val="0"/>
                <w:color w:val="auto"/>
                <w:sz w:val="22"/>
                <w:szCs w:val="22"/>
                <w:highlight w:val="none"/>
              </w:rPr>
            </w:pPr>
            <w:r>
              <w:rPr>
                <w:rFonts w:hint="eastAsia" w:ascii="宋体" w:eastAsia="宋体" w:cs="Courier New"/>
                <w:color w:val="auto"/>
                <w:sz w:val="22"/>
                <w:highlight w:val="none"/>
              </w:rPr>
              <w:t>投标文件中所涉及的加盖公章均采用CA电子签章。</w:t>
            </w:r>
          </w:p>
        </w:tc>
      </w:tr>
      <w:tr w14:paraId="20F5D8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6292E3FD">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5C45395F">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投标样品/演示</w:t>
            </w:r>
          </w:p>
        </w:tc>
        <w:tc>
          <w:tcPr>
            <w:tcW w:w="7957" w:type="dxa"/>
            <w:noWrap w:val="0"/>
            <w:vAlign w:val="center"/>
          </w:tcPr>
          <w:p w14:paraId="5D1A9893">
            <w:pPr>
              <w:rPr>
                <w:rFonts w:ascii="宋体" w:eastAsia="宋体"/>
                <w:b w:val="0"/>
                <w:color w:val="auto"/>
                <w:sz w:val="22"/>
                <w:szCs w:val="22"/>
                <w:highlight w:val="none"/>
              </w:rPr>
            </w:pPr>
            <w:r>
              <w:rPr>
                <w:rFonts w:hint="eastAsia" w:ascii="宋体" w:eastAsia="宋体"/>
                <w:b w:val="0"/>
                <w:color w:val="auto"/>
                <w:sz w:val="22"/>
                <w:szCs w:val="22"/>
                <w:highlight w:val="none"/>
                <w:lang w:eastAsia="zh-CN"/>
              </w:rPr>
              <w:t>□</w:t>
            </w:r>
            <w:r>
              <w:rPr>
                <w:rFonts w:hint="eastAsia" w:ascii="宋体" w:eastAsia="宋体"/>
                <w:b w:val="0"/>
                <w:color w:val="auto"/>
                <w:sz w:val="22"/>
                <w:szCs w:val="22"/>
                <w:highlight w:val="none"/>
              </w:rPr>
              <w:t>不需要</w:t>
            </w:r>
          </w:p>
          <w:p w14:paraId="36B32B50">
            <w:pPr>
              <w:adjustRightInd w:val="0"/>
              <w:rPr>
                <w:rFonts w:hint="eastAsia" w:ascii="宋体" w:eastAsia="宋体"/>
                <w:b w:val="0"/>
                <w:color w:val="auto"/>
                <w:sz w:val="22"/>
                <w:szCs w:val="22"/>
                <w:highlight w:val="none"/>
              </w:rPr>
            </w:pPr>
            <w:r>
              <w:rPr>
                <w:rFonts w:ascii="宋体" w:eastAsia="宋体"/>
                <w:b w:val="0"/>
                <w:color w:val="auto"/>
                <w:sz w:val="22"/>
                <w:szCs w:val="22"/>
                <w:highlight w:val="none"/>
              </w:rPr>
              <w:fldChar w:fldCharType="begin"/>
            </w:r>
            <w:r>
              <w:rPr>
                <w:rFonts w:ascii="宋体" w:eastAsia="宋体"/>
                <w:b w:val="0"/>
                <w:color w:val="auto"/>
                <w:sz w:val="22"/>
                <w:szCs w:val="22"/>
                <w:highlight w:val="none"/>
              </w:rPr>
              <w:instrText xml:space="preserve"> </w:instrText>
            </w:r>
            <w:r>
              <w:rPr>
                <w:rFonts w:hint="eastAsia" w:ascii="宋体" w:eastAsia="宋体"/>
                <w:b w:val="0"/>
                <w:color w:val="auto"/>
                <w:sz w:val="22"/>
                <w:szCs w:val="22"/>
                <w:highlight w:val="none"/>
              </w:rPr>
              <w:instrText xml:space="preserve">eq \o\ac(□</w:instrText>
            </w:r>
            <w:r>
              <w:rPr>
                <w:rFonts w:hint="eastAsia" w:ascii="宋体" w:eastAsia="宋体"/>
                <w:b w:val="0"/>
                <w:color w:val="auto"/>
                <w:sz w:val="22"/>
                <w:szCs w:val="22"/>
                <w:highlight w:val="none"/>
                <w:lang w:eastAsia="zh-CN"/>
              </w:rPr>
              <w:instrText xml:space="preserve">,</w:instrText>
            </w:r>
            <w:r>
              <w:rPr>
                <w:rFonts w:hint="eastAsia" w:ascii="宋体" w:eastAsia="宋体"/>
                <w:b w:val="0"/>
                <w:color w:val="auto"/>
                <w:position w:val="2"/>
                <w:sz w:val="15"/>
                <w:szCs w:val="22"/>
                <w:highlight w:val="none"/>
                <w:lang w:eastAsia="zh-CN"/>
              </w:rPr>
              <w:instrText xml:space="preserve">√</w:instrText>
            </w:r>
            <w:r>
              <w:rPr>
                <w:rFonts w:hint="eastAsia" w:ascii="宋体" w:eastAsia="宋体"/>
                <w:b w:val="0"/>
                <w:color w:val="auto"/>
                <w:sz w:val="22"/>
                <w:szCs w:val="22"/>
                <w:highlight w:val="none"/>
              </w:rPr>
              <w:instrText xml:space="preserve">)</w:instrText>
            </w:r>
            <w:r>
              <w:rPr>
                <w:rFonts w:ascii="宋体" w:eastAsia="宋体"/>
                <w:b w:val="0"/>
                <w:color w:val="auto"/>
                <w:sz w:val="22"/>
                <w:szCs w:val="22"/>
                <w:highlight w:val="none"/>
              </w:rPr>
              <w:fldChar w:fldCharType="end"/>
            </w:r>
            <w:r>
              <w:rPr>
                <w:rFonts w:hint="eastAsia" w:ascii="宋体" w:eastAsia="宋体"/>
                <w:b w:val="0"/>
                <w:color w:val="auto"/>
                <w:sz w:val="22"/>
                <w:szCs w:val="22"/>
                <w:highlight w:val="none"/>
              </w:rPr>
              <w:t>需要</w:t>
            </w:r>
          </w:p>
          <w:p w14:paraId="13F47A79">
            <w:pPr>
              <w:rPr>
                <w:rFonts w:hint="eastAsia" w:ascii="宋体" w:eastAsia="宋体" w:cs="Courier New"/>
                <w:b w:val="0"/>
                <w:bCs/>
                <w:color w:val="auto"/>
                <w:sz w:val="22"/>
                <w:highlight w:val="none"/>
                <w:u w:val="single"/>
                <w:lang w:val="en-US" w:eastAsia="zh-CN"/>
              </w:rPr>
            </w:pPr>
            <w:r>
              <w:rPr>
                <w:rFonts w:hint="eastAsia" w:ascii="宋体" w:eastAsia="宋体" w:cs="Courier New"/>
                <w:b w:val="0"/>
                <w:bCs/>
                <w:color w:val="auto"/>
                <w:sz w:val="22"/>
                <w:highlight w:val="none"/>
              </w:rPr>
              <w:t>（1）样品：</w:t>
            </w:r>
            <w:r>
              <w:rPr>
                <w:rFonts w:hint="eastAsia" w:ascii="宋体" w:eastAsia="宋体" w:cs="Courier New"/>
                <w:b w:val="0"/>
                <w:bCs/>
                <w:color w:val="auto"/>
                <w:sz w:val="22"/>
                <w:highlight w:val="none"/>
                <w:u w:val="single"/>
                <w:lang w:val="en-US" w:eastAsia="zh-CN"/>
              </w:rPr>
              <w:t>学生实验桌、塑料水槽柜、学生凳；</w:t>
            </w:r>
          </w:p>
          <w:p w14:paraId="67376877">
            <w:pPr>
              <w:rPr>
                <w:rFonts w:hint="eastAsia" w:ascii="宋体" w:eastAsia="宋体" w:cs="Courier New"/>
                <w:b w:val="0"/>
                <w:bCs/>
                <w:color w:val="auto"/>
                <w:sz w:val="22"/>
                <w:highlight w:val="none"/>
              </w:rPr>
            </w:pPr>
            <w:r>
              <w:rPr>
                <w:rFonts w:hint="eastAsia" w:ascii="宋体" w:eastAsia="宋体" w:cs="Courier New"/>
                <w:b w:val="0"/>
                <w:bCs/>
                <w:color w:val="auto"/>
                <w:sz w:val="22"/>
                <w:highlight w:val="none"/>
              </w:rPr>
              <w:t>（2）样品制作的标准和要求：</w:t>
            </w:r>
            <w:r>
              <w:rPr>
                <w:rFonts w:hint="eastAsia" w:ascii="宋体" w:eastAsia="宋体" w:cs="Courier New"/>
                <w:b w:val="0"/>
                <w:bCs/>
                <w:color w:val="auto"/>
                <w:sz w:val="22"/>
                <w:highlight w:val="none"/>
                <w:u w:val="single"/>
                <w:lang w:val="en-US" w:eastAsia="zh-CN"/>
              </w:rPr>
              <w:t>见技术参数要求</w:t>
            </w:r>
            <w:r>
              <w:rPr>
                <w:rFonts w:hint="eastAsia" w:ascii="宋体" w:eastAsia="宋体" w:cs="Courier New"/>
                <w:b w:val="0"/>
                <w:bCs/>
                <w:color w:val="auto"/>
                <w:sz w:val="22"/>
                <w:highlight w:val="none"/>
              </w:rPr>
              <w:t>；</w:t>
            </w:r>
          </w:p>
          <w:p w14:paraId="707BD6C3">
            <w:pPr>
              <w:rPr>
                <w:rFonts w:hint="eastAsia" w:ascii="宋体" w:eastAsia="宋体" w:cs="Courier New"/>
                <w:b w:val="0"/>
                <w:bCs/>
                <w:color w:val="auto"/>
                <w:sz w:val="22"/>
                <w:highlight w:val="none"/>
              </w:rPr>
            </w:pPr>
            <w:r>
              <w:rPr>
                <w:rFonts w:hint="eastAsia" w:ascii="宋体" w:eastAsia="宋体" w:cs="Courier New"/>
                <w:b w:val="0"/>
                <w:bCs/>
                <w:color w:val="auto"/>
                <w:sz w:val="22"/>
                <w:highlight w:val="none"/>
              </w:rPr>
              <w:t>（3）样品的评审方法以及评审标准：详见</w:t>
            </w:r>
            <w:r>
              <w:rPr>
                <w:rFonts w:hint="eastAsia" w:ascii="宋体" w:eastAsia="宋体" w:cs="Courier New"/>
                <w:b w:val="0"/>
                <w:bCs/>
                <w:color w:val="auto"/>
                <w:sz w:val="22"/>
                <w:highlight w:val="none"/>
                <w:u w:val="single"/>
              </w:rPr>
              <w:t>评标办法</w:t>
            </w:r>
            <w:r>
              <w:rPr>
                <w:rFonts w:hint="eastAsia" w:ascii="宋体" w:eastAsia="宋体" w:cs="Courier New"/>
                <w:b w:val="0"/>
                <w:bCs/>
                <w:color w:val="auto"/>
                <w:sz w:val="22"/>
                <w:highlight w:val="none"/>
              </w:rPr>
              <w:t>；</w:t>
            </w:r>
          </w:p>
          <w:p w14:paraId="58518D8A">
            <w:pPr>
              <w:rPr>
                <w:rFonts w:hint="eastAsia" w:ascii="宋体" w:eastAsia="宋体" w:cs="Courier New"/>
                <w:b w:val="0"/>
                <w:bCs/>
                <w:color w:val="auto"/>
                <w:sz w:val="22"/>
                <w:highlight w:val="none"/>
              </w:rPr>
            </w:pPr>
            <w:r>
              <w:rPr>
                <w:rFonts w:hint="eastAsia" w:ascii="宋体" w:eastAsia="宋体" w:cs="Courier New"/>
                <w:b w:val="0"/>
                <w:bCs/>
                <w:color w:val="auto"/>
                <w:sz w:val="22"/>
                <w:highlight w:val="none"/>
              </w:rPr>
              <w:t>（</w:t>
            </w:r>
            <w:r>
              <w:rPr>
                <w:rFonts w:hint="eastAsia" w:ascii="宋体" w:eastAsia="宋体" w:cs="Courier New"/>
                <w:b w:val="0"/>
                <w:bCs/>
                <w:color w:val="auto"/>
                <w:sz w:val="22"/>
                <w:highlight w:val="none"/>
                <w:lang w:val="en-US" w:eastAsia="zh-CN"/>
              </w:rPr>
              <w:t>4</w:t>
            </w:r>
            <w:r>
              <w:rPr>
                <w:rFonts w:hint="eastAsia" w:ascii="宋体" w:eastAsia="宋体" w:cs="Courier New"/>
                <w:b w:val="0"/>
                <w:bCs/>
                <w:color w:val="auto"/>
                <w:sz w:val="22"/>
                <w:highlight w:val="none"/>
              </w:rPr>
              <w:t>）是否需要随样品提交检测报告：</w:t>
            </w:r>
            <w:sdt>
              <w:sdtPr>
                <w:rPr>
                  <w:rFonts w:hint="eastAsia" w:ascii="宋体" w:eastAsia="宋体" w:cs="Courier New"/>
                  <w:b w:val="0"/>
                  <w:bCs/>
                  <w:color w:val="auto"/>
                  <w:sz w:val="22"/>
                  <w:highlight w:val="none"/>
                </w:rPr>
                <w:id w:val="1303421454"/>
                <w14:checkbox>
                  <w14:checked w14:val="1"/>
                  <w14:checkedState w14:val="00FE" w14:font="Wingdings"/>
                  <w14:uncheckedState w14:val="2610" w14:font="MS Gothic"/>
                </w14:checkbox>
              </w:sdtPr>
              <w:sdtEndPr>
                <w:rPr>
                  <w:rFonts w:hint="eastAsia" w:ascii="宋体" w:eastAsia="宋体" w:cs="Courier New"/>
                  <w:b w:val="0"/>
                  <w:bCs/>
                  <w:color w:val="auto"/>
                  <w:sz w:val="22"/>
                  <w:highlight w:val="none"/>
                </w:rPr>
              </w:sdtEndPr>
              <w:sdtContent>
                <w:r>
                  <w:rPr>
                    <w:rFonts w:hint="eastAsia" w:ascii="Wingdings" w:hAnsi="Wingdings" w:eastAsia="宋体" w:cs="Courier New"/>
                    <w:b w:val="0"/>
                    <w:bCs/>
                    <w:color w:val="auto"/>
                    <w:sz w:val="22"/>
                    <w:szCs w:val="21"/>
                    <w:highlight w:val="none"/>
                    <w:lang w:val="en-US" w:eastAsia="zh-CN" w:bidi="ar-SA"/>
                  </w:rPr>
                  <w:t>þ</w:t>
                </w:r>
              </w:sdtContent>
            </w:sdt>
            <w:r>
              <w:rPr>
                <w:rFonts w:hint="eastAsia" w:ascii="宋体" w:eastAsia="宋体" w:cs="Courier New"/>
                <w:b w:val="0"/>
                <w:bCs/>
                <w:color w:val="auto"/>
                <w:sz w:val="22"/>
                <w:highlight w:val="none"/>
              </w:rPr>
              <w:t>否；</w:t>
            </w:r>
            <w:sdt>
              <w:sdtPr>
                <w:rPr>
                  <w:rFonts w:hint="eastAsia" w:ascii="宋体" w:eastAsia="宋体" w:cs="Courier New"/>
                  <w:b w:val="0"/>
                  <w:bCs/>
                  <w:color w:val="auto"/>
                  <w:sz w:val="22"/>
                  <w:highlight w:val="none"/>
                </w:rPr>
                <w:id w:val="1621728433"/>
                <w14:checkbox>
                  <w14:checked w14:val="0"/>
                  <w14:checkedState w14:val="00FE" w14:font="Wingdings"/>
                  <w14:uncheckedState w14:val="2610" w14:font="MS Gothic"/>
                </w14:checkbox>
              </w:sdtPr>
              <w:sdtEndPr>
                <w:rPr>
                  <w:rFonts w:hint="eastAsia" w:ascii="宋体" w:eastAsia="宋体" w:cs="Courier New"/>
                  <w:b w:val="0"/>
                  <w:bCs/>
                  <w:color w:val="auto"/>
                  <w:sz w:val="22"/>
                  <w:highlight w:val="none"/>
                </w:rPr>
              </w:sdtEndPr>
              <w:sdtContent>
                <w:r>
                  <w:rPr>
                    <w:rFonts w:hint="eastAsia" w:ascii="宋体" w:eastAsia="宋体" w:cs="Courier New"/>
                    <w:b w:val="0"/>
                    <w:bCs/>
                    <w:color w:val="auto"/>
                    <w:sz w:val="22"/>
                    <w:highlight w:val="none"/>
                  </w:rPr>
                  <w:t>☐</w:t>
                </w:r>
              </w:sdtContent>
            </w:sdt>
            <w:r>
              <w:rPr>
                <w:rFonts w:hint="eastAsia" w:ascii="宋体" w:eastAsia="宋体" w:cs="Courier New"/>
                <w:b w:val="0"/>
                <w:bCs/>
                <w:color w:val="auto"/>
                <w:sz w:val="22"/>
                <w:highlight w:val="none"/>
              </w:rPr>
              <w:t>是，检测机构的要求：</w:t>
            </w:r>
            <w:r>
              <w:rPr>
                <w:rFonts w:hint="eastAsia" w:ascii="宋体" w:eastAsia="宋体" w:cs="Courier New"/>
                <w:b w:val="0"/>
                <w:bCs/>
                <w:color w:val="auto"/>
                <w:sz w:val="22"/>
                <w:highlight w:val="none"/>
                <w:u w:val="single"/>
                <w:lang w:val="en-US" w:eastAsia="zh-CN"/>
              </w:rPr>
              <w:t>/</w:t>
            </w:r>
            <w:r>
              <w:rPr>
                <w:rFonts w:hint="eastAsia" w:ascii="宋体" w:eastAsia="宋体" w:cs="Courier New"/>
                <w:b w:val="0"/>
                <w:bCs/>
                <w:color w:val="auto"/>
                <w:sz w:val="22"/>
                <w:highlight w:val="none"/>
              </w:rPr>
              <w:t>；检测内容：</w:t>
            </w:r>
            <w:r>
              <w:rPr>
                <w:rFonts w:hint="eastAsia" w:ascii="宋体" w:eastAsia="宋体" w:cs="Courier New"/>
                <w:b w:val="0"/>
                <w:bCs/>
                <w:color w:val="auto"/>
                <w:sz w:val="22"/>
                <w:highlight w:val="none"/>
                <w:u w:val="single"/>
                <w:lang w:val="en-US" w:eastAsia="zh-CN"/>
              </w:rPr>
              <w:t>/</w:t>
            </w:r>
            <w:r>
              <w:rPr>
                <w:rFonts w:hint="eastAsia" w:ascii="宋体" w:eastAsia="宋体" w:cs="Courier New"/>
                <w:b w:val="0"/>
                <w:bCs/>
                <w:color w:val="auto"/>
                <w:sz w:val="22"/>
                <w:highlight w:val="none"/>
              </w:rPr>
              <w:t>。</w:t>
            </w:r>
          </w:p>
          <w:p w14:paraId="65A3677A">
            <w:pPr>
              <w:rPr>
                <w:rFonts w:hint="eastAsia" w:ascii="宋体" w:eastAsia="宋体" w:cs="Courier New"/>
                <w:b w:val="0"/>
                <w:bCs/>
                <w:color w:val="auto"/>
                <w:sz w:val="22"/>
                <w:highlight w:val="none"/>
              </w:rPr>
            </w:pPr>
            <w:r>
              <w:rPr>
                <w:rFonts w:hint="eastAsia" w:ascii="宋体" w:eastAsia="宋体" w:cs="Courier New"/>
                <w:b w:val="0"/>
                <w:bCs/>
                <w:color w:val="auto"/>
                <w:sz w:val="22"/>
                <w:highlight w:val="none"/>
              </w:rPr>
              <w:t>（5）提供样品的时间：</w:t>
            </w:r>
            <w:r>
              <w:rPr>
                <w:rFonts w:hint="eastAsia" w:ascii="宋体" w:eastAsia="宋体"/>
                <w:b w:val="0"/>
                <w:color w:val="auto"/>
                <w:sz w:val="22"/>
                <w:highlight w:val="none"/>
                <w:lang w:eastAsia="zh-CN"/>
              </w:rPr>
              <w:t>2025年</w:t>
            </w:r>
            <w:r>
              <w:rPr>
                <w:rFonts w:hint="eastAsia" w:ascii="宋体" w:eastAsia="宋体"/>
                <w:b w:val="0"/>
                <w:color w:val="auto"/>
                <w:sz w:val="22"/>
                <w:highlight w:val="none"/>
                <w:lang w:val="en-US" w:eastAsia="zh-CN"/>
              </w:rPr>
              <w:t>8</w:t>
            </w:r>
            <w:r>
              <w:rPr>
                <w:rFonts w:hint="eastAsia" w:ascii="宋体" w:eastAsia="宋体"/>
                <w:b w:val="0"/>
                <w:color w:val="auto"/>
                <w:sz w:val="22"/>
                <w:highlight w:val="none"/>
                <w:lang w:eastAsia="zh-CN"/>
              </w:rPr>
              <w:t>月</w:t>
            </w:r>
            <w:r>
              <w:rPr>
                <w:rFonts w:hint="eastAsia" w:ascii="宋体" w:eastAsia="宋体"/>
                <w:b w:val="0"/>
                <w:color w:val="auto"/>
                <w:sz w:val="22"/>
                <w:highlight w:val="none"/>
                <w:lang w:val="en-US" w:eastAsia="zh-CN"/>
              </w:rPr>
              <w:t>5</w:t>
            </w:r>
            <w:r>
              <w:rPr>
                <w:rFonts w:hint="eastAsia" w:ascii="宋体" w:eastAsia="宋体"/>
                <w:b w:val="0"/>
                <w:color w:val="auto"/>
                <w:sz w:val="22"/>
                <w:highlight w:val="none"/>
                <w:lang w:eastAsia="zh-CN"/>
              </w:rPr>
              <w:t>日</w:t>
            </w:r>
            <w:r>
              <w:rPr>
                <w:rFonts w:hint="eastAsia" w:ascii="宋体" w:eastAsia="宋体" w:cs="Courier New"/>
                <w:b w:val="0"/>
                <w:bCs/>
                <w:color w:val="auto"/>
                <w:sz w:val="22"/>
                <w:highlight w:val="none"/>
                <w:u w:val="single"/>
                <w:lang w:val="en-US" w:eastAsia="zh-CN"/>
              </w:rPr>
              <w:t>13:30--14:30</w:t>
            </w:r>
            <w:r>
              <w:rPr>
                <w:rFonts w:hint="eastAsia" w:ascii="宋体" w:eastAsia="宋体" w:cs="Courier New"/>
                <w:b w:val="0"/>
                <w:bCs/>
                <w:color w:val="auto"/>
                <w:sz w:val="22"/>
                <w:highlight w:val="none"/>
              </w:rPr>
              <w:t>；地点：</w:t>
            </w:r>
            <w:r>
              <w:rPr>
                <w:rFonts w:hint="eastAsia" w:ascii="宋体" w:eastAsia="宋体" w:cs="Courier New"/>
                <w:b w:val="0"/>
                <w:bCs/>
                <w:color w:val="auto"/>
                <w:sz w:val="22"/>
                <w:highlight w:val="none"/>
                <w:u w:val="single"/>
                <w:lang w:eastAsia="zh-CN"/>
              </w:rPr>
              <w:t>永嘉县南城街道县前路242-246号勘查测绘大楼2楼</w:t>
            </w:r>
            <w:r>
              <w:rPr>
                <w:rFonts w:hint="eastAsia" w:ascii="宋体" w:eastAsia="宋体" w:cs="Courier New"/>
                <w:b w:val="0"/>
                <w:bCs/>
                <w:color w:val="auto"/>
                <w:sz w:val="22"/>
                <w:highlight w:val="none"/>
                <w:u w:val="single"/>
                <w:lang w:val="en-US" w:eastAsia="zh-CN"/>
              </w:rPr>
              <w:t>207室</w:t>
            </w:r>
            <w:r>
              <w:rPr>
                <w:rFonts w:hint="eastAsia" w:ascii="宋体" w:eastAsia="宋体" w:cs="Courier New"/>
                <w:b w:val="0"/>
                <w:bCs/>
                <w:color w:val="auto"/>
                <w:sz w:val="22"/>
                <w:highlight w:val="none"/>
              </w:rPr>
              <w:t>；联系人：</w:t>
            </w:r>
            <w:r>
              <w:rPr>
                <w:rFonts w:hint="eastAsia" w:ascii="宋体" w:eastAsia="宋体" w:cs="Courier New"/>
                <w:b w:val="0"/>
                <w:bCs/>
                <w:color w:val="auto"/>
                <w:sz w:val="22"/>
                <w:highlight w:val="none"/>
                <w:u w:val="single"/>
                <w:lang w:val="en-US" w:eastAsia="zh-CN"/>
              </w:rPr>
              <w:t>余旭凡</w:t>
            </w:r>
            <w:r>
              <w:rPr>
                <w:rFonts w:hint="eastAsia" w:ascii="宋体" w:eastAsia="宋体" w:cs="Courier New"/>
                <w:b w:val="0"/>
                <w:bCs/>
                <w:color w:val="auto"/>
                <w:sz w:val="22"/>
                <w:highlight w:val="none"/>
              </w:rPr>
              <w:t>，联系电话：</w:t>
            </w:r>
            <w:r>
              <w:rPr>
                <w:rFonts w:hint="eastAsia" w:ascii="宋体" w:eastAsia="宋体" w:cs="Courier New"/>
                <w:b w:val="0"/>
                <w:bCs/>
                <w:color w:val="auto"/>
                <w:sz w:val="22"/>
                <w:highlight w:val="none"/>
                <w:u w:val="single"/>
                <w:lang w:val="en-US" w:eastAsia="zh-CN"/>
              </w:rPr>
              <w:t>18968868813</w:t>
            </w:r>
            <w:r>
              <w:rPr>
                <w:rFonts w:hint="eastAsia" w:ascii="宋体" w:eastAsia="宋体" w:cs="Courier New"/>
                <w:b w:val="0"/>
                <w:bCs/>
                <w:color w:val="auto"/>
                <w:sz w:val="22"/>
                <w:highlight w:val="none"/>
              </w:rPr>
              <w:t>。请投标人在上述时间内提供样品并按规定位置安装完毕。超过截止时间的，采购人或采购代理机构将不予接收，并将清场并封闭样品现场。</w:t>
            </w:r>
          </w:p>
          <w:p w14:paraId="4053DC84">
            <w:pPr>
              <w:rPr>
                <w:rFonts w:hint="eastAsia" w:ascii="宋体" w:eastAsia="宋体" w:cs="Courier New"/>
                <w:b w:val="0"/>
                <w:bCs/>
                <w:color w:val="auto"/>
                <w:sz w:val="22"/>
                <w:highlight w:val="none"/>
              </w:rPr>
            </w:pPr>
            <w:r>
              <w:rPr>
                <w:rFonts w:hint="eastAsia" w:ascii="宋体" w:eastAsia="宋体" w:cs="Courier New"/>
                <w:b w:val="0"/>
                <w:bCs/>
                <w:color w:val="auto"/>
                <w:sz w:val="22"/>
                <w:highlight w:val="none"/>
              </w:rPr>
              <w:t xml:space="preserve"> (6)采购活动结束后，对于未中标人提供的样品，采购人、采购代理机构将通知未中标人在规定的时间内取回，逾期未取回的，采购人、采购代理机构不负保管义务；对于中标人提供的样品，采购人将进行保管、封存，并作为履约验收的参考。</w:t>
            </w:r>
          </w:p>
          <w:p w14:paraId="36DF7BCF">
            <w:pPr>
              <w:rPr>
                <w:rFonts w:hint="eastAsia"/>
                <w:color w:val="auto"/>
                <w:highlight w:val="none"/>
              </w:rPr>
            </w:pPr>
            <w:r>
              <w:rPr>
                <w:rFonts w:hint="eastAsia" w:ascii="宋体" w:eastAsia="宋体" w:cs="Courier New"/>
                <w:b w:val="0"/>
                <w:bCs/>
                <w:color w:val="auto"/>
                <w:sz w:val="22"/>
                <w:highlight w:val="none"/>
              </w:rPr>
              <w:t>（7）制作、运输、安装和保管样品所发生的一切费用由投标人自理。</w:t>
            </w:r>
          </w:p>
        </w:tc>
      </w:tr>
      <w:tr w14:paraId="7D74C9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4F112BF8">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30A7F904">
            <w:pPr>
              <w:adjustRightInd w:val="0"/>
              <w:jc w:val="center"/>
              <w:rPr>
                <w:rFonts w:ascii="宋体" w:eastAsia="宋体"/>
                <w:b w:val="0"/>
                <w:color w:val="auto"/>
                <w:sz w:val="22"/>
                <w:szCs w:val="22"/>
                <w:highlight w:val="none"/>
              </w:rPr>
            </w:pPr>
            <w:r>
              <w:rPr>
                <w:rFonts w:hint="eastAsia" w:ascii="宋体" w:eastAsia="宋体"/>
                <w:b w:val="0"/>
                <w:color w:val="auto"/>
                <w:sz w:val="22"/>
                <w:szCs w:val="22"/>
                <w:highlight w:val="none"/>
              </w:rPr>
              <w:t>履约担保</w:t>
            </w:r>
          </w:p>
        </w:tc>
        <w:tc>
          <w:tcPr>
            <w:tcW w:w="7957" w:type="dxa"/>
            <w:noWrap w:val="0"/>
            <w:vAlign w:val="center"/>
          </w:tcPr>
          <w:p w14:paraId="6AC9389F">
            <w:pPr>
              <w:rPr>
                <w:rFonts w:ascii="宋体" w:eastAsia="宋体"/>
                <w:b w:val="0"/>
                <w:color w:val="auto"/>
                <w:sz w:val="22"/>
                <w:szCs w:val="22"/>
                <w:highlight w:val="none"/>
              </w:rPr>
            </w:pPr>
            <w:r>
              <w:rPr>
                <w:rFonts w:ascii="宋体" w:eastAsia="宋体"/>
                <w:b w:val="0"/>
                <w:color w:val="auto"/>
                <w:sz w:val="22"/>
                <w:szCs w:val="22"/>
                <w:highlight w:val="none"/>
              </w:rPr>
              <w:fldChar w:fldCharType="begin"/>
            </w:r>
            <w:r>
              <w:rPr>
                <w:rFonts w:ascii="宋体" w:eastAsia="宋体"/>
                <w:b w:val="0"/>
                <w:color w:val="auto"/>
                <w:sz w:val="22"/>
                <w:szCs w:val="22"/>
                <w:highlight w:val="none"/>
              </w:rPr>
              <w:instrText xml:space="preserve"> </w:instrText>
            </w:r>
            <w:r>
              <w:rPr>
                <w:rFonts w:hint="eastAsia" w:ascii="宋体" w:eastAsia="宋体"/>
                <w:b w:val="0"/>
                <w:color w:val="auto"/>
                <w:sz w:val="22"/>
                <w:szCs w:val="22"/>
                <w:highlight w:val="none"/>
              </w:rPr>
              <w:instrText xml:space="preserve">eq \o\ac(□)</w:instrText>
            </w:r>
            <w:r>
              <w:rPr>
                <w:rFonts w:ascii="宋体" w:eastAsia="宋体"/>
                <w:b w:val="0"/>
                <w:color w:val="auto"/>
                <w:sz w:val="22"/>
                <w:szCs w:val="22"/>
                <w:highlight w:val="none"/>
              </w:rPr>
              <w:fldChar w:fldCharType="end"/>
            </w:r>
            <w:r>
              <w:rPr>
                <w:rFonts w:hint="eastAsia" w:ascii="宋体" w:eastAsia="宋体"/>
                <w:b w:val="0"/>
                <w:color w:val="auto"/>
                <w:sz w:val="22"/>
                <w:szCs w:val="22"/>
                <w:highlight w:val="none"/>
              </w:rPr>
              <w:t>不需要</w:t>
            </w:r>
          </w:p>
          <w:p w14:paraId="59219264">
            <w:pPr>
              <w:adjustRightInd w:val="0"/>
              <w:rPr>
                <w:rFonts w:hint="default" w:ascii="宋体" w:eastAsia="宋体"/>
                <w:b w:val="0"/>
                <w:color w:val="auto"/>
                <w:sz w:val="22"/>
                <w:szCs w:val="22"/>
                <w:highlight w:val="none"/>
                <w:lang w:val="en-US" w:eastAsia="zh-CN"/>
              </w:rPr>
            </w:pPr>
            <w:r>
              <w:rPr>
                <w:rFonts w:hint="eastAsia" w:ascii="宋体" w:eastAsia="宋体"/>
                <w:b w:val="0"/>
                <w:color w:val="auto"/>
                <w:sz w:val="22"/>
                <w:szCs w:val="22"/>
                <w:highlight w:val="none"/>
                <w:lang w:eastAsia="zh-CN"/>
              </w:rPr>
              <w:t>☑</w:t>
            </w:r>
            <w:r>
              <w:rPr>
                <w:rFonts w:hint="eastAsia" w:ascii="宋体" w:eastAsia="宋体"/>
                <w:b w:val="0"/>
                <w:color w:val="auto"/>
                <w:sz w:val="22"/>
                <w:szCs w:val="22"/>
                <w:highlight w:val="none"/>
              </w:rPr>
              <w:t xml:space="preserve">需要 </w:t>
            </w:r>
            <w:r>
              <w:rPr>
                <w:rFonts w:hint="eastAsia" w:ascii="宋体" w:eastAsia="宋体"/>
                <w:b w:val="0"/>
                <w:color w:val="auto"/>
                <w:sz w:val="22"/>
                <w:szCs w:val="22"/>
                <w:highlight w:val="none"/>
                <w:lang w:eastAsia="zh-CN"/>
              </w:rPr>
              <w:t>见招标文件</w:t>
            </w:r>
            <w:r>
              <w:rPr>
                <w:rFonts w:hint="eastAsia" w:ascii="宋体" w:eastAsia="宋体"/>
                <w:b w:val="0"/>
                <w:color w:val="auto"/>
                <w:sz w:val="22"/>
                <w:szCs w:val="22"/>
                <w:highlight w:val="none"/>
                <w:lang w:val="en-US" w:eastAsia="zh-CN"/>
              </w:rPr>
              <w:t>第二部分第26小点</w:t>
            </w:r>
          </w:p>
        </w:tc>
      </w:tr>
      <w:tr w14:paraId="28EB65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699899D6">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754A56EA">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招标文件获取方式</w:t>
            </w:r>
          </w:p>
        </w:tc>
        <w:tc>
          <w:tcPr>
            <w:tcW w:w="7957" w:type="dxa"/>
            <w:noWrap w:val="0"/>
            <w:vAlign w:val="center"/>
          </w:tcPr>
          <w:p w14:paraId="0A22EBF8">
            <w:pPr>
              <w:rPr>
                <w:rFonts w:ascii="宋体" w:eastAsia="宋体" w:cs="Arial"/>
                <w:b w:val="0"/>
                <w:color w:val="auto"/>
                <w:sz w:val="22"/>
                <w:szCs w:val="22"/>
                <w:highlight w:val="none"/>
              </w:rPr>
            </w:pPr>
            <w:r>
              <w:rPr>
                <w:rFonts w:hint="eastAsia" w:ascii="宋体" w:eastAsia="宋体"/>
                <w:b w:val="0"/>
                <w:color w:val="auto"/>
                <w:sz w:val="22"/>
                <w:szCs w:val="22"/>
                <w:highlight w:val="none"/>
              </w:rPr>
              <w:t>见招标公告</w:t>
            </w:r>
          </w:p>
        </w:tc>
      </w:tr>
      <w:tr w14:paraId="55B784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3582D365">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0F34E376">
            <w:pPr>
              <w:jc w:val="center"/>
              <w:rPr>
                <w:rFonts w:hint="eastAsia" w:ascii="宋体" w:eastAsia="宋体" w:cs="Arial"/>
                <w:b w:val="0"/>
                <w:color w:val="auto"/>
                <w:sz w:val="22"/>
                <w:szCs w:val="22"/>
                <w:highlight w:val="none"/>
              </w:rPr>
            </w:pPr>
            <w:r>
              <w:rPr>
                <w:rFonts w:hint="eastAsia" w:ascii="宋体" w:eastAsia="宋体" w:cs="Arial"/>
                <w:b w:val="0"/>
                <w:color w:val="auto"/>
                <w:sz w:val="22"/>
                <w:szCs w:val="22"/>
                <w:highlight w:val="none"/>
              </w:rPr>
              <w:t>标书售价</w:t>
            </w:r>
          </w:p>
        </w:tc>
        <w:tc>
          <w:tcPr>
            <w:tcW w:w="7957" w:type="dxa"/>
            <w:noWrap w:val="0"/>
            <w:vAlign w:val="center"/>
          </w:tcPr>
          <w:p w14:paraId="1A48C101">
            <w:pPr>
              <w:rPr>
                <w:rFonts w:ascii="宋体" w:eastAsia="宋体"/>
                <w:b w:val="0"/>
                <w:color w:val="auto"/>
                <w:sz w:val="22"/>
                <w:szCs w:val="22"/>
                <w:highlight w:val="none"/>
              </w:rPr>
            </w:pPr>
            <w:r>
              <w:rPr>
                <w:rFonts w:hint="eastAsia" w:ascii="宋体" w:eastAsia="宋体"/>
                <w:b w:val="0"/>
                <w:color w:val="auto"/>
                <w:sz w:val="22"/>
                <w:szCs w:val="22"/>
                <w:highlight w:val="none"/>
              </w:rPr>
              <w:t>免费提供</w:t>
            </w:r>
          </w:p>
        </w:tc>
      </w:tr>
      <w:tr w14:paraId="2CB34D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3D2A4E09">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11E42688">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投标截止时间</w:t>
            </w:r>
          </w:p>
        </w:tc>
        <w:tc>
          <w:tcPr>
            <w:tcW w:w="7957" w:type="dxa"/>
            <w:noWrap w:val="0"/>
            <w:vAlign w:val="center"/>
          </w:tcPr>
          <w:p w14:paraId="629C03E1">
            <w:pPr>
              <w:rPr>
                <w:rFonts w:ascii="宋体" w:eastAsia="宋体" w:cs="Arial"/>
                <w:b w:val="0"/>
                <w:color w:val="auto"/>
                <w:sz w:val="22"/>
                <w:szCs w:val="22"/>
                <w:highlight w:val="none"/>
              </w:rPr>
            </w:pPr>
            <w:r>
              <w:rPr>
                <w:rFonts w:hint="eastAsia" w:ascii="宋体" w:eastAsia="宋体"/>
                <w:bCs/>
                <w:i/>
                <w:color w:val="auto"/>
                <w:sz w:val="22"/>
                <w:szCs w:val="22"/>
                <w:highlight w:val="none"/>
                <w:lang w:eastAsia="zh-CN"/>
              </w:rPr>
              <w:t>2025年</w:t>
            </w:r>
            <w:r>
              <w:rPr>
                <w:rFonts w:hint="eastAsia" w:ascii="宋体" w:eastAsia="宋体"/>
                <w:bCs/>
                <w:i/>
                <w:color w:val="auto"/>
                <w:sz w:val="22"/>
                <w:szCs w:val="22"/>
                <w:highlight w:val="none"/>
                <w:lang w:val="en-US" w:eastAsia="zh-CN"/>
              </w:rPr>
              <w:t>8</w:t>
            </w:r>
            <w:r>
              <w:rPr>
                <w:rFonts w:hint="eastAsia" w:ascii="宋体" w:eastAsia="宋体"/>
                <w:bCs/>
                <w:i/>
                <w:color w:val="auto"/>
                <w:sz w:val="22"/>
                <w:szCs w:val="22"/>
                <w:highlight w:val="none"/>
                <w:lang w:eastAsia="zh-CN"/>
              </w:rPr>
              <w:t>月</w:t>
            </w:r>
            <w:r>
              <w:rPr>
                <w:rFonts w:hint="eastAsia" w:ascii="宋体" w:eastAsia="宋体"/>
                <w:bCs/>
                <w:i/>
                <w:color w:val="auto"/>
                <w:sz w:val="22"/>
                <w:szCs w:val="22"/>
                <w:highlight w:val="none"/>
                <w:lang w:val="en-US" w:eastAsia="zh-CN"/>
              </w:rPr>
              <w:t>5</w:t>
            </w:r>
            <w:r>
              <w:rPr>
                <w:rFonts w:hint="eastAsia" w:ascii="宋体" w:eastAsia="宋体"/>
                <w:bCs/>
                <w:i/>
                <w:color w:val="auto"/>
                <w:sz w:val="22"/>
                <w:szCs w:val="22"/>
                <w:highlight w:val="none"/>
                <w:lang w:eastAsia="zh-CN"/>
              </w:rPr>
              <w:t>日</w:t>
            </w:r>
            <w:r>
              <w:rPr>
                <w:rFonts w:hint="eastAsia" w:ascii="宋体" w:eastAsia="宋体"/>
                <w:bCs/>
                <w:i/>
                <w:color w:val="auto"/>
                <w:sz w:val="22"/>
                <w:szCs w:val="22"/>
                <w:highlight w:val="none"/>
                <w:lang w:val="en-US" w:eastAsia="zh-CN"/>
              </w:rPr>
              <w:t>14</w:t>
            </w:r>
            <w:r>
              <w:rPr>
                <w:rFonts w:hint="eastAsia" w:ascii="宋体" w:eastAsia="宋体"/>
                <w:bCs/>
                <w:i/>
                <w:color w:val="auto"/>
                <w:sz w:val="22"/>
                <w:szCs w:val="22"/>
                <w:highlight w:val="none"/>
              </w:rPr>
              <w:t>:30 截止(北京时间)。</w:t>
            </w:r>
          </w:p>
        </w:tc>
      </w:tr>
      <w:tr w14:paraId="11D792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58C0538D">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24C82540">
            <w:pPr>
              <w:jc w:val="center"/>
              <w:rPr>
                <w:rFonts w:ascii="宋体" w:eastAsia="宋体" w:cs="Arial"/>
                <w:b w:val="0"/>
                <w:color w:val="auto"/>
                <w:sz w:val="22"/>
                <w:szCs w:val="22"/>
                <w:highlight w:val="none"/>
              </w:rPr>
            </w:pPr>
            <w:r>
              <w:rPr>
                <w:rFonts w:hint="eastAsia" w:ascii="宋体" w:eastAsia="宋体"/>
                <w:b w:val="0"/>
                <w:color w:val="auto"/>
                <w:sz w:val="22"/>
                <w:szCs w:val="22"/>
                <w:highlight w:val="none"/>
              </w:rPr>
              <w:t>投标文件递交时间及地点</w:t>
            </w:r>
          </w:p>
        </w:tc>
        <w:tc>
          <w:tcPr>
            <w:tcW w:w="7957" w:type="dxa"/>
            <w:noWrap w:val="0"/>
            <w:vAlign w:val="center"/>
          </w:tcPr>
          <w:p w14:paraId="2EE4BC1D">
            <w:pPr>
              <w:rPr>
                <w:rFonts w:ascii="宋体" w:eastAsia="宋体" w:cs="Arial"/>
                <w:b w:val="0"/>
                <w:color w:val="auto"/>
                <w:sz w:val="22"/>
                <w:szCs w:val="22"/>
                <w:highlight w:val="none"/>
              </w:rPr>
            </w:pPr>
            <w:r>
              <w:rPr>
                <w:rFonts w:hint="eastAsia" w:ascii="宋体" w:eastAsia="宋体"/>
                <w:color w:val="auto"/>
                <w:sz w:val="22"/>
                <w:highlight w:val="none"/>
              </w:rPr>
              <w:t>本项目采用在线投标方式，投标供应商无须前往投标现场</w:t>
            </w:r>
          </w:p>
        </w:tc>
      </w:tr>
      <w:tr w14:paraId="155476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5B268492">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6FDE7139">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开标时间</w:t>
            </w:r>
          </w:p>
          <w:p w14:paraId="46A8FEA3">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开标地点</w:t>
            </w:r>
          </w:p>
        </w:tc>
        <w:tc>
          <w:tcPr>
            <w:tcW w:w="7957" w:type="dxa"/>
            <w:noWrap w:val="0"/>
            <w:vAlign w:val="center"/>
          </w:tcPr>
          <w:p w14:paraId="0BE70785">
            <w:pPr>
              <w:rPr>
                <w:rFonts w:hint="eastAsia" w:ascii="宋体" w:eastAsia="宋体"/>
                <w:bCs/>
                <w:i/>
                <w:color w:val="auto"/>
                <w:sz w:val="22"/>
                <w:szCs w:val="22"/>
                <w:highlight w:val="none"/>
              </w:rPr>
            </w:pPr>
            <w:r>
              <w:rPr>
                <w:rFonts w:hint="eastAsia" w:ascii="宋体" w:eastAsia="宋体"/>
                <w:bCs/>
                <w:i/>
                <w:color w:val="auto"/>
                <w:sz w:val="22"/>
                <w:szCs w:val="22"/>
                <w:highlight w:val="none"/>
              </w:rPr>
              <w:t>开标时间：</w:t>
            </w:r>
            <w:r>
              <w:rPr>
                <w:rFonts w:hint="eastAsia" w:ascii="宋体" w:eastAsia="宋体"/>
                <w:bCs/>
                <w:i/>
                <w:color w:val="auto"/>
                <w:sz w:val="22"/>
                <w:szCs w:val="22"/>
                <w:highlight w:val="none"/>
                <w:lang w:eastAsia="zh-CN"/>
              </w:rPr>
              <w:t>2025年</w:t>
            </w:r>
            <w:r>
              <w:rPr>
                <w:rFonts w:hint="eastAsia" w:ascii="宋体" w:eastAsia="宋体"/>
                <w:bCs/>
                <w:i/>
                <w:color w:val="auto"/>
                <w:sz w:val="22"/>
                <w:szCs w:val="22"/>
                <w:highlight w:val="none"/>
                <w:lang w:val="en-US" w:eastAsia="zh-CN"/>
              </w:rPr>
              <w:t>8</w:t>
            </w:r>
            <w:r>
              <w:rPr>
                <w:rFonts w:hint="eastAsia" w:ascii="宋体" w:eastAsia="宋体"/>
                <w:bCs/>
                <w:i/>
                <w:color w:val="auto"/>
                <w:sz w:val="22"/>
                <w:szCs w:val="22"/>
                <w:highlight w:val="none"/>
                <w:lang w:eastAsia="zh-CN"/>
              </w:rPr>
              <w:t>月</w:t>
            </w:r>
            <w:r>
              <w:rPr>
                <w:rFonts w:hint="eastAsia" w:ascii="宋体" w:eastAsia="宋体"/>
                <w:bCs/>
                <w:i/>
                <w:color w:val="auto"/>
                <w:sz w:val="22"/>
                <w:szCs w:val="22"/>
                <w:highlight w:val="none"/>
                <w:lang w:val="en-US" w:eastAsia="zh-CN"/>
              </w:rPr>
              <w:t>5</w:t>
            </w:r>
            <w:r>
              <w:rPr>
                <w:rFonts w:hint="eastAsia" w:ascii="宋体" w:eastAsia="宋体"/>
                <w:bCs/>
                <w:i/>
                <w:color w:val="auto"/>
                <w:sz w:val="22"/>
                <w:szCs w:val="22"/>
                <w:highlight w:val="none"/>
                <w:lang w:eastAsia="zh-CN"/>
              </w:rPr>
              <w:t>日</w:t>
            </w:r>
            <w:r>
              <w:rPr>
                <w:rFonts w:hint="eastAsia" w:ascii="宋体" w:eastAsia="宋体"/>
                <w:bCs/>
                <w:i/>
                <w:color w:val="auto"/>
                <w:sz w:val="22"/>
                <w:szCs w:val="22"/>
                <w:highlight w:val="none"/>
                <w:lang w:val="en-US" w:eastAsia="zh-CN"/>
              </w:rPr>
              <w:t>14</w:t>
            </w:r>
            <w:r>
              <w:rPr>
                <w:rFonts w:hint="eastAsia" w:ascii="宋体" w:eastAsia="宋体"/>
                <w:bCs/>
                <w:i/>
                <w:color w:val="auto"/>
                <w:sz w:val="22"/>
                <w:szCs w:val="22"/>
                <w:highlight w:val="none"/>
              </w:rPr>
              <w:t>:30 正 (北京时间)</w:t>
            </w:r>
          </w:p>
          <w:p w14:paraId="77EA4E14">
            <w:pPr>
              <w:rPr>
                <w:rFonts w:ascii="宋体" w:eastAsia="宋体"/>
                <w:b w:val="0"/>
                <w:color w:val="auto"/>
                <w:sz w:val="22"/>
                <w:szCs w:val="22"/>
                <w:highlight w:val="none"/>
              </w:rPr>
            </w:pPr>
            <w:r>
              <w:rPr>
                <w:rFonts w:hint="eastAsia" w:ascii="宋体" w:hAnsi="宋体" w:eastAsia="宋体"/>
                <w:color w:val="auto"/>
                <w:sz w:val="22"/>
                <w:szCs w:val="22"/>
                <w:highlight w:val="none"/>
              </w:rPr>
              <w:t xml:space="preserve">开标地点：政采云平台（https://www.zcygov.cn/）   </w:t>
            </w:r>
            <w:r>
              <w:rPr>
                <w:rFonts w:ascii="宋体" w:eastAsia="宋体"/>
                <w:color w:val="auto"/>
                <w:sz w:val="22"/>
                <w:szCs w:val="22"/>
                <w:highlight w:val="none"/>
              </w:rPr>
              <w:t xml:space="preserve">          </w:t>
            </w:r>
          </w:p>
        </w:tc>
      </w:tr>
      <w:tr w14:paraId="202891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0FF6DB4D">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76A8034C">
            <w:pPr>
              <w:jc w:val="center"/>
              <w:rPr>
                <w:rFonts w:hint="eastAsia" w:ascii="宋体" w:eastAsia="宋体" w:cs="Arial"/>
                <w:b w:val="0"/>
                <w:color w:val="auto"/>
                <w:sz w:val="22"/>
                <w:szCs w:val="22"/>
                <w:highlight w:val="none"/>
              </w:rPr>
            </w:pPr>
            <w:r>
              <w:rPr>
                <w:rFonts w:hint="eastAsia" w:ascii="宋体" w:eastAsia="宋体" w:cs="Courier New"/>
                <w:color w:val="auto"/>
                <w:sz w:val="22"/>
                <w:highlight w:val="none"/>
              </w:rPr>
              <w:t>投标文件上传和递交</w:t>
            </w:r>
          </w:p>
        </w:tc>
        <w:tc>
          <w:tcPr>
            <w:tcW w:w="7957" w:type="dxa"/>
            <w:noWrap w:val="0"/>
            <w:vAlign w:val="center"/>
          </w:tcPr>
          <w:p w14:paraId="4BCD55AE">
            <w:pPr>
              <w:rPr>
                <w:rFonts w:ascii="宋体" w:eastAsia="宋体" w:cs="Courier New"/>
                <w:color w:val="auto"/>
                <w:sz w:val="22"/>
                <w:highlight w:val="none"/>
              </w:rPr>
            </w:pPr>
            <w:r>
              <w:rPr>
                <w:rFonts w:hint="eastAsia" w:ascii="宋体" w:eastAsia="宋体" w:cs="Courier New"/>
                <w:color w:val="auto"/>
                <w:sz w:val="22"/>
                <w:highlight w:val="none"/>
              </w:rPr>
              <w:t>本项目通过“政府采购云平台（</w:t>
            </w:r>
            <w:r>
              <w:rPr>
                <w:rFonts w:ascii="宋体" w:eastAsia="宋体" w:cs="Courier New"/>
                <w:color w:val="auto"/>
                <w:sz w:val="22"/>
                <w:highlight w:val="none"/>
              </w:rPr>
              <w:fldChar w:fldCharType="begin"/>
            </w:r>
            <w:r>
              <w:rPr>
                <w:rFonts w:ascii="宋体" w:eastAsia="宋体" w:cs="Courier New"/>
                <w:color w:val="auto"/>
                <w:sz w:val="22"/>
                <w:highlight w:val="none"/>
              </w:rPr>
              <w:instrText xml:space="preserve"> HYPERLINK "http://www.zcygov" </w:instrText>
            </w:r>
            <w:r>
              <w:rPr>
                <w:rFonts w:ascii="宋体" w:eastAsia="宋体" w:cs="Courier New"/>
                <w:color w:val="auto"/>
                <w:sz w:val="22"/>
                <w:highlight w:val="none"/>
              </w:rPr>
              <w:fldChar w:fldCharType="separate"/>
            </w:r>
            <w:r>
              <w:rPr>
                <w:rStyle w:val="55"/>
                <w:rFonts w:ascii="宋体" w:eastAsia="宋体" w:cs="Courier New"/>
                <w:color w:val="auto"/>
                <w:sz w:val="22"/>
                <w:highlight w:val="none"/>
              </w:rPr>
              <w:t>www.zcygov</w:t>
            </w:r>
            <w:r>
              <w:rPr>
                <w:rFonts w:ascii="宋体" w:eastAsia="宋体" w:cs="Courier New"/>
                <w:color w:val="auto"/>
                <w:sz w:val="22"/>
                <w:highlight w:val="none"/>
              </w:rPr>
              <w:fldChar w:fldCharType="end"/>
            </w:r>
            <w:r>
              <w:rPr>
                <w:rFonts w:ascii="宋体" w:eastAsia="宋体" w:cs="Courier New"/>
                <w:color w:val="auto"/>
                <w:sz w:val="22"/>
                <w:highlight w:val="none"/>
              </w:rPr>
              <w:t>.cn）”实行在线投标响应（电子投标），投标供应商应当在投标截止时间前，将生成的“电子加密投标文件”上传递交至“政府采购云平台”。</w:t>
            </w:r>
          </w:p>
          <w:p w14:paraId="11447D61">
            <w:pPr>
              <w:rPr>
                <w:rFonts w:hint="eastAsia" w:ascii="宋体" w:eastAsia="宋体" w:cs="Courier New"/>
                <w:color w:val="auto"/>
                <w:sz w:val="22"/>
                <w:highlight w:val="none"/>
                <w:lang w:bidi="ar"/>
              </w:rPr>
            </w:pPr>
            <w:r>
              <w:rPr>
                <w:rFonts w:hint="eastAsia" w:ascii="宋体" w:eastAsia="宋体" w:cs="Courier New"/>
                <w:color w:val="auto"/>
                <w:sz w:val="22"/>
                <w:highlight w:val="none"/>
                <w:lang w:bidi="ar"/>
              </w:rPr>
              <w:t>“电子加密投标文件”的上传、递交：</w:t>
            </w:r>
          </w:p>
          <w:p w14:paraId="0B3B9570">
            <w:pPr>
              <w:rPr>
                <w:rFonts w:hint="eastAsia" w:ascii="宋体" w:eastAsia="宋体" w:cs="Courier New"/>
                <w:color w:val="auto"/>
                <w:sz w:val="22"/>
                <w:highlight w:val="none"/>
                <w:lang w:bidi="ar"/>
              </w:rPr>
            </w:pPr>
            <w:r>
              <w:rPr>
                <w:rFonts w:hint="eastAsia" w:ascii="宋体" w:eastAsia="宋体" w:cs="Courier New"/>
                <w:color w:val="auto"/>
                <w:sz w:val="22"/>
                <w:highlight w:val="none"/>
                <w:lang w:bidi="ar"/>
              </w:rPr>
              <w:t>a.投标供应商应在投标截止时间前将“电子加密投标文件”成功上传递交至“政府采购云平台”，否则投标无效。</w:t>
            </w:r>
          </w:p>
          <w:p w14:paraId="63C6853E">
            <w:pPr>
              <w:rPr>
                <w:rFonts w:hint="eastAsia" w:ascii="宋体" w:eastAsia="宋体"/>
                <w:b w:val="0"/>
                <w:color w:val="auto"/>
                <w:sz w:val="22"/>
                <w:szCs w:val="22"/>
                <w:highlight w:val="none"/>
              </w:rPr>
            </w:pPr>
            <w:r>
              <w:rPr>
                <w:rFonts w:hint="eastAsia" w:ascii="宋体" w:eastAsia="宋体" w:cs="Courier New"/>
                <w:color w:val="auto"/>
                <w:sz w:val="22"/>
                <w:highlight w:val="none"/>
                <w:lang w:bidi="ar"/>
              </w:rPr>
              <w:t>b.“电子加密投标文件”成功上传递交后，供应商可自行打印投标文件接收回执。</w:t>
            </w:r>
          </w:p>
        </w:tc>
      </w:tr>
      <w:tr w14:paraId="4D03A3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1CFBDC90">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0927307C">
            <w:pPr>
              <w:jc w:val="center"/>
              <w:rPr>
                <w:rFonts w:hint="eastAsia" w:ascii="宋体" w:hAnsi="宋体" w:eastAsia="宋体" w:cs="Courier New"/>
                <w:bCs/>
                <w:color w:val="auto"/>
                <w:sz w:val="22"/>
                <w:highlight w:val="none"/>
              </w:rPr>
            </w:pPr>
            <w:r>
              <w:rPr>
                <w:rFonts w:hint="eastAsia" w:ascii="宋体" w:hAnsi="宋体" w:eastAsia="宋体"/>
                <w:color w:val="auto"/>
                <w:sz w:val="22"/>
                <w:szCs w:val="22"/>
                <w:highlight w:val="none"/>
              </w:rPr>
              <w:t>备份投标文件送达地点和签收</w:t>
            </w:r>
            <w:r>
              <w:rPr>
                <w:rFonts w:hint="eastAsia" w:ascii="宋体" w:hAnsi="宋体" w:eastAsia="宋体" w:cs="Courier New"/>
                <w:bCs/>
                <w:color w:val="auto"/>
                <w:sz w:val="22"/>
                <w:highlight w:val="none"/>
              </w:rPr>
              <w:t xml:space="preserve">人员 </w:t>
            </w:r>
          </w:p>
        </w:tc>
        <w:tc>
          <w:tcPr>
            <w:tcW w:w="7957" w:type="dxa"/>
            <w:noWrap w:val="0"/>
            <w:vAlign w:val="center"/>
          </w:tcPr>
          <w:p w14:paraId="1982C6AD">
            <w:pPr>
              <w:rPr>
                <w:rFonts w:hint="eastAsia" w:ascii="宋体" w:hAnsi="宋体" w:eastAsia="宋体"/>
                <w:color w:val="auto"/>
                <w:sz w:val="22"/>
                <w:szCs w:val="22"/>
                <w:highlight w:val="none"/>
              </w:rPr>
            </w:pPr>
            <w:r>
              <w:rPr>
                <w:rFonts w:hint="eastAsia" w:ascii="宋体" w:hAnsi="宋体" w:eastAsia="宋体"/>
                <w:color w:val="auto"/>
                <w:kern w:val="28"/>
                <w:sz w:val="22"/>
                <w:szCs w:val="22"/>
                <w:highlight w:val="none"/>
              </w:rPr>
              <w:t>备份投标文件送达</w:t>
            </w:r>
            <w:r>
              <w:rPr>
                <w:rFonts w:hint="eastAsia" w:ascii="宋体" w:hAnsi="宋体" w:eastAsia="宋体" w:cs="宋体"/>
                <w:color w:val="auto"/>
                <w:kern w:val="28"/>
                <w:sz w:val="22"/>
                <w:szCs w:val="22"/>
                <w:highlight w:val="none"/>
              </w:rPr>
              <w:t>地点：</w:t>
            </w:r>
            <w:r>
              <w:rPr>
                <w:rFonts w:hint="eastAsia" w:ascii="宋体" w:hAnsi="宋体" w:eastAsia="宋体" w:cs="宋体"/>
                <w:color w:val="auto"/>
                <w:kern w:val="28"/>
                <w:sz w:val="22"/>
                <w:szCs w:val="22"/>
                <w:highlight w:val="none"/>
                <w:lang w:eastAsia="zh-CN"/>
              </w:rPr>
              <w:t>永嘉县南城街道县前路242-246号勘查测绘大楼2楼</w:t>
            </w:r>
            <w:r>
              <w:rPr>
                <w:rFonts w:hint="eastAsia" w:ascii="宋体" w:hAnsi="宋体" w:eastAsia="宋体" w:cs="宋体"/>
                <w:color w:val="auto"/>
                <w:kern w:val="28"/>
                <w:sz w:val="22"/>
                <w:szCs w:val="22"/>
                <w:highlight w:val="none"/>
                <w:lang w:val="en-US" w:eastAsia="zh-CN"/>
              </w:rPr>
              <w:t>201室</w:t>
            </w:r>
            <w:r>
              <w:rPr>
                <w:rFonts w:hint="eastAsia" w:ascii="宋体" w:hAnsi="宋体" w:eastAsia="宋体" w:cs="宋体"/>
                <w:color w:val="auto"/>
                <w:kern w:val="28"/>
                <w:sz w:val="22"/>
                <w:szCs w:val="22"/>
                <w:highlight w:val="none"/>
              </w:rPr>
              <w:t>；备份投标</w:t>
            </w:r>
            <w:r>
              <w:rPr>
                <w:rFonts w:hint="eastAsia" w:ascii="宋体" w:hAnsi="宋体" w:eastAsia="宋体"/>
                <w:color w:val="auto"/>
                <w:kern w:val="28"/>
                <w:sz w:val="22"/>
                <w:szCs w:val="22"/>
                <w:highlight w:val="none"/>
              </w:rPr>
              <w:t>文件签收人员联系电话：</w:t>
            </w:r>
            <w:r>
              <w:rPr>
                <w:rFonts w:hint="eastAsia" w:ascii="宋体" w:hAnsi="宋体" w:eastAsia="宋体"/>
                <w:color w:val="auto"/>
                <w:sz w:val="22"/>
                <w:szCs w:val="22"/>
                <w:highlight w:val="none"/>
                <w:u w:val="single"/>
                <w:lang w:val="en-US" w:eastAsia="zh-CN"/>
              </w:rPr>
              <w:t>刘茜茜</w:t>
            </w:r>
            <w:r>
              <w:rPr>
                <w:rFonts w:hint="eastAsia" w:ascii="宋体" w:hAnsi="宋体" w:eastAsia="宋体"/>
                <w:color w:val="auto"/>
                <w:sz w:val="22"/>
                <w:szCs w:val="22"/>
                <w:highlight w:val="none"/>
              </w:rPr>
              <w:t xml:space="preserve"> </w:t>
            </w:r>
            <w:r>
              <w:rPr>
                <w:rFonts w:hint="eastAsia" w:ascii="宋体" w:hAnsi="宋体" w:eastAsia="宋体" w:cs="宋体"/>
                <w:color w:val="auto"/>
                <w:sz w:val="22"/>
                <w:szCs w:val="22"/>
                <w:highlight w:val="none"/>
                <w:u w:val="single"/>
                <w:lang w:val="en-US" w:eastAsia="zh-CN"/>
              </w:rPr>
              <w:t>13588912297</w:t>
            </w:r>
            <w:r>
              <w:rPr>
                <w:rFonts w:hint="eastAsia" w:ascii="宋体" w:hAnsi="宋体" w:eastAsia="宋体"/>
                <w:color w:val="auto"/>
                <w:sz w:val="22"/>
                <w:szCs w:val="22"/>
                <w:highlight w:val="none"/>
              </w:rPr>
              <w:t>。(建议采用顺丰快递)</w:t>
            </w:r>
          </w:p>
          <w:p w14:paraId="62CB9F88">
            <w:pPr>
              <w:rPr>
                <w:rFonts w:hint="eastAsia" w:ascii="宋体" w:hAnsi="宋体" w:eastAsia="宋体"/>
                <w:bCs/>
                <w:color w:val="auto"/>
                <w:kern w:val="28"/>
                <w:sz w:val="22"/>
                <w:szCs w:val="22"/>
                <w:highlight w:val="none"/>
              </w:rPr>
            </w:pPr>
            <w:r>
              <w:rPr>
                <w:rFonts w:hint="eastAsia" w:ascii="宋体" w:hAnsi="宋体" w:eastAsia="宋体"/>
                <w:color w:val="auto"/>
                <w:sz w:val="22"/>
                <w:szCs w:val="22"/>
                <w:highlight w:val="none"/>
              </w:rPr>
              <w:t>采购人、采购机构不强制或变相强制投标人提交备份投标文件。采购活动结束后，备份投标文件存储介质请于3个工作日内取回，逾期未取回，不负保管义务。</w:t>
            </w:r>
          </w:p>
        </w:tc>
      </w:tr>
      <w:tr w14:paraId="33DE6F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379C91DE">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6F5D2C06">
            <w:pPr>
              <w:jc w:val="center"/>
              <w:rPr>
                <w:rFonts w:ascii="宋体" w:eastAsia="宋体" w:cs="Courier New"/>
                <w:b w:val="0"/>
                <w:color w:val="auto"/>
                <w:sz w:val="22"/>
                <w:highlight w:val="none"/>
              </w:rPr>
            </w:pPr>
            <w:r>
              <w:rPr>
                <w:rFonts w:hint="eastAsia" w:ascii="宋体" w:eastAsia="宋体" w:cs="Courier New"/>
                <w:b w:val="0"/>
                <w:color w:val="auto"/>
                <w:sz w:val="22"/>
                <w:highlight w:val="none"/>
                <w:lang w:bidi="ar"/>
              </w:rPr>
              <w:t>电子加密投标文件的解密和异常情况处理</w:t>
            </w:r>
          </w:p>
        </w:tc>
        <w:tc>
          <w:tcPr>
            <w:tcW w:w="7957" w:type="dxa"/>
            <w:noWrap w:val="0"/>
            <w:vAlign w:val="center"/>
          </w:tcPr>
          <w:p w14:paraId="0129D9A6">
            <w:pPr>
              <w:rPr>
                <w:rFonts w:hint="eastAsia" w:ascii="宋体" w:eastAsia="宋体" w:cs="Courier New"/>
                <w:color w:val="auto"/>
                <w:sz w:val="22"/>
                <w:highlight w:val="none"/>
                <w:lang w:bidi="ar"/>
              </w:rPr>
            </w:pPr>
            <w:r>
              <w:rPr>
                <w:rFonts w:hint="eastAsia" w:ascii="宋体" w:eastAsia="宋体" w:cs="Courier New"/>
                <w:color w:val="auto"/>
                <w:sz w:val="22"/>
                <w:highlight w:val="none"/>
                <w:lang w:bidi="ar"/>
              </w:rPr>
              <w:t>1、开标后，采购组织机构将向各投标供应商发出“电子加密投标文件”的解密通知，各投标供应商代表应当在接到解密通知后30分钟内自行完成“电子加密投标文件”的在线解密。</w:t>
            </w:r>
          </w:p>
          <w:p w14:paraId="5CCB21EE">
            <w:pPr>
              <w:rPr>
                <w:rFonts w:hint="eastAsia" w:ascii="宋体" w:eastAsia="宋体" w:cs="Courier New"/>
                <w:color w:val="auto"/>
                <w:sz w:val="22"/>
                <w:highlight w:val="none"/>
                <w:lang w:bidi="ar"/>
              </w:rPr>
            </w:pPr>
            <w:r>
              <w:rPr>
                <w:rFonts w:hint="eastAsia" w:ascii="宋体" w:hAnsi="宋体" w:eastAsia="宋体" w:cs="Courier New"/>
                <w:bCs/>
                <w:color w:val="auto"/>
                <w:sz w:val="22"/>
                <w:highlight w:val="none"/>
                <w:lang w:bidi="ar"/>
              </w:rPr>
              <w:t>2、投标文件未按时解密，投标人提供了备份投标文件的，以备份投标文件作为依据，否则视为投标文件撤回。投标文件已按时解密的，备份投标文件自动失效。</w:t>
            </w:r>
          </w:p>
        </w:tc>
      </w:tr>
      <w:tr w14:paraId="6DE4D9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7118A6BE">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32E75B53">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评审委员会的</w:t>
            </w:r>
          </w:p>
          <w:p w14:paraId="2880365D">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组建</w:t>
            </w:r>
          </w:p>
        </w:tc>
        <w:tc>
          <w:tcPr>
            <w:tcW w:w="7957" w:type="dxa"/>
            <w:noWrap w:val="0"/>
            <w:vAlign w:val="center"/>
          </w:tcPr>
          <w:p w14:paraId="2F35B905">
            <w:pPr>
              <w:rPr>
                <w:rFonts w:ascii="宋体" w:eastAsia="宋体" w:cs="Arial"/>
                <w:b w:val="0"/>
                <w:color w:val="auto"/>
                <w:sz w:val="22"/>
                <w:szCs w:val="22"/>
                <w:highlight w:val="none"/>
              </w:rPr>
            </w:pPr>
            <w:r>
              <w:rPr>
                <w:rFonts w:hint="eastAsia" w:ascii="宋体" w:eastAsia="宋体" w:cs="Arial"/>
                <w:b w:val="0"/>
                <w:color w:val="auto"/>
                <w:sz w:val="22"/>
                <w:szCs w:val="22"/>
                <w:highlight w:val="none"/>
              </w:rPr>
              <w:t>评审委员会构成： 由采购人代表以及有关技术、经济等方面的专家组成，成员为5人及以上单数，其中技术、经济类专家不得少于总人数的2/3；评标专家确定方式：按相关规定从专家库中抽取。</w:t>
            </w:r>
          </w:p>
        </w:tc>
      </w:tr>
      <w:tr w14:paraId="025EC6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50EE5C5D">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3C8D8ABB">
            <w:pPr>
              <w:adjustRightInd w:val="0"/>
              <w:jc w:val="center"/>
              <w:rPr>
                <w:rFonts w:hint="eastAsia" w:ascii="宋体" w:eastAsia="宋体"/>
                <w:b w:val="0"/>
                <w:color w:val="auto"/>
                <w:sz w:val="22"/>
                <w:szCs w:val="22"/>
                <w:highlight w:val="none"/>
              </w:rPr>
            </w:pPr>
            <w:r>
              <w:rPr>
                <w:rFonts w:ascii="宋体" w:eastAsia="宋体"/>
                <w:b w:val="0"/>
                <w:color w:val="auto"/>
                <w:sz w:val="22"/>
                <w:szCs w:val="22"/>
                <w:highlight w:val="none"/>
              </w:rPr>
              <w:t>政府采购</w:t>
            </w:r>
            <w:r>
              <w:rPr>
                <w:rFonts w:hint="eastAsia" w:ascii="宋体" w:eastAsia="宋体"/>
                <w:b w:val="0"/>
                <w:color w:val="auto"/>
                <w:sz w:val="22"/>
                <w:szCs w:val="22"/>
                <w:highlight w:val="none"/>
              </w:rPr>
              <w:t>扶持</w:t>
            </w:r>
            <w:r>
              <w:rPr>
                <w:rFonts w:ascii="宋体" w:eastAsia="宋体"/>
                <w:b w:val="0"/>
                <w:color w:val="auto"/>
                <w:sz w:val="22"/>
                <w:szCs w:val="22"/>
                <w:highlight w:val="none"/>
              </w:rPr>
              <w:t>政策</w:t>
            </w:r>
          </w:p>
        </w:tc>
        <w:tc>
          <w:tcPr>
            <w:tcW w:w="7957" w:type="dxa"/>
            <w:noWrap w:val="0"/>
            <w:vAlign w:val="center"/>
          </w:tcPr>
          <w:p w14:paraId="4517D7AA">
            <w:pPr>
              <w:rPr>
                <w:rFonts w:ascii="宋体" w:eastAsia="宋体"/>
                <w:b w:val="0"/>
                <w:color w:val="auto"/>
                <w:sz w:val="22"/>
                <w:szCs w:val="22"/>
                <w:highlight w:val="none"/>
              </w:rPr>
            </w:pPr>
            <w:r>
              <w:rPr>
                <w:rFonts w:hint="eastAsia" w:ascii="宋体" w:eastAsia="宋体"/>
                <w:b w:val="0"/>
                <w:color w:val="auto"/>
                <w:sz w:val="22"/>
                <w:szCs w:val="22"/>
                <w:highlight w:val="none"/>
              </w:rPr>
              <w:t>详见招标文件</w:t>
            </w:r>
          </w:p>
        </w:tc>
      </w:tr>
      <w:tr w14:paraId="47BF12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1C39D00D">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05B8FF94">
            <w:pPr>
              <w:adjustRightInd w:val="0"/>
              <w:jc w:val="center"/>
              <w:rPr>
                <w:rFonts w:hint="eastAsia" w:ascii="宋体" w:eastAsia="宋体"/>
                <w:b w:val="0"/>
                <w:color w:val="auto"/>
                <w:sz w:val="22"/>
                <w:szCs w:val="22"/>
                <w:highlight w:val="none"/>
              </w:rPr>
            </w:pPr>
            <w:r>
              <w:rPr>
                <w:rFonts w:hint="eastAsia" w:ascii="宋体" w:hAnsi="宋体" w:eastAsia="宋体"/>
                <w:b w:val="0"/>
                <w:color w:val="auto"/>
                <w:sz w:val="22"/>
                <w:szCs w:val="22"/>
                <w:highlight w:val="none"/>
              </w:rPr>
              <w:t>政采金融服务</w:t>
            </w:r>
          </w:p>
        </w:tc>
        <w:tc>
          <w:tcPr>
            <w:tcW w:w="7957" w:type="dxa"/>
            <w:noWrap w:val="0"/>
            <w:vAlign w:val="center"/>
          </w:tcPr>
          <w:p w14:paraId="3E94BF01">
            <w:pPr>
              <w:rPr>
                <w:rFonts w:hint="eastAsia" w:ascii="宋体" w:hAnsi="宋体" w:eastAsia="宋体" w:cs="Arial"/>
                <w:b w:val="0"/>
                <w:color w:val="auto"/>
                <w:sz w:val="22"/>
                <w:szCs w:val="22"/>
                <w:highlight w:val="none"/>
              </w:rPr>
            </w:pPr>
            <w:r>
              <w:rPr>
                <w:rFonts w:hint="eastAsia" w:ascii="宋体" w:hAnsi="宋体" w:eastAsia="宋体" w:cs="Arial"/>
                <w:b w:val="0"/>
                <w:color w:val="auto"/>
                <w:sz w:val="22"/>
                <w:szCs w:val="22"/>
                <w:highlight w:val="none"/>
              </w:rPr>
              <w:t>为支持和促进中小企业发展，进一步发挥政府采购政策功能，“政采云”平台目前提供政采贷、履约保函、预付款保函等金融服务，供应商若有融资意向，可登陆https://jinrong.zcygov.cn/finance-service/#/help查看详情。</w:t>
            </w:r>
          </w:p>
          <w:p w14:paraId="1AA32E5F">
            <w:pPr>
              <w:rPr>
                <w:rFonts w:hint="eastAsia" w:ascii="宋体" w:eastAsia="宋体"/>
                <w:b w:val="0"/>
                <w:color w:val="auto"/>
                <w:sz w:val="22"/>
                <w:szCs w:val="22"/>
                <w:highlight w:val="none"/>
              </w:rPr>
            </w:pPr>
            <w:r>
              <w:rPr>
                <w:rFonts w:hint="eastAsia" w:ascii="宋体" w:hAnsi="宋体" w:eastAsia="宋体" w:cs="Arial"/>
                <w:b w:val="0"/>
                <w:color w:val="auto"/>
                <w:sz w:val="22"/>
                <w:szCs w:val="22"/>
                <w:highlight w:val="none"/>
              </w:rPr>
              <w:t>供应商中标后可在“政采云”平台申请政采贷：操作路径：登录政采云平台 - 金融服务中心 -【融资服务】，可在热门申请中选择产品直接申请，也可点击云智贷匹配适合产品进行申请，或者在可申请项目中根据该项目进行申请。</w:t>
            </w:r>
          </w:p>
        </w:tc>
      </w:tr>
      <w:tr w14:paraId="394737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77D6598A">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7299C661">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合同备案</w:t>
            </w:r>
          </w:p>
        </w:tc>
        <w:tc>
          <w:tcPr>
            <w:tcW w:w="7957" w:type="dxa"/>
            <w:noWrap w:val="0"/>
            <w:vAlign w:val="center"/>
          </w:tcPr>
          <w:p w14:paraId="08E59DC3">
            <w:pPr>
              <w:rPr>
                <w:rFonts w:ascii="宋体" w:eastAsia="宋体" w:cs="Arial"/>
                <w:b w:val="0"/>
                <w:color w:val="auto"/>
                <w:sz w:val="22"/>
                <w:szCs w:val="22"/>
                <w:highlight w:val="none"/>
              </w:rPr>
            </w:pPr>
            <w:r>
              <w:rPr>
                <w:rFonts w:hint="eastAsia" w:ascii="宋体" w:eastAsia="宋体" w:cs="Arial"/>
                <w:b w:val="0"/>
                <w:color w:val="auto"/>
                <w:sz w:val="22"/>
                <w:szCs w:val="22"/>
                <w:highlight w:val="none"/>
              </w:rPr>
              <w:t>1、中标供应商须在发出中标通知书之日起30日历天内与采购人签订合同。</w:t>
            </w:r>
          </w:p>
          <w:p w14:paraId="6E241555">
            <w:pPr>
              <w:rPr>
                <w:rFonts w:ascii="宋体" w:eastAsia="宋体" w:cs="Arial"/>
                <w:b w:val="0"/>
                <w:color w:val="auto"/>
                <w:sz w:val="22"/>
                <w:szCs w:val="22"/>
                <w:highlight w:val="none"/>
              </w:rPr>
            </w:pPr>
            <w:r>
              <w:rPr>
                <w:rFonts w:hint="eastAsia" w:ascii="宋体" w:eastAsia="宋体" w:cs="Arial"/>
                <w:b w:val="0"/>
                <w:color w:val="auto"/>
                <w:sz w:val="22"/>
                <w:szCs w:val="22"/>
                <w:highlight w:val="none"/>
              </w:rPr>
              <w:t>2、中标供应商与采购人签订合同后。2天内合同原件扫描件电子版发邮箱：</w:t>
            </w:r>
            <w:r>
              <w:rPr>
                <w:rFonts w:ascii="宋体" w:eastAsia="宋体" w:cs="Arial"/>
                <w:b w:val="0"/>
                <w:color w:val="auto"/>
                <w:sz w:val="22"/>
                <w:szCs w:val="22"/>
                <w:highlight w:val="none"/>
              </w:rPr>
              <w:fldChar w:fldCharType="begin"/>
            </w:r>
            <w:r>
              <w:rPr>
                <w:rFonts w:ascii="宋体" w:eastAsia="宋体" w:cs="Arial"/>
                <w:b w:val="0"/>
                <w:color w:val="auto"/>
                <w:sz w:val="22"/>
                <w:szCs w:val="22"/>
                <w:highlight w:val="none"/>
              </w:rPr>
              <w:instrText xml:space="preserve"> HYPERLINK "mailto:</w:instrText>
            </w:r>
            <w:r>
              <w:rPr>
                <w:rFonts w:hint="eastAsia" w:ascii="宋体" w:eastAsia="宋体" w:cs="Arial"/>
                <w:b w:val="0"/>
                <w:color w:val="auto"/>
                <w:sz w:val="22"/>
                <w:szCs w:val="22"/>
                <w:highlight w:val="none"/>
              </w:rPr>
              <w:instrText xml:space="preserve">627157963@qq.com</w:instrText>
            </w:r>
            <w:r>
              <w:rPr>
                <w:rFonts w:ascii="宋体" w:eastAsia="宋体" w:cs="Arial"/>
                <w:b w:val="0"/>
                <w:color w:val="auto"/>
                <w:sz w:val="22"/>
                <w:szCs w:val="22"/>
                <w:highlight w:val="none"/>
              </w:rPr>
              <w:instrText xml:space="preserve">" </w:instrText>
            </w:r>
            <w:r>
              <w:rPr>
                <w:rFonts w:ascii="宋体" w:eastAsia="宋体" w:cs="Arial"/>
                <w:b w:val="0"/>
                <w:color w:val="auto"/>
                <w:sz w:val="22"/>
                <w:szCs w:val="22"/>
                <w:highlight w:val="none"/>
              </w:rPr>
              <w:fldChar w:fldCharType="separate"/>
            </w:r>
            <w:r>
              <w:rPr>
                <w:rStyle w:val="55"/>
                <w:rFonts w:hint="eastAsia" w:ascii="宋体" w:eastAsia="宋体" w:cs="Arial"/>
                <w:b w:val="0"/>
                <w:color w:val="auto"/>
                <w:sz w:val="22"/>
                <w:szCs w:val="22"/>
                <w:highlight w:val="none"/>
              </w:rPr>
              <w:t>627157963@qq.com</w:t>
            </w:r>
            <w:r>
              <w:rPr>
                <w:rFonts w:ascii="宋体" w:eastAsia="宋体" w:cs="Arial"/>
                <w:b w:val="0"/>
                <w:color w:val="auto"/>
                <w:sz w:val="22"/>
                <w:szCs w:val="22"/>
                <w:highlight w:val="none"/>
              </w:rPr>
              <w:fldChar w:fldCharType="end"/>
            </w:r>
            <w:r>
              <w:rPr>
                <w:rFonts w:hint="eastAsia" w:ascii="宋体" w:eastAsia="宋体" w:cs="Arial"/>
                <w:b w:val="0"/>
                <w:color w:val="auto"/>
                <w:sz w:val="22"/>
                <w:szCs w:val="22"/>
                <w:highlight w:val="none"/>
              </w:rPr>
              <w:t>；</w:t>
            </w:r>
          </w:p>
          <w:p w14:paraId="4FC516F5">
            <w:pPr>
              <w:rPr>
                <w:rFonts w:hint="eastAsia" w:ascii="宋体" w:eastAsia="宋体"/>
                <w:b w:val="0"/>
                <w:color w:val="auto"/>
                <w:sz w:val="22"/>
                <w:szCs w:val="22"/>
                <w:highlight w:val="none"/>
              </w:rPr>
            </w:pPr>
            <w:r>
              <w:rPr>
                <w:rFonts w:hint="eastAsia" w:ascii="宋体" w:eastAsia="宋体" w:cs="Arial"/>
                <w:b w:val="0"/>
                <w:color w:val="auto"/>
                <w:sz w:val="22"/>
                <w:szCs w:val="22"/>
                <w:highlight w:val="none"/>
              </w:rPr>
              <w:t>3、本项目政府采购合同按规定在</w:t>
            </w:r>
            <w:r>
              <w:rPr>
                <w:rFonts w:hint="eastAsia" w:ascii="宋体" w:eastAsia="宋体"/>
                <w:b w:val="0"/>
                <w:color w:val="auto"/>
                <w:sz w:val="22"/>
                <w:szCs w:val="22"/>
                <w:highlight w:val="none"/>
              </w:rPr>
              <w:t>浙江政府采购网</w:t>
            </w:r>
          </w:p>
          <w:p w14:paraId="7B74B789">
            <w:pPr>
              <w:rPr>
                <w:rFonts w:ascii="宋体" w:eastAsia="宋体" w:cs="Arial"/>
                <w:b w:val="0"/>
                <w:color w:val="auto"/>
                <w:sz w:val="22"/>
                <w:szCs w:val="22"/>
                <w:highlight w:val="none"/>
              </w:rPr>
            </w:pPr>
            <w:r>
              <w:rPr>
                <w:rFonts w:hint="eastAsia" w:ascii="宋体" w:eastAsia="宋体"/>
                <w:b w:val="0"/>
                <w:color w:val="auto"/>
                <w:sz w:val="22"/>
                <w:szCs w:val="22"/>
                <w:highlight w:val="none"/>
              </w:rPr>
              <w:t>（</w:t>
            </w:r>
            <w:r>
              <w:rPr>
                <w:rFonts w:ascii="宋体" w:eastAsia="宋体"/>
                <w:b w:val="0"/>
                <w:color w:val="auto"/>
                <w:sz w:val="22"/>
                <w:szCs w:val="22"/>
                <w:highlight w:val="none"/>
              </w:rPr>
              <w:t>http://www.zjzfcg.gov.cn</w:t>
            </w:r>
            <w:r>
              <w:rPr>
                <w:rFonts w:hint="eastAsia" w:ascii="宋体" w:eastAsia="宋体"/>
                <w:b w:val="0"/>
                <w:color w:val="auto"/>
                <w:sz w:val="22"/>
                <w:szCs w:val="22"/>
                <w:highlight w:val="none"/>
              </w:rPr>
              <w:t>）</w:t>
            </w:r>
            <w:r>
              <w:rPr>
                <w:rFonts w:hint="eastAsia" w:ascii="宋体" w:eastAsia="宋体" w:cs="Arial"/>
                <w:b w:val="0"/>
                <w:color w:val="auto"/>
                <w:sz w:val="22"/>
                <w:szCs w:val="22"/>
                <w:highlight w:val="none"/>
              </w:rPr>
              <w:t>予以公告。</w:t>
            </w:r>
          </w:p>
        </w:tc>
      </w:tr>
      <w:tr w14:paraId="5E2553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21B38515">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240B5478">
            <w:pPr>
              <w:jc w:val="center"/>
              <w:rPr>
                <w:rFonts w:ascii="宋体" w:eastAsia="宋体"/>
                <w:b w:val="0"/>
                <w:color w:val="auto"/>
                <w:sz w:val="22"/>
                <w:szCs w:val="22"/>
                <w:highlight w:val="none"/>
              </w:rPr>
            </w:pPr>
            <w:r>
              <w:rPr>
                <w:rFonts w:hint="eastAsia" w:ascii="宋体" w:eastAsia="宋体"/>
                <w:b w:val="0"/>
                <w:color w:val="auto"/>
                <w:sz w:val="22"/>
                <w:szCs w:val="22"/>
                <w:highlight w:val="none"/>
              </w:rPr>
              <w:t>合同履约管理</w:t>
            </w:r>
          </w:p>
        </w:tc>
        <w:tc>
          <w:tcPr>
            <w:tcW w:w="7957" w:type="dxa"/>
            <w:noWrap w:val="0"/>
            <w:vAlign w:val="center"/>
          </w:tcPr>
          <w:p w14:paraId="23EB8EFA">
            <w:pPr>
              <w:rPr>
                <w:rFonts w:ascii="宋体" w:eastAsia="宋体" w:cs="Arial"/>
                <w:b w:val="0"/>
                <w:color w:val="auto"/>
                <w:sz w:val="22"/>
                <w:szCs w:val="22"/>
                <w:highlight w:val="none"/>
              </w:rPr>
            </w:pPr>
            <w:r>
              <w:rPr>
                <w:rFonts w:hint="eastAsia" w:ascii="宋体" w:eastAsia="宋体" w:cs="Arial"/>
                <w:b w:val="0"/>
                <w:color w:val="auto"/>
                <w:sz w:val="22"/>
                <w:szCs w:val="22"/>
                <w:highlight w:val="none"/>
              </w:rPr>
              <w:t>合同签订后，采购人依法加强对合同履约进行管理，并在中标单位供货、项目验收等重要关节，如实填写《合同验收报告》（表附合同条款中），并及时向同级财政部门报告验收过程中遇到的问题。</w:t>
            </w:r>
          </w:p>
        </w:tc>
      </w:tr>
      <w:tr w14:paraId="1083BA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2C78B485">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42792542">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免责声明</w:t>
            </w:r>
          </w:p>
        </w:tc>
        <w:tc>
          <w:tcPr>
            <w:tcW w:w="7957" w:type="dxa"/>
            <w:noWrap w:val="0"/>
            <w:vAlign w:val="center"/>
          </w:tcPr>
          <w:p w14:paraId="316CF3F1">
            <w:pPr>
              <w:rPr>
                <w:rFonts w:ascii="宋体" w:eastAsia="宋体" w:cs="Arial"/>
                <w:b w:val="0"/>
                <w:color w:val="auto"/>
                <w:sz w:val="22"/>
                <w:szCs w:val="22"/>
                <w:highlight w:val="none"/>
              </w:rPr>
            </w:pPr>
            <w:r>
              <w:rPr>
                <w:rFonts w:hint="eastAsia" w:ascii="宋体" w:eastAsia="宋体" w:cs="Arial"/>
                <w:b w:val="0"/>
                <w:color w:val="auto"/>
                <w:sz w:val="22"/>
                <w:szCs w:val="22"/>
                <w:highlight w:val="none"/>
              </w:rPr>
              <w:t>1、投标供应商自行承担投标过程中产生的费用。无论何种因素导致采购项目延期开标、废标（流标）、投标供应商未中标、项目终止采购的，采购人与代理机构均不承担供应商投标费用。</w:t>
            </w:r>
          </w:p>
          <w:p w14:paraId="4DADD9E2">
            <w:pPr>
              <w:rPr>
                <w:rFonts w:hint="eastAsia" w:ascii="宋体" w:eastAsia="宋体" w:cs="Arial"/>
                <w:b w:val="0"/>
                <w:color w:val="auto"/>
                <w:sz w:val="22"/>
                <w:szCs w:val="22"/>
                <w:highlight w:val="none"/>
              </w:rPr>
            </w:pPr>
            <w:r>
              <w:rPr>
                <w:rFonts w:hint="eastAsia" w:ascii="宋体" w:eastAsia="宋体" w:cs="Arial"/>
                <w:b w:val="0"/>
                <w:color w:val="auto"/>
                <w:sz w:val="22"/>
                <w:szCs w:val="22"/>
                <w:highlight w:val="none"/>
              </w:rPr>
              <w:t>2、投标供应商在投标、合同履行过程中必须做好安全保障工作，不因项目实施而危及自身及第三方人员、财产安全。若发生任何安全事故，由中标供应商自行承担一切责任并赔偿损失。</w:t>
            </w:r>
          </w:p>
        </w:tc>
      </w:tr>
      <w:tr w14:paraId="014B50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5605837E">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5DB7F746">
            <w:pPr>
              <w:jc w:val="center"/>
              <w:rPr>
                <w:rFonts w:ascii="宋体" w:eastAsia="宋体" w:cs="Arial"/>
                <w:b w:val="0"/>
                <w:color w:val="auto"/>
                <w:sz w:val="22"/>
                <w:szCs w:val="22"/>
                <w:highlight w:val="none"/>
              </w:rPr>
            </w:pPr>
            <w:r>
              <w:rPr>
                <w:rFonts w:hint="eastAsia" w:ascii="宋体" w:eastAsia="宋体" w:cs="Courier New"/>
                <w:b w:val="0"/>
                <w:color w:val="auto"/>
                <w:sz w:val="22"/>
                <w:highlight w:val="none"/>
              </w:rPr>
              <w:t>解释权</w:t>
            </w:r>
          </w:p>
        </w:tc>
        <w:tc>
          <w:tcPr>
            <w:tcW w:w="7957" w:type="dxa"/>
            <w:noWrap w:val="0"/>
            <w:vAlign w:val="center"/>
          </w:tcPr>
          <w:p w14:paraId="1176C12E">
            <w:pPr>
              <w:rPr>
                <w:rFonts w:ascii="宋体" w:eastAsia="宋体" w:cs="Arial"/>
                <w:b w:val="0"/>
                <w:color w:val="auto"/>
                <w:sz w:val="22"/>
                <w:szCs w:val="22"/>
                <w:highlight w:val="none"/>
              </w:rPr>
            </w:pPr>
            <w:r>
              <w:rPr>
                <w:rFonts w:hint="eastAsia" w:ascii="宋体" w:eastAsia="宋体" w:cs="Courier New"/>
                <w:b w:val="0"/>
                <w:color w:val="auto"/>
                <w:sz w:val="22"/>
                <w:highlight w:val="none"/>
              </w:rPr>
              <w:t>构成本招标文件的各个组成文件应互为解释，互为说明；如有不明确或不一致，构成合同文件组成内容的，以合同文件约定内容为准，且以专用合同条款约定的合同文件优先顺序解释；仅适用于招标投标阶段的约定，按招标公告、投标供应商须知、评标办法、投标文件格式的先后顺序解释；同一文件中就同一事项的约定不一致的，以逻辑顺序在后者为准；同一文件不同版本之间有不一致的，以形成时间在后者为准。按本款前述约定仍不能形成结论的，由采购人负责解释。</w:t>
            </w:r>
          </w:p>
        </w:tc>
      </w:tr>
      <w:tr w14:paraId="6D6EBA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053C04FA">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2D1FFABF">
            <w:pPr>
              <w:jc w:val="center"/>
              <w:rPr>
                <w:rFonts w:hint="default" w:ascii="宋体" w:eastAsia="宋体" w:cs="Courier New"/>
                <w:b w:val="0"/>
                <w:color w:val="auto"/>
                <w:sz w:val="22"/>
                <w:highlight w:val="none"/>
                <w:lang w:val="en-US" w:eastAsia="zh-CN"/>
              </w:rPr>
            </w:pPr>
            <w:r>
              <w:rPr>
                <w:rFonts w:hint="eastAsia" w:ascii="宋体" w:eastAsia="宋体" w:cs="Courier New"/>
                <w:b w:val="0"/>
                <w:color w:val="auto"/>
                <w:sz w:val="22"/>
                <w:highlight w:val="none"/>
                <w:lang w:val="en-US" w:eastAsia="zh-CN"/>
              </w:rPr>
              <w:t>招标代理服务费</w:t>
            </w:r>
          </w:p>
        </w:tc>
        <w:tc>
          <w:tcPr>
            <w:tcW w:w="7957" w:type="dxa"/>
            <w:noWrap w:val="0"/>
            <w:vAlign w:val="center"/>
          </w:tcPr>
          <w:p w14:paraId="0FBBBB7B">
            <w:pPr>
              <w:rPr>
                <w:rFonts w:hint="eastAsia" w:ascii="宋体" w:eastAsia="宋体" w:cs="Arial"/>
                <w:b w:val="0"/>
                <w:color w:val="auto"/>
                <w:sz w:val="22"/>
                <w:szCs w:val="22"/>
                <w:highlight w:val="none"/>
              </w:rPr>
            </w:pPr>
            <w:r>
              <w:rPr>
                <w:rFonts w:hint="eastAsia" w:ascii="宋体" w:eastAsia="宋体" w:cs="Arial"/>
                <w:b w:val="0"/>
                <w:color w:val="auto"/>
                <w:sz w:val="22"/>
                <w:szCs w:val="22"/>
                <w:highlight w:val="none"/>
              </w:rPr>
              <w:t>本项目的采购代理费由中标人支付；本项目的采购代理服务费为：参照《关于印发招标代理服务收费管理暂行办法的通知(计价格[2002]1980号)文件(招标代理服务费)规定收费标准</w:t>
            </w:r>
            <w:r>
              <w:rPr>
                <w:rFonts w:hint="eastAsia" w:ascii="宋体" w:eastAsia="宋体" w:cs="Arial"/>
                <w:b w:val="0"/>
                <w:color w:val="auto"/>
                <w:sz w:val="22"/>
                <w:szCs w:val="22"/>
                <w:highlight w:val="none"/>
                <w:lang w:val="en-US" w:eastAsia="zh-CN"/>
              </w:rPr>
              <w:t>。</w:t>
            </w:r>
            <w:r>
              <w:rPr>
                <w:rFonts w:hint="eastAsia" w:ascii="宋体" w:eastAsia="宋体" w:cs="Arial"/>
                <w:b w:val="0"/>
                <w:color w:val="auto"/>
                <w:sz w:val="22"/>
                <w:szCs w:val="22"/>
                <w:highlight w:val="none"/>
              </w:rPr>
              <w:t>由中标人在领取中标通知书</w:t>
            </w:r>
            <w:r>
              <w:rPr>
                <w:rFonts w:hint="eastAsia" w:ascii="宋体" w:eastAsia="宋体" w:cs="Arial"/>
                <w:b w:val="0"/>
                <w:color w:val="auto"/>
                <w:sz w:val="22"/>
                <w:szCs w:val="22"/>
                <w:highlight w:val="none"/>
                <w:lang w:val="en-US" w:eastAsia="zh-CN"/>
              </w:rPr>
              <w:t>前</w:t>
            </w:r>
            <w:r>
              <w:rPr>
                <w:rFonts w:hint="eastAsia" w:ascii="宋体" w:eastAsia="宋体" w:cs="Arial"/>
                <w:b w:val="0"/>
                <w:color w:val="auto"/>
                <w:sz w:val="22"/>
                <w:szCs w:val="22"/>
                <w:highlight w:val="none"/>
              </w:rPr>
              <w:t>一次性向代理机构支付</w:t>
            </w:r>
            <w:r>
              <w:rPr>
                <w:rFonts w:hint="eastAsia" w:ascii="宋体" w:eastAsia="宋体" w:cs="Arial"/>
                <w:b w:val="0"/>
                <w:color w:val="auto"/>
                <w:sz w:val="22"/>
                <w:szCs w:val="22"/>
                <w:highlight w:val="none"/>
                <w:lang w:val="en-US" w:eastAsia="zh-CN"/>
              </w:rPr>
              <w:t>10000元的招标代理服务费</w:t>
            </w:r>
            <w:r>
              <w:rPr>
                <w:rFonts w:hint="eastAsia" w:ascii="宋体" w:eastAsia="宋体" w:cs="Arial"/>
                <w:b w:val="0"/>
                <w:color w:val="auto"/>
                <w:sz w:val="22"/>
                <w:szCs w:val="22"/>
                <w:highlight w:val="none"/>
              </w:rPr>
              <w:t>。该费用在投标文件中不单列，由投标人在投标总报价中综合考虑。汇入以下帐号：</w:t>
            </w:r>
          </w:p>
          <w:p w14:paraId="60D3A0B5">
            <w:pPr>
              <w:rPr>
                <w:rFonts w:hint="eastAsia" w:ascii="宋体" w:eastAsia="宋体" w:cs="Arial"/>
                <w:b w:val="0"/>
                <w:bCs w:val="0"/>
                <w:color w:val="auto"/>
                <w:sz w:val="22"/>
                <w:szCs w:val="22"/>
                <w:highlight w:val="none"/>
                <w:lang w:eastAsia="zh-CN"/>
              </w:rPr>
            </w:pPr>
            <w:r>
              <w:rPr>
                <w:rFonts w:hint="eastAsia" w:ascii="宋体" w:eastAsia="宋体" w:cs="Arial"/>
                <w:b w:val="0"/>
                <w:bCs w:val="0"/>
                <w:color w:val="auto"/>
                <w:sz w:val="22"/>
                <w:szCs w:val="22"/>
                <w:highlight w:val="none"/>
              </w:rPr>
              <w:t>开户名：</w:t>
            </w:r>
            <w:r>
              <w:rPr>
                <w:rFonts w:hint="eastAsia" w:ascii="宋体" w:eastAsia="宋体" w:cs="Arial"/>
                <w:b w:val="0"/>
                <w:bCs w:val="0"/>
                <w:color w:val="auto"/>
                <w:sz w:val="22"/>
                <w:szCs w:val="22"/>
                <w:highlight w:val="none"/>
                <w:lang w:eastAsia="zh-CN"/>
              </w:rPr>
              <w:t>温州国利项目管理咨询有限公司</w:t>
            </w:r>
          </w:p>
          <w:p w14:paraId="7644D61F">
            <w:pPr>
              <w:rPr>
                <w:rFonts w:hint="eastAsia" w:ascii="宋体" w:eastAsia="宋体" w:cs="Arial"/>
                <w:b w:val="0"/>
                <w:bCs w:val="0"/>
                <w:color w:val="auto"/>
                <w:sz w:val="22"/>
                <w:szCs w:val="22"/>
                <w:highlight w:val="none"/>
              </w:rPr>
            </w:pPr>
            <w:r>
              <w:rPr>
                <w:rFonts w:hint="eastAsia" w:ascii="宋体" w:eastAsia="宋体" w:cs="Arial"/>
                <w:b w:val="0"/>
                <w:bCs w:val="0"/>
                <w:color w:val="auto"/>
                <w:sz w:val="22"/>
                <w:szCs w:val="22"/>
                <w:highlight w:val="none"/>
              </w:rPr>
              <w:t>开户账号：333575331013000544148</w:t>
            </w:r>
          </w:p>
          <w:p w14:paraId="7E50F39B">
            <w:pPr>
              <w:rPr>
                <w:rFonts w:hint="eastAsia" w:ascii="宋体" w:eastAsia="宋体" w:cs="Courier New"/>
                <w:b w:val="0"/>
                <w:color w:val="auto"/>
                <w:sz w:val="22"/>
                <w:highlight w:val="none"/>
              </w:rPr>
            </w:pPr>
            <w:r>
              <w:rPr>
                <w:rFonts w:hint="eastAsia" w:ascii="宋体" w:eastAsia="宋体" w:cs="Arial"/>
                <w:b w:val="0"/>
                <w:bCs w:val="0"/>
                <w:color w:val="auto"/>
                <w:sz w:val="22"/>
                <w:szCs w:val="22"/>
                <w:highlight w:val="none"/>
              </w:rPr>
              <w:t>开户行：交通银行温州永嘉支行</w:t>
            </w:r>
          </w:p>
        </w:tc>
      </w:tr>
      <w:tr w14:paraId="40B0E5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1D502DAB">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63B0582A">
            <w:pPr>
              <w:jc w:val="center"/>
              <w:rPr>
                <w:rFonts w:ascii="宋体" w:eastAsia="宋体" w:cs="Arial"/>
                <w:b w:val="0"/>
                <w:color w:val="auto"/>
                <w:sz w:val="22"/>
                <w:szCs w:val="22"/>
                <w:highlight w:val="none"/>
              </w:rPr>
            </w:pPr>
            <w:r>
              <w:rPr>
                <w:rFonts w:hint="eastAsia" w:ascii="宋体" w:eastAsia="宋体"/>
                <w:b w:val="0"/>
                <w:color w:val="auto"/>
                <w:sz w:val="22"/>
                <w:highlight w:val="none"/>
              </w:rPr>
              <w:t>注意事项</w:t>
            </w:r>
          </w:p>
        </w:tc>
        <w:tc>
          <w:tcPr>
            <w:tcW w:w="7957" w:type="dxa"/>
            <w:noWrap w:val="0"/>
            <w:vAlign w:val="center"/>
          </w:tcPr>
          <w:p w14:paraId="7D9F6864">
            <w:pPr>
              <w:rPr>
                <w:rFonts w:hint="eastAsia" w:ascii="宋体" w:eastAsia="宋体" w:cs="Arial"/>
                <w:b w:val="0"/>
                <w:color w:val="auto"/>
                <w:sz w:val="22"/>
                <w:szCs w:val="22"/>
                <w:highlight w:val="none"/>
              </w:rPr>
            </w:pPr>
            <w:r>
              <w:rPr>
                <w:rFonts w:hint="eastAsia" w:ascii="宋体" w:eastAsia="宋体" w:cs="Arial"/>
                <w:b w:val="0"/>
                <w:color w:val="auto"/>
                <w:sz w:val="22"/>
                <w:szCs w:val="22"/>
                <w:highlight w:val="none"/>
              </w:rPr>
              <w:t>1、请务必确保投标文件制作客户端为最新版本，旧版本可能导致投标文件解密失败。</w:t>
            </w:r>
          </w:p>
          <w:p w14:paraId="5201D90B">
            <w:pPr>
              <w:rPr>
                <w:rFonts w:ascii="宋体" w:eastAsia="宋体" w:cs="Arial"/>
                <w:b w:val="0"/>
                <w:color w:val="auto"/>
                <w:sz w:val="22"/>
                <w:szCs w:val="22"/>
                <w:highlight w:val="none"/>
              </w:rPr>
            </w:pPr>
            <w:r>
              <w:rPr>
                <w:rFonts w:hint="eastAsia" w:ascii="宋体" w:eastAsia="宋体" w:cs="Arial"/>
                <w:b w:val="0"/>
                <w:color w:val="auto"/>
                <w:sz w:val="22"/>
                <w:szCs w:val="22"/>
                <w:highlight w:val="none"/>
              </w:rPr>
              <w:t>2、请务必确保投标文件制作时所用的 CA 锁与投标文件解密时的 CA 锁为同一把，否则可能导致投标文件解密失败。</w:t>
            </w:r>
          </w:p>
        </w:tc>
      </w:tr>
    </w:tbl>
    <w:p w14:paraId="553F97EF">
      <w:pPr>
        <w:pStyle w:val="16"/>
        <w:spacing w:before="240" w:after="60"/>
        <w:jc w:val="center"/>
        <w:outlineLvl w:val="0"/>
        <w:rPr>
          <w:rFonts w:hint="eastAsia" w:ascii="宋体" w:hAnsi="宋体" w:eastAsia="宋体" w:cs="宋体"/>
          <w:b/>
          <w:color w:val="auto"/>
          <w:kern w:val="0"/>
          <w:sz w:val="32"/>
          <w:szCs w:val="32"/>
          <w:highlight w:val="none"/>
        </w:rPr>
      </w:pPr>
      <w:bookmarkStart w:id="5" w:name="_Toc27671"/>
      <w:r>
        <w:rPr>
          <w:rFonts w:hint="eastAsia" w:ascii="宋体" w:hAnsi="宋体" w:eastAsia="宋体" w:cs="宋体"/>
          <w:b/>
          <w:color w:val="auto"/>
          <w:kern w:val="0"/>
          <w:sz w:val="32"/>
          <w:szCs w:val="32"/>
          <w:highlight w:val="none"/>
        </w:rPr>
        <w:t>一、总则</w:t>
      </w:r>
    </w:p>
    <w:p w14:paraId="6AB16D55">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 适用范围</w:t>
      </w:r>
    </w:p>
    <w:p w14:paraId="3592B9A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本招标文件适用于该项目的招标、投标、开标、资格审查及信用信息查询、评标、定标、合同、验收等行为（法律、法规另有规定的，从其规定）。</w:t>
      </w:r>
    </w:p>
    <w:p w14:paraId="019FD86B">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2.定义</w:t>
      </w:r>
    </w:p>
    <w:p w14:paraId="6EEB704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2.1 “采购人”系指招标公告中载明的本项目的采购人。</w:t>
      </w:r>
    </w:p>
    <w:p w14:paraId="52F32F87">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2.2 “采购代理机构”系指招标公告中载明的本项目的采购代理机构。</w:t>
      </w:r>
    </w:p>
    <w:p w14:paraId="4FD4F3E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2.3 “投标人”系指是指响应招标、参加投标竞争的法人、其他组织或者自然人。</w:t>
      </w:r>
    </w:p>
    <w:p w14:paraId="5821195B">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2.4 “负责人”系指法人企业的法定负责人，或其他组织为法律、行政法规规定代表单位行使职权的主要负责人，或自然人本人。</w:t>
      </w:r>
    </w:p>
    <w:p w14:paraId="128AC7A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2.5“电子签名”系指数据电文中以电子形式所含、所附用于识别签名人身份并表明签名人认可其中内容的数据；“公章”系指单位法定名称章。因特殊原因需要使用冠以法定名称的业务专用章的，投标时须提供《业务专用章使用说明函》（附件4）。</w:t>
      </w:r>
    </w:p>
    <w:p w14:paraId="35938B38">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2.6“电子交易平台”系指本项目政府采购活动所依托的政府采购云平台（https://www.zcygov.cn/）。</w:t>
      </w:r>
    </w:p>
    <w:p w14:paraId="7B9CE92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2.7 “▲且加下划线部分” 系指实质性要求条款，“</w:t>
      </w:r>
      <w:r>
        <w:rPr>
          <w:rFonts w:ascii="宋体" w:eastAsia="宋体"/>
          <w:b w:val="0"/>
          <w:color w:val="auto"/>
          <w:sz w:val="22"/>
          <w:szCs w:val="22"/>
          <w:highlight w:val="none"/>
        </w:rPr>
        <w:sym w:font="Wingdings 2" w:char="0052"/>
      </w:r>
      <w:r>
        <w:rPr>
          <w:rFonts w:hint="eastAsia" w:ascii="宋体" w:eastAsia="宋体"/>
          <w:b w:val="0"/>
          <w:color w:val="auto"/>
          <w:sz w:val="22"/>
          <w:szCs w:val="22"/>
          <w:highlight w:val="none"/>
        </w:rPr>
        <w:t>” 系指适用本项目的要求，“</w:t>
      </w:r>
      <w:r>
        <w:rPr>
          <w:rFonts w:ascii="宋体" w:eastAsia="宋体"/>
          <w:b w:val="0"/>
          <w:color w:val="auto"/>
          <w:sz w:val="22"/>
          <w:szCs w:val="22"/>
          <w:highlight w:val="none"/>
        </w:rPr>
        <w:sym w:font="Wingdings 2" w:char="00A3"/>
      </w:r>
      <w:r>
        <w:rPr>
          <w:rFonts w:hint="eastAsia" w:ascii="宋体" w:eastAsia="宋体"/>
          <w:b w:val="0"/>
          <w:color w:val="auto"/>
          <w:sz w:val="22"/>
          <w:szCs w:val="22"/>
          <w:highlight w:val="none"/>
        </w:rPr>
        <w:t>” 系指不适用本项目的要求。</w:t>
      </w:r>
    </w:p>
    <w:p w14:paraId="7DAB9736">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3. 采购项目需要落实的政府采购政策</w:t>
      </w:r>
    </w:p>
    <w:p w14:paraId="3EDA5FD5">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3.1 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代理机构不会对其加以限制，仍将按照公平竞争原则实施采购）；优先采购向我国企业转让技术、与我国企业签订消化吸收再创新方案的供应商的进口产品。</w:t>
      </w:r>
    </w:p>
    <w:p w14:paraId="18DE8173">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3.2 支持绿色发展</w:t>
      </w:r>
    </w:p>
    <w:p w14:paraId="3F41B4FF">
      <w:pPr>
        <w:widowControl/>
        <w:autoSpaceDE w:val="0"/>
        <w:autoSpaceDN w:val="0"/>
        <w:adjustRightInd w:val="0"/>
        <w:spacing w:line="450" w:lineRule="atLeast"/>
        <w:ind w:firstLine="440" w:firstLineChars="200"/>
        <w:textAlignment w:val="bottom"/>
        <w:rPr>
          <w:rFonts w:hint="eastAsia" w:ascii="宋体" w:eastAsia="宋体"/>
          <w:bCs/>
          <w:color w:val="auto"/>
          <w:sz w:val="22"/>
          <w:szCs w:val="22"/>
          <w:highlight w:val="none"/>
          <w:u w:val="single"/>
        </w:rPr>
      </w:pPr>
      <w:r>
        <w:rPr>
          <w:rFonts w:hint="eastAsia" w:ascii="宋体" w:eastAsia="宋体"/>
          <w:b w:val="0"/>
          <w:color w:val="auto"/>
          <w:sz w:val="22"/>
          <w:szCs w:val="22"/>
          <w:highlight w:val="none"/>
        </w:rPr>
        <w:t>3.2.1采购人拟采购的产品属于品目清单范围的，采购人及其委托的采购代理机构将依据国家确定的认证机构出具的、处于有效期之内的节能产品、环境标志产品认证证书，对获得证书的产品实施政府优先采购或强制采购。投标人须按招标文件要求提供相关产品认证证书。</w:t>
      </w:r>
      <w:r>
        <w:rPr>
          <w:rFonts w:hint="eastAsia" w:ascii="宋体" w:eastAsia="宋体"/>
          <w:bCs/>
          <w:color w:val="auto"/>
          <w:sz w:val="22"/>
          <w:szCs w:val="22"/>
          <w:highlight w:val="none"/>
          <w:u w:val="single"/>
        </w:rPr>
        <w:t>▲采购人拟采购的产品属于政府强制采购的节能产品品目清单范围的，投标人相应的投标产品未获得国家确定的认证机构出具的、处于有效期之内的节能产品认证证书的，投标无效。</w:t>
      </w:r>
    </w:p>
    <w:p w14:paraId="6FD1477F">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3.2.2 修缮、装修类项目采购建材的，采购人应将绿色建筑和绿色建材性能、指标等作为实质性条件纳入招标文件和合同。</w:t>
      </w:r>
    </w:p>
    <w:p w14:paraId="274F992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3.2.3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鼓励采购单位优先采购秸秆环保板材等资源综合利用产品。鼓励采购单位优先采购绿色物流配送服务、提供新能源交通工具的租赁服务。</w:t>
      </w:r>
    </w:p>
    <w:p w14:paraId="16B3B1A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3.2.4 鼓励供应商在参加政府采购过程中开展绿色设计、选择绿色材料、打造绿色制造工艺、开展绿色运输、做好废弃产品回收处理，实现产品全周期的绿色环保。鼓励采购单位对其提高预付款比例、免收履约保证金。</w:t>
      </w:r>
    </w:p>
    <w:p w14:paraId="2038605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3.3支持中小企业发展</w:t>
      </w:r>
    </w:p>
    <w:p w14:paraId="20DE22B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3.3.1中小企业，是指在中华人民共和国境内依法设立，依据国务院批准的中小企业划分标准确定的中型企业、小型企业和微型企业，但与大企业的负责人为同一人，或者与大企业存在直接控股、管理关系的除外。</w:t>
      </w:r>
    </w:p>
    <w:p w14:paraId="165FEEB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符合中小企业划分标准的个体工商户，在政府采购活动中视同中小企业。</w:t>
      </w:r>
    </w:p>
    <w:p w14:paraId="2CDE0A9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3.3.2在政府采购活动中，投标人提供的货物、工程或者服务符合下列情形的，享受中小企业扶持政策：</w:t>
      </w:r>
    </w:p>
    <w:p w14:paraId="4F67F130">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3.3.2.1在货物采购项目中，货物由中小企业制造，即货物由中小企业生产且使用该中小企业商号或者注册商标；</w:t>
      </w:r>
    </w:p>
    <w:p w14:paraId="52EF391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3.3.2.2在工程采购项目中，工程由中小企业承建，即工程施工单位为中小企业；</w:t>
      </w:r>
    </w:p>
    <w:p w14:paraId="2EE7C90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3.3.2.3在服务采购项目中，服务由中小企业承接，即提供服务的人员为中小企业依照《中华人民共和国民法典》订立劳动合同的从业人员。</w:t>
      </w:r>
    </w:p>
    <w:p w14:paraId="68890CE6">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在服务采购项目中，服务由中小企业承接，即提供服务的人员为中小企业依照《中华人民共和国民法典》订立劳动合同的从业人员。在货物采购项目中，供应商提供的货物既有中小企业制造货物，也有大型企业制造货物的，不享受中小企业扶持政策。</w:t>
      </w:r>
    </w:p>
    <w:p w14:paraId="48F0950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以联合体形式参加政府采购活动，联合体各方均为中小企业的，联合体视同中小企业。其中，联合体各方均为小微企业的，联合体视同小微企业。</w:t>
      </w:r>
    </w:p>
    <w:p w14:paraId="5B432F54">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3.3.3对于未预留份额专门面向中小企业的政府采购服务项目，以及预留份额政府采购服务项目中的非预留部分标项，对小型和微型企业的投标报价给予10%-20%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4%-6%的扣除，用扣除后的价格参加评审。组成联合体或者接受分包的小微企业与联合体内其他企业、分包企业之间存在直接控股、管理关系的，不享受价格扣除优惠政策。</w:t>
      </w:r>
    </w:p>
    <w:p w14:paraId="110D232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3.3.4符合《关于促进残疾人就业政府采购政策的通知》（财库〔2017〕141号）规定的条件并提供《残疾人福利性单位声明函》（附件1）的残疾人福利性单位视同小型、微型企业；</w:t>
      </w:r>
    </w:p>
    <w:p w14:paraId="15AAB41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3.3.5符合《关于政府采购支持监狱企业发展有关问题的通知》（财库[2014]68号）规定的监狱企业并提供由省级以上监狱管理局、戒毒管理局（含新疆生产建设兵团）出具的属于监狱企业证明文件的，视同为小型、微型企业。</w:t>
      </w:r>
    </w:p>
    <w:p w14:paraId="48E043F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3.3.6可享受中小企业扶持政策的投标人应按照招标文件格式要求提供《中小企业声明函》，投标人提供的《中小企业声明函》与实际情况不符的，不享受中小企业扶持政策。声明内容不实的，属于提供虚假材料谋取中标、成交的，依法承担法律责任。</w:t>
      </w:r>
    </w:p>
    <w:p w14:paraId="49FF940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3.3.7中小企业享受扶持政策获得政府采购合同的，小微企业不得将合同分包给大中型企业，中型企业不得将合同分包给大型企业。</w:t>
      </w:r>
    </w:p>
    <w:p w14:paraId="41776914">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3.4支持创新发展</w:t>
      </w:r>
    </w:p>
    <w:p w14:paraId="2B84AD4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3.4.1 采购人优先采购被认定为首台套产品和“制造精品”的自主创新产品。</w:t>
      </w:r>
    </w:p>
    <w:p w14:paraId="6F050BF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3.4.2首台套产品被纳入《首台套产品推广应用指导目录》之日起3年内，以及产品核心技术高于国内领先水平，并具有明晰自主知识产权的“制造精品”产品，自认定之日起2年内视同已具备相应销售业绩，参加政府采购活动时业绩分值为满分。</w:t>
      </w:r>
    </w:p>
    <w:p w14:paraId="54DE62D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3.5平等对待内外资企业和符合条件的破产重整企业</w:t>
      </w:r>
    </w:p>
    <w:p w14:paraId="2E7D7BE3">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平等对待内外资企业和符合条件的破产重整企业，切实保障企业公平竞争，平等维护企业的合法利益。</w:t>
      </w:r>
    </w:p>
    <w:p w14:paraId="743E5A66">
      <w:pPr>
        <w:widowControl/>
        <w:autoSpaceDE w:val="0"/>
        <w:autoSpaceDN w:val="0"/>
        <w:adjustRightInd w:val="0"/>
        <w:spacing w:line="450" w:lineRule="atLeast"/>
        <w:textAlignment w:val="bottom"/>
        <w:rPr>
          <w:rFonts w:hint="eastAsia" w:ascii="宋体" w:eastAsia="宋体"/>
          <w:b w:val="0"/>
          <w:color w:val="auto"/>
          <w:sz w:val="22"/>
          <w:szCs w:val="22"/>
          <w:highlight w:val="none"/>
        </w:rPr>
      </w:pPr>
      <w:r>
        <w:rPr>
          <w:rFonts w:hint="eastAsia" w:ascii="宋体" w:eastAsia="宋体"/>
          <w:bCs/>
          <w:color w:val="auto"/>
          <w:sz w:val="22"/>
          <w:szCs w:val="22"/>
          <w:highlight w:val="none"/>
        </w:rPr>
        <w:t>4. 询问、质疑、投诉</w:t>
      </w:r>
    </w:p>
    <w:p w14:paraId="3A987B2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4.1在线询问、质疑、投诉。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7421D385">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4.2供应商询问</w:t>
      </w:r>
    </w:p>
    <w:p w14:paraId="07E29BE6">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供应商对政府采购活动事项有疑问的，可以提出询问，采购人应当在3个工作日内对供应商依法提出的询问作出答复，但答复的内容不得涉及商业秘密。</w:t>
      </w:r>
    </w:p>
    <w:p w14:paraId="0E43F8B0">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4.3供应商质疑</w:t>
      </w:r>
    </w:p>
    <w:p w14:paraId="577EF6B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4.3.1提出质疑的供应商应当是参与所质疑项目采购活动的供应商。潜在供应商已依法获取其可质疑的招标文件的，可以对该文件提出质疑。</w:t>
      </w:r>
    </w:p>
    <w:p w14:paraId="393F979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4.3.2供应商认为招标文件、采购过程和中标结果使自己的权益受到损害的，可以在知道或者应知其权益受到损害之日起七个工作日内，以书面形式向采购人提出质疑，否则，采购人不予受理：</w:t>
      </w:r>
    </w:p>
    <w:p w14:paraId="1B84224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4.3.2.1对招标文件提出质疑的，质疑期限为供应商获得招标文件之日或者招标文件公告期限届满之日起计算。</w:t>
      </w:r>
    </w:p>
    <w:p w14:paraId="5D96CC45">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4.3.2.2对采购过程提出质疑的，质疑期限为各采购程序环节结束之日起计算。4.3.2.3对采购结果提出质疑的，质疑期限自采购结果公告期限届满之日起计算。</w:t>
      </w:r>
    </w:p>
    <w:p w14:paraId="1481969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4.3.3供应商提出质疑应当提交质疑函和必要的证明材料。质疑函应当包括下列内容：</w:t>
      </w:r>
    </w:p>
    <w:p w14:paraId="29B36388">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　　4.3.3.1供应商的姓名或者名称、地址、邮编、联系人及联系电话；</w:t>
      </w:r>
    </w:p>
    <w:p w14:paraId="3BE9658B">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　　4.3.3.2质疑项目的名称、编号；</w:t>
      </w:r>
    </w:p>
    <w:p w14:paraId="2F50371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　　4.3.3.3具体、明确的质疑事项和与质疑事项相关的请求；</w:t>
      </w:r>
    </w:p>
    <w:p w14:paraId="14097027">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　　4.3.3.4事实依据；</w:t>
      </w:r>
    </w:p>
    <w:p w14:paraId="2175BCD5">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　　4.3.3.5必要的法律依据；</w:t>
      </w:r>
    </w:p>
    <w:p w14:paraId="7791966E">
      <w:pPr>
        <w:widowControl/>
        <w:autoSpaceDE w:val="0"/>
        <w:autoSpaceDN w:val="0"/>
        <w:adjustRightInd w:val="0"/>
        <w:spacing w:line="450" w:lineRule="atLeast"/>
        <w:ind w:firstLine="880" w:firstLineChars="4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4.3.3.6提出质疑的日期。</w:t>
      </w:r>
    </w:p>
    <w:p w14:paraId="659B9FEB">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供应商提交的质疑函需一式三份。供应商为自然人的，应当由本人签字；供应商为法人或者其他组织的，应当由法定代表人、主要负责人，或者其授权代表签字或者盖章，并加盖公章。</w:t>
      </w:r>
    </w:p>
    <w:p w14:paraId="3A9A60D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质疑函范本及制作说明详见附件2。</w:t>
      </w:r>
    </w:p>
    <w:p w14:paraId="068AA76F">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4.3.4对同一采购程序环节的质疑，供应商须在法定质疑期内一次性提出。</w:t>
      </w:r>
    </w:p>
    <w:p w14:paraId="1345CC56">
      <w:pPr>
        <w:widowControl/>
        <w:autoSpaceDE w:val="0"/>
        <w:autoSpaceDN w:val="0"/>
        <w:adjustRightInd w:val="0"/>
        <w:spacing w:line="450" w:lineRule="atLeast"/>
        <w:ind w:firstLine="440" w:firstLineChars="200"/>
        <w:textAlignment w:val="bottom"/>
        <w:rPr>
          <w:rFonts w:ascii="宋体" w:eastAsia="宋体"/>
          <w:b w:val="0"/>
          <w:color w:val="auto"/>
          <w:sz w:val="22"/>
          <w:szCs w:val="22"/>
          <w:highlight w:val="none"/>
        </w:rPr>
      </w:pPr>
      <w:r>
        <w:rPr>
          <w:rFonts w:hint="eastAsia" w:ascii="宋体" w:eastAsia="宋体"/>
          <w:b w:val="0"/>
          <w:color w:val="auto"/>
          <w:sz w:val="22"/>
          <w:szCs w:val="22"/>
          <w:highlight w:val="none"/>
          <w:lang w:val="zh-CN"/>
        </w:rPr>
        <w:t>4.3</w:t>
      </w:r>
      <w:r>
        <w:rPr>
          <w:rFonts w:hint="eastAsia" w:ascii="宋体" w:eastAsia="宋体"/>
          <w:b w:val="0"/>
          <w:color w:val="auto"/>
          <w:sz w:val="22"/>
          <w:szCs w:val="22"/>
          <w:highlight w:val="none"/>
        </w:rPr>
        <w:t>.5采购人应当在收到供应商的书面质疑后七个工作日内作出答复，并以书面形式通知质疑供应商和其他与质疑处理结果有利害关系的政府采购当事人，但答复的内容不得涉及商业秘密。根据《</w:t>
      </w:r>
      <w:r>
        <w:rPr>
          <w:rFonts w:hint="eastAsia" w:ascii="宋体" w:eastAsia="宋体"/>
          <w:b w:val="0"/>
          <w:color w:val="auto"/>
          <w:sz w:val="22"/>
          <w:szCs w:val="22"/>
          <w:highlight w:val="none"/>
          <w:lang w:val="zh-CN"/>
        </w:rPr>
        <w:t>浙江省财政厅关于进一步促进政府采购公平竞争打造最优营商环境的通知</w:t>
      </w:r>
      <w:r>
        <w:rPr>
          <w:rFonts w:hint="eastAsia" w:ascii="宋体" w:eastAsia="宋体"/>
          <w:b w:val="0"/>
          <w:color w:val="auto"/>
          <w:sz w:val="22"/>
          <w:szCs w:val="22"/>
          <w:highlight w:val="none"/>
        </w:rPr>
        <w:t>（</w:t>
      </w:r>
      <w:r>
        <w:rPr>
          <w:rFonts w:hint="eastAsia" w:ascii="宋体" w:eastAsia="宋体"/>
          <w:b w:val="0"/>
          <w:color w:val="auto"/>
          <w:sz w:val="22"/>
          <w:szCs w:val="22"/>
          <w:highlight w:val="none"/>
          <w:lang w:val="zh-CN"/>
        </w:rPr>
        <w:t>浙财采监〔2021〕22号</w:t>
      </w:r>
      <w:r>
        <w:rPr>
          <w:rFonts w:hint="eastAsia" w:ascii="宋体" w:eastAsia="宋体"/>
          <w:b w:val="0"/>
          <w:color w:val="auto"/>
          <w:sz w:val="22"/>
          <w:szCs w:val="22"/>
          <w:highlight w:val="none"/>
        </w:rPr>
        <w:t>),采购人在浙江政府采购网的“其他公告”栏目公开质疑答复，答复内容应当完整。质疑函作为附件上传。</w:t>
      </w:r>
    </w:p>
    <w:p w14:paraId="4A2DB5C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lang w:val="zh-CN"/>
        </w:rPr>
        <w:t>4.3</w:t>
      </w:r>
      <w:r>
        <w:rPr>
          <w:rFonts w:hint="eastAsia" w:ascii="宋体" w:eastAsia="宋体"/>
          <w:b w:val="0"/>
          <w:color w:val="auto"/>
          <w:sz w:val="22"/>
          <w:szCs w:val="22"/>
          <w:highlight w:val="none"/>
        </w:rPr>
        <w:t>.6询问或者质疑事项可能影响采购结果的，采购人应当暂停签订合同，已经签订合同的，应当中止履行合同。</w:t>
      </w:r>
    </w:p>
    <w:p w14:paraId="172C9CBF">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4.4供应商投诉</w:t>
      </w:r>
    </w:p>
    <w:p w14:paraId="1F3C2060">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4.4.1质疑供应商对采购人的答复不满意或者采购人未在规定的时间内作出答复的，可以在答复期满后十五个工作日内向同级政府采购监督管理部门提出投诉。</w:t>
      </w:r>
    </w:p>
    <w:p w14:paraId="41E5D48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4.4.</w:t>
      </w:r>
      <w:r>
        <w:rPr>
          <w:rFonts w:hint="eastAsia" w:ascii="宋体" w:eastAsia="宋体"/>
          <w:b w:val="0"/>
          <w:color w:val="auto"/>
          <w:sz w:val="22"/>
          <w:szCs w:val="22"/>
          <w:highlight w:val="none"/>
          <w:lang w:val="zh-CN"/>
        </w:rPr>
        <w:t>2</w:t>
      </w:r>
      <w:r>
        <w:rPr>
          <w:rFonts w:hint="eastAsia" w:ascii="宋体" w:eastAsia="宋体"/>
          <w:b w:val="0"/>
          <w:color w:val="auto"/>
          <w:sz w:val="22"/>
          <w:szCs w:val="22"/>
          <w:highlight w:val="none"/>
        </w:rPr>
        <w:t>供应商投诉的事项不得超出已质疑事项的范围，基于质疑答复内容提出的投诉事项除外。</w:t>
      </w:r>
    </w:p>
    <w:p w14:paraId="459CCCF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4.4.3供应商投诉应当有明确的请求和必要的证明材料。</w:t>
      </w:r>
    </w:p>
    <w:p w14:paraId="267E109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4.4.4以联合体形式参加政府采购活动的，其投诉应当由组成联合体的所有供应商共同提出。</w:t>
      </w:r>
    </w:p>
    <w:p w14:paraId="48A2160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投诉书范本及制作说明详见附件3。</w:t>
      </w:r>
    </w:p>
    <w:p w14:paraId="6CF1BF56">
      <w:pPr>
        <w:widowControl/>
        <w:autoSpaceDE w:val="0"/>
        <w:autoSpaceDN w:val="0"/>
        <w:adjustRightInd w:val="0"/>
        <w:spacing w:line="450" w:lineRule="atLeast"/>
        <w:ind w:firstLine="442" w:firstLineChars="200"/>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其他说明</w:t>
      </w:r>
    </w:p>
    <w:p w14:paraId="6A7984C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招标文件中所涉及的产品品牌或型号均为建议性要求或为代替部分技术指标描述，投标人可以选择其他品牌型号的产品参加投标但投标产品须具有相当于或优于采购文件要求的指标、性能。否则，评标委员会将对其作出不利的评审。</w:t>
      </w:r>
    </w:p>
    <w:p w14:paraId="77CE4AA6">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招标文件中如有描述歧义或前后不一致的地方，评标委员会有权按公平、合理的原则进行评判，但对同一条款的评判适用于每个投标人。</w:t>
      </w:r>
    </w:p>
    <w:p w14:paraId="552FA411">
      <w:pPr>
        <w:pStyle w:val="16"/>
        <w:spacing w:before="240" w:after="60"/>
        <w:jc w:val="center"/>
        <w:outlineLvl w:val="0"/>
        <w:rPr>
          <w:rFonts w:ascii="宋体" w:hAnsi="宋体" w:cs="宋体"/>
          <w:b/>
          <w:color w:val="auto"/>
          <w:sz w:val="32"/>
          <w:highlight w:val="none"/>
        </w:rPr>
      </w:pPr>
      <w:r>
        <w:rPr>
          <w:rFonts w:hint="eastAsia" w:ascii="宋体" w:hAnsi="宋体" w:cs="宋体"/>
          <w:b/>
          <w:color w:val="auto"/>
          <w:sz w:val="32"/>
          <w:highlight w:val="none"/>
        </w:rPr>
        <w:t xml:space="preserve">   </w:t>
      </w:r>
      <w:r>
        <w:rPr>
          <w:rFonts w:hint="eastAsia" w:ascii="宋体" w:hAnsi="宋体" w:eastAsia="宋体" w:cs="宋体"/>
          <w:b/>
          <w:color w:val="auto"/>
          <w:kern w:val="0"/>
          <w:sz w:val="32"/>
          <w:szCs w:val="32"/>
          <w:highlight w:val="none"/>
        </w:rPr>
        <w:t xml:space="preserve">   二、招标文件的构成、澄清、修改</w:t>
      </w:r>
    </w:p>
    <w:p w14:paraId="24BA4EA0">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5．招标文件的构成</w:t>
      </w:r>
    </w:p>
    <w:p w14:paraId="0D29FCE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5.1 招标文件包括下列文件及附件：</w:t>
      </w:r>
    </w:p>
    <w:p w14:paraId="5901B33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5.1.1招标公告；</w:t>
      </w:r>
    </w:p>
    <w:p w14:paraId="02A8C6F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5.1.2投标人须知；</w:t>
      </w:r>
    </w:p>
    <w:p w14:paraId="62A50FF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5.1.3采购需求；</w:t>
      </w:r>
    </w:p>
    <w:p w14:paraId="08EAFA1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5.1.4评标办法；</w:t>
      </w:r>
    </w:p>
    <w:p w14:paraId="4C2BE2B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5.1.5拟签订的合同文本；</w:t>
      </w:r>
    </w:p>
    <w:p w14:paraId="6AEA9D0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5.1.6应提交的有关格式范例。</w:t>
      </w:r>
    </w:p>
    <w:p w14:paraId="79683FEB">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5.2与本项目有关的澄清或者修改的内容为招标文件的组成部分。</w:t>
      </w:r>
    </w:p>
    <w:p w14:paraId="1DCB2DF6">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6. 招标文件的澄清、修改</w:t>
      </w:r>
    </w:p>
    <w:p w14:paraId="222125B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6.1已获取招标文件的潜在投标人，若有问题需要澄清，应于投标截止时间前，以书面形式向采购代理机构提出。</w:t>
      </w:r>
    </w:p>
    <w:p w14:paraId="1A27ACBD">
      <w:pPr>
        <w:widowControl/>
        <w:autoSpaceDE w:val="0"/>
        <w:autoSpaceDN w:val="0"/>
        <w:adjustRightInd w:val="0"/>
        <w:spacing w:line="450" w:lineRule="atLeast"/>
        <w:ind w:firstLine="440" w:firstLineChars="200"/>
        <w:textAlignment w:val="bottom"/>
        <w:rPr>
          <w:rFonts w:hint="eastAsia" w:ascii="宋体" w:hAnsi="宋体" w:eastAsia="宋体"/>
          <w:color w:val="auto"/>
          <w:sz w:val="32"/>
          <w:szCs w:val="32"/>
          <w:highlight w:val="none"/>
        </w:rPr>
      </w:pPr>
      <w:r>
        <w:rPr>
          <w:rFonts w:hint="eastAsia" w:ascii="宋体" w:eastAsia="宋体"/>
          <w:b w:val="0"/>
          <w:color w:val="auto"/>
          <w:sz w:val="22"/>
          <w:szCs w:val="22"/>
          <w:highlight w:val="none"/>
        </w:rPr>
        <w:t>6.2 采购代理机构对招标文件进行澄清或修改的，将同时通过电子交易平台通知已获取招标文件的潜在投标人。依法应当公告的，将按规定公告，同时视情况延长投标截止时间和开标时间。该澄清或者修改的内容为招标文件的组成部分。</w:t>
      </w:r>
      <w:r>
        <w:rPr>
          <w:rFonts w:hint="eastAsia" w:ascii="宋体" w:hAnsi="宋体" w:eastAsia="宋体"/>
          <w:color w:val="auto"/>
          <w:sz w:val="32"/>
          <w:szCs w:val="32"/>
          <w:highlight w:val="none"/>
        </w:rPr>
        <w:t xml:space="preserve">    </w:t>
      </w:r>
    </w:p>
    <w:p w14:paraId="220834B4">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三、投标</w:t>
      </w:r>
    </w:p>
    <w:p w14:paraId="2406DA77">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7. 招标文件的获取</w:t>
      </w:r>
    </w:p>
    <w:p w14:paraId="194E673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详见招标公告中获取招标文件的时间期限、地点、方式及招标文件售价。</w:t>
      </w:r>
    </w:p>
    <w:p w14:paraId="488CBE83">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8.开标前答疑会或现场考察</w:t>
      </w:r>
    </w:p>
    <w:p w14:paraId="6B513EA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采购人组织潜在投标人现场考察或者召开开标前答疑会的，潜在投标人按第二部分投标人须知前附表的规定参加现场考察或者开标前答疑会。</w:t>
      </w:r>
    </w:p>
    <w:p w14:paraId="04BB6A7E">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9.投标保证金</w:t>
      </w:r>
    </w:p>
    <w:p w14:paraId="5BC0B47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本项目不需缴纳投标保证金。</w:t>
      </w:r>
    </w:p>
    <w:p w14:paraId="5E296083">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10. 投标文件的语言</w:t>
      </w:r>
    </w:p>
    <w:p w14:paraId="264EBA63">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rPr>
        <w:t>投标文件及投标人与采购有关的来往通知、函件和文件均应使用中文。</w:t>
      </w:r>
    </w:p>
    <w:p w14:paraId="7025F13A">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11. 投标文件的组成</w:t>
      </w:r>
    </w:p>
    <w:p w14:paraId="6653E285">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11.1资格文件：</w:t>
      </w:r>
    </w:p>
    <w:p w14:paraId="351EB2E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11.1.1 符合参加政府采购活动应当具备的一般条件的承诺函；</w:t>
      </w:r>
    </w:p>
    <w:p w14:paraId="50E04DF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11.1.2 联合协议（如果有)；</w:t>
      </w:r>
    </w:p>
    <w:p w14:paraId="741F1C09">
      <w:pPr>
        <w:widowControl/>
        <w:autoSpaceDE w:val="0"/>
        <w:autoSpaceDN w:val="0"/>
        <w:adjustRightInd w:val="0"/>
        <w:spacing w:line="460" w:lineRule="atLeast"/>
        <w:ind w:firstLine="440" w:firstLineChars="200"/>
        <w:textAlignment w:val="bottom"/>
        <w:rPr>
          <w:rFonts w:hint="eastAsia" w:ascii="宋体" w:eastAsia="宋体"/>
          <w:bCs/>
          <w:color w:val="auto"/>
          <w:sz w:val="22"/>
          <w:szCs w:val="22"/>
          <w:highlight w:val="none"/>
          <w:lang w:eastAsia="zh-CN"/>
        </w:rPr>
      </w:pPr>
      <w:r>
        <w:rPr>
          <w:rFonts w:hint="eastAsia" w:ascii="宋体" w:eastAsia="宋体"/>
          <w:b w:val="0"/>
          <w:color w:val="auto"/>
          <w:sz w:val="22"/>
          <w:szCs w:val="22"/>
          <w:highlight w:val="none"/>
        </w:rPr>
        <w:t xml:space="preserve">11.1.3 </w:t>
      </w:r>
      <w:r>
        <w:rPr>
          <w:rFonts w:hint="eastAsia" w:ascii="宋体" w:eastAsia="宋体"/>
          <w:bCs/>
          <w:color w:val="auto"/>
          <w:sz w:val="22"/>
          <w:szCs w:val="22"/>
          <w:highlight w:val="none"/>
        </w:rPr>
        <w:t>落实政府采购政策需满足的资格要求</w:t>
      </w:r>
      <w:r>
        <w:rPr>
          <w:rFonts w:hint="eastAsia" w:ascii="宋体" w:eastAsia="宋体"/>
          <w:bCs/>
          <w:color w:val="auto"/>
          <w:sz w:val="22"/>
          <w:szCs w:val="22"/>
          <w:highlight w:val="none"/>
          <w:lang w:eastAsia="zh-CN"/>
        </w:rPr>
        <w:t>：</w:t>
      </w:r>
    </w:p>
    <w:p w14:paraId="529C6D65">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sdt>
        <w:sdtPr>
          <w:rPr>
            <w:rFonts w:hint="eastAsia" w:ascii="宋体" w:eastAsia="宋体"/>
            <w:b w:val="0"/>
            <w:color w:val="auto"/>
            <w:sz w:val="22"/>
            <w:highlight w:val="none"/>
          </w:rPr>
          <w:id w:val="147455891"/>
          <w14:checkbox>
            <w14:checked w14:val="1"/>
            <w14:checkedState w14:val="00FE" w14:font="Wingdings"/>
            <w14:uncheckedState w14:val="2610" w14:font="MS Gothic"/>
          </w14:checkbox>
        </w:sdtPr>
        <w:sdtEndPr>
          <w:rPr>
            <w:rFonts w:hint="eastAsia" w:ascii="宋体" w:eastAsia="宋体"/>
            <w:b w:val="0"/>
            <w:color w:val="auto"/>
            <w:sz w:val="22"/>
            <w:highlight w:val="none"/>
          </w:rPr>
        </w:sdtEndPr>
        <w:sdtContent>
          <w:r>
            <w:rPr>
              <w:rFonts w:hint="eastAsia" w:ascii="Wingdings" w:hAnsi="Wingdings" w:eastAsia="宋体" w:cs="宋体"/>
              <w:b w:val="0"/>
              <w:color w:val="auto"/>
              <w:sz w:val="22"/>
              <w:szCs w:val="21"/>
              <w:highlight w:val="none"/>
              <w:lang w:val="en-US" w:eastAsia="zh-CN" w:bidi="ar-SA"/>
            </w:rPr>
            <w:t>þ</w:t>
          </w:r>
        </w:sdtContent>
      </w:sdt>
      <w:r>
        <w:rPr>
          <w:rFonts w:hint="eastAsia" w:ascii="宋体" w:eastAsia="宋体"/>
          <w:b w:val="0"/>
          <w:color w:val="auto"/>
          <w:sz w:val="22"/>
          <w:highlight w:val="none"/>
        </w:rPr>
        <w:t>专门面向中小企业</w:t>
      </w:r>
    </w:p>
    <w:p w14:paraId="5FA58D3E">
      <w:pPr>
        <w:widowControl/>
        <w:autoSpaceDE w:val="0"/>
        <w:autoSpaceDN w:val="0"/>
        <w:adjustRightInd w:val="0"/>
        <w:spacing w:line="46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highlight w:val="none"/>
        </w:rPr>
        <w:sym w:font="Wingdings" w:char="F0FE"/>
      </w:r>
      <w:r>
        <w:rPr>
          <w:rFonts w:hint="eastAsia" w:ascii="宋体" w:eastAsia="宋体"/>
          <w:b w:val="0"/>
          <w:color w:val="auto"/>
          <w:sz w:val="22"/>
          <w:highlight w:val="none"/>
        </w:rPr>
        <w:t>货物全部由符合政策要求的中小企业制造，提供中小企业声明函；</w:t>
      </w:r>
      <w:r>
        <w:rPr>
          <w:rFonts w:hint="eastAsia" w:ascii="宋体" w:eastAsia="宋体"/>
          <w:b w:val="0"/>
          <w:color w:val="auto"/>
          <w:sz w:val="22"/>
          <w:highlight w:val="none"/>
          <w:lang w:val="en-US" w:eastAsia="zh-CN"/>
        </w:rPr>
        <w:t>（监狱企业、残疾人企业等同中小企业）</w:t>
      </w:r>
      <w:r>
        <w:rPr>
          <w:rFonts w:hint="eastAsia" w:ascii="宋体" w:eastAsia="宋体"/>
          <w:b w:val="0"/>
          <w:color w:val="auto"/>
          <w:sz w:val="22"/>
          <w:szCs w:val="22"/>
          <w:highlight w:val="none"/>
        </w:rPr>
        <w:t>；</w:t>
      </w:r>
    </w:p>
    <w:p w14:paraId="74F8D70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11.1.4 本项目的特定资格要求（如果有)。</w:t>
      </w:r>
    </w:p>
    <w:p w14:paraId="6B71BA27">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11.</w:t>
      </w:r>
      <w:r>
        <w:rPr>
          <w:rFonts w:hint="eastAsia" w:ascii="宋体" w:eastAsia="宋体"/>
          <w:b w:val="0"/>
          <w:color w:val="auto"/>
          <w:sz w:val="22"/>
          <w:szCs w:val="22"/>
          <w:highlight w:val="none"/>
        </w:rPr>
        <w:t>2</w:t>
      </w:r>
      <w:r>
        <w:rPr>
          <w:rFonts w:hint="eastAsia" w:ascii="宋体" w:eastAsia="宋体"/>
          <w:b w:val="0"/>
          <w:color w:val="auto"/>
          <w:sz w:val="22"/>
          <w:szCs w:val="22"/>
          <w:highlight w:val="none"/>
          <w:lang w:val="zh-CN"/>
        </w:rPr>
        <w:t xml:space="preserve">  </w:t>
      </w:r>
      <w:r>
        <w:rPr>
          <w:rFonts w:hint="eastAsia" w:ascii="宋体" w:eastAsia="宋体"/>
          <w:b w:val="0"/>
          <w:color w:val="auto"/>
          <w:sz w:val="22"/>
          <w:szCs w:val="22"/>
          <w:highlight w:val="none"/>
        </w:rPr>
        <w:t>商务技术</w:t>
      </w:r>
      <w:r>
        <w:rPr>
          <w:rFonts w:hint="eastAsia" w:ascii="宋体" w:eastAsia="宋体"/>
          <w:b w:val="0"/>
          <w:color w:val="auto"/>
          <w:sz w:val="22"/>
          <w:szCs w:val="22"/>
          <w:highlight w:val="none"/>
          <w:lang w:val="zh-CN"/>
        </w:rPr>
        <w:t>文件：</w:t>
      </w:r>
    </w:p>
    <w:p w14:paraId="632E395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11.2.1 投标函；</w:t>
      </w:r>
      <w:r>
        <w:rPr>
          <w:rFonts w:hint="eastAsia" w:ascii="宋体" w:eastAsia="宋体"/>
          <w:b w:val="0"/>
          <w:color w:val="auto"/>
          <w:sz w:val="22"/>
          <w:szCs w:val="22"/>
          <w:highlight w:val="none"/>
          <w:lang w:val="zh-CN"/>
        </w:rPr>
        <w:t xml:space="preserve"> </w:t>
      </w:r>
    </w:p>
    <w:p w14:paraId="4B6EBFD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11.2.2 授权委托书或法定代表人（单位负责人、自然人本人）身份证明；</w:t>
      </w:r>
    </w:p>
    <w:p w14:paraId="1E210053">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11.2.3 分包意向协议（如果有)；</w:t>
      </w:r>
    </w:p>
    <w:p w14:paraId="2A855A2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11.2.4 符合性审查资料；</w:t>
      </w:r>
    </w:p>
    <w:p w14:paraId="30BD2FE4">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11.2.5 评标标准相应的商务技术资料（格式自拟）；</w:t>
      </w:r>
    </w:p>
    <w:p w14:paraId="2ED5F634">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11.2.6</w:t>
      </w:r>
      <w:r>
        <w:rPr>
          <w:rFonts w:hint="eastAsia" w:ascii="宋体" w:eastAsia="宋体"/>
          <w:b w:val="0"/>
          <w:color w:val="auto"/>
          <w:sz w:val="22"/>
          <w:szCs w:val="22"/>
          <w:highlight w:val="none"/>
          <w:lang w:val="en-US" w:eastAsia="zh-CN"/>
        </w:rPr>
        <w:t xml:space="preserve"> </w:t>
      </w:r>
      <w:r>
        <w:rPr>
          <w:rFonts w:hint="eastAsia" w:ascii="宋体" w:eastAsia="宋体"/>
          <w:b w:val="0"/>
          <w:color w:val="auto"/>
          <w:sz w:val="22"/>
          <w:szCs w:val="22"/>
          <w:highlight w:val="none"/>
        </w:rPr>
        <w:t>投标标的清单；</w:t>
      </w:r>
    </w:p>
    <w:p w14:paraId="38558CA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11.2.7</w:t>
      </w:r>
      <w:r>
        <w:rPr>
          <w:rFonts w:hint="eastAsia" w:ascii="宋体" w:eastAsia="宋体"/>
          <w:b w:val="0"/>
          <w:color w:val="auto"/>
          <w:sz w:val="22"/>
          <w:szCs w:val="22"/>
          <w:highlight w:val="none"/>
          <w:lang w:val="en-US" w:eastAsia="zh-CN"/>
        </w:rPr>
        <w:t xml:space="preserve"> </w:t>
      </w:r>
      <w:r>
        <w:rPr>
          <w:rFonts w:hint="eastAsia" w:ascii="宋体" w:eastAsia="宋体"/>
          <w:b w:val="0"/>
          <w:color w:val="auto"/>
          <w:sz w:val="22"/>
          <w:szCs w:val="22"/>
          <w:highlight w:val="none"/>
        </w:rPr>
        <w:t>商务技术偏离表；</w:t>
      </w:r>
    </w:p>
    <w:p w14:paraId="24F8D380">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11.2.8</w:t>
      </w:r>
      <w:r>
        <w:rPr>
          <w:rFonts w:hint="eastAsia" w:ascii="宋体" w:eastAsia="宋体"/>
          <w:b w:val="0"/>
          <w:color w:val="auto"/>
          <w:sz w:val="22"/>
          <w:szCs w:val="22"/>
          <w:highlight w:val="none"/>
          <w:lang w:val="en-US" w:eastAsia="zh-CN"/>
        </w:rPr>
        <w:t xml:space="preserve"> </w:t>
      </w:r>
      <w:r>
        <w:rPr>
          <w:rFonts w:hint="eastAsia" w:ascii="宋体" w:eastAsia="宋体"/>
          <w:b w:val="0"/>
          <w:color w:val="auto"/>
          <w:sz w:val="22"/>
          <w:szCs w:val="22"/>
          <w:highlight w:val="none"/>
        </w:rPr>
        <w:t>认为需要的其他文件资料或说明.</w:t>
      </w:r>
    </w:p>
    <w:p w14:paraId="2085594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11.</w:t>
      </w:r>
      <w:r>
        <w:rPr>
          <w:rFonts w:hint="eastAsia" w:ascii="宋体" w:eastAsia="宋体"/>
          <w:b w:val="0"/>
          <w:color w:val="auto"/>
          <w:sz w:val="22"/>
          <w:szCs w:val="22"/>
          <w:highlight w:val="none"/>
        </w:rPr>
        <w:t>2</w:t>
      </w:r>
      <w:r>
        <w:rPr>
          <w:rFonts w:hint="eastAsia" w:ascii="宋体" w:eastAsia="宋体"/>
          <w:b w:val="0"/>
          <w:color w:val="auto"/>
          <w:sz w:val="22"/>
          <w:szCs w:val="22"/>
          <w:highlight w:val="none"/>
          <w:lang w:val="zh-CN"/>
        </w:rPr>
        <w:t>.</w:t>
      </w:r>
      <w:r>
        <w:rPr>
          <w:rFonts w:hint="eastAsia" w:ascii="宋体" w:eastAsia="宋体"/>
          <w:b w:val="0"/>
          <w:color w:val="auto"/>
          <w:sz w:val="22"/>
          <w:szCs w:val="22"/>
          <w:highlight w:val="none"/>
        </w:rPr>
        <w:t>9</w:t>
      </w:r>
      <w:r>
        <w:rPr>
          <w:rFonts w:hint="eastAsia" w:ascii="宋体" w:eastAsia="宋体"/>
          <w:b w:val="0"/>
          <w:color w:val="auto"/>
          <w:sz w:val="22"/>
          <w:szCs w:val="22"/>
          <w:highlight w:val="none"/>
          <w:lang w:val="en-US" w:eastAsia="zh-CN"/>
        </w:rPr>
        <w:t xml:space="preserve"> </w:t>
      </w:r>
      <w:r>
        <w:rPr>
          <w:rFonts w:hint="eastAsia" w:ascii="宋体" w:eastAsia="宋体"/>
          <w:b w:val="0"/>
          <w:color w:val="auto"/>
          <w:sz w:val="22"/>
          <w:szCs w:val="22"/>
          <w:highlight w:val="none"/>
          <w:lang w:val="zh-CN"/>
        </w:rPr>
        <w:t>政府采购供应商廉洁自律承诺书；</w:t>
      </w:r>
    </w:p>
    <w:p w14:paraId="1BF579C3">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11.</w:t>
      </w:r>
      <w:r>
        <w:rPr>
          <w:rFonts w:hint="eastAsia" w:ascii="宋体" w:eastAsia="宋体"/>
          <w:b w:val="0"/>
          <w:color w:val="auto"/>
          <w:sz w:val="22"/>
          <w:szCs w:val="22"/>
          <w:highlight w:val="none"/>
        </w:rPr>
        <w:t>3</w:t>
      </w:r>
      <w:r>
        <w:rPr>
          <w:rFonts w:hint="eastAsia" w:ascii="宋体" w:eastAsia="宋体"/>
          <w:b w:val="0"/>
          <w:color w:val="auto"/>
          <w:sz w:val="22"/>
          <w:szCs w:val="22"/>
          <w:highlight w:val="none"/>
          <w:lang w:val="en-US" w:eastAsia="zh-CN"/>
        </w:rPr>
        <w:t xml:space="preserve"> </w:t>
      </w:r>
      <w:r>
        <w:rPr>
          <w:rFonts w:hint="eastAsia" w:ascii="宋体" w:eastAsia="宋体"/>
          <w:b w:val="0"/>
          <w:color w:val="auto"/>
          <w:sz w:val="22"/>
          <w:szCs w:val="22"/>
          <w:highlight w:val="none"/>
        </w:rPr>
        <w:t xml:space="preserve">报价文件： </w:t>
      </w:r>
    </w:p>
    <w:p w14:paraId="09916757">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11.3.1</w:t>
      </w:r>
      <w:r>
        <w:rPr>
          <w:rFonts w:hint="eastAsia" w:ascii="宋体" w:eastAsia="宋体"/>
          <w:b w:val="0"/>
          <w:color w:val="auto"/>
          <w:sz w:val="22"/>
          <w:szCs w:val="22"/>
          <w:highlight w:val="none"/>
          <w:lang w:val="en-US" w:eastAsia="zh-CN"/>
        </w:rPr>
        <w:t xml:space="preserve"> </w:t>
      </w:r>
      <w:r>
        <w:rPr>
          <w:rFonts w:hint="eastAsia" w:ascii="宋体" w:eastAsia="宋体"/>
          <w:b w:val="0"/>
          <w:color w:val="auto"/>
          <w:sz w:val="22"/>
          <w:szCs w:val="22"/>
          <w:highlight w:val="none"/>
        </w:rPr>
        <w:t>开标一览表；</w:t>
      </w:r>
    </w:p>
    <w:p w14:paraId="3C326EFF">
      <w:pPr>
        <w:widowControl/>
        <w:autoSpaceDE w:val="0"/>
        <w:autoSpaceDN w:val="0"/>
        <w:adjustRightInd w:val="0"/>
        <w:spacing w:line="450" w:lineRule="atLeast"/>
        <w:ind w:firstLine="440" w:firstLineChars="200"/>
        <w:textAlignment w:val="bottom"/>
        <w:rPr>
          <w:rFonts w:hint="default" w:ascii="宋体" w:eastAsia="宋体"/>
          <w:b w:val="0"/>
          <w:color w:val="auto"/>
          <w:sz w:val="22"/>
          <w:szCs w:val="22"/>
          <w:highlight w:val="none"/>
          <w:lang w:val="en-US" w:eastAsia="zh-CN"/>
        </w:rPr>
      </w:pPr>
      <w:r>
        <w:rPr>
          <w:rFonts w:hint="eastAsia" w:ascii="宋体" w:eastAsia="宋体"/>
          <w:b w:val="0"/>
          <w:color w:val="auto"/>
          <w:sz w:val="22"/>
          <w:szCs w:val="22"/>
          <w:highlight w:val="none"/>
          <w:lang w:val="en-US" w:eastAsia="zh-CN"/>
        </w:rPr>
        <w:t xml:space="preserve">11.3.2 </w:t>
      </w:r>
      <w:r>
        <w:rPr>
          <w:rFonts w:hint="eastAsia" w:ascii="宋体" w:eastAsia="宋体"/>
          <w:b w:val="0"/>
          <w:color w:val="auto"/>
          <w:sz w:val="22"/>
          <w:szCs w:val="22"/>
          <w:highlight w:val="none"/>
        </w:rPr>
        <w:t>投标货物数量价格</w:t>
      </w:r>
      <w:r>
        <w:rPr>
          <w:rFonts w:hint="eastAsia" w:ascii="宋体" w:eastAsia="宋体"/>
          <w:b w:val="0"/>
          <w:color w:val="auto"/>
          <w:sz w:val="22"/>
          <w:szCs w:val="22"/>
          <w:highlight w:val="none"/>
          <w:lang w:val="en-US" w:eastAsia="zh-CN"/>
        </w:rPr>
        <w:t>表。</w:t>
      </w:r>
    </w:p>
    <w:p w14:paraId="199C220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投标文件含有采购人不能接受的附加条件的，投标无效；</w:t>
      </w:r>
    </w:p>
    <w:p w14:paraId="68D6479F">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投标人提供虚假材料投标的，投标无效。</w:t>
      </w:r>
    </w:p>
    <w:p w14:paraId="64DDBC4A">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12</w:t>
      </w:r>
      <w:r>
        <w:rPr>
          <w:rFonts w:hint="eastAsia" w:ascii="宋体" w:eastAsia="宋体"/>
          <w:bCs/>
          <w:color w:val="auto"/>
          <w:sz w:val="22"/>
          <w:szCs w:val="22"/>
          <w:highlight w:val="none"/>
          <w:lang w:val="zh-CN"/>
        </w:rPr>
        <w:t xml:space="preserve">. </w:t>
      </w:r>
      <w:r>
        <w:rPr>
          <w:rFonts w:hint="eastAsia" w:ascii="宋体" w:eastAsia="宋体"/>
          <w:bCs/>
          <w:color w:val="auto"/>
          <w:sz w:val="22"/>
          <w:szCs w:val="22"/>
          <w:highlight w:val="none"/>
        </w:rPr>
        <w:t>投标文件的编制</w:t>
      </w:r>
    </w:p>
    <w:p w14:paraId="3D968C0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lang w:val="zh-CN"/>
        </w:rPr>
        <w:t>12.1投标文件分为资格文件、商务技术文件、报价文件三部分。各投标人在编制投标文件时请按照招标文件第六部分规定的格式进行，混乱的编排导致投标文件被误读或评标委员会查找不到有效文件是投标人的风险。</w:t>
      </w:r>
    </w:p>
    <w:p w14:paraId="4674B37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12.2投标人进行电子投标应安装客户端软件—“政采云电子交易客户端”，并按照招标文件和电子交易平台的要求编制并加密投标文件。投标人未按规定加密的投标文件，电子交易平台将拒收并提示。</w:t>
      </w:r>
    </w:p>
    <w:p w14:paraId="5754F0C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12.3使用“政采云电子交易客户端”需要提前申领CA数字证书，申领流程请自行前往“浙江政府采购网-下载专区-电子交易客户端-CA驱动和申领流程”进行查阅。</w:t>
      </w:r>
    </w:p>
    <w:p w14:paraId="7919CCAC">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13.投标文件的签署、盖章</w:t>
      </w:r>
    </w:p>
    <w:p w14:paraId="1815BF39">
      <w:pPr>
        <w:widowControl/>
        <w:autoSpaceDE w:val="0"/>
        <w:autoSpaceDN w:val="0"/>
        <w:adjustRightInd w:val="0"/>
        <w:spacing w:line="450" w:lineRule="atLeast"/>
        <w:ind w:firstLine="440" w:firstLineChars="200"/>
        <w:textAlignment w:val="bottom"/>
        <w:rPr>
          <w:rFonts w:hint="eastAsia" w:ascii="宋体" w:eastAsia="宋体"/>
          <w:bCs/>
          <w:color w:val="auto"/>
          <w:sz w:val="22"/>
          <w:szCs w:val="22"/>
          <w:highlight w:val="none"/>
          <w:u w:val="single"/>
        </w:rPr>
      </w:pPr>
      <w:r>
        <w:rPr>
          <w:rFonts w:hint="eastAsia" w:ascii="宋体" w:eastAsia="宋体"/>
          <w:b w:val="0"/>
          <w:color w:val="auto"/>
          <w:sz w:val="22"/>
          <w:szCs w:val="22"/>
          <w:highlight w:val="none"/>
        </w:rPr>
        <w:t>13.1投标文件按照招标文件第六部分格式要求进行签署、盖章。</w:t>
      </w:r>
      <w:r>
        <w:rPr>
          <w:rFonts w:hint="eastAsia" w:ascii="宋体" w:eastAsia="宋体"/>
          <w:bCs/>
          <w:color w:val="auto"/>
          <w:sz w:val="22"/>
          <w:szCs w:val="22"/>
          <w:highlight w:val="none"/>
          <w:u w:val="single"/>
        </w:rPr>
        <w:t>▲投标人的投标文件未按照招标文件要求签署、盖章的，其投标无效。</w:t>
      </w:r>
    </w:p>
    <w:p w14:paraId="1583B20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13.2为确保网上操作合法、有效和安全，投标人应当在投标截止时间前完成在“政府采购云平台”的身份认证，确保在电子投标过程中能够对相关数据电文进行加密和使用电子签名。</w:t>
      </w:r>
    </w:p>
    <w:p w14:paraId="307A7473">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13.3招标文件对投标文件签署、盖章的要求适用于电子签名。</w:t>
      </w:r>
    </w:p>
    <w:p w14:paraId="0F9FC1A1">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14. 投标文件的提交、补充、修改、撤回</w:t>
      </w:r>
    </w:p>
    <w:p w14:paraId="01ABF527">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14.1 供应商应当在投标截止时间前完成投标文件的传输递交，并可以补充、修改或者撤回投标文件。补充或者修改投标文件的，应当先行撤回原文件，补充、修改后重新传输递交。投标截止时间前未完成传输的，视为撤回投标文件。投标截止时间后递交的投标文件，电子交易平台将拒收。</w:t>
      </w:r>
    </w:p>
    <w:p w14:paraId="04771935">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14.2电子交易平台收到投标文件，将妥善保存并即时向供应商发出确认回执通知。在投标截止时间前，除供应商补充、修改或者撤回投标文件外，任何单位和个人不得解密或提取投标文件。</w:t>
      </w:r>
    </w:p>
    <w:p w14:paraId="605F91EF">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14.3采购人、采购代理机构可以视情况延长投标文件提交的截止时间。在上述情况下，采购代理机构与投标人以前在投标截止期方面的全部权利、责任和义务，将适用于延长至新的投标截止期。</w:t>
      </w:r>
    </w:p>
    <w:p w14:paraId="507BFE3F">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15.备份投标文件</w:t>
      </w:r>
    </w:p>
    <w:p w14:paraId="2A3ABEEF">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15.1投标人在电子交易平台传输递交投标文件后，还可以在投标截止时间前直接提交或者以邮政快递方式递交备份投标文件1份，但采购人、采购代理机构不强制或变相强制投标人提交备份投标文件。</w:t>
      </w:r>
    </w:p>
    <w:p w14:paraId="7F3A3593">
      <w:pPr>
        <w:widowControl/>
        <w:autoSpaceDE w:val="0"/>
        <w:autoSpaceDN w:val="0"/>
        <w:adjustRightInd w:val="0"/>
        <w:spacing w:line="450" w:lineRule="atLeast"/>
        <w:ind w:firstLine="440" w:firstLineChars="200"/>
        <w:textAlignment w:val="bottom"/>
        <w:rPr>
          <w:rFonts w:ascii="宋体" w:eastAsia="宋体"/>
          <w:b w:val="0"/>
          <w:color w:val="auto"/>
          <w:sz w:val="22"/>
          <w:szCs w:val="22"/>
          <w:highlight w:val="none"/>
        </w:rPr>
      </w:pPr>
      <w:r>
        <w:rPr>
          <w:rFonts w:hint="eastAsia" w:ascii="宋体" w:eastAsia="宋体"/>
          <w:b w:val="0"/>
          <w:color w:val="auto"/>
          <w:sz w:val="22"/>
          <w:szCs w:val="22"/>
          <w:highlight w:val="none"/>
        </w:rPr>
        <w:t xml:space="preserve">15.2备份投标文件须在“政采云投标客户端”制作生成，并储存在DVD光盘等存储介质中。备份投标文件应当密封包装并在包装上加盖公章并注明投标项目名称，投标人名称(联合体投标的，包装物封面需注明联合体投标，并注明联合体成员各方的名称和联合协议中约定的牵头人的名称)。不符合上述制作、存储、密封规定的备份投标文件将被视为无效或者被拒绝接收。 </w:t>
      </w:r>
    </w:p>
    <w:p w14:paraId="6B1F7A4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15.3直接提交备份投标文件的，投标人应于投标截止时间前在招标公告中载明的开标地点将备份投标文件提交给采购代理机构，采购代理机构将拒绝接受逾期送达的备份投标文件。</w:t>
      </w:r>
    </w:p>
    <w:p w14:paraId="6AD57B40">
      <w:pPr>
        <w:widowControl/>
        <w:autoSpaceDE w:val="0"/>
        <w:autoSpaceDN w:val="0"/>
        <w:adjustRightInd w:val="0"/>
        <w:spacing w:line="450" w:lineRule="atLeast"/>
        <w:ind w:firstLine="440" w:firstLineChars="200"/>
        <w:textAlignment w:val="bottom"/>
        <w:rPr>
          <w:rFonts w:ascii="宋体" w:eastAsia="宋体"/>
          <w:b w:val="0"/>
          <w:color w:val="auto"/>
          <w:sz w:val="22"/>
          <w:szCs w:val="22"/>
          <w:highlight w:val="none"/>
        </w:rPr>
      </w:pPr>
      <w:r>
        <w:rPr>
          <w:rFonts w:hint="eastAsia" w:ascii="宋体" w:eastAsia="宋体"/>
          <w:b w:val="0"/>
          <w:color w:val="auto"/>
          <w:sz w:val="22"/>
          <w:szCs w:val="22"/>
          <w:highlight w:val="none"/>
        </w:rPr>
        <w:t>15.4以邮政快递方式递交备份投标文件的，投标人应先将备份投标文件按要求密封和标记，再进行邮政快递包装后邮寄。备份投标文件须在投标截止时间之前送达招标文件第二部分投标人须知前附表规定的备份投标文件送达地点；送达时间以签收人签收时间为准。采购代理机构将拒绝接受逾期送达的备份投标文件。邮寄过程中，电子备份投标文件发生泄露、遗失、损坏或延期送达等情况的，由投标人自行负责。</w:t>
      </w:r>
    </w:p>
    <w:p w14:paraId="046D60A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15.5投标人仅提交备份投标文件，未在电子交易平台传输递交投标文件的，投标无效。</w:t>
      </w:r>
    </w:p>
    <w:p w14:paraId="38899D94">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16.投标文件的无效处理</w:t>
      </w:r>
    </w:p>
    <w:p w14:paraId="5A6DF3B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详见招标文件</w:t>
      </w:r>
    </w:p>
    <w:p w14:paraId="227E23B6">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17.投标有效期</w:t>
      </w:r>
    </w:p>
    <w:p w14:paraId="46C0E0DD">
      <w:pPr>
        <w:widowControl/>
        <w:autoSpaceDE w:val="0"/>
        <w:autoSpaceDN w:val="0"/>
        <w:adjustRightInd w:val="0"/>
        <w:spacing w:line="450" w:lineRule="atLeast"/>
        <w:ind w:firstLine="442" w:firstLineChars="200"/>
        <w:textAlignment w:val="bottom"/>
        <w:rPr>
          <w:rFonts w:hint="eastAsia" w:ascii="宋体" w:eastAsia="宋体"/>
          <w:bCs/>
          <w:color w:val="auto"/>
          <w:sz w:val="22"/>
          <w:szCs w:val="22"/>
          <w:highlight w:val="none"/>
          <w:u w:val="single"/>
        </w:rPr>
      </w:pPr>
      <w:r>
        <w:rPr>
          <w:rFonts w:hint="eastAsia" w:ascii="宋体" w:eastAsia="宋体"/>
          <w:bCs/>
          <w:color w:val="auto"/>
          <w:sz w:val="22"/>
          <w:szCs w:val="22"/>
          <w:highlight w:val="none"/>
          <w:u w:val="single"/>
        </w:rPr>
        <w:t>17.1▲投标有效期为从提交投标文件的截止之日起90天。投标人的投标文件中承诺的投标有效期少于招标文件中载明的投标有效期的，投标无效。</w:t>
      </w:r>
    </w:p>
    <w:p w14:paraId="489A788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17.2投标文件合格投递后，自投标截止日期起，在投标有效期内有效。</w:t>
      </w:r>
    </w:p>
    <w:p w14:paraId="1D59676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17.3在原定投标有效期满之前，如果出现特殊情况，采购代理机构可以以书面形式通知投标人延长投标有效期。投标人同意延长的，不得要求或被允许修改其投标文件，投标人拒绝延长的，其投标无效。</w:t>
      </w:r>
    </w:p>
    <w:p w14:paraId="799CD8FE">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四、开标、资格审查与信用信息查询</w:t>
      </w:r>
    </w:p>
    <w:p w14:paraId="4FF29959">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 xml:space="preserve">18.开标 </w:t>
      </w:r>
    </w:p>
    <w:p w14:paraId="31A763B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18.1采购代理机构按照招标文件规定的时间通过电子交易平台组织开标，所有投标人均应当准时在线参加。投标人不足3家的，不得开标。</w:t>
      </w:r>
    </w:p>
    <w:p w14:paraId="26891AE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18.2开标时，电子交易平台按开标时间自动提取所有投标文件。采购代理机构依托电子交易平台发起开始解密指令，投标人按照平台提示和招标文件的规定在半小时内完成在线解密。</w:t>
      </w:r>
    </w:p>
    <w:p w14:paraId="7BA9FB55">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18.3投标文件未按时解密，投标人提供了备份投标文件的，以备份投标文件作为依据，否则视为投标文件撤回。投标文件已按时解密的，备份投标文件自动失效。</w:t>
      </w:r>
    </w:p>
    <w:p w14:paraId="3A497CAF">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19.资格审查</w:t>
      </w:r>
    </w:p>
    <w:p w14:paraId="06A5360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19.1采购人或采购代理机构依据法律法规和招标文件的规定，对投标人的资格进行审查。</w:t>
      </w:r>
    </w:p>
    <w:p w14:paraId="1619724F">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19.2投标人未按照招标文件要求提供与资格条件相应的有效资格证明材料的，视为投标人不具备招标文件中规定的资格要求，其投标无效。</w:t>
      </w:r>
    </w:p>
    <w:p w14:paraId="3C7A978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19.3对未通过资格审查的投标人，采购人或采购代理机构告知其未通过的原因。</w:t>
      </w:r>
    </w:p>
    <w:p w14:paraId="14DFAA17">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19.4合格投标人不足3家的，不再评标。</w:t>
      </w:r>
    </w:p>
    <w:p w14:paraId="3534A89A">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20.信用信息查询</w:t>
      </w:r>
    </w:p>
    <w:p w14:paraId="7F862074">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20.1信用信息查询渠道及截止时间：采购人将在资格审查时通过“信用中国”网站(www.creditchina.gov.cn)、中国政府采购网(www.ccgp.gov.cn)渠道查询投标人接受资格时的信用记录。</w:t>
      </w:r>
    </w:p>
    <w:p w14:paraId="51F061A7">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20.2信用信息查询记录和证据留存的具体方式：现场查询的投标人的信用记录、查询结果经确认后将与采购文件一起存档（如有）。</w:t>
      </w:r>
    </w:p>
    <w:p w14:paraId="7EF42EF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20.3信用信息的使用规则：经查询列入失信被执行人名单、重大税收违法案件当事人名单、政府采购严重违法失信行为记录名单的投标人将被拒绝参与政府采购活动。</w:t>
      </w:r>
    </w:p>
    <w:p w14:paraId="19088524">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20.4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p>
    <w:p w14:paraId="3E4FC9B3">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五、评标</w:t>
      </w:r>
    </w:p>
    <w:p w14:paraId="515DC55F">
      <w:pPr>
        <w:widowControl/>
        <w:autoSpaceDE w:val="0"/>
        <w:autoSpaceDN w:val="0"/>
        <w:adjustRightInd w:val="0"/>
        <w:spacing w:line="450" w:lineRule="atLeast"/>
        <w:textAlignment w:val="bottom"/>
        <w:rPr>
          <w:rFonts w:hint="eastAsia" w:ascii="宋体" w:eastAsia="宋体"/>
          <w:b w:val="0"/>
          <w:color w:val="auto"/>
          <w:sz w:val="22"/>
          <w:szCs w:val="22"/>
          <w:highlight w:val="none"/>
        </w:rPr>
      </w:pPr>
      <w:r>
        <w:rPr>
          <w:rFonts w:hint="eastAsia" w:ascii="宋体" w:eastAsia="宋体"/>
          <w:bCs/>
          <w:color w:val="auto"/>
          <w:sz w:val="22"/>
          <w:szCs w:val="22"/>
          <w:highlight w:val="none"/>
        </w:rPr>
        <w:t>21.</w:t>
      </w:r>
      <w:r>
        <w:rPr>
          <w:rFonts w:hint="eastAsia" w:ascii="宋体" w:eastAsia="宋体"/>
          <w:b w:val="0"/>
          <w:color w:val="auto"/>
          <w:sz w:val="22"/>
          <w:szCs w:val="22"/>
          <w:highlight w:val="none"/>
        </w:rPr>
        <w:t>评标委员会将根据招标文件和有关规定，履行评标工作职责，并按照评标方法及评分标准，全面衡量各投标人对招标文件的响应情况。对实质上响应招标文件的投标人，按照评审因素的量化指标排出推荐中标的投标人的先后顺序，并按顺序提出授标建议。</w:t>
      </w:r>
      <w:r>
        <w:rPr>
          <w:rFonts w:hint="eastAsia" w:ascii="宋体" w:eastAsia="宋体"/>
          <w:bCs/>
          <w:color w:val="auto"/>
          <w:sz w:val="22"/>
          <w:szCs w:val="22"/>
          <w:highlight w:val="none"/>
        </w:rPr>
        <w:t>详见招标文件第四部分评标办法。</w:t>
      </w:r>
    </w:p>
    <w:p w14:paraId="3A42EC37">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六、定 标</w:t>
      </w:r>
    </w:p>
    <w:p w14:paraId="40BD0273">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22. 确定中标供应商</w:t>
      </w:r>
    </w:p>
    <w:p w14:paraId="059DF3D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政府采购项目实行全流程电子化，评审报告送交、采购结果确定和结果公告均在线完成。为进一步提升采购结果确定效率，采购代理机构应当依法及时将评审报告在线送交采购人。采购单位应当自收到评审报告之日起2个工作日内在线确定中标或者成交供应商。中标、成交通知书和中标、成交结果公告应当在规定时间内同时发出。</w:t>
      </w:r>
    </w:p>
    <w:p w14:paraId="252C5312">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23. 中标通知与中标结果公告</w:t>
      </w:r>
    </w:p>
    <w:p w14:paraId="13D6947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23.1自中标人确定之日起2个工作日内，采购代理机构通过电子交易平台向中标人发出中标通知书，同时编制发布采购结果公告。采购代理机构也可以以纸质形式进行中标通知。</w:t>
      </w:r>
    </w:p>
    <w:p w14:paraId="5BFBCCE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23.2中标结果公告内容包括采购人及其委托的采购代理机构的名称、地址、联系方式，项目名称和项目编号，中标人名称、地址和中标金额，主要中标标的的名称、规格型号、数量、单价、服务要求，开标记录、</w:t>
      </w:r>
      <w:bookmarkStart w:id="6" w:name="_Hlk101184471"/>
      <w:r>
        <w:rPr>
          <w:rFonts w:hint="eastAsia" w:ascii="宋体" w:eastAsia="宋体"/>
          <w:b w:val="0"/>
          <w:color w:val="auto"/>
          <w:sz w:val="22"/>
          <w:szCs w:val="22"/>
          <w:highlight w:val="none"/>
        </w:rPr>
        <w:t>资格审查情况、评审专家抽取规则、符合性审查情况、</w:t>
      </w:r>
      <w:bookmarkEnd w:id="6"/>
      <w:r>
        <w:rPr>
          <w:rFonts w:hint="eastAsia" w:ascii="宋体" w:eastAsia="宋体"/>
          <w:b w:val="0"/>
          <w:color w:val="auto"/>
          <w:sz w:val="22"/>
          <w:szCs w:val="22"/>
          <w:highlight w:val="none"/>
        </w:rPr>
        <w:t>未中标情况说明、中标公告期限以及评审专家名单、评分汇总及明细。</w:t>
      </w:r>
    </w:p>
    <w:p w14:paraId="3DC70E8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23.3公告期限为1个工作日。</w:t>
      </w:r>
    </w:p>
    <w:p w14:paraId="0184980D">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七、合同授予</w:t>
      </w:r>
    </w:p>
    <w:p w14:paraId="6538E086">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24. 合同主要条款详见第五部分拟签订的合同文本。</w:t>
      </w:r>
    </w:p>
    <w:p w14:paraId="579FC3D2">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25. 合同的签订</w:t>
      </w:r>
    </w:p>
    <w:p w14:paraId="294850E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25.1 采购人与中标人应当通过电子交易平台在中标通知书发出之日起三十日内，按照招标文件确定的事项签订政府采购合同，并在签订之日起2个工作日内将政府采购合同在浙江政府采购网上公告。鼓励有条件的采购人视情缩减采购合同签订时限，提高采购效率，杜绝“冷、硬、横、推”等不当行为。除不可抗力等特殊情况外，原则上应当在中标通知书发出之日起10个工作日内，与中标供应商按照采购文件确定的事项签订政府采购合同。</w:t>
      </w:r>
    </w:p>
    <w:p w14:paraId="36B789C8">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lang w:val="zh-CN"/>
        </w:rPr>
        <w:t>25.2中标人按规定的日期、时间、地点，由法定代表人或其授权代表与采购人代表签订合同。如中标人为联合体的，由联合体成员各方法定代表人或其授权代表与采购人代表签订合同。</w:t>
      </w:r>
    </w:p>
    <w:p w14:paraId="4F16F5A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25.3如签订合同并生效后，供应商无故拒绝或延期，除按照合同条款处理外，列入不良行为记录一次，并给予通报。</w:t>
      </w:r>
    </w:p>
    <w:p w14:paraId="59D5B99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25.4排名第一的中标候选人放弃中标；因不可抗力提出不能履行合同；或者招标文件规定应当提交履约保证金而在规定的期限内未能提交的；或未能在规定时间内与采购单位签订合同的；或者经质疑，确因排名第一的候选人在本次采购活动中存在违法违规行为或其他原因使质疑成立的；或者存在违法违规行为被采购监管部门处理的；采购单位可以按照评标报告推荐的中标候选人名单排序，确定下一候选人为中标，也可以重新开展政府采购活动。</w:t>
      </w:r>
    </w:p>
    <w:p w14:paraId="5A00B52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25.5采购合同由采购人与中标供应商根据招标文件、投标文件等内容通过政府采购电子交易平台在线签订，自动备案。</w:t>
      </w:r>
    </w:p>
    <w:p w14:paraId="0402A985">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26. 履约保证金</w:t>
      </w:r>
    </w:p>
    <w:p w14:paraId="09F392C3">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拟签订的合同文本要求中标供应商提交履约保证金的，供应商应当以支票、汇票、本票或者金融机构、担保机构出具的保函等非现金形式提交。履约保证金的数额不得超过政府采购合同金额的1%，鼓励根据项目特点、供应商诚信等因素免收履约保证金或降低缴纳比例。鼓励和支持供应商以银行、保险公司出具的保函形式提供履约保证金。采购人不得拒收履约保函，项目验收结束后应及时退还，延迟退还的，应当按照合同约定和法律规定承担相应的赔偿责任。</w:t>
      </w:r>
    </w:p>
    <w:p w14:paraId="0B2653A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供应商可登录政采云平台-【金融服务】—【我的项目】—【已备案合同】以保函形式提供：1、供应商在合同列表选择需要投保的合同，点击[保函推荐]。2、在弹框里查看推荐的保函产品，供应商自行选择保函产品，点击[立即申请]。3、在弹框里填写保函申请信息。具体步骤：选择产品—填写供应商信息—选择中标项目—确认信息—等待保险/保函受理—确认保单—支付保费—成功出单。政采云金融专线400-903-9583。</w:t>
      </w:r>
    </w:p>
    <w:p w14:paraId="4F2612E6">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27.预付款</w:t>
      </w:r>
    </w:p>
    <w:p w14:paraId="10DC2A33">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采购单位应当在政府采购合同中约定预付款，对中小企业合同预付款比例原则上不低于合同金额的40％，不高于合同金额的70%；项目分年安排预算的，每年预付款比例不低于项目年度计划支付资金额的40％，不高于合同金额的70%；采购项目实施以人工投入为主的，可适当降低预付款比例，但不得低于20%。对供应商为大型企业的项目或者以人工投入为主且实行按月定期结算支付款项的项目，预付款可低于上述比例或者不约定预付款。在签订合同时，供应商明确表示无需预付款或者主动要求降低预付款比例的，采购单位可不适用前述规定。采购单位根据项目特点、供应商诚信等因素，可以要求供应商提交银行、保险公司等金融机构出具的预付款保函或其他担保措施。政府采购预付款应在合同生效以及具备实施条件后7个工作日内支付。政府采购工程以及与工程建设有关的货物、服务，采用招标方式采购的，预付款从其相关规定。供应商可登录政采云前台大厅选择金融服务 - 【保函保险服务】出具预付款保函，具体步骤：选择产品—填写供应商信息—选择中标项目—确认信息—等待保险/保函受理—确认保单—支付保费—成功出单。政采云金融专线400-903-9583。</w:t>
      </w:r>
    </w:p>
    <w:p w14:paraId="36ACAFE5">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八、电子交易活动的中止</w:t>
      </w:r>
    </w:p>
    <w:p w14:paraId="62D0961B">
      <w:pPr>
        <w:widowControl/>
        <w:autoSpaceDE w:val="0"/>
        <w:autoSpaceDN w:val="0"/>
        <w:adjustRightInd w:val="0"/>
        <w:spacing w:line="450" w:lineRule="atLeast"/>
        <w:ind w:firstLine="442" w:firstLineChars="200"/>
        <w:textAlignment w:val="bottom"/>
        <w:rPr>
          <w:rFonts w:hint="eastAsia" w:ascii="宋体" w:eastAsia="宋体"/>
          <w:b w:val="0"/>
          <w:color w:val="auto"/>
          <w:sz w:val="22"/>
          <w:szCs w:val="22"/>
          <w:highlight w:val="none"/>
        </w:rPr>
      </w:pPr>
      <w:r>
        <w:rPr>
          <w:rFonts w:hint="eastAsia" w:ascii="宋体" w:eastAsia="宋体" w:cs="宋体"/>
          <w:bCs/>
          <w:color w:val="auto"/>
          <w:sz w:val="22"/>
          <w:szCs w:val="22"/>
          <w:highlight w:val="none"/>
        </w:rPr>
        <w:t>28.</w:t>
      </w:r>
      <w:r>
        <w:rPr>
          <w:rFonts w:hint="eastAsia" w:ascii="宋体" w:eastAsia="宋体"/>
          <w:b w:val="0"/>
          <w:color w:val="auto"/>
          <w:sz w:val="22"/>
          <w:szCs w:val="22"/>
          <w:highlight w:val="none"/>
        </w:rPr>
        <w:t>电子交易活动的中止。采购过程中出现以下情形，导致电子交易平台无法正常运行，或者无法保证电子交易的公平、公正和安全时，采购代理机构可中止电子交易活动：</w:t>
      </w:r>
    </w:p>
    <w:p w14:paraId="3CBB7B9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 xml:space="preserve">28.1电子交易平台发生故障而无法登录访问的； </w:t>
      </w:r>
    </w:p>
    <w:p w14:paraId="36426F8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28.2电子交易平台应用或数据库出现错误，不能进行正常操作的；</w:t>
      </w:r>
    </w:p>
    <w:p w14:paraId="78E43EE0">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28.3电子交易平台发现严重安全漏洞，有潜在泄密危险的；</w:t>
      </w:r>
    </w:p>
    <w:p w14:paraId="0A08268F">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 xml:space="preserve">28.4病毒发作导致不能进行正常操作的； </w:t>
      </w:r>
    </w:p>
    <w:p w14:paraId="13A7AFC5">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28.5其他无法保证电子交易的公平、公正和安全的情况。</w:t>
      </w:r>
    </w:p>
    <w:p w14:paraId="450A3770">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29.出现以上情形，不影响采购公平、公正性的，采购组织机构可以待上述情形消除后继续组织电子交易活动，也可以决定某些环节以纸质形式进行；影响或可能影响采购公平、公正性的，应当重新采购。</w:t>
      </w:r>
    </w:p>
    <w:p w14:paraId="6CEE00D8">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九、验收</w:t>
      </w:r>
    </w:p>
    <w:p w14:paraId="4A6ACA49">
      <w:pPr>
        <w:widowControl/>
        <w:autoSpaceDE w:val="0"/>
        <w:autoSpaceDN w:val="0"/>
        <w:adjustRightInd w:val="0"/>
        <w:spacing w:line="450" w:lineRule="atLeast"/>
        <w:textAlignment w:val="bottom"/>
        <w:rPr>
          <w:rFonts w:hint="eastAsia" w:ascii="宋体" w:eastAsia="宋体" w:cs="宋体"/>
          <w:bCs/>
          <w:color w:val="auto"/>
          <w:sz w:val="22"/>
          <w:szCs w:val="22"/>
          <w:highlight w:val="none"/>
        </w:rPr>
      </w:pPr>
      <w:r>
        <w:rPr>
          <w:rFonts w:hint="eastAsia" w:ascii="宋体" w:eastAsia="宋体" w:cs="宋体"/>
          <w:bCs/>
          <w:color w:val="auto"/>
          <w:sz w:val="22"/>
          <w:szCs w:val="22"/>
          <w:highlight w:val="none"/>
        </w:rPr>
        <w:t>30.验收</w:t>
      </w:r>
    </w:p>
    <w:p w14:paraId="5D3A99E5">
      <w:pPr>
        <w:widowControl/>
        <w:autoSpaceDE w:val="0"/>
        <w:autoSpaceDN w:val="0"/>
        <w:adjustRightInd w:val="0"/>
        <w:spacing w:line="450" w:lineRule="atLeast"/>
        <w:ind w:firstLine="440" w:firstLineChars="200"/>
        <w:textAlignment w:val="bottom"/>
        <w:rPr>
          <w:rFonts w:hint="eastAsia" w:ascii="宋体" w:eastAsia="宋体" w:cs="宋体"/>
          <w:b w:val="0"/>
          <w:color w:val="auto"/>
          <w:sz w:val="22"/>
          <w:szCs w:val="22"/>
          <w:highlight w:val="none"/>
        </w:rPr>
      </w:pPr>
      <w:r>
        <w:rPr>
          <w:rFonts w:hint="eastAsia" w:ascii="宋体" w:eastAsia="宋体" w:cs="宋体"/>
          <w:b w:val="0"/>
          <w:color w:val="auto"/>
          <w:sz w:val="22"/>
          <w:szCs w:val="22"/>
          <w:highlight w:val="none"/>
        </w:rPr>
        <w:t>30.1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14:paraId="32BA6F49">
      <w:pPr>
        <w:widowControl/>
        <w:autoSpaceDE w:val="0"/>
        <w:autoSpaceDN w:val="0"/>
        <w:adjustRightInd w:val="0"/>
        <w:spacing w:line="450" w:lineRule="atLeast"/>
        <w:ind w:firstLine="440" w:firstLineChars="200"/>
        <w:textAlignment w:val="bottom"/>
        <w:rPr>
          <w:rFonts w:hint="eastAsia" w:ascii="宋体" w:eastAsia="宋体" w:cs="宋体"/>
          <w:b w:val="0"/>
          <w:color w:val="auto"/>
          <w:sz w:val="22"/>
          <w:szCs w:val="22"/>
          <w:highlight w:val="none"/>
        </w:rPr>
      </w:pPr>
      <w:r>
        <w:rPr>
          <w:rFonts w:hint="eastAsia" w:ascii="宋体" w:eastAsia="宋体" w:cs="宋体"/>
          <w:b w:val="0"/>
          <w:color w:val="auto"/>
          <w:sz w:val="22"/>
          <w:szCs w:val="22"/>
          <w:highlight w:val="none"/>
        </w:rPr>
        <w:t>30.2完整细化编制验收方案。采购人应当根据项目特点制定验收方案，明确履约验收的时间、方式、程序、内容和验收标准等事项。验收方法分为一次性验收、分段验收和分期验收三种。对于技术复杂、社会影响较大，涉及到原材料查验、内部设备安装等隐蔽环节，以及需要设置出厂检验、到货检验、安装调试检验、配套服务检验等多重验收环节的货物类项目，应当采取分段验收方式；服务类项目，可根据项目特点对服务期内的服务实施情况进行分期考核，结合考核情况和服务效果进行分期验收；工程类项目应当按照行业管理部门规定的标准、方法和内容进行验收。</w:t>
      </w:r>
    </w:p>
    <w:p w14:paraId="71D2CDEC">
      <w:pPr>
        <w:widowControl/>
        <w:autoSpaceDE w:val="0"/>
        <w:autoSpaceDN w:val="0"/>
        <w:adjustRightInd w:val="0"/>
        <w:spacing w:line="450" w:lineRule="atLeast"/>
        <w:ind w:firstLine="440" w:firstLineChars="200"/>
        <w:textAlignment w:val="bottom"/>
        <w:rPr>
          <w:rFonts w:hint="eastAsia" w:ascii="宋体" w:eastAsia="宋体" w:cs="宋体"/>
          <w:b w:val="0"/>
          <w:color w:val="auto"/>
          <w:sz w:val="22"/>
          <w:szCs w:val="22"/>
          <w:highlight w:val="none"/>
        </w:rPr>
      </w:pPr>
      <w:r>
        <w:rPr>
          <w:rFonts w:hint="eastAsia" w:ascii="宋体" w:eastAsia="宋体" w:cs="宋体"/>
          <w:b w:val="0"/>
          <w:color w:val="auto"/>
          <w:sz w:val="22"/>
          <w:szCs w:val="22"/>
          <w:highlight w:val="none"/>
        </w:rPr>
        <w:t>30.3完善验收方式。对于采购人和使用人分离的采购项目，应当邀请实际使用人参与验收。采购人可以邀请参加本项目的其他供应商或第三方专业机构及专家参与验收，相关验收意见作为验收书的参考资料一并存档。其中大型或复杂、关系到生命财产安全、社会关注度高的采购项目，采购人应当邀请国家认可的质量检测机构参与验收。政府向社会公众提供的公共服务项目，应当邀请服务对象参与验收并出具意见，政府向社会公众提供的公共服务项目以及合同金额达到分散采购限额标准的项目验收结果应于验收结束后及时在浙江政府采购网公开。项目合同涉及中止、未经验收提前终止的，也应当及时在浙江政府采购网公开。</w:t>
      </w:r>
    </w:p>
    <w:p w14:paraId="7F8A0030">
      <w:pPr>
        <w:widowControl/>
        <w:autoSpaceDE w:val="0"/>
        <w:autoSpaceDN w:val="0"/>
        <w:adjustRightInd w:val="0"/>
        <w:spacing w:line="450" w:lineRule="atLeast"/>
        <w:ind w:firstLine="440" w:firstLineChars="200"/>
        <w:textAlignment w:val="bottom"/>
        <w:rPr>
          <w:rFonts w:hint="eastAsia" w:ascii="宋体" w:eastAsia="宋体" w:cs="宋体"/>
          <w:b w:val="0"/>
          <w:color w:val="auto"/>
          <w:sz w:val="22"/>
          <w:szCs w:val="22"/>
          <w:highlight w:val="none"/>
        </w:rPr>
      </w:pPr>
      <w:r>
        <w:rPr>
          <w:rFonts w:hint="eastAsia" w:ascii="宋体" w:eastAsia="宋体" w:cs="宋体"/>
          <w:b w:val="0"/>
          <w:color w:val="auto"/>
          <w:sz w:val="22"/>
          <w:szCs w:val="22"/>
          <w:highlight w:val="none"/>
        </w:rPr>
        <w:t>30.4严格按照采购合同开展履约验收。采购人或者采购代理机构应当成立验收小组，按照招标文件、投标文件、采购合同、封存样品等约定的质量、数量、技术指标或者服务要求设置验收指标及其标准进行验收。未约定的，应当符合国家强制性规定、政策要求、安全标准、行业或企业有关标准等。验收时，按要求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14:paraId="74772A5D">
      <w:pPr>
        <w:widowControl/>
        <w:autoSpaceDE w:val="0"/>
        <w:autoSpaceDN w:val="0"/>
        <w:adjustRightInd w:val="0"/>
        <w:spacing w:line="450" w:lineRule="atLeast"/>
        <w:ind w:firstLine="440" w:firstLineChars="200"/>
        <w:textAlignment w:val="bottom"/>
        <w:rPr>
          <w:rFonts w:hint="eastAsia" w:ascii="宋体" w:eastAsia="宋体" w:cs="宋体"/>
          <w:b w:val="0"/>
          <w:color w:val="auto"/>
          <w:sz w:val="22"/>
          <w:szCs w:val="22"/>
          <w:highlight w:val="none"/>
        </w:rPr>
      </w:pPr>
      <w:r>
        <w:rPr>
          <w:rFonts w:hint="eastAsia" w:ascii="宋体" w:eastAsia="宋体" w:cs="宋体"/>
          <w:b w:val="0"/>
          <w:color w:val="auto"/>
          <w:sz w:val="22"/>
          <w:szCs w:val="22"/>
          <w:highlight w:val="none"/>
        </w:rPr>
        <w:t>30.5严格落实履约验收责任。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p w14:paraId="437B516F">
      <w:pPr>
        <w:widowControl/>
        <w:autoSpaceDE w:val="0"/>
        <w:autoSpaceDN w:val="0"/>
        <w:adjustRightInd w:val="0"/>
        <w:spacing w:line="450" w:lineRule="atLeast"/>
        <w:textAlignment w:val="bottom"/>
        <w:rPr>
          <w:rFonts w:hint="eastAsia" w:ascii="宋体" w:eastAsia="宋体" w:cs="宋体"/>
          <w:bCs/>
          <w:color w:val="auto"/>
          <w:sz w:val="22"/>
          <w:szCs w:val="22"/>
          <w:highlight w:val="none"/>
        </w:rPr>
      </w:pPr>
      <w:r>
        <w:rPr>
          <w:rFonts w:hint="eastAsia" w:ascii="宋体" w:eastAsia="宋体" w:cs="宋体"/>
          <w:bCs/>
          <w:color w:val="auto"/>
          <w:sz w:val="22"/>
          <w:szCs w:val="22"/>
          <w:highlight w:val="none"/>
        </w:rPr>
        <w:t>31.履约验收监督管理</w:t>
      </w:r>
    </w:p>
    <w:p w14:paraId="6B19201F">
      <w:pPr>
        <w:widowControl/>
        <w:autoSpaceDE w:val="0"/>
        <w:autoSpaceDN w:val="0"/>
        <w:adjustRightInd w:val="0"/>
        <w:spacing w:line="450" w:lineRule="atLeast"/>
        <w:ind w:firstLine="440" w:firstLineChars="200"/>
        <w:textAlignment w:val="bottom"/>
        <w:rPr>
          <w:rFonts w:hint="eastAsia" w:ascii="宋体" w:eastAsia="宋体" w:cs="宋体"/>
          <w:b w:val="0"/>
          <w:color w:val="auto"/>
          <w:sz w:val="22"/>
          <w:szCs w:val="22"/>
          <w:highlight w:val="none"/>
        </w:rPr>
      </w:pPr>
      <w:r>
        <w:rPr>
          <w:rFonts w:hint="eastAsia" w:ascii="宋体" w:eastAsia="宋体" w:cs="宋体"/>
          <w:b w:val="0"/>
          <w:color w:val="auto"/>
          <w:sz w:val="22"/>
          <w:szCs w:val="22"/>
          <w:highlight w:val="none"/>
        </w:rPr>
        <w:t>财政部门依法对履约验收活动履行监督管理职责，指导和督促采购人严格履行验收义务，可以依法开展履约验收专项检查，查处违法违规行为。</w:t>
      </w:r>
    </w:p>
    <w:p w14:paraId="3D9F24F7">
      <w:pPr>
        <w:pStyle w:val="16"/>
        <w:spacing w:before="240" w:after="60"/>
        <w:jc w:val="center"/>
        <w:outlineLvl w:val="0"/>
        <w:rPr>
          <w:rFonts w:hint="eastAsia" w:ascii="宋体" w:hAnsi="宋体" w:eastAsia="宋体" w:cs="宋体"/>
          <w:b/>
          <w:color w:val="auto"/>
          <w:kern w:val="0"/>
          <w:sz w:val="32"/>
          <w:szCs w:val="32"/>
          <w:highlight w:val="none"/>
        </w:rPr>
      </w:pPr>
    </w:p>
    <w:p w14:paraId="65A1F210">
      <w:pPr>
        <w:pStyle w:val="16"/>
        <w:spacing w:before="240" w:after="60"/>
        <w:jc w:val="center"/>
        <w:outlineLvl w:val="0"/>
        <w:rPr>
          <w:rFonts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 xml:space="preserve">第三部分 </w:t>
      </w:r>
      <w:bookmarkEnd w:id="5"/>
      <w:bookmarkStart w:id="7" w:name="_Toc157410886"/>
      <w:bookmarkEnd w:id="7"/>
      <w:r>
        <w:rPr>
          <w:rFonts w:hint="eastAsia" w:ascii="宋体" w:hAnsi="宋体" w:eastAsia="宋体" w:cs="宋体"/>
          <w:b/>
          <w:color w:val="auto"/>
          <w:kern w:val="0"/>
          <w:sz w:val="32"/>
          <w:szCs w:val="32"/>
          <w:highlight w:val="none"/>
        </w:rPr>
        <w:t>采购需求</w:t>
      </w:r>
    </w:p>
    <w:p w14:paraId="3633BC80">
      <w:pPr>
        <w:spacing w:line="430" w:lineRule="atLeast"/>
        <w:rPr>
          <w:rFonts w:hint="eastAsia" w:ascii="宋体" w:hAnsi="Times New Roman" w:eastAsia="宋体" w:cs="宋体"/>
          <w:b/>
          <w:bCs/>
          <w:color w:val="auto"/>
          <w:kern w:val="2"/>
          <w:sz w:val="22"/>
          <w:szCs w:val="22"/>
          <w:highlight w:val="none"/>
          <w:lang w:val="en-US" w:eastAsia="zh-CN"/>
        </w:rPr>
      </w:pPr>
      <w:bookmarkStart w:id="8" w:name="_Toc446429436"/>
      <w:bookmarkEnd w:id="8"/>
      <w:bookmarkStart w:id="9" w:name="_Toc21018"/>
      <w:bookmarkEnd w:id="9"/>
      <w:bookmarkStart w:id="10" w:name="_Toc467066328"/>
      <w:bookmarkEnd w:id="10"/>
      <w:bookmarkStart w:id="11" w:name="_Toc515017337"/>
      <w:bookmarkEnd w:id="11"/>
      <w:bookmarkStart w:id="12" w:name="_Toc157410887"/>
      <w:bookmarkEnd w:id="12"/>
      <w:bookmarkStart w:id="13" w:name="_Toc520146750"/>
      <w:bookmarkEnd w:id="13"/>
      <w:bookmarkStart w:id="14" w:name="_Toc493682316"/>
      <w:bookmarkEnd w:id="14"/>
      <w:bookmarkStart w:id="15" w:name="_Toc27391"/>
      <w:bookmarkStart w:id="16" w:name="_Toc23281"/>
      <w:bookmarkStart w:id="17" w:name="_Toc405377115"/>
      <w:bookmarkStart w:id="18" w:name="_Toc484540405"/>
      <w:bookmarkStart w:id="19" w:name="_Toc66643429"/>
      <w:bookmarkStart w:id="20" w:name="_Toc501892974"/>
      <w:bookmarkStart w:id="21" w:name="_Toc5802"/>
      <w:r>
        <w:rPr>
          <w:rFonts w:hint="eastAsia" w:ascii="宋体" w:hAnsi="Times New Roman" w:eastAsia="宋体" w:cs="宋体"/>
          <w:b/>
          <w:bCs/>
          <w:color w:val="auto"/>
          <w:kern w:val="2"/>
          <w:sz w:val="22"/>
          <w:szCs w:val="22"/>
          <w:highlight w:val="none"/>
          <w:lang w:val="en-US" w:eastAsia="zh-CN"/>
        </w:rPr>
        <w:t>一、采购总说明</w:t>
      </w:r>
      <w:bookmarkEnd w:id="15"/>
      <w:bookmarkEnd w:id="16"/>
    </w:p>
    <w:bookmarkEnd w:id="17"/>
    <w:bookmarkEnd w:id="18"/>
    <w:bookmarkEnd w:id="19"/>
    <w:bookmarkEnd w:id="20"/>
    <w:p w14:paraId="3844BBC4">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bookmarkStart w:id="22" w:name="_Toc26833"/>
      <w:bookmarkStart w:id="23" w:name="_Toc48911459"/>
      <w:bookmarkStart w:id="24" w:name="_Toc11097079"/>
      <w:bookmarkStart w:id="25" w:name="_Toc15174"/>
      <w:bookmarkStart w:id="26" w:name="_Toc533"/>
      <w:bookmarkStart w:id="27" w:name="_Toc67213288"/>
      <w:r>
        <w:rPr>
          <w:rFonts w:hint="eastAsia" w:ascii="宋体" w:eastAsia="宋体"/>
          <w:b w:val="0"/>
          <w:color w:val="auto"/>
          <w:sz w:val="22"/>
          <w:highlight w:val="none"/>
        </w:rPr>
        <w:t>1</w:t>
      </w:r>
      <w:r>
        <w:rPr>
          <w:rFonts w:hint="eastAsia" w:ascii="宋体" w:eastAsia="宋体"/>
          <w:b w:val="0"/>
          <w:color w:val="auto"/>
          <w:sz w:val="22"/>
          <w:highlight w:val="none"/>
          <w:lang w:eastAsia="zh-CN"/>
        </w:rPr>
        <w:t>.</w:t>
      </w:r>
      <w:r>
        <w:rPr>
          <w:rFonts w:hint="eastAsia" w:ascii="宋体" w:eastAsia="宋体"/>
          <w:b w:val="0"/>
          <w:color w:val="auto"/>
          <w:sz w:val="22"/>
          <w:highlight w:val="none"/>
        </w:rPr>
        <w:t>本技术规范要求提出的是最低限度的基本技术要求，并未对所有技术细节作出规定，供应商应提供符合本技术要求和国家标准、行业标准的优质产品。</w:t>
      </w:r>
    </w:p>
    <w:p w14:paraId="565D742A">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2</w:t>
      </w:r>
      <w:r>
        <w:rPr>
          <w:rFonts w:hint="eastAsia" w:ascii="宋体" w:eastAsia="宋体"/>
          <w:b w:val="0"/>
          <w:color w:val="auto"/>
          <w:sz w:val="22"/>
          <w:highlight w:val="none"/>
          <w:lang w:eastAsia="zh-CN"/>
        </w:rPr>
        <w:t>.</w:t>
      </w:r>
      <w:r>
        <w:rPr>
          <w:rFonts w:hint="eastAsia" w:ascii="宋体" w:eastAsia="宋体"/>
          <w:b w:val="0"/>
          <w:color w:val="auto"/>
          <w:sz w:val="22"/>
          <w:highlight w:val="none"/>
        </w:rPr>
        <w:t>供应商产品与本技术要求不一致时，供应商应在投标文件中予以说明，并由评标委员会鉴定供应商产品能否达到要求。如供应商没有在投标文件中提出异议，则视为供应商提供的产品完全按照本招标文件要求。</w:t>
      </w:r>
    </w:p>
    <w:p w14:paraId="0614375C">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3</w:t>
      </w:r>
      <w:r>
        <w:rPr>
          <w:rFonts w:hint="eastAsia" w:ascii="宋体" w:eastAsia="宋体"/>
          <w:b w:val="0"/>
          <w:color w:val="auto"/>
          <w:sz w:val="22"/>
          <w:highlight w:val="none"/>
          <w:lang w:eastAsia="zh-CN"/>
        </w:rPr>
        <w:t>.</w:t>
      </w:r>
      <w:r>
        <w:rPr>
          <w:rFonts w:hint="eastAsia" w:ascii="宋体" w:eastAsia="宋体"/>
          <w:b w:val="0"/>
          <w:color w:val="auto"/>
          <w:sz w:val="22"/>
          <w:highlight w:val="none"/>
        </w:rPr>
        <w:t>技术要求及标准的执行</w:t>
      </w:r>
    </w:p>
    <w:p w14:paraId="552BC5DC">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供应商提供的产品投标时需说明所执行的质量标准，若同一标准已颁发新标准，则按最新标准执行。若同一产品同时有几个标准（国际标准、国家标准、行业标准、企业标准等），则按最高层次的标准执行。</w:t>
      </w:r>
    </w:p>
    <w:p w14:paraId="38CC8D32">
      <w:pPr>
        <w:widowControl/>
        <w:autoSpaceDE w:val="0"/>
        <w:autoSpaceDN w:val="0"/>
        <w:adjustRightInd w:val="0"/>
        <w:spacing w:line="460" w:lineRule="atLeast"/>
        <w:ind w:firstLine="440" w:firstLineChars="200"/>
        <w:textAlignment w:val="bottom"/>
        <w:rPr>
          <w:rFonts w:hint="eastAsia" w:ascii="宋体" w:eastAsia="宋体"/>
          <w:b w:val="0"/>
          <w:bCs w:val="0"/>
          <w:color w:val="auto"/>
          <w:sz w:val="22"/>
          <w:szCs w:val="22"/>
          <w:highlight w:val="none"/>
        </w:rPr>
      </w:pPr>
      <w:r>
        <w:rPr>
          <w:rFonts w:hint="eastAsia" w:ascii="宋体" w:eastAsia="宋体"/>
          <w:b w:val="0"/>
          <w:color w:val="auto"/>
          <w:sz w:val="22"/>
          <w:szCs w:val="22"/>
          <w:highlight w:val="none"/>
          <w:lang w:val="en-US" w:eastAsia="zh-CN"/>
        </w:rPr>
        <w:t>4.</w:t>
      </w:r>
      <w:r>
        <w:rPr>
          <w:rFonts w:hint="eastAsia" w:ascii="宋体" w:eastAsia="宋体"/>
          <w:b w:val="0"/>
          <w:color w:val="auto"/>
          <w:sz w:val="22"/>
          <w:szCs w:val="22"/>
          <w:highlight w:val="none"/>
        </w:rPr>
        <w:t>供应商须按国家有关规定及标准完成本次采购产品的供货、运输、装卸、就位、安装、调试、技术培训、检验、通过有关部门验收、维保期服务、产品终身维修等各项工作，并保证投标产品使用的安全性能与检测结果的可靠性。</w:t>
      </w:r>
      <w:r>
        <w:rPr>
          <w:rFonts w:hint="eastAsia" w:ascii="宋体" w:eastAsia="宋体"/>
          <w:b w:val="0"/>
          <w:bCs w:val="0"/>
          <w:color w:val="auto"/>
          <w:sz w:val="22"/>
          <w:szCs w:val="22"/>
          <w:highlight w:val="none"/>
        </w:rPr>
        <w:t>如中标，中标供应商及制造商对中标产品使用的安全性能与可靠性负全部责任。中标供应商须随产品提供使用说明书与维保卡。供应商提供相关数据与说明，投标文件须对下列要求作出实质性回应。</w:t>
      </w:r>
    </w:p>
    <w:p w14:paraId="74584ED3">
      <w:pPr>
        <w:spacing w:line="430" w:lineRule="atLeast"/>
        <w:rPr>
          <w:rFonts w:hint="eastAsia" w:ascii="宋体" w:hAnsi="Times New Roman" w:eastAsia="宋体" w:cs="宋体"/>
          <w:b/>
          <w:bCs/>
          <w:color w:val="auto"/>
          <w:kern w:val="2"/>
          <w:sz w:val="22"/>
          <w:szCs w:val="22"/>
          <w:highlight w:val="none"/>
          <w:lang w:val="en-US" w:eastAsia="zh-CN"/>
        </w:rPr>
      </w:pPr>
      <w:bookmarkStart w:id="28" w:name="_Toc12035"/>
      <w:r>
        <w:rPr>
          <w:rFonts w:hint="eastAsia" w:ascii="宋体" w:hAnsi="Times New Roman" w:eastAsia="宋体" w:cs="宋体"/>
          <w:b/>
          <w:bCs/>
          <w:color w:val="auto"/>
          <w:kern w:val="2"/>
          <w:sz w:val="22"/>
          <w:szCs w:val="22"/>
          <w:highlight w:val="none"/>
          <w:lang w:val="en-US" w:eastAsia="zh-CN"/>
        </w:rPr>
        <w:t>二、采购内容及清单</w:t>
      </w:r>
      <w:bookmarkEnd w:id="28"/>
    </w:p>
    <w:p w14:paraId="22BA3593">
      <w:pPr>
        <w:widowControl/>
        <w:autoSpaceDE w:val="0"/>
        <w:autoSpaceDN w:val="0"/>
        <w:adjustRightInd w:val="0"/>
        <w:spacing w:line="460" w:lineRule="atLeast"/>
        <w:ind w:firstLine="442" w:firstLineChars="200"/>
        <w:textAlignment w:val="bottom"/>
        <w:rPr>
          <w:rFonts w:hint="eastAsia" w:ascii="宋体" w:eastAsia="宋体"/>
          <w:b/>
          <w:bCs/>
          <w:color w:val="auto"/>
          <w:sz w:val="22"/>
          <w:highlight w:val="none"/>
          <w:lang w:val="en-US" w:eastAsia="zh-CN"/>
        </w:rPr>
      </w:pPr>
      <w:r>
        <w:rPr>
          <w:rFonts w:hint="eastAsia" w:ascii="宋体" w:eastAsia="宋体"/>
          <w:b/>
          <w:bCs/>
          <w:color w:val="auto"/>
          <w:sz w:val="22"/>
          <w:highlight w:val="none"/>
          <w:lang w:val="en-US" w:eastAsia="zh-CN"/>
        </w:rPr>
        <w:t>（一）采购清单</w:t>
      </w:r>
    </w:p>
    <w:tbl>
      <w:tblPr>
        <w:tblStyle w:val="48"/>
        <w:tblW w:w="925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339"/>
        <w:gridCol w:w="4253"/>
        <w:gridCol w:w="1363"/>
        <w:gridCol w:w="2303"/>
      </w:tblGrid>
      <w:tr w14:paraId="6203A5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1339"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474A5DC">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序号</w:t>
            </w:r>
          </w:p>
        </w:tc>
        <w:tc>
          <w:tcPr>
            <w:tcW w:w="4253"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970B084">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项目</w:t>
            </w:r>
          </w:p>
        </w:tc>
        <w:tc>
          <w:tcPr>
            <w:tcW w:w="1363"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3EBD7E3">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单位</w:t>
            </w:r>
          </w:p>
        </w:tc>
        <w:tc>
          <w:tcPr>
            <w:tcW w:w="2303"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2BD0A64">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数量</w:t>
            </w:r>
          </w:p>
        </w:tc>
      </w:tr>
      <w:tr w14:paraId="77B7D7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1854E3A6">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1CF1FACF">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小学科学实验室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55FDFD0B">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360421B7">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2</w:t>
            </w:r>
          </w:p>
        </w:tc>
      </w:tr>
      <w:tr w14:paraId="072519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68A3112E">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44E00EA6">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小学科学实验室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4B227539">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36A3E515">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1</w:t>
            </w:r>
          </w:p>
        </w:tc>
      </w:tr>
      <w:tr w14:paraId="40F91D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412F1C93">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53596744">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小学科学准备室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519C25A4">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105C2340">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1</w:t>
            </w:r>
          </w:p>
        </w:tc>
      </w:tr>
      <w:tr w14:paraId="563E79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15EDF015">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24599BE7">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小学科学主题式实验箱</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361C6A48">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555E3330">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1</w:t>
            </w:r>
          </w:p>
        </w:tc>
      </w:tr>
      <w:tr w14:paraId="466953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38E0177F">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53E06E3B">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小学科学仪器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6C2F54B4">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075A2C47">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1</w:t>
            </w:r>
          </w:p>
        </w:tc>
      </w:tr>
    </w:tbl>
    <w:p w14:paraId="27CC5059">
      <w:pPr>
        <w:widowControl/>
        <w:autoSpaceDE w:val="0"/>
        <w:autoSpaceDN w:val="0"/>
        <w:adjustRightInd w:val="0"/>
        <w:spacing w:line="460" w:lineRule="atLeast"/>
        <w:ind w:firstLine="442" w:firstLineChars="200"/>
        <w:textAlignment w:val="bottom"/>
        <w:rPr>
          <w:rFonts w:hint="eastAsia" w:ascii="宋体" w:eastAsia="宋体"/>
          <w:b/>
          <w:bCs/>
          <w:color w:val="auto"/>
          <w:sz w:val="22"/>
          <w:highlight w:val="none"/>
          <w:lang w:val="en-US" w:eastAsia="zh-CN"/>
        </w:rPr>
      </w:pPr>
      <w:r>
        <w:rPr>
          <w:rFonts w:hint="eastAsia" w:ascii="宋体" w:eastAsia="宋体"/>
          <w:b/>
          <w:bCs/>
          <w:color w:val="auto"/>
          <w:sz w:val="22"/>
          <w:highlight w:val="none"/>
          <w:lang w:val="en-US" w:eastAsia="zh-CN"/>
        </w:rPr>
        <w:t>（二）采购内容及技术要求</w:t>
      </w:r>
    </w:p>
    <w:p w14:paraId="32794E78">
      <w:pPr>
        <w:widowControl/>
        <w:autoSpaceDE w:val="0"/>
        <w:autoSpaceDN w:val="0"/>
        <w:adjustRightInd w:val="0"/>
        <w:spacing w:line="460" w:lineRule="atLeast"/>
        <w:ind w:firstLine="442" w:firstLineChars="200"/>
        <w:textAlignment w:val="bottom"/>
        <w:rPr>
          <w:rFonts w:hint="default" w:ascii="宋体" w:eastAsia="宋体" w:cs="宋体"/>
          <w:b/>
          <w:bCs/>
          <w:color w:val="auto"/>
          <w:sz w:val="22"/>
          <w:highlight w:val="none"/>
          <w:lang w:val="en-US" w:eastAsia="zh-CN"/>
        </w:rPr>
      </w:pPr>
      <w:r>
        <w:rPr>
          <w:rFonts w:hint="eastAsia" w:ascii="宋体" w:eastAsia="宋体" w:cs="宋体"/>
          <w:b/>
          <w:bCs/>
          <w:color w:val="auto"/>
          <w:sz w:val="22"/>
          <w:highlight w:val="none"/>
          <w:lang w:val="en-US" w:eastAsia="zh-CN"/>
        </w:rPr>
        <w:t>2.1.</w:t>
      </w:r>
      <w:r>
        <w:rPr>
          <w:rFonts w:hint="eastAsia" w:ascii="宋体" w:hAnsi="宋体" w:eastAsia="宋体" w:cs="宋体"/>
          <w:b/>
          <w:i w:val="0"/>
          <w:iCs w:val="0"/>
          <w:color w:val="auto"/>
          <w:kern w:val="0"/>
          <w:sz w:val="22"/>
          <w:szCs w:val="22"/>
          <w:highlight w:val="none"/>
          <w:u w:val="none"/>
          <w:lang w:val="en-US" w:eastAsia="zh-CN" w:bidi="ar"/>
        </w:rPr>
        <w:t>48座小学科学实验室配置清单 四人桌（以下数量为一间数量，共2间）</w:t>
      </w:r>
    </w:p>
    <w:tbl>
      <w:tblPr>
        <w:tblStyle w:val="48"/>
        <w:tblW w:w="940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594"/>
        <w:gridCol w:w="936"/>
        <w:gridCol w:w="4920"/>
        <w:gridCol w:w="552"/>
        <w:gridCol w:w="540"/>
        <w:gridCol w:w="1859"/>
      </w:tblGrid>
      <w:tr w14:paraId="07DCC1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noWrap/>
            <w:vAlign w:val="center"/>
          </w:tcPr>
          <w:p w14:paraId="74AEAFF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序号</w:t>
            </w:r>
          </w:p>
        </w:tc>
        <w:tc>
          <w:tcPr>
            <w:tcW w:w="936" w:type="dxa"/>
            <w:tcBorders>
              <w:tl2br w:val="nil"/>
              <w:tr2bl w:val="nil"/>
            </w:tcBorders>
            <w:shd w:val="clear" w:color="auto" w:fill="auto"/>
            <w:noWrap/>
            <w:vAlign w:val="center"/>
          </w:tcPr>
          <w:p w14:paraId="4E1676F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设备名称</w:t>
            </w:r>
          </w:p>
        </w:tc>
        <w:tc>
          <w:tcPr>
            <w:tcW w:w="4920" w:type="dxa"/>
            <w:tcBorders>
              <w:tl2br w:val="nil"/>
              <w:tr2bl w:val="nil"/>
            </w:tcBorders>
            <w:shd w:val="clear" w:color="auto" w:fill="auto"/>
            <w:noWrap/>
            <w:vAlign w:val="center"/>
          </w:tcPr>
          <w:p w14:paraId="2A3A423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技术参数</w:t>
            </w:r>
          </w:p>
        </w:tc>
        <w:tc>
          <w:tcPr>
            <w:tcW w:w="552" w:type="dxa"/>
            <w:tcBorders>
              <w:tl2br w:val="nil"/>
              <w:tr2bl w:val="nil"/>
            </w:tcBorders>
            <w:shd w:val="clear" w:color="auto" w:fill="auto"/>
            <w:noWrap/>
            <w:vAlign w:val="center"/>
          </w:tcPr>
          <w:p w14:paraId="09501DF4">
            <w:pPr>
              <w:keepNext w:val="0"/>
              <w:keepLines w:val="0"/>
              <w:widowControl/>
              <w:suppressLineNumbers w:val="0"/>
              <w:jc w:val="both"/>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单位</w:t>
            </w:r>
          </w:p>
        </w:tc>
        <w:tc>
          <w:tcPr>
            <w:tcW w:w="540" w:type="dxa"/>
            <w:tcBorders>
              <w:tl2br w:val="nil"/>
              <w:tr2bl w:val="nil"/>
            </w:tcBorders>
            <w:shd w:val="clear" w:color="auto" w:fill="auto"/>
            <w:noWrap/>
            <w:vAlign w:val="center"/>
          </w:tcPr>
          <w:p w14:paraId="41F08570">
            <w:pPr>
              <w:keepNext w:val="0"/>
              <w:keepLines w:val="0"/>
              <w:widowControl/>
              <w:suppressLineNumbers w:val="0"/>
              <w:jc w:val="both"/>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数量</w:t>
            </w:r>
          </w:p>
        </w:tc>
        <w:tc>
          <w:tcPr>
            <w:tcW w:w="1859" w:type="dxa"/>
            <w:tcBorders>
              <w:tl2br w:val="nil"/>
              <w:tr2bl w:val="nil"/>
            </w:tcBorders>
            <w:shd w:val="clear" w:color="auto" w:fill="auto"/>
            <w:noWrap/>
            <w:vAlign w:val="center"/>
          </w:tcPr>
          <w:p w14:paraId="55D6BD6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备注</w:t>
            </w:r>
          </w:p>
        </w:tc>
      </w:tr>
      <w:tr w14:paraId="679DB3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0582906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936" w:type="dxa"/>
            <w:tcBorders>
              <w:tl2br w:val="nil"/>
              <w:tr2bl w:val="nil"/>
            </w:tcBorders>
            <w:shd w:val="clear" w:color="auto" w:fill="auto"/>
            <w:vAlign w:val="center"/>
          </w:tcPr>
          <w:p w14:paraId="0521A8F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教师演示台</w:t>
            </w:r>
          </w:p>
        </w:tc>
        <w:tc>
          <w:tcPr>
            <w:tcW w:w="4920" w:type="dxa"/>
            <w:tcBorders>
              <w:tl2br w:val="nil"/>
              <w:tr2bl w:val="nil"/>
            </w:tcBorders>
            <w:shd w:val="clear" w:color="auto" w:fill="auto"/>
            <w:vAlign w:val="center"/>
          </w:tcPr>
          <w:p w14:paraId="1B4ED126">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1、尺寸：2400（长）×700（宽）×850mm（高）。</w:t>
            </w:r>
          </w:p>
          <w:p w14:paraId="075688ED">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2、结构：演示台设有储物柜，中间为演示台，设置电源主控系统、多媒体设备（主机、显示器、中控、功放、交换机）的位置预留。</w:t>
            </w:r>
          </w:p>
          <w:p w14:paraId="46C728C0">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3、★台面：采用≥13mm厚实芯双面理化膜优抗板台面，产品各项性能满足或高于如下要求：</w:t>
            </w:r>
          </w:p>
          <w:p w14:paraId="64BEC4FB">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3.1、台面板材正反两面参照GB/T 17657-2022标准进行不少于140项化学试剂及有机溶液检测，硫酸（98%）、77%硫酸、40%氢氟酸、硝酸（65%）、四氯化碳、氢氧化钠（40%）、乙基苯、饱和氯化锌等检验结果均为无明显变化，分级结果为“5级”。</w:t>
            </w:r>
          </w:p>
          <w:p w14:paraId="0B46EB67">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3.2、甲醛释放量按照GB/T39600-2021标准检测，检验结果为≤0.006mg/m³；重金属检测参照 GB 18584-2001《室内装饰装修材料木家具中有害物质限量》标准，满足 4 种重金属含量 mg/kg（可溶性铅≤1.3；镉：未检出；铬≤0.3；汞：未检出）燃烧性能项目检测符合GB 8624-2012标准，达到B1（C-s1,d0,t1）级，烟气毒性等级为ZA3级；检测依据GB/T 2408-2021标准水平燃烧符合HB级、垂直燃符合V-0级。</w:t>
            </w:r>
          </w:p>
          <w:p w14:paraId="6974BBDE">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3.3、按照 GB/T 17657-2022等标准进行不少于27项检测，结果为：密度≥1.44g/㎝³；24h吸水率≤0.2%；静曲强度大于138MPa；弹性模量≥9890MPa；顺纹抗压强度大于176MPa；耐沸水性能：质量增加百分率≤0.01%、厚度增加百分率≤0.06%，表面质量等级：5级：无变化，边缘质量等级：5级：无明显变化；漆膜硬度：≥9H；耐臭氧（72h）；外观无明显变化；表面耐磨性能：≥1550r，未出现磨损；尺寸稳定性检测结果：纵向≤0.04%、横向≤0.05%；漆膜附着力：六级：切割边缘完全平滑，网格内无脱落；负荷变形温度：＞200℃；</w:t>
            </w:r>
          </w:p>
          <w:p w14:paraId="00B49B0C">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3.4、抗霉性：长枝木霉、出芽短梗霉等7种霉抗霉性能为0级，抗菌性：大肠埃希氏菌、金黄色葡萄球菌、海氏肠球菌等不少于17种的菌种检测结果抗菌率≥99.99%。</w:t>
            </w:r>
          </w:p>
          <w:p w14:paraId="775F888C">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3.5、符合《建筑材料放射性核素限量》GB6566-2010检测标准，放射性内、外照射检测值≤0.1。</w:t>
            </w:r>
          </w:p>
          <w:p w14:paraId="139E64F6">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针对以上台面技术性能，提供第三方权威检测机构出具的有CMA标志检测报告复印件或扫描件佐证参数。</w:t>
            </w:r>
          </w:p>
          <w:p w14:paraId="536F173A">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4、桌体：采用1.0mm优质镀锌钢板，CO2保护焊焊接，打磨处理，表面经耐酸碱粉末经过喷塑后高温处理而成。</w:t>
            </w:r>
          </w:p>
          <w:p w14:paraId="1F4A2881">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5、滑轨：三节重型滚珠滑轨，承重性强，滑动性能良好，无噪音，开合十万次不变形。</w:t>
            </w:r>
          </w:p>
          <w:p w14:paraId="20BB93E5">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6、铰链：采用自动型110°大伸展角度，锌合金铰链，开合五万次不变形。</w:t>
            </w:r>
          </w:p>
          <w:p w14:paraId="5EEB9481">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7、拉手：采用C型不锈钢拉手，造型独特美观。</w:t>
            </w:r>
          </w:p>
          <w:p w14:paraId="123517CB">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8、脚垫：采用柜体内置可调ABS脚垫，保证桌面平整，防水防潮，延长设备使用寿命。                                                   </w:t>
            </w:r>
          </w:p>
        </w:tc>
        <w:tc>
          <w:tcPr>
            <w:tcW w:w="552" w:type="dxa"/>
            <w:tcBorders>
              <w:tl2br w:val="nil"/>
              <w:tr2bl w:val="nil"/>
            </w:tcBorders>
            <w:shd w:val="clear" w:color="auto" w:fill="auto"/>
            <w:noWrap/>
            <w:vAlign w:val="center"/>
          </w:tcPr>
          <w:p w14:paraId="0EB7565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540" w:type="dxa"/>
            <w:tcBorders>
              <w:tl2br w:val="nil"/>
              <w:tr2bl w:val="nil"/>
            </w:tcBorders>
            <w:shd w:val="clear" w:color="auto" w:fill="auto"/>
            <w:vAlign w:val="center"/>
          </w:tcPr>
          <w:p w14:paraId="28F3752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6E1DBD0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015365" cy="640080"/>
                  <wp:effectExtent l="0" t="0" r="5715"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3"/>
                          <a:stretch>
                            <a:fillRect/>
                          </a:stretch>
                        </pic:blipFill>
                        <pic:spPr>
                          <a:xfrm>
                            <a:off x="0" y="0"/>
                            <a:ext cx="1015365" cy="640080"/>
                          </a:xfrm>
                          <a:prstGeom prst="rect">
                            <a:avLst/>
                          </a:prstGeom>
                          <a:noFill/>
                          <a:ln w="9525">
                            <a:noFill/>
                          </a:ln>
                        </pic:spPr>
                      </pic:pic>
                    </a:graphicData>
                  </a:graphic>
                </wp:inline>
              </w:drawing>
            </w:r>
          </w:p>
        </w:tc>
      </w:tr>
      <w:tr w14:paraId="289E8B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5B5A862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936" w:type="dxa"/>
            <w:tcBorders>
              <w:tl2br w:val="nil"/>
              <w:tr2bl w:val="nil"/>
            </w:tcBorders>
            <w:shd w:val="clear" w:color="auto" w:fill="auto"/>
            <w:vAlign w:val="center"/>
          </w:tcPr>
          <w:p w14:paraId="1083C7B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教师洗眼器</w:t>
            </w:r>
          </w:p>
        </w:tc>
        <w:tc>
          <w:tcPr>
            <w:tcW w:w="4920" w:type="dxa"/>
            <w:tcBorders>
              <w:tl2br w:val="nil"/>
              <w:tr2bl w:val="nil"/>
            </w:tcBorders>
            <w:shd w:val="clear" w:color="auto" w:fill="auto"/>
            <w:vAlign w:val="center"/>
          </w:tcPr>
          <w:p w14:paraId="7843462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1、台面安装方式，平时放置于台面，紧急使用时可随意抽起，使用方便。</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2、洗眼喷头：具有过滤泡棉及防尘功能，上面防尘盖平常可防尘，使用时可随时被水冲开，并降低突然打开时短暂的高水压，避免冲伤眼睛。</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3、控水阀采用黄铜制作，经高亮度环氧树脂涂层处理，外观美观大方，阀门可自动关闭，密封可靠。</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4、供水软管：采用2m长不锈钢软管。</w:t>
            </w:r>
          </w:p>
        </w:tc>
        <w:tc>
          <w:tcPr>
            <w:tcW w:w="552" w:type="dxa"/>
            <w:tcBorders>
              <w:tl2br w:val="nil"/>
              <w:tr2bl w:val="nil"/>
            </w:tcBorders>
            <w:shd w:val="clear" w:color="auto" w:fill="auto"/>
            <w:noWrap/>
            <w:vAlign w:val="center"/>
          </w:tcPr>
          <w:p w14:paraId="6241AC8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540" w:type="dxa"/>
            <w:tcBorders>
              <w:tl2br w:val="nil"/>
              <w:tr2bl w:val="nil"/>
            </w:tcBorders>
            <w:shd w:val="clear" w:color="auto" w:fill="auto"/>
            <w:vAlign w:val="center"/>
          </w:tcPr>
          <w:p w14:paraId="6FCFF1E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096D5FA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95935" cy="1069340"/>
                  <wp:effectExtent l="0" t="0" r="6985" b="12700"/>
                  <wp:docPr id="2"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14"/>
                          <a:stretch>
                            <a:fillRect/>
                          </a:stretch>
                        </pic:blipFill>
                        <pic:spPr>
                          <a:xfrm>
                            <a:off x="0" y="0"/>
                            <a:ext cx="495935" cy="1069340"/>
                          </a:xfrm>
                          <a:prstGeom prst="rect">
                            <a:avLst/>
                          </a:prstGeom>
                          <a:noFill/>
                          <a:ln w="9525">
                            <a:noFill/>
                          </a:ln>
                        </pic:spPr>
                      </pic:pic>
                    </a:graphicData>
                  </a:graphic>
                </wp:inline>
              </w:drawing>
            </w:r>
          </w:p>
        </w:tc>
      </w:tr>
      <w:tr w14:paraId="0175A1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6F3DE53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w:t>
            </w:r>
          </w:p>
        </w:tc>
        <w:tc>
          <w:tcPr>
            <w:tcW w:w="936" w:type="dxa"/>
            <w:tcBorders>
              <w:tl2br w:val="nil"/>
              <w:tr2bl w:val="nil"/>
            </w:tcBorders>
            <w:shd w:val="clear" w:color="auto" w:fill="auto"/>
            <w:vAlign w:val="center"/>
          </w:tcPr>
          <w:p w14:paraId="7B1CC91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教师大号三联水嘴</w:t>
            </w:r>
          </w:p>
        </w:tc>
        <w:tc>
          <w:tcPr>
            <w:tcW w:w="4920" w:type="dxa"/>
            <w:tcBorders>
              <w:tl2br w:val="nil"/>
              <w:tr2bl w:val="nil"/>
            </w:tcBorders>
            <w:shd w:val="clear" w:color="auto" w:fill="auto"/>
            <w:vAlign w:val="center"/>
          </w:tcPr>
          <w:p w14:paraId="3523E92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鹅颈式实验室专用优质化验水嘴：要求防酸碱、防锈、防虹吸、防阻塞，表面环氧树脂喷涂。出水嘴为陶瓷阀芯，可90°旋转，高头便于多用途使用，可拆卸清洗阻塞。出水嘴可拆卸，开关旋钮为高密度PP材质，人体工学设计，手感舒适。</w:t>
            </w:r>
          </w:p>
        </w:tc>
        <w:tc>
          <w:tcPr>
            <w:tcW w:w="552" w:type="dxa"/>
            <w:tcBorders>
              <w:tl2br w:val="nil"/>
              <w:tr2bl w:val="nil"/>
            </w:tcBorders>
            <w:shd w:val="clear" w:color="auto" w:fill="auto"/>
            <w:noWrap/>
            <w:vAlign w:val="center"/>
          </w:tcPr>
          <w:p w14:paraId="70B2745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付</w:t>
            </w:r>
          </w:p>
        </w:tc>
        <w:tc>
          <w:tcPr>
            <w:tcW w:w="540" w:type="dxa"/>
            <w:tcBorders>
              <w:tl2br w:val="nil"/>
              <w:tr2bl w:val="nil"/>
            </w:tcBorders>
            <w:shd w:val="clear" w:color="auto" w:fill="auto"/>
            <w:noWrap/>
            <w:vAlign w:val="center"/>
          </w:tcPr>
          <w:p w14:paraId="7A5BB28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5F42861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84200" cy="916940"/>
                  <wp:effectExtent l="0" t="0" r="10160" b="12700"/>
                  <wp:docPr id="16"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descr="IMG_258"/>
                          <pic:cNvPicPr>
                            <a:picLocks noChangeAspect="1"/>
                          </pic:cNvPicPr>
                        </pic:nvPicPr>
                        <pic:blipFill>
                          <a:blip r:embed="rId15"/>
                          <a:stretch>
                            <a:fillRect/>
                          </a:stretch>
                        </pic:blipFill>
                        <pic:spPr>
                          <a:xfrm>
                            <a:off x="0" y="0"/>
                            <a:ext cx="584200" cy="916940"/>
                          </a:xfrm>
                          <a:prstGeom prst="rect">
                            <a:avLst/>
                          </a:prstGeom>
                          <a:noFill/>
                          <a:ln w="9525">
                            <a:noFill/>
                          </a:ln>
                        </pic:spPr>
                      </pic:pic>
                    </a:graphicData>
                  </a:graphic>
                </wp:inline>
              </w:drawing>
            </w:r>
          </w:p>
        </w:tc>
      </w:tr>
      <w:tr w14:paraId="1F1CCA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0B5D8EB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w:t>
            </w:r>
          </w:p>
        </w:tc>
        <w:tc>
          <w:tcPr>
            <w:tcW w:w="936" w:type="dxa"/>
            <w:tcBorders>
              <w:tl2br w:val="nil"/>
              <w:tr2bl w:val="nil"/>
            </w:tcBorders>
            <w:shd w:val="clear" w:color="auto" w:fill="auto"/>
            <w:vAlign w:val="center"/>
          </w:tcPr>
          <w:p w14:paraId="59D43E2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PP水槽</w:t>
            </w:r>
          </w:p>
        </w:tc>
        <w:tc>
          <w:tcPr>
            <w:tcW w:w="4920" w:type="dxa"/>
            <w:tcBorders>
              <w:tl2br w:val="nil"/>
              <w:tr2bl w:val="nil"/>
            </w:tcBorders>
            <w:shd w:val="clear" w:color="auto" w:fill="auto"/>
            <w:vAlign w:val="center"/>
          </w:tcPr>
          <w:p w14:paraId="413951CC">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1、采用耐腐蚀高密度PP材质，模具一次注塑成型，规格：内径≥490×390×290mm，水槽厚度≥5mm。</w:t>
            </w:r>
          </w:p>
          <w:p w14:paraId="19C35CE0">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2、水槽应具有耐酸碱、耐热、耐有机溶剂；排水口应有水封装置。</w:t>
            </w:r>
          </w:p>
          <w:p w14:paraId="15BDA548">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3、水槽应采取台下托底式安装（带支撑托架），水槽与台面间采用防水密封胶封闭，无漏水现象。</w:t>
            </w:r>
          </w:p>
          <w:p w14:paraId="0200E033">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4、水槽的上水、下水均应隐蔽，专用下水管扣，使下水管弯曲成“S”型防臭。</w:t>
            </w:r>
          </w:p>
          <w:p w14:paraId="38D5D45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5、排水管必须连接可靠，避免因松动脱落造成漏水，引起电源短路，形成安全隐患。                                                    </w:t>
            </w:r>
          </w:p>
        </w:tc>
        <w:tc>
          <w:tcPr>
            <w:tcW w:w="552" w:type="dxa"/>
            <w:tcBorders>
              <w:tl2br w:val="nil"/>
              <w:tr2bl w:val="nil"/>
            </w:tcBorders>
            <w:shd w:val="clear" w:color="auto" w:fill="auto"/>
            <w:noWrap/>
            <w:vAlign w:val="center"/>
          </w:tcPr>
          <w:p w14:paraId="4855A1C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540" w:type="dxa"/>
            <w:tcBorders>
              <w:tl2br w:val="nil"/>
              <w:tr2bl w:val="nil"/>
            </w:tcBorders>
            <w:shd w:val="clear" w:color="auto" w:fill="auto"/>
            <w:noWrap/>
            <w:vAlign w:val="center"/>
          </w:tcPr>
          <w:p w14:paraId="32A8084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35B86C5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939165" cy="666115"/>
                  <wp:effectExtent l="0" t="0" r="5715" b="4445"/>
                  <wp:docPr id="1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IMG_259"/>
                          <pic:cNvPicPr>
                            <a:picLocks noChangeAspect="1"/>
                          </pic:cNvPicPr>
                        </pic:nvPicPr>
                        <pic:blipFill>
                          <a:blip r:embed="rId16"/>
                          <a:stretch>
                            <a:fillRect/>
                          </a:stretch>
                        </pic:blipFill>
                        <pic:spPr>
                          <a:xfrm>
                            <a:off x="0" y="0"/>
                            <a:ext cx="939165" cy="666115"/>
                          </a:xfrm>
                          <a:prstGeom prst="rect">
                            <a:avLst/>
                          </a:prstGeom>
                          <a:noFill/>
                          <a:ln w="9525">
                            <a:noFill/>
                          </a:ln>
                        </pic:spPr>
                      </pic:pic>
                    </a:graphicData>
                  </a:graphic>
                </wp:inline>
              </w:drawing>
            </w:r>
          </w:p>
        </w:tc>
      </w:tr>
      <w:tr w14:paraId="054A71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3B87517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936" w:type="dxa"/>
            <w:tcBorders>
              <w:tl2br w:val="nil"/>
              <w:tr2bl w:val="nil"/>
            </w:tcBorders>
            <w:shd w:val="clear" w:color="auto" w:fill="auto"/>
            <w:vAlign w:val="center"/>
          </w:tcPr>
          <w:p w14:paraId="60433236">
            <w:pPr>
              <w:keepNext w:val="0"/>
              <w:keepLines w:val="0"/>
              <w:widowControl/>
              <w:suppressLineNumbers w:val="0"/>
              <w:jc w:val="center"/>
              <w:textAlignment w:val="center"/>
              <w:rPr>
                <w:rFonts w:hint="default" w:ascii="宋体" w:hAnsi="宋体" w:eastAsia="宋体" w:cs="宋体"/>
                <w:b w:val="0"/>
                <w:bCs w:val="0"/>
                <w:i w:val="0"/>
                <w:iCs w:val="0"/>
                <w:color w:val="auto"/>
                <w:sz w:val="22"/>
                <w:szCs w:val="22"/>
                <w:highlight w:val="none"/>
                <w:u w:val="none"/>
                <w:lang w:val="en-US"/>
              </w:rPr>
            </w:pPr>
            <w:r>
              <w:rPr>
                <w:rFonts w:hint="eastAsia" w:ascii="宋体" w:hAnsi="宋体" w:eastAsia="宋体" w:cs="宋体"/>
                <w:b w:val="0"/>
                <w:bCs w:val="0"/>
                <w:i w:val="0"/>
                <w:iCs w:val="0"/>
                <w:color w:val="auto"/>
                <w:kern w:val="0"/>
                <w:sz w:val="22"/>
                <w:szCs w:val="22"/>
                <w:highlight w:val="none"/>
                <w:u w:val="none"/>
                <w:lang w:val="en-US" w:eastAsia="zh-CN" w:bidi="ar"/>
              </w:rPr>
              <w:t>学生实验桌（携带样品）</w:t>
            </w:r>
          </w:p>
        </w:tc>
        <w:tc>
          <w:tcPr>
            <w:tcW w:w="4920" w:type="dxa"/>
            <w:tcBorders>
              <w:tl2br w:val="nil"/>
              <w:tr2bl w:val="nil"/>
            </w:tcBorders>
            <w:shd w:val="clear" w:color="auto" w:fill="auto"/>
            <w:vAlign w:val="center"/>
          </w:tcPr>
          <w:p w14:paraId="171A76B5">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1、尺寸：1200（长）×1200（宽）×780mm（高）。</w:t>
            </w:r>
          </w:p>
          <w:p w14:paraId="7A9450F0">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结构：新型铝塑结构，桌体上部带有书包斗，可挂放学生凳。桌体结合人体工程学设计，镂空设计，便于清理，不屯垃圾。外观流线形设计，简洁美观，易碰撞处全部采用倒圆角，产品款式整体设计美观、合理、安全、牢固、耐用，无毒无味，耐腐蚀，耐酸碱，防水防潮，可重复组装拆卸。</w:t>
            </w:r>
          </w:p>
          <w:p w14:paraId="78B0E583">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3、台面：一体化台面，采用12.7mm厚、防火、耐磨、耐烟酌、抗污染的实芯理化板，结构加工坚固致密、机械精打磨圆滑细致，造型美观，具有优异的稳定、持久、耐水和易清洗维护等特性。 </w:t>
            </w:r>
          </w:p>
          <w:p w14:paraId="3707D6A9">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桌腿：由上中下三段组成，上支座采用铝合金压铸工艺一次成倒三角字形，中间镂空设计。上支座尺寸575*56*169.7（±1）mm，壁厚2.5mm；下支座采用铝合金压铸工艺一次成形，下支座尺寸559*54*131.2（±1）mm，壁厚2.5mm，下支座配有装饰盖，更美观。立柱采用一次成型的拉铝型材制作，横截面尺寸为40*90（±1）mm，壁厚1.5mm。每根立柱内部有2个螺丝槽，与上、下支座和中间立柱连接成斜型桌腿。桌腿预留专用孔位，可与地面固定，静电喷涂环保固体粉剂，高温固化成光滑表面。</w:t>
            </w:r>
          </w:p>
          <w:p w14:paraId="61F029B3">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5、★书包斗：采用PP工程塑料，模具注塑成型，造型为长方形。尺寸480*320*154mm，正面设半圆形挂凳口，方便收凳打扫卫生。</w:t>
            </w:r>
          </w:p>
          <w:p w14:paraId="26CD15A9">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6、桌腿连接横杆：采用一次成型的拉铝型材制作，横截面尺寸20*70mm，壁厚1.5mm。桌腿立柱和桌腿连接横杆通过内六角螺丝连接，保证连接牢固，外观流线形设计。静电喷涂环保固体粉剂，高温固化成光滑表面</w:t>
            </w:r>
          </w:p>
          <w:p w14:paraId="73B7686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台面承重梁：前横梁采用一次成型的拉铝型材制作，横截面尺寸42*25mm，壁厚1.5mm。后横梁梁采用一次成型的拉铝型材制作，横截面尺寸45*93mm，壁厚1.5mm。每根横梁内部有2个螺丝槽，通过内六角螺丝与桌腿锁紧。后横梁高于桌面，防止实验器皿滑落，两侧配套的铸铝件保护套。 静电喷涂环保固体粉剂，高温固化成光滑表面。</w:t>
            </w:r>
          </w:p>
        </w:tc>
        <w:tc>
          <w:tcPr>
            <w:tcW w:w="552" w:type="dxa"/>
            <w:tcBorders>
              <w:tl2br w:val="nil"/>
              <w:tr2bl w:val="nil"/>
            </w:tcBorders>
            <w:shd w:val="clear" w:color="auto" w:fill="auto"/>
            <w:noWrap/>
            <w:vAlign w:val="center"/>
          </w:tcPr>
          <w:p w14:paraId="462F93E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540" w:type="dxa"/>
            <w:tcBorders>
              <w:tl2br w:val="nil"/>
              <w:tr2bl w:val="nil"/>
            </w:tcBorders>
            <w:shd w:val="clear" w:color="auto" w:fill="auto"/>
            <w:noWrap/>
            <w:vAlign w:val="center"/>
          </w:tcPr>
          <w:p w14:paraId="4067563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859" w:type="dxa"/>
            <w:tcBorders>
              <w:tl2br w:val="nil"/>
              <w:tr2bl w:val="nil"/>
            </w:tcBorders>
            <w:shd w:val="clear" w:color="auto" w:fill="auto"/>
            <w:noWrap/>
            <w:vAlign w:val="center"/>
          </w:tcPr>
          <w:p w14:paraId="5C687FA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060450" cy="786765"/>
                  <wp:effectExtent l="0" t="0" r="6350" b="5715"/>
                  <wp:docPr id="13"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descr="IMG_260"/>
                          <pic:cNvPicPr>
                            <a:picLocks noChangeAspect="1"/>
                          </pic:cNvPicPr>
                        </pic:nvPicPr>
                        <pic:blipFill>
                          <a:blip r:embed="rId17"/>
                          <a:stretch>
                            <a:fillRect/>
                          </a:stretch>
                        </pic:blipFill>
                        <pic:spPr>
                          <a:xfrm>
                            <a:off x="0" y="0"/>
                            <a:ext cx="1060450" cy="786765"/>
                          </a:xfrm>
                          <a:prstGeom prst="rect">
                            <a:avLst/>
                          </a:prstGeom>
                          <a:noFill/>
                          <a:ln w="9525">
                            <a:noFill/>
                          </a:ln>
                        </pic:spPr>
                      </pic:pic>
                    </a:graphicData>
                  </a:graphic>
                </wp:inline>
              </w:drawing>
            </w:r>
          </w:p>
        </w:tc>
      </w:tr>
      <w:tr w14:paraId="0D040E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7CBC2F0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w:t>
            </w:r>
          </w:p>
        </w:tc>
        <w:tc>
          <w:tcPr>
            <w:tcW w:w="936" w:type="dxa"/>
            <w:tcBorders>
              <w:tl2br w:val="nil"/>
              <w:tr2bl w:val="nil"/>
            </w:tcBorders>
            <w:shd w:val="clear" w:color="auto" w:fill="auto"/>
            <w:vAlign w:val="center"/>
          </w:tcPr>
          <w:p w14:paraId="554497A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功能柱</w:t>
            </w:r>
          </w:p>
        </w:tc>
        <w:tc>
          <w:tcPr>
            <w:tcW w:w="4920" w:type="dxa"/>
            <w:tcBorders>
              <w:tl2br w:val="nil"/>
              <w:tr2bl w:val="nil"/>
            </w:tcBorders>
            <w:shd w:val="clear" w:color="auto" w:fill="auto"/>
            <w:vAlign w:val="center"/>
          </w:tcPr>
          <w:p w14:paraId="77618D15">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1、尺寸：345（长）×220（宽）×745mm（高）。</w:t>
            </w:r>
          </w:p>
          <w:p w14:paraId="4B7CD3D0">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2、柱体：采用ABS工程塑料注塑成型，壁厚4mm，表面磨面与光面处理，以齿合槽配以螺丝连接，拆分组合方便，方便检修桶体内的风管或电线，上部设置散热孔。</w:t>
            </w:r>
          </w:p>
          <w:p w14:paraId="5EF995A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3、底座：采用ABS工程塑料注塑成型，预留四个孔位，方便与地面固定。                                                                                                                        </w:t>
            </w:r>
          </w:p>
        </w:tc>
        <w:tc>
          <w:tcPr>
            <w:tcW w:w="552" w:type="dxa"/>
            <w:tcBorders>
              <w:tl2br w:val="nil"/>
              <w:tr2bl w:val="nil"/>
            </w:tcBorders>
            <w:shd w:val="clear" w:color="auto" w:fill="auto"/>
            <w:noWrap/>
            <w:vAlign w:val="center"/>
          </w:tcPr>
          <w:p w14:paraId="19D66CA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540" w:type="dxa"/>
            <w:tcBorders>
              <w:tl2br w:val="nil"/>
              <w:tr2bl w:val="nil"/>
            </w:tcBorders>
            <w:shd w:val="clear" w:color="auto" w:fill="auto"/>
            <w:vAlign w:val="center"/>
          </w:tcPr>
          <w:p w14:paraId="7FD04A1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859" w:type="dxa"/>
            <w:tcBorders>
              <w:tl2br w:val="nil"/>
              <w:tr2bl w:val="nil"/>
            </w:tcBorders>
            <w:shd w:val="clear" w:color="auto" w:fill="auto"/>
            <w:noWrap/>
            <w:vAlign w:val="center"/>
          </w:tcPr>
          <w:p w14:paraId="5BB7979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84200" cy="1046480"/>
                  <wp:effectExtent l="0" t="0" r="10160" b="5080"/>
                  <wp:docPr id="10"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IMG_261"/>
                          <pic:cNvPicPr>
                            <a:picLocks noChangeAspect="1"/>
                          </pic:cNvPicPr>
                        </pic:nvPicPr>
                        <pic:blipFill>
                          <a:blip r:embed="rId18"/>
                          <a:stretch>
                            <a:fillRect/>
                          </a:stretch>
                        </pic:blipFill>
                        <pic:spPr>
                          <a:xfrm>
                            <a:off x="0" y="0"/>
                            <a:ext cx="584200" cy="1046480"/>
                          </a:xfrm>
                          <a:prstGeom prst="rect">
                            <a:avLst/>
                          </a:prstGeom>
                          <a:noFill/>
                          <a:ln w="9525">
                            <a:noFill/>
                          </a:ln>
                        </pic:spPr>
                      </pic:pic>
                    </a:graphicData>
                  </a:graphic>
                </wp:inline>
              </w:drawing>
            </w:r>
          </w:p>
        </w:tc>
      </w:tr>
      <w:tr w14:paraId="4A9E85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6849200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w:t>
            </w:r>
          </w:p>
        </w:tc>
        <w:tc>
          <w:tcPr>
            <w:tcW w:w="936" w:type="dxa"/>
            <w:tcBorders>
              <w:tl2br w:val="nil"/>
              <w:tr2bl w:val="nil"/>
            </w:tcBorders>
            <w:shd w:val="clear" w:color="auto" w:fill="auto"/>
            <w:vAlign w:val="center"/>
          </w:tcPr>
          <w:p w14:paraId="17F62F7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塑料水槽柜（携带样品）</w:t>
            </w:r>
          </w:p>
        </w:tc>
        <w:tc>
          <w:tcPr>
            <w:tcW w:w="4920" w:type="dxa"/>
            <w:tcBorders>
              <w:tl2br w:val="nil"/>
              <w:tr2bl w:val="nil"/>
            </w:tcBorders>
            <w:shd w:val="clear" w:color="auto" w:fill="auto"/>
            <w:vAlign w:val="center"/>
          </w:tcPr>
          <w:p w14:paraId="1EE13EF4">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1、尺寸：495（长）×595（宽）×805mm（高）。</w:t>
            </w:r>
          </w:p>
          <w:p w14:paraId="69237A8A">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2、水槽：采用PP工程塑料一次注塑成型，耐酸碱、耐热、耐有机溶剂，规格495*595*290mm，壁厚5mm，四周有挡水凸起，带有防溢水孔，水槽预留水嘴孔和洗眼器孔。</w:t>
            </w:r>
          </w:p>
          <w:p w14:paraId="7A067B95">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3、上下水系统：水槽的上水、下水均应隐蔽，专用下水管扣，使下水管弯曲成“S”型防臭，具有溢水管与下水管连接。</w:t>
            </w:r>
          </w:p>
          <w:p w14:paraId="431B378E">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4、柜体：采用ABS工程塑料注塑成型，榫卯连接结构并合理布局加强筋，安装时不用胶水粘结，使用产品自身力量相互连接，产品不变形，不扭曲，表面磨面与光面处理。</w:t>
            </w:r>
          </w:p>
          <w:p w14:paraId="1587EBE3">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5、柜门：前后两块柜门，方便上下水安装和维护，柜门与柜体不用铰链连接，采用内嵌式组装，柜门上装有强力磁铁，确保柜门合上后不松动。</w:t>
            </w:r>
          </w:p>
          <w:p w14:paraId="042A710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6、柜体与水槽隐藏式子母扣连接，牢固不松动。                                                                            </w:t>
            </w:r>
          </w:p>
        </w:tc>
        <w:tc>
          <w:tcPr>
            <w:tcW w:w="552" w:type="dxa"/>
            <w:tcBorders>
              <w:tl2br w:val="nil"/>
              <w:tr2bl w:val="nil"/>
            </w:tcBorders>
            <w:shd w:val="clear" w:color="auto" w:fill="auto"/>
            <w:noWrap/>
            <w:vAlign w:val="center"/>
          </w:tcPr>
          <w:p w14:paraId="5D53E45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540" w:type="dxa"/>
            <w:tcBorders>
              <w:tl2br w:val="nil"/>
              <w:tr2bl w:val="nil"/>
            </w:tcBorders>
            <w:shd w:val="clear" w:color="auto" w:fill="auto"/>
            <w:vAlign w:val="center"/>
          </w:tcPr>
          <w:p w14:paraId="3EF9556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w:t>
            </w:r>
          </w:p>
        </w:tc>
        <w:tc>
          <w:tcPr>
            <w:tcW w:w="1859" w:type="dxa"/>
            <w:tcBorders>
              <w:tl2br w:val="nil"/>
              <w:tr2bl w:val="nil"/>
            </w:tcBorders>
            <w:shd w:val="clear" w:color="auto" w:fill="auto"/>
            <w:noWrap/>
            <w:vAlign w:val="center"/>
          </w:tcPr>
          <w:p w14:paraId="7D2B354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752475" cy="1200150"/>
                  <wp:effectExtent l="0" t="0" r="9525" b="3810"/>
                  <wp:docPr id="12"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descr="IMG_262"/>
                          <pic:cNvPicPr>
                            <a:picLocks noChangeAspect="1"/>
                          </pic:cNvPicPr>
                        </pic:nvPicPr>
                        <pic:blipFill>
                          <a:blip r:embed="rId19"/>
                          <a:stretch>
                            <a:fillRect/>
                          </a:stretch>
                        </pic:blipFill>
                        <pic:spPr>
                          <a:xfrm>
                            <a:off x="0" y="0"/>
                            <a:ext cx="752475" cy="1200150"/>
                          </a:xfrm>
                          <a:prstGeom prst="rect">
                            <a:avLst/>
                          </a:prstGeom>
                          <a:noFill/>
                          <a:ln w="9525">
                            <a:noFill/>
                          </a:ln>
                        </pic:spPr>
                      </pic:pic>
                    </a:graphicData>
                  </a:graphic>
                </wp:inline>
              </w:drawing>
            </w:r>
          </w:p>
        </w:tc>
      </w:tr>
      <w:tr w14:paraId="41B147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327BF29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w:t>
            </w:r>
          </w:p>
        </w:tc>
        <w:tc>
          <w:tcPr>
            <w:tcW w:w="936" w:type="dxa"/>
            <w:tcBorders>
              <w:tl2br w:val="nil"/>
              <w:tr2bl w:val="nil"/>
            </w:tcBorders>
            <w:shd w:val="clear" w:color="auto" w:fill="auto"/>
            <w:vAlign w:val="center"/>
          </w:tcPr>
          <w:p w14:paraId="785D142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学生小号三联水嘴</w:t>
            </w:r>
          </w:p>
        </w:tc>
        <w:tc>
          <w:tcPr>
            <w:tcW w:w="4920" w:type="dxa"/>
            <w:tcBorders>
              <w:tl2br w:val="nil"/>
              <w:tr2bl w:val="nil"/>
            </w:tcBorders>
            <w:shd w:val="clear" w:color="auto" w:fill="auto"/>
            <w:vAlign w:val="center"/>
          </w:tcPr>
          <w:p w14:paraId="317D6F2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鹅颈式实验室专用优质化验水嘴：要求防酸碱、防锈、防虹吸、防阻塞，表面环氧树脂喷涂。出水嘴为陶瓷阀芯，可90°旋转，高头便于多用途使用，可拆卸清洗阻塞。出水嘴可拆卸，开关旋钮为高密度PP材质，人体工学设计。</w:t>
            </w:r>
          </w:p>
        </w:tc>
        <w:tc>
          <w:tcPr>
            <w:tcW w:w="552" w:type="dxa"/>
            <w:tcBorders>
              <w:tl2br w:val="nil"/>
              <w:tr2bl w:val="nil"/>
            </w:tcBorders>
            <w:shd w:val="clear" w:color="auto" w:fill="auto"/>
            <w:noWrap/>
            <w:vAlign w:val="center"/>
          </w:tcPr>
          <w:p w14:paraId="7B5866D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付</w:t>
            </w:r>
          </w:p>
        </w:tc>
        <w:tc>
          <w:tcPr>
            <w:tcW w:w="540" w:type="dxa"/>
            <w:tcBorders>
              <w:tl2br w:val="nil"/>
              <w:tr2bl w:val="nil"/>
            </w:tcBorders>
            <w:shd w:val="clear" w:color="auto" w:fill="auto"/>
            <w:noWrap/>
            <w:vAlign w:val="center"/>
          </w:tcPr>
          <w:p w14:paraId="3B45E0F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w:t>
            </w:r>
          </w:p>
        </w:tc>
        <w:tc>
          <w:tcPr>
            <w:tcW w:w="1859" w:type="dxa"/>
            <w:tcBorders>
              <w:tl2br w:val="nil"/>
              <w:tr2bl w:val="nil"/>
            </w:tcBorders>
            <w:shd w:val="clear" w:color="auto" w:fill="auto"/>
            <w:noWrap/>
            <w:vAlign w:val="center"/>
          </w:tcPr>
          <w:p w14:paraId="19D6A6E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607695" cy="962025"/>
                  <wp:effectExtent l="0" t="0" r="1905" b="13335"/>
                  <wp:docPr id="11"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descr="IMG_263"/>
                          <pic:cNvPicPr>
                            <a:picLocks noChangeAspect="1"/>
                          </pic:cNvPicPr>
                        </pic:nvPicPr>
                        <pic:blipFill>
                          <a:blip r:embed="rId20"/>
                          <a:stretch>
                            <a:fillRect/>
                          </a:stretch>
                        </pic:blipFill>
                        <pic:spPr>
                          <a:xfrm>
                            <a:off x="0" y="0"/>
                            <a:ext cx="607695" cy="962025"/>
                          </a:xfrm>
                          <a:prstGeom prst="rect">
                            <a:avLst/>
                          </a:prstGeom>
                          <a:noFill/>
                          <a:ln w="9525">
                            <a:noFill/>
                          </a:ln>
                        </pic:spPr>
                      </pic:pic>
                    </a:graphicData>
                  </a:graphic>
                </wp:inline>
              </w:drawing>
            </w:r>
          </w:p>
        </w:tc>
      </w:tr>
      <w:tr w14:paraId="704087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4427541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9</w:t>
            </w:r>
          </w:p>
        </w:tc>
        <w:tc>
          <w:tcPr>
            <w:tcW w:w="936" w:type="dxa"/>
            <w:tcBorders>
              <w:tl2br w:val="nil"/>
              <w:tr2bl w:val="nil"/>
            </w:tcBorders>
            <w:shd w:val="clear" w:color="auto" w:fill="auto"/>
            <w:vAlign w:val="center"/>
          </w:tcPr>
          <w:p w14:paraId="4A4D708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教师电源</w:t>
            </w:r>
          </w:p>
        </w:tc>
        <w:tc>
          <w:tcPr>
            <w:tcW w:w="4920" w:type="dxa"/>
            <w:tcBorders>
              <w:tl2br w:val="nil"/>
              <w:tr2bl w:val="nil"/>
            </w:tcBorders>
            <w:shd w:val="clear" w:color="auto" w:fill="auto"/>
            <w:vAlign w:val="center"/>
          </w:tcPr>
          <w:p w14:paraId="45E4F7AC">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1、符合 JY/T0374-2004《教学实验室设备电源系统》规范要求，电源主控台采用抽屉结构机箱。</w:t>
            </w:r>
          </w:p>
          <w:p w14:paraId="57266D13">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2、输入电源：220V 50HZ，设有40A总漏电保护断路开关和交流输出220V 10A多功能五孔新国标带防护插座，供教师使用，具备漏电保护功能，分4组向学生实验桌输出交流220V电源，并具备过载和短路保护功能。</w:t>
            </w:r>
          </w:p>
          <w:p w14:paraId="09BBB00A">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3、总控台教师电源采用轻触按键操作、数码显示, 射频卡刷卡加数字密码开机、倒计时自动关机功能；</w:t>
            </w:r>
          </w:p>
          <w:p w14:paraId="6F256B4C">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直流电压分辨率为0.1V，全数字化控制；通过上行，下行软键，平滑选取直流1.5-27.0V电压，电流0-3A。三位数码管监测显示输出端子两端电压；交流电压分辨率为2V，全数字化控制。通过数字软键，迭加选取交流0-30V电压，电流0-3A。具备过载保护点智能侦测功能，电流高于过载点则自动保护、电流低于过载点则自动恢复至设定值。三位数码管监测显示输出端子两端电压；</w:t>
            </w:r>
          </w:p>
          <w:p w14:paraId="68866587">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5、直流大电流9V输出。短时输出电流值为20A，输出10秒自动关断。直流输出高压240V/300V，二档，电流100MA，有自动过载保护功能。</w:t>
            </w:r>
          </w:p>
          <w:p w14:paraId="0341BAB8">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6、一键锁定功能，为避免误操作等意外在电压输出时改变输出电压，通过锁定键锁定输出。解锁时，再按锁定键即可（主动锁定）。</w:t>
            </w:r>
          </w:p>
        </w:tc>
        <w:tc>
          <w:tcPr>
            <w:tcW w:w="552" w:type="dxa"/>
            <w:tcBorders>
              <w:tl2br w:val="nil"/>
              <w:tr2bl w:val="nil"/>
            </w:tcBorders>
            <w:shd w:val="clear" w:color="auto" w:fill="auto"/>
            <w:noWrap/>
            <w:vAlign w:val="center"/>
          </w:tcPr>
          <w:p w14:paraId="7D32435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540" w:type="dxa"/>
            <w:tcBorders>
              <w:tl2br w:val="nil"/>
              <w:tr2bl w:val="nil"/>
            </w:tcBorders>
            <w:shd w:val="clear" w:color="auto" w:fill="auto"/>
            <w:noWrap/>
            <w:vAlign w:val="center"/>
          </w:tcPr>
          <w:p w14:paraId="6D13C0A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4967658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018540" cy="781685"/>
                  <wp:effectExtent l="0" t="0" r="2540" b="10795"/>
                  <wp:docPr id="15"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descr="IMG_264"/>
                          <pic:cNvPicPr>
                            <a:picLocks noChangeAspect="1"/>
                          </pic:cNvPicPr>
                        </pic:nvPicPr>
                        <pic:blipFill>
                          <a:blip r:embed="rId21"/>
                          <a:stretch>
                            <a:fillRect/>
                          </a:stretch>
                        </pic:blipFill>
                        <pic:spPr>
                          <a:xfrm>
                            <a:off x="0" y="0"/>
                            <a:ext cx="1018540" cy="781685"/>
                          </a:xfrm>
                          <a:prstGeom prst="rect">
                            <a:avLst/>
                          </a:prstGeom>
                          <a:noFill/>
                          <a:ln w="9525">
                            <a:noFill/>
                          </a:ln>
                        </pic:spPr>
                      </pic:pic>
                    </a:graphicData>
                  </a:graphic>
                </wp:inline>
              </w:drawing>
            </w:r>
          </w:p>
        </w:tc>
      </w:tr>
      <w:tr w14:paraId="6DEDBE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16" w:hRule="atLeast"/>
          <w:jc w:val="center"/>
        </w:trPr>
        <w:tc>
          <w:tcPr>
            <w:tcW w:w="594" w:type="dxa"/>
            <w:tcBorders>
              <w:tl2br w:val="nil"/>
              <w:tr2bl w:val="nil"/>
            </w:tcBorders>
            <w:shd w:val="clear" w:color="auto" w:fill="auto"/>
            <w:vAlign w:val="center"/>
          </w:tcPr>
          <w:p w14:paraId="1F20F79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936" w:type="dxa"/>
            <w:tcBorders>
              <w:tl2br w:val="nil"/>
              <w:tr2bl w:val="nil"/>
            </w:tcBorders>
            <w:shd w:val="clear" w:color="auto" w:fill="auto"/>
            <w:vAlign w:val="center"/>
          </w:tcPr>
          <w:p w14:paraId="0A8B7B9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学生实验电源</w:t>
            </w:r>
          </w:p>
        </w:tc>
        <w:tc>
          <w:tcPr>
            <w:tcW w:w="4920" w:type="dxa"/>
            <w:tcBorders>
              <w:tl2br w:val="nil"/>
              <w:tr2bl w:val="nil"/>
            </w:tcBorders>
            <w:shd w:val="clear" w:color="auto" w:fill="auto"/>
            <w:vAlign w:val="center"/>
          </w:tcPr>
          <w:p w14:paraId="3520C48E">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1、学生安全电源设置在学生桌书包斗之间，每2个学生用一台电源。                                                                                   </w:t>
            </w:r>
          </w:p>
          <w:p w14:paraId="06CF9191">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2、学生交流220V，两路输出（教学安全总电源开关）。</w:t>
            </w:r>
          </w:p>
          <w:p w14:paraId="6F6AB3AA">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3、学生安全电源具备自动过载保护功能，保证学生操作时安全。                                                                                                                          </w:t>
            </w:r>
          </w:p>
          <w:p w14:paraId="21E68F87">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4、★依据《教学仪器设备产品一般质量要求》、《电工电子产品环境试验 第2部分：试验方法 试验A：低温》、《电工电子产品环境试验 第2部分：试验方法 试验B：高温》、《环境试验 第2部分：试验方法 试验Cab：恒定湿热试验》，学生电源技术性能需满足以下要求：</w:t>
            </w:r>
          </w:p>
          <w:p w14:paraId="662558A7">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4.1、检验项目：结构、外观，检验结果：符合。</w:t>
            </w:r>
          </w:p>
          <w:p w14:paraId="6AC5637C">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4.2、检验项目：高温试验。技术要求：温度：（60±2）℃，时间：4h。检验结果：试验后，工作正常。</w:t>
            </w:r>
          </w:p>
          <w:p w14:paraId="247E68BB">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4.3、检验项目：低温试验。技术要求：温度：（-40±2）℃，时间：4h。检验结果：试验后，工作正常。</w:t>
            </w:r>
          </w:p>
          <w:p w14:paraId="4029D0DF">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4.4、检验项目：高温高湿试验。技术要求：温度：（50±2）℃，湿度：（90±2）%，时间：4h。检验结果：试验后，工作正常。</w:t>
            </w:r>
          </w:p>
          <w:p w14:paraId="2C1C0EE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针对以上学生电源技术性能，提供国家权威检测机构出具的有CMA标志检测报告复印件，检测报告编号在全国认证认可信息公共服务平台http://cx.cnca.cn/可查询。</w:t>
            </w:r>
          </w:p>
        </w:tc>
        <w:tc>
          <w:tcPr>
            <w:tcW w:w="552" w:type="dxa"/>
            <w:tcBorders>
              <w:tl2br w:val="nil"/>
              <w:tr2bl w:val="nil"/>
            </w:tcBorders>
            <w:shd w:val="clear" w:color="auto" w:fill="auto"/>
            <w:noWrap/>
            <w:vAlign w:val="center"/>
          </w:tcPr>
          <w:p w14:paraId="3CA1CCE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540" w:type="dxa"/>
            <w:tcBorders>
              <w:tl2br w:val="nil"/>
              <w:tr2bl w:val="nil"/>
            </w:tcBorders>
            <w:shd w:val="clear" w:color="auto" w:fill="auto"/>
            <w:noWrap/>
            <w:vAlign w:val="center"/>
          </w:tcPr>
          <w:p w14:paraId="28FAF7A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859" w:type="dxa"/>
            <w:tcBorders>
              <w:tl2br w:val="nil"/>
              <w:tr2bl w:val="nil"/>
            </w:tcBorders>
            <w:shd w:val="clear" w:color="auto" w:fill="auto"/>
            <w:noWrap/>
            <w:vAlign w:val="center"/>
          </w:tcPr>
          <w:p w14:paraId="386724CB">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107440" cy="851535"/>
                  <wp:effectExtent l="0" t="0" r="5080" b="1905"/>
                  <wp:docPr id="8"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descr="IMG_265"/>
                          <pic:cNvPicPr>
                            <a:picLocks noChangeAspect="1"/>
                          </pic:cNvPicPr>
                        </pic:nvPicPr>
                        <pic:blipFill>
                          <a:blip r:embed="rId22"/>
                          <a:stretch>
                            <a:fillRect/>
                          </a:stretch>
                        </pic:blipFill>
                        <pic:spPr>
                          <a:xfrm>
                            <a:off x="0" y="0"/>
                            <a:ext cx="1107440" cy="851535"/>
                          </a:xfrm>
                          <a:prstGeom prst="rect">
                            <a:avLst/>
                          </a:prstGeom>
                          <a:noFill/>
                          <a:ln w="9525">
                            <a:noFill/>
                          </a:ln>
                        </pic:spPr>
                      </pic:pic>
                    </a:graphicData>
                  </a:graphic>
                </wp:inline>
              </w:drawing>
            </w:r>
          </w:p>
        </w:tc>
      </w:tr>
      <w:tr w14:paraId="4B8EC7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52F7F19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11</w:t>
            </w:r>
          </w:p>
        </w:tc>
        <w:tc>
          <w:tcPr>
            <w:tcW w:w="936" w:type="dxa"/>
            <w:tcBorders>
              <w:tl2br w:val="nil"/>
              <w:tr2bl w:val="nil"/>
            </w:tcBorders>
            <w:shd w:val="clear" w:color="auto" w:fill="auto"/>
            <w:vAlign w:val="center"/>
          </w:tcPr>
          <w:p w14:paraId="455F227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教师椅</w:t>
            </w:r>
          </w:p>
        </w:tc>
        <w:tc>
          <w:tcPr>
            <w:tcW w:w="4920" w:type="dxa"/>
            <w:tcBorders>
              <w:tl2br w:val="nil"/>
              <w:tr2bl w:val="nil"/>
            </w:tcBorders>
            <w:shd w:val="clear" w:color="auto" w:fill="auto"/>
            <w:vAlign w:val="center"/>
          </w:tcPr>
          <w:p w14:paraId="2999B88D">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1、凳面：采用PP工程塑料注塑成双色椭圆凳面，直径≥328MM，凳面表层有颗粒凸起（乳白色），前端呈半圆弧形，圆润下滑，曲面优美。后端月牙形靠背突起，完美贴合臀部，符合人体工程学。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2、立柱: 采用立柱采用直径≥60MM，壁厚≥1.2MM的冷轧钢管，上部有螺杆，凳面由螺杆带动升降。</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3、凳脚: 采用铝合金压铸工艺一次成型，直径≥430MM，壁厚≥2.8MM。5只脚上带有塑料装饰片，表面带防滑颗粒，既美观又延长凳脚使用寿命。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4、脚轮：优质塑料尼龙、钢材精心制作，滚动声音更细微，柔韧性更好，能做到防滑、减震、防静电。</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5、工艺：表面金属部分经过磷化、酸洗、除油、除锈、处理后再经自动喷枪环氧树脂金属粉末喷涂，经高温固化成光滑表面。</w:t>
            </w:r>
          </w:p>
        </w:tc>
        <w:tc>
          <w:tcPr>
            <w:tcW w:w="552" w:type="dxa"/>
            <w:tcBorders>
              <w:tl2br w:val="nil"/>
              <w:tr2bl w:val="nil"/>
            </w:tcBorders>
            <w:shd w:val="clear" w:color="auto" w:fill="auto"/>
            <w:noWrap/>
            <w:vAlign w:val="center"/>
          </w:tcPr>
          <w:p w14:paraId="6691A70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540" w:type="dxa"/>
            <w:tcBorders>
              <w:tl2br w:val="nil"/>
              <w:tr2bl w:val="nil"/>
            </w:tcBorders>
            <w:shd w:val="clear" w:color="auto" w:fill="auto"/>
            <w:noWrap/>
            <w:vAlign w:val="center"/>
          </w:tcPr>
          <w:p w14:paraId="15FED11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77CF164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904875" cy="1400175"/>
                  <wp:effectExtent l="0" t="0" r="9525" b="1905"/>
                  <wp:docPr id="5"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descr="IMG_266"/>
                          <pic:cNvPicPr>
                            <a:picLocks noChangeAspect="1"/>
                          </pic:cNvPicPr>
                        </pic:nvPicPr>
                        <pic:blipFill>
                          <a:blip r:embed="rId23"/>
                          <a:stretch>
                            <a:fillRect/>
                          </a:stretch>
                        </pic:blipFill>
                        <pic:spPr>
                          <a:xfrm>
                            <a:off x="0" y="0"/>
                            <a:ext cx="904875" cy="1400175"/>
                          </a:xfrm>
                          <a:prstGeom prst="rect">
                            <a:avLst/>
                          </a:prstGeom>
                          <a:noFill/>
                          <a:ln w="9525">
                            <a:noFill/>
                          </a:ln>
                        </pic:spPr>
                      </pic:pic>
                    </a:graphicData>
                  </a:graphic>
                </wp:inline>
              </w:drawing>
            </w:r>
          </w:p>
        </w:tc>
      </w:tr>
      <w:tr w14:paraId="4A6562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2AD9818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936" w:type="dxa"/>
            <w:tcBorders>
              <w:tl2br w:val="nil"/>
              <w:tr2bl w:val="nil"/>
            </w:tcBorders>
            <w:shd w:val="clear" w:color="auto" w:fill="auto"/>
            <w:vAlign w:val="center"/>
          </w:tcPr>
          <w:p w14:paraId="608DEE7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学生凳（携带样品）</w:t>
            </w:r>
          </w:p>
        </w:tc>
        <w:tc>
          <w:tcPr>
            <w:tcW w:w="4920" w:type="dxa"/>
            <w:tcBorders>
              <w:tl2br w:val="nil"/>
              <w:tr2bl w:val="nil"/>
            </w:tcBorders>
            <w:shd w:val="clear" w:color="auto" w:fill="auto"/>
            <w:vAlign w:val="center"/>
          </w:tcPr>
          <w:p w14:paraId="6A732AD4">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1、凳面：采用高密度PP材质的凳面，直径≥320mm，凳面表层有颗粒凸起（乳白色），起到按摩抗疲劳作用。凳面下装有壁厚≥1.8mm厚直径≥160mm钢板托盘，使得凳子更加稳固。</w:t>
            </w:r>
          </w:p>
          <w:p w14:paraId="3F6861CE">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2、凳脚：4个凳脚采用≥16×36×1.8mm的冷轧钢管一次弯曲成型，全自动焊接机械手焊接，焊点准确且均匀，四脚配耐磨脚垫，防滑消音，保护地板。质量稳定，坚固耐用，美观大方。</w:t>
            </w:r>
          </w:p>
          <w:p w14:paraId="6B32E928">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3、结构：由螺杆带动升降，升降范围不小于450mm-520mm，凳面与凳脚留有一定的空间便于凳子挂在挂凳扣上，方便教室的打扫。</w:t>
            </w:r>
          </w:p>
          <w:p w14:paraId="3C09E6F8">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4、制作工艺：1. 采用二氧化碳保护焊。2. 涂层:经过磷化、除油、除锈处理，再经全自动喷涂机械手喷环氧树脂金属粉末喷涂，经高温固化成光滑表面。</w:t>
            </w:r>
          </w:p>
          <w:p w14:paraId="0551E803">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5、★依据QB/T 4071-2021《课桌椅》，实验凳力学性能满足以下要求：</w:t>
            </w:r>
          </w:p>
          <w:p w14:paraId="64A2AAF0">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5.1、凳子任意方向倾翻，检测结果：符合要求。</w:t>
            </w:r>
          </w:p>
          <w:p w14:paraId="426C81B4">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5.2、座面、椅背联合静载荷，检测结果：符合要求。</w:t>
            </w:r>
          </w:p>
          <w:p w14:paraId="02191868">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5.3、座面、椅背联合耐久性，检测结果：符合要求。</w:t>
            </w:r>
          </w:p>
          <w:p w14:paraId="5C6EA365">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5.4、座面侧向静载荷（中大学用），检测结果：符合要求。</w:t>
            </w:r>
          </w:p>
          <w:p w14:paraId="426F6994">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5.5、椅腿向前静载荷，检测结果：符合要求。</w:t>
            </w:r>
          </w:p>
          <w:p w14:paraId="4019834A">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5.6、椅腿侧向静载荷，检测结果：符合要求。</w:t>
            </w:r>
          </w:p>
          <w:p w14:paraId="1902940A">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5.7、座面冲击（中大学用），检测结果：符合要求。</w:t>
            </w:r>
          </w:p>
          <w:p w14:paraId="6085BDCF">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5.8、椅腿跌落，检测结果：符合要求。</w:t>
            </w:r>
          </w:p>
          <w:p w14:paraId="4916E15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针对以上实验凳技术性能参数，提供国家权威检测机构出具的有CMA标志检测报告复印件，检测报告编号在全国认证认可信息公共服务平台http://cx.cnca.cn/可查询。</w:t>
            </w:r>
          </w:p>
        </w:tc>
        <w:tc>
          <w:tcPr>
            <w:tcW w:w="552" w:type="dxa"/>
            <w:tcBorders>
              <w:tl2br w:val="nil"/>
              <w:tr2bl w:val="nil"/>
            </w:tcBorders>
            <w:shd w:val="clear" w:color="auto" w:fill="auto"/>
            <w:noWrap/>
            <w:vAlign w:val="center"/>
          </w:tcPr>
          <w:p w14:paraId="07FCCD1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540" w:type="dxa"/>
            <w:tcBorders>
              <w:tl2br w:val="nil"/>
              <w:tr2bl w:val="nil"/>
            </w:tcBorders>
            <w:shd w:val="clear" w:color="auto" w:fill="auto"/>
            <w:noWrap/>
            <w:vAlign w:val="center"/>
          </w:tcPr>
          <w:p w14:paraId="4C82C6D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48</w:t>
            </w:r>
          </w:p>
        </w:tc>
        <w:tc>
          <w:tcPr>
            <w:tcW w:w="1859" w:type="dxa"/>
            <w:tcBorders>
              <w:tl2br w:val="nil"/>
              <w:tr2bl w:val="nil"/>
            </w:tcBorders>
            <w:shd w:val="clear" w:color="auto" w:fill="auto"/>
            <w:noWrap/>
            <w:vAlign w:val="center"/>
          </w:tcPr>
          <w:p w14:paraId="61B48AA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66775" cy="1133475"/>
                  <wp:effectExtent l="0" t="0" r="1905" b="9525"/>
                  <wp:docPr id="9"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 descr="IMG_267"/>
                          <pic:cNvPicPr>
                            <a:picLocks noChangeAspect="1"/>
                          </pic:cNvPicPr>
                        </pic:nvPicPr>
                        <pic:blipFill>
                          <a:blip r:embed="rId24"/>
                          <a:stretch>
                            <a:fillRect/>
                          </a:stretch>
                        </pic:blipFill>
                        <pic:spPr>
                          <a:xfrm>
                            <a:off x="0" y="0"/>
                            <a:ext cx="866775" cy="1133475"/>
                          </a:xfrm>
                          <a:prstGeom prst="rect">
                            <a:avLst/>
                          </a:prstGeom>
                          <a:noFill/>
                          <a:ln w="9525">
                            <a:noFill/>
                          </a:ln>
                        </pic:spPr>
                      </pic:pic>
                    </a:graphicData>
                  </a:graphic>
                </wp:inline>
              </w:drawing>
            </w:r>
          </w:p>
        </w:tc>
      </w:tr>
      <w:tr w14:paraId="2346C9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3425A0E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13</w:t>
            </w:r>
          </w:p>
        </w:tc>
        <w:tc>
          <w:tcPr>
            <w:tcW w:w="936" w:type="dxa"/>
            <w:tcBorders>
              <w:tl2br w:val="nil"/>
              <w:tr2bl w:val="nil"/>
            </w:tcBorders>
            <w:shd w:val="clear" w:color="auto" w:fill="auto"/>
            <w:vAlign w:val="center"/>
          </w:tcPr>
          <w:p w14:paraId="74693EA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供排水系统（地上部分）</w:t>
            </w:r>
          </w:p>
        </w:tc>
        <w:tc>
          <w:tcPr>
            <w:tcW w:w="4920" w:type="dxa"/>
            <w:tcBorders>
              <w:tl2br w:val="nil"/>
              <w:tr2bl w:val="nil"/>
            </w:tcBorders>
            <w:shd w:val="clear" w:color="auto" w:fill="auto"/>
            <w:vAlign w:val="center"/>
          </w:tcPr>
          <w:p w14:paraId="7750D96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1、进水管采用优质PP-R管，主管直径25mm。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2、排水管采用优质PVC-U管，管直径50mm。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3、弯头、直接、三通、外丝管套、生料带、PVC管胶水等。</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4、上水管采用不锈钢波纹管编织软管，长度不小于75cm，下水管采用优质硅胶接口PVC软管。</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5、教室进水总开关配截止阀1个。</w:t>
            </w:r>
          </w:p>
        </w:tc>
        <w:tc>
          <w:tcPr>
            <w:tcW w:w="552" w:type="dxa"/>
            <w:tcBorders>
              <w:tl2br w:val="nil"/>
              <w:tr2bl w:val="nil"/>
            </w:tcBorders>
            <w:shd w:val="clear" w:color="auto" w:fill="auto"/>
            <w:noWrap/>
            <w:vAlign w:val="center"/>
          </w:tcPr>
          <w:p w14:paraId="5166851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540" w:type="dxa"/>
            <w:tcBorders>
              <w:tl2br w:val="nil"/>
              <w:tr2bl w:val="nil"/>
            </w:tcBorders>
            <w:shd w:val="clear" w:color="auto" w:fill="auto"/>
            <w:noWrap/>
            <w:vAlign w:val="center"/>
          </w:tcPr>
          <w:p w14:paraId="7A2C1E5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48DFC6A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19150" cy="638175"/>
                  <wp:effectExtent l="0" t="0" r="3810" b="1905"/>
                  <wp:docPr id="6"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descr="IMG_268"/>
                          <pic:cNvPicPr>
                            <a:picLocks noChangeAspect="1"/>
                          </pic:cNvPicPr>
                        </pic:nvPicPr>
                        <pic:blipFill>
                          <a:blip r:embed="rId25"/>
                          <a:stretch>
                            <a:fillRect/>
                          </a:stretch>
                        </pic:blipFill>
                        <pic:spPr>
                          <a:xfrm>
                            <a:off x="0" y="0"/>
                            <a:ext cx="819150" cy="638175"/>
                          </a:xfrm>
                          <a:prstGeom prst="rect">
                            <a:avLst/>
                          </a:prstGeom>
                          <a:noFill/>
                          <a:ln w="9525">
                            <a:noFill/>
                          </a:ln>
                        </pic:spPr>
                      </pic:pic>
                    </a:graphicData>
                  </a:graphic>
                </wp:inline>
              </w:drawing>
            </w:r>
          </w:p>
        </w:tc>
      </w:tr>
      <w:tr w14:paraId="41EE3F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33F538E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14</w:t>
            </w:r>
          </w:p>
        </w:tc>
        <w:tc>
          <w:tcPr>
            <w:tcW w:w="936" w:type="dxa"/>
            <w:tcBorders>
              <w:tl2br w:val="nil"/>
              <w:tr2bl w:val="nil"/>
            </w:tcBorders>
            <w:shd w:val="clear" w:color="auto" w:fill="auto"/>
            <w:vAlign w:val="center"/>
          </w:tcPr>
          <w:p w14:paraId="460E1DE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电气布线(地面以上部分)</w:t>
            </w:r>
          </w:p>
        </w:tc>
        <w:tc>
          <w:tcPr>
            <w:tcW w:w="4920" w:type="dxa"/>
            <w:tcBorders>
              <w:tl2br w:val="nil"/>
              <w:tr2bl w:val="nil"/>
            </w:tcBorders>
            <w:shd w:val="clear" w:color="auto" w:fill="auto"/>
            <w:vAlign w:val="center"/>
          </w:tcPr>
          <w:p w14:paraId="5111B65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1、电工管采用优质PVC-U管，管直径20mm，直接、管卡、电工胶布等。根据实验室实际，也可采用铝合金或不锈钢地面走线槽。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2、主干电源线采用2.5mm2优质多芯铜质护套线。</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3、支干电源线采用1.5mm2优质多芯铜质护套线。</w:t>
            </w:r>
          </w:p>
        </w:tc>
        <w:tc>
          <w:tcPr>
            <w:tcW w:w="552" w:type="dxa"/>
            <w:tcBorders>
              <w:tl2br w:val="nil"/>
              <w:tr2bl w:val="nil"/>
            </w:tcBorders>
            <w:shd w:val="clear" w:color="auto" w:fill="auto"/>
            <w:noWrap/>
            <w:vAlign w:val="center"/>
          </w:tcPr>
          <w:p w14:paraId="4CA0CAD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540" w:type="dxa"/>
            <w:tcBorders>
              <w:tl2br w:val="nil"/>
              <w:tr2bl w:val="nil"/>
            </w:tcBorders>
            <w:shd w:val="clear" w:color="auto" w:fill="auto"/>
            <w:noWrap/>
            <w:vAlign w:val="center"/>
          </w:tcPr>
          <w:p w14:paraId="2B7591E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543BA7F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933450" cy="733425"/>
                  <wp:effectExtent l="0" t="0" r="11430" b="13335"/>
                  <wp:docPr id="7"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 descr="IMG_269"/>
                          <pic:cNvPicPr>
                            <a:picLocks noChangeAspect="1"/>
                          </pic:cNvPicPr>
                        </pic:nvPicPr>
                        <pic:blipFill>
                          <a:blip r:embed="rId26"/>
                          <a:stretch>
                            <a:fillRect/>
                          </a:stretch>
                        </pic:blipFill>
                        <pic:spPr>
                          <a:xfrm>
                            <a:off x="0" y="0"/>
                            <a:ext cx="933450" cy="733425"/>
                          </a:xfrm>
                          <a:prstGeom prst="rect">
                            <a:avLst/>
                          </a:prstGeom>
                          <a:noFill/>
                          <a:ln w="9525">
                            <a:noFill/>
                          </a:ln>
                        </pic:spPr>
                      </pic:pic>
                    </a:graphicData>
                  </a:graphic>
                </wp:inline>
              </w:drawing>
            </w:r>
          </w:p>
        </w:tc>
      </w:tr>
      <w:tr w14:paraId="50A313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4785D19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w:t>
            </w:r>
          </w:p>
        </w:tc>
        <w:tc>
          <w:tcPr>
            <w:tcW w:w="936" w:type="dxa"/>
            <w:tcBorders>
              <w:tl2br w:val="nil"/>
              <w:tr2bl w:val="nil"/>
            </w:tcBorders>
            <w:shd w:val="clear" w:color="auto" w:fill="auto"/>
            <w:vAlign w:val="center"/>
          </w:tcPr>
          <w:p w14:paraId="62EE46B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调试安装</w:t>
            </w:r>
          </w:p>
        </w:tc>
        <w:tc>
          <w:tcPr>
            <w:tcW w:w="4920" w:type="dxa"/>
            <w:tcBorders>
              <w:tl2br w:val="nil"/>
              <w:tr2bl w:val="nil"/>
            </w:tcBorders>
            <w:shd w:val="clear" w:color="auto" w:fill="auto"/>
            <w:vAlign w:val="center"/>
          </w:tcPr>
          <w:p w14:paraId="57DA58B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1、组织设备安装，解决设备安装过程中的各种技术疑难问题。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2、进行设备调试，处理设备调试过程中发生的各种异常现象。</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3、确保所供货设备能正常投入使用。</w:t>
            </w:r>
          </w:p>
        </w:tc>
        <w:tc>
          <w:tcPr>
            <w:tcW w:w="552" w:type="dxa"/>
            <w:tcBorders>
              <w:tl2br w:val="nil"/>
              <w:tr2bl w:val="nil"/>
            </w:tcBorders>
            <w:shd w:val="clear" w:color="auto" w:fill="auto"/>
            <w:noWrap/>
            <w:vAlign w:val="center"/>
          </w:tcPr>
          <w:p w14:paraId="1BD6B7B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项</w:t>
            </w:r>
          </w:p>
        </w:tc>
        <w:tc>
          <w:tcPr>
            <w:tcW w:w="540" w:type="dxa"/>
            <w:tcBorders>
              <w:tl2br w:val="nil"/>
              <w:tr2bl w:val="nil"/>
            </w:tcBorders>
            <w:shd w:val="clear" w:color="auto" w:fill="auto"/>
            <w:noWrap/>
            <w:vAlign w:val="center"/>
          </w:tcPr>
          <w:p w14:paraId="0F72C0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7103F71F">
            <w:pPr>
              <w:jc w:val="center"/>
              <w:rPr>
                <w:rFonts w:hint="eastAsia" w:ascii="宋体" w:hAnsi="宋体" w:eastAsia="宋体" w:cs="宋体"/>
                <w:b w:val="0"/>
                <w:bCs w:val="0"/>
                <w:i w:val="0"/>
                <w:iCs w:val="0"/>
                <w:color w:val="auto"/>
                <w:sz w:val="22"/>
                <w:szCs w:val="22"/>
                <w:highlight w:val="none"/>
                <w:u w:val="none"/>
              </w:rPr>
            </w:pPr>
          </w:p>
        </w:tc>
      </w:tr>
      <w:tr w14:paraId="4C275A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1F4E8C1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16</w:t>
            </w:r>
          </w:p>
        </w:tc>
        <w:tc>
          <w:tcPr>
            <w:tcW w:w="936" w:type="dxa"/>
            <w:tcBorders>
              <w:tl2br w:val="nil"/>
              <w:tr2bl w:val="nil"/>
            </w:tcBorders>
            <w:shd w:val="clear" w:color="auto" w:fill="auto"/>
            <w:vAlign w:val="center"/>
          </w:tcPr>
          <w:p w14:paraId="3E619CE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线槽</w:t>
            </w:r>
          </w:p>
        </w:tc>
        <w:tc>
          <w:tcPr>
            <w:tcW w:w="4920" w:type="dxa"/>
            <w:tcBorders>
              <w:tl2br w:val="nil"/>
              <w:tr2bl w:val="nil"/>
            </w:tcBorders>
            <w:shd w:val="clear" w:color="auto" w:fill="auto"/>
            <w:vAlign w:val="center"/>
          </w:tcPr>
          <w:p w14:paraId="77F6449A">
            <w:pPr>
              <w:jc w:val="left"/>
              <w:rPr>
                <w:rFonts w:hint="eastAsia" w:ascii="宋体" w:hAnsi="宋体" w:eastAsia="宋体" w:cs="宋体"/>
                <w:b w:val="0"/>
                <w:bCs w:val="0"/>
                <w:i w:val="0"/>
                <w:iCs w:val="0"/>
                <w:color w:val="auto"/>
                <w:sz w:val="22"/>
                <w:szCs w:val="22"/>
                <w:highlight w:val="none"/>
                <w:u w:val="none"/>
                <w:lang w:val="en-US" w:eastAsia="zh-CN"/>
              </w:rPr>
            </w:pPr>
            <w:r>
              <w:rPr>
                <w:rFonts w:hint="eastAsia" w:ascii="宋体" w:hAnsi="宋体" w:eastAsia="宋体" w:cs="宋体"/>
                <w:b w:val="0"/>
                <w:bCs w:val="0"/>
                <w:i w:val="0"/>
                <w:iCs w:val="0"/>
                <w:color w:val="auto"/>
                <w:sz w:val="22"/>
                <w:szCs w:val="22"/>
                <w:highlight w:val="none"/>
                <w:u w:val="none"/>
                <w:lang w:val="en-US" w:eastAsia="zh-CN"/>
              </w:rPr>
              <w:t>配套</w:t>
            </w:r>
          </w:p>
        </w:tc>
        <w:tc>
          <w:tcPr>
            <w:tcW w:w="552" w:type="dxa"/>
            <w:tcBorders>
              <w:tl2br w:val="nil"/>
              <w:tr2bl w:val="nil"/>
            </w:tcBorders>
            <w:shd w:val="clear" w:color="auto" w:fill="auto"/>
            <w:noWrap/>
            <w:vAlign w:val="center"/>
          </w:tcPr>
          <w:p w14:paraId="268CC0A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lang w:val="en-US" w:eastAsia="zh-CN"/>
              </w:rPr>
            </w:pPr>
            <w:r>
              <w:rPr>
                <w:rFonts w:hint="eastAsia" w:ascii="宋体" w:hAnsi="宋体" w:eastAsia="宋体" w:cs="宋体"/>
                <w:b w:val="0"/>
                <w:bCs w:val="0"/>
                <w:i w:val="0"/>
                <w:iCs w:val="0"/>
                <w:color w:val="auto"/>
                <w:sz w:val="22"/>
                <w:szCs w:val="22"/>
                <w:highlight w:val="none"/>
                <w:u w:val="none"/>
                <w:lang w:val="en-US" w:eastAsia="zh-CN"/>
              </w:rPr>
              <w:t>项</w:t>
            </w:r>
          </w:p>
        </w:tc>
        <w:tc>
          <w:tcPr>
            <w:tcW w:w="540" w:type="dxa"/>
            <w:tcBorders>
              <w:tl2br w:val="nil"/>
              <w:tr2bl w:val="nil"/>
            </w:tcBorders>
            <w:shd w:val="clear" w:color="auto" w:fill="auto"/>
            <w:noWrap/>
            <w:vAlign w:val="center"/>
          </w:tcPr>
          <w:p w14:paraId="396F45D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31E2241C">
            <w:pPr>
              <w:jc w:val="center"/>
              <w:rPr>
                <w:rFonts w:hint="eastAsia" w:ascii="宋体" w:hAnsi="宋体" w:eastAsia="宋体" w:cs="宋体"/>
                <w:b w:val="0"/>
                <w:bCs w:val="0"/>
                <w:i w:val="0"/>
                <w:iCs w:val="0"/>
                <w:color w:val="auto"/>
                <w:sz w:val="22"/>
                <w:szCs w:val="22"/>
                <w:highlight w:val="none"/>
                <w:u w:val="none"/>
              </w:rPr>
            </w:pPr>
          </w:p>
        </w:tc>
      </w:tr>
    </w:tbl>
    <w:p w14:paraId="614180C3">
      <w:pPr>
        <w:widowControl/>
        <w:autoSpaceDE w:val="0"/>
        <w:autoSpaceDN w:val="0"/>
        <w:adjustRightInd w:val="0"/>
        <w:spacing w:line="460" w:lineRule="atLeast"/>
        <w:ind w:firstLine="442" w:firstLineChars="200"/>
        <w:jc w:val="both"/>
        <w:textAlignment w:val="bottom"/>
        <w:rPr>
          <w:rFonts w:hint="default" w:ascii="宋体" w:eastAsia="宋体" w:cs="宋体"/>
          <w:b/>
          <w:bCs/>
          <w:color w:val="auto"/>
          <w:sz w:val="22"/>
          <w:highlight w:val="none"/>
          <w:lang w:val="en-US" w:eastAsia="zh-CN"/>
        </w:rPr>
      </w:pPr>
      <w:r>
        <w:rPr>
          <w:rFonts w:hint="eastAsia" w:ascii="宋体" w:eastAsia="宋体" w:cs="宋体"/>
          <w:b/>
          <w:bCs/>
          <w:color w:val="auto"/>
          <w:sz w:val="22"/>
          <w:highlight w:val="none"/>
          <w:lang w:val="en-US" w:eastAsia="zh-CN"/>
        </w:rPr>
        <w:t>2.2.48座小学科学实验室配置清单（组合桌子） （以下数量为一间数量）</w:t>
      </w:r>
    </w:p>
    <w:tbl>
      <w:tblPr>
        <w:tblStyle w:val="48"/>
        <w:tblW w:w="1031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04"/>
        <w:gridCol w:w="1056"/>
        <w:gridCol w:w="5160"/>
        <w:gridCol w:w="696"/>
        <w:gridCol w:w="624"/>
        <w:gridCol w:w="2274"/>
      </w:tblGrid>
      <w:tr w14:paraId="54D7B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79A3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序号</w:t>
            </w:r>
          </w:p>
        </w:tc>
        <w:tc>
          <w:tcPr>
            <w:tcW w:w="10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7506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设备名称</w:t>
            </w:r>
          </w:p>
        </w:tc>
        <w:tc>
          <w:tcPr>
            <w:tcW w:w="5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F650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技术参数</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D4F78">
            <w:pPr>
              <w:keepNext w:val="0"/>
              <w:keepLines w:val="0"/>
              <w:widowControl/>
              <w:suppressLineNumbers w:val="0"/>
              <w:jc w:val="both"/>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单位</w:t>
            </w:r>
          </w:p>
        </w:tc>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B358C">
            <w:pPr>
              <w:keepNext w:val="0"/>
              <w:keepLines w:val="0"/>
              <w:widowControl/>
              <w:suppressLineNumbers w:val="0"/>
              <w:jc w:val="both"/>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数量</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FC6F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备注</w:t>
            </w:r>
          </w:p>
        </w:tc>
      </w:tr>
      <w:tr w14:paraId="33ED95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3C46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1B004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教师演示台</w:t>
            </w:r>
          </w:p>
        </w:tc>
        <w:tc>
          <w:tcPr>
            <w:tcW w:w="5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F0E93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1、尺寸：2400（长）×700（宽）×850mm（高）。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2、结构：演示台设有储物柜，中间为演示台，设置电源主控系统、多媒体设备（主机、显示器、中控、功放、交换机）的位置预留。</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3、台面：采用国内≥13mm厚实芯（双面）理化板台面，由专业生产厂家用CNC机械加工而成，各项性能满足或优于如下要求：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3.1、台面甲醛释放量检测结果值＜0.08mg/M3（未检出）；49项化学试剂检测评级结果为0级-无可见变化；参照GB18584-2001国家标准，经国家化学建筑材料测试中心检测，检测结果重金属铅≤1.1，镉、铬、汞均未检出。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3.2、经不少于14项的农药残留检测，检测百菌清、敌敌畏、毒死蜱、腐霉利、甲胺磷等检测结果均为符合。</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3.3、可溶性三价铬、可溶性六价铬、可溶性铅、可溶性锑、可溶性钴等不少于19项重金属元素测试结果为未测出。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3.4、参照GB/T 2408-2021《塑料燃烧性能的测定 水平法和垂直法》和依据GB 8624-2012《建筑材料及制品燃烧性能分级》作为检测或判定依据进行检测，结果达B1级，烟气毒性项目符合t1级要求；水平燃烧符合HB级，垂直燃烧符合V-0级。</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3.5、防霉性能检测：依据 JC/T2039-2010 标准进行检测黑曲霉、土曲霉、球毛壳霉、宛氏拟青霉、绳状青霉、出芽短梗霉等不少于 6 种的霉菌检测防霉等级为 1级。</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3.6、抗菌性能检测：依据ISO 22196:2011或JC/T 2039-2010标准进行检测大肠杆菌、金黄色葡萄球菌、肺炎克雷伯氏菌、鼠伤寒沙门氏菌、表皮葡萄球菌、铜绿假单胞菌、宋氏志贺氏菌、白色葡萄球菌、粪肠球菌、单核细胞增生李斯特氏菌、变异库克菌、甲型溶血性链球菌、白色念珠菌、肠沙门氏菌肠亚种等不少于14种的菌种抗菌率≥99.9%。</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3.7、39项邻苯二甲酸脂进行检测结果为未检出；15项多环芳香烃（PAHs15)进行检测结果为未检出；65项VOC挥发性有机物检测结果为nd(未检出）。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3.8、根据ISO 21702：2019对H1N1、H3N2进行抗病毒活性试验，抗病毒活性率结果≥99.9%。</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#（针对以上台面技术参数要求，须提供国家认可的具有检测资质的检测机构出具的有效检测报告复印件加盖公章佐证参数）。</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4、桌体：采用1.0mm优质镀锌钢板，CO2保护焊焊接，打磨处理，表面经耐酸碱粉末经过喷塑后高温处理而成。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5、滑轨：三节重型滚珠滑轨，承重性强，滑动性能良好，无噪音，开合十万次不变形。</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6、铰链：采用自动型110°大伸展角度，锌合金铰链，开合五万次不变形。铰链须提供国家认可的具有检测资质的检测机构出具的有效检测报告复印件加盖公章，检测依据QB/T 2189-2013《家具五金 杯状暗铰链》。</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7、拉手：采用C型不锈钢拉手，造型独特美观。拉手须提供国家认可的具有检测资质的检测机构出具的有效检测报告复印件加盖公章，检测依据GB/T 3325-2017《金属家具通用技术条件》。</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8、脚垫：采用柜体内置可调ABS脚垫，保证桌面平整，防水防潮，延长设备使用寿命。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教师演示台须提供国家认可的具有检测资质的检测机构出具的有效检测报告复印件加盖公章，检测依据GB24820-2009《实验室家具通用技术条件》。</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14682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6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E9CF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C75D5">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152525" cy="645160"/>
                  <wp:effectExtent l="0" t="0" r="5715" b="10160"/>
                  <wp:docPr id="28"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2" descr="IMG_256"/>
                          <pic:cNvPicPr>
                            <a:picLocks noChangeAspect="1"/>
                          </pic:cNvPicPr>
                        </pic:nvPicPr>
                        <pic:blipFill>
                          <a:blip r:embed="rId27"/>
                          <a:stretch>
                            <a:fillRect/>
                          </a:stretch>
                        </pic:blipFill>
                        <pic:spPr>
                          <a:xfrm>
                            <a:off x="0" y="0"/>
                            <a:ext cx="1152525" cy="645160"/>
                          </a:xfrm>
                          <a:prstGeom prst="rect">
                            <a:avLst/>
                          </a:prstGeom>
                          <a:noFill/>
                          <a:ln w="9525">
                            <a:noFill/>
                          </a:ln>
                        </pic:spPr>
                      </pic:pic>
                    </a:graphicData>
                  </a:graphic>
                </wp:inline>
              </w:drawing>
            </w:r>
          </w:p>
        </w:tc>
      </w:tr>
      <w:tr w14:paraId="04D67B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3B40A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8FE6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菱形实验桌</w:t>
            </w:r>
          </w:p>
        </w:tc>
        <w:tc>
          <w:tcPr>
            <w:tcW w:w="5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D1576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1.菱形尺寸：边长700mm。拼接成六角尺寸：1400（长）×1212（宽）×780mm（高）。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2.台面：采用12.7mm厚防腐蚀、耐酸碱、防静电、防火、耐磨、耐烟酌、抗污染的抗倍特板，结构加工坚固致密、机械精打磨圆滑细致，造型美观，具有优异的稳定、持久、耐水和易清洗维护等特性。</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3..结构：钢架结构，桌体采用钢架结构，四根桌腿立柱用直径48mm无缝钢管，壁厚2mm，横梁为20*40无缝钢管，壁厚1mm管.立柱和横梁采用字母锁扣方式连接，无须上螺丝，组装方便，结构稳固。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4.脚垫：规格φ42mm*H65mm，采用ABS工程塑料，模具注塑成形，可调节高低，防水及防潮，有效延长设备寿命。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5.特点：桌面颜色多种可选，让空间更活泼。可根据课程需要，自由组合桌子摆放形式，鼓励学生不同形式的参与，鼓励对话交流、互动学习。</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D6E5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6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F3A5D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ABB7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240155" cy="1155700"/>
                  <wp:effectExtent l="0" t="0" r="9525" b="2540"/>
                  <wp:docPr id="29" name="图片 2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3" descr="IMG_257"/>
                          <pic:cNvPicPr>
                            <a:picLocks noChangeAspect="1"/>
                          </pic:cNvPicPr>
                        </pic:nvPicPr>
                        <pic:blipFill>
                          <a:blip r:embed="rId28"/>
                          <a:stretch>
                            <a:fillRect/>
                          </a:stretch>
                        </pic:blipFill>
                        <pic:spPr>
                          <a:xfrm>
                            <a:off x="0" y="0"/>
                            <a:ext cx="1240155" cy="1155700"/>
                          </a:xfrm>
                          <a:prstGeom prst="rect">
                            <a:avLst/>
                          </a:prstGeom>
                          <a:noFill/>
                          <a:ln w="9525">
                            <a:noFill/>
                          </a:ln>
                        </pic:spPr>
                      </pic:pic>
                    </a:graphicData>
                  </a:graphic>
                </wp:inline>
              </w:drawing>
            </w:r>
          </w:p>
        </w:tc>
      </w:tr>
      <w:tr w14:paraId="486502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3AEC0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B80F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塑料水槽柜</w:t>
            </w:r>
          </w:p>
        </w:tc>
        <w:tc>
          <w:tcPr>
            <w:tcW w:w="5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025E26">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1、尺寸：495（长）×595（宽）×805mm（高）。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2、水槽：采用PP工程塑料一次注塑成型，耐酸碱、耐热、耐有机溶剂，规格495*595*290mm，壁厚5mm，四周有挡水凸起，带有防溢水孔，水槽预留水嘴孔和洗眼器孔。</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3、上下水系统：水槽的上水、下水均应隐蔽，专用下水管扣，使下水管弯曲成“S”型防臭，具有溢水管与下水管连接。</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4、柜体：采用ABS工程塑料注塑成型，榫卯连接结构并合理布局加强筋，安装时不用胶水粘结，使用产品自身力量相互连接，产品不变形，不扭曲，表面磨面与光面处理。</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5、柜门：前后两块柜门，方便上下水安装和维护，柜门与柜体不用铰链连接，采用内嵌式组装，柜门上装有强力磁铁，确保柜门合上后不松动。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6、柜体与水槽隐藏式子母扣连接，牢固不松动。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 塑料水槽柜须提供国家认可的具有检测资质的检测机构出具的有效检测报告复印件加盖公章，检测依据GB/T 32487-2016《塑料家具通用技术条件》和GB/T 35607-2017《绿色产品评价 家具》。</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8AE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6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62DC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02B0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57250" cy="1285875"/>
                  <wp:effectExtent l="0" t="0" r="11430" b="9525"/>
                  <wp:docPr id="30" name="图片 2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4" descr="IMG_258"/>
                          <pic:cNvPicPr>
                            <a:picLocks noChangeAspect="1"/>
                          </pic:cNvPicPr>
                        </pic:nvPicPr>
                        <pic:blipFill>
                          <a:blip r:embed="rId29"/>
                          <a:stretch>
                            <a:fillRect/>
                          </a:stretch>
                        </pic:blipFill>
                        <pic:spPr>
                          <a:xfrm>
                            <a:off x="0" y="0"/>
                            <a:ext cx="857250" cy="1285875"/>
                          </a:xfrm>
                          <a:prstGeom prst="rect">
                            <a:avLst/>
                          </a:prstGeom>
                          <a:noFill/>
                          <a:ln w="9525">
                            <a:noFill/>
                          </a:ln>
                        </pic:spPr>
                      </pic:pic>
                    </a:graphicData>
                  </a:graphic>
                </wp:inline>
              </w:drawing>
            </w:r>
          </w:p>
        </w:tc>
      </w:tr>
      <w:tr w14:paraId="2ECF31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6DD58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7F6F5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学生小号三联水嘴</w:t>
            </w:r>
          </w:p>
        </w:tc>
        <w:tc>
          <w:tcPr>
            <w:tcW w:w="5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9A8589">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鹅颈式实验室专用优质化验水嘴：要求防酸碱、防锈、防虹吸、防阻塞，表面环氧树脂喷涂。出水嘴为陶瓷阀芯，可90°旋转，高头便于多用途使用，可拆卸清洗阻塞。出水嘴可拆卸，开关旋钮为高密度PP材质，人体工学设计，手感舒适。</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EF93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付</w:t>
            </w:r>
          </w:p>
        </w:tc>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71AD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B034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66775" cy="971550"/>
                  <wp:effectExtent l="0" t="0" r="1905" b="3810"/>
                  <wp:docPr id="26" name="图片 2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IMG_259"/>
                          <pic:cNvPicPr>
                            <a:picLocks noChangeAspect="1"/>
                          </pic:cNvPicPr>
                        </pic:nvPicPr>
                        <pic:blipFill>
                          <a:blip r:embed="rId30"/>
                          <a:stretch>
                            <a:fillRect/>
                          </a:stretch>
                        </pic:blipFill>
                        <pic:spPr>
                          <a:xfrm>
                            <a:off x="0" y="0"/>
                            <a:ext cx="866775" cy="971550"/>
                          </a:xfrm>
                          <a:prstGeom prst="rect">
                            <a:avLst/>
                          </a:prstGeom>
                          <a:noFill/>
                          <a:ln w="9525">
                            <a:noFill/>
                          </a:ln>
                        </pic:spPr>
                      </pic:pic>
                    </a:graphicData>
                  </a:graphic>
                </wp:inline>
              </w:drawing>
            </w:r>
          </w:p>
        </w:tc>
      </w:tr>
      <w:tr w14:paraId="6D7B15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9F21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3358B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教师椅</w:t>
            </w:r>
          </w:p>
        </w:tc>
        <w:tc>
          <w:tcPr>
            <w:tcW w:w="5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D3C3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1、凳面：采用PP工程塑料注塑成双色椭圆凳面，直径≥328MM，凳面表层有颗粒凸起（乳白色），前端呈半圆弧形，圆润下滑，曲面优美。后端月牙形靠背突起，完美贴合臀部，符合人体工程学。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2、立柱: 采用立柱采用直径≥60MM，壁厚≥1.2MM的冷轧钢管，上部有螺杆，凳面由螺杆带动升降。</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3、凳脚: 采用铝合金压铸工艺一次成型，直径≥430MM，壁厚≥2.8MM。5只脚上带有塑料装饰片，表面带防滑颗粒，既美观又延长凳脚使用寿命。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4、脚轮：优质塑料尼龙、钢材精心制作，滚动声音更细微，柔韧性更好，能做到防滑、减震、防静电。</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5、工艺：表面金属部分经过磷化、酸洗、除油、除锈、处理后再经自动喷枪环氧树脂金属粉末喷涂，经高温固化成光滑表面。</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FCD8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48B5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8B517">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619125" cy="962025"/>
                  <wp:effectExtent l="0" t="0" r="5715" b="13335"/>
                  <wp:docPr id="27" name="图片 2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descr="IMG_260"/>
                          <pic:cNvPicPr>
                            <a:picLocks noChangeAspect="1"/>
                          </pic:cNvPicPr>
                        </pic:nvPicPr>
                        <pic:blipFill>
                          <a:blip r:embed="rId31"/>
                          <a:stretch>
                            <a:fillRect/>
                          </a:stretch>
                        </pic:blipFill>
                        <pic:spPr>
                          <a:xfrm>
                            <a:off x="0" y="0"/>
                            <a:ext cx="619125" cy="962025"/>
                          </a:xfrm>
                          <a:prstGeom prst="rect">
                            <a:avLst/>
                          </a:prstGeom>
                          <a:noFill/>
                          <a:ln w="9525">
                            <a:noFill/>
                          </a:ln>
                        </pic:spPr>
                      </pic:pic>
                    </a:graphicData>
                  </a:graphic>
                </wp:inline>
              </w:drawing>
            </w:r>
          </w:p>
        </w:tc>
      </w:tr>
      <w:tr w14:paraId="5B1F7B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4E214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0249B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学生凳</w:t>
            </w:r>
          </w:p>
        </w:tc>
        <w:tc>
          <w:tcPr>
            <w:tcW w:w="5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D809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1、凳面：采用高密度PP材质的凳面，直径320mm，凳面表层有颗粒凸起（乳白色），起到按摩抗疲劳作用。凳面下装有壁厚为1.8mm厚直径为160mm钢板托盘，使得凳子更加稳固。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2、凳脚：4个凳脚采用16×36×1.8mm的冷轧钢管一次弯曲成型，全自动焊接机械手焊接，焊点准确且均匀，四脚配耐磨脚垫，防滑消音，保护地板。质量稳定，坚固耐用，美观大方。</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3、结构：由螺杆带动升降，升降范围不小于450mm-520mm，凳面与凳脚留有一定的空间便于凳子挂在挂凳扣上，方便教室的打扫。</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4、制作工艺：1. 采用二氧化碳保护焊。2. 涂层:经过磷化、酸洗、除油、除锈处理，再经全自动喷涂机械手喷环氧树脂金属粉末喷涂，经高温固化成光滑表面。</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学生凳须提供国家认可的具有检测资质的检测机构出具的有效检测报告复印件加盖公章，检测依据QB/T 4071《课桌椅》。</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1D8C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FCD4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48</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7C0E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009650" cy="1209675"/>
                  <wp:effectExtent l="0" t="0" r="11430" b="9525"/>
                  <wp:docPr id="25" name="图片 2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7" descr="IMG_261"/>
                          <pic:cNvPicPr>
                            <a:picLocks noChangeAspect="1"/>
                          </pic:cNvPicPr>
                        </pic:nvPicPr>
                        <pic:blipFill>
                          <a:blip r:embed="rId32"/>
                          <a:stretch>
                            <a:fillRect/>
                          </a:stretch>
                        </pic:blipFill>
                        <pic:spPr>
                          <a:xfrm>
                            <a:off x="0" y="0"/>
                            <a:ext cx="1009650" cy="1209675"/>
                          </a:xfrm>
                          <a:prstGeom prst="rect">
                            <a:avLst/>
                          </a:prstGeom>
                          <a:noFill/>
                          <a:ln w="9525">
                            <a:noFill/>
                          </a:ln>
                        </pic:spPr>
                      </pic:pic>
                    </a:graphicData>
                  </a:graphic>
                </wp:inline>
              </w:drawing>
            </w:r>
          </w:p>
        </w:tc>
      </w:tr>
      <w:tr w14:paraId="36B09D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DA2F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9</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913F4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供排水系统</w:t>
            </w:r>
          </w:p>
        </w:tc>
        <w:tc>
          <w:tcPr>
            <w:tcW w:w="5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7EA1D">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给水管采用优质PPR管，主管直径20、25mm；排水管采用优质PVC耐蚀管，管直径50mm。</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C8E9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BFF9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337B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09625" cy="590550"/>
                  <wp:effectExtent l="0" t="0" r="13335" b="3810"/>
                  <wp:docPr id="24" name="图片 2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8" descr="IMG_262"/>
                          <pic:cNvPicPr>
                            <a:picLocks noChangeAspect="1"/>
                          </pic:cNvPicPr>
                        </pic:nvPicPr>
                        <pic:blipFill>
                          <a:blip r:embed="rId33"/>
                          <a:stretch>
                            <a:fillRect/>
                          </a:stretch>
                        </pic:blipFill>
                        <pic:spPr>
                          <a:xfrm>
                            <a:off x="0" y="0"/>
                            <a:ext cx="809625" cy="590550"/>
                          </a:xfrm>
                          <a:prstGeom prst="rect">
                            <a:avLst/>
                          </a:prstGeom>
                          <a:noFill/>
                          <a:ln w="9525">
                            <a:noFill/>
                          </a:ln>
                        </pic:spPr>
                      </pic:pic>
                    </a:graphicData>
                  </a:graphic>
                </wp:inline>
              </w:drawing>
            </w:r>
          </w:p>
        </w:tc>
      </w:tr>
      <w:tr w14:paraId="6CF72F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7D53A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ADD65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调试安装</w:t>
            </w:r>
          </w:p>
        </w:tc>
        <w:tc>
          <w:tcPr>
            <w:tcW w:w="5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B113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1、组织设备安装，解决设备安装过程中的各种技术疑难问题。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2、进行设备调试，处理设备调试过程中发生的各种异常现象。</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3、确保所供货设备能正常投入使用。</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1862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2475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1FFF2">
            <w:pPr>
              <w:jc w:val="center"/>
              <w:rPr>
                <w:rFonts w:hint="eastAsia" w:ascii="宋体" w:hAnsi="宋体" w:eastAsia="宋体" w:cs="宋体"/>
                <w:b w:val="0"/>
                <w:bCs w:val="0"/>
                <w:i w:val="0"/>
                <w:iCs w:val="0"/>
                <w:color w:val="auto"/>
                <w:sz w:val="22"/>
                <w:szCs w:val="22"/>
                <w:highlight w:val="none"/>
                <w:u w:val="none"/>
              </w:rPr>
            </w:pPr>
          </w:p>
        </w:tc>
      </w:tr>
    </w:tbl>
    <w:p w14:paraId="376C080C">
      <w:pPr>
        <w:widowControl/>
        <w:autoSpaceDE w:val="0"/>
        <w:autoSpaceDN w:val="0"/>
        <w:adjustRightInd w:val="0"/>
        <w:spacing w:line="460" w:lineRule="atLeast"/>
        <w:ind w:firstLine="442" w:firstLineChars="200"/>
        <w:textAlignment w:val="bottom"/>
        <w:rPr>
          <w:rFonts w:hint="default" w:ascii="宋体" w:eastAsia="宋体" w:cs="宋体"/>
          <w:b/>
          <w:bCs/>
          <w:color w:val="auto"/>
          <w:sz w:val="22"/>
          <w:highlight w:val="none"/>
          <w:lang w:val="en-US" w:eastAsia="zh-CN"/>
        </w:rPr>
      </w:pPr>
      <w:r>
        <w:rPr>
          <w:rFonts w:hint="eastAsia" w:ascii="宋体" w:eastAsia="宋体" w:cs="宋体"/>
          <w:b/>
          <w:bCs/>
          <w:color w:val="auto"/>
          <w:sz w:val="22"/>
          <w:highlight w:val="none"/>
          <w:lang w:val="en-US" w:eastAsia="zh-CN"/>
        </w:rPr>
        <w:t>2.3.小学科学准备室配置清单（以下数量为一间数量）</w:t>
      </w:r>
    </w:p>
    <w:tbl>
      <w:tblPr>
        <w:tblStyle w:val="48"/>
        <w:tblW w:w="1051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36"/>
        <w:gridCol w:w="785"/>
        <w:gridCol w:w="6473"/>
        <w:gridCol w:w="540"/>
        <w:gridCol w:w="540"/>
        <w:gridCol w:w="1744"/>
      </w:tblGrid>
      <w:tr w14:paraId="2FEEDE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8EA9DB"/>
            <w:noWrap/>
            <w:vAlign w:val="center"/>
          </w:tcPr>
          <w:p w14:paraId="757AE48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序号</w:t>
            </w:r>
          </w:p>
        </w:tc>
        <w:tc>
          <w:tcPr>
            <w:tcW w:w="785" w:type="dxa"/>
            <w:tcBorders>
              <w:top w:val="single" w:color="000000" w:sz="4" w:space="0"/>
              <w:left w:val="single" w:color="000000" w:sz="4" w:space="0"/>
              <w:bottom w:val="single" w:color="000000" w:sz="4" w:space="0"/>
              <w:right w:val="single" w:color="000000" w:sz="4" w:space="0"/>
            </w:tcBorders>
            <w:shd w:val="clear" w:color="auto" w:fill="8EA9DB"/>
            <w:noWrap/>
            <w:vAlign w:val="center"/>
          </w:tcPr>
          <w:p w14:paraId="0AA12A2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设备名称</w:t>
            </w:r>
          </w:p>
        </w:tc>
        <w:tc>
          <w:tcPr>
            <w:tcW w:w="6473" w:type="dxa"/>
            <w:tcBorders>
              <w:top w:val="single" w:color="000000" w:sz="4" w:space="0"/>
              <w:left w:val="single" w:color="000000" w:sz="4" w:space="0"/>
              <w:bottom w:val="single" w:color="000000" w:sz="4" w:space="0"/>
              <w:right w:val="single" w:color="000000" w:sz="4" w:space="0"/>
            </w:tcBorders>
            <w:shd w:val="clear" w:color="auto" w:fill="8EA9DB"/>
            <w:noWrap/>
            <w:vAlign w:val="center"/>
          </w:tcPr>
          <w:p w14:paraId="475D3D2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技术参数</w:t>
            </w:r>
          </w:p>
        </w:tc>
        <w:tc>
          <w:tcPr>
            <w:tcW w:w="540" w:type="dxa"/>
            <w:tcBorders>
              <w:top w:val="single" w:color="000000" w:sz="4" w:space="0"/>
              <w:left w:val="single" w:color="000000" w:sz="4" w:space="0"/>
              <w:bottom w:val="single" w:color="000000" w:sz="4" w:space="0"/>
              <w:right w:val="single" w:color="000000" w:sz="4" w:space="0"/>
            </w:tcBorders>
            <w:shd w:val="clear" w:color="auto" w:fill="8EA9DB"/>
            <w:noWrap/>
            <w:vAlign w:val="center"/>
          </w:tcPr>
          <w:p w14:paraId="4A394AF4">
            <w:pPr>
              <w:keepNext w:val="0"/>
              <w:keepLines w:val="0"/>
              <w:widowControl/>
              <w:suppressLineNumbers w:val="0"/>
              <w:jc w:val="both"/>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单位</w:t>
            </w:r>
          </w:p>
        </w:tc>
        <w:tc>
          <w:tcPr>
            <w:tcW w:w="540" w:type="dxa"/>
            <w:tcBorders>
              <w:top w:val="single" w:color="000000" w:sz="4" w:space="0"/>
              <w:left w:val="single" w:color="000000" w:sz="4" w:space="0"/>
              <w:bottom w:val="single" w:color="000000" w:sz="4" w:space="0"/>
              <w:right w:val="single" w:color="000000" w:sz="4" w:space="0"/>
            </w:tcBorders>
            <w:shd w:val="clear" w:color="auto" w:fill="8EA9DB"/>
            <w:noWrap/>
            <w:vAlign w:val="center"/>
          </w:tcPr>
          <w:p w14:paraId="5937F52D">
            <w:pPr>
              <w:keepNext w:val="0"/>
              <w:keepLines w:val="0"/>
              <w:widowControl/>
              <w:suppressLineNumbers w:val="0"/>
              <w:jc w:val="both"/>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数量</w:t>
            </w:r>
          </w:p>
        </w:tc>
        <w:tc>
          <w:tcPr>
            <w:tcW w:w="1744" w:type="dxa"/>
            <w:tcBorders>
              <w:top w:val="single" w:color="000000" w:sz="4" w:space="0"/>
              <w:left w:val="single" w:color="000000" w:sz="4" w:space="0"/>
              <w:bottom w:val="single" w:color="000000" w:sz="4" w:space="0"/>
              <w:right w:val="single" w:color="000000" w:sz="4" w:space="0"/>
            </w:tcBorders>
            <w:shd w:val="clear" w:color="auto" w:fill="8EA9DB"/>
            <w:noWrap/>
            <w:vAlign w:val="center"/>
          </w:tcPr>
          <w:p w14:paraId="6AC302C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备注</w:t>
            </w:r>
          </w:p>
        </w:tc>
      </w:tr>
      <w:tr w14:paraId="71004F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287B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607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准备桌</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30529">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1、尺寸：≥2800（长）×700（宽）×850mm（高）；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2、结构：全钢结构，分段式，上部抽屉，下部对开门储存柜。</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3、台面：一体化台面，采用≥12mm厚防腐蚀、耐酸碱、防静电、防火、耐磨、耐烟酌、抗污染的理化板，结构加工坚固致密、机械精打磨圆滑细致，造型美观，具有优异的稳定、持久、耐水和易清洗维护等特性。</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4、桌体：采用1.0mm优质镀锌钢板，CO2保护焊焊接，打磨处理，表面经耐酸碱粉末经过喷塑后高温处理而成。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5、滑轨：三节重型滚珠滑轨，承重性强，滑动性能良好，无噪音，开合十万次不变形。</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6、铰链：采用自动型110°大伸展角度，锌合金铰链，开合五万次不变形。</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7、拉手：采用桥型金属拉手，造型独特美观。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8、脚垫：采用柜体内置可调ABS脚垫，保证桌面平整，防水防潮，延长设备使用寿命。</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10791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D2BD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AEE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920750" cy="607695"/>
                  <wp:effectExtent l="0" t="0" r="8890" b="1905"/>
                  <wp:docPr id="37"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9" descr="IMG_256"/>
                          <pic:cNvPicPr>
                            <a:picLocks noChangeAspect="1"/>
                          </pic:cNvPicPr>
                        </pic:nvPicPr>
                        <pic:blipFill>
                          <a:blip r:embed="rId34"/>
                          <a:stretch>
                            <a:fillRect/>
                          </a:stretch>
                        </pic:blipFill>
                        <pic:spPr>
                          <a:xfrm>
                            <a:off x="0" y="0"/>
                            <a:ext cx="920750" cy="607695"/>
                          </a:xfrm>
                          <a:prstGeom prst="rect">
                            <a:avLst/>
                          </a:prstGeom>
                          <a:noFill/>
                          <a:ln w="9525">
                            <a:noFill/>
                          </a:ln>
                        </pic:spPr>
                      </pic:pic>
                    </a:graphicData>
                  </a:graphic>
                </wp:inline>
              </w:drawing>
            </w:r>
          </w:p>
        </w:tc>
      </w:tr>
      <w:tr w14:paraId="0B20D9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96A5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B030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塑料水槽</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2CF546">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1、采用耐腐蚀高密度PP材质，模具一次注塑成型，规格：内径490×390×290mm，水槽厚度不小于5 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2、水槽应具有耐酸碱、耐热、耐有机溶剂；排水口应有水封装置。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3、水槽应采取台下托底式安装（带支撑托架），水槽与台面间采用防水密封胶封闭，无漏水现象。</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4、水槽的上水、下水均应隐蔽，专用下水管扣，使下水管弯曲成“S”型防臭。</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5、排水管必须连接可靠，避免因松动脱落造成漏水，引起电源短路，形成安全隐患。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PP水槽须提供国家认可的具有检测资质的检测机构出具的有效检测报告复印件加盖公章，依据GB/T 21747-2008《教学实验室设备 实验台（桌）的安全要求及试验方法》进行力学性能要求（水盆底部的强度、水盆的水漏）检测，检测结果符合要求。</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8018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413C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F4F9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114425" cy="800100"/>
                  <wp:effectExtent l="0" t="0" r="13335" b="7620"/>
                  <wp:docPr id="33" name="图片 3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0" descr="IMG_257"/>
                          <pic:cNvPicPr>
                            <a:picLocks noChangeAspect="1"/>
                          </pic:cNvPicPr>
                        </pic:nvPicPr>
                        <pic:blipFill>
                          <a:blip r:embed="rId35"/>
                          <a:stretch>
                            <a:fillRect/>
                          </a:stretch>
                        </pic:blipFill>
                        <pic:spPr>
                          <a:xfrm>
                            <a:off x="0" y="0"/>
                            <a:ext cx="1114425" cy="800100"/>
                          </a:xfrm>
                          <a:prstGeom prst="rect">
                            <a:avLst/>
                          </a:prstGeom>
                          <a:noFill/>
                          <a:ln w="9525">
                            <a:noFill/>
                          </a:ln>
                        </pic:spPr>
                      </pic:pic>
                    </a:graphicData>
                  </a:graphic>
                </wp:inline>
              </w:drawing>
            </w:r>
          </w:p>
        </w:tc>
      </w:tr>
      <w:tr w14:paraId="20A9E8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DA60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DEFC1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学生小号三联水嘴</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A674E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鹅颈式实验室专用优质化验水嘴：要求防酸碱、防锈、防虹吸、防阻塞，表面环氧树脂喷涂。出水嘴为陶瓷阀芯，可90°旋转，高头便于多用途使用，可拆卸清洗阻塞。出水嘴可拆卸，开关旋钮为高密度PP材质，人体工学设计，手感舒适。</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E98D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付</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7015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7413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752475" cy="1190625"/>
                  <wp:effectExtent l="0" t="0" r="9525" b="13335"/>
                  <wp:docPr id="39" name="图片 3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1" descr="IMG_258"/>
                          <pic:cNvPicPr>
                            <a:picLocks noChangeAspect="1"/>
                          </pic:cNvPicPr>
                        </pic:nvPicPr>
                        <pic:blipFill>
                          <a:blip r:embed="rId20"/>
                          <a:stretch>
                            <a:fillRect/>
                          </a:stretch>
                        </pic:blipFill>
                        <pic:spPr>
                          <a:xfrm>
                            <a:off x="0" y="0"/>
                            <a:ext cx="752475" cy="1190625"/>
                          </a:xfrm>
                          <a:prstGeom prst="rect">
                            <a:avLst/>
                          </a:prstGeom>
                          <a:noFill/>
                          <a:ln w="9525">
                            <a:noFill/>
                          </a:ln>
                        </pic:spPr>
                      </pic:pic>
                    </a:graphicData>
                  </a:graphic>
                </wp:inline>
              </w:drawing>
            </w:r>
          </w:p>
        </w:tc>
      </w:tr>
      <w:tr w14:paraId="5E74F3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D87AD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F9B1D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洗眼器</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BEF79">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1、台面安装方式，平时放置于台面，紧急使用时可随意抽起，使用方便。</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2、洗眼喷头：具有过滤泡棉及防尘功能，上面防尘盖平常可防尘，使用时可随时被水冲开，并降低突然打开时短暂的高水压，避免冲伤眼睛。</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3、控水阀采用黄铜制作，经高亮度环氧树脂涂层处理，外观美观大方，阀门可自动关闭，密封可靠。</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4、供水软管：采用2m长不锈钢软管。</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70D8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080B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B7CD1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38150" cy="933450"/>
                  <wp:effectExtent l="0" t="0" r="3810" b="11430"/>
                  <wp:docPr id="34" name="图片 3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2" descr="IMG_259"/>
                          <pic:cNvPicPr>
                            <a:picLocks noChangeAspect="1"/>
                          </pic:cNvPicPr>
                        </pic:nvPicPr>
                        <pic:blipFill>
                          <a:blip r:embed="rId14"/>
                          <a:stretch>
                            <a:fillRect/>
                          </a:stretch>
                        </pic:blipFill>
                        <pic:spPr>
                          <a:xfrm>
                            <a:off x="0" y="0"/>
                            <a:ext cx="438150" cy="933450"/>
                          </a:xfrm>
                          <a:prstGeom prst="rect">
                            <a:avLst/>
                          </a:prstGeom>
                          <a:noFill/>
                          <a:ln w="9525">
                            <a:noFill/>
                          </a:ln>
                        </pic:spPr>
                      </pic:pic>
                    </a:graphicData>
                  </a:graphic>
                </wp:inline>
              </w:drawing>
            </w:r>
          </w:p>
        </w:tc>
      </w:tr>
      <w:tr w14:paraId="2FB10B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8632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C0BC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试剂架</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0D5E6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尺寸：2200*300*550mm，单层。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1、立柱采用80mm*42mm*1mm 铝合金专用型材，挡条采用40mm*15mm*1mm 的铝合金专用型材。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2、支撑件采用1mm 厚的上海宝钢产的镀锌钢板冲压成型。支撑件用不锈钢内六角螺丝及小铁条固定在立柱上，可以上下自由调节。金属件外喷纯环氧树脂高温固化。</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固定件采用4mm厚的专用合金件，充分保证试剂架安装后的稳定性。4、电源插座采用10A多功能透明防溅。试剂架的上端和下端与台面连接的地方，分别采用工程塑料成型的立柱盖和立柱套。试剂架的螺丝均采用不锈钢螺丝，层板采用8-12mm浮法玻璃。</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6ACD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组</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DF2E2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FA6C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038225" cy="866775"/>
                  <wp:effectExtent l="0" t="0" r="13335" b="1905"/>
                  <wp:docPr id="40" name="图片 3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3" descr="IMG_260"/>
                          <pic:cNvPicPr>
                            <a:picLocks noChangeAspect="1"/>
                          </pic:cNvPicPr>
                        </pic:nvPicPr>
                        <pic:blipFill>
                          <a:blip r:embed="rId36"/>
                          <a:stretch>
                            <a:fillRect/>
                          </a:stretch>
                        </pic:blipFill>
                        <pic:spPr>
                          <a:xfrm>
                            <a:off x="0" y="0"/>
                            <a:ext cx="1038225" cy="866775"/>
                          </a:xfrm>
                          <a:prstGeom prst="rect">
                            <a:avLst/>
                          </a:prstGeom>
                          <a:noFill/>
                          <a:ln w="9525">
                            <a:noFill/>
                          </a:ln>
                        </pic:spPr>
                      </pic:pic>
                    </a:graphicData>
                  </a:graphic>
                </wp:inline>
              </w:drawing>
            </w:r>
          </w:p>
        </w:tc>
      </w:tr>
      <w:tr w14:paraId="6BB32F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1754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9F13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标本柜</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260606">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1、柜体尺寸：1000（宽）×500（深）×2000mm（高）。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上柜柜体：1000（宽）×500（深）×1400mm（高）。上柜柜体由铝合金框架和透明玻璃组装而成，能够完全观其内部陈列标本。柜体框架采用模具成型的专用铝合金方管制作，通过ABS专用连接件组装而成，保证连接牢固。铝型材框架分2种组成，横截面外径分别为：27×37mm和37×37mm，壁厚≥1.2mm，型材有两道卡槽，卡槽深10mm，卡槽宽5mm。铝合金型材带凹槽，凹槽的宽度应与柜体玻璃相匹配，凹槽的深度应足够，保证柜体玻璃与铝型材之间接缝严密，无晃动现象，不发生脱落。铝合金型材表面需经静电粉沫喷涂处理，整体耐腐蚀、防火、防潮、稳固耐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层板托：上柜两边分别配置两根层板托，采用磨具成型的专用铝型材，横截外径为：24×15mm，壁厚1.2mm，受力部分凸出10mm飞边，放置层板。层板托通过内置三卡锁与上柜框架卡槽固定，可自由调节高度。承重性好，升降方便，解决了原来玻璃层板容易向前倾摔倒的缺点。</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4、下柜柜体：1000（宽）×500（深）×600mm（高）。采用16mm厚防潮三聚氰胺双面贴面板，所有板材外露端面采用高质量PVC封边条，利用机械封边机配以热溶胶高温封边。</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5、下柜柜门：下部为整体木门，木框和木门材料与衬板相同。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6、层板：上柜设置2块可上下升降调节活动搁板，下柜设置1块活动搁板。上柜搁板采用活动白玻(厚度8mm磨边)搁板，下柜搁板所用的板材与柜体板材相同，搁板厚度不小于18mm。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7、柜脚：采用特制模具ABS注塑脚垫，防水及防潮，有效使设备寿命延长。</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4585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9929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325B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981075" cy="1676400"/>
                  <wp:effectExtent l="0" t="0" r="9525" b="0"/>
                  <wp:docPr id="32" name="图片 3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4" descr="IMG_261"/>
                          <pic:cNvPicPr>
                            <a:picLocks noChangeAspect="1"/>
                          </pic:cNvPicPr>
                        </pic:nvPicPr>
                        <pic:blipFill>
                          <a:blip r:embed="rId37"/>
                          <a:stretch>
                            <a:fillRect/>
                          </a:stretch>
                        </pic:blipFill>
                        <pic:spPr>
                          <a:xfrm>
                            <a:off x="0" y="0"/>
                            <a:ext cx="981075" cy="1676400"/>
                          </a:xfrm>
                          <a:prstGeom prst="rect">
                            <a:avLst/>
                          </a:prstGeom>
                          <a:noFill/>
                          <a:ln w="9525">
                            <a:noFill/>
                          </a:ln>
                        </pic:spPr>
                      </pic:pic>
                    </a:graphicData>
                  </a:graphic>
                </wp:inline>
              </w:drawing>
            </w:r>
          </w:p>
        </w:tc>
      </w:tr>
      <w:tr w14:paraId="72BB76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B628C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23D7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塑料仪器柜</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E93ED">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1、规格：1000*500*2000mm（±10mm）</w:t>
            </w:r>
          </w:p>
          <w:p w14:paraId="64D6C8B8">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2、材质：PP材质，分上、下对开门柜体，柜体中间有层板。</w:t>
            </w:r>
          </w:p>
          <w:p w14:paraId="5A3AD1C3">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3、柜体：侧板、背板、顶板、底板采用增强型PP材质，一次注塑成型，结构紧密，耐腐蚀性强。</w:t>
            </w:r>
          </w:p>
          <w:p w14:paraId="5E810D71">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4、上柜门：采用增强型PP材质一次注塑成型，外嵌钢化烤漆玻璃,中间玻璃做镂空处理，透明可视。</w:t>
            </w:r>
          </w:p>
          <w:p w14:paraId="692B5A62">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5、下柜门：采用增强型PP材质一次注塑成型，外嵌钢化烤漆玻璃。</w:t>
            </w:r>
          </w:p>
          <w:p w14:paraId="00C6B160">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6、层板：上柜配两块活动层板，下柜配一块活动层板。层板为增强型PP材质一次注塑成型，层板下部有两条镀锌钢管，增强了层板承重强度，也避免了后安装钢制横梁，避免腐蚀。美观耐用。层板可以抽取，自由组合各层空间。</w:t>
            </w:r>
          </w:p>
          <w:p w14:paraId="2BD52404">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7、门把手：采用增强型PP材质一次注塑成型，美观耐用。</w:t>
            </w:r>
          </w:p>
          <w:p w14:paraId="58A950C4">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8、门铰链：用增强型PP材质一次注塑成型，内嵌隐藏安装方便，耐腐蚀。</w:t>
            </w:r>
          </w:p>
          <w:p w14:paraId="3BA4790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9、柜顶预留通风系统，可以与通风管路连接。</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90B2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6751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ABAF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057275" cy="1468755"/>
                  <wp:effectExtent l="0" t="0" r="9525" b="9525"/>
                  <wp:docPr id="41" name="图片 3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5" descr="IMG_262"/>
                          <pic:cNvPicPr>
                            <a:picLocks noChangeAspect="1"/>
                          </pic:cNvPicPr>
                        </pic:nvPicPr>
                        <pic:blipFill>
                          <a:blip r:embed="rId38"/>
                          <a:stretch>
                            <a:fillRect/>
                          </a:stretch>
                        </pic:blipFill>
                        <pic:spPr>
                          <a:xfrm>
                            <a:off x="0" y="0"/>
                            <a:ext cx="1057275" cy="1468755"/>
                          </a:xfrm>
                          <a:prstGeom prst="rect">
                            <a:avLst/>
                          </a:prstGeom>
                          <a:noFill/>
                          <a:ln w="9525">
                            <a:noFill/>
                          </a:ln>
                        </pic:spPr>
                      </pic:pic>
                    </a:graphicData>
                  </a:graphic>
                </wp:inline>
              </w:drawing>
            </w:r>
          </w:p>
        </w:tc>
      </w:tr>
      <w:tr w14:paraId="151C1C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2949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2FED9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药品柜</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6DAA8">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1、规格：1000*500*2000mm（±10mm）</w:t>
            </w:r>
          </w:p>
          <w:p w14:paraId="1750145C">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2、材质：PP材质，分上、下对开门柜体，柜体中间有层板。</w:t>
            </w:r>
          </w:p>
          <w:p w14:paraId="66DEBC23">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3、柜体：侧板、背板、顶板、底板采用增强型PP材质，一次注塑成型。结构紧密，耐腐蚀性强。</w:t>
            </w:r>
          </w:p>
          <w:p w14:paraId="71512015">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4、上柜门：采用增强型PP材质一次注塑成型，外嵌钢化烤漆玻璃,中间玻璃做镂空处理，透明可视。</w:t>
            </w:r>
          </w:p>
          <w:p w14:paraId="795EA942">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5、下柜门：采用增强型PP材质一次注塑成型，外嵌钢化烤漆玻璃。</w:t>
            </w:r>
          </w:p>
          <w:p w14:paraId="021322B5">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6、层板：上柜配两块活动层板，下柜配一块活动层板。层板为增强型PP材质一次注塑成型，层板下部有两条镀锌钢管，增强了层板承重强度，也避免了后安装钢制横梁，避免腐蚀。美观耐用。层板可以抽取，自由组合各层空间。上柜配置有PP材质一次注塑成型阶梯型层板，增加储物空间。</w:t>
            </w:r>
          </w:p>
          <w:p w14:paraId="0BA750B6">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7、门把手：采用增强型PP材质一次注塑成型，美观耐用。</w:t>
            </w:r>
          </w:p>
          <w:p w14:paraId="79C6E12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8、门铰链：用增强型PP材质一次注塑成型，内嵌隐藏安装方便，耐腐蚀。</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BB81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F9C1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3381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028700" cy="1428750"/>
                  <wp:effectExtent l="0" t="0" r="7620" b="3810"/>
                  <wp:docPr id="42" name="图片 3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6" descr="IMG_263"/>
                          <pic:cNvPicPr>
                            <a:picLocks noChangeAspect="1"/>
                          </pic:cNvPicPr>
                        </pic:nvPicPr>
                        <pic:blipFill>
                          <a:blip r:embed="rId38"/>
                          <a:stretch>
                            <a:fillRect/>
                          </a:stretch>
                        </pic:blipFill>
                        <pic:spPr>
                          <a:xfrm>
                            <a:off x="0" y="0"/>
                            <a:ext cx="1028700" cy="1428750"/>
                          </a:xfrm>
                          <a:prstGeom prst="rect">
                            <a:avLst/>
                          </a:prstGeom>
                          <a:noFill/>
                          <a:ln w="9525">
                            <a:noFill/>
                          </a:ln>
                        </pic:spPr>
                      </pic:pic>
                    </a:graphicData>
                  </a:graphic>
                </wp:inline>
              </w:drawing>
            </w:r>
          </w:p>
        </w:tc>
      </w:tr>
      <w:tr w14:paraId="67F5DB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07B97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9</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CD31B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教师椅</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19587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1、凳面：采用PP工程塑料注塑成双色椭圆凳面，直径≥328MM，凳面表层有颗粒凸起（乳白色），前端呈半圆弧形，圆润下滑，曲面优美。后端月牙形靠背突起，完美贴合臀部，符合人体工程学。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2、立柱: 采用立柱采用直径≥60MM，壁厚≥1.2MM的冷轧钢管，上部有螺杆，凳面由螺杆带动升降。</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3、凳脚: 采用铝合金压铸工艺一次成型，直径≥430MM，壁厚≥2.8MM。5只脚上带有塑料装饰片，表面带防滑颗粒，既美观又延长凳脚使用寿命。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4、脚轮：优质塑料尼龙、钢材精心制作，滚动声音更细微，柔韧性更好，能做到防滑、减震、防静电。</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5、工艺：表面金属部分经过磷化、酸洗、除油、除锈、处理后再经自动喷枪环氧树脂金属粉末喷涂，经高温固化成光滑表面。</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35FC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EC57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36226">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647700" cy="990600"/>
                  <wp:effectExtent l="0" t="0" r="7620" b="0"/>
                  <wp:docPr id="35" name="图片 37"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7" descr="IMG_264"/>
                          <pic:cNvPicPr>
                            <a:picLocks noChangeAspect="1"/>
                          </pic:cNvPicPr>
                        </pic:nvPicPr>
                        <pic:blipFill>
                          <a:blip r:embed="rId39"/>
                          <a:stretch>
                            <a:fillRect/>
                          </a:stretch>
                        </pic:blipFill>
                        <pic:spPr>
                          <a:xfrm>
                            <a:off x="0" y="0"/>
                            <a:ext cx="647700" cy="990600"/>
                          </a:xfrm>
                          <a:prstGeom prst="rect">
                            <a:avLst/>
                          </a:prstGeom>
                          <a:noFill/>
                          <a:ln w="9525">
                            <a:noFill/>
                          </a:ln>
                        </pic:spPr>
                      </pic:pic>
                    </a:graphicData>
                  </a:graphic>
                </wp:inline>
              </w:drawing>
            </w:r>
          </w:p>
        </w:tc>
      </w:tr>
      <w:tr w14:paraId="09358B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3CB98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F97FC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电气布线</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FF26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1、电工管采用优质PVC-U管，管直径20mm，直接、管卡、电工胶布等。根据实验室实际，也可采用铝合金或不锈钢地面走线槽。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2、主干电源线采用4 mm2优质多芯铜质护套线。</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3、支干电源线采用2.5mm2、1.5mm2优质多芯铜质护套线。</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9156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5087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0CA9DA">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933450" cy="666750"/>
                  <wp:effectExtent l="0" t="0" r="11430" b="3810"/>
                  <wp:docPr id="36" name="图片 38"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8" descr="IMG_265"/>
                          <pic:cNvPicPr>
                            <a:picLocks noChangeAspect="1"/>
                          </pic:cNvPicPr>
                        </pic:nvPicPr>
                        <pic:blipFill>
                          <a:blip r:embed="rId40"/>
                          <a:stretch>
                            <a:fillRect/>
                          </a:stretch>
                        </pic:blipFill>
                        <pic:spPr>
                          <a:xfrm>
                            <a:off x="0" y="0"/>
                            <a:ext cx="933450" cy="666750"/>
                          </a:xfrm>
                          <a:prstGeom prst="rect">
                            <a:avLst/>
                          </a:prstGeom>
                          <a:noFill/>
                          <a:ln w="9525">
                            <a:noFill/>
                          </a:ln>
                        </pic:spPr>
                      </pic:pic>
                    </a:graphicData>
                  </a:graphic>
                </wp:inline>
              </w:drawing>
            </w:r>
          </w:p>
        </w:tc>
      </w:tr>
      <w:tr w14:paraId="70EEDA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2815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11</w:t>
            </w:r>
          </w:p>
        </w:tc>
        <w:tc>
          <w:tcPr>
            <w:tcW w:w="7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9F1F6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供排水系统</w:t>
            </w:r>
          </w:p>
        </w:tc>
        <w:tc>
          <w:tcPr>
            <w:tcW w:w="647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7C283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1、进水管采用优质PP-R管，主管直径25mm。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2、排水管采用优质PVC-U管，管直径50mm。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3、弯头、直接、三通、外丝管套、生料带、PVC管胶水等。</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4、上水管采用不锈钢波纹管编织软管，长度不小于75cm，下水管采用优质硅胶接口PVC软管。</w:t>
            </w:r>
          </w:p>
        </w:tc>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4BE35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E2448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74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ABAE3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09625" cy="638175"/>
                  <wp:effectExtent l="0" t="0" r="13335" b="1905"/>
                  <wp:docPr id="38" name="图片 39"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9" descr="IMG_266"/>
                          <pic:cNvPicPr>
                            <a:picLocks noChangeAspect="1"/>
                          </pic:cNvPicPr>
                        </pic:nvPicPr>
                        <pic:blipFill>
                          <a:blip r:embed="rId41"/>
                          <a:stretch>
                            <a:fillRect/>
                          </a:stretch>
                        </pic:blipFill>
                        <pic:spPr>
                          <a:xfrm>
                            <a:off x="0" y="0"/>
                            <a:ext cx="809625" cy="638175"/>
                          </a:xfrm>
                          <a:prstGeom prst="rect">
                            <a:avLst/>
                          </a:prstGeom>
                          <a:noFill/>
                          <a:ln w="9525">
                            <a:noFill/>
                          </a:ln>
                        </pic:spPr>
                      </pic:pic>
                    </a:graphicData>
                  </a:graphic>
                </wp:inline>
              </w:drawing>
            </w:r>
          </w:p>
        </w:tc>
      </w:tr>
    </w:tbl>
    <w:p w14:paraId="36FD2D21">
      <w:pPr>
        <w:widowControl/>
        <w:autoSpaceDE w:val="0"/>
        <w:autoSpaceDN w:val="0"/>
        <w:adjustRightInd w:val="0"/>
        <w:spacing w:line="460" w:lineRule="atLeast"/>
        <w:ind w:firstLine="442" w:firstLineChars="200"/>
        <w:textAlignment w:val="bottom"/>
        <w:rPr>
          <w:rFonts w:hint="default" w:ascii="宋体" w:eastAsia="宋体" w:cs="宋体"/>
          <w:b/>
          <w:bCs/>
          <w:color w:val="auto"/>
          <w:sz w:val="22"/>
          <w:highlight w:val="none"/>
          <w:lang w:val="en-US" w:eastAsia="zh-CN"/>
        </w:rPr>
      </w:pPr>
      <w:r>
        <w:rPr>
          <w:rFonts w:hint="eastAsia" w:ascii="宋体" w:eastAsia="宋体" w:cs="宋体"/>
          <w:b/>
          <w:bCs/>
          <w:color w:val="auto"/>
          <w:sz w:val="22"/>
          <w:highlight w:val="none"/>
          <w:lang w:val="en-US" w:eastAsia="zh-CN"/>
        </w:rPr>
        <w:t>2.4.小学科学主题式实验箱（手提）</w:t>
      </w:r>
    </w:p>
    <w:tbl>
      <w:tblPr>
        <w:tblStyle w:val="48"/>
        <w:tblW w:w="951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95"/>
        <w:gridCol w:w="836"/>
        <w:gridCol w:w="4704"/>
        <w:gridCol w:w="661"/>
        <w:gridCol w:w="669"/>
        <w:gridCol w:w="1854"/>
      </w:tblGrid>
      <w:tr w14:paraId="14A2F4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19"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8AF9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配置说明：48人座参考配置，4人/组，学生12套，教师1套，合计13套  </w:t>
            </w:r>
          </w:p>
        </w:tc>
      </w:tr>
      <w:tr w14:paraId="13B088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3B06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序号</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9B065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名称</w:t>
            </w:r>
          </w:p>
        </w:tc>
        <w:tc>
          <w:tcPr>
            <w:tcW w:w="4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06EA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技术参数</w:t>
            </w:r>
          </w:p>
        </w:tc>
        <w:tc>
          <w:tcPr>
            <w:tcW w:w="6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C38A4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单位</w:t>
            </w:r>
          </w:p>
        </w:tc>
        <w:tc>
          <w:tcPr>
            <w:tcW w:w="6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690B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数量</w:t>
            </w:r>
          </w:p>
        </w:tc>
        <w:tc>
          <w:tcPr>
            <w:tcW w:w="18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16DF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参考图片（供货产品以实物为准）</w:t>
            </w:r>
          </w:p>
        </w:tc>
      </w:tr>
      <w:tr w14:paraId="2AA7F7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A6D5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67B28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小学声学实验箱</w:t>
            </w:r>
          </w:p>
        </w:tc>
        <w:tc>
          <w:tcPr>
            <w:tcW w:w="4704" w:type="dxa"/>
            <w:tcBorders>
              <w:top w:val="single" w:color="000000" w:sz="4" w:space="0"/>
              <w:left w:val="single" w:color="000000" w:sz="4" w:space="0"/>
              <w:bottom w:val="single" w:color="000000" w:sz="4" w:space="0"/>
              <w:right w:val="single" w:color="000000" w:sz="4" w:space="0"/>
            </w:tcBorders>
            <w:shd w:val="clear" w:color="auto" w:fill="auto"/>
            <w:vAlign w:val="top"/>
          </w:tcPr>
          <w:p w14:paraId="19CBA21E">
            <w:pPr>
              <w:keepNext w:val="0"/>
              <w:keepLines w:val="0"/>
              <w:widowControl/>
              <w:suppressLineNumbers w:val="0"/>
              <w:jc w:val="left"/>
              <w:textAlignment w:val="top"/>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一、实验箱规格描述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3930650</wp:posOffset>
                  </wp:positionH>
                  <wp:positionV relativeFrom="paragraph">
                    <wp:posOffset>321310</wp:posOffset>
                  </wp:positionV>
                  <wp:extent cx="837565" cy="1092835"/>
                  <wp:effectExtent l="0" t="0" r="635" b="4445"/>
                  <wp:wrapNone/>
                  <wp:docPr id="46" name="图片_7"/>
                  <wp:cNvGraphicFramePr/>
                  <a:graphic xmlns:a="http://schemas.openxmlformats.org/drawingml/2006/main">
                    <a:graphicData uri="http://schemas.openxmlformats.org/drawingml/2006/picture">
                      <pic:pic xmlns:pic="http://schemas.openxmlformats.org/drawingml/2006/picture">
                        <pic:nvPicPr>
                          <pic:cNvPr id="46" name="图片_7"/>
                          <pic:cNvPicPr/>
                        </pic:nvPicPr>
                        <pic:blipFill>
                          <a:blip r:embed="rId42"/>
                          <a:stretch>
                            <a:fillRect/>
                          </a:stretch>
                        </pic:blipFill>
                        <pic:spPr>
                          <a:xfrm>
                            <a:off x="0" y="0"/>
                            <a:ext cx="837565" cy="1092835"/>
                          </a:xfrm>
                          <a:prstGeom prst="rect">
                            <a:avLst/>
                          </a:prstGeom>
                          <a:noFill/>
                          <a:ln>
                            <a:noFill/>
                          </a:ln>
                        </pic:spPr>
                      </pic:pic>
                    </a:graphicData>
                  </a:graphic>
                </wp:anchor>
              </w:drawing>
            </w:r>
            <w:r>
              <w:rPr>
                <w:rFonts w:hint="eastAsia" w:ascii="宋体" w:hAnsi="宋体" w:eastAsia="宋体" w:cs="宋体"/>
                <w:b w:val="0"/>
                <w:bCs w:val="0"/>
                <w:i w:val="0"/>
                <w:iCs w:val="0"/>
                <w:color w:val="auto"/>
                <w:kern w:val="0"/>
                <w:sz w:val="22"/>
                <w:szCs w:val="22"/>
                <w:highlight w:val="none"/>
                <w:u w:val="none"/>
                <w:lang w:val="en-US" w:eastAsia="zh-CN" w:bidi="ar"/>
              </w:rPr>
              <w:t>箱体外观尺寸：手提式≥520*400*170mm。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箱体颜色：绿色。</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箱体材料：汽车保险杠专用环保聚丙烯PP（韧性好，防摔防挤压）。</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箱体内部构造：采用珍珠棉隔离填充材料，每种实验器材有相对应插槽，每种实验器材设有固定位置。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二、器材清单</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透明胶带（小）*1、8音铝板琴*1、音乐盒（带发条）*1、小铜钹*1、小铜锣*1、音叉（128HZ）*1、音叉（256HZ）*1、塑料白色乒乓球*2、白色细棉线*1、曲别针（40枚）*1、一次性纸杯*2、进口橡皮筋*5、电源适配器 DC12V/2A*1、共鸣盒模块*1、泡沫小球（1g）*1、听诊器*1、人耳鼓膜振动演示仪*1、小学消音盒*1、琴码三角条*1、领夹式麦克风*1、消音棉*1、塑料手鼓*1等。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三、主要器材配置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共鸣盒：规格≥185mm*115mm*44mm；材质：ABS；壁厚：≥2mm；工艺：塑料注塑成型；表面处理：火花纹磨砂面；共鸣盒的安装运用对碰包裹卡接结构，方便安装和拆卸；功能：为满足实验要求，设两个音叉安插口，演示声波共振现象，且安插口柱体延展6mm，增加接触面积及稳定性；共鸣盒设有出音口，增加共振发音；盒体设计外接扩音口，直观呈现音色现象；方廓外型“红色外衣”，增加把握感和辨识度；壳体设计双道加强筋，增加稳固性及耐用性；拓展设计：本装置还可以完成“土电话”、“指弹琴”等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人耳鼓膜振动演示仪：规格≥158mm*98mm*38mm；材质：ABS；壁厚：≥2mm；工艺：塑料注塑成型；表面：高光；环绕间隙结构设计，方便安装和固定连接；电子功能：采用集成化的电路一体化设计，配置有麦克风插入检测和外部声源检测电路，放大实验现象，使实验效果更容易观察；供电方式：12V稳压电源供电；外形：壳体外形设计规格多样化，可完成多个实验；本产品依照电子对声音的采集，直接带动鼓膜振动，且可以有效的录入的“近”、“远”处的声音。</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四、实验清单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1.物体振动发声实验；2.人耳鼓膜振动原理；3.声音大小实验；4.声音高低实验；5.音调感知实验；6.土电话的研究；7.消声实验等实验。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五、附加配置及注意事项</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1.供电需求。</w:t>
            </w:r>
          </w:p>
        </w:tc>
        <w:tc>
          <w:tcPr>
            <w:tcW w:w="6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EB48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5DBB1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13</w:t>
            </w:r>
          </w:p>
        </w:tc>
        <w:tc>
          <w:tcPr>
            <w:tcW w:w="18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D1EE0">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p>
        </w:tc>
      </w:tr>
      <w:tr w14:paraId="72051E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9B32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FB16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小学电学实验箱</w:t>
            </w:r>
          </w:p>
        </w:tc>
        <w:tc>
          <w:tcPr>
            <w:tcW w:w="4704" w:type="dxa"/>
            <w:tcBorders>
              <w:top w:val="single" w:color="000000" w:sz="4" w:space="0"/>
              <w:left w:val="single" w:color="000000" w:sz="4" w:space="0"/>
              <w:bottom w:val="single" w:color="000000" w:sz="4" w:space="0"/>
              <w:right w:val="single" w:color="000000" w:sz="4" w:space="0"/>
            </w:tcBorders>
            <w:shd w:val="clear" w:color="auto" w:fill="auto"/>
            <w:vAlign w:val="top"/>
          </w:tcPr>
          <w:p w14:paraId="782B3139">
            <w:pPr>
              <w:keepNext w:val="0"/>
              <w:keepLines w:val="0"/>
              <w:widowControl/>
              <w:suppressLineNumbers w:val="0"/>
              <w:jc w:val="left"/>
              <w:textAlignment w:val="top"/>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一、实验箱规格描述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箱体外观尺寸：手提式≥520*400*170mm。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箱体颜色：绿色。</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箱体材料：汽车保险杠专用环保聚丙烯PP（韧性好，防摔防挤压）。</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箱体内部构造：采用珍珠棉隔离填充材料，每种实验器材有相对应插槽，每种实验器材设有固定位置。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二、器材清单</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玻璃棒*2、小学数字电流表*1、小学数字电压表*1、磁学旋转架*1、黑色磁学立杆*1、黑色磁学底座（无孔）*1、4.8V电珠*3、黑色20cm数据测试线*6、红色20cm数据测试线*6、滑动变阻器*1、不锈钢指南针*1、棒冰棍（小）*1、红色鳄鱼夹*1、黑色鳄鱼夹*1、金属片（铁板）*1、金属片（铝板）*1、金属片（铜板）*1、测试探针*1、U型接线端子（红色）*1、U型接线端子（黑色）*1、塑料条（亚克力）*1、摩擦起电橡胶棒*2、泡沫小球（1g）*1、小学双电池盒模块*2、小学单刀单掷开关模块*1、小学单刀双掷开关模块*1、小学双电珠模块*2、小学电流热效应模块*1、小学电路暗盒模块*1、小学红绿灯发光二极管模块*1、眼睛闪亮的猫咪模块*1、144硬导线*1等。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三、主要器材配置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玻璃棒：规格φ8*200mm，长条状物体；材质：优质高硼硅BORO3.3；工艺：精工烧结；功能描述：筒体具有低膨胀率、耐高温、高强度、高硬度、高透光率、低折射率和高化学稳定性的等优良特性，可用来搅拌加速溶质溶解，过滤时引流，也可用来蒸发结晶少量溶液。</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磁学旋转架：规格长33mm，宽18.5mm，高13.5mm，ABS材质，与磁学立杆配合使用完成各类磁学实验。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黑色磁学立杆：规格底部直径41mm，高70mm，ABS材质，表面采用磨砂处理，与磁学底座配合使用完成各类磁学实验。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黑色磁学底座（无孔）：规格∅70*8mm，ABS材质，与磁学立杆配合使用完成各类磁学实验。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学双电池盒模块：规格≥89mm*53mm*29mm；材质：ABS；电子模块采用PCB电路板；壁厚：≥3mm；工艺：塑料注塑成型；表面处理：高光；电池盒装置无尘焊接固定PCB电路板上，电路板固定在盒体上；安装1.5V干电池对实验线路供电，电池电路一体化控制，实现多种电池盒或者单个电路实验串联和并联；外形圆弧化一体设计，握感舒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学单刀单掷开关模块：规格≥89mm*53mm*29mm；材质：ABS；电子模块PCB电路板；壁厚：≥3mm；工艺：塑料注塑成型；表面处理：高光；电子元器件无尘焊接PCB电路板上，电路板固定在盒体上；控制电路的接通和保护电路；外形圆弧化一体设计，握感舒适；硬导线联通设计依靠弹性形变，疲劳强度控制范围内实现轻松的闭合和开启；</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学单刀双掷开关模块：规格≥89mm*53mm*29mm；材质：ABS；电子模块PCB电路板；壁厚：≥3mm；工艺：塑料注塑成型；表面处理：高光；电子元器件无尘焊接PCB电路板上，电路板固定在盒体上；控制电路的接通和保护电路；外形圆弧化一体设计，握感舒适；硬导线联通设计依靠弹性形变，疲劳强度控制范围内实现轻松的闭合和开启；</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学双电珠模块:规格≥89mm*53mm*29mm；材质：ABS；电子模块PCB电路板；壁厚：≥3mm；工艺：挤塑成型工艺，塑料焦烧/物塑化的把控，水或气化物成分降低，控制产品品质；表面处理：高光；电珠装置无尘焊接PCB电路板上，电路板固定在盒体上；连接电路，验证基本电路，也可以验证电路手摇发电机生电；外形圆弧化一体设计，握感舒适；电珠盒设计两组电珠装置，可分别完成电路的串联和并联电路，也可搭建复杂电路，在不拆卸的情况下；本产品可实现多样的串并电路或复杂电路；</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学电流热效应模块:规格≥89mm*53mm*29mm；材质：ABS；电子模块PCB电路板；壁厚：≥3mm；工艺：塑料注塑成型；表面处理：高光；电子元器件无尘焊接PCB电路板上，电路板固定在盒体上；验证闭合电路中，电流生热，电流热效应模块是将电流生热的展现；外形圆弧化一体设计，握感舒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小学电路暗盒模块:规格≥89mm*53mm*29mm；材质：ABS，模块上有电子器件，主要用于探究测量电路通断系列实验。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学红绿灯发光二极管模块:规格：≥89mm*53mm*29mm；材质：ABS；电子模块采用PCB电路板；壁厚：≥3mm；工艺：塑料注塑成型；表面处理：高光；电子元器件装置无尘焊接PCB电路板上，电路板固定在盒体上；复杂电路依据单刀双掷模块控制红绿灯模块的启停；外形圆弧化一体设计，握感舒适；本产品可实现多样的串并电路复杂电路；</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小学数字电压表:规格≥89mm*53mm*29mm，ABS材质外壳，人体工程学设计，方便学生观察和考评系统AI智能识别，2mm香蕉插座标准接口，方便与其他电学模块快速连接。三位数码管显示，测量范围0~15V。</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小学数字电流表:规格≥89mm*53mm*29mm，ABS材质外壳，人体工程学设计，方便学生观察和考评系统AI智能识别，2mm香蕉插座标准接口，方便与其他电学模块快速连接。三位数码管显示，测量范围0~3A。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四、实验清单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摩擦起电实验；2.基本电路实验之小电珠发光实验；3.基本电路之开关电路实验；4.基本电路之电路故障实验；5.基本电路之电路连接暗盒；6.电路的串联与并联；7.电池的串联与并联；8.红绿灯；9.导体与绝缘体；10.电流的热效应；11.电流的磁效应；12.电路综合实验盒的探究实验之基本电路实验；13.电路综合实验盒的探究实验之电路的串联与并联；14.电路综合实验盒的探究实验之电路的串联与并联等自由探究实验；15.眼睛闪亮的猫咪等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五、附加配置及注意事项</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1.供电需求。</w:t>
            </w:r>
          </w:p>
        </w:tc>
        <w:tc>
          <w:tcPr>
            <w:tcW w:w="6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D538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D96D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13</w:t>
            </w:r>
          </w:p>
        </w:tc>
        <w:tc>
          <w:tcPr>
            <w:tcW w:w="18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0030B">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160655</wp:posOffset>
                  </wp:positionH>
                  <wp:positionV relativeFrom="paragraph">
                    <wp:posOffset>41275</wp:posOffset>
                  </wp:positionV>
                  <wp:extent cx="768350" cy="1247775"/>
                  <wp:effectExtent l="0" t="0" r="8890" b="1905"/>
                  <wp:wrapNone/>
                  <wp:docPr id="45" name="图片_6"/>
                  <wp:cNvGraphicFramePr/>
                  <a:graphic xmlns:a="http://schemas.openxmlformats.org/drawingml/2006/main">
                    <a:graphicData uri="http://schemas.openxmlformats.org/drawingml/2006/picture">
                      <pic:pic xmlns:pic="http://schemas.openxmlformats.org/drawingml/2006/picture">
                        <pic:nvPicPr>
                          <pic:cNvPr id="45" name="图片_6"/>
                          <pic:cNvPicPr/>
                        </pic:nvPicPr>
                        <pic:blipFill>
                          <a:blip r:embed="rId43"/>
                          <a:stretch>
                            <a:fillRect/>
                          </a:stretch>
                        </pic:blipFill>
                        <pic:spPr>
                          <a:xfrm>
                            <a:off x="0" y="0"/>
                            <a:ext cx="768350" cy="1247775"/>
                          </a:xfrm>
                          <a:prstGeom prst="rect">
                            <a:avLst/>
                          </a:prstGeom>
                          <a:noFill/>
                          <a:ln>
                            <a:noFill/>
                          </a:ln>
                        </pic:spPr>
                      </pic:pic>
                    </a:graphicData>
                  </a:graphic>
                </wp:anchor>
              </w:drawing>
            </w:r>
          </w:p>
        </w:tc>
      </w:tr>
      <w:tr w14:paraId="05E607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8374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B4834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小学标本实验箱</w:t>
            </w:r>
          </w:p>
        </w:tc>
        <w:tc>
          <w:tcPr>
            <w:tcW w:w="4704" w:type="dxa"/>
            <w:tcBorders>
              <w:top w:val="single" w:color="000000" w:sz="4" w:space="0"/>
              <w:left w:val="single" w:color="000000" w:sz="4" w:space="0"/>
              <w:bottom w:val="single" w:color="000000" w:sz="4" w:space="0"/>
              <w:right w:val="single" w:color="000000" w:sz="4" w:space="0"/>
            </w:tcBorders>
            <w:shd w:val="clear" w:color="auto" w:fill="auto"/>
            <w:vAlign w:val="top"/>
          </w:tcPr>
          <w:p w14:paraId="107A870C">
            <w:pPr>
              <w:keepNext w:val="0"/>
              <w:keepLines w:val="0"/>
              <w:widowControl/>
              <w:suppressLineNumbers w:val="0"/>
              <w:jc w:val="left"/>
              <w:textAlignment w:val="top"/>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一、实验箱规格描述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箱体外观尺寸：手提式≥520*400*170mm。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箱体颜色：绿色。</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箱体材料：汽车保险杠专用环保聚丙烯PP（韧性好，防摔防挤压）。</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箱体内部构造：采用珍珠棉隔离填充材料，每种实验器材有相对应插槽，每种实验器材设有固定位置。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二、器材清单</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菜粉蝶生活史标本*1、大豆发芽过程标本*1、花生发芽过程标本*1、昆虫六益标本*1、昆虫六害标本*1、桑蚕生活史标本*1、蛙发育顺序标本*1、玉米发芽过程标本*1、小麦发芽过程标本*1、家蚕生活史标本*1、15种常用化石标本*1、15种常用矿物标本*1、15种常用岩石标本*1、双镜片带灯放大镜*1等。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三、主要器材配置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菜粉蝶生活史标本：规格（140×64×18（±2mm）1606）；通过对标本的学习，使学生对菜粉蝶的整体有完整的认识；外包装采用透明塑料封装，查看标本更直观，易保存。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大豆发芽过程标本：规格（140×64×18（±2mm）1606）；通过对标本的学习，使学生对大豆发芽过程的整体有完整的认识；外包装采用透明塑料封装，查看标本更直观，易保存。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花生发芽过程标本：规格（140×64×18（±2mm）1606）；通过对标本的学习，使学生对菜粉蝶的整体有完整的认识；外包装采用透明塑料封装，查看标本更直观，易保存。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昆虫六益标本：规格（164×78×18（±1mm）2605）；通过对标本的学习，使学生对昆虫世界中的益虫有完整的认识；外包装采用透明塑料封装，查看标本更直观，易保存。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桑蚕生活史标本：规格（164×78×20(±1mm）1602）；通过对标本的学习，使学生对桑蚕的整体有完整的认识；外包装采用透明塑料封装，查看标本更直观，易保存。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水稻发芽过程标本：规格（164×78×20(±1mm）1602）；通过对标本的学习，使学生对水稻的发芽过程有完整的认识；外包装采用透明塑料封装，查看标本更直观，易保存。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蛙发育顺序标本：规格（140×64×18（±2mm）1601）；通过对标本的学习，使学生对蛙的整体有完整的认识；外包装采用透明塑料封装，查看标本更直观，易保存。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小麦发芽过程标本：规格（140×64×18（±2mm）1601）；通过对标本的学习，使学生对小麦的发芽过程有完整的认识；外包装采用透明塑料封装，查看标本更直观，易保存。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家蚕生活史标本：外形尺寸（164×78×20(±1mm）1602）；通过对标本的学习，使学生对桑蚕的生活史有完整的认识；外包装采用透明塑料封装，查看标本更直观，易保存。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15种常用化石标本：规格(166×80×22（±1mm）；通过对标本的学习，使学生对远古生物的有完整的认识；外包装采用透明塑料封装，查看标本更直观，易保存。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四、实验清单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1.观察和了解家蚕；2.观察和了解昆虫；3.观察和了解玉米、豆芽、花生、小麦发芽过程；4.观察和了解青蛙发育顺序；5.观察和了解菜粉蝶生活史；6.贯彻和了解常见矿石、化石、岩石等实验。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五、附加配置及注意事项</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1.无供水供电需求。</w:t>
            </w:r>
          </w:p>
        </w:tc>
        <w:tc>
          <w:tcPr>
            <w:tcW w:w="6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0064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F359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13</w:t>
            </w:r>
          </w:p>
        </w:tc>
        <w:tc>
          <w:tcPr>
            <w:tcW w:w="18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87E0F">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113665</wp:posOffset>
                  </wp:positionH>
                  <wp:positionV relativeFrom="paragraph">
                    <wp:posOffset>32385</wp:posOffset>
                  </wp:positionV>
                  <wp:extent cx="910590" cy="1216660"/>
                  <wp:effectExtent l="0" t="0" r="3810" b="2540"/>
                  <wp:wrapNone/>
                  <wp:docPr id="47" name="图片_5"/>
                  <wp:cNvGraphicFramePr/>
                  <a:graphic xmlns:a="http://schemas.openxmlformats.org/drawingml/2006/main">
                    <a:graphicData uri="http://schemas.openxmlformats.org/drawingml/2006/picture">
                      <pic:pic xmlns:pic="http://schemas.openxmlformats.org/drawingml/2006/picture">
                        <pic:nvPicPr>
                          <pic:cNvPr id="47" name="图片_5"/>
                          <pic:cNvPicPr/>
                        </pic:nvPicPr>
                        <pic:blipFill>
                          <a:blip r:embed="rId44"/>
                          <a:stretch>
                            <a:fillRect/>
                          </a:stretch>
                        </pic:blipFill>
                        <pic:spPr>
                          <a:xfrm>
                            <a:off x="0" y="0"/>
                            <a:ext cx="910590" cy="1216660"/>
                          </a:xfrm>
                          <a:prstGeom prst="rect">
                            <a:avLst/>
                          </a:prstGeom>
                          <a:noFill/>
                          <a:ln>
                            <a:noFill/>
                          </a:ln>
                        </pic:spPr>
                      </pic:pic>
                    </a:graphicData>
                  </a:graphic>
                </wp:anchor>
              </w:drawing>
            </w:r>
          </w:p>
        </w:tc>
      </w:tr>
      <w:tr w14:paraId="02104E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CF44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F7695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小学气象实验箱</w:t>
            </w:r>
          </w:p>
        </w:tc>
        <w:tc>
          <w:tcPr>
            <w:tcW w:w="4704" w:type="dxa"/>
            <w:tcBorders>
              <w:top w:val="single" w:color="000000" w:sz="4" w:space="0"/>
              <w:left w:val="single" w:color="000000" w:sz="4" w:space="0"/>
              <w:bottom w:val="single" w:color="000000" w:sz="4" w:space="0"/>
              <w:right w:val="single" w:color="000000" w:sz="4" w:space="0"/>
            </w:tcBorders>
            <w:shd w:val="clear" w:color="auto" w:fill="auto"/>
            <w:vAlign w:val="top"/>
          </w:tcPr>
          <w:p w14:paraId="46B7F6E6">
            <w:pPr>
              <w:keepNext w:val="0"/>
              <w:keepLines w:val="0"/>
              <w:widowControl/>
              <w:suppressLineNumbers w:val="0"/>
              <w:jc w:val="left"/>
              <w:textAlignment w:val="top"/>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一、实验箱规格描述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箱体外观尺寸：手提式≥520*400*170mm。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箱体颜色：绿色。</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箱体材料：汽车保险杠专用环保聚丙烯PP（韧性好，防摔防挤压）。</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箱体内部构造：采用珍珠棉隔离填充材料，每种实验器材有相对应插槽，每种实验器材设有固定位置。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二、器材清单</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风杯式风速计*1、长条温湿度计*1、探针式数显温度计*1、不锈钢指南针*1、三脚架*1、风向刻度盘*1、风向标标身*1、风速计支架*1、风向标支架*1、不锈钢蝶形螺母*1、不锈钢平头滚花手拧螺丝*1等。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三、主要器材配置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三脚架规格：≥70mm*70mm335mm；可伸长范围≥1m；材质：6061铝合金；功能：承载风杯风速计、风速计。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风杯式风速计：规格≥105mm*235mm*70mm；材质：聚乙烯；功能：测量瞬时风速、平均风速、瞬时风级、对应浪高。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不锈钢指南针：规格≥φ75mm*12mm；材质：0Cr19Ni9；功能：辨别实验测量风速的方向，即所谓的“东南风”、“西北风”。</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探针式数显温度计：规格≥75mm*36mm*88mm；材质：ABS；功能：测量空气中的温湿度。</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方向刻度盘：规格≥φ150mm*0.6mm；材质：PVC；功能：标记风向标方向。</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风向标标身：规格≥127mm*0.6mm；材质：PVC；功能：标识方向性。</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风速计支架：规格杆径≥3mm、≥43.5*31*55mm；材质：304不锈钢弹簧钢；工艺：数控弯折；表面处理：电镀黑工艺；功能：风杯式风速计与三脚架连接紧固作用。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风向标支架：规格杆径≥3mm、≥230mm*200mm；材质：304不锈钢弹簧钢；工艺：数控弯折；表面处理：电镀黑工艺；功能：方向计与三脚架连接紧固作用。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四、实验清单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1.建立一个小型气象站；2.测量风速；3.测量风向；4.测量温度；5.测量湿度；6.测量地温等实验。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五、附加配置及注意事项</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1.供电需求；2.需自备土壤、花盆。</w:t>
            </w:r>
          </w:p>
        </w:tc>
        <w:tc>
          <w:tcPr>
            <w:tcW w:w="6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A69E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9B1A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13</w:t>
            </w:r>
          </w:p>
        </w:tc>
        <w:tc>
          <w:tcPr>
            <w:tcW w:w="18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9FD633">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120650</wp:posOffset>
                  </wp:positionH>
                  <wp:positionV relativeFrom="paragraph">
                    <wp:posOffset>31750</wp:posOffset>
                  </wp:positionV>
                  <wp:extent cx="899160" cy="1223645"/>
                  <wp:effectExtent l="0" t="0" r="0" b="10795"/>
                  <wp:wrapNone/>
                  <wp:docPr id="44" name="图片_8"/>
                  <wp:cNvGraphicFramePr/>
                  <a:graphic xmlns:a="http://schemas.openxmlformats.org/drawingml/2006/main">
                    <a:graphicData uri="http://schemas.openxmlformats.org/drawingml/2006/picture">
                      <pic:pic xmlns:pic="http://schemas.openxmlformats.org/drawingml/2006/picture">
                        <pic:nvPicPr>
                          <pic:cNvPr id="44" name="图片_8"/>
                          <pic:cNvPicPr/>
                        </pic:nvPicPr>
                        <pic:blipFill>
                          <a:blip r:embed="rId45"/>
                          <a:stretch>
                            <a:fillRect/>
                          </a:stretch>
                        </pic:blipFill>
                        <pic:spPr>
                          <a:xfrm>
                            <a:off x="0" y="0"/>
                            <a:ext cx="899160" cy="1223645"/>
                          </a:xfrm>
                          <a:prstGeom prst="rect">
                            <a:avLst/>
                          </a:prstGeom>
                          <a:noFill/>
                          <a:ln>
                            <a:noFill/>
                          </a:ln>
                        </pic:spPr>
                      </pic:pic>
                    </a:graphicData>
                  </a:graphic>
                </wp:anchor>
              </w:drawing>
            </w:r>
          </w:p>
        </w:tc>
      </w:tr>
    </w:tbl>
    <w:p w14:paraId="392A1CD9">
      <w:pPr>
        <w:widowControl/>
        <w:autoSpaceDE w:val="0"/>
        <w:autoSpaceDN w:val="0"/>
        <w:adjustRightInd w:val="0"/>
        <w:spacing w:line="460" w:lineRule="atLeast"/>
        <w:ind w:firstLine="442" w:firstLineChars="200"/>
        <w:textAlignment w:val="bottom"/>
        <w:rPr>
          <w:rFonts w:hint="eastAsia" w:ascii="宋体" w:eastAsia="宋体" w:cs="宋体"/>
          <w:b/>
          <w:bCs/>
          <w:color w:val="auto"/>
          <w:sz w:val="22"/>
          <w:highlight w:val="none"/>
          <w:lang w:val="en-US" w:eastAsia="zh-CN"/>
        </w:rPr>
      </w:pPr>
    </w:p>
    <w:p w14:paraId="0A385862">
      <w:pPr>
        <w:widowControl/>
        <w:autoSpaceDE w:val="0"/>
        <w:autoSpaceDN w:val="0"/>
        <w:adjustRightInd w:val="0"/>
        <w:spacing w:line="460" w:lineRule="atLeast"/>
        <w:ind w:firstLine="442" w:firstLineChars="200"/>
        <w:textAlignment w:val="bottom"/>
        <w:rPr>
          <w:rFonts w:hint="default" w:ascii="宋体" w:eastAsia="宋体" w:cs="宋体"/>
          <w:b/>
          <w:bCs/>
          <w:color w:val="auto"/>
          <w:sz w:val="22"/>
          <w:highlight w:val="none"/>
          <w:lang w:val="en-US" w:eastAsia="zh-CN"/>
        </w:rPr>
      </w:pPr>
      <w:r>
        <w:rPr>
          <w:rFonts w:hint="eastAsia" w:ascii="宋体" w:eastAsia="宋体" w:cs="宋体"/>
          <w:b/>
          <w:bCs/>
          <w:color w:val="auto"/>
          <w:sz w:val="22"/>
          <w:highlight w:val="none"/>
          <w:lang w:val="en-US" w:eastAsia="zh-CN"/>
        </w:rPr>
        <w:t>2.5.小学科学仪器</w:t>
      </w:r>
    </w:p>
    <w:bookmarkEnd w:id="22"/>
    <w:bookmarkEnd w:id="23"/>
    <w:bookmarkEnd w:id="24"/>
    <w:bookmarkEnd w:id="25"/>
    <w:tbl>
      <w:tblPr>
        <w:tblStyle w:val="48"/>
        <w:tblW w:w="997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66"/>
        <w:gridCol w:w="1161"/>
        <w:gridCol w:w="5508"/>
        <w:gridCol w:w="636"/>
        <w:gridCol w:w="648"/>
        <w:gridCol w:w="1258"/>
      </w:tblGrid>
      <w:tr w14:paraId="60CAD6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70BD9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bookmarkStart w:id="29" w:name="_Toc8662"/>
            <w:r>
              <w:rPr>
                <w:rFonts w:hint="eastAsia" w:ascii="宋体" w:hAnsi="宋体" w:eastAsia="宋体" w:cs="宋体"/>
                <w:b w:val="0"/>
                <w:bCs w:val="0"/>
                <w:i w:val="0"/>
                <w:iCs w:val="0"/>
                <w:color w:val="auto"/>
                <w:kern w:val="0"/>
                <w:sz w:val="22"/>
                <w:szCs w:val="22"/>
                <w:highlight w:val="none"/>
                <w:u w:val="none"/>
                <w:lang w:val="en-US" w:eastAsia="zh-CN" w:bidi="ar"/>
              </w:rPr>
              <w:t>编号</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FEDF6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名称</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57D21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技术要求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FA85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单位</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489A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数量</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A2CA1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图片（仅供参考）</w:t>
            </w:r>
          </w:p>
        </w:tc>
      </w:tr>
      <w:tr w14:paraId="60C3FB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1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8D950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949CC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小学科学传感器实验箱</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top"/>
          </w:tcPr>
          <w:p w14:paraId="03231B88">
            <w:pPr>
              <w:keepNext w:val="0"/>
              <w:keepLines w:val="0"/>
              <w:widowControl/>
              <w:suppressLineNumbers w:val="0"/>
              <w:jc w:val="left"/>
              <w:textAlignment w:val="top"/>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有计算机采集处理分析软件，图形数据采集分析仪，传感器，可配套专用实验仪器，详细配置如下：</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一、★图形数据采集分析仪：</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1.支持6通道TYPEC接口并行采集，单通道最高采样率200kHz；采集器模拟采样分辨率12-bits，数字采样分辨率0.1μs；</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2.具备1路USB-A 2.0型接口，可以外接USB设备，也可以再接一个数据采集器之用，最多可以连接18路传感器同时实验；具备1路usb-A 3.0型接口，可以当普通usb接口使用，也可以传输高速数据；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3.具备一个micro接口，在分析仪耗尽储电时作为普通采集器使用；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4.采用英特尔双核处理器，CPU主频1.44GHz，4GB DDR4内存，64GB SSD存储器；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5.屏幕10.1寸液晶屏，支持电容多点触控，预装Win10操作系统；</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6.具备1路HDMI接口，可以连接外部显示设备；</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7.具备1个RJ45接口，可以连接有线网络，内置wifi，可以连接无线网络；</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8.具备1个mini-sd卡槽，作为扩展存储之用；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9.具备1个PJ-327型耳机插孔，，可以外接耳机，内置2路立体声扬声器；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10.具备1个开机实体按键，2个音量控制按键，可以调整系统声音。</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二、传感器：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光照度传感器：量程1：0～600Lux，分辨率0.01Lux；量程2：0～1300Lux，分辨率0.02Lux；量程3：0～8000Lux，分辨率0.1Lux；量程4：0～16000Lux，分辨率0.2Lux；量程5：0～64000Lux，分辨率1Lux；软件切换量程，接口为TYPEC接口，连接传感器无需辨认方向。2、温度传感器：量程：-80℃～+200℃；分辨率：0.1℃；接口为TYPEC接口，连接传感器无需辨认方向。3、气体压强传感器：量程： 0～700kPa，分辨率0.1kPa；接口为TYPEC接口，连接传感器无需辨认方向。4、力传感器（2只）：量程1：-20N～+20N 分辨率：0.01N；量程2：-100N～+100N，分辨率：0.1N；软件切换量程，接口为TYPEC接口，连接传感器无需辨认方向。5、湿度传感器：量程：0～100%RH分辨率：0.1%RH；接口为TYPE-C接口，连接传感器无需辨认方向。6、氧气传感器：量程：0～100%  ；分辨率：0.1%；接口为TYPEC接口，连接传感器无需辨认方向。7、pH传感器：量程：0～14   分辨率： 0.01；接口为TYPEC接口，连接传感器无需辨认方向。8、血氧传感器：血氧饱和度35～100%;脉率 25 ～ 250次/分;分辨率：血氧饱和度 1％;脉率 1BPM ；接口为TYPEC接口，连接传感器无需辨认方向。9、高强度铝合金箱：TF铝板冷压成型表面氧化，高强度铝合金型材框架，内部缓冲海绵传感器定位嵌槽装置，USB数据线1根，TYPEC传感器数据线6根，用户手册。  注：“★”产品要求提供权威部门的产品检测报告，投标人中标后须提供厂家授权书。</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688B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45CE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0C9637">
            <w:pPr>
              <w:jc w:val="center"/>
              <w:rPr>
                <w:rFonts w:hint="eastAsia" w:ascii="宋体" w:hAnsi="宋体" w:eastAsia="宋体" w:cs="宋体"/>
                <w:b w:val="0"/>
                <w:bCs w:val="0"/>
                <w:i w:val="0"/>
                <w:iCs w:val="0"/>
                <w:color w:val="auto"/>
                <w:sz w:val="22"/>
                <w:szCs w:val="22"/>
                <w:highlight w:val="none"/>
                <w:u w:val="none"/>
              </w:rPr>
            </w:pPr>
          </w:p>
        </w:tc>
      </w:tr>
      <w:tr w14:paraId="644D4A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6CA86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01013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322D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计算器</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BC0AD">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1、简易型；</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2、10位数，单行LCD显示；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3、有分数计算功能、有平均数运算功能、有独立储存器功能</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B050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8C74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AA0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19075" cy="266700"/>
                  <wp:effectExtent l="0" t="0" r="9525" b="7620"/>
                  <wp:docPr id="49" name="图片 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0" descr="IMG_256"/>
                          <pic:cNvPicPr>
                            <a:picLocks noChangeAspect="1"/>
                          </pic:cNvPicPr>
                        </pic:nvPicPr>
                        <pic:blipFill>
                          <a:blip r:embed="rId46"/>
                          <a:stretch>
                            <a:fillRect/>
                          </a:stretch>
                        </pic:blipFill>
                        <pic:spPr>
                          <a:xfrm>
                            <a:off x="0" y="0"/>
                            <a:ext cx="219075" cy="266700"/>
                          </a:xfrm>
                          <a:prstGeom prst="rect">
                            <a:avLst/>
                          </a:prstGeom>
                          <a:noFill/>
                          <a:ln w="9525">
                            <a:noFill/>
                          </a:ln>
                        </pic:spPr>
                      </pic:pic>
                    </a:graphicData>
                  </a:graphic>
                </wp:inline>
              </w:drawing>
            </w:r>
          </w:p>
        </w:tc>
      </w:tr>
      <w:tr w14:paraId="3B1895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8026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318D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打孔器</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DE4CF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产品为手持式打孔器，要求用优质钢材制造，刀刃硬度不低于HRC55；四件套，穿孔管外径6mm、8mm、10mm，壁厚1mm冷拔无缝钢管；配一支带柄金属通扦，直径2．8mm碳素钢丝制成；2． 空心结构，一端带柄，一端有刃，刃口平整、锋利；3． 空管与手柄焊接牢固，使用中不得脱柄。4．仪器表面色泽光亮，防锈性能好。</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F4C3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A6E2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7BB6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71475" cy="266700"/>
                  <wp:effectExtent l="0" t="0" r="9525" b="7620"/>
                  <wp:docPr id="122" name="图片 4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1" descr="IMG_257"/>
                          <pic:cNvPicPr>
                            <a:picLocks noChangeAspect="1"/>
                          </pic:cNvPicPr>
                        </pic:nvPicPr>
                        <pic:blipFill>
                          <a:blip r:embed="rId47"/>
                          <a:stretch>
                            <a:fillRect/>
                          </a:stretch>
                        </pic:blipFill>
                        <pic:spPr>
                          <a:xfrm>
                            <a:off x="0" y="0"/>
                            <a:ext cx="371475" cy="266700"/>
                          </a:xfrm>
                          <a:prstGeom prst="rect">
                            <a:avLst/>
                          </a:prstGeom>
                          <a:noFill/>
                          <a:ln w="9525">
                            <a:noFill/>
                          </a:ln>
                        </pic:spPr>
                      </pic:pic>
                    </a:graphicData>
                  </a:graphic>
                </wp:inline>
              </w:drawing>
            </w:r>
          </w:p>
        </w:tc>
      </w:tr>
      <w:tr w14:paraId="21C5EC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3CFB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02015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6C99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打气筒</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37D40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产品由气筒、踏脚、活塞、活塞杆、手柄、橡胶管、气针夹等组成。</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75F56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420B9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9979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04775" cy="266700"/>
                  <wp:effectExtent l="0" t="0" r="1905" b="6985"/>
                  <wp:docPr id="48" name="图片 4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2" descr="IMG_258"/>
                          <pic:cNvPicPr>
                            <a:picLocks noChangeAspect="1"/>
                          </pic:cNvPicPr>
                        </pic:nvPicPr>
                        <pic:blipFill>
                          <a:blip r:embed="rId48"/>
                          <a:stretch>
                            <a:fillRect/>
                          </a:stretch>
                        </pic:blipFill>
                        <pic:spPr>
                          <a:xfrm>
                            <a:off x="0" y="0"/>
                            <a:ext cx="104775" cy="266700"/>
                          </a:xfrm>
                          <a:prstGeom prst="rect">
                            <a:avLst/>
                          </a:prstGeom>
                          <a:noFill/>
                          <a:ln w="9525">
                            <a:noFill/>
                          </a:ln>
                        </pic:spPr>
                      </pic:pic>
                    </a:graphicData>
                  </a:graphic>
                </wp:inline>
              </w:drawing>
            </w:r>
          </w:p>
        </w:tc>
      </w:tr>
      <w:tr w14:paraId="027991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8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1208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02020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9809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仪器车</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D27F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规格尺寸不小于：600mm×400mm×800mm；2．仪器车额定载重量为60kg，上、下层托盘承载重量均不小于60kg；3． 采用双层结构，有上、下二层托盘，不锈钢材料；层间距不小于300mm；上下托盘都应有护栏，护栏高度不低于30mm；4． 车架用直径不小于Φ30mm、壁厚不小于1mm的不锈钢管制成，架高不低于800mm；5．万向轮部件的车轮直径应不小于50mm ，万向轮部件可以绕固定管作360º旋转；在仪器车载重为额定值时，车轮应转动灵活，并且万向轮的方向也能自动调整，无卡阻现象；车轮材料为钢材，轮缘材料为橡胶；四个车轮着地点的平面度公差不大于5mm；应运行平稳，不得变形、摇晃、松动。6．车轮有制动装置。</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176D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辆</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009F4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E2E3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38125" cy="266700"/>
                  <wp:effectExtent l="0" t="0" r="5715" b="7620"/>
                  <wp:docPr id="50" name="图片 4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3" descr="IMG_259"/>
                          <pic:cNvPicPr>
                            <a:picLocks noChangeAspect="1"/>
                          </pic:cNvPicPr>
                        </pic:nvPicPr>
                        <pic:blipFill>
                          <a:blip r:embed="rId49"/>
                          <a:stretch>
                            <a:fillRect/>
                          </a:stretch>
                        </pic:blipFill>
                        <pic:spPr>
                          <a:xfrm>
                            <a:off x="0" y="0"/>
                            <a:ext cx="238125" cy="266700"/>
                          </a:xfrm>
                          <a:prstGeom prst="rect">
                            <a:avLst/>
                          </a:prstGeom>
                          <a:noFill/>
                          <a:ln w="9525">
                            <a:noFill/>
                          </a:ln>
                        </pic:spPr>
                      </pic:pic>
                    </a:graphicData>
                  </a:graphic>
                </wp:inline>
              </w:drawing>
            </w:r>
          </w:p>
        </w:tc>
      </w:tr>
      <w:tr w14:paraId="1F4C0B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D266F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02041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5460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生物显微镜</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FEBF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1.适用于中小学实验教学用，产品由镜座、镜臂、镜筒、准焦螺旋、物镜转换器、载物台、反光镜、目镜、物镜等组成；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2.除调焦手轮和镜片外，整体采用金属材料制造；</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3.放大倍率：640X,总放大倍数为 40× 64×100× 160× 400×640×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4.惠更斯目镜:10X、16X，消色差物镜:4X、10X、40X，镜头放置在专用盒内；</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5.XSP系列，单目直筒可45°倾斜；</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6.物镜不可有自动下滑现象，并带粗调滑座顶端限位装置。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7.反光镜直径为50mm，一面为平面，一面为凹面，镜片在镜圈内应有止挡圈；</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8.粗动调焦范围为23mm，微动调焦范围1.8-2.2mm.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9. 光学系统成像应清晰，零件表面无明显缺陷。</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10. 使用物镜转换器换用不同放率的物镜时，各物镜应齐焦，齐焦误差范围应符合标准GB 2958表四要求。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11. 物镜转换器定位应准确，其最大定位误差，不大于0.03mm.。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12. 显微镜物镜各传动、转动部分应舒适灵活，无过紧过松及急跳现象。</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13. 显微镜的外表应美观。刻度、刻字及铭牌应清晰明显。电镀表面不应有脱落和斑点，漆面不得有碰伤痕迹，零件表面应光洁，无毛刺，平整美观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14.显微镜外包装为木箱包装,木箱材质为免漆木纹防火板,尺寸为17x21.3x33cm,镜头盒固定为U型扣设计，显微镜定位于木箱内。</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46D44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D4C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6022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47650" cy="314325"/>
                  <wp:effectExtent l="0" t="0" r="11430" b="5715"/>
                  <wp:docPr id="121" name="图片 44"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44" descr="IMG_260"/>
                          <pic:cNvPicPr>
                            <a:picLocks noChangeAspect="1"/>
                          </pic:cNvPicPr>
                        </pic:nvPicPr>
                        <pic:blipFill>
                          <a:blip r:embed="rId50"/>
                          <a:stretch>
                            <a:fillRect/>
                          </a:stretch>
                        </pic:blipFill>
                        <pic:spPr>
                          <a:xfrm>
                            <a:off x="0" y="0"/>
                            <a:ext cx="247650" cy="314325"/>
                          </a:xfrm>
                          <a:prstGeom prst="rect">
                            <a:avLst/>
                          </a:prstGeom>
                          <a:noFill/>
                          <a:ln w="9525">
                            <a:noFill/>
                          </a:ln>
                        </pic:spPr>
                      </pic:pic>
                    </a:graphicData>
                  </a:graphic>
                </wp:inline>
              </w:drawing>
            </w:r>
          </w:p>
        </w:tc>
      </w:tr>
      <w:tr w14:paraId="0D2007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A1C7E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02043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7312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生物显微演示装置</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E833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彩色,分辨率450T线以上,放大倍数40x－1500x</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2847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5F756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E8F8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14325" cy="266700"/>
                  <wp:effectExtent l="0" t="0" r="5715" b="7620"/>
                  <wp:docPr id="137" name="图片 45"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5" descr="IMG_261"/>
                          <pic:cNvPicPr>
                            <a:picLocks noChangeAspect="1"/>
                          </pic:cNvPicPr>
                        </pic:nvPicPr>
                        <pic:blipFill>
                          <a:blip r:embed="rId51"/>
                          <a:stretch>
                            <a:fillRect/>
                          </a:stretch>
                        </pic:blipFill>
                        <pic:spPr>
                          <a:xfrm>
                            <a:off x="0" y="0"/>
                            <a:ext cx="314325" cy="266700"/>
                          </a:xfrm>
                          <a:prstGeom prst="rect">
                            <a:avLst/>
                          </a:prstGeom>
                          <a:noFill/>
                          <a:ln w="9525">
                            <a:noFill/>
                          </a:ln>
                        </pic:spPr>
                      </pic:pic>
                    </a:graphicData>
                  </a:graphic>
                </wp:inline>
              </w:drawing>
            </w:r>
          </w:p>
        </w:tc>
      </w:tr>
      <w:tr w14:paraId="670812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37"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648A0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02045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C4218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学生显微镜</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AD0C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适用于中学生物及小学科学实验教学用。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 规格：XSP系列，显微镜的构件须是纯金属制造。</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㈡技术要求：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 单筒，总放大倍数：200×。</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 物镜消色差16×,目镜倍数 12.5X. 总放大倍数目 镜 物 镜 200×</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5.调焦范围:&gt;40mm,装有限位装置,能防止物镜碰击试样切片.</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6.载物台面积:85mm×85mm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7. 光源：反光镜直径为50mm,一面为平面,一面为凹面.室内、自然光源。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8. 光学系统成像应清晰，零件表面无明显缺陷。</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9. 显微镜物镜各传动、转动部分应舒适灵活，无过紧过松及急跳现象。</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10. 显微镜的外表应美观。刻度、刻字及铭牌应清晰明显。电镀表面不应有脱落和斑点，漆面不得有碰伤痕迹，零件表面应光洁，无毛刺，平整美观。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D3C3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E6D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8CD4E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80975" cy="266700"/>
                  <wp:effectExtent l="0" t="0" r="1905" b="7620"/>
                  <wp:docPr id="127" name="图片 46"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46" descr="IMG_262"/>
                          <pic:cNvPicPr>
                            <a:picLocks noChangeAspect="1"/>
                          </pic:cNvPicPr>
                        </pic:nvPicPr>
                        <pic:blipFill>
                          <a:blip r:embed="rId52"/>
                          <a:stretch>
                            <a:fillRect/>
                          </a:stretch>
                        </pic:blipFill>
                        <pic:spPr>
                          <a:xfrm>
                            <a:off x="0" y="0"/>
                            <a:ext cx="180975" cy="266700"/>
                          </a:xfrm>
                          <a:prstGeom prst="rect">
                            <a:avLst/>
                          </a:prstGeom>
                          <a:noFill/>
                          <a:ln w="9525">
                            <a:noFill/>
                          </a:ln>
                        </pic:spPr>
                      </pic:pic>
                    </a:graphicData>
                  </a:graphic>
                </wp:inline>
              </w:drawing>
            </w:r>
          </w:p>
        </w:tc>
      </w:tr>
      <w:tr w14:paraId="1E7D11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778D7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02051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56250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放大镜</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E06FB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由凸透镜、透镜框及手柄组成；2． 凸透镜直径不小于Φ40mm， 放大倍率大于：5×，放大倍数误差不大于8%；3． 透镜应无明显条纹；不允许有直径大于0.5mm气泡；4． 透镜框应能牢靠地夹持透镜；透镜表面低于透镜框所形成的平面；5．成像要求清晰，在F550焦距仪上通过放大镜镜片，应能观看到玻罗板刻线的像，且能看到不少于3对刻线；6．透镜的2/3有效通光孔径范围内，不允许有大于0.5mm的气泡和明显的条纹及划痕；7．镜框材质不能用再生材料制作。</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7349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69FC2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C221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71475" cy="266700"/>
                  <wp:effectExtent l="0" t="0" r="9525" b="6350"/>
                  <wp:docPr id="148" name="图片 47"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7" descr="IMG_263"/>
                          <pic:cNvPicPr>
                            <a:picLocks noChangeAspect="1"/>
                          </pic:cNvPicPr>
                        </pic:nvPicPr>
                        <pic:blipFill>
                          <a:blip r:embed="rId53"/>
                          <a:stretch>
                            <a:fillRect/>
                          </a:stretch>
                        </pic:blipFill>
                        <pic:spPr>
                          <a:xfrm>
                            <a:off x="0" y="0"/>
                            <a:ext cx="371475" cy="266700"/>
                          </a:xfrm>
                          <a:prstGeom prst="rect">
                            <a:avLst/>
                          </a:prstGeom>
                          <a:noFill/>
                          <a:ln w="9525">
                            <a:noFill/>
                          </a:ln>
                        </pic:spPr>
                      </pic:pic>
                    </a:graphicData>
                  </a:graphic>
                </wp:inline>
              </w:drawing>
            </w:r>
          </w:p>
        </w:tc>
      </w:tr>
      <w:tr w14:paraId="5552E6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4ACAF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02052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738D9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放大镜</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16D0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由凸透镜、透镜框及手柄组成；2． 凸透镜直径不小于Φ40mm， 放大倍率大于：3×，放大倍数误差不大于8%；3． 透镜应无明显条纹；不允许有直径大于0.5mm气泡；4． 透镜框应能牢靠地夹持透镜；透镜表面低于透镜框所形成的平面；5．成像要求清晰，在F550焦距仪上通过放大镜镜片，应能观看到玻罗板刻线的像，且能看到不少于3对刻线；6．透镜的2/3有效通光孔径范围内，不允许有大于0.5mm的气泡和明显的条纹及划痕；7．镜框材质不能用再生材料制作。</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95A2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E6E55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ABD9F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71475" cy="266700"/>
                  <wp:effectExtent l="0" t="0" r="9525" b="6350"/>
                  <wp:docPr id="149" name="图片 48"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8" descr="IMG_264"/>
                          <pic:cNvPicPr>
                            <a:picLocks noChangeAspect="1"/>
                          </pic:cNvPicPr>
                        </pic:nvPicPr>
                        <pic:blipFill>
                          <a:blip r:embed="rId53"/>
                          <a:stretch>
                            <a:fillRect/>
                          </a:stretch>
                        </pic:blipFill>
                        <pic:spPr>
                          <a:xfrm>
                            <a:off x="0" y="0"/>
                            <a:ext cx="371475" cy="266700"/>
                          </a:xfrm>
                          <a:prstGeom prst="rect">
                            <a:avLst/>
                          </a:prstGeom>
                          <a:noFill/>
                          <a:ln w="9525">
                            <a:noFill/>
                          </a:ln>
                        </pic:spPr>
                      </pic:pic>
                    </a:graphicData>
                  </a:graphic>
                </wp:inline>
              </w:drawing>
            </w:r>
          </w:p>
        </w:tc>
      </w:tr>
      <w:tr w14:paraId="029D82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EFAD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02061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DE1A3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天文望远镜</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40F51">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口径80mm～150mm；折射或反射式；2． 配寻星镜、转角镜、太阳投影屏和投影屏连接杆；3． 配8mm～40mm长、短不同焦距的目镜3个～4个；4． 带有极轴镜和电动跟踪设备；5． 配加强型伸缩式铝合金三脚架。</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22C58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67BF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BC55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0025" cy="266700"/>
                  <wp:effectExtent l="0" t="0" r="0" b="6985"/>
                  <wp:docPr id="136" name="图片 49"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9" descr="IMG_265"/>
                          <pic:cNvPicPr>
                            <a:picLocks noChangeAspect="1"/>
                          </pic:cNvPicPr>
                        </pic:nvPicPr>
                        <pic:blipFill>
                          <a:blip r:embed="rId54"/>
                          <a:stretch>
                            <a:fillRect/>
                          </a:stretch>
                        </pic:blipFill>
                        <pic:spPr>
                          <a:xfrm>
                            <a:off x="0" y="0"/>
                            <a:ext cx="200025" cy="266700"/>
                          </a:xfrm>
                          <a:prstGeom prst="rect">
                            <a:avLst/>
                          </a:prstGeom>
                          <a:noFill/>
                          <a:ln w="9525">
                            <a:noFill/>
                          </a:ln>
                        </pic:spPr>
                      </pic:pic>
                    </a:graphicData>
                  </a:graphic>
                </wp:inline>
              </w:drawing>
            </w:r>
          </w:p>
        </w:tc>
      </w:tr>
      <w:tr w14:paraId="15D09C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1CB67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02092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A8AE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保温箱</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FD221">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≥20L保温箱，外壳采用PE材质，内壁采用PP材质。</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EF75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3D09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BD328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14325" cy="266700"/>
                  <wp:effectExtent l="0" t="0" r="5715" b="7620"/>
                  <wp:docPr id="133" name="图片 50"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50" descr="IMG_266"/>
                          <pic:cNvPicPr>
                            <a:picLocks noChangeAspect="1"/>
                          </pic:cNvPicPr>
                        </pic:nvPicPr>
                        <pic:blipFill>
                          <a:blip r:embed="rId55"/>
                          <a:stretch>
                            <a:fillRect/>
                          </a:stretch>
                        </pic:blipFill>
                        <pic:spPr>
                          <a:xfrm>
                            <a:off x="0" y="0"/>
                            <a:ext cx="314325" cy="266700"/>
                          </a:xfrm>
                          <a:prstGeom prst="rect">
                            <a:avLst/>
                          </a:prstGeom>
                          <a:noFill/>
                          <a:ln w="9525">
                            <a:noFill/>
                          </a:ln>
                        </pic:spPr>
                      </pic:pic>
                    </a:graphicData>
                  </a:graphic>
                </wp:inline>
              </w:drawing>
            </w:r>
          </w:p>
        </w:tc>
      </w:tr>
      <w:tr w14:paraId="39D3E1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176D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02129</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38675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水槽</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25BD3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1．水槽里口尺寸：250×180×100 mm，壁厚≥2 mm，上下梯度≤3 mm，四周圆角R≤5 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。附集气架，上面可排列两个125 【的集气瓶，集气瓶与槽底的距离为25～30 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2．槽壁不得有明显的不平，各边上口的不直度≤ 2mm；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3．水槽应不因温度和盛水时重力的影响而发生形变（水温40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4．水槽及集气架应能在高度1m处自由下落于水泥地面时不碎裂；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5．符合JY53～80《塑料水槽技术条件》的有关规定。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7596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BEED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19B8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95300" cy="314325"/>
                  <wp:effectExtent l="0" t="0" r="7620" b="5715"/>
                  <wp:docPr id="150" name="图片 51"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1" descr="IMG_267"/>
                          <pic:cNvPicPr>
                            <a:picLocks noChangeAspect="1"/>
                          </pic:cNvPicPr>
                        </pic:nvPicPr>
                        <pic:blipFill>
                          <a:blip r:embed="rId56"/>
                          <a:stretch>
                            <a:fillRect/>
                          </a:stretch>
                        </pic:blipFill>
                        <pic:spPr>
                          <a:xfrm>
                            <a:off x="0" y="0"/>
                            <a:ext cx="495300" cy="314325"/>
                          </a:xfrm>
                          <a:prstGeom prst="rect">
                            <a:avLst/>
                          </a:prstGeom>
                          <a:noFill/>
                          <a:ln w="9525">
                            <a:noFill/>
                          </a:ln>
                        </pic:spPr>
                      </pic:pic>
                    </a:graphicData>
                  </a:graphic>
                </wp:inline>
              </w:drawing>
            </w:r>
          </w:p>
        </w:tc>
      </w:tr>
      <w:tr w14:paraId="004705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F1AA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03002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D417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方座支架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FAD7C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由矩形底座、立杆、烧瓶夹、大小铁环、垂直夹（2只）、平行夹等组成；2． 方座支架的底座尺寸为210mm×135mm，立杆直径为Φ12mm，立杆长度600mm， 底座和立杆表面应作防锈处理；质量大于1．5kg；3．大铁环内径Φ90mm，柄长125mm；小铁环内径Φ50mm，柄长105mm，环上开口中心与环柄成120°±5°夹角，开口宽20mm；烧瓶夹闭合间隙＜0.1mm，最大开口≥35mm，杆径Φ10mm；4．放置平稳、支承夹持可靠，立杆与底座间的垂直度不大于3mm，铁环组装后与立杆垂直，垂直度不大于4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12DD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6828B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453D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42875" cy="266700"/>
                  <wp:effectExtent l="0" t="0" r="9525" b="6985"/>
                  <wp:docPr id="153" name="图片 52"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52" descr="IMG_268"/>
                          <pic:cNvPicPr>
                            <a:picLocks noChangeAspect="1"/>
                          </pic:cNvPicPr>
                        </pic:nvPicPr>
                        <pic:blipFill>
                          <a:blip r:embed="rId57"/>
                          <a:stretch>
                            <a:fillRect/>
                          </a:stretch>
                        </pic:blipFill>
                        <pic:spPr>
                          <a:xfrm>
                            <a:off x="0" y="0"/>
                            <a:ext cx="142875" cy="266700"/>
                          </a:xfrm>
                          <a:prstGeom prst="rect">
                            <a:avLst/>
                          </a:prstGeom>
                          <a:noFill/>
                          <a:ln w="9525">
                            <a:noFill/>
                          </a:ln>
                        </pic:spPr>
                      </pic:pic>
                    </a:graphicData>
                  </a:graphic>
                </wp:inline>
              </w:drawing>
            </w:r>
          </w:p>
        </w:tc>
      </w:tr>
      <w:tr w14:paraId="36EA84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0F649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03006</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E698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三脚架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30FD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1、由铁环和3只脚组成；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2、三只脚与铁环焊接紧固，脚距相等，立放台上时圆环应与台面平行，所支承的容器不得有滑动。</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11FC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D3B0B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5A1AB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19075" cy="266700"/>
                  <wp:effectExtent l="0" t="0" r="0" b="6350"/>
                  <wp:docPr id="151" name="图片 53"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3" descr="IMG_269"/>
                          <pic:cNvPicPr>
                            <a:picLocks noChangeAspect="1"/>
                          </pic:cNvPicPr>
                        </pic:nvPicPr>
                        <pic:blipFill>
                          <a:blip r:embed="rId58"/>
                          <a:stretch>
                            <a:fillRect/>
                          </a:stretch>
                        </pic:blipFill>
                        <pic:spPr>
                          <a:xfrm>
                            <a:off x="0" y="0"/>
                            <a:ext cx="219075" cy="266700"/>
                          </a:xfrm>
                          <a:prstGeom prst="rect">
                            <a:avLst/>
                          </a:prstGeom>
                          <a:noFill/>
                          <a:ln w="9525">
                            <a:noFill/>
                          </a:ln>
                        </pic:spPr>
                      </pic:pic>
                    </a:graphicData>
                  </a:graphic>
                </wp:inline>
              </w:drawing>
            </w:r>
          </w:p>
        </w:tc>
      </w:tr>
      <w:tr w14:paraId="59833B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81E6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03008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69FC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试管架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1A5E5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1、试管架为组装式，由底板1块、立杆4支、挡板1块组成。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2、试管架用工程PP塑料制作，防腐性好。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3、底座正面应有8个凹孔，8个凸柱。4角有4个固定立杆孔，外形尺寸不小于245X145X14mm，摆放平稳。</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4、立杆用优质PP材料制作，直径不小于14mm，有效高度不小于68mm，一端插入底座，另一端插入挡板应结实坚固，无歪扭现象。</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5、挡板用优质PP材料制作，规格尺寸不小于245X145X8mm，正面有16个直径不小于34mm的孔。</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6、组装后的试管架应能放置8支试管和可晾干8支试管。</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为保证产品质量，需提供生产厂家2021年以来国家级文教用品质量检验检测中心出具的检测报告，检测报告须有CMA标志，且需注明本次招标采购项目名称及编号。复印件加盖公章。</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0F82B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E1003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C3172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61975" cy="314325"/>
                  <wp:effectExtent l="0" t="0" r="1905" b="5715"/>
                  <wp:docPr id="135" name="图片 54"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54" descr="IMG_270"/>
                          <pic:cNvPicPr>
                            <a:picLocks noChangeAspect="1"/>
                          </pic:cNvPicPr>
                        </pic:nvPicPr>
                        <pic:blipFill>
                          <a:blip r:embed="rId59"/>
                          <a:stretch>
                            <a:fillRect/>
                          </a:stretch>
                        </pic:blipFill>
                        <pic:spPr>
                          <a:xfrm>
                            <a:off x="0" y="0"/>
                            <a:ext cx="561975" cy="314325"/>
                          </a:xfrm>
                          <a:prstGeom prst="rect">
                            <a:avLst/>
                          </a:prstGeom>
                          <a:noFill/>
                          <a:ln w="9525">
                            <a:noFill/>
                          </a:ln>
                        </pic:spPr>
                      </pic:pic>
                    </a:graphicData>
                  </a:graphic>
                </wp:inline>
              </w:drawing>
            </w:r>
          </w:p>
        </w:tc>
      </w:tr>
      <w:tr w14:paraId="440AD4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226CB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04010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C25A9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电池盒</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4B0E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1．仪器由可放置1节1号电池的4个电池盒组合而成，可做串联或并联使用；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2．各触点使用铜质材料，表面镀铬；要求接触良好，整体结构结实牢固，ABS塑料件光滑、无</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毛刺；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3．符合JY0001－2003《教学仪器一般质量要求》的有关规定。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31567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DCDF6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B413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66700" cy="266700"/>
                  <wp:effectExtent l="0" t="0" r="7620" b="7620"/>
                  <wp:docPr id="124" name="图片 55"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5" descr="IMG_271"/>
                          <pic:cNvPicPr>
                            <a:picLocks noChangeAspect="1"/>
                          </pic:cNvPicPr>
                        </pic:nvPicPr>
                        <pic:blipFill>
                          <a:blip r:embed="rId60"/>
                          <a:stretch>
                            <a:fillRect/>
                          </a:stretch>
                        </pic:blipFill>
                        <pic:spPr>
                          <a:xfrm>
                            <a:off x="0" y="0"/>
                            <a:ext cx="266700" cy="266700"/>
                          </a:xfrm>
                          <a:prstGeom prst="rect">
                            <a:avLst/>
                          </a:prstGeom>
                          <a:noFill/>
                          <a:ln w="9525">
                            <a:noFill/>
                          </a:ln>
                        </pic:spPr>
                      </pic:pic>
                    </a:graphicData>
                  </a:graphic>
                </wp:inline>
              </w:drawing>
            </w:r>
          </w:p>
        </w:tc>
      </w:tr>
      <w:tr w14:paraId="38A992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4E99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10003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C36E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直尺</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D0573D">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1、采用木制材料。木直尺漆层均匀；</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2、全长500mm，尺宽25mm；尺面刻度0-500mm。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0BAE5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DF98D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3A14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09625" cy="314325"/>
                  <wp:effectExtent l="0" t="0" r="13335" b="5715"/>
                  <wp:docPr id="147" name="图片 56"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56" descr="IMG_272"/>
                          <pic:cNvPicPr>
                            <a:picLocks noChangeAspect="1"/>
                          </pic:cNvPicPr>
                        </pic:nvPicPr>
                        <pic:blipFill>
                          <a:blip r:embed="rId61"/>
                          <a:stretch>
                            <a:fillRect/>
                          </a:stretch>
                        </pic:blipFill>
                        <pic:spPr>
                          <a:xfrm>
                            <a:off x="0" y="0"/>
                            <a:ext cx="809625" cy="314325"/>
                          </a:xfrm>
                          <a:prstGeom prst="rect">
                            <a:avLst/>
                          </a:prstGeom>
                          <a:noFill/>
                          <a:ln w="9525">
                            <a:noFill/>
                          </a:ln>
                        </pic:spPr>
                      </pic:pic>
                    </a:graphicData>
                  </a:graphic>
                </wp:inline>
              </w:drawing>
            </w:r>
          </w:p>
        </w:tc>
      </w:tr>
      <w:tr w14:paraId="26A6D4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3720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10006</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D433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软尺</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77593B">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量程1500mm，最小分度值为1mm，每厘米处有数字标志，软尺宽度不小于13mm；纤维或塑料材质</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F5D4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A7C7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BD702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61950" cy="266700"/>
                  <wp:effectExtent l="0" t="0" r="3810" b="7620"/>
                  <wp:docPr id="152" name="图片 57"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57" descr="IMG_273"/>
                          <pic:cNvPicPr>
                            <a:picLocks noChangeAspect="1"/>
                          </pic:cNvPicPr>
                        </pic:nvPicPr>
                        <pic:blipFill>
                          <a:blip r:embed="rId62"/>
                          <a:stretch>
                            <a:fillRect/>
                          </a:stretch>
                        </pic:blipFill>
                        <pic:spPr>
                          <a:xfrm>
                            <a:off x="0" y="0"/>
                            <a:ext cx="361950" cy="266700"/>
                          </a:xfrm>
                          <a:prstGeom prst="rect">
                            <a:avLst/>
                          </a:prstGeom>
                          <a:noFill/>
                          <a:ln w="9525">
                            <a:noFill/>
                          </a:ln>
                        </pic:spPr>
                      </pic:pic>
                    </a:graphicData>
                  </a:graphic>
                </wp:inline>
              </w:drawing>
            </w:r>
          </w:p>
        </w:tc>
      </w:tr>
      <w:tr w14:paraId="28EB39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A7BF8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11005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69DEE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托盘天平</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6BD386">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最大称量500g，分度值0.5 g，标尺称量0~5g；2． 秤量允许误差为±0.5分度值；3． 砝码组合的总质量（包括标尺计量值）应不小于天平的最大秤量；4． 冲压件及铸件表面应光洁平整，不应有毛刺、锋棱、裂纹和显见砂眼；5． 电镀件的镀层应色泽均匀，不应有露底和显见的麻点、水迹、擦伤等缺陷；6． 油漆件表面应平整光滑，色泽均匀，不应有露底、起泡、挂漆、擦伤等缺陷；7． 游码尺刻线、指示盘刻线应清晰、均匀；8． 游码尺不应有弯曲变形，指示值不应有翘曲及倾斜，指针不能有弯曲或断残；9． 天平的两个托盘应干净、完整；10．天平支架不应有弯曲变形，其它部分不能有影响功能外观缺陷；11．游码沿游码尺身移动顺畅，不应有卡住或过于松动现象；12．微调旋钮能顺畅进退，并能对天平左右两盘平衡起到调节作用；13．天平支架左右摆动灵活；14．偏载准确度要求：示值误差应界于±d之间（d为最小分度值）；校验方法：调整托盘天平平衡后，在天平右盘中央放置一个100g标准砝码，在天平左盘放一个100g标准砝码于不同的四个偏心位置，若天平能重新平衡，观察游码的位置，游码所示量值为偏载误差值；若游码处于零刻度线位置，天平仍不能重新平衡，观察指针偏移指示盘的位置，指针偏移所指示的量值为偏载误差值。</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A9BF8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CBFA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6FA6F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19075" cy="266700"/>
                  <wp:effectExtent l="0" t="0" r="9525" b="7620"/>
                  <wp:docPr id="154" name="图片 58"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58" descr="IMG_274"/>
                          <pic:cNvPicPr>
                            <a:picLocks noChangeAspect="1"/>
                          </pic:cNvPicPr>
                        </pic:nvPicPr>
                        <pic:blipFill>
                          <a:blip r:embed="rId63"/>
                          <a:stretch>
                            <a:fillRect/>
                          </a:stretch>
                        </pic:blipFill>
                        <pic:spPr>
                          <a:xfrm>
                            <a:off x="0" y="0"/>
                            <a:ext cx="219075" cy="266700"/>
                          </a:xfrm>
                          <a:prstGeom prst="rect">
                            <a:avLst/>
                          </a:prstGeom>
                          <a:noFill/>
                          <a:ln w="9525">
                            <a:noFill/>
                          </a:ln>
                        </pic:spPr>
                      </pic:pic>
                    </a:graphicData>
                  </a:graphic>
                </wp:inline>
              </w:drawing>
            </w:r>
          </w:p>
        </w:tc>
      </w:tr>
      <w:tr w14:paraId="5AE0FE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26027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11029</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51699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金属钩码</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80A0C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规格：50g×10；下卧沟，上下沟面垂直；2． 50g钩码尺寸主体外径Φ27mm，高17．2mm；上勾高10mm，质量50±0.5g；底呈半球形，下位钩于底槽内；上、下勾开口方向相互垂直；密度：≥6．0 g／cm3（勾除外）硬度：≥HB70；3． 采用纯度99．6%、粒度≥80＃的铁基粉或其它钢材；4． 钩码经2000次冲击后不得有裂痕和明显变形；5． 钩上、下勾的连线应通过钩码主体的轴线，钩码表面应有防腐镀层。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7EC94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9C83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5B72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95275" cy="266700"/>
                  <wp:effectExtent l="0" t="0" r="9525" b="7620"/>
                  <wp:docPr id="123" name="图片 59"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9" descr="IMG_275"/>
                          <pic:cNvPicPr>
                            <a:picLocks noChangeAspect="1"/>
                          </pic:cNvPicPr>
                        </pic:nvPicPr>
                        <pic:blipFill>
                          <a:blip r:embed="rId64"/>
                          <a:stretch>
                            <a:fillRect/>
                          </a:stretch>
                        </pic:blipFill>
                        <pic:spPr>
                          <a:xfrm>
                            <a:off x="0" y="0"/>
                            <a:ext cx="295275" cy="266700"/>
                          </a:xfrm>
                          <a:prstGeom prst="rect">
                            <a:avLst/>
                          </a:prstGeom>
                          <a:noFill/>
                          <a:ln w="9525">
                            <a:noFill/>
                          </a:ln>
                        </pic:spPr>
                      </pic:pic>
                    </a:graphicData>
                  </a:graphic>
                </wp:inline>
              </w:drawing>
            </w:r>
          </w:p>
        </w:tc>
      </w:tr>
      <w:tr w14:paraId="42EA2F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1C4C5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12003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0F79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电子停表</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9D15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1．教学用电子秒表，采用电子芯片，电池电压为1．5V；数据可精确到0．01s；以扣式电池为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能源的液晶数字式金属壳石英秒表；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2．具有秒表（最小读数1/100秒）、10段存储显示、定时器、节拍器、时钟和定时闹响功能；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3．秒表具有每小时报时，每日定时响闹及自动重响功能，应可显示时间，12及24小时制式，</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日历、星期、防水，防震结构等功能；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4．外包装应采用防潮、防尘的硬纸盒包装；机芯在表壳组件中应稳固，液晶屏显示清晰、表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面无伤、印字清楚正确、表壳与表后盖的配合应紧密，不得有明显的缝隙；表壳外棱角无锋利</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感；镀层配件无气泡，不脱落；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5．应符合 QB/T 1908-1993《电子停表》规定的技术要求。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A75B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8926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23FA5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47650" cy="266700"/>
                  <wp:effectExtent l="0" t="0" r="11430" b="7620"/>
                  <wp:docPr id="140" name="图片 60"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60" descr="IMG_276"/>
                          <pic:cNvPicPr>
                            <a:picLocks noChangeAspect="1"/>
                          </pic:cNvPicPr>
                        </pic:nvPicPr>
                        <pic:blipFill>
                          <a:blip r:embed="rId65"/>
                          <a:stretch>
                            <a:fillRect/>
                          </a:stretch>
                        </pic:blipFill>
                        <pic:spPr>
                          <a:xfrm>
                            <a:off x="0" y="0"/>
                            <a:ext cx="247650" cy="266700"/>
                          </a:xfrm>
                          <a:prstGeom prst="rect">
                            <a:avLst/>
                          </a:prstGeom>
                          <a:noFill/>
                          <a:ln w="9525">
                            <a:noFill/>
                          </a:ln>
                        </pic:spPr>
                      </pic:pic>
                    </a:graphicData>
                  </a:graphic>
                </wp:inline>
              </w:drawing>
            </w:r>
          </w:p>
        </w:tc>
      </w:tr>
      <w:tr w14:paraId="3F5107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5F12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13001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BF233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温度计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9FD84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感温液体的有机红液的棒式温度计供中教学实验用；2．温度测量范围红液0℃～100℃，分度值为1℃；3．相邻两标度线的间距、有机液体温度计应不小于0.8mm；标度线的宽度应不超过相邻标度间距的1/5；4．温度计的标度线应与毛细管的中心线垂直；标度线、标度值和其他标志应清晰，涂色应牢固；不应有脱色、污迹和其他影响读数的现象；5．感温液柱不应中断，不应自流，上升时不应有明显的停滞或跳跃现象；下降时不应在管壁上留有液滴或挂色；6．玻璃棒和玻璃套管应光滑透明，无裂痕、斑点、气泡、气线或应力集中等影响读数和强度的缺陷；玻璃套管内应清洁，无明显可见的杂质，无影响读数的朦胧现象；</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5B20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支</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126CC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48</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98DF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733425" cy="266700"/>
                  <wp:effectExtent l="0" t="0" r="13335" b="7620"/>
                  <wp:docPr id="134" name="图片 61"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61" descr="IMG_277"/>
                          <pic:cNvPicPr>
                            <a:picLocks noChangeAspect="1"/>
                          </pic:cNvPicPr>
                        </pic:nvPicPr>
                        <pic:blipFill>
                          <a:blip r:embed="rId66"/>
                          <a:stretch>
                            <a:fillRect/>
                          </a:stretch>
                        </pic:blipFill>
                        <pic:spPr>
                          <a:xfrm>
                            <a:off x="0" y="0"/>
                            <a:ext cx="733425" cy="266700"/>
                          </a:xfrm>
                          <a:prstGeom prst="rect">
                            <a:avLst/>
                          </a:prstGeom>
                          <a:noFill/>
                          <a:ln w="9525">
                            <a:noFill/>
                          </a:ln>
                        </pic:spPr>
                      </pic:pic>
                    </a:graphicData>
                  </a:graphic>
                </wp:inline>
              </w:drawing>
            </w:r>
          </w:p>
        </w:tc>
      </w:tr>
      <w:tr w14:paraId="190969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91F5D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13020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D6C7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寒暑表</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5F87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由木质(或塑料)材料镶嵌玻璃棒芯组成；2．采用摄氏（℃）和华氏（℉）双刻度，面板标有：摄氏-30℃～50℃；华氏-20℃～120℃的标志；3．玻璃棒芯感温液，正面放大玻璃液读数；4．温度准确度：±1℃（0℃～30℃）；5．最小分度值：0.5℃；6．储藏条件：-30℃～60℃；7．尺寸：不小于250mm×49mm×9mm；8．性能、结构、外观应符合JY0001第4．6．7的有关要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64997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8913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C2AFF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47650" cy="266700"/>
                  <wp:effectExtent l="0" t="0" r="0" b="6985"/>
                  <wp:docPr id="143" name="图片 62"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2" descr="IMG_278"/>
                          <pic:cNvPicPr>
                            <a:picLocks noChangeAspect="1"/>
                          </pic:cNvPicPr>
                        </pic:nvPicPr>
                        <pic:blipFill>
                          <a:blip r:embed="rId67"/>
                          <a:stretch>
                            <a:fillRect/>
                          </a:stretch>
                        </pic:blipFill>
                        <pic:spPr>
                          <a:xfrm>
                            <a:off x="0" y="0"/>
                            <a:ext cx="247650" cy="266700"/>
                          </a:xfrm>
                          <a:prstGeom prst="rect">
                            <a:avLst/>
                          </a:prstGeom>
                          <a:noFill/>
                          <a:ln w="9525">
                            <a:noFill/>
                          </a:ln>
                        </pic:spPr>
                      </pic:pic>
                    </a:graphicData>
                  </a:graphic>
                </wp:inline>
              </w:drawing>
            </w:r>
          </w:p>
        </w:tc>
      </w:tr>
      <w:tr w14:paraId="797107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7"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A6B92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14002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6822F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条形盒测力计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ECC408">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1．产品为组装式，5N；2．产品必配部件：壳体1个；弹簧1个；面板1块；带钩指针1个；提环1个；3 ． 壳 体 由 塑 料 制 作 ， 表 面 平 整 ， 光 滑 无 毛 刺 ； 壳 体 的 有 效 尺 寸 为 ：150mm×35mm×20mm，（误差为±0.2mm）；4．弹簧：由金属制成，表面防锈处理，弹簧Ф11mm；5．面板：由金属制成，防锈处理，表面印有有效刻线，印刷均匀清晰，有效尺寸应配盒体，松紧适宜，方便组装；零点可调节；6．带钩指针：由金属制成，表面防锈处理，材料厚度1mm±0.2mm；大小尺寸应与盒体配合，适宜为止；7．提手：由金属制成，表面防锈处理；8．分度值为量程的1／50，零点平均示差不大于1／4分度，任一点的平均示差不大于1／2分度，任一点的重复称量的最大示差不大于1／4分度。</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71D66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3B861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90A5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38125" cy="314325"/>
                  <wp:effectExtent l="0" t="0" r="5715" b="5715"/>
                  <wp:docPr id="145" name="图片 63"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63" descr="IMG_279"/>
                          <pic:cNvPicPr>
                            <a:picLocks noChangeAspect="1"/>
                          </pic:cNvPicPr>
                        </pic:nvPicPr>
                        <pic:blipFill>
                          <a:blip r:embed="rId68"/>
                          <a:stretch>
                            <a:fillRect/>
                          </a:stretch>
                        </pic:blipFill>
                        <pic:spPr>
                          <a:xfrm>
                            <a:off x="0" y="0"/>
                            <a:ext cx="238125" cy="314325"/>
                          </a:xfrm>
                          <a:prstGeom prst="rect">
                            <a:avLst/>
                          </a:prstGeom>
                          <a:noFill/>
                          <a:ln w="9525">
                            <a:noFill/>
                          </a:ln>
                        </pic:spPr>
                      </pic:pic>
                    </a:graphicData>
                  </a:graphic>
                </wp:inline>
              </w:drawing>
            </w:r>
          </w:p>
        </w:tc>
      </w:tr>
      <w:tr w14:paraId="379C52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AE11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14003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69EE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条形盒测力计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CAC3C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1．产品为组装式，2．5N；2．产品必配部件：壳体1个；弹簧1个；面板1块；带钩指针1个；提环1个；3 ． 壳 体 由 塑 料 制 作 ， 表 面 平 整 ， 光 滑 无 毛 刺 ； 壳 体 的 有 效 尺 寸 为 ：150mm×35mm×20mm，（误差为±0.2mm）；4．弹簧：由金属制成，表面防锈处理，弹簧Ф11mm；5．面板：由金属制成，防锈处理，表面印有有效刻线，印刷均匀清晰，有效尺寸应配盒体，松紧适宜，方便组装；零点可调节；6．带钩指针：由金属制成，表面防锈处理，材料厚度1mm±0.2mm；大小尺寸应与盒体配合，适宜为止；7．提手：由金属制成，表面防锈处理；8．分度值为量程的1／50，零点平均示差不大于1／4分度，任一点的平均示差不大于1／2分度，任一点的重复称量的最大示差不大于1／4分度；</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7C9A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C266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9743E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38125" cy="314325"/>
                  <wp:effectExtent l="0" t="0" r="5715" b="5715"/>
                  <wp:docPr id="128" name="图片 64"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64" descr="IMG_280"/>
                          <pic:cNvPicPr>
                            <a:picLocks noChangeAspect="1"/>
                          </pic:cNvPicPr>
                        </pic:nvPicPr>
                        <pic:blipFill>
                          <a:blip r:embed="rId68"/>
                          <a:stretch>
                            <a:fillRect/>
                          </a:stretch>
                        </pic:blipFill>
                        <pic:spPr>
                          <a:xfrm>
                            <a:off x="0" y="0"/>
                            <a:ext cx="238125" cy="314325"/>
                          </a:xfrm>
                          <a:prstGeom prst="rect">
                            <a:avLst/>
                          </a:prstGeom>
                          <a:noFill/>
                          <a:ln w="9525">
                            <a:noFill/>
                          </a:ln>
                        </pic:spPr>
                      </pic:pic>
                    </a:graphicData>
                  </a:graphic>
                </wp:inline>
              </w:drawing>
            </w:r>
          </w:p>
        </w:tc>
      </w:tr>
      <w:tr w14:paraId="21B8EF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7"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5A17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14004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E661B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条形盒测力计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8DF6B9">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1．产品为组装式，1N；2．产品必配部件：壳体1个；弹簧1个；面板1块；带钩指针1个；提环1个；3 ． 壳 体 由 塑 料 制 作 ， 表 面 平 整 ， 光 滑 无 毛 刺 ； 壳 体 的 有 效 尺 寸 为 ：150mm×35mm×20mm，（误差为±0.2mm）；4．弹簧：由金属制成，表面防锈处理，弹簧Ф11mm；5．面板：由金属制成，防锈处理，表面印有有效刻线，印刷均匀清晰，有效尺寸应配盒体，松紧适宜，方便组装；零点可调节；6．带钩指针：由金属制成，表面防锈处理，材料厚度1mm±0.2mm；大小尺寸应与盒体配合，适宜为止；7．提手：由金属制成，表面防锈处理；8．分度值为量程的1／50，零点平均示差不大于1／4分度，任一点的平均示差不大于1／2分度，任一点的重复称量的最大示差不大于1／4分度。</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CA83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765E6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6162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38125" cy="314325"/>
                  <wp:effectExtent l="0" t="0" r="5715" b="5715"/>
                  <wp:docPr id="126" name="图片 65"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5" descr="IMG_281"/>
                          <pic:cNvPicPr>
                            <a:picLocks noChangeAspect="1"/>
                          </pic:cNvPicPr>
                        </pic:nvPicPr>
                        <pic:blipFill>
                          <a:blip r:embed="rId68"/>
                          <a:stretch>
                            <a:fillRect/>
                          </a:stretch>
                        </pic:blipFill>
                        <pic:spPr>
                          <a:xfrm>
                            <a:off x="0" y="0"/>
                            <a:ext cx="238125" cy="314325"/>
                          </a:xfrm>
                          <a:prstGeom prst="rect">
                            <a:avLst/>
                          </a:prstGeom>
                          <a:noFill/>
                          <a:ln w="9525">
                            <a:noFill/>
                          </a:ln>
                        </pic:spPr>
                      </pic:pic>
                    </a:graphicData>
                  </a:graphic>
                </wp:inline>
              </w:drawing>
            </w:r>
          </w:p>
        </w:tc>
      </w:tr>
      <w:tr w14:paraId="7047CF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320C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15011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22E1B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多用电表</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2D88D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本品为整流系，轴尖轴承支承式、指针式电表；2． 准确度等级：直流电流、电压、电阻测量档均为2．5级，</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交流电压测量档、直流电压0～2500V为5．0级；</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 电压灵敏度：直流为5kΩ/V，交流为2．5kΩ/V；</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4． 量程范围： 直流电流：0－50µA－1mA－10mA－100mA－500mA－5A；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直流电压：0－1V－2．5V－10V－50V－250V－500V－2500V；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交流电流：0－1mA－10mA－100mA－500mA－5A；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交流电压：0－1V－2．5V－10V－50V－250V－500V－2500V；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电阻：R×1．R×10．R×100、R×1K、R×10K；</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 阻尼时间：不超过4s；绝缘电阻不小于20MΩ；</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7． 电表指针挺直，机械调零时可在零刻度左右移动；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8． 产品所附测量表笔及电池应完好有效；</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AC25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BDEF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B0F52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42900" cy="266700"/>
                  <wp:effectExtent l="0" t="0" r="7620" b="7620"/>
                  <wp:docPr id="141" name="图片 66"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66" descr="IMG_282"/>
                          <pic:cNvPicPr>
                            <a:picLocks noChangeAspect="1"/>
                          </pic:cNvPicPr>
                        </pic:nvPicPr>
                        <pic:blipFill>
                          <a:blip r:embed="rId69"/>
                          <a:stretch>
                            <a:fillRect/>
                          </a:stretch>
                        </pic:blipFill>
                        <pic:spPr>
                          <a:xfrm>
                            <a:off x="0" y="0"/>
                            <a:ext cx="342900" cy="266700"/>
                          </a:xfrm>
                          <a:prstGeom prst="rect">
                            <a:avLst/>
                          </a:prstGeom>
                          <a:noFill/>
                          <a:ln w="9525">
                            <a:noFill/>
                          </a:ln>
                        </pic:spPr>
                      </pic:pic>
                    </a:graphicData>
                  </a:graphic>
                </wp:inline>
              </w:drawing>
            </w:r>
          </w:p>
        </w:tc>
      </w:tr>
      <w:tr w14:paraId="0F11B0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0BA01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16004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75F32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湿度计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6AB45">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指针式；测量范围湿度：10～95% 湿度：2．5%±1%RH 。</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05AB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D7C5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B93CC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5725" cy="266700"/>
                  <wp:effectExtent l="0" t="0" r="5715" b="7620"/>
                  <wp:docPr id="125" name="图片 67"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67" descr="IMG_283"/>
                          <pic:cNvPicPr>
                            <a:picLocks noChangeAspect="1"/>
                          </pic:cNvPicPr>
                        </pic:nvPicPr>
                        <pic:blipFill>
                          <a:blip r:embed="rId70"/>
                          <a:stretch>
                            <a:fillRect/>
                          </a:stretch>
                        </pic:blipFill>
                        <pic:spPr>
                          <a:xfrm>
                            <a:off x="0" y="0"/>
                            <a:ext cx="85725" cy="266700"/>
                          </a:xfrm>
                          <a:prstGeom prst="rect">
                            <a:avLst/>
                          </a:prstGeom>
                          <a:noFill/>
                          <a:ln w="9525">
                            <a:noFill/>
                          </a:ln>
                        </pic:spPr>
                      </pic:pic>
                    </a:graphicData>
                  </a:graphic>
                </wp:inline>
              </w:drawing>
            </w:r>
          </w:p>
        </w:tc>
      </w:tr>
      <w:tr w14:paraId="1F2221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51BD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16007</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97AA1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指南针</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70479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1、上盖为优质透明塑料，下盖内表面上标示有北、南、东、西的方位标志刻线和字母等；</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2、N极涂红色，S极涂白色；</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3、磁针自行停止后，准确指向北极，指向偏差符合有关要求。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4BA8D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7D87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5007F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85750" cy="266700"/>
                  <wp:effectExtent l="0" t="0" r="3810" b="7620"/>
                  <wp:docPr id="144" name="图片 68"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68" descr="IMG_284"/>
                          <pic:cNvPicPr>
                            <a:picLocks noChangeAspect="1"/>
                          </pic:cNvPicPr>
                        </pic:nvPicPr>
                        <pic:blipFill>
                          <a:blip r:embed="rId71"/>
                          <a:stretch>
                            <a:fillRect/>
                          </a:stretch>
                        </pic:blipFill>
                        <pic:spPr>
                          <a:xfrm>
                            <a:off x="0" y="0"/>
                            <a:ext cx="285750" cy="266700"/>
                          </a:xfrm>
                          <a:prstGeom prst="rect">
                            <a:avLst/>
                          </a:prstGeom>
                          <a:noFill/>
                          <a:ln w="9525">
                            <a:noFill/>
                          </a:ln>
                        </pic:spPr>
                      </pic:pic>
                    </a:graphicData>
                  </a:graphic>
                </wp:inline>
              </w:drawing>
            </w:r>
          </w:p>
        </w:tc>
      </w:tr>
      <w:tr w14:paraId="133D8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D0804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16022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58116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雨量器</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AD6A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包括雨量筒与量杯；雨量筒包括承水器、贮水瓶和外筒；雨量器的承水装置内径Φ≥200mm，为圆桶塑料件，应无锈蚀现象，内壁圆滑，其刃口无毛刺；2． 承水装置与筒体配合应方便，并保证承水装置在正常使用中不因风力影响而脱开；3． 所有与水的接触面应光滑，相互配合或连接部应牢固、不得有渗水现象；4． 所有零部件保护层牢固、均匀、光洁，装配正确，无松脱、变形现象；5． 雨量器与支架安装方便、牢固，不因风力影响而脱开；6． 附小漏斗、雨量杯、储水器各一个。</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0D1E5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33C2B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6412C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0" b="6350"/>
                  <wp:docPr id="129" name="图片 69"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9" descr="IMG_285"/>
                          <pic:cNvPicPr>
                            <a:picLocks noChangeAspect="1"/>
                          </pic:cNvPicPr>
                        </pic:nvPicPr>
                        <pic:blipFill>
                          <a:blip r:embed="rId72"/>
                          <a:stretch>
                            <a:fillRect/>
                          </a:stretch>
                        </pic:blipFill>
                        <pic:spPr>
                          <a:xfrm>
                            <a:off x="0" y="0"/>
                            <a:ext cx="209550" cy="266700"/>
                          </a:xfrm>
                          <a:prstGeom prst="rect">
                            <a:avLst/>
                          </a:prstGeom>
                          <a:noFill/>
                          <a:ln w="9525">
                            <a:noFill/>
                          </a:ln>
                        </pic:spPr>
                      </pic:pic>
                    </a:graphicData>
                  </a:graphic>
                </wp:inline>
              </w:drawing>
            </w:r>
          </w:p>
        </w:tc>
      </w:tr>
      <w:tr w14:paraId="7D65B4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78"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00ACF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16025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FD29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风杯式风速表</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F507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轻便风向风速表，三杯1．采用单片机技术，LCD液晶显示屏，显示屏规格45mm×30mm，功能及单位直接用显示汉字，显示数字高度：18mm，应可同时测量瞬时风速、平均风速、瞬时风级、平均风级、对应浪高；2．外形规格：415mm×70mm×65mm，传感器风杯护栏为铜镀铬，风杯为ABS塑料，其余部件均为铝材。风向部分整体结构由风向标，风向轴及风向度盘组成。风向标，风向轴为铝制，表层涂有防锈漆；风向度盘为塑制，规格Φ55mm×30mm，中间为透明可视。可视高度为17mm。中间标有16个刻度8个方位。风向盘下方带有锁扣，可将风向标锁定；3．风速指标应达到：风速测量范围：0～30米/秒，风速传感器启运动风速：不大于0.8米/秒。风速测量精度：误差≤±(0.3+0.03V)米/秒(V-实际风速)。显示分辩率：0.1米/秒（风速）、1级 （风级）、0.1米（浪高）；4．风向指标应达到：风向测量范围：0～360°，16个方位，风向传感器启动风速：不大于1．0米/秒，风向测量精度：误差不大于±1/2方位，风向定北：自动。</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7E38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02E8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937F1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14300" cy="266700"/>
                  <wp:effectExtent l="0" t="0" r="7620" b="7620"/>
                  <wp:docPr id="138" name="图片 70"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0" descr="IMG_286"/>
                          <pic:cNvPicPr>
                            <a:picLocks noChangeAspect="1"/>
                          </pic:cNvPicPr>
                        </pic:nvPicPr>
                        <pic:blipFill>
                          <a:blip r:embed="rId73"/>
                          <a:stretch>
                            <a:fillRect/>
                          </a:stretch>
                        </pic:blipFill>
                        <pic:spPr>
                          <a:xfrm>
                            <a:off x="0" y="0"/>
                            <a:ext cx="114300" cy="266700"/>
                          </a:xfrm>
                          <a:prstGeom prst="rect">
                            <a:avLst/>
                          </a:prstGeom>
                          <a:noFill/>
                          <a:ln w="9525">
                            <a:noFill/>
                          </a:ln>
                        </pic:spPr>
                      </pic:pic>
                    </a:graphicData>
                  </a:graphic>
                </wp:inline>
              </w:drawing>
            </w:r>
          </w:p>
        </w:tc>
      </w:tr>
      <w:tr w14:paraId="1C5D2E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8DFA7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A9766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斜面</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57B3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由塑料制品的斜面板和角度指示机构组成；由厚15mm,宽150mm，长度为600mm的塑料板和相应的支架构成，表面光滑，不变形；斜面放置稳定，不晃动不下滑；2．斜面板一侧面印有0～60㎝的刻度，最小分度值为1㎝；3． 斜面一端高度可连续调节，可调角度不小于60°；4．角度指示机构由角度板、重锤组成。</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EEF5B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4A33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433FD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47675" cy="266700"/>
                  <wp:effectExtent l="0" t="0" r="9525" b="5715"/>
                  <wp:docPr id="130" name="图片 71"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71" descr="IMG_287"/>
                          <pic:cNvPicPr>
                            <a:picLocks noChangeAspect="1"/>
                          </pic:cNvPicPr>
                        </pic:nvPicPr>
                        <pic:blipFill>
                          <a:blip r:embed="rId74"/>
                          <a:stretch>
                            <a:fillRect/>
                          </a:stretch>
                        </pic:blipFill>
                        <pic:spPr>
                          <a:xfrm>
                            <a:off x="0" y="0"/>
                            <a:ext cx="447675" cy="266700"/>
                          </a:xfrm>
                          <a:prstGeom prst="rect">
                            <a:avLst/>
                          </a:prstGeom>
                          <a:noFill/>
                          <a:ln w="9525">
                            <a:noFill/>
                          </a:ln>
                        </pic:spPr>
                      </pic:pic>
                    </a:graphicData>
                  </a:graphic>
                </wp:inline>
              </w:drawing>
            </w:r>
          </w:p>
        </w:tc>
      </w:tr>
      <w:tr w14:paraId="313E6B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9C90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29012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6CEE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风的形成实验材料</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52BB8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为组合式；产品由塑料筒（或玻璃）1个、蜡烛台1个、蜡烛1个、风叶1套组成；2．塑料筒用优质透明塑料制作（或玻璃），外形规格尺寸不小于Φ52mm×200mm,表面透明光洁，底部有三个“z”字形脚支撑；3．蜡烛台用金属制作，外形尺寸不小于Φ28mm×35mm表面防锈处理，蜡烛规格不小于Φ30mm；4．风叶：（1）风叶由支架、风叶组成；（2）风叶用铝材制作，外形尺寸不小于Φ44mm,厚0.5mm,表面红、白各1片；（3）支架用金属冷冲或成型表面电镀，安装在塑料筒上口，应固定稳定，转动灵活；5．组装后的实验材料应摆放平稳，实验效果良好。</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A932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F9E33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FE473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52400" cy="266700"/>
                  <wp:effectExtent l="0" t="0" r="0" b="6985"/>
                  <wp:docPr id="131" name="图片 72"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72" descr="IMG_288"/>
                          <pic:cNvPicPr>
                            <a:picLocks noChangeAspect="1"/>
                          </pic:cNvPicPr>
                        </pic:nvPicPr>
                        <pic:blipFill>
                          <a:blip r:embed="rId75"/>
                          <a:stretch>
                            <a:fillRect/>
                          </a:stretch>
                        </pic:blipFill>
                        <pic:spPr>
                          <a:xfrm>
                            <a:off x="0" y="0"/>
                            <a:ext cx="152400" cy="266700"/>
                          </a:xfrm>
                          <a:prstGeom prst="rect">
                            <a:avLst/>
                          </a:prstGeom>
                          <a:noFill/>
                          <a:ln w="9525">
                            <a:noFill/>
                          </a:ln>
                        </pic:spPr>
                      </pic:pic>
                    </a:graphicData>
                  </a:graphic>
                </wp:inline>
              </w:drawing>
            </w:r>
          </w:p>
        </w:tc>
      </w:tr>
      <w:tr w14:paraId="1066CE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7446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29015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6BB9B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太阳能的应用材料</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71C82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仪器外形尺寸：155mm×110mm×45mm；为插接式组合，由太阳能电池板、小电机带风叶、蜂鸣器、LED灯、连线插线等组成；太阳能电池板尺寸为54×40mm，厚度3mm，最大开路电压3V，最大短路电流70mA；小电机工作电压：DC3V，电流50mA；风叶外径Φ25mm；蜂鸣器工作电压：DC3V，自带音频振荡器，LED灯为Φ5mm白发红，连线插线为香蕉插头，插线长不小于80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C7740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F0C01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FABC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95300" cy="266700"/>
                  <wp:effectExtent l="0" t="0" r="7620" b="7620"/>
                  <wp:docPr id="132" name="图片 73"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3" descr="IMG_289"/>
                          <pic:cNvPicPr>
                            <a:picLocks noChangeAspect="1"/>
                          </pic:cNvPicPr>
                        </pic:nvPicPr>
                        <pic:blipFill>
                          <a:blip r:embed="rId76"/>
                          <a:stretch>
                            <a:fillRect/>
                          </a:stretch>
                        </pic:blipFill>
                        <pic:spPr>
                          <a:xfrm>
                            <a:off x="0" y="0"/>
                            <a:ext cx="495300" cy="266700"/>
                          </a:xfrm>
                          <a:prstGeom prst="rect">
                            <a:avLst/>
                          </a:prstGeom>
                          <a:noFill/>
                          <a:ln w="9525">
                            <a:noFill/>
                          </a:ln>
                        </pic:spPr>
                      </pic:pic>
                    </a:graphicData>
                  </a:graphic>
                </wp:inline>
              </w:drawing>
            </w:r>
          </w:p>
        </w:tc>
      </w:tr>
      <w:tr w14:paraId="09178D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3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FFFB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22001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EF95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音叉</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FD7C6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产品由单支音叉组成，附有共鸣箱和音叉槌；2． 音叉频率为256Hz；3． 音叉用钢或合金铝材制成，两叉股表面平整，叉股内侧平面与底部圆弧光滑相切，钢制表面镀铬，铝制音叉表面氧化处理；4．频率误差F256不大于0.3Hz（20℃时）；5．音叉表面粗糙度，外侧面和两平面Ra最大允许值1．0μm，内侧面Ra最大允许值2．0μm；6．共鸣箱用东北松木、桐木或高密度板制造，木材应经干燥处理，箱体无节疤和裂痕；共鸣箱的插座与音叉柄配合应紧密，连接牢固，音叉柄插入后无动摇现象；7．音叉槌用橡胶制造，球径约26mm，杆为木材或塑料，杆长约180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45D0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支</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C00F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BBE5B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3810" b="7620"/>
                  <wp:docPr id="146" name="图片 74"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74" descr="IMG_290"/>
                          <pic:cNvPicPr>
                            <a:picLocks noChangeAspect="1"/>
                          </pic:cNvPicPr>
                        </pic:nvPicPr>
                        <pic:blipFill>
                          <a:blip r:embed="rId77"/>
                          <a:stretch>
                            <a:fillRect/>
                          </a:stretch>
                        </pic:blipFill>
                        <pic:spPr>
                          <a:xfrm>
                            <a:off x="0" y="0"/>
                            <a:ext cx="209550" cy="266700"/>
                          </a:xfrm>
                          <a:prstGeom prst="rect">
                            <a:avLst/>
                          </a:prstGeom>
                          <a:noFill/>
                          <a:ln w="9525">
                            <a:noFill/>
                          </a:ln>
                        </pic:spPr>
                      </pic:pic>
                    </a:graphicData>
                  </a:graphic>
                </wp:inline>
              </w:drawing>
            </w:r>
          </w:p>
        </w:tc>
      </w:tr>
      <w:tr w14:paraId="56638B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8"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DBA23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29016</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E327C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小鼓</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B3135">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直径不小于150mm的真皮鼓。</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48A7A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B4C0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C2DB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14325" cy="266700"/>
                  <wp:effectExtent l="0" t="0" r="5715" b="6350"/>
                  <wp:docPr id="139" name="图片 75"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75" descr="IMG_291"/>
                          <pic:cNvPicPr>
                            <a:picLocks noChangeAspect="1"/>
                          </pic:cNvPicPr>
                        </pic:nvPicPr>
                        <pic:blipFill>
                          <a:blip r:embed="rId78"/>
                          <a:stretch>
                            <a:fillRect/>
                          </a:stretch>
                        </pic:blipFill>
                        <pic:spPr>
                          <a:xfrm>
                            <a:off x="0" y="0"/>
                            <a:ext cx="314325" cy="266700"/>
                          </a:xfrm>
                          <a:prstGeom prst="rect">
                            <a:avLst/>
                          </a:prstGeom>
                          <a:noFill/>
                          <a:ln w="9525">
                            <a:noFill/>
                          </a:ln>
                        </pic:spPr>
                      </pic:pic>
                    </a:graphicData>
                  </a:graphic>
                </wp:inline>
              </w:drawing>
            </w:r>
          </w:p>
        </w:tc>
      </w:tr>
      <w:tr w14:paraId="410B1E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3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33657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29018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25425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热传导实验材料</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0318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标准一棒状1．产品由水槽、试验棒等组成；2．水槽为带盖圆形水槽，直径Φ70mm,深90mm，壁厚不小于2mm，水槽盖设有插放不同试验棒的孔；试验棒包括木棒、玻璃棒、金属棒、塑料棒、陶瓷棒、棉线棒、石棉棒，试验棒直径Φ5mm，长度不小于130mm。标准二片状1．由木片，金属片，塑料片，玻璃片，陶瓷片、棉花、石棉等材料组成，配有塑料盒体；2 ． 其中金属片 2 片，木片、金属片、塑料片、玻璃片、陶瓷片的尺寸不小于75mm ×7mm ×1mm ；棉花大于 1 克，石棉布 80mm ×20mm ；实验盒为塑料制，尺寸为：103mm×57mm×43mm。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FB25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B3CF4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5AE44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52425" cy="266700"/>
                  <wp:effectExtent l="0" t="0" r="13335" b="7620"/>
                  <wp:docPr id="156" name="图片 76"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76" descr="IMG_292"/>
                          <pic:cNvPicPr>
                            <a:picLocks noChangeAspect="1"/>
                          </pic:cNvPicPr>
                        </pic:nvPicPr>
                        <pic:blipFill>
                          <a:blip r:embed="rId79"/>
                          <a:stretch>
                            <a:fillRect/>
                          </a:stretch>
                        </pic:blipFill>
                        <pic:spPr>
                          <a:xfrm>
                            <a:off x="0" y="0"/>
                            <a:ext cx="352425" cy="266700"/>
                          </a:xfrm>
                          <a:prstGeom prst="rect">
                            <a:avLst/>
                          </a:prstGeom>
                          <a:noFill/>
                          <a:ln w="9525">
                            <a:noFill/>
                          </a:ln>
                        </pic:spPr>
                      </pic:pic>
                    </a:graphicData>
                  </a:graphic>
                </wp:inline>
              </w:drawing>
            </w:r>
          </w:p>
        </w:tc>
      </w:tr>
      <w:tr w14:paraId="540EE1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B8902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29019</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C7277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物体热涨冷缩实验材料</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21E02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本产品供中、小学作固体热胀冷缩的演示实验用；2．J221型固体体胀演示器为手持式，由带吊链和手柄的球与带手柄的圆环组成；J221-1型固体体胀演示器为悬臂式。由球、圆环、吊链、悬臂和支座组成；3．J221型固体体胀演示器，球与手柄组装总长为223mm，吊链长100mm；圆环与手柄组装总长为250mm。 J221-1 型固体体胀演示器，球和圆环中心到悬臂竖直部分的距离均为70mm；总高为250mm，球心高度为150mm；4．球由黄铜制成，表面光洁度不低于▽5，直径Φ30mm，球上附吊环；5．圆环由与线胀系数接近黄铜的钢板制成，厚度2mm。内孔倒角，表面镀铬镀；镀后环孔为Φ30mm；环外径为Φ60mm ；6．J221型固体体胀演示器的手柄，支杆部分由Φ5mm圆钢抛光镀铬制成，把手部分为木制，表面涂漆； J221-1 型固体体胀演示器，悬臂用Φ6mm圆钢抛光镀铬，支座为铸铁制成，表面烤漆，整机应具有足够的稳定。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23FC6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C653B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E30B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19075" cy="266700"/>
                  <wp:effectExtent l="0" t="0" r="0" b="6350"/>
                  <wp:docPr id="157" name="图片 77"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77" descr="IMG_293"/>
                          <pic:cNvPicPr>
                            <a:picLocks noChangeAspect="1"/>
                          </pic:cNvPicPr>
                        </pic:nvPicPr>
                        <pic:blipFill>
                          <a:blip r:embed="rId80"/>
                          <a:stretch>
                            <a:fillRect/>
                          </a:stretch>
                        </pic:blipFill>
                        <pic:spPr>
                          <a:xfrm>
                            <a:off x="0" y="0"/>
                            <a:ext cx="219075" cy="266700"/>
                          </a:xfrm>
                          <a:prstGeom prst="rect">
                            <a:avLst/>
                          </a:prstGeom>
                          <a:noFill/>
                          <a:ln w="9525">
                            <a:noFill/>
                          </a:ln>
                        </pic:spPr>
                      </pic:pic>
                    </a:graphicData>
                  </a:graphic>
                </wp:inline>
              </w:drawing>
            </w:r>
          </w:p>
        </w:tc>
      </w:tr>
      <w:tr w14:paraId="7D032F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CCD4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29020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DEEA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灯座及灯泡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140B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小灯座由底板、接线柱，灯座组成；2． 小灯座为插口、螺旋两用式灯座与E10／13．E10／14．1c9／14等小电珠配用；3． 小灯座最高工作电压为36V，最大工作电流为2.5A；4． 底座用黑色塑料制成，表面平整光洁；外形尺寸约75mm×35mm×10mm，底座上有两个直径为4.5mm的安装孔，孔的中心距离为40±0.5mm；应有足够的强度；5． 接线柱为644型，行程不小于6mm；接线柱固定牢固，接线时不能连轴转动；6． 灯座用厚0.5mm～0.6mm的磷铜片制做，表面镀镍；灯座与两接线柱之间用宽8mm的铜片连接和灯座为一整体；7． 小灯座上所有螺丝、螺母、垫片均为铜质；8． 小电珠旋入后，应接触良好可靠，不应有接触不良或短路；9． 未旋入小电珠时，两接线柱间电阻不小于100MΩ；10． 未旋入小电珠时，两接线柱间抗电强度为500V。</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2E1B8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40FBB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48</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68B2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52425" cy="266700"/>
                  <wp:effectExtent l="0" t="0" r="0" b="0"/>
                  <wp:docPr id="142" name="图片 78"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78" descr="IMG_294"/>
                          <pic:cNvPicPr>
                            <a:picLocks noChangeAspect="1"/>
                          </pic:cNvPicPr>
                        </pic:nvPicPr>
                        <pic:blipFill>
                          <a:blip r:embed="rId81"/>
                          <a:stretch>
                            <a:fillRect/>
                          </a:stretch>
                        </pic:blipFill>
                        <pic:spPr>
                          <a:xfrm>
                            <a:off x="0" y="0"/>
                            <a:ext cx="352425" cy="266700"/>
                          </a:xfrm>
                          <a:prstGeom prst="rect">
                            <a:avLst/>
                          </a:prstGeom>
                          <a:noFill/>
                          <a:ln w="9525">
                            <a:noFill/>
                          </a:ln>
                        </pic:spPr>
                      </pic:pic>
                    </a:graphicData>
                  </a:graphic>
                </wp:inline>
              </w:drawing>
            </w:r>
          </w:p>
        </w:tc>
      </w:tr>
      <w:tr w14:paraId="298DC8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8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7389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29021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81AB1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开关</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C0731">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开关的最高工作电压36V，额定工作电流6A；2． 开关闸刀与接线柱及垫片均为铜质，闸刀的宽度不小于7mm，闸刀厚度不小于0.7mm；接线柱直径为Φ4mm，有效行程不小于6mm；接线柱固定牢固，接线时不能连轴转动；3． 开关通额定电流，导电部分允许温升不大于35℃，操作手柄允许温升不大于25℃；4． 开关的绝缘强度应能承受1200V，漏电流为5mA，频率50Hz的正弦交流试验电压历时1min的耐压试验，应无飞弧、无击穿现象；5． 开关在额定直流电流工作条件下，其接线两端直流电压降应不大于100mV；6． 开关在高温50±2℃和低温－40±2℃各贮存4h，其工作性能不变；7． 开关应具有足够的强度。</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6CEF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7CA3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48</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4212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00050" cy="266700"/>
                  <wp:effectExtent l="0" t="0" r="11430" b="7620"/>
                  <wp:docPr id="155" name="图片 79"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79" descr="IMG_295"/>
                          <pic:cNvPicPr>
                            <a:picLocks noChangeAspect="1"/>
                          </pic:cNvPicPr>
                        </pic:nvPicPr>
                        <pic:blipFill>
                          <a:blip r:embed="rId82"/>
                          <a:stretch>
                            <a:fillRect/>
                          </a:stretch>
                        </pic:blipFill>
                        <pic:spPr>
                          <a:xfrm>
                            <a:off x="0" y="0"/>
                            <a:ext cx="400050" cy="266700"/>
                          </a:xfrm>
                          <a:prstGeom prst="rect">
                            <a:avLst/>
                          </a:prstGeom>
                          <a:noFill/>
                          <a:ln w="9525">
                            <a:noFill/>
                          </a:ln>
                        </pic:spPr>
                      </pic:pic>
                    </a:graphicData>
                  </a:graphic>
                </wp:inline>
              </w:drawing>
            </w:r>
          </w:p>
        </w:tc>
      </w:tr>
      <w:tr w14:paraId="206954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0219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29022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03BD1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物体导电性实验材料</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313A15">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由实验盒、电池盒、导电连接片、插座卡、指示灯、测试片等组成；2．实验盒由ABS材料制作，外形尺寸为95mm×65mm×35mm；电池盒嵌装于实验盒内部，可放置两节5号电池；盒体有可盛液体的专用槽，内有耐酸碱不锈钢导电片，供测试导电性，导电连接片和插座卡采用厚度不小于0.5mm的铜质材料制作；指示灯采用红色发光二极管；3．测试片包括铜片、铁片、塑料片，用尺寸为65mm×10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2CF73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D552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142D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111" name="图片 80"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80" descr="IMG_296"/>
                          <pic:cNvPicPr>
                            <a:picLocks noChangeAspect="1"/>
                          </pic:cNvPicPr>
                        </pic:nvPicPr>
                        <pic:blipFill>
                          <a:blip r:embed="rId83"/>
                          <a:stretch>
                            <a:fillRect/>
                          </a:stretch>
                        </pic:blipFill>
                        <pic:spPr>
                          <a:xfrm>
                            <a:off x="0" y="0"/>
                            <a:ext cx="552450" cy="266700"/>
                          </a:xfrm>
                          <a:prstGeom prst="rect">
                            <a:avLst/>
                          </a:prstGeom>
                          <a:noFill/>
                          <a:ln w="9525">
                            <a:noFill/>
                          </a:ln>
                        </pic:spPr>
                      </pic:pic>
                    </a:graphicData>
                  </a:graphic>
                </wp:inline>
              </w:drawing>
            </w:r>
          </w:p>
        </w:tc>
      </w:tr>
      <w:tr w14:paraId="79334E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C47D2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24001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928E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条形磁铁</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6EE19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D-CG-LT-180型：主参数（长度）180mm，磁极横截面积405mm2，磁感应强度应不小于0.07T；2． 教学用磁钢极性标注，指北极（N）为红色，指南极（S）为白色或蓝色；N、S字母的颜色为蓝色或白色；3． 教学用磁钢按运输要求包装后，应能经受在正常搬运时高度为800mm的自由跌落实验，试验后磁感应强度不小于第1条的要求；4． 教学用磁钢提倡采用磁特性优于铝铁碳、铁氧体的其它材料。</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5EB09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27EE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FAF7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23850" cy="266700"/>
                  <wp:effectExtent l="0" t="0" r="11430" b="7620"/>
                  <wp:docPr id="97" name="图片 81"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81" descr="IMG_297"/>
                          <pic:cNvPicPr>
                            <a:picLocks noChangeAspect="1"/>
                          </pic:cNvPicPr>
                        </pic:nvPicPr>
                        <pic:blipFill>
                          <a:blip r:embed="rId84"/>
                          <a:stretch>
                            <a:fillRect/>
                          </a:stretch>
                        </pic:blipFill>
                        <pic:spPr>
                          <a:xfrm>
                            <a:off x="0" y="0"/>
                            <a:ext cx="323850" cy="266700"/>
                          </a:xfrm>
                          <a:prstGeom prst="rect">
                            <a:avLst/>
                          </a:prstGeom>
                          <a:noFill/>
                          <a:ln w="9525">
                            <a:noFill/>
                          </a:ln>
                        </pic:spPr>
                      </pic:pic>
                    </a:graphicData>
                  </a:graphic>
                </wp:inline>
              </w:drawing>
            </w:r>
          </w:p>
        </w:tc>
      </w:tr>
      <w:tr w14:paraId="30FBB4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D3D6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29025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D0C4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条形磁铁</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B5627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1．学生用；D-CG-LT-100型：主参数（长度）100mm，磁感应强度应不小于0.07T；2． 教学用磁钢极性标注，指北极（N）为红色，指南极（S）为白色或蓝色；N、S字母的颜色为蓝色或白色；3．在离磁极端面中心2mm处测得磁感应强度不低于0.07T；4． 教学用磁钢按运输要求包装后，应能经受在正常搬运时高度为800mm的自由跌落实验，试验后磁感应强度不小于第1条的要求；5． 教学用磁钢提倡采用磁特性优于铝铁碳、铁氧体的其它材料。</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1256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79D02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FF03D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23850" cy="266700"/>
                  <wp:effectExtent l="0" t="0" r="11430" b="7620"/>
                  <wp:docPr id="106" name="图片 82"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82" descr="IMG_298"/>
                          <pic:cNvPicPr>
                            <a:picLocks noChangeAspect="1"/>
                          </pic:cNvPicPr>
                        </pic:nvPicPr>
                        <pic:blipFill>
                          <a:blip r:embed="rId84"/>
                          <a:stretch>
                            <a:fillRect/>
                          </a:stretch>
                        </pic:blipFill>
                        <pic:spPr>
                          <a:xfrm>
                            <a:off x="0" y="0"/>
                            <a:ext cx="323850" cy="266700"/>
                          </a:xfrm>
                          <a:prstGeom prst="rect">
                            <a:avLst/>
                          </a:prstGeom>
                          <a:noFill/>
                          <a:ln w="9525">
                            <a:noFill/>
                          </a:ln>
                        </pic:spPr>
                      </pic:pic>
                    </a:graphicData>
                  </a:graphic>
                </wp:inline>
              </w:drawing>
            </w:r>
          </w:p>
        </w:tc>
      </w:tr>
      <w:tr w14:paraId="05EB45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8AA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174B7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蹄形磁铁</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1529C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D-CG-LU-80型：主参数（高度）80mm，磁极横截面积200mm2，磁感应强度应不小于0.055T；2． 教学用磁钢极性标注，指北极（N）为红色，指南极（S）为白色或蓝色；N、S字母的颜色为蓝色或白色；3． 教学用磁钢按运输要求包装后，应能经受在正常搬运时高度为800mm的自由跌落实验，试验后磁感应强度不小于第1条的要求；4． 教学用磁钢提倡采用磁特性优于铝铁碳、铁氧体的其它材料；</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4398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A07F6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A2BE6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19075" cy="266700"/>
                  <wp:effectExtent l="0" t="0" r="9525" b="7620"/>
                  <wp:docPr id="117" name="图片 83"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3" descr="IMG_299"/>
                          <pic:cNvPicPr>
                            <a:picLocks noChangeAspect="1"/>
                          </pic:cNvPicPr>
                        </pic:nvPicPr>
                        <pic:blipFill>
                          <a:blip r:embed="rId85"/>
                          <a:stretch>
                            <a:fillRect/>
                          </a:stretch>
                        </pic:blipFill>
                        <pic:spPr>
                          <a:xfrm>
                            <a:off x="0" y="0"/>
                            <a:ext cx="219075" cy="266700"/>
                          </a:xfrm>
                          <a:prstGeom prst="rect">
                            <a:avLst/>
                          </a:prstGeom>
                          <a:noFill/>
                          <a:ln w="9525">
                            <a:noFill/>
                          </a:ln>
                        </pic:spPr>
                      </pic:pic>
                    </a:graphicData>
                  </a:graphic>
                </wp:inline>
              </w:drawing>
            </w:r>
          </w:p>
        </w:tc>
      </w:tr>
      <w:tr w14:paraId="4D08D0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306F3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29028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A0A8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蹄形磁铁</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9BCEB5">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1．学生用；D-CG-LU-65型：主参数（高度）65mm，磁感应强度应不小于0.055T；2． 教学用磁钢极性标注，指北极（N）为红色，指南极（S）为白色或蓝色；N、S字母的颜色为蓝色或白色；3．在离磁极端面中心2mm处测得磁感应强度不低于0.055T；4． 教学用磁钢按运输要求包装后，应能经受在正常搬运时高度为800mm的自由跌落实验，试验后磁感应强度不小于第1条的要求；5． 教学用磁钢提倡采用磁特性优于铝铁碳、铁氧体的其它材料。</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FB108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696E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F1F96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19075" cy="266700"/>
                  <wp:effectExtent l="0" t="0" r="9525" b="7620"/>
                  <wp:docPr id="110" name="图片 84"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84" descr="IMG_300"/>
                          <pic:cNvPicPr>
                            <a:picLocks noChangeAspect="1"/>
                          </pic:cNvPicPr>
                        </pic:nvPicPr>
                        <pic:blipFill>
                          <a:blip r:embed="rId85"/>
                          <a:stretch>
                            <a:fillRect/>
                          </a:stretch>
                        </pic:blipFill>
                        <pic:spPr>
                          <a:xfrm>
                            <a:off x="0" y="0"/>
                            <a:ext cx="219075" cy="266700"/>
                          </a:xfrm>
                          <a:prstGeom prst="rect">
                            <a:avLst/>
                          </a:prstGeom>
                          <a:noFill/>
                          <a:ln w="9525">
                            <a:noFill/>
                          </a:ln>
                        </pic:spPr>
                      </pic:pic>
                    </a:graphicData>
                  </a:graphic>
                </wp:inline>
              </w:drawing>
            </w:r>
          </w:p>
        </w:tc>
      </w:tr>
      <w:tr w14:paraId="3A5637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5369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29029</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3A3B3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磁针</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1AB3AB">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1．产品为中学物理演示用，由底座、磁针两部分组成；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2．磁针尺寸28mm×8mm，支架底径25mm，高25mm；每组有10支，表面为平面菱形；</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3．支座用非铁磁性材料制成，底座平整稳定，钢针镀铬；</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4．磁针体的中间铆接铜轴承套，内嵌玻璃轴承；</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5．磁针体表面喷漆，漆层均匀无脱落；指北极（N）为红色，指南极（S）为白色或蓝色。</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F64A3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95842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CA52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90525" cy="266700"/>
                  <wp:effectExtent l="0" t="0" r="5715" b="7620"/>
                  <wp:docPr id="86" name="图片 85"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5" descr="IMG_301"/>
                          <pic:cNvPicPr>
                            <a:picLocks noChangeAspect="1"/>
                          </pic:cNvPicPr>
                        </pic:nvPicPr>
                        <pic:blipFill>
                          <a:blip r:embed="rId86"/>
                          <a:stretch>
                            <a:fillRect/>
                          </a:stretch>
                        </pic:blipFill>
                        <pic:spPr>
                          <a:xfrm>
                            <a:off x="0" y="0"/>
                            <a:ext cx="390525" cy="266700"/>
                          </a:xfrm>
                          <a:prstGeom prst="rect">
                            <a:avLst/>
                          </a:prstGeom>
                          <a:noFill/>
                          <a:ln w="9525">
                            <a:noFill/>
                          </a:ln>
                        </pic:spPr>
                      </pic:pic>
                    </a:graphicData>
                  </a:graphic>
                </wp:inline>
              </w:drawing>
            </w:r>
          </w:p>
        </w:tc>
      </w:tr>
      <w:tr w14:paraId="7CFC31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AD93E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29030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A60E0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环形磁铁</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94D2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1．铁氧体环形磁铁一对，外径32mm，内径18mm；2． 教学用磁钢极性标注，指北极（N）为红色，指南极（S）为白色或蓝色；N、S字母的颜色为蓝色或白色；3．在离磁极端面中心2mm处测得磁感应强度不低于0.05T。</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36B6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EFD05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884B5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95275" cy="266700"/>
                  <wp:effectExtent l="0" t="0" r="0" b="6985"/>
                  <wp:docPr id="87" name="图片 86"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6" descr="IMG_302"/>
                          <pic:cNvPicPr>
                            <a:picLocks noChangeAspect="1"/>
                          </pic:cNvPicPr>
                        </pic:nvPicPr>
                        <pic:blipFill>
                          <a:blip r:embed="rId87"/>
                          <a:stretch>
                            <a:fillRect/>
                          </a:stretch>
                        </pic:blipFill>
                        <pic:spPr>
                          <a:xfrm>
                            <a:off x="0" y="0"/>
                            <a:ext cx="295275" cy="266700"/>
                          </a:xfrm>
                          <a:prstGeom prst="rect">
                            <a:avLst/>
                          </a:prstGeom>
                          <a:noFill/>
                          <a:ln w="9525">
                            <a:noFill/>
                          </a:ln>
                        </pic:spPr>
                      </pic:pic>
                    </a:graphicData>
                  </a:graphic>
                </wp:inline>
              </w:drawing>
            </w:r>
          </w:p>
        </w:tc>
      </w:tr>
      <w:tr w14:paraId="5D2995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DBB0A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29033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AB491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手摇发电机</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080B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由外壳、传动机构、小电机、灯珠、连接导线、接线柱、台边夹等组成；仪器可手持演示，也可夹持在实验台边演示；外壳采用透明性好的“372”材料制作，能清晰看清仪器内部结构；传动机构采用摇把带动齿轮传动，各齿轮啮合紧密，传动灵活；小电机功率2-3W，转速6000-10000转/分，工作电压3V，电流0.8A；灯珠采用2．5V，0.3A小电珠；台边夹采用A3材料制作，夹紧厚度不小于40mm，夹端设有压碗。</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2A90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AF2FF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BE0F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42900" cy="266700"/>
                  <wp:effectExtent l="0" t="0" r="7620" b="7620"/>
                  <wp:docPr id="104" name="图片 87"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87" descr="IMG_303"/>
                          <pic:cNvPicPr>
                            <a:picLocks noChangeAspect="1"/>
                          </pic:cNvPicPr>
                        </pic:nvPicPr>
                        <pic:blipFill>
                          <a:blip r:embed="rId88"/>
                          <a:stretch>
                            <a:fillRect/>
                          </a:stretch>
                        </pic:blipFill>
                        <pic:spPr>
                          <a:xfrm>
                            <a:off x="0" y="0"/>
                            <a:ext cx="342900" cy="266700"/>
                          </a:xfrm>
                          <a:prstGeom prst="rect">
                            <a:avLst/>
                          </a:prstGeom>
                          <a:noFill/>
                          <a:ln w="9525">
                            <a:noFill/>
                          </a:ln>
                        </pic:spPr>
                      </pic:pic>
                    </a:graphicData>
                  </a:graphic>
                </wp:inline>
              </w:drawing>
            </w:r>
          </w:p>
        </w:tc>
      </w:tr>
      <w:tr w14:paraId="2A43CB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C846D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25012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2833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激光笔</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97C7DB">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1、产品由塑胶笔身和激光头、钮扣电池组成；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2、使用范围7-15m，波长650mm；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3、金属外壳，防锈处理，笔型美观。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1BBA6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AA31C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2699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85775" cy="266700"/>
                  <wp:effectExtent l="0" t="0" r="1905" b="7620"/>
                  <wp:docPr id="109" name="图片 88"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88" descr="IMG_304"/>
                          <pic:cNvPicPr>
                            <a:picLocks noChangeAspect="1"/>
                          </pic:cNvPicPr>
                        </pic:nvPicPr>
                        <pic:blipFill>
                          <a:blip r:embed="rId89"/>
                          <a:stretch>
                            <a:fillRect/>
                          </a:stretch>
                        </pic:blipFill>
                        <pic:spPr>
                          <a:xfrm>
                            <a:off x="0" y="0"/>
                            <a:ext cx="485775" cy="266700"/>
                          </a:xfrm>
                          <a:prstGeom prst="rect">
                            <a:avLst/>
                          </a:prstGeom>
                          <a:noFill/>
                          <a:ln w="9525">
                            <a:noFill/>
                          </a:ln>
                        </pic:spPr>
                      </pic:pic>
                    </a:graphicData>
                  </a:graphic>
                </wp:inline>
              </w:drawing>
            </w:r>
          </w:p>
        </w:tc>
      </w:tr>
      <w:tr w14:paraId="4C7BF6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5788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29036</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6D2DD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平面镜及支架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70DCB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产品由平面镜片、镜框、镜座等组成，成对配置；镜片厚度为3mm，尺寸为90mm×60mm，镜框与镜座采用优质塑料制作，镜座与镜框配合可调节镜面的高度范围不小于45mm。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186E4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51DE7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6EE21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90525" cy="266700"/>
                  <wp:effectExtent l="0" t="0" r="5715" b="6350"/>
                  <wp:docPr id="112" name="图片 89"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9" descr="IMG_305"/>
                          <pic:cNvPicPr>
                            <a:picLocks noChangeAspect="1"/>
                          </pic:cNvPicPr>
                        </pic:nvPicPr>
                        <pic:blipFill>
                          <a:blip r:embed="rId90"/>
                          <a:stretch>
                            <a:fillRect/>
                          </a:stretch>
                        </pic:blipFill>
                        <pic:spPr>
                          <a:xfrm>
                            <a:off x="0" y="0"/>
                            <a:ext cx="390525" cy="266700"/>
                          </a:xfrm>
                          <a:prstGeom prst="rect">
                            <a:avLst/>
                          </a:prstGeom>
                          <a:noFill/>
                          <a:ln w="9525">
                            <a:noFill/>
                          </a:ln>
                        </pic:spPr>
                      </pic:pic>
                    </a:graphicData>
                  </a:graphic>
                </wp:inline>
              </w:drawing>
            </w:r>
          </w:p>
        </w:tc>
      </w:tr>
      <w:tr w14:paraId="7630CC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25A4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29038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7AFC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透镜、棱镜及支架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7E0C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由凸透镜1只、凹透镜1只、棱镜1只、立杆3根及底座3个组成；2．凸透镜、凹透镜镜片外径Φ40mm；3．棱镜为正三棱柱体，边长23mm，长度约26mm；4．立杆采用直径Φ6mm的圆钢制作，长度为70mm；5．底座采用ABS工程塑料制作，外径不小于Φ65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5C572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AADB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C5A5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81000" cy="266700"/>
                  <wp:effectExtent l="0" t="0" r="0" b="7620"/>
                  <wp:docPr id="91" name="图片 90"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0" descr="IMG_306"/>
                          <pic:cNvPicPr>
                            <a:picLocks noChangeAspect="1"/>
                          </pic:cNvPicPr>
                        </pic:nvPicPr>
                        <pic:blipFill>
                          <a:blip r:embed="rId91"/>
                          <a:stretch>
                            <a:fillRect/>
                          </a:stretch>
                        </pic:blipFill>
                        <pic:spPr>
                          <a:xfrm>
                            <a:off x="0" y="0"/>
                            <a:ext cx="381000" cy="266700"/>
                          </a:xfrm>
                          <a:prstGeom prst="rect">
                            <a:avLst/>
                          </a:prstGeom>
                          <a:noFill/>
                          <a:ln w="9525">
                            <a:noFill/>
                          </a:ln>
                        </pic:spPr>
                      </pic:pic>
                    </a:graphicData>
                  </a:graphic>
                </wp:inline>
              </w:drawing>
            </w:r>
          </w:p>
        </w:tc>
      </w:tr>
      <w:tr w14:paraId="4A7B79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BABBD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22004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0BC3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单摆</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E6B2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由钢球和线组成。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1、钢球直径≥20mm；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2、摆球沿直径方向钻孔，共穿线使用，钢球表面镀铬、抛光；</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3、摆球附悬线1根。</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0723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3841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CA89D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09575" cy="266700"/>
                  <wp:effectExtent l="0" t="0" r="1905" b="7620"/>
                  <wp:docPr id="105" name="图片 91"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91" descr="IMG_307"/>
                          <pic:cNvPicPr>
                            <a:picLocks noChangeAspect="1"/>
                          </pic:cNvPicPr>
                        </pic:nvPicPr>
                        <pic:blipFill>
                          <a:blip r:embed="rId92"/>
                          <a:stretch>
                            <a:fillRect/>
                          </a:stretch>
                        </pic:blipFill>
                        <pic:spPr>
                          <a:xfrm>
                            <a:off x="0" y="0"/>
                            <a:ext cx="409575" cy="266700"/>
                          </a:xfrm>
                          <a:prstGeom prst="rect">
                            <a:avLst/>
                          </a:prstGeom>
                          <a:noFill/>
                          <a:ln w="9525">
                            <a:noFill/>
                          </a:ln>
                        </pic:spPr>
                      </pic:pic>
                    </a:graphicData>
                  </a:graphic>
                </wp:inline>
              </w:drawing>
            </w:r>
          </w:p>
        </w:tc>
      </w:tr>
      <w:tr w14:paraId="3E8247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0E67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39052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D4384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儿童牙列模型</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9B1F6">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PVC材质，有一定的韧性，不变形、不开裂；模型为右侧下半之牙列，下颔角至冠突高度不小于210mm，各部结构按比例放大；配底座可水平转动或取下，附牙刷。</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A7D9F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A931C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E21DB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76225" cy="266700"/>
                  <wp:effectExtent l="0" t="0" r="13335" b="7620"/>
                  <wp:docPr id="93" name="图片 92"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descr="IMG_308"/>
                          <pic:cNvPicPr>
                            <a:picLocks noChangeAspect="1"/>
                          </pic:cNvPicPr>
                        </pic:nvPicPr>
                        <pic:blipFill>
                          <a:blip r:embed="rId93"/>
                          <a:stretch>
                            <a:fillRect/>
                          </a:stretch>
                        </pic:blipFill>
                        <pic:spPr>
                          <a:xfrm>
                            <a:off x="0" y="0"/>
                            <a:ext cx="276225" cy="266700"/>
                          </a:xfrm>
                          <a:prstGeom prst="rect">
                            <a:avLst/>
                          </a:prstGeom>
                          <a:noFill/>
                          <a:ln w="9525">
                            <a:noFill/>
                          </a:ln>
                        </pic:spPr>
                      </pic:pic>
                    </a:graphicData>
                  </a:graphic>
                </wp:inline>
              </w:drawing>
            </w:r>
          </w:p>
        </w:tc>
      </w:tr>
      <w:tr w14:paraId="278030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5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15B94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34001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012D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平面政区地球仪</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3DCF9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球体和支架两部分；2．体直径32cm，允差5mm，平面比例尺1/40，000，000，地轴倾角为66.5°；3．球体表面不得有裂纹、皱纹、气泡和脱落；4．球体为正圆形；5．在支架上可以自由转动，能停止在任一位置；6．静置和转动时整个产品应由足够的稳定性；7．地轴垂直于赤道面；8．要做防潮处理，表面涂清漆；9．必须在球体上注明参考图出版年月，必须在球体上注明产品的生产年月；10．等高线、海深线的选取和分层设色的色标参考地图出版社的新版地形地球仪图片；11．赤道用醒目的颜色标绘；12．国际日期变更线、南北回归线、南北极圈用与其它经纬线有区别的颜色标绘；13．地物的位置、走向、名称标注（包括括注）均应按照地图出版社新版地形地球仪图片标绘。</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E073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AA9BD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8C439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0025" cy="266700"/>
                  <wp:effectExtent l="0" t="0" r="13335" b="7620"/>
                  <wp:docPr id="100" name="图片 93"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3" descr="IMG_309"/>
                          <pic:cNvPicPr>
                            <a:picLocks noChangeAspect="1"/>
                          </pic:cNvPicPr>
                        </pic:nvPicPr>
                        <pic:blipFill>
                          <a:blip r:embed="rId94"/>
                          <a:stretch>
                            <a:fillRect/>
                          </a:stretch>
                        </pic:blipFill>
                        <pic:spPr>
                          <a:xfrm>
                            <a:off x="0" y="0"/>
                            <a:ext cx="200025" cy="266700"/>
                          </a:xfrm>
                          <a:prstGeom prst="rect">
                            <a:avLst/>
                          </a:prstGeom>
                          <a:noFill/>
                          <a:ln w="9525">
                            <a:noFill/>
                          </a:ln>
                        </pic:spPr>
                      </pic:pic>
                    </a:graphicData>
                  </a:graphic>
                </wp:inline>
              </w:drawing>
            </w:r>
          </w:p>
        </w:tc>
      </w:tr>
      <w:tr w14:paraId="019EF1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7"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9513B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34002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84F92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平面地形地球仪</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A961A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由球体和支架两部分等组成；2．球体直径为320±5mm，允差5.0mm，平面比例尺：1/40000000；地轴倾角为66.5°；3．球体表面不得有裂纹、皱纹、气泡和脱落；4．球体为正圆形；5．在支架上可以自由转动，能停止在任一位置；6．静置和转动时整个产品应由足够的稳定性；7．地轴垂直于赤道面；8．要做防潮处理，表面涂清漆；9．必须在球体上注明参考图出版年月，必须在球体上注明产品的生产年月；10．等高线、海深线的选取和分层设色的色标参考地图出版社的新版地形地球仪图片；11．赤道用醒目的颜色标绘；12．国际日期变更线、南北回归线、南北极圈用与其它经纬线有区别的颜色标绘；13．地物的位置、走向、名称标注（包括括注）均应按照地图出版社新版地形地球仪图片标绘。</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A954B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DEC9A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CEB2B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66700" cy="266700"/>
                  <wp:effectExtent l="0" t="0" r="7620" b="7620"/>
                  <wp:docPr id="103" name="图片 94"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94" descr="IMG_310"/>
                          <pic:cNvPicPr>
                            <a:picLocks noChangeAspect="1"/>
                          </pic:cNvPicPr>
                        </pic:nvPicPr>
                        <pic:blipFill>
                          <a:blip r:embed="rId95"/>
                          <a:stretch>
                            <a:fillRect/>
                          </a:stretch>
                        </pic:blipFill>
                        <pic:spPr>
                          <a:xfrm>
                            <a:off x="0" y="0"/>
                            <a:ext cx="266700" cy="266700"/>
                          </a:xfrm>
                          <a:prstGeom prst="rect">
                            <a:avLst/>
                          </a:prstGeom>
                          <a:noFill/>
                          <a:ln w="9525">
                            <a:noFill/>
                          </a:ln>
                        </pic:spPr>
                      </pic:pic>
                    </a:graphicData>
                  </a:graphic>
                </wp:inline>
              </w:drawing>
            </w:r>
          </w:p>
        </w:tc>
      </w:tr>
      <w:tr w14:paraId="32F71F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A606D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39151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9A4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地动仪模型</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6BF9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模型：高度400mm左右，地动仪筒体一套，龙8条，蛙8只，底座1个，杆一根，龙珠8个。</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6CA7C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4A483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AE31C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47650" cy="266700"/>
                  <wp:effectExtent l="0" t="0" r="0" b="6350"/>
                  <wp:docPr id="107" name="图片 95"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5" descr="IMG_311"/>
                          <pic:cNvPicPr>
                            <a:picLocks noChangeAspect="1"/>
                          </pic:cNvPicPr>
                        </pic:nvPicPr>
                        <pic:blipFill>
                          <a:blip r:embed="rId96"/>
                          <a:stretch>
                            <a:fillRect/>
                          </a:stretch>
                        </pic:blipFill>
                        <pic:spPr>
                          <a:xfrm>
                            <a:off x="0" y="0"/>
                            <a:ext cx="247650" cy="266700"/>
                          </a:xfrm>
                          <a:prstGeom prst="rect">
                            <a:avLst/>
                          </a:prstGeom>
                          <a:noFill/>
                          <a:ln w="9525">
                            <a:noFill/>
                          </a:ln>
                        </pic:spPr>
                      </pic:pic>
                    </a:graphicData>
                  </a:graphic>
                </wp:inline>
              </w:drawing>
            </w:r>
          </w:p>
        </w:tc>
      </w:tr>
      <w:tr w14:paraId="3468E6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3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EDC5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39152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8BD8A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地球构造模型</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AE7EF9">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能显示内、外地核，上、下地幔，软流层，地壳，显示地幔对流及板块碰撞示意1．由球体、支架（包括底座）时区环等组成，球体材质采用高分子材料塑制，质地坚固，无开裂变形现象；2． 球体直径不小于32cm，比例尺为1：40000000；3． 涂色均匀，无流挂、皱缩、针孔、起泡现象，着色线条流畅、清晰自然；4． 沿纵横剖面切掉四分之一球体，用不同颜色显示地球内部圈层的结构，地表、地幔、地核区分明显，并用文字进行标注，规范准确；5． 各部分结构的轮廓、比例正确；6． 底座应有弓尺，表面刻度清晰，平整光滑，无毛刺。</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F4479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件</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F23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244C5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90500" cy="266700"/>
                  <wp:effectExtent l="0" t="0" r="7620" b="7620"/>
                  <wp:docPr id="88" name="图片 96"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96" descr="IMG_312"/>
                          <pic:cNvPicPr>
                            <a:picLocks noChangeAspect="1"/>
                          </pic:cNvPicPr>
                        </pic:nvPicPr>
                        <pic:blipFill>
                          <a:blip r:embed="rId97"/>
                          <a:stretch>
                            <a:fillRect/>
                          </a:stretch>
                        </pic:blipFill>
                        <pic:spPr>
                          <a:xfrm>
                            <a:off x="0" y="0"/>
                            <a:ext cx="190500" cy="266700"/>
                          </a:xfrm>
                          <a:prstGeom prst="rect">
                            <a:avLst/>
                          </a:prstGeom>
                          <a:noFill/>
                          <a:ln w="9525">
                            <a:noFill/>
                          </a:ln>
                        </pic:spPr>
                      </pic:pic>
                    </a:graphicData>
                  </a:graphic>
                </wp:inline>
              </w:drawing>
            </w:r>
          </w:p>
        </w:tc>
      </w:tr>
      <w:tr w14:paraId="0F402C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7060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39154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CF0F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司南模型</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B53895">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模型由青铜底盘和磁勺组成；底盘尺寸：180mm×180mm×10mm；2．外盘分层次铸成十天干、十二地支、四卦标示，二十四个方位；3．磁勺用磁性材料做成，勺头为N级，勺尾为S极；4．仪器静止时因地球磁场的作用，勺尾指向南方。</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5DEF5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5B3C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84CA1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95275" cy="266700"/>
                  <wp:effectExtent l="0" t="0" r="9525" b="7620"/>
                  <wp:docPr id="108" name="图片 97"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97" descr="IMG_313"/>
                          <pic:cNvPicPr>
                            <a:picLocks noChangeAspect="1"/>
                          </pic:cNvPicPr>
                        </pic:nvPicPr>
                        <pic:blipFill>
                          <a:blip r:embed="rId98"/>
                          <a:stretch>
                            <a:fillRect/>
                          </a:stretch>
                        </pic:blipFill>
                        <pic:spPr>
                          <a:xfrm>
                            <a:off x="0" y="0"/>
                            <a:ext cx="295275" cy="266700"/>
                          </a:xfrm>
                          <a:prstGeom prst="rect">
                            <a:avLst/>
                          </a:prstGeom>
                          <a:noFill/>
                          <a:ln w="9525">
                            <a:noFill/>
                          </a:ln>
                        </pic:spPr>
                      </pic:pic>
                    </a:graphicData>
                  </a:graphic>
                </wp:inline>
              </w:drawing>
            </w:r>
          </w:p>
        </w:tc>
      </w:tr>
      <w:tr w14:paraId="1B89E6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FA6F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39156</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2BEE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月相变化模型</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79E2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由示教板（不小于810mm×610mm×30mm，四周铝合金镶嵌，每个月相的直径为约55mm）及月相指示器组成；演示月亮圆缺的各种形状；产品设置的中心天体是地球，在地球的外围显示月球的公转轨道，并能演示出“新月—娥眉月—上弦月—凸月—满月—凹月—下弦月—娥眉月—新月”的月相周期性更造。</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E65F6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件</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6A67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9DD5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23850" cy="266700"/>
                  <wp:effectExtent l="0" t="0" r="0" b="0"/>
                  <wp:docPr id="113" name="图片 98"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8" descr="IMG_314"/>
                          <pic:cNvPicPr>
                            <a:picLocks noChangeAspect="1"/>
                          </pic:cNvPicPr>
                        </pic:nvPicPr>
                        <pic:blipFill>
                          <a:blip r:embed="rId99"/>
                          <a:stretch>
                            <a:fillRect/>
                          </a:stretch>
                        </pic:blipFill>
                        <pic:spPr>
                          <a:xfrm>
                            <a:off x="0" y="0"/>
                            <a:ext cx="323850" cy="266700"/>
                          </a:xfrm>
                          <a:prstGeom prst="rect">
                            <a:avLst/>
                          </a:prstGeom>
                          <a:noFill/>
                          <a:ln w="9525">
                            <a:noFill/>
                          </a:ln>
                        </pic:spPr>
                      </pic:pic>
                    </a:graphicData>
                  </a:graphic>
                </wp:inline>
              </w:drawing>
            </w:r>
          </w:p>
        </w:tc>
      </w:tr>
      <w:tr w14:paraId="359CBC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6EEB8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43201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8B4D4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植物根尖纵切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00521">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标本在80×和200×学生显微镜下观察植物幼根的横断面结构；2． 能看清表皮、皮层、内皮层和中柱等；3． 由表皮细胞形成的根毛内具胞核；4． 中柱内分出木质部、韧皮部和导管等；5． 标本取材于人工培养的蚕豆根，取材部位为根毛区；6． 切片厚度在25μm以内；7． 自表皮细胞伸出的完整根毛应不少于两条，并可见胞核；8． 表皮、薄壁组织、木质部束等处细胞不得倾斜。</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4EB36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176B3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ACCB3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57200" cy="266700"/>
                  <wp:effectExtent l="0" t="0" r="0" b="0"/>
                  <wp:docPr id="94" name="图片 99"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9" descr="IMG_315"/>
                          <pic:cNvPicPr>
                            <a:picLocks noChangeAspect="1"/>
                          </pic:cNvPicPr>
                        </pic:nvPicPr>
                        <pic:blipFill>
                          <a:blip r:embed="rId100"/>
                          <a:stretch>
                            <a:fillRect/>
                          </a:stretch>
                        </pic:blipFill>
                        <pic:spPr>
                          <a:xfrm>
                            <a:off x="0" y="0"/>
                            <a:ext cx="457200" cy="266700"/>
                          </a:xfrm>
                          <a:prstGeom prst="rect">
                            <a:avLst/>
                          </a:prstGeom>
                          <a:noFill/>
                          <a:ln w="9525">
                            <a:noFill/>
                          </a:ln>
                        </pic:spPr>
                      </pic:pic>
                    </a:graphicData>
                  </a:graphic>
                </wp:inline>
              </w:drawing>
            </w:r>
          </w:p>
        </w:tc>
      </w:tr>
      <w:tr w14:paraId="409FC0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5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2F98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43206</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ACC4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木本双子叶植物茎横切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4F2F91">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标本在80×和200×学生显微镜下观察木本植物茎横断面的结构；2． 能看清表皮（有脱落现象，有时可见皮孔）、木栓层、厚角组织、皮层、韧皮部、形成层、本质部、髓部、髓射线等；3． 在木质部能看清年轮；4． 在皮层、韧皮部和髓部的细胞中有时可见草酸钙结晶；5． 标本应于秋未取材，选用椴木三年生枝；6． 切片厚度在15μm以内；7． 标本用蕾红、固绿染色，木质部和韧皮纤维呈红色，其他组织呈绿色（髓射线在木质部可呈红色）；8． 各部组织无破裂，表皮脱落应不超过1／4。</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6A0A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0BCF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3BE9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114" name="图片 100"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00" descr="IMG_316"/>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6574CB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79308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43250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F1005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草本植物茎横切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40D4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草本植物的植物体木质部较不发达，茎多汁，较柔软，通过实验观察，掌握木本植物、草本植物及各部分的主要功能，理解年轮形成的道理。</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D8B2F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3E9B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C18CC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115" name="图片 101"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01" descr="IMG_317"/>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465E64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A76B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43251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B2DB5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洋葱表皮装片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A97C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适用于小学科学教学观察；2．标本取材为新鲜的洋葱鳞片叶的表皮，每片取材不小于2mm×2mm，四周剪切整齐；3．标本应平铺装片，不带表皮下的组织，可轻度染色；4．标本在80×和200×显微镜下可清楚观察到排列整齐的许多小长方体（小格），同时可观察到细胞壁、细胞膜、细胞质及数个液泡。</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1E33D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ED26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ED071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92" name="图片 102"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2" descr="IMG_318"/>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519381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10002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43252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ED6D2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叶片横切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DC8D5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适用于小学科学教学观察；2．标本取材为木樨科迎春花的叶片；3．切片厚度在20μm以内，每张玻片应放材料不少于二片；标本用番红、固绿染色，使表皮、叶脉呈红色，其他绿色；4．在80×和200×镜下可清楚观察叶子的内部结构、排列紧密的叶表，表皮细胞外壁有一层不易透水的角质层；表皮下有保卫细胞组成的气孔。</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B6DAD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4A335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CC126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57200" cy="266700"/>
                  <wp:effectExtent l="0" t="0" r="0" b="0"/>
                  <wp:docPr id="116" name="图片 103"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03" descr="IMG_319"/>
                          <pic:cNvPicPr>
                            <a:picLocks noChangeAspect="1"/>
                          </pic:cNvPicPr>
                        </pic:nvPicPr>
                        <pic:blipFill>
                          <a:blip r:embed="rId102"/>
                          <a:stretch>
                            <a:fillRect/>
                          </a:stretch>
                        </pic:blipFill>
                        <pic:spPr>
                          <a:xfrm>
                            <a:off x="0" y="0"/>
                            <a:ext cx="457200" cy="266700"/>
                          </a:xfrm>
                          <a:prstGeom prst="rect">
                            <a:avLst/>
                          </a:prstGeom>
                          <a:noFill/>
                          <a:ln w="9525">
                            <a:noFill/>
                          </a:ln>
                        </pic:spPr>
                      </pic:pic>
                    </a:graphicData>
                  </a:graphic>
                </wp:inline>
              </w:drawing>
            </w:r>
          </w:p>
        </w:tc>
      </w:tr>
      <w:tr w14:paraId="1D24DF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77CE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43253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503DF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叶片气孔装片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DA7EE9">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适用于小学科学分组观察；2．标本取材为新鲜的气孔开放的蚕豆叶；3．材料整洁，不附带叶肉等其他组织，保卫细胞不收缩；4．标本为平铺装片，每片材料不小于2mm×2mm，四周剪切整齐；5．显示正常开放的气孔形态和新月形的保卫细胞、细胞核、叶绿体；6．标本应在80×和200×学生显微镜下清楚观察叶子表皮和气孔结构。</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F8456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69C0B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FF036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89" name="图片 104"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04" descr="IMG_320"/>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474DFD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9F0F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43450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D5B6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动物表皮细胞装片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179BF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适用于小学科学教学观察；2．标本取材为两栖动物的表皮，每次取材不小于2mm×2mm，四周剪切整齐，标本应平铺装片染色；3．标本在80×和200×显微镜下可观察到形状不很规则的呈多角形的细胞膜和着色较深的细胞核。</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1C4FB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D09E7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CC40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95" name="图片 105"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05" descr="IMG_321"/>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09C307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C52BF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43451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11E73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蛙卵细胞切片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31E8E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标本选自32~64细胞之间的卵裂期；2．作过动物极和植物极的中部纵切，切片厚度在10μm以内，每张玻片放材料1~2片，动物极向上；3．标本由于有自然色素，可不染色或单一染色；4．卵黄处有轻微破裂时为二级品；5．应符合JY67-82《生物玻片标本通用技术条件（试行）》的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F2253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3235A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E823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90" name="图片 106"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06" descr="IMG_322"/>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14F94E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34A64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43550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82D43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骨细胞切片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2E363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适用于小学教学实验用；2．标本在200×和400×显微镜下观察骨细胞的形态结构；3．骨细胞是多突起的细胞，核为卵圆形，骨细胞位于骨板内或骨板之间，细胞的突起穿越骨板层；4．能看清骨细胞、骨基质、骨细胞突起及核仁；5．标本取材大型哺乳动物的股骨；6．标本用能显示骨细胞结构但又不退色的方法染色；7．切片厚度在10μm以内，材料面积不小于4mm×3mm；8．染色协调，无杂质，无余色，脱蜡干净；9．标本无变形、收缩、破裂现象。</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41436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E4006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E68E4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96" name="图片 107"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07" descr="IMG_323"/>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2824CE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B9F0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43551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D9E9F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口腔粘膜细胞装片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D32A4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适用于小学科学教学观察；2．标本取材为人的口腔粘膜；3．标本应平铺装片，用碘液轻染色；4．在低倍显微镜下应看到扁平，呈不规则多边形的上皮细胞；5．在高倍显微镜下可看到细胞膜着色较浅的细胞质和着色较重的细胞核。</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12A59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0319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DAEB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98" name="图片 108"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08" descr="IMG_324"/>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77C29A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E076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43552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EB7BB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人血细胞装片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A156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标本取材于人的新鲜血液，血细胞变形者，不宜使用；2．血膜应涂布均匀、无污物；血细胞不重叠、无变形和自溶现象；用苏木精、曙红双重染色；3．染色要均匀，白血细胞的胞核和血小板呈兰紫色，白血细胞的胞质和红血细胞呈粉红色，血浆不着色；4．标本具有下列一项时为二级品：a.血浆着色，但不影响观察血细胞形态；b.红血细胞有变形现象，在400×镜视野内不超过10%；c.血膜上有少量污物不影响观察。</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65A8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CF9B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A608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99" name="图片 109"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09" descr="IMG_325"/>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155DA5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23F5F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59001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ED2F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中国政区地图</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1FDDA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全开、铜版纸 1幅/套</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5C5D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06C7E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86FC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3810" b="6985"/>
                  <wp:docPr id="101" name="图片 110"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10" descr="IMG_326"/>
                          <pic:cNvPicPr>
                            <a:picLocks noChangeAspect="1"/>
                          </pic:cNvPicPr>
                        </pic:nvPicPr>
                        <pic:blipFill>
                          <a:blip r:embed="rId103"/>
                          <a:stretch>
                            <a:fillRect/>
                          </a:stretch>
                        </pic:blipFill>
                        <pic:spPr>
                          <a:xfrm>
                            <a:off x="0" y="0"/>
                            <a:ext cx="209550" cy="266700"/>
                          </a:xfrm>
                          <a:prstGeom prst="rect">
                            <a:avLst/>
                          </a:prstGeom>
                          <a:noFill/>
                          <a:ln w="9525">
                            <a:noFill/>
                          </a:ln>
                        </pic:spPr>
                      </pic:pic>
                    </a:graphicData>
                  </a:graphic>
                </wp:inline>
              </w:drawing>
            </w:r>
          </w:p>
        </w:tc>
      </w:tr>
      <w:tr w14:paraId="61E34C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FB7A5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59002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7905A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中国地形地图</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60F668">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全开、铜版纸 1幅/套</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2CDD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C00E7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AF83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42900" cy="266700"/>
                  <wp:effectExtent l="0" t="0" r="6985" b="6985"/>
                  <wp:docPr id="119" name="图片 111"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1" descr="IMG_327"/>
                          <pic:cNvPicPr>
                            <a:picLocks noChangeAspect="1"/>
                          </pic:cNvPicPr>
                        </pic:nvPicPr>
                        <pic:blipFill>
                          <a:blip r:embed="rId104"/>
                          <a:stretch>
                            <a:fillRect/>
                          </a:stretch>
                        </pic:blipFill>
                        <pic:spPr>
                          <a:xfrm>
                            <a:off x="0" y="0"/>
                            <a:ext cx="342900" cy="266700"/>
                          </a:xfrm>
                          <a:prstGeom prst="rect">
                            <a:avLst/>
                          </a:prstGeom>
                          <a:noFill/>
                          <a:ln w="9525">
                            <a:noFill/>
                          </a:ln>
                        </pic:spPr>
                      </pic:pic>
                    </a:graphicData>
                  </a:graphic>
                </wp:inline>
              </w:drawing>
            </w:r>
          </w:p>
        </w:tc>
      </w:tr>
      <w:tr w14:paraId="027321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1F78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59007</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D72A5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科学史挂图</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683231">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对开、铜版纸  20幅/套</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616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A8F24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93F90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47650" cy="266700"/>
                  <wp:effectExtent l="0" t="0" r="11430" b="6985"/>
                  <wp:docPr id="120" name="图片 112"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2" descr="IMG_328"/>
                          <pic:cNvPicPr>
                            <a:picLocks noChangeAspect="1"/>
                          </pic:cNvPicPr>
                        </pic:nvPicPr>
                        <pic:blipFill>
                          <a:blip r:embed="rId105"/>
                          <a:stretch>
                            <a:fillRect/>
                          </a:stretch>
                        </pic:blipFill>
                        <pic:spPr>
                          <a:xfrm>
                            <a:off x="0" y="0"/>
                            <a:ext cx="247650" cy="266700"/>
                          </a:xfrm>
                          <a:prstGeom prst="rect">
                            <a:avLst/>
                          </a:prstGeom>
                          <a:noFill/>
                          <a:ln w="9525">
                            <a:noFill/>
                          </a:ln>
                        </pic:spPr>
                      </pic:pic>
                    </a:graphicData>
                  </a:graphic>
                </wp:inline>
              </w:drawing>
            </w:r>
          </w:p>
        </w:tc>
      </w:tr>
      <w:tr w14:paraId="02842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4BC3A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59008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4137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植物分类图谱</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CA5211">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16开，全彩色</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5148B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EABF9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6993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0025" cy="266700"/>
                  <wp:effectExtent l="0" t="0" r="13335" b="6985"/>
                  <wp:docPr id="102" name="图片 113"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13" descr="IMG_329"/>
                          <pic:cNvPicPr>
                            <a:picLocks noChangeAspect="1"/>
                          </pic:cNvPicPr>
                        </pic:nvPicPr>
                        <pic:blipFill>
                          <a:blip r:embed="rId106"/>
                          <a:stretch>
                            <a:fillRect/>
                          </a:stretch>
                        </pic:blipFill>
                        <pic:spPr>
                          <a:xfrm>
                            <a:off x="0" y="0"/>
                            <a:ext cx="200025" cy="266700"/>
                          </a:xfrm>
                          <a:prstGeom prst="rect">
                            <a:avLst/>
                          </a:prstGeom>
                          <a:noFill/>
                          <a:ln w="9525">
                            <a:noFill/>
                          </a:ln>
                        </pic:spPr>
                      </pic:pic>
                    </a:graphicData>
                  </a:graphic>
                </wp:inline>
              </w:drawing>
            </w:r>
          </w:p>
        </w:tc>
      </w:tr>
      <w:tr w14:paraId="2DB4A8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8"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38DAB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59009</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9B4E6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动物分类图谱</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6B435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16开，全彩色</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7A54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7681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F6D71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3810" b="6350"/>
                  <wp:docPr id="118" name="图片 114"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4" descr="IMG_330"/>
                          <pic:cNvPicPr>
                            <a:picLocks noChangeAspect="1"/>
                          </pic:cNvPicPr>
                        </pic:nvPicPr>
                        <pic:blipFill>
                          <a:blip r:embed="rId107"/>
                          <a:stretch>
                            <a:fillRect/>
                          </a:stretch>
                        </pic:blipFill>
                        <pic:spPr>
                          <a:xfrm>
                            <a:off x="0" y="0"/>
                            <a:ext cx="209550" cy="266700"/>
                          </a:xfrm>
                          <a:prstGeom prst="rect">
                            <a:avLst/>
                          </a:prstGeom>
                          <a:noFill/>
                          <a:ln w="9525">
                            <a:noFill/>
                          </a:ln>
                        </pic:spPr>
                      </pic:pic>
                    </a:graphicData>
                  </a:graphic>
                </wp:inline>
              </w:drawing>
            </w:r>
          </w:p>
        </w:tc>
      </w:tr>
      <w:tr w14:paraId="268CF2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68"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83D87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60004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57E35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量筒</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06E5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1．教学实验用；2．实验用计量仪器 500mL；量筒全高：360±2mm；最高刻度线至顶：50mm；量筒外径：54±1mm；底座外径：100±3mm；壁厚（不薄于）：1.7±0.4mm；最小分度：5mL；在21℃时量筒允差：量入式：±2mL；量出式：±4mL；3．透明钠钙玻璃材质；4．底座和口部边缘应做熔光处理，口边应与量筒的轴线垂直；5．量筒放在平台上，不应摇晃，空量筒放在15°的斜面上不应跌倒；6．底座可以采用玻璃制作，也可以使用塑料或其他材料（与身部分离），底部可以是六角形也可以是其他形状；7．当从量筒向外倾倒液体时，液体呈一束细流流出，不应外溢，不应沿壁外流；8．所有分度线应位于与量筒轴线相垂直的平面内；量筒的最低分度线应从标称容量的10%起向上分度；分度线短线的长度应为量筒身圆周长的10%～20%；中线的长度应为短线长度的1.5倍，并应对称地超出短线的两端；长线的长度应不短于短线长度的2倍，并应对称地超出短线的两端。如长线为环线，则环线允许有不大于圆周长10%的间隙，并应位于分度表的一侧；分度线在量筒上应形成一竖直的分度表，在具嘴量筒上，当分度表面向观察者时，其嘴应位于左侧；分度线、数字和标志应完整、清晰和耐久；9．量筒的外表面和内表面不应有破皮气泡和薄皮气泡、密集小气泡和积水条纹存在。可有不影响计量读数和强度的轻微缺陷存在；10．量筒应有下列几种耐久性标志：生产厂商标；标准温度20℃；容量单位mL。</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115D1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6BDD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41D7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33350" cy="266700"/>
                  <wp:effectExtent l="0" t="0" r="3810" b="7620"/>
                  <wp:docPr id="66" name="图片 115"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15" descr="IMG_331"/>
                          <pic:cNvPicPr>
                            <a:picLocks noChangeAspect="1"/>
                          </pic:cNvPicPr>
                        </pic:nvPicPr>
                        <pic:blipFill>
                          <a:blip r:embed="rId108"/>
                          <a:stretch>
                            <a:fillRect/>
                          </a:stretch>
                        </pic:blipFill>
                        <pic:spPr>
                          <a:xfrm>
                            <a:off x="0" y="0"/>
                            <a:ext cx="133350" cy="266700"/>
                          </a:xfrm>
                          <a:prstGeom prst="rect">
                            <a:avLst/>
                          </a:prstGeom>
                          <a:noFill/>
                          <a:ln w="9525">
                            <a:noFill/>
                          </a:ln>
                        </pic:spPr>
                      </pic:pic>
                    </a:graphicData>
                  </a:graphic>
                </wp:inline>
              </w:drawing>
            </w:r>
          </w:p>
        </w:tc>
      </w:tr>
      <w:tr w14:paraId="4BCB15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52"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D726E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60012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A612D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量杯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915C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标称容量：250mL；2． 最小分度：25mL；3． 最高标线到内底最小距离：110mm；4． 量入式允差±3．0mL，量出式允差±3.0mL；5． 全高：200mm±10mm；6． 壁厚：不小于1.2mm；7．透明钠钙玻璃材质；8．底座和口部边缘应做熔光处理，口边应与量杯的轴线垂直；9．量杯放在平台上，不应摇晃，空量杯放在15°的斜面上不应跌倒；10．底座可以采用玻璃制作；11．当从量杯向外倾倒液体时，液体呈一束细流流出，不应外溢，不应沿壁外流；12．所有分度线应位于与盘杯轴线相垂直的平面内；量杯的最低分度线应从标称容量的10%起向上分度；分度线的短线的长度应为量杯身圆周长的10%～20%；中线的长度应为短线长度的1.5倍，并应对称地超出短线的两端；长线的长度应不短于短线长度的2倍，并应对称地超出短线的两端。如长线为环线，则环线允许有不大于圆周长10%的间隙，并应位于分度表的一侧；分度线在量杯上应形成一竖直的分度表，在具嘴量杯上，当分度表面向观察者时，其嘴应位于左侧；分度线、数字和标志应完整、清晰和耐久；13．外表面和内表面不应有破皮气泡和薄皮气泡、密集小气泡和积水条纹存在。可有不影响计量读数和强度的轻微缺陷存在；14．应有下列几种耐久性标志：生产厂商标；标准温度20℃；容量单位mL。</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89410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52A96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BF573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42875" cy="266700"/>
                  <wp:effectExtent l="0" t="0" r="9525" b="7620"/>
                  <wp:docPr id="53" name="图片 116"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6" descr="IMG_332"/>
                          <pic:cNvPicPr>
                            <a:picLocks noChangeAspect="1"/>
                          </pic:cNvPicPr>
                        </pic:nvPicPr>
                        <pic:blipFill>
                          <a:blip r:embed="rId109"/>
                          <a:stretch>
                            <a:fillRect/>
                          </a:stretch>
                        </pic:blipFill>
                        <pic:spPr>
                          <a:xfrm>
                            <a:off x="0" y="0"/>
                            <a:ext cx="142875" cy="266700"/>
                          </a:xfrm>
                          <a:prstGeom prst="rect">
                            <a:avLst/>
                          </a:prstGeom>
                          <a:noFill/>
                          <a:ln w="9525">
                            <a:noFill/>
                          </a:ln>
                        </pic:spPr>
                      </pic:pic>
                    </a:graphicData>
                  </a:graphic>
                </wp:inline>
              </w:drawing>
            </w:r>
          </w:p>
        </w:tc>
      </w:tr>
      <w:tr w14:paraId="06012E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41EA6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60061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707A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甘油注射器</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76C8B">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1．实验用玻璃仪器：由注射针管和活塞管组成；注射管长：160±0.5mm；注射针管刻线30mL 全长135±1.5mm；2．管口外径：38±1mm；管口内径：30±0.5mm；管口内下：5mm内径24±0.2mm；管口外缘边高：5±0.2mm；管身内径：24±0.2mm；管身长：123±1.5mm；管下端装注射针头接管外径：大头4．5±0.1mm；小头4±0．1mm；接管长：14±1mm；壁厚：2±0.2mm；注射活塞管长：145±1.5mm；管头外径：23.9±0.1mm；管手持端长：20±1mm；外径：20±0.2mm；管尾外径：28±1mm；管尾边缘高：4±1mm；管壁厚：2±0.2mm；3．理化性能：耐酸等级：1级热稳定性：耐热温差不低于200℃煮沸不破裂；4．应力：在偏光仪下观察呈紫红色或部分扩散状兰色；5．色泽：无色透明，允许微带黄或绿色；注射管和活塞管厚薄均匀允差在0.1mm，特别是两管之 间具紧又要能活动；活塞管的磨砂要光滑细密，不得有缺陷；活塞管磨砂精细，与注射管密吻光滑、不漏水、不漏气、又能活动。</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0D093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96C7D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4EBB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19100" cy="266700"/>
                  <wp:effectExtent l="0" t="0" r="0" b="0"/>
                  <wp:docPr id="64" name="图片 117"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17" descr="IMG_333"/>
                          <pic:cNvPicPr>
                            <a:picLocks noChangeAspect="1"/>
                          </pic:cNvPicPr>
                        </pic:nvPicPr>
                        <pic:blipFill>
                          <a:blip r:embed="rId110"/>
                          <a:stretch>
                            <a:fillRect/>
                          </a:stretch>
                        </pic:blipFill>
                        <pic:spPr>
                          <a:xfrm>
                            <a:off x="0" y="0"/>
                            <a:ext cx="419100" cy="266700"/>
                          </a:xfrm>
                          <a:prstGeom prst="rect">
                            <a:avLst/>
                          </a:prstGeom>
                          <a:noFill/>
                          <a:ln w="9525">
                            <a:noFill/>
                          </a:ln>
                        </pic:spPr>
                      </pic:pic>
                    </a:graphicData>
                  </a:graphic>
                </wp:inline>
              </w:drawing>
            </w:r>
          </w:p>
        </w:tc>
      </w:tr>
      <w:tr w14:paraId="58DDCE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11EF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61002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0BD30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试管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CF6385">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1．高硼硅玻璃材质；厚薄均匀，不得有刺手现象；2．规格：试管外径Φ15 mm；试管高150 mm；壁厚1 mm，急冷温差＞200 ℃。3．内应力双折射的光程差≤180 nm/cm；4．试管应无影响其性能的缺陷。截面应为适度的圆形；5．试管口部是熔光的平口。管口应平整、光滑，不得有裂口、裂纹存在；6．试管的底部应基本为半球形，半球形的最大直径应不超过外径的18%，底厚至少为平均壁厚的66.7%，但不得超过166.7%。</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8147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支</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77ED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8D96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61925" cy="266700"/>
                  <wp:effectExtent l="0" t="0" r="5715" b="7620"/>
                  <wp:docPr id="58" name="图片 118"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18" descr="IMG_334"/>
                          <pic:cNvPicPr>
                            <a:picLocks noChangeAspect="1"/>
                          </pic:cNvPicPr>
                        </pic:nvPicPr>
                        <pic:blipFill>
                          <a:blip r:embed="rId111"/>
                          <a:stretch>
                            <a:fillRect/>
                          </a:stretch>
                        </pic:blipFill>
                        <pic:spPr>
                          <a:xfrm>
                            <a:off x="0" y="0"/>
                            <a:ext cx="161925" cy="266700"/>
                          </a:xfrm>
                          <a:prstGeom prst="rect">
                            <a:avLst/>
                          </a:prstGeom>
                          <a:noFill/>
                          <a:ln w="9525">
                            <a:noFill/>
                          </a:ln>
                        </pic:spPr>
                      </pic:pic>
                    </a:graphicData>
                  </a:graphic>
                </wp:inline>
              </w:drawing>
            </w:r>
          </w:p>
        </w:tc>
      </w:tr>
      <w:tr w14:paraId="439EF2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711EE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61003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6FC4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试管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55095">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1．高硼硅玻璃材质；厚薄均匀，不得有刺手现象；2．规格：试管外径Φ32 mm；试管高200 mm；壁厚1．5 mm，急冷温差＞200 ℃；3．内应力双折射的光程差≤180 nm/cm；4．试管应无影响其性能的缺陷。截面应为适度的圆形；5．试管口部是熔光的平口。管口应平整、光滑，不得有裂口、裂纹存在；6．试管的底部应基本为半球形，半球形的最大直径应不超过外径的18%，底厚至少为平均壁厚的66.7%，但不得超过166.7%。</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62D4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支</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D3EC7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FE579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61925" cy="266700"/>
                  <wp:effectExtent l="0" t="0" r="5715" b="7620"/>
                  <wp:docPr id="61" name="图片 119"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19" descr="IMG_335"/>
                          <pic:cNvPicPr>
                            <a:picLocks noChangeAspect="1"/>
                          </pic:cNvPicPr>
                        </pic:nvPicPr>
                        <pic:blipFill>
                          <a:blip r:embed="rId111"/>
                          <a:stretch>
                            <a:fillRect/>
                          </a:stretch>
                        </pic:blipFill>
                        <pic:spPr>
                          <a:xfrm>
                            <a:off x="0" y="0"/>
                            <a:ext cx="161925" cy="266700"/>
                          </a:xfrm>
                          <a:prstGeom prst="rect">
                            <a:avLst/>
                          </a:prstGeom>
                          <a:noFill/>
                          <a:ln w="9525">
                            <a:noFill/>
                          </a:ln>
                        </pic:spPr>
                      </pic:pic>
                    </a:graphicData>
                  </a:graphic>
                </wp:inline>
              </w:drawing>
            </w:r>
          </w:p>
        </w:tc>
      </w:tr>
      <w:tr w14:paraId="3CC9D5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813B1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61021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B3D4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烧杯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FEA90D">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1．高硼硅玻璃材质；2．规格：50 mL。尺寸：外径42．0±1．0 mm，全高60.0±2．0 mm，壁厚≥0.8 mm，急冷温差不小于200 ℃；3．满容量应超过标称容量的10%，满容量和标称容量两液面间距≥10 mm；4．烧杯上标志应清晰、耐久，包括标称容量、刻度线、生产商名称或商标，应有一块宜用铅笔做标记的记号面积；5．造型规范、薄厚均匀、无明显偏斜，底部不允许有结石、节瘤存在；6．应力消除：在偏光仪下呈紫色；7． 放在平台上不应旋转或摇晃；8．当向外倾倒液体时，液体呈一束细流流出，不应外溢，不应沿壁外流。</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752C2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2194E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8B51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3810" b="7620"/>
                  <wp:docPr id="74" name="图片 120"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20" descr="IMG_336"/>
                          <pic:cNvPicPr>
                            <a:picLocks noChangeAspect="1"/>
                          </pic:cNvPicPr>
                        </pic:nvPicPr>
                        <pic:blipFill>
                          <a:blip r:embed="rId112"/>
                          <a:stretch>
                            <a:fillRect/>
                          </a:stretch>
                        </pic:blipFill>
                        <pic:spPr>
                          <a:xfrm>
                            <a:off x="0" y="0"/>
                            <a:ext cx="209550" cy="266700"/>
                          </a:xfrm>
                          <a:prstGeom prst="rect">
                            <a:avLst/>
                          </a:prstGeom>
                          <a:noFill/>
                          <a:ln w="9525">
                            <a:noFill/>
                          </a:ln>
                        </pic:spPr>
                      </pic:pic>
                    </a:graphicData>
                  </a:graphic>
                </wp:inline>
              </w:drawing>
            </w:r>
          </w:p>
        </w:tc>
      </w:tr>
      <w:tr w14:paraId="587C5B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A425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61022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FDC03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烧杯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37D8D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1．高硼硅玻璃材质；2．规格：100 mL。尺寸：外径50.0±1．0 mm，全高70.0±2．0 mm，壁厚≥0.9 mm，急冷温差不小于200 ℃；3．满容量应超过标称容量的10%，满容量和标称容量两液面间距≥10 mm；4．烧杯上标志应清晰、耐久，包括标称容量、刻度线、生产商名称或商标，应有一块宜用铅笔做标记的记号面积；5．造型规范、薄厚均匀、无明显偏斜，底部不允许有结石、节瘤存在；6．应力消除：在偏光仪下呈紫色；7． 放在平台上不应旋转或摇晃；8．当向外倾倒液体时，液体呈一束细流流出，不应外溢，不应沿壁外流。</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2958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EAF18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054C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3810" b="7620"/>
                  <wp:docPr id="51" name="图片 121"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1" descr="IMG_337"/>
                          <pic:cNvPicPr>
                            <a:picLocks noChangeAspect="1"/>
                          </pic:cNvPicPr>
                        </pic:nvPicPr>
                        <pic:blipFill>
                          <a:blip r:embed="rId112"/>
                          <a:stretch>
                            <a:fillRect/>
                          </a:stretch>
                        </pic:blipFill>
                        <pic:spPr>
                          <a:xfrm>
                            <a:off x="0" y="0"/>
                            <a:ext cx="209550" cy="266700"/>
                          </a:xfrm>
                          <a:prstGeom prst="rect">
                            <a:avLst/>
                          </a:prstGeom>
                          <a:noFill/>
                          <a:ln w="9525">
                            <a:noFill/>
                          </a:ln>
                        </pic:spPr>
                      </pic:pic>
                    </a:graphicData>
                  </a:graphic>
                </wp:inline>
              </w:drawing>
            </w:r>
          </w:p>
        </w:tc>
      </w:tr>
      <w:tr w14:paraId="3AE661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26A2E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61023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24158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烧杯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92F9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1．高硼硅玻璃材质；2．规格：250 mL。尺寸：外径70.0±2.0 mm，全高95.0±2.0 mm，壁厚≥1.1 mm，急冷温差不小于200 ℃；3．满容量应超过标称容量的10%，满容量和标称容量两液面间距≥10 mm；4．烧杯上标志应清晰、耐久，包括标称容量、刻度线、生产商名称或商标，应有一块宜用铅笔做标记的记号面积；5．造型规范、薄厚均匀、无明显偏斜，底部不允许有结石、节瘤存在；6．应力消除：在偏光仪下呈紫色；7． 放在平台上不应旋转或摇晃；8．当向外倾倒液体时，液体呈一束细流流出，不应外溢，不应沿壁外流。</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D7706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8BB6C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4C601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3810" b="7620"/>
                  <wp:docPr id="75" name="图片 122"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22" descr="IMG_338"/>
                          <pic:cNvPicPr>
                            <a:picLocks noChangeAspect="1"/>
                          </pic:cNvPicPr>
                        </pic:nvPicPr>
                        <pic:blipFill>
                          <a:blip r:embed="rId112"/>
                          <a:stretch>
                            <a:fillRect/>
                          </a:stretch>
                        </pic:blipFill>
                        <pic:spPr>
                          <a:xfrm>
                            <a:off x="0" y="0"/>
                            <a:ext cx="209550" cy="266700"/>
                          </a:xfrm>
                          <a:prstGeom prst="rect">
                            <a:avLst/>
                          </a:prstGeom>
                          <a:noFill/>
                          <a:ln w="9525">
                            <a:noFill/>
                          </a:ln>
                        </pic:spPr>
                      </pic:pic>
                    </a:graphicData>
                  </a:graphic>
                </wp:inline>
              </w:drawing>
            </w:r>
          </w:p>
        </w:tc>
      </w:tr>
      <w:tr w14:paraId="3030C0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57578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61024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01E1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烧杯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8C4319">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1．高硼硅玻璃材质；2．规格：500 mL。尺寸：外径85.0±2.0 mm，全高120.0±3.0 mm，壁厚≥1.2 mm，急冷温差不小于200 ℃；3．满容量应超过标称容量的10%，满容量和标称容量两液面间距≥10 mm；4．烧杯上标志应清晰、耐久，包括标称容量、刻度线、生产商名称或商标，应有一块宜用铅笔做标记的记号面积；5．造型规范、薄厚均匀、无明显偏斜，底部不允许有结石、节瘤存在；6．应力消除：在偏光仪下呈紫色；7． 放在平台上不应旋转或摇晃；8．当向外倾倒液体时，液体呈一束细流流出，不应外溢，不应沿壁外流。</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AD382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CD242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045B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3810" b="7620"/>
                  <wp:docPr id="73" name="图片 123"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23" descr="IMG_339"/>
                          <pic:cNvPicPr>
                            <a:picLocks noChangeAspect="1"/>
                          </pic:cNvPicPr>
                        </pic:nvPicPr>
                        <pic:blipFill>
                          <a:blip r:embed="rId112"/>
                          <a:stretch>
                            <a:fillRect/>
                          </a:stretch>
                        </pic:blipFill>
                        <pic:spPr>
                          <a:xfrm>
                            <a:off x="0" y="0"/>
                            <a:ext cx="209550" cy="266700"/>
                          </a:xfrm>
                          <a:prstGeom prst="rect">
                            <a:avLst/>
                          </a:prstGeom>
                          <a:noFill/>
                          <a:ln w="9525">
                            <a:noFill/>
                          </a:ln>
                        </pic:spPr>
                      </pic:pic>
                    </a:graphicData>
                  </a:graphic>
                </wp:inline>
              </w:drawing>
            </w:r>
          </w:p>
        </w:tc>
      </w:tr>
      <w:tr w14:paraId="1F3A44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963D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61037</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6EF6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烧瓶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D7F61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1．高硼硅玻璃材质；2．规格：平底，250 mL；尺寸：瓶身直径：88±2 mm；瓶底直径：44±1 mm；瓶颈外径：25±1 mm；瓶颈长88±3 mm；瓶身厚：不小于1．2 mm；细口球形平底烧瓶底的外径是壁部最大外径的50%；细口球形平底烧瓶颈与壁部的过渡半径等于颈外径的5%；3．底部小于0.5 mm能目测的节瘤，在10 mm×10 mm面积内不得超过2个；底部不允许存在结石，身部在10 mm×10 mm内不得有多于1个小于等于0.3 mm能目测的结石；薄皮气泡、破气泡不允许存在，径长小于0.5 mm能目测的气泡在10 mm×10 mm面积内不多于3个；4．制造烧瓶的玻璃应无色透明，允许带有玻璃本身的浅黄绿色；5．内应力双折射的光程差数值不应超过180 nm/cm；6．细口球形平底烧瓶放在平台上不应旋转或摇晃；7．烧瓶颈应上下粗细一致，不应有明显的弯曲，颈与壁部过渡半径约等于颈的半径，瓶口可以翻边或圆口；瓶口边缘应熔光，瓶口玻滴高小于等于1.5 mm8．不允许有严重的条纹存在，不允许有明显的能目测的铁锈、铁屑存在。</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C59E0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A908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65B58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90500" cy="266700"/>
                  <wp:effectExtent l="0" t="0" r="7620" b="7620"/>
                  <wp:docPr id="62" name="图片 124"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4" descr="IMG_340"/>
                          <pic:cNvPicPr>
                            <a:picLocks noChangeAspect="1"/>
                          </pic:cNvPicPr>
                        </pic:nvPicPr>
                        <pic:blipFill>
                          <a:blip r:embed="rId113"/>
                          <a:stretch>
                            <a:fillRect/>
                          </a:stretch>
                        </pic:blipFill>
                        <pic:spPr>
                          <a:xfrm>
                            <a:off x="0" y="0"/>
                            <a:ext cx="190500" cy="266700"/>
                          </a:xfrm>
                          <a:prstGeom prst="rect">
                            <a:avLst/>
                          </a:prstGeom>
                          <a:noFill/>
                          <a:ln w="9525">
                            <a:noFill/>
                          </a:ln>
                        </pic:spPr>
                      </pic:pic>
                    </a:graphicData>
                  </a:graphic>
                </wp:inline>
              </w:drawing>
            </w:r>
          </w:p>
        </w:tc>
      </w:tr>
      <w:tr w14:paraId="7AF64A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4"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D2D2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61041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5040F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锥形瓶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32CE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1．高硼硅玻璃材质；2．规格：锥形，100 mL。尺寸：瓶底直径：60±1 mm；瓶全高：103±3 mm；瓶身高79±2mm；小底径：42±1 mm；瓶颈内径：22±1 mm；颈高：24±2 mm；壁厚：不小于1 mm。3．底部小于0.5 mm能目测的节瘤，在10 mm×10 mm面积内不得超过2个；底部不允许存在结石，身部在10 mm×10 mm内不得有多于1个小于等于0.3 mm能目测的结石；薄皮气泡、破气泡不允许存在，径长小于0.5 mm能目测的气泡在10 mm×10 mm面积内不多于3个；4．制造烧瓶的玻璃应无色透明，允许带有玻璃本身的浅黄绿色；5．内应力双折射的光程差数值不应超过180 nm/cm；6．放在平台上不应旋转或摇晃；7．瓶口可以翻边或圆口；瓶口边缘应熔光，瓶口玻滴高小于等于1.5 mm8．不允许有严重的条纹存在，不允许有明显的能目测的铁锈、铁屑存在。</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1DD4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F89C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E0D8E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28600" cy="266700"/>
                  <wp:effectExtent l="0" t="0" r="0" b="7620"/>
                  <wp:docPr id="59" name="图片 125"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5" descr="IMG_341"/>
                          <pic:cNvPicPr>
                            <a:picLocks noChangeAspect="1"/>
                          </pic:cNvPicPr>
                        </pic:nvPicPr>
                        <pic:blipFill>
                          <a:blip r:embed="rId114"/>
                          <a:stretch>
                            <a:fillRect/>
                          </a:stretch>
                        </pic:blipFill>
                        <pic:spPr>
                          <a:xfrm>
                            <a:off x="0" y="0"/>
                            <a:ext cx="228600" cy="266700"/>
                          </a:xfrm>
                          <a:prstGeom prst="rect">
                            <a:avLst/>
                          </a:prstGeom>
                          <a:noFill/>
                          <a:ln w="9525">
                            <a:noFill/>
                          </a:ln>
                        </pic:spPr>
                      </pic:pic>
                    </a:graphicData>
                  </a:graphic>
                </wp:inline>
              </w:drawing>
            </w:r>
          </w:p>
        </w:tc>
      </w:tr>
      <w:tr w14:paraId="2F3D97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77EB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62001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0CFAD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酒精灯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30CE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透明钠钙玻璃材质，由灯座、灯塞、灯盖、灯芯组成；2． 规格：150 mL；尺寸：灯身高80 mm±10 mm；盖高：60 mm±3 mm；直径：灯肩82mm±2 mm；灯底50 mm±5 mm；灯盖22 mm±2 mm；厚度：约1.5 mm；3．玻璃仪器，正视应无色；或仅有玻璃本身的微浅黄绿色；4．玻璃仪器的口部都应经圆口（熔光）、卷边或磨砂处理；5．应力：应力仪观察下呈紫红色或部分扩散状兰色；6． 厚薄均匀，玻璃仪器的底部应平整，放在平台上不应旋转或摇晃；7． 酒精灯塞子塞不紧是正常的，塞紧了是危险的。</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0075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5281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67551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28600" cy="266700"/>
                  <wp:effectExtent l="0" t="0" r="0" b="7620"/>
                  <wp:docPr id="76" name="图片 126"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26" descr="IMG_342"/>
                          <pic:cNvPicPr>
                            <a:picLocks noChangeAspect="1"/>
                          </pic:cNvPicPr>
                        </pic:nvPicPr>
                        <pic:blipFill>
                          <a:blip r:embed="rId115"/>
                          <a:stretch>
                            <a:fillRect/>
                          </a:stretch>
                        </pic:blipFill>
                        <pic:spPr>
                          <a:xfrm>
                            <a:off x="0" y="0"/>
                            <a:ext cx="228600" cy="266700"/>
                          </a:xfrm>
                          <a:prstGeom prst="rect">
                            <a:avLst/>
                          </a:prstGeom>
                          <a:noFill/>
                          <a:ln w="9525">
                            <a:noFill/>
                          </a:ln>
                        </pic:spPr>
                      </pic:pic>
                    </a:graphicData>
                  </a:graphic>
                </wp:inline>
              </w:drawing>
            </w:r>
          </w:p>
        </w:tc>
      </w:tr>
      <w:tr w14:paraId="453DD8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747C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62031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C99A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漏斗</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8516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实验用玻璃仪器，漏斗口径：60±2mm；漏斗高：50±1mm；斗柄外径：7～8mm；斗柄长：60±5mm；漏斗角度：60°；厚度：≈1．5mm；2．理化性能，耐酸等级：1级；热稳定性：耐热温差不低于80℃；3．应力：在应力仪下观察呈紫红色或扩散状兰色；4. 口边光滑平整，不允许存在毛边，缺口及崩缺，角度正确，口边不得呈椭圆及不规则多边形，斗柄应垂直，下口应磨成45°角；5. 壁厚均匀，内壁光滑，斗柄接头处不允许严重折皱，斗柄偏离轴线不超过3－5mm。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13D89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C18B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E794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0025" cy="266700"/>
                  <wp:effectExtent l="0" t="0" r="13335" b="7620"/>
                  <wp:docPr id="65" name="图片 127"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27" descr="IMG_343"/>
                          <pic:cNvPicPr>
                            <a:picLocks noChangeAspect="1"/>
                          </pic:cNvPicPr>
                        </pic:nvPicPr>
                        <pic:blipFill>
                          <a:blip r:embed="rId116"/>
                          <a:stretch>
                            <a:fillRect/>
                          </a:stretch>
                        </pic:blipFill>
                        <pic:spPr>
                          <a:xfrm>
                            <a:off x="0" y="0"/>
                            <a:ext cx="200025" cy="266700"/>
                          </a:xfrm>
                          <a:prstGeom prst="rect">
                            <a:avLst/>
                          </a:prstGeom>
                          <a:noFill/>
                          <a:ln w="9525">
                            <a:noFill/>
                          </a:ln>
                        </pic:spPr>
                      </pic:pic>
                    </a:graphicData>
                  </a:graphic>
                </wp:inline>
              </w:drawing>
            </w:r>
          </w:p>
        </w:tc>
      </w:tr>
      <w:tr w14:paraId="376CDF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34258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62072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F792D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Y形管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6E65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1．实验用玻璃仪器；由灯工玻璃制造；弯管长：50±5mm；支管长：50±5mm；管厚：7～8mm；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全高：100±5mm；弯管角度：60°±3°；</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2．理化性能：耐水等级：1级；耐酸等级：1级；耐热等级：2级；</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3．色泽：无色透明略带微黄色；</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4．应力：呈紫红色或部分扩散状兰色；产品厚薄均匀，管口截位齐整，烘烧光平，焊接牢固，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两边支管对称。</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F8F06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D4138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CA4C9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47650" cy="266700"/>
                  <wp:effectExtent l="0" t="0" r="11430" b="7620"/>
                  <wp:docPr id="79" name="图片 128"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28" descr="IMG_344"/>
                          <pic:cNvPicPr>
                            <a:picLocks noChangeAspect="1"/>
                          </pic:cNvPicPr>
                        </pic:nvPicPr>
                        <pic:blipFill>
                          <a:blip r:embed="rId117"/>
                          <a:stretch>
                            <a:fillRect/>
                          </a:stretch>
                        </pic:blipFill>
                        <pic:spPr>
                          <a:xfrm>
                            <a:off x="0" y="0"/>
                            <a:ext cx="247650" cy="266700"/>
                          </a:xfrm>
                          <a:prstGeom prst="rect">
                            <a:avLst/>
                          </a:prstGeom>
                          <a:noFill/>
                          <a:ln w="9525">
                            <a:noFill/>
                          </a:ln>
                        </pic:spPr>
                      </pic:pic>
                    </a:graphicData>
                  </a:graphic>
                </wp:inline>
              </w:drawing>
            </w:r>
          </w:p>
        </w:tc>
      </w:tr>
      <w:tr w14:paraId="4F874E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2A3A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62073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52AC5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滴管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8EC6F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1．由玻璃滴管和胶头组成；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2．规格：150 mm；管身Φ7 mm～8 mm；管全长：150 mm±10 mm；喇叭口Φ10 mm±1 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3．球距上管口长：50 mm±5 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4．滴管喇叭口圆正、其圆度误差应小于3％，滴管球应厚薄均匀；</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5．产品应符合《玻璃仪器通用技术要求》。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4771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33166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3DA9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19075" cy="266700"/>
                  <wp:effectExtent l="0" t="0" r="9525" b="7620"/>
                  <wp:docPr id="77" name="图片 129"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29" descr="IMG_345"/>
                          <pic:cNvPicPr>
                            <a:picLocks noChangeAspect="1"/>
                          </pic:cNvPicPr>
                        </pic:nvPicPr>
                        <pic:blipFill>
                          <a:blip r:embed="rId118"/>
                          <a:stretch>
                            <a:fillRect/>
                          </a:stretch>
                        </pic:blipFill>
                        <pic:spPr>
                          <a:xfrm>
                            <a:off x="0" y="0"/>
                            <a:ext cx="219075" cy="266700"/>
                          </a:xfrm>
                          <a:prstGeom prst="rect">
                            <a:avLst/>
                          </a:prstGeom>
                          <a:noFill/>
                          <a:ln w="9525">
                            <a:noFill/>
                          </a:ln>
                        </pic:spPr>
                      </pic:pic>
                    </a:graphicData>
                  </a:graphic>
                </wp:inline>
              </w:drawing>
            </w:r>
          </w:p>
        </w:tc>
      </w:tr>
      <w:tr w14:paraId="309F7F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293B8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63002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E522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集气瓶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2CCC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教学实验用；2．规格：125mL；由磨口瓶和玻片组成；3．热稳定性：瓶子在80℃～100℃水中不破裂为准；4．应力：在偏光仪下观察呈紫红色或部分扩散状兰色；5．色泽：白色透明，微带黄或绿色；6．磨砂密合性：玻片和瓶磨口配合后旋转倒立，玻片不掉为准；瓶身光洁圆整，不得有扁瘪现象，瓶底平稳，不允许旋转缩颈和磨光的小缺口；7．符合JY00001—2003《教育学仪器产品一般质量要求》中的有关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B8B6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3EDD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BE90E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28600" cy="266700"/>
                  <wp:effectExtent l="0" t="0" r="0" b="7620"/>
                  <wp:docPr id="54" name="图片 130"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0" descr="IMG_346"/>
                          <pic:cNvPicPr>
                            <a:picLocks noChangeAspect="1"/>
                          </pic:cNvPicPr>
                        </pic:nvPicPr>
                        <pic:blipFill>
                          <a:blip r:embed="rId119"/>
                          <a:stretch>
                            <a:fillRect/>
                          </a:stretch>
                        </pic:blipFill>
                        <pic:spPr>
                          <a:xfrm>
                            <a:off x="0" y="0"/>
                            <a:ext cx="228600" cy="266700"/>
                          </a:xfrm>
                          <a:prstGeom prst="rect">
                            <a:avLst/>
                          </a:prstGeom>
                          <a:noFill/>
                          <a:ln w="9525">
                            <a:noFill/>
                          </a:ln>
                        </pic:spPr>
                      </pic:pic>
                    </a:graphicData>
                  </a:graphic>
                </wp:inline>
              </w:drawing>
            </w:r>
          </w:p>
        </w:tc>
      </w:tr>
      <w:tr w14:paraId="6B2A82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EC1E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64005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48D0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镊子</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6853BB">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1．教学实验用；2．用不锈钢制成；规格为125mm。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37865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CE2DD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B011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685800" cy="266700"/>
                  <wp:effectExtent l="0" t="0" r="0" b="0"/>
                  <wp:docPr id="63" name="图片 131"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1" descr="IMG_347"/>
                          <pic:cNvPicPr>
                            <a:picLocks noChangeAspect="1"/>
                          </pic:cNvPicPr>
                        </pic:nvPicPr>
                        <pic:blipFill>
                          <a:blip r:embed="rId120"/>
                          <a:stretch>
                            <a:fillRect/>
                          </a:stretch>
                        </pic:blipFill>
                        <pic:spPr>
                          <a:xfrm>
                            <a:off x="0" y="0"/>
                            <a:ext cx="685800" cy="266700"/>
                          </a:xfrm>
                          <a:prstGeom prst="rect">
                            <a:avLst/>
                          </a:prstGeom>
                          <a:noFill/>
                          <a:ln w="9525">
                            <a:noFill/>
                          </a:ln>
                        </pic:spPr>
                      </pic:pic>
                    </a:graphicData>
                  </a:graphic>
                </wp:inline>
              </w:drawing>
            </w:r>
          </w:p>
        </w:tc>
      </w:tr>
      <w:tr w14:paraId="3E82C0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67DFB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64006</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83EC4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试管夹</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22D52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供中学化学实验和小学教学实验用；2．本品由木料或竹子制作，由长臂和短臂及弹簧组成；3．外形尺寸180×20×11mm；4．弹簧由Φ1mm的弹簧钢丝制成；5．长短臂、头部，各有一半圆孔约为3mm，并贴上垫子；6．试管夹最大开度约为22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DCC56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97C4D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96CD1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81000" cy="266700"/>
                  <wp:effectExtent l="0" t="0" r="0" b="0"/>
                  <wp:docPr id="55" name="图片 132"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2" descr="IMG_348"/>
                          <pic:cNvPicPr>
                            <a:picLocks noChangeAspect="1"/>
                          </pic:cNvPicPr>
                        </pic:nvPicPr>
                        <pic:blipFill>
                          <a:blip r:embed="rId121"/>
                          <a:stretch>
                            <a:fillRect/>
                          </a:stretch>
                        </pic:blipFill>
                        <pic:spPr>
                          <a:xfrm>
                            <a:off x="0" y="0"/>
                            <a:ext cx="381000" cy="266700"/>
                          </a:xfrm>
                          <a:prstGeom prst="rect">
                            <a:avLst/>
                          </a:prstGeom>
                          <a:noFill/>
                          <a:ln w="9525">
                            <a:noFill/>
                          </a:ln>
                        </pic:spPr>
                      </pic:pic>
                    </a:graphicData>
                  </a:graphic>
                </wp:inline>
              </w:drawing>
            </w:r>
          </w:p>
        </w:tc>
      </w:tr>
      <w:tr w14:paraId="0091B6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3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D37F2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64032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F491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石棉网</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C8FA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1．产品由金属网和附在网上的石棉组成；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2．金属网由Φ0．1mm左右的钢丝编织而成，密度均匀，织网密度间距不大于2 mm，金属网</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为边长不小于125 mm的正方形，边缘应作卷边处理，不散网、不翘丝；</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3．金属网上所附石棉圈为双面附着的正圆形，直径不小于Φ100 mm，厚度为3 mm左右，要</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求不散、不裂、不脱落；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4．整体应平整、美观，不翘角。</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740C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8DCA6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E596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95275" cy="266700"/>
                  <wp:effectExtent l="0" t="0" r="9525" b="7620"/>
                  <wp:docPr id="67" name="图片 133"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33" descr="IMG_349"/>
                          <pic:cNvPicPr>
                            <a:picLocks noChangeAspect="1"/>
                          </pic:cNvPicPr>
                        </pic:nvPicPr>
                        <pic:blipFill>
                          <a:blip r:embed="rId122"/>
                          <a:stretch>
                            <a:fillRect/>
                          </a:stretch>
                        </pic:blipFill>
                        <pic:spPr>
                          <a:xfrm>
                            <a:off x="0" y="0"/>
                            <a:ext cx="295275" cy="266700"/>
                          </a:xfrm>
                          <a:prstGeom prst="rect">
                            <a:avLst/>
                          </a:prstGeom>
                          <a:noFill/>
                          <a:ln w="9525">
                            <a:noFill/>
                          </a:ln>
                        </pic:spPr>
                      </pic:pic>
                    </a:graphicData>
                  </a:graphic>
                </wp:inline>
              </w:drawing>
            </w:r>
          </w:p>
        </w:tc>
      </w:tr>
      <w:tr w14:paraId="71DFD9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ABE52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64041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CB11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燃烧匙</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192E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1．产品由半圆面和金属丝结合制成；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2．半圆面为铜材制造，直径Φ为25 mm左右。要求光滑无毛剌、圆润；</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3．金属丝用Φ3 mm的钢丝制造，长度为260 mm左右；</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4．半圆面与金属丝结合应牢固可靠，耐高温。</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CF484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2AAD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EF71A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85775" cy="266700"/>
                  <wp:effectExtent l="0" t="0" r="1905" b="0"/>
                  <wp:docPr id="82" name="图片 134"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34" descr="IMG_350"/>
                          <pic:cNvPicPr>
                            <a:picLocks noChangeAspect="1"/>
                          </pic:cNvPicPr>
                        </pic:nvPicPr>
                        <pic:blipFill>
                          <a:blip r:embed="rId123"/>
                          <a:stretch>
                            <a:fillRect/>
                          </a:stretch>
                        </pic:blipFill>
                        <pic:spPr>
                          <a:xfrm>
                            <a:off x="0" y="0"/>
                            <a:ext cx="485775" cy="266700"/>
                          </a:xfrm>
                          <a:prstGeom prst="rect">
                            <a:avLst/>
                          </a:prstGeom>
                          <a:noFill/>
                          <a:ln w="9525">
                            <a:noFill/>
                          </a:ln>
                        </pic:spPr>
                      </pic:pic>
                    </a:graphicData>
                  </a:graphic>
                </wp:inline>
              </w:drawing>
            </w:r>
          </w:p>
        </w:tc>
      </w:tr>
      <w:tr w14:paraId="602DCC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6EEDD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64042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647FA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药匙</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D281B">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1．供中学化学实验和小学教学实验用；2．本产品每组由大、中、小三把药匙组成，药匙的两端各有一个药勺；3．药匙材质：塑料；4．每组药匙规格应符合下面规格：大号药匙 ：全长147mm ，大勺长48mm，宽19mm，深10mm，中号药匙 ：全长141mm大勺长45mm，宽18mm，深 9mm，小号药匙 全长125mm，大勺长40mm，宽17mm，深 5mm。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3F603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B5854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6DBB7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90525" cy="266700"/>
                  <wp:effectExtent l="0" t="0" r="5715" b="6350"/>
                  <wp:docPr id="78" name="图片 135"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35" descr="IMG_351"/>
                          <pic:cNvPicPr>
                            <a:picLocks noChangeAspect="1"/>
                          </pic:cNvPicPr>
                        </pic:nvPicPr>
                        <pic:blipFill>
                          <a:blip r:embed="rId124"/>
                          <a:stretch>
                            <a:fillRect/>
                          </a:stretch>
                        </pic:blipFill>
                        <pic:spPr>
                          <a:xfrm>
                            <a:off x="0" y="0"/>
                            <a:ext cx="390525" cy="266700"/>
                          </a:xfrm>
                          <a:prstGeom prst="rect">
                            <a:avLst/>
                          </a:prstGeom>
                          <a:noFill/>
                          <a:ln w="9525">
                            <a:noFill/>
                          </a:ln>
                        </pic:spPr>
                      </pic:pic>
                    </a:graphicData>
                  </a:graphic>
                </wp:inline>
              </w:drawing>
            </w:r>
          </w:p>
        </w:tc>
      </w:tr>
      <w:tr w14:paraId="3E33BF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42CD7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64051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DC0C8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玻璃管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54EFD">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1、透明钠钙玻璃材质；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2、外径：Φ5mm～Φ6mm；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3、色泽：无色透明，允4、玻管厚薄均匀，不能出现大小头。</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B408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千克</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32AE7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E287E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66700" cy="266700"/>
                  <wp:effectExtent l="0" t="0" r="7620" b="7620"/>
                  <wp:docPr id="68" name="图片 136"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36" descr="IMG_352"/>
                          <pic:cNvPicPr>
                            <a:picLocks noChangeAspect="1"/>
                          </pic:cNvPicPr>
                        </pic:nvPicPr>
                        <pic:blipFill>
                          <a:blip r:embed="rId125"/>
                          <a:stretch>
                            <a:fillRect/>
                          </a:stretch>
                        </pic:blipFill>
                        <pic:spPr>
                          <a:xfrm>
                            <a:off x="0" y="0"/>
                            <a:ext cx="266700" cy="266700"/>
                          </a:xfrm>
                          <a:prstGeom prst="rect">
                            <a:avLst/>
                          </a:prstGeom>
                          <a:noFill/>
                          <a:ln w="9525">
                            <a:noFill/>
                          </a:ln>
                        </pic:spPr>
                      </pic:pic>
                    </a:graphicData>
                  </a:graphic>
                </wp:inline>
              </w:drawing>
            </w:r>
          </w:p>
        </w:tc>
      </w:tr>
      <w:tr w14:paraId="58E263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3363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64054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EE0D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玻璃棒</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994E3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1．教学实验用；2．实验用玻璃仪器； 玻璃棒组成； 玻璃棒长：500或1000mm； 玻璃棒外径Φ5～7±1mm；3．理化性能  耐水等级：1级  耐酸等级：1级  耐碱等级：2级4．应力：在偏光仪中呈兰色；5．玻璃棒要圆、直径均匀、不能粗细不匀、无气泡，头部应做熔光处理；6．符合JY00001—2003《教学仪器产品一般质量要求》中的有关规定。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D3C09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F86D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A5B31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23825" cy="266700"/>
                  <wp:effectExtent l="0" t="0" r="13335" b="7620"/>
                  <wp:docPr id="52" name="图片 137"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37" descr="IMG_353"/>
                          <pic:cNvPicPr>
                            <a:picLocks noChangeAspect="1"/>
                          </pic:cNvPicPr>
                        </pic:nvPicPr>
                        <pic:blipFill>
                          <a:blip r:embed="rId126"/>
                          <a:stretch>
                            <a:fillRect/>
                          </a:stretch>
                        </pic:blipFill>
                        <pic:spPr>
                          <a:xfrm>
                            <a:off x="0" y="0"/>
                            <a:ext cx="123825" cy="266700"/>
                          </a:xfrm>
                          <a:prstGeom prst="rect">
                            <a:avLst/>
                          </a:prstGeom>
                          <a:noFill/>
                          <a:ln w="9525">
                            <a:noFill/>
                          </a:ln>
                        </pic:spPr>
                      </pic:pic>
                    </a:graphicData>
                  </a:graphic>
                </wp:inline>
              </w:drawing>
            </w:r>
          </w:p>
        </w:tc>
      </w:tr>
      <w:tr w14:paraId="6AFE39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57719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64062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8D2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橡胶管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19D4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1.产品用优质天然橡胶制造；2. 产品内径为7~8 mm，壁厚1  mm；3. 产品每整根之重量应不少于1㎏；4.产品应符合国标GB1189-81《胶管外观质量》的规定。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979C3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公斤</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998D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73AB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04800" cy="266700"/>
                  <wp:effectExtent l="0" t="0" r="0" b="6350"/>
                  <wp:docPr id="71" name="图片 138"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38" descr="IMG_354"/>
                          <pic:cNvPicPr>
                            <a:picLocks noChangeAspect="1"/>
                          </pic:cNvPicPr>
                        </pic:nvPicPr>
                        <pic:blipFill>
                          <a:blip r:embed="rId127"/>
                          <a:stretch>
                            <a:fillRect/>
                          </a:stretch>
                        </pic:blipFill>
                        <pic:spPr>
                          <a:xfrm>
                            <a:off x="0" y="0"/>
                            <a:ext cx="304800" cy="266700"/>
                          </a:xfrm>
                          <a:prstGeom prst="rect">
                            <a:avLst/>
                          </a:prstGeom>
                          <a:noFill/>
                          <a:ln w="9525">
                            <a:noFill/>
                          </a:ln>
                        </pic:spPr>
                      </pic:pic>
                    </a:graphicData>
                  </a:graphic>
                </wp:inline>
              </w:drawing>
            </w:r>
          </w:p>
        </w:tc>
      </w:tr>
      <w:tr w14:paraId="1E0B6E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10AA3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64065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9E56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橡胶塞</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12A406">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1.产品用天然橡胶制造，白色；2.每包软胶塞由0~12号的胶塞组成，要求搭配合理；3.产品每包重量应不少于1㎏。</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FA22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公斤</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F5A0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5C5EC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33375" cy="266700"/>
                  <wp:effectExtent l="0" t="0" r="0" b="6985"/>
                  <wp:docPr id="80" name="图片 139"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39" descr="IMG_355"/>
                          <pic:cNvPicPr>
                            <a:picLocks noChangeAspect="1"/>
                          </pic:cNvPicPr>
                        </pic:nvPicPr>
                        <pic:blipFill>
                          <a:blip r:embed="rId128"/>
                          <a:stretch>
                            <a:fillRect/>
                          </a:stretch>
                        </pic:blipFill>
                        <pic:spPr>
                          <a:xfrm>
                            <a:off x="0" y="0"/>
                            <a:ext cx="333375" cy="266700"/>
                          </a:xfrm>
                          <a:prstGeom prst="rect">
                            <a:avLst/>
                          </a:prstGeom>
                          <a:noFill/>
                          <a:ln w="9525">
                            <a:noFill/>
                          </a:ln>
                        </pic:spPr>
                      </pic:pic>
                    </a:graphicData>
                  </a:graphic>
                </wp:inline>
              </w:drawing>
            </w:r>
          </w:p>
        </w:tc>
      </w:tr>
      <w:tr w14:paraId="79B6E2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6ADE6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64071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DDF0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试管刷</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C8B16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1．供教学实验用；2．本品由铁丝及猪鬃两部分组成；3．猪鬃均匀夹在铁丝上，要求牢固、整齐；4．总长约18cm；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1BDC0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2FE95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7482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66725" cy="266700"/>
                  <wp:effectExtent l="0" t="0" r="5715" b="7620"/>
                  <wp:docPr id="69" name="图片 140"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40" descr="IMG_356"/>
                          <pic:cNvPicPr>
                            <a:picLocks noChangeAspect="1"/>
                          </pic:cNvPicPr>
                        </pic:nvPicPr>
                        <pic:blipFill>
                          <a:blip r:embed="rId129"/>
                          <a:stretch>
                            <a:fillRect/>
                          </a:stretch>
                        </pic:blipFill>
                        <pic:spPr>
                          <a:xfrm>
                            <a:off x="0" y="0"/>
                            <a:ext cx="466725" cy="266700"/>
                          </a:xfrm>
                          <a:prstGeom prst="rect">
                            <a:avLst/>
                          </a:prstGeom>
                          <a:noFill/>
                          <a:ln w="9525">
                            <a:noFill/>
                          </a:ln>
                        </pic:spPr>
                      </pic:pic>
                    </a:graphicData>
                  </a:graphic>
                </wp:inline>
              </w:drawing>
            </w:r>
          </w:p>
        </w:tc>
      </w:tr>
      <w:tr w14:paraId="713DAB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4DFA5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64072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9DF41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烧瓶刷</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0BD4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1．供教学实验用；2．本品由铁丝及猪鬃两部分组成；3．猪鬃均匀夹在铁丝上，要求牢固、整齐；4．总长约27cm；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B9663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97B2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4CBF2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23850" cy="266700"/>
                  <wp:effectExtent l="0" t="0" r="11430" b="7620"/>
                  <wp:docPr id="70" name="图片 141"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41" descr="IMG_357"/>
                          <pic:cNvPicPr>
                            <a:picLocks noChangeAspect="1"/>
                          </pic:cNvPicPr>
                        </pic:nvPicPr>
                        <pic:blipFill>
                          <a:blip r:embed="rId130"/>
                          <a:stretch>
                            <a:fillRect/>
                          </a:stretch>
                        </pic:blipFill>
                        <pic:spPr>
                          <a:xfrm>
                            <a:off x="0" y="0"/>
                            <a:ext cx="323850" cy="266700"/>
                          </a:xfrm>
                          <a:prstGeom prst="rect">
                            <a:avLst/>
                          </a:prstGeom>
                          <a:noFill/>
                          <a:ln w="9525">
                            <a:noFill/>
                          </a:ln>
                        </pic:spPr>
                      </pic:pic>
                    </a:graphicData>
                  </a:graphic>
                </wp:inline>
              </w:drawing>
            </w:r>
          </w:p>
        </w:tc>
      </w:tr>
      <w:tr w14:paraId="73EDA4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77321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64085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A4B9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培养皿</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1857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1．教学实验用；2 ．实验用玻璃仪器，100mm ，由器盖、器底组成；底外径： 100 ± 5mm ； 盖外径：110±0.5mm；底高：22±1mm；盖高：20±2mm；底盖厚：1．5～2mm；底盖单重：0.30～0.35kg;3．色泽：无色透明、允许略带微黄色；4．理化性能：  耐水等级：1级耐热等级：2级  耐碱等级：1级耐酸等级：1级5．应力：呈紫红色或部分扩散状兰色；6．产品厚薄均匀，底部平整，口部平磨细密光滑，口应磨平；7．符合JY00001—2003《教学仪器产品一般质量要求》中的有关规定。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3F56A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3AFB1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F12DA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33400" cy="266700"/>
                  <wp:effectExtent l="0" t="0" r="0" b="7620"/>
                  <wp:docPr id="81" name="图片 142"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42" descr="IMG_358"/>
                          <pic:cNvPicPr>
                            <a:picLocks noChangeAspect="1"/>
                          </pic:cNvPicPr>
                        </pic:nvPicPr>
                        <pic:blipFill>
                          <a:blip r:embed="rId131"/>
                          <a:stretch>
                            <a:fillRect/>
                          </a:stretch>
                        </pic:blipFill>
                        <pic:spPr>
                          <a:xfrm>
                            <a:off x="0" y="0"/>
                            <a:ext cx="533400" cy="266700"/>
                          </a:xfrm>
                          <a:prstGeom prst="rect">
                            <a:avLst/>
                          </a:prstGeom>
                          <a:noFill/>
                          <a:ln w="9525">
                            <a:noFill/>
                          </a:ln>
                        </pic:spPr>
                      </pic:pic>
                    </a:graphicData>
                  </a:graphic>
                </wp:inline>
              </w:drawing>
            </w:r>
          </w:p>
        </w:tc>
      </w:tr>
      <w:tr w14:paraId="47C345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2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48C17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64088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C223F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蒸发皿</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21D2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．实验用加热仪器直径 60mm，陶瓷制造，附铁圈； 蒸发皿高：27mm ；壁厚： 2 ～2.5mm； 蒸发皿容积35mL；蒸发皿尺寸的偏差为：基本尺寸小于或等于15mm时，极限偏差为±l；基本尺寸大于15mm且小于100mm时，极限偏差按基本尺寸的±3.5%计算；基本尺寸大干或等于100mm时，极限偏差按基本尺寸的±3%计算；2．口圆整、光滑，不得有缺口，厚薄均匀，底部平整，不凸凹，放置平面不摇晃，器身不扁瘪；3．蒸发皿的形状应规整，不得有裂纹和妨碍使用的熔洞、斑点、缺釉等缺陷；4．吸水率：不大于0.3 %；5．釉的耐酸性：带釉蒸发皿内表面釉的损失量不大干0.01mg/cm2；6．釉的高温粘结性：将带釉蒸发皿加热至900℃时，不出现釉粘结现象；7．热稳定性：产品在高于室温230℃至室温的水中热交换一次，不出现裂痕或色斑；8．按使用温度可分为：带釉蒸发皿和无釉蒸发皿。带釉蒸发皿使用温度不高于1000℃，无釉蒸发皿使用温度不高于1250℃ 。</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98659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D312A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8FF35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76225" cy="266700"/>
                  <wp:effectExtent l="0" t="0" r="0" b="0"/>
                  <wp:docPr id="72" name="图片 143" descr="IMG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43" descr="IMG_359"/>
                          <pic:cNvPicPr>
                            <a:picLocks noChangeAspect="1"/>
                          </pic:cNvPicPr>
                        </pic:nvPicPr>
                        <pic:blipFill>
                          <a:blip r:embed="rId132"/>
                          <a:stretch>
                            <a:fillRect/>
                          </a:stretch>
                        </pic:blipFill>
                        <pic:spPr>
                          <a:xfrm>
                            <a:off x="0" y="0"/>
                            <a:ext cx="276225" cy="266700"/>
                          </a:xfrm>
                          <a:prstGeom prst="rect">
                            <a:avLst/>
                          </a:prstGeom>
                          <a:noFill/>
                          <a:ln w="9525">
                            <a:noFill/>
                          </a:ln>
                        </pic:spPr>
                      </pic:pic>
                    </a:graphicData>
                  </a:graphic>
                </wp:inline>
              </w:drawing>
            </w:r>
          </w:p>
        </w:tc>
      </w:tr>
      <w:tr w14:paraId="67972F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0A19A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64097</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E45CE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塑料量杯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614CB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小学科学实验用；2．规格：500mL；3．采用高强度聚丙烯PPR-4912料；4．杯体采用双面刻度线，每格分度为50mL；5．带手柄，微广口设计带导液嘴，上口直径96mm，下口直径84mm，高105mm；6．符合JY00001—2003《教学仪器产品一般质量要求》中的有关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B57A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AC25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2C12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47650" cy="266700"/>
                  <wp:effectExtent l="0" t="0" r="11430" b="7620"/>
                  <wp:docPr id="56" name="图片 144" descr="IMG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44" descr="IMG_360"/>
                          <pic:cNvPicPr>
                            <a:picLocks noChangeAspect="1"/>
                          </pic:cNvPicPr>
                        </pic:nvPicPr>
                        <pic:blipFill>
                          <a:blip r:embed="rId133"/>
                          <a:stretch>
                            <a:fillRect/>
                          </a:stretch>
                        </pic:blipFill>
                        <pic:spPr>
                          <a:xfrm>
                            <a:off x="0" y="0"/>
                            <a:ext cx="247650" cy="266700"/>
                          </a:xfrm>
                          <a:prstGeom prst="rect">
                            <a:avLst/>
                          </a:prstGeom>
                          <a:noFill/>
                          <a:ln w="9525">
                            <a:noFill/>
                          </a:ln>
                        </pic:spPr>
                      </pic:pic>
                    </a:graphicData>
                  </a:graphic>
                </wp:inline>
              </w:drawing>
            </w:r>
          </w:p>
        </w:tc>
      </w:tr>
      <w:tr w14:paraId="36A3F0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0C2A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64098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6D01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塑料水槽</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B9631">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长方形透明水槽里口尺寸不小于：250×180×100mm，壁厚≥2mm，上下梯度≤3mm，四周圆角≤R5mm。槽壁不得有明显的不平，各边上口的不直度≤2mm。2．水槽应不因温度和盛水时重力的影响而发生形变（水温40℃）。3．水槽应能在高度1M处自由下落于水泥地面时不碎裂。4．符合JY53-80《塑料水槽技术条件》的有关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9BF17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CDF5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5AE12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95300" cy="314325"/>
                  <wp:effectExtent l="0" t="0" r="7620" b="5715"/>
                  <wp:docPr id="57" name="图片 145" descr="IMG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45" descr="IMG_361"/>
                          <pic:cNvPicPr>
                            <a:picLocks noChangeAspect="1"/>
                          </pic:cNvPicPr>
                        </pic:nvPicPr>
                        <pic:blipFill>
                          <a:blip r:embed="rId56"/>
                          <a:stretch>
                            <a:fillRect/>
                          </a:stretch>
                        </pic:blipFill>
                        <pic:spPr>
                          <a:xfrm>
                            <a:off x="0" y="0"/>
                            <a:ext cx="495300" cy="314325"/>
                          </a:xfrm>
                          <a:prstGeom prst="rect">
                            <a:avLst/>
                          </a:prstGeom>
                          <a:noFill/>
                          <a:ln w="9525">
                            <a:noFill/>
                          </a:ln>
                        </pic:spPr>
                      </pic:pic>
                    </a:graphicData>
                  </a:graphic>
                </wp:inline>
              </w:drawing>
            </w:r>
          </w:p>
        </w:tc>
      </w:tr>
      <w:tr w14:paraId="243A25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53F5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70088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59966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硫酸铝钾（明矾）</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88CF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试剂.AR.500g</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82C64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克</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B5957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1000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0B1B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76225" cy="266700"/>
                  <wp:effectExtent l="0" t="0" r="13335" b="7620"/>
                  <wp:docPr id="85" name="图片 146" descr="IMG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46" descr="IMG_362"/>
                          <pic:cNvPicPr>
                            <a:picLocks noChangeAspect="1"/>
                          </pic:cNvPicPr>
                        </pic:nvPicPr>
                        <pic:blipFill>
                          <a:blip r:embed="rId134"/>
                          <a:stretch>
                            <a:fillRect/>
                          </a:stretch>
                        </pic:blipFill>
                        <pic:spPr>
                          <a:xfrm>
                            <a:off x="0" y="0"/>
                            <a:ext cx="276225" cy="266700"/>
                          </a:xfrm>
                          <a:prstGeom prst="rect">
                            <a:avLst/>
                          </a:prstGeom>
                          <a:noFill/>
                          <a:ln w="9525">
                            <a:noFill/>
                          </a:ln>
                        </pic:spPr>
                      </pic:pic>
                    </a:graphicData>
                  </a:graphic>
                </wp:inline>
              </w:drawing>
            </w:r>
          </w:p>
        </w:tc>
      </w:tr>
      <w:tr w14:paraId="674D14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7"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89CB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72025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4839B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酒精</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6547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工业，95%</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CC726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千克</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4C49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3CCE4A">
            <w:pPr>
              <w:jc w:val="center"/>
              <w:rPr>
                <w:rFonts w:hint="eastAsia" w:ascii="宋体" w:hAnsi="宋体" w:eastAsia="宋体" w:cs="宋体"/>
                <w:b w:val="0"/>
                <w:bCs w:val="0"/>
                <w:i w:val="0"/>
                <w:iCs w:val="0"/>
                <w:color w:val="auto"/>
                <w:sz w:val="22"/>
                <w:szCs w:val="22"/>
                <w:highlight w:val="none"/>
                <w:u w:val="none"/>
              </w:rPr>
            </w:pPr>
          </w:p>
        </w:tc>
      </w:tr>
      <w:tr w14:paraId="22FAE4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8"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1CBA6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72061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E350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pH广范围试纸</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805C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1～14</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7B79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本</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6C097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50845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00050" cy="266700"/>
                  <wp:effectExtent l="0" t="0" r="0" b="6350"/>
                  <wp:docPr id="84" name="图片 147" descr="IMG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47" descr="IMG_363"/>
                          <pic:cNvPicPr>
                            <a:picLocks noChangeAspect="1"/>
                          </pic:cNvPicPr>
                        </pic:nvPicPr>
                        <pic:blipFill>
                          <a:blip r:embed="rId135"/>
                          <a:stretch>
                            <a:fillRect/>
                          </a:stretch>
                        </pic:blipFill>
                        <pic:spPr>
                          <a:xfrm>
                            <a:off x="0" y="0"/>
                            <a:ext cx="400050" cy="266700"/>
                          </a:xfrm>
                          <a:prstGeom prst="rect">
                            <a:avLst/>
                          </a:prstGeom>
                          <a:noFill/>
                          <a:ln w="9525">
                            <a:noFill/>
                          </a:ln>
                        </pic:spPr>
                      </pic:pic>
                    </a:graphicData>
                  </a:graphic>
                </wp:inline>
              </w:drawing>
            </w:r>
          </w:p>
        </w:tc>
      </w:tr>
      <w:tr w14:paraId="2CDC17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C4503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80901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1BAB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小学科学一般实验材料</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F735D">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蜡纸、锡箔纸、塑料手套、塑料管、毛细管、种子、橡皮泥、种植土、过滤纸、导线、碘酒、蜡烛、透明塑料袋、不透明塑料袋、棉布、吸管、食用油、食盐、食糖、气球、方格纸、松香等</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22A25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D934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22BE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04800" cy="266700"/>
                  <wp:effectExtent l="0" t="0" r="0" b="6985"/>
                  <wp:docPr id="60" name="图片 148" descr="IMG_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48" descr="IMG_364"/>
                          <pic:cNvPicPr>
                            <a:picLocks noChangeAspect="1"/>
                          </pic:cNvPicPr>
                        </pic:nvPicPr>
                        <pic:blipFill>
                          <a:blip r:embed="rId136"/>
                          <a:stretch>
                            <a:fillRect/>
                          </a:stretch>
                        </pic:blipFill>
                        <pic:spPr>
                          <a:xfrm>
                            <a:off x="0" y="0"/>
                            <a:ext cx="304800" cy="266700"/>
                          </a:xfrm>
                          <a:prstGeom prst="rect">
                            <a:avLst/>
                          </a:prstGeom>
                          <a:noFill/>
                          <a:ln w="9525">
                            <a:noFill/>
                          </a:ln>
                        </pic:spPr>
                      </pic:pic>
                    </a:graphicData>
                  </a:graphic>
                </wp:inline>
              </w:drawing>
            </w:r>
          </w:p>
        </w:tc>
      </w:tr>
      <w:tr w14:paraId="1DF80B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19C43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80302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E2371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载玻片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D07716">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玻璃制品，76*25MM,50PCS/盒。</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D167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盒</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C2D44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FE14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90525" cy="266700"/>
                  <wp:effectExtent l="0" t="0" r="5715" b="7620"/>
                  <wp:docPr id="83" name="图片 149" descr="IMG_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49" descr="IMG_365"/>
                          <pic:cNvPicPr>
                            <a:picLocks noChangeAspect="1"/>
                          </pic:cNvPicPr>
                        </pic:nvPicPr>
                        <pic:blipFill>
                          <a:blip r:embed="rId137"/>
                          <a:stretch>
                            <a:fillRect/>
                          </a:stretch>
                        </pic:blipFill>
                        <pic:spPr>
                          <a:xfrm>
                            <a:off x="0" y="0"/>
                            <a:ext cx="390525" cy="266700"/>
                          </a:xfrm>
                          <a:prstGeom prst="rect">
                            <a:avLst/>
                          </a:prstGeom>
                          <a:noFill/>
                          <a:ln w="9525">
                            <a:noFill/>
                          </a:ln>
                        </pic:spPr>
                      </pic:pic>
                    </a:graphicData>
                  </a:graphic>
                </wp:inline>
              </w:drawing>
            </w:r>
          </w:p>
        </w:tc>
      </w:tr>
      <w:tr w14:paraId="1B15A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608A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80303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3248E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盖玻片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EEFFB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玻璃制品，18*18MM,50PCS/盒。</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4FB08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包</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2445E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862BA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90525" cy="266700"/>
                  <wp:effectExtent l="0" t="0" r="5715" b="7620"/>
                  <wp:docPr id="164" name="图片 150" descr="IMG_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50" descr="IMG_366"/>
                          <pic:cNvPicPr>
                            <a:picLocks noChangeAspect="1"/>
                          </pic:cNvPicPr>
                        </pic:nvPicPr>
                        <pic:blipFill>
                          <a:blip r:embed="rId138"/>
                          <a:stretch>
                            <a:fillRect/>
                          </a:stretch>
                        </pic:blipFill>
                        <pic:spPr>
                          <a:xfrm>
                            <a:off x="0" y="0"/>
                            <a:ext cx="390525" cy="266700"/>
                          </a:xfrm>
                          <a:prstGeom prst="rect">
                            <a:avLst/>
                          </a:prstGeom>
                          <a:noFill/>
                          <a:ln w="9525">
                            <a:noFill/>
                          </a:ln>
                        </pic:spPr>
                      </pic:pic>
                    </a:graphicData>
                  </a:graphic>
                </wp:inline>
              </w:drawing>
            </w:r>
          </w:p>
        </w:tc>
      </w:tr>
      <w:tr w14:paraId="2E4ED8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3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255D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3B57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一字螺丝刀</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A3C0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1．规格1 mm×5 mm×150 mm，头部尺寸：宽5 mm，厚1 mm。工作长度：150 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2．旋杆采用45#钢，工作部硬度不低于HRC48。手柄采用绝缘材质，外形根据人体工程学设</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计，手感舒适；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3．旋杆应经镀铬防锈处理；</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4．旋柄为硬质塑料制成，表面光洁、无毛刺，无缩迹。与旋杆接合牢固，并有产品标记及</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标准编号。</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9839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20BE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E754F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638175" cy="266700"/>
                  <wp:effectExtent l="0" t="0" r="0" b="0"/>
                  <wp:docPr id="158" name="图片 151" descr="IMG_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1" descr="IMG_367"/>
                          <pic:cNvPicPr>
                            <a:picLocks noChangeAspect="1"/>
                          </pic:cNvPicPr>
                        </pic:nvPicPr>
                        <pic:blipFill>
                          <a:blip r:embed="rId139"/>
                          <a:stretch>
                            <a:fillRect/>
                          </a:stretch>
                        </pic:blipFill>
                        <pic:spPr>
                          <a:xfrm>
                            <a:off x="0" y="0"/>
                            <a:ext cx="638175" cy="266700"/>
                          </a:xfrm>
                          <a:prstGeom prst="rect">
                            <a:avLst/>
                          </a:prstGeom>
                          <a:noFill/>
                          <a:ln w="9525">
                            <a:noFill/>
                          </a:ln>
                        </pic:spPr>
                      </pic:pic>
                    </a:graphicData>
                  </a:graphic>
                </wp:inline>
              </w:drawing>
            </w:r>
          </w:p>
        </w:tc>
      </w:tr>
      <w:tr w14:paraId="4FBC35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F853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81003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F15C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十字螺丝刀</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E1343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φ6mm，长150mm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0F62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2C718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B736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04825" cy="266700"/>
                  <wp:effectExtent l="0" t="0" r="0" b="0"/>
                  <wp:docPr id="168" name="图片 152" descr="IMG_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52" descr="IMG_368"/>
                          <pic:cNvPicPr>
                            <a:picLocks noChangeAspect="1"/>
                          </pic:cNvPicPr>
                        </pic:nvPicPr>
                        <pic:blipFill>
                          <a:blip r:embed="rId140"/>
                          <a:stretch>
                            <a:fillRect/>
                          </a:stretch>
                        </pic:blipFill>
                        <pic:spPr>
                          <a:xfrm>
                            <a:off x="0" y="0"/>
                            <a:ext cx="504825" cy="266700"/>
                          </a:xfrm>
                          <a:prstGeom prst="rect">
                            <a:avLst/>
                          </a:prstGeom>
                          <a:noFill/>
                          <a:ln w="9525">
                            <a:noFill/>
                          </a:ln>
                        </pic:spPr>
                      </pic:pic>
                    </a:graphicData>
                  </a:graphic>
                </wp:inline>
              </w:drawing>
            </w:r>
          </w:p>
        </w:tc>
      </w:tr>
      <w:tr w14:paraId="30C235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FFB0B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81004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56863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尖嘴钳</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DCB025">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 6寸，150mm，采用45号高碳钢精工铸造，整体精抛光、热处理，钳口高频淬火，硬度45-48HRC，PVC全新料环保手柄；</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142A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98D7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3851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09575" cy="266700"/>
                  <wp:effectExtent l="0" t="0" r="1905" b="7620"/>
                  <wp:docPr id="166" name="图片 153" descr="IMG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53" descr="IMG_369"/>
                          <pic:cNvPicPr>
                            <a:picLocks noChangeAspect="1"/>
                          </pic:cNvPicPr>
                        </pic:nvPicPr>
                        <pic:blipFill>
                          <a:blip r:embed="rId141"/>
                          <a:stretch>
                            <a:fillRect/>
                          </a:stretch>
                        </pic:blipFill>
                        <pic:spPr>
                          <a:xfrm>
                            <a:off x="0" y="0"/>
                            <a:ext cx="409575" cy="266700"/>
                          </a:xfrm>
                          <a:prstGeom prst="rect">
                            <a:avLst/>
                          </a:prstGeom>
                          <a:noFill/>
                          <a:ln w="9525">
                            <a:noFill/>
                          </a:ln>
                        </pic:spPr>
                      </pic:pic>
                    </a:graphicData>
                  </a:graphic>
                </wp:inline>
              </w:drawing>
            </w:r>
          </w:p>
        </w:tc>
      </w:tr>
      <w:tr w14:paraId="488120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40902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81008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868FF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木工锯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BA28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优质钢材精功锻造，高频淬火，锯齿锋利，带把手锯</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63C06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6AC46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656F8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714375" cy="266700"/>
                  <wp:effectExtent l="0" t="0" r="1905" b="7620"/>
                  <wp:docPr id="172" name="图片 154" descr="IMG_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54" descr="IMG_370"/>
                          <pic:cNvPicPr>
                            <a:picLocks noChangeAspect="1"/>
                          </pic:cNvPicPr>
                        </pic:nvPicPr>
                        <pic:blipFill>
                          <a:blip r:embed="rId142"/>
                          <a:stretch>
                            <a:fillRect/>
                          </a:stretch>
                        </pic:blipFill>
                        <pic:spPr>
                          <a:xfrm>
                            <a:off x="0" y="0"/>
                            <a:ext cx="714375" cy="266700"/>
                          </a:xfrm>
                          <a:prstGeom prst="rect">
                            <a:avLst/>
                          </a:prstGeom>
                          <a:noFill/>
                          <a:ln w="9525">
                            <a:noFill/>
                          </a:ln>
                        </pic:spPr>
                      </pic:pic>
                    </a:graphicData>
                  </a:graphic>
                </wp:inline>
              </w:drawing>
            </w:r>
          </w:p>
        </w:tc>
      </w:tr>
      <w:tr w14:paraId="67936A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18B5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81012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556A6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钢手锯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B1036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规格：锯架460mm，锯条300mm，由钢锯架、钢锯条组成；2．产品材料采用钢板制，调节式，最小锯切深度不小于64mm；3．前、后固定销与相应孔的配合间隙不得大于0.3mm；4．安装锯条后，锯条中心平面与锯架中心平面的平行度不得大于2mm；5．锯架在达到900N拉力历经1min后，不应有永久变形，拉钉不得松动脱落；6．钢板制锯架在达到900N张力时，侧弯不得超过1．8mm；7．手柄握捏部位应光滑舒适；采用钢材、塑料、木料及合金等材料；8．锯架表面不应有裂纹，锈渍、毛刺、剥落等缺陷，表面处理色泽一致；</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91B7F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把</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95277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D147D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619125" cy="266700"/>
                  <wp:effectExtent l="0" t="0" r="0" b="0"/>
                  <wp:docPr id="169" name="图片 155" descr="IMG_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55" descr="IMG_371"/>
                          <pic:cNvPicPr>
                            <a:picLocks noChangeAspect="1"/>
                          </pic:cNvPicPr>
                        </pic:nvPicPr>
                        <pic:blipFill>
                          <a:blip r:embed="rId143"/>
                          <a:stretch>
                            <a:fillRect/>
                          </a:stretch>
                        </pic:blipFill>
                        <pic:spPr>
                          <a:xfrm>
                            <a:off x="0" y="0"/>
                            <a:ext cx="619125" cy="266700"/>
                          </a:xfrm>
                          <a:prstGeom prst="rect">
                            <a:avLst/>
                          </a:prstGeom>
                          <a:noFill/>
                          <a:ln w="9525">
                            <a:noFill/>
                          </a:ln>
                        </pic:spPr>
                      </pic:pic>
                    </a:graphicData>
                  </a:graphic>
                </wp:inline>
              </w:drawing>
            </w:r>
          </w:p>
        </w:tc>
      </w:tr>
      <w:tr w14:paraId="754D62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787F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81014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84FAA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钢丝钳</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BD489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1．8寸，200 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2．采用45号高碳钢精工铸造，整体精抛光、热处理，钳口高频淬火，硬度45～48HRC，PVC</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全新料环保手柄；</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843F6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DC79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4FB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81000" cy="266700"/>
                  <wp:effectExtent l="0" t="0" r="0" b="0"/>
                  <wp:docPr id="160" name="图片 156" descr="IMG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56" descr="IMG_372"/>
                          <pic:cNvPicPr>
                            <a:picLocks noChangeAspect="1"/>
                          </pic:cNvPicPr>
                        </pic:nvPicPr>
                        <pic:blipFill>
                          <a:blip r:embed="rId144"/>
                          <a:stretch>
                            <a:fillRect/>
                          </a:stretch>
                        </pic:blipFill>
                        <pic:spPr>
                          <a:xfrm>
                            <a:off x="0" y="0"/>
                            <a:ext cx="381000" cy="266700"/>
                          </a:xfrm>
                          <a:prstGeom prst="rect">
                            <a:avLst/>
                          </a:prstGeom>
                          <a:noFill/>
                          <a:ln w="9525">
                            <a:noFill/>
                          </a:ln>
                        </pic:spPr>
                      </pic:pic>
                    </a:graphicData>
                  </a:graphic>
                </wp:inline>
              </w:drawing>
            </w:r>
          </w:p>
        </w:tc>
      </w:tr>
      <w:tr w14:paraId="095D12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C34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81015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A9DC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手锤</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88849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羊角锤 1．供学生敲击物体的手动工具；2．规格：锤整体长度约32cm，3．材质：45～55优质碳素结构钢；4．木柄采用材质坚韧的木材制作，并应平直圆滑，无裂纹、霉变、虫蛀，表面涂清漆5．榔头装柄后不得松动摇头。</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9A946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A6BB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09F54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38150" cy="266700"/>
                  <wp:effectExtent l="0" t="0" r="3810" b="7620"/>
                  <wp:docPr id="161" name="图片 157" descr="IMG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57" descr="IMG_373"/>
                          <pic:cNvPicPr>
                            <a:picLocks noChangeAspect="1"/>
                          </pic:cNvPicPr>
                        </pic:nvPicPr>
                        <pic:blipFill>
                          <a:blip r:embed="rId145"/>
                          <a:stretch>
                            <a:fillRect/>
                          </a:stretch>
                        </pic:blipFill>
                        <pic:spPr>
                          <a:xfrm>
                            <a:off x="0" y="0"/>
                            <a:ext cx="438150" cy="266700"/>
                          </a:xfrm>
                          <a:prstGeom prst="rect">
                            <a:avLst/>
                          </a:prstGeom>
                          <a:noFill/>
                          <a:ln w="9525">
                            <a:noFill/>
                          </a:ln>
                        </pic:spPr>
                      </pic:pic>
                    </a:graphicData>
                  </a:graphic>
                </wp:inline>
              </w:drawing>
            </w:r>
          </w:p>
        </w:tc>
      </w:tr>
      <w:tr w14:paraId="2070EB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F82C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81020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E7FE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活动扳手</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3BF94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1．8寸，总长约200mm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2.产品材质：合金钢</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C9CA1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B1DA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F17EA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90525" cy="266700"/>
                  <wp:effectExtent l="0" t="0" r="5715" b="0"/>
                  <wp:docPr id="165" name="图片 158" descr="IMG_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58" descr="IMG_374"/>
                          <pic:cNvPicPr>
                            <a:picLocks noChangeAspect="1"/>
                          </pic:cNvPicPr>
                        </pic:nvPicPr>
                        <pic:blipFill>
                          <a:blip r:embed="rId146"/>
                          <a:stretch>
                            <a:fillRect/>
                          </a:stretch>
                        </pic:blipFill>
                        <pic:spPr>
                          <a:xfrm>
                            <a:off x="0" y="0"/>
                            <a:ext cx="390525" cy="266700"/>
                          </a:xfrm>
                          <a:prstGeom prst="rect">
                            <a:avLst/>
                          </a:prstGeom>
                          <a:noFill/>
                          <a:ln w="9525">
                            <a:noFill/>
                          </a:ln>
                        </pic:spPr>
                      </pic:pic>
                    </a:graphicData>
                  </a:graphic>
                </wp:inline>
              </w:drawing>
            </w:r>
          </w:p>
        </w:tc>
      </w:tr>
      <w:tr w14:paraId="691499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778C0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81032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638D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剪刀</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8753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1．长度不小于130mm；2．刀身采用优质不锈钢制作，表面光滑；刀刃锋利耐用，不变形。</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3BEF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4A74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E3CA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0025" cy="266700"/>
                  <wp:effectExtent l="0" t="0" r="13335" b="7620"/>
                  <wp:docPr id="162" name="图片 159" descr="IMG_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59" descr="IMG_375"/>
                          <pic:cNvPicPr>
                            <a:picLocks noChangeAspect="1"/>
                          </pic:cNvPicPr>
                        </pic:nvPicPr>
                        <pic:blipFill>
                          <a:blip r:embed="rId147"/>
                          <a:stretch>
                            <a:fillRect/>
                          </a:stretch>
                        </pic:blipFill>
                        <pic:spPr>
                          <a:xfrm>
                            <a:off x="0" y="0"/>
                            <a:ext cx="200025" cy="266700"/>
                          </a:xfrm>
                          <a:prstGeom prst="rect">
                            <a:avLst/>
                          </a:prstGeom>
                          <a:noFill/>
                          <a:ln w="9525">
                            <a:noFill/>
                          </a:ln>
                        </pic:spPr>
                      </pic:pic>
                    </a:graphicData>
                  </a:graphic>
                </wp:inline>
              </w:drawing>
            </w:r>
          </w:p>
        </w:tc>
      </w:tr>
      <w:tr w14:paraId="243502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E7BD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81201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959C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小刀</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D89186">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全不锈钢材料；小刀展开后总长度不大于120mm。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C715A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29AD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79886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90550" cy="266700"/>
                  <wp:effectExtent l="0" t="0" r="0" b="0"/>
                  <wp:docPr id="159" name="图片 160" descr="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60" descr="IMG_376"/>
                          <pic:cNvPicPr>
                            <a:picLocks noChangeAspect="1"/>
                          </pic:cNvPicPr>
                        </pic:nvPicPr>
                        <pic:blipFill>
                          <a:blip r:embed="rId148"/>
                          <a:stretch>
                            <a:fillRect/>
                          </a:stretch>
                        </pic:blipFill>
                        <pic:spPr>
                          <a:xfrm>
                            <a:off x="0" y="0"/>
                            <a:ext cx="590550" cy="266700"/>
                          </a:xfrm>
                          <a:prstGeom prst="rect">
                            <a:avLst/>
                          </a:prstGeom>
                          <a:noFill/>
                          <a:ln w="9525">
                            <a:noFill/>
                          </a:ln>
                        </pic:spPr>
                      </pic:pic>
                    </a:graphicData>
                  </a:graphic>
                </wp:inline>
              </w:drawing>
            </w:r>
          </w:p>
        </w:tc>
      </w:tr>
      <w:tr w14:paraId="4259B1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90E33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81204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41915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手持筛子</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F784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不锈钢圈及丝网，直径不小于14cm，产品符合JY0001《教学仪器产品一般质量要求》。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DD18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5C8D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F02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3810" b="7620"/>
                  <wp:docPr id="171" name="图片 161" descr="IMG_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61" descr="IMG_377"/>
                          <pic:cNvPicPr>
                            <a:picLocks noChangeAspect="1"/>
                          </pic:cNvPicPr>
                        </pic:nvPicPr>
                        <pic:blipFill>
                          <a:blip r:embed="rId149"/>
                          <a:stretch>
                            <a:fillRect/>
                          </a:stretch>
                        </pic:blipFill>
                        <pic:spPr>
                          <a:xfrm>
                            <a:off x="0" y="0"/>
                            <a:ext cx="209550" cy="266700"/>
                          </a:xfrm>
                          <a:prstGeom prst="rect">
                            <a:avLst/>
                          </a:prstGeom>
                          <a:noFill/>
                          <a:ln w="9525">
                            <a:noFill/>
                          </a:ln>
                        </pic:spPr>
                      </pic:pic>
                    </a:graphicData>
                  </a:graphic>
                </wp:inline>
              </w:drawing>
            </w:r>
          </w:p>
        </w:tc>
      </w:tr>
      <w:tr w14:paraId="5646CB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474255">
            <w:pPr>
              <w:jc w:val="center"/>
              <w:rPr>
                <w:rFonts w:hint="eastAsia" w:ascii="宋体" w:hAnsi="宋体" w:eastAsia="宋体" w:cs="宋体"/>
                <w:b w:val="0"/>
                <w:bCs w:val="0"/>
                <w:i w:val="0"/>
                <w:iCs w:val="0"/>
                <w:color w:val="auto"/>
                <w:sz w:val="22"/>
                <w:szCs w:val="22"/>
                <w:highlight w:val="none"/>
                <w:u w:val="none"/>
              </w:rPr>
            </w:pPr>
          </w:p>
        </w:tc>
        <w:tc>
          <w:tcPr>
            <w:tcW w:w="11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0CD7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实验器材收纳箱</w:t>
            </w:r>
          </w:p>
        </w:tc>
        <w:tc>
          <w:tcPr>
            <w:tcW w:w="55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0DD3C">
            <w:pPr>
              <w:jc w:val="left"/>
              <w:rPr>
                <w:rFonts w:hint="eastAsia" w:ascii="宋体" w:hAnsi="宋体" w:eastAsia="宋体" w:cs="宋体"/>
                <w:b w:val="0"/>
                <w:bCs w:val="0"/>
                <w:i w:val="0"/>
                <w:iCs w:val="0"/>
                <w:color w:val="auto"/>
                <w:sz w:val="22"/>
                <w:szCs w:val="22"/>
                <w:highlight w:val="none"/>
                <w:u w:val="none"/>
              </w:rPr>
            </w:pP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11FB3">
            <w:pPr>
              <w:jc w:val="center"/>
              <w:rPr>
                <w:rFonts w:hint="eastAsia" w:ascii="宋体" w:hAnsi="宋体" w:eastAsia="宋体" w:cs="宋体"/>
                <w:b w:val="0"/>
                <w:bCs w:val="0"/>
                <w:i w:val="0"/>
                <w:iCs w:val="0"/>
                <w:color w:val="auto"/>
                <w:sz w:val="22"/>
                <w:szCs w:val="22"/>
                <w:highlight w:val="none"/>
                <w:u w:val="none"/>
              </w:rPr>
            </w:pP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0B29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w:t>
            </w:r>
          </w:p>
        </w:tc>
        <w:tc>
          <w:tcPr>
            <w:tcW w:w="12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2035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14325" cy="314325"/>
                  <wp:effectExtent l="0" t="0" r="5715" b="5715"/>
                  <wp:docPr id="167" name="图片 162" descr="IMG_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2" descr="IMG_378"/>
                          <pic:cNvPicPr>
                            <a:picLocks noChangeAspect="1"/>
                          </pic:cNvPicPr>
                        </pic:nvPicPr>
                        <pic:blipFill>
                          <a:blip r:embed="rId150"/>
                          <a:stretch>
                            <a:fillRect/>
                          </a:stretch>
                        </pic:blipFill>
                        <pic:spPr>
                          <a:xfrm>
                            <a:off x="0" y="0"/>
                            <a:ext cx="314325" cy="314325"/>
                          </a:xfrm>
                          <a:prstGeom prst="rect">
                            <a:avLst/>
                          </a:prstGeom>
                          <a:noFill/>
                          <a:ln w="9525">
                            <a:noFill/>
                          </a:ln>
                        </pic:spPr>
                      </pic:pic>
                    </a:graphicData>
                  </a:graphic>
                </wp:inline>
              </w:drawing>
            </w:r>
          </w:p>
        </w:tc>
      </w:tr>
      <w:tr w14:paraId="32FB79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019D6">
            <w:pPr>
              <w:jc w:val="center"/>
              <w:rPr>
                <w:rFonts w:hint="eastAsia" w:ascii="宋体" w:hAnsi="宋体" w:eastAsia="宋体" w:cs="宋体"/>
                <w:b w:val="0"/>
                <w:bCs w:val="0"/>
                <w:i w:val="0"/>
                <w:iCs w:val="0"/>
                <w:color w:val="auto"/>
                <w:sz w:val="22"/>
                <w:szCs w:val="22"/>
                <w:highlight w:val="none"/>
                <w:u w:val="none"/>
              </w:rPr>
            </w:pPr>
          </w:p>
        </w:tc>
        <w:tc>
          <w:tcPr>
            <w:tcW w:w="11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B988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打火枪</w:t>
            </w:r>
          </w:p>
        </w:tc>
        <w:tc>
          <w:tcPr>
            <w:tcW w:w="55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3FD96">
            <w:pPr>
              <w:jc w:val="left"/>
              <w:rPr>
                <w:rFonts w:hint="eastAsia" w:ascii="宋体" w:hAnsi="宋体" w:eastAsia="宋体" w:cs="宋体"/>
                <w:b w:val="0"/>
                <w:bCs w:val="0"/>
                <w:i w:val="0"/>
                <w:iCs w:val="0"/>
                <w:color w:val="auto"/>
                <w:sz w:val="22"/>
                <w:szCs w:val="22"/>
                <w:highlight w:val="none"/>
                <w:u w:val="none"/>
              </w:rPr>
            </w:pP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4AAA1">
            <w:pPr>
              <w:jc w:val="center"/>
              <w:rPr>
                <w:rFonts w:hint="eastAsia" w:ascii="宋体" w:hAnsi="宋体" w:eastAsia="宋体" w:cs="宋体"/>
                <w:b w:val="0"/>
                <w:bCs w:val="0"/>
                <w:i w:val="0"/>
                <w:iCs w:val="0"/>
                <w:color w:val="auto"/>
                <w:sz w:val="22"/>
                <w:szCs w:val="22"/>
                <w:highlight w:val="none"/>
                <w:u w:val="none"/>
              </w:rPr>
            </w:pP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DDD6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F267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14325" cy="314325"/>
                  <wp:effectExtent l="0" t="0" r="5715" b="5715"/>
                  <wp:docPr id="173" name="图片 163" descr="IMG_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63" descr="IMG_379"/>
                          <pic:cNvPicPr>
                            <a:picLocks noChangeAspect="1"/>
                          </pic:cNvPicPr>
                        </pic:nvPicPr>
                        <pic:blipFill>
                          <a:blip r:embed="rId151"/>
                          <a:stretch>
                            <a:fillRect/>
                          </a:stretch>
                        </pic:blipFill>
                        <pic:spPr>
                          <a:xfrm>
                            <a:off x="0" y="0"/>
                            <a:ext cx="314325" cy="314325"/>
                          </a:xfrm>
                          <a:prstGeom prst="rect">
                            <a:avLst/>
                          </a:prstGeom>
                          <a:noFill/>
                          <a:ln w="9525">
                            <a:noFill/>
                          </a:ln>
                        </pic:spPr>
                      </pic:pic>
                    </a:graphicData>
                  </a:graphic>
                </wp:inline>
              </w:drawing>
            </w:r>
          </w:p>
        </w:tc>
      </w:tr>
      <w:tr w14:paraId="70853D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46ED7">
            <w:pPr>
              <w:jc w:val="center"/>
              <w:rPr>
                <w:rFonts w:hint="eastAsia" w:ascii="宋体" w:hAnsi="宋体" w:eastAsia="宋体" w:cs="宋体"/>
                <w:b w:val="0"/>
                <w:bCs w:val="0"/>
                <w:i w:val="0"/>
                <w:iCs w:val="0"/>
                <w:color w:val="auto"/>
                <w:sz w:val="22"/>
                <w:szCs w:val="22"/>
                <w:highlight w:val="none"/>
                <w:u w:val="none"/>
              </w:rPr>
            </w:pPr>
          </w:p>
        </w:tc>
        <w:tc>
          <w:tcPr>
            <w:tcW w:w="11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7861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多功能指星激光笔</w:t>
            </w:r>
          </w:p>
        </w:tc>
        <w:tc>
          <w:tcPr>
            <w:tcW w:w="55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817F6">
            <w:pPr>
              <w:jc w:val="left"/>
              <w:rPr>
                <w:rFonts w:hint="eastAsia" w:ascii="宋体" w:hAnsi="宋体" w:eastAsia="宋体" w:cs="宋体"/>
                <w:b w:val="0"/>
                <w:bCs w:val="0"/>
                <w:i w:val="0"/>
                <w:iCs w:val="0"/>
                <w:color w:val="auto"/>
                <w:sz w:val="22"/>
                <w:szCs w:val="22"/>
                <w:highlight w:val="none"/>
                <w:u w:val="none"/>
              </w:rPr>
            </w:pP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0127CC">
            <w:pPr>
              <w:jc w:val="center"/>
              <w:rPr>
                <w:rFonts w:hint="eastAsia" w:ascii="宋体" w:hAnsi="宋体" w:eastAsia="宋体" w:cs="宋体"/>
                <w:b w:val="0"/>
                <w:bCs w:val="0"/>
                <w:i w:val="0"/>
                <w:iCs w:val="0"/>
                <w:color w:val="auto"/>
                <w:sz w:val="22"/>
                <w:szCs w:val="22"/>
                <w:highlight w:val="none"/>
                <w:u w:val="none"/>
              </w:rPr>
            </w:pP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AB5F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E03F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38125" cy="314325"/>
                  <wp:effectExtent l="0" t="0" r="5715" b="5715"/>
                  <wp:docPr id="170" name="图片 164" descr="IMG_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64" descr="IMG_380"/>
                          <pic:cNvPicPr>
                            <a:picLocks noChangeAspect="1"/>
                          </pic:cNvPicPr>
                        </pic:nvPicPr>
                        <pic:blipFill>
                          <a:blip r:embed="rId152"/>
                          <a:stretch>
                            <a:fillRect/>
                          </a:stretch>
                        </pic:blipFill>
                        <pic:spPr>
                          <a:xfrm>
                            <a:off x="0" y="0"/>
                            <a:ext cx="238125" cy="314325"/>
                          </a:xfrm>
                          <a:prstGeom prst="rect">
                            <a:avLst/>
                          </a:prstGeom>
                          <a:noFill/>
                          <a:ln w="9525">
                            <a:noFill/>
                          </a:ln>
                        </pic:spPr>
                      </pic:pic>
                    </a:graphicData>
                  </a:graphic>
                </wp:inline>
              </w:drawing>
            </w:r>
          </w:p>
        </w:tc>
      </w:tr>
      <w:tr w14:paraId="31ED5B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8"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316F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81205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AAF9B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喷水壶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D55C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按压式喷壶，塑料材质，高度约32cm。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42372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E2A9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A936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38125" cy="266700"/>
                  <wp:effectExtent l="0" t="0" r="0" b="6350"/>
                  <wp:docPr id="163" name="图片 165" descr="IMG_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5" descr="IMG_381"/>
                          <pic:cNvPicPr>
                            <a:picLocks noChangeAspect="1"/>
                          </pic:cNvPicPr>
                        </pic:nvPicPr>
                        <pic:blipFill>
                          <a:blip r:embed="rId153"/>
                          <a:stretch>
                            <a:fillRect/>
                          </a:stretch>
                        </pic:blipFill>
                        <pic:spPr>
                          <a:xfrm>
                            <a:off x="0" y="0"/>
                            <a:ext cx="238125" cy="266700"/>
                          </a:xfrm>
                          <a:prstGeom prst="rect">
                            <a:avLst/>
                          </a:prstGeom>
                          <a:noFill/>
                          <a:ln w="9525">
                            <a:noFill/>
                          </a:ln>
                        </pic:spPr>
                      </pic:pic>
                    </a:graphicData>
                  </a:graphic>
                </wp:inline>
              </w:drawing>
            </w:r>
          </w:p>
        </w:tc>
      </w:tr>
    </w:tbl>
    <w:p w14:paraId="7256EE22">
      <w:pPr>
        <w:widowControl/>
        <w:autoSpaceDE w:val="0"/>
        <w:autoSpaceDN w:val="0"/>
        <w:adjustRightInd w:val="0"/>
        <w:spacing w:line="460" w:lineRule="atLeast"/>
        <w:ind w:firstLine="442" w:firstLineChars="200"/>
        <w:textAlignment w:val="bottom"/>
        <w:rPr>
          <w:rFonts w:ascii="宋体" w:eastAsia="宋体"/>
          <w:bCs w:val="0"/>
          <w:color w:val="auto"/>
          <w:sz w:val="22"/>
          <w:highlight w:val="none"/>
        </w:rPr>
      </w:pPr>
      <w:r>
        <w:rPr>
          <w:rFonts w:hint="eastAsia" w:ascii="宋体" w:hAnsi="宋体" w:eastAsia="宋体" w:cs="宋体"/>
          <w:b/>
          <w:bCs w:val="0"/>
          <w:color w:val="auto"/>
          <w:sz w:val="22"/>
          <w:szCs w:val="22"/>
          <w:highlight w:val="none"/>
          <w:lang w:val="en-US" w:eastAsia="zh-CN"/>
        </w:rPr>
        <w:t>注：</w:t>
      </w:r>
      <w:r>
        <w:rPr>
          <w:rFonts w:hint="eastAsia" w:ascii="宋体" w:eastAsia="宋体"/>
          <w:bCs w:val="0"/>
          <w:color w:val="auto"/>
          <w:sz w:val="22"/>
          <w:highlight w:val="none"/>
        </w:rPr>
        <w:t>▲</w:t>
      </w:r>
      <w:r>
        <w:rPr>
          <w:rFonts w:hint="eastAsia" w:ascii="宋体" w:eastAsia="宋体"/>
          <w:bCs w:val="0"/>
          <w:color w:val="auto"/>
          <w:sz w:val="22"/>
          <w:highlight w:val="none"/>
          <w:lang w:val="en-US" w:eastAsia="zh-CN"/>
        </w:rPr>
        <w:t>本项目包含安装，投标时出具详细的设计图、施工图、效果图。上述</w:t>
      </w:r>
      <w:r>
        <w:rPr>
          <w:rFonts w:hint="eastAsia" w:ascii="宋体" w:eastAsia="宋体"/>
          <w:bCs w:val="0"/>
          <w:color w:val="auto"/>
          <w:sz w:val="22"/>
          <w:highlight w:val="none"/>
        </w:rPr>
        <w:t>设备清单只是采购人提出的基础清单，但作为所有供应商的报价基础，供应商提供的报价清单不得少于本表规定的货物及数量。如采购文件中遗漏了完工必须具备的附件、线材、设备、配件或服务，请供应商在投标文件中自行配齐，并包含在投标总价中。</w:t>
      </w:r>
    </w:p>
    <w:p w14:paraId="442ABEB7">
      <w:pPr>
        <w:snapToGrid w:val="0"/>
        <w:spacing w:line="460" w:lineRule="atLeast"/>
        <w:rPr>
          <w:rFonts w:hint="eastAsia" w:ascii="宋体" w:eastAsia="宋体" w:cs="Times New Roman"/>
          <w:bCs w:val="0"/>
          <w:color w:val="auto"/>
          <w:sz w:val="22"/>
          <w:szCs w:val="22"/>
          <w:highlight w:val="none"/>
        </w:rPr>
      </w:pPr>
      <w:r>
        <w:rPr>
          <w:rFonts w:hint="eastAsia" w:ascii="宋体" w:eastAsia="宋体" w:cs="Times New Roman"/>
          <w:bCs w:val="0"/>
          <w:color w:val="auto"/>
          <w:sz w:val="22"/>
          <w:szCs w:val="22"/>
          <w:highlight w:val="none"/>
          <w:lang w:val="en-US" w:eastAsia="zh-CN"/>
        </w:rPr>
        <w:t>三</w:t>
      </w:r>
      <w:r>
        <w:rPr>
          <w:rFonts w:hint="eastAsia" w:ascii="宋体" w:eastAsia="宋体" w:cs="Times New Roman"/>
          <w:bCs w:val="0"/>
          <w:color w:val="auto"/>
          <w:sz w:val="22"/>
          <w:szCs w:val="22"/>
          <w:highlight w:val="none"/>
        </w:rPr>
        <w:t>、商务条款</w:t>
      </w:r>
      <w:bookmarkEnd w:id="29"/>
    </w:p>
    <w:p w14:paraId="0A80A8D1">
      <w:pPr>
        <w:snapToGrid w:val="0"/>
        <w:spacing w:line="460" w:lineRule="atLeast"/>
        <w:ind w:firstLine="442" w:firstLineChars="200"/>
        <w:rPr>
          <w:rFonts w:hint="eastAsia" w:ascii="宋体" w:eastAsia="宋体" w:cs="Times New Roman"/>
          <w:bCs w:val="0"/>
          <w:color w:val="auto"/>
          <w:sz w:val="22"/>
          <w:szCs w:val="22"/>
          <w:highlight w:val="none"/>
        </w:rPr>
      </w:pPr>
      <w:bookmarkStart w:id="30" w:name="_Toc14080391"/>
      <w:r>
        <w:rPr>
          <w:rFonts w:hint="eastAsia" w:ascii="宋体" w:eastAsia="宋体" w:cs="Times New Roman"/>
          <w:bCs w:val="0"/>
          <w:color w:val="auto"/>
          <w:sz w:val="22"/>
          <w:szCs w:val="22"/>
          <w:highlight w:val="none"/>
        </w:rPr>
        <w:t>1、保质期</w:t>
      </w:r>
    </w:p>
    <w:p w14:paraId="0E78EC71">
      <w:pPr>
        <w:snapToGrid w:val="0"/>
        <w:spacing w:line="460" w:lineRule="atLeast"/>
        <w:ind w:firstLine="440" w:firstLineChars="200"/>
        <w:rPr>
          <w:rFonts w:hint="eastAsia" w:ascii="宋体" w:eastAsia="宋体" w:cs="Times New Roman"/>
          <w:b w:val="0"/>
          <w:bCs w:val="0"/>
          <w:color w:val="auto"/>
          <w:sz w:val="22"/>
          <w:szCs w:val="22"/>
          <w:highlight w:val="none"/>
        </w:rPr>
      </w:pPr>
      <w:r>
        <w:rPr>
          <w:rFonts w:hint="eastAsia" w:ascii="宋体" w:eastAsia="宋体" w:cs="Times New Roman"/>
          <w:b w:val="0"/>
          <w:bCs w:val="0"/>
          <w:color w:val="auto"/>
          <w:sz w:val="22"/>
          <w:szCs w:val="22"/>
          <w:highlight w:val="none"/>
        </w:rPr>
        <w:t>1.1.质量保证期为自货物得到有关部门验收合格之日起3年。在产品质量保证期之内，因产品设计、工艺、材料、配套件的缺陷等本身缺陷（非人为因素）而造成的任何产品质量问题或故障应由供应商免费技术服务和维修。</w:t>
      </w:r>
    </w:p>
    <w:p w14:paraId="517653B5">
      <w:pPr>
        <w:snapToGrid w:val="0"/>
        <w:spacing w:line="460" w:lineRule="atLeast"/>
        <w:ind w:firstLine="440" w:firstLineChars="200"/>
        <w:rPr>
          <w:rFonts w:hint="eastAsia" w:ascii="宋体" w:eastAsia="宋体" w:cs="Times New Roman"/>
          <w:b w:val="0"/>
          <w:bCs w:val="0"/>
          <w:color w:val="auto"/>
          <w:sz w:val="22"/>
          <w:szCs w:val="22"/>
          <w:highlight w:val="none"/>
        </w:rPr>
      </w:pPr>
      <w:r>
        <w:rPr>
          <w:rFonts w:hint="eastAsia" w:ascii="宋体" w:eastAsia="宋体" w:cs="Times New Roman"/>
          <w:b w:val="0"/>
          <w:bCs w:val="0"/>
          <w:color w:val="auto"/>
          <w:sz w:val="22"/>
          <w:szCs w:val="22"/>
          <w:highlight w:val="none"/>
        </w:rPr>
        <w:t>1.2.供应商在投标文件中说明保质期内提供的服务计划。</w:t>
      </w:r>
    </w:p>
    <w:p w14:paraId="00B21A83">
      <w:pPr>
        <w:snapToGrid w:val="0"/>
        <w:spacing w:line="460" w:lineRule="atLeast"/>
        <w:ind w:firstLine="440" w:firstLineChars="200"/>
        <w:rPr>
          <w:rFonts w:hint="eastAsia" w:ascii="宋体" w:eastAsia="宋体" w:cs="Times New Roman"/>
          <w:b w:val="0"/>
          <w:bCs w:val="0"/>
          <w:color w:val="auto"/>
          <w:sz w:val="22"/>
          <w:szCs w:val="22"/>
          <w:highlight w:val="none"/>
        </w:rPr>
      </w:pPr>
      <w:r>
        <w:rPr>
          <w:rFonts w:hint="eastAsia" w:ascii="宋体" w:eastAsia="宋体" w:cs="Times New Roman"/>
          <w:b w:val="0"/>
          <w:bCs w:val="0"/>
          <w:color w:val="auto"/>
          <w:sz w:val="22"/>
          <w:szCs w:val="22"/>
          <w:highlight w:val="none"/>
        </w:rPr>
        <w:t>1.3.质量保修期内，要求供应商7×24小时电话响应技术咨询；除非采购文件另有规定，供应商须在接到采购人维修要求电话后，4小时内派技术人员到现场维修。</w:t>
      </w:r>
    </w:p>
    <w:p w14:paraId="1EB74985">
      <w:pPr>
        <w:widowControl/>
        <w:autoSpaceDE w:val="0"/>
        <w:autoSpaceDN w:val="0"/>
        <w:adjustRightInd w:val="0"/>
        <w:spacing w:line="460" w:lineRule="atLeast"/>
        <w:ind w:firstLine="442" w:firstLineChars="200"/>
        <w:textAlignment w:val="bottom"/>
        <w:rPr>
          <w:rFonts w:hint="eastAsia" w:ascii="宋体" w:eastAsia="宋体"/>
          <w:color w:val="auto"/>
          <w:sz w:val="22"/>
          <w:szCs w:val="22"/>
          <w:highlight w:val="none"/>
        </w:rPr>
      </w:pPr>
      <w:r>
        <w:rPr>
          <w:rFonts w:hint="eastAsia" w:ascii="宋体" w:eastAsia="宋体"/>
          <w:color w:val="auto"/>
          <w:sz w:val="22"/>
          <w:szCs w:val="22"/>
          <w:highlight w:val="none"/>
        </w:rPr>
        <w:t xml:space="preserve">2、付款方式： </w:t>
      </w:r>
    </w:p>
    <w:p w14:paraId="7F13E6BB">
      <w:pPr>
        <w:widowControl/>
        <w:autoSpaceDE w:val="0"/>
        <w:autoSpaceDN w:val="0"/>
        <w:adjustRightInd w:val="0"/>
        <w:spacing w:line="460" w:lineRule="atLeast"/>
        <w:ind w:firstLine="442" w:firstLineChars="200"/>
        <w:textAlignment w:val="bottom"/>
        <w:rPr>
          <w:rFonts w:hint="eastAsia" w:ascii="宋体" w:eastAsia="宋体"/>
          <w:color w:val="auto"/>
          <w:sz w:val="22"/>
          <w:szCs w:val="22"/>
          <w:highlight w:val="none"/>
          <w:u w:val="single"/>
        </w:rPr>
      </w:pPr>
      <w:r>
        <w:rPr>
          <w:rFonts w:hint="eastAsia" w:ascii="宋体" w:eastAsia="宋体"/>
          <w:color w:val="auto"/>
          <w:sz w:val="22"/>
          <w:szCs w:val="22"/>
          <w:highlight w:val="none"/>
          <w:u w:val="single"/>
        </w:rPr>
        <w:t>在合同签订后5日内中标供应商应提供合同总金额</w:t>
      </w:r>
      <w:r>
        <w:rPr>
          <w:rFonts w:hint="eastAsia" w:ascii="宋体" w:eastAsia="宋体"/>
          <w:color w:val="auto"/>
          <w:sz w:val="22"/>
          <w:szCs w:val="22"/>
          <w:highlight w:val="none"/>
          <w:u w:val="single"/>
          <w:lang w:val="en-US" w:eastAsia="zh-CN"/>
        </w:rPr>
        <w:t>1</w:t>
      </w:r>
      <w:r>
        <w:rPr>
          <w:rFonts w:hint="eastAsia" w:ascii="宋体" w:eastAsia="宋体"/>
          <w:color w:val="auto"/>
          <w:sz w:val="22"/>
          <w:szCs w:val="22"/>
          <w:highlight w:val="none"/>
          <w:u w:val="single"/>
        </w:rPr>
        <w:t>%的履约保证金；采购人在收到供货书面清单后，支付40%预付款，在产品安装完毕最终验收合格后在财政款项拨付后15个工作日内付60%，履约保证金在质保期结束后无质量与售后服务问题15个工作日内无息退还（或保函自动失效）。</w:t>
      </w:r>
    </w:p>
    <w:p w14:paraId="386E96B5">
      <w:pPr>
        <w:widowControl/>
        <w:autoSpaceDE w:val="0"/>
        <w:autoSpaceDN w:val="0"/>
        <w:adjustRightInd w:val="0"/>
        <w:spacing w:line="460" w:lineRule="atLeast"/>
        <w:ind w:firstLine="440" w:firstLineChars="200"/>
        <w:textAlignment w:val="bottom"/>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因财政国库库款能力不足等情势变更情况导致无法执行相关文件要求的支付比例，采购人与中标供应商应根据实际情况另行协商约定。</w:t>
      </w:r>
    </w:p>
    <w:bookmarkEnd w:id="30"/>
    <w:p w14:paraId="4F748341">
      <w:pPr>
        <w:snapToGrid w:val="0"/>
        <w:spacing w:line="460" w:lineRule="atLeast"/>
        <w:ind w:firstLine="442" w:firstLineChars="200"/>
        <w:rPr>
          <w:rFonts w:hint="eastAsia" w:ascii="宋体" w:eastAsia="宋体" w:cs="Times New Roman"/>
          <w:bCs w:val="0"/>
          <w:color w:val="auto"/>
          <w:sz w:val="22"/>
          <w:szCs w:val="22"/>
          <w:highlight w:val="none"/>
        </w:rPr>
      </w:pPr>
      <w:r>
        <w:rPr>
          <w:rFonts w:hint="eastAsia" w:ascii="宋体" w:eastAsia="宋体" w:cs="Times New Roman"/>
          <w:bCs w:val="0"/>
          <w:color w:val="auto"/>
          <w:sz w:val="22"/>
          <w:szCs w:val="22"/>
          <w:highlight w:val="none"/>
        </w:rPr>
        <w:t>3、安装调试</w:t>
      </w:r>
    </w:p>
    <w:p w14:paraId="630B49E2">
      <w:pPr>
        <w:snapToGrid w:val="0"/>
        <w:spacing w:line="460" w:lineRule="atLeast"/>
        <w:ind w:firstLine="440" w:firstLineChars="200"/>
        <w:rPr>
          <w:rFonts w:hint="eastAsia" w:ascii="宋体" w:eastAsia="宋体" w:cs="Times New Roman"/>
          <w:b w:val="0"/>
          <w:bCs w:val="0"/>
          <w:color w:val="auto"/>
          <w:sz w:val="22"/>
          <w:szCs w:val="22"/>
          <w:highlight w:val="none"/>
        </w:rPr>
      </w:pPr>
      <w:r>
        <w:rPr>
          <w:rFonts w:hint="eastAsia" w:ascii="宋体" w:eastAsia="宋体" w:cs="Times New Roman"/>
          <w:b w:val="0"/>
          <w:bCs w:val="0"/>
          <w:color w:val="auto"/>
          <w:sz w:val="22"/>
          <w:szCs w:val="22"/>
          <w:highlight w:val="none"/>
        </w:rPr>
        <w:t>3.1.安装地点：按采购人要求。</w:t>
      </w:r>
    </w:p>
    <w:p w14:paraId="110A1468">
      <w:pPr>
        <w:snapToGrid w:val="0"/>
        <w:spacing w:line="460" w:lineRule="atLeast"/>
        <w:ind w:firstLine="440" w:firstLineChars="200"/>
        <w:rPr>
          <w:rFonts w:hint="eastAsia" w:ascii="宋体" w:eastAsia="宋体" w:cs="Times New Roman"/>
          <w:b w:val="0"/>
          <w:bCs w:val="0"/>
          <w:color w:val="auto"/>
          <w:sz w:val="22"/>
          <w:szCs w:val="22"/>
          <w:highlight w:val="none"/>
        </w:rPr>
      </w:pPr>
      <w:r>
        <w:rPr>
          <w:rFonts w:hint="eastAsia" w:ascii="宋体" w:eastAsia="宋体" w:cs="Times New Roman"/>
          <w:b w:val="0"/>
          <w:bCs w:val="0"/>
          <w:color w:val="auto"/>
          <w:sz w:val="22"/>
          <w:szCs w:val="22"/>
          <w:highlight w:val="none"/>
        </w:rPr>
        <w:t>3.2.质量标准：符合我国国家有关技术规范要求和技术标准。</w:t>
      </w:r>
    </w:p>
    <w:p w14:paraId="7960CCC0">
      <w:pPr>
        <w:snapToGrid w:val="0"/>
        <w:spacing w:line="460" w:lineRule="atLeast"/>
        <w:ind w:firstLine="440" w:firstLineChars="200"/>
        <w:rPr>
          <w:rFonts w:hint="eastAsia" w:ascii="宋体" w:eastAsia="宋体" w:cs="Times New Roman"/>
          <w:b w:val="0"/>
          <w:bCs w:val="0"/>
          <w:color w:val="auto"/>
          <w:sz w:val="22"/>
          <w:szCs w:val="22"/>
          <w:highlight w:val="none"/>
        </w:rPr>
      </w:pPr>
      <w:r>
        <w:rPr>
          <w:rFonts w:hint="eastAsia" w:ascii="宋体" w:eastAsia="宋体" w:cs="Times New Roman"/>
          <w:b w:val="0"/>
          <w:bCs w:val="0"/>
          <w:color w:val="auto"/>
          <w:sz w:val="22"/>
          <w:szCs w:val="22"/>
          <w:highlight w:val="none"/>
        </w:rPr>
        <w:t>3.3.送货、安装过程中发生的费用由中标供应商负责。</w:t>
      </w:r>
    </w:p>
    <w:p w14:paraId="0170A935">
      <w:pPr>
        <w:snapToGrid w:val="0"/>
        <w:spacing w:line="460" w:lineRule="atLeast"/>
        <w:ind w:firstLine="440" w:firstLineChars="200"/>
        <w:rPr>
          <w:rFonts w:hint="eastAsia" w:ascii="宋体" w:eastAsia="宋体" w:cs="Times New Roman"/>
          <w:b w:val="0"/>
          <w:bCs w:val="0"/>
          <w:color w:val="auto"/>
          <w:sz w:val="22"/>
          <w:szCs w:val="22"/>
          <w:highlight w:val="none"/>
        </w:rPr>
      </w:pPr>
      <w:r>
        <w:rPr>
          <w:rFonts w:hint="eastAsia" w:ascii="宋体" w:eastAsia="宋体" w:cs="Times New Roman"/>
          <w:b w:val="0"/>
          <w:bCs w:val="0"/>
          <w:color w:val="auto"/>
          <w:sz w:val="22"/>
          <w:szCs w:val="22"/>
          <w:highlight w:val="none"/>
        </w:rPr>
        <w:t>3.4.投标供应商应在投标文件中提出其安装调试过程中使用单位需配合的内容。</w:t>
      </w:r>
    </w:p>
    <w:p w14:paraId="07F105A3">
      <w:pPr>
        <w:snapToGrid w:val="0"/>
        <w:spacing w:line="460" w:lineRule="atLeast"/>
        <w:ind w:firstLine="442" w:firstLineChars="200"/>
        <w:rPr>
          <w:rFonts w:hint="eastAsia" w:ascii="宋体" w:eastAsia="宋体" w:cs="Times New Roman"/>
          <w:bCs w:val="0"/>
          <w:color w:val="auto"/>
          <w:sz w:val="22"/>
          <w:szCs w:val="22"/>
          <w:highlight w:val="none"/>
        </w:rPr>
      </w:pPr>
      <w:r>
        <w:rPr>
          <w:rFonts w:hint="eastAsia" w:ascii="宋体" w:eastAsia="宋体" w:cs="Times New Roman"/>
          <w:bCs w:val="0"/>
          <w:color w:val="auto"/>
          <w:sz w:val="22"/>
          <w:szCs w:val="22"/>
          <w:highlight w:val="none"/>
        </w:rPr>
        <w:t>4．验收：</w:t>
      </w:r>
    </w:p>
    <w:p w14:paraId="267B81A1">
      <w:pPr>
        <w:snapToGrid w:val="0"/>
        <w:spacing w:line="460" w:lineRule="atLeast"/>
        <w:ind w:firstLine="440" w:firstLineChars="200"/>
        <w:rPr>
          <w:rFonts w:hint="eastAsia" w:ascii="宋体" w:eastAsia="宋体" w:cs="Times New Roman"/>
          <w:bCs w:val="0"/>
          <w:color w:val="auto"/>
          <w:sz w:val="22"/>
          <w:szCs w:val="22"/>
          <w:highlight w:val="none"/>
          <w:u w:val="single"/>
        </w:rPr>
      </w:pPr>
      <w:r>
        <w:rPr>
          <w:rFonts w:hint="eastAsia" w:ascii="宋体" w:eastAsia="宋体" w:cs="Times New Roman"/>
          <w:b w:val="0"/>
          <w:bCs w:val="0"/>
          <w:color w:val="auto"/>
          <w:sz w:val="22"/>
          <w:szCs w:val="22"/>
          <w:highlight w:val="none"/>
        </w:rPr>
        <w:t>4.1 中标</w:t>
      </w:r>
      <w:r>
        <w:rPr>
          <w:rFonts w:ascii="宋体" w:eastAsia="宋体" w:cs="Times New Roman"/>
          <w:b w:val="0"/>
          <w:bCs w:val="0"/>
          <w:color w:val="auto"/>
          <w:sz w:val="22"/>
          <w:szCs w:val="22"/>
          <w:highlight w:val="none"/>
        </w:rPr>
        <w:t>供应商已按合同规定提供了符合</w:t>
      </w:r>
      <w:r>
        <w:rPr>
          <w:rFonts w:hint="eastAsia" w:ascii="宋体" w:eastAsia="宋体" w:cs="Times New Roman"/>
          <w:b w:val="0"/>
          <w:bCs w:val="0"/>
          <w:color w:val="auto"/>
          <w:sz w:val="22"/>
          <w:szCs w:val="22"/>
          <w:highlight w:val="none"/>
        </w:rPr>
        <w:t>招标</w:t>
      </w:r>
      <w:r>
        <w:rPr>
          <w:rFonts w:ascii="宋体" w:eastAsia="宋体" w:cs="Times New Roman"/>
          <w:b w:val="0"/>
          <w:bCs w:val="0"/>
          <w:color w:val="auto"/>
          <w:sz w:val="22"/>
          <w:szCs w:val="22"/>
          <w:highlight w:val="none"/>
        </w:rPr>
        <w:t>文件规定的要求的货物，并经</w:t>
      </w:r>
      <w:r>
        <w:rPr>
          <w:rFonts w:hint="eastAsia" w:ascii="宋体" w:eastAsia="宋体" w:cs="Times New Roman"/>
          <w:b w:val="0"/>
          <w:bCs w:val="0"/>
          <w:color w:val="auto"/>
          <w:sz w:val="22"/>
          <w:szCs w:val="22"/>
          <w:highlight w:val="none"/>
        </w:rPr>
        <w:t>使用单位</w:t>
      </w:r>
      <w:r>
        <w:rPr>
          <w:rFonts w:ascii="宋体" w:eastAsia="宋体" w:cs="Times New Roman"/>
          <w:b w:val="0"/>
          <w:bCs w:val="0"/>
          <w:color w:val="auto"/>
          <w:sz w:val="22"/>
          <w:szCs w:val="22"/>
          <w:highlight w:val="none"/>
        </w:rPr>
        <w:t>检验合格，所有的技术资料和清单已向</w:t>
      </w:r>
      <w:r>
        <w:rPr>
          <w:rFonts w:hint="eastAsia" w:ascii="宋体" w:eastAsia="宋体" w:cs="Times New Roman"/>
          <w:b w:val="0"/>
          <w:bCs w:val="0"/>
          <w:color w:val="auto"/>
          <w:sz w:val="22"/>
          <w:szCs w:val="22"/>
          <w:highlight w:val="none"/>
        </w:rPr>
        <w:t>采购人</w:t>
      </w:r>
      <w:r>
        <w:rPr>
          <w:rFonts w:ascii="宋体" w:eastAsia="宋体" w:cs="Times New Roman"/>
          <w:b w:val="0"/>
          <w:bCs w:val="0"/>
          <w:color w:val="auto"/>
          <w:sz w:val="22"/>
          <w:szCs w:val="22"/>
          <w:highlight w:val="none"/>
        </w:rPr>
        <w:t>提交并被接受，验收视为合格</w:t>
      </w:r>
      <w:r>
        <w:rPr>
          <w:rFonts w:hint="eastAsia" w:ascii="宋体" w:eastAsia="宋体" w:cs="Times New Roman"/>
          <w:b w:val="0"/>
          <w:bCs w:val="0"/>
          <w:color w:val="auto"/>
          <w:sz w:val="22"/>
          <w:szCs w:val="22"/>
          <w:highlight w:val="none"/>
        </w:rPr>
        <w:t>，采购人可以委托浙江省或温州市产品质量监督单位按投标承诺的材质核对鉴定。如有不符者给予退货，并对中标供应商处以合同总金额30%的违约金罚款。</w:t>
      </w:r>
    </w:p>
    <w:p w14:paraId="72234FC0">
      <w:pPr>
        <w:widowControl/>
        <w:tabs>
          <w:tab w:val="left" w:pos="785"/>
        </w:tabs>
        <w:autoSpaceDE w:val="0"/>
        <w:autoSpaceDN w:val="0"/>
        <w:adjustRightInd w:val="0"/>
        <w:snapToGrid w:val="0"/>
        <w:spacing w:line="440" w:lineRule="atLeast"/>
        <w:ind w:firstLine="442" w:firstLineChars="200"/>
        <w:textAlignment w:val="bottom"/>
        <w:rPr>
          <w:rFonts w:hint="eastAsia" w:ascii="宋体" w:eastAsia="宋体"/>
          <w:color w:val="auto"/>
          <w:sz w:val="22"/>
          <w:szCs w:val="22"/>
          <w:highlight w:val="none"/>
        </w:rPr>
      </w:pPr>
      <w:bookmarkStart w:id="31" w:name="_Toc32231"/>
      <w:r>
        <w:rPr>
          <w:rFonts w:hint="eastAsia" w:ascii="宋体" w:eastAsia="宋体"/>
          <w:color w:val="auto"/>
          <w:sz w:val="22"/>
          <w:szCs w:val="22"/>
          <w:highlight w:val="none"/>
          <w:lang w:val="en-US" w:eastAsia="zh-CN"/>
        </w:rPr>
        <w:t>5</w:t>
      </w:r>
      <w:r>
        <w:rPr>
          <w:rFonts w:hint="eastAsia" w:ascii="宋体" w:eastAsia="宋体"/>
          <w:color w:val="auto"/>
          <w:sz w:val="22"/>
          <w:szCs w:val="22"/>
          <w:highlight w:val="none"/>
          <w:lang w:eastAsia="zh-CN"/>
        </w:rPr>
        <w:t>.</w:t>
      </w:r>
      <w:r>
        <w:rPr>
          <w:rFonts w:hint="eastAsia" w:ascii="宋体" w:eastAsia="宋体"/>
          <w:color w:val="auto"/>
          <w:sz w:val="22"/>
          <w:szCs w:val="22"/>
          <w:highlight w:val="none"/>
        </w:rPr>
        <w:t>交货时间：</w:t>
      </w:r>
      <w:r>
        <w:rPr>
          <w:rFonts w:hint="eastAsia" w:ascii="宋体" w:eastAsia="宋体"/>
          <w:color w:val="auto"/>
          <w:sz w:val="22"/>
          <w:szCs w:val="22"/>
          <w:highlight w:val="none"/>
          <w:lang w:val="en-US" w:eastAsia="zh-CN"/>
        </w:rPr>
        <w:t>2025年8月10日前</w:t>
      </w:r>
      <w:r>
        <w:rPr>
          <w:rFonts w:hint="eastAsia" w:ascii="宋体" w:eastAsia="宋体"/>
          <w:color w:val="auto"/>
          <w:sz w:val="22"/>
          <w:szCs w:val="22"/>
          <w:highlight w:val="none"/>
        </w:rPr>
        <w:t>提交全部货物</w:t>
      </w:r>
      <w:r>
        <w:rPr>
          <w:rFonts w:hint="eastAsia" w:ascii="宋体" w:eastAsia="宋体"/>
          <w:color w:val="auto"/>
          <w:sz w:val="22"/>
          <w:szCs w:val="22"/>
          <w:highlight w:val="none"/>
          <w:lang w:val="en-US" w:eastAsia="zh-CN"/>
        </w:rPr>
        <w:t>并安装完成</w:t>
      </w:r>
      <w:r>
        <w:rPr>
          <w:rFonts w:hint="eastAsia" w:ascii="宋体" w:eastAsia="宋体"/>
          <w:color w:val="auto"/>
          <w:sz w:val="22"/>
          <w:szCs w:val="22"/>
          <w:highlight w:val="none"/>
        </w:rPr>
        <w:t>，逾期将扣除全部履约保证金。</w:t>
      </w:r>
    </w:p>
    <w:p w14:paraId="61B66171">
      <w:pPr>
        <w:widowControl/>
        <w:tabs>
          <w:tab w:val="left" w:pos="785"/>
        </w:tabs>
        <w:autoSpaceDE w:val="0"/>
        <w:autoSpaceDN w:val="0"/>
        <w:adjustRightInd w:val="0"/>
        <w:snapToGrid w:val="0"/>
        <w:spacing w:line="440" w:lineRule="atLeast"/>
        <w:ind w:firstLine="440" w:firstLineChars="200"/>
        <w:textAlignment w:val="bottom"/>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6.其他要求</w:t>
      </w:r>
    </w:p>
    <w:p w14:paraId="01275EBA">
      <w:pPr>
        <w:snapToGrid w:val="0"/>
        <w:spacing w:line="460" w:lineRule="atLeast"/>
        <w:ind w:firstLine="440" w:firstLineChars="200"/>
        <w:rPr>
          <w:rFonts w:hint="eastAsia" w:ascii="宋体" w:hAnsi="宋体" w:eastAsia="宋体" w:cs="Times New Roman"/>
          <w:b w:val="0"/>
          <w:bCs w:val="0"/>
          <w:color w:val="auto"/>
          <w:sz w:val="22"/>
          <w:szCs w:val="22"/>
          <w:highlight w:val="none"/>
        </w:rPr>
      </w:pPr>
      <w:r>
        <w:rPr>
          <w:rFonts w:hint="eastAsia" w:ascii="宋体" w:hAnsi="宋体" w:eastAsia="宋体" w:cs="宋体"/>
          <w:b w:val="0"/>
          <w:bCs/>
          <w:color w:val="auto"/>
          <w:sz w:val="22"/>
          <w:szCs w:val="22"/>
          <w:highlight w:val="none"/>
          <w:lang w:val="en-US" w:eastAsia="zh-CN"/>
        </w:rPr>
        <w:t>1）</w:t>
      </w:r>
      <w:r>
        <w:rPr>
          <w:rFonts w:hint="eastAsia" w:ascii="宋体" w:hAnsi="宋体" w:eastAsia="宋体" w:cs="宋体"/>
          <w:b w:val="0"/>
          <w:bCs/>
          <w:color w:val="auto"/>
          <w:sz w:val="22"/>
          <w:szCs w:val="22"/>
          <w:highlight w:val="none"/>
        </w:rPr>
        <w:t>采购人可以根据实际需要，调整采购数量，如有数量调整，按实际数量与中标单价调整合同</w:t>
      </w:r>
      <w:r>
        <w:rPr>
          <w:rFonts w:hint="eastAsia" w:ascii="宋体" w:hAnsi="宋体" w:eastAsia="宋体" w:cs="Times New Roman"/>
          <w:b w:val="0"/>
          <w:bCs w:val="0"/>
          <w:color w:val="auto"/>
          <w:sz w:val="22"/>
          <w:szCs w:val="22"/>
          <w:highlight w:val="none"/>
        </w:rPr>
        <w:t>金额。</w:t>
      </w:r>
    </w:p>
    <w:p w14:paraId="7F592445">
      <w:pPr>
        <w:snapToGrid w:val="0"/>
        <w:spacing w:line="460" w:lineRule="atLeast"/>
        <w:ind w:firstLine="440" w:firstLineChars="200"/>
        <w:rPr>
          <w:rFonts w:hint="eastAsia" w:ascii="宋体" w:hAnsi="宋体" w:eastAsia="宋体" w:cs="Times New Roman"/>
          <w:b w:val="0"/>
          <w:bCs w:val="0"/>
          <w:color w:val="auto"/>
          <w:sz w:val="22"/>
          <w:szCs w:val="22"/>
          <w:highlight w:val="none"/>
        </w:rPr>
      </w:pPr>
      <w:r>
        <w:rPr>
          <w:rFonts w:hint="eastAsia" w:ascii="宋体" w:hAnsi="宋体" w:eastAsia="宋体" w:cs="宋体"/>
          <w:b w:val="0"/>
          <w:bCs/>
          <w:color w:val="auto"/>
          <w:sz w:val="22"/>
          <w:szCs w:val="22"/>
          <w:highlight w:val="none"/>
          <w:lang w:val="en-US" w:eastAsia="zh-CN"/>
        </w:rPr>
        <w:t>2）</w:t>
      </w:r>
      <w:r>
        <w:rPr>
          <w:rFonts w:hint="eastAsia" w:ascii="宋体" w:hAnsi="宋体" w:eastAsia="宋体" w:cs="Times New Roman"/>
          <w:b w:val="0"/>
          <w:bCs w:val="0"/>
          <w:color w:val="auto"/>
          <w:sz w:val="22"/>
          <w:szCs w:val="22"/>
          <w:highlight w:val="none"/>
        </w:rPr>
        <w:t>交货后采购人可以委托浙江省或温州市产品质量监督单位按投标承诺的材质核对鉴定及环保鉴定。如有不符者给予退货，中标供应商按违约处理。</w:t>
      </w:r>
    </w:p>
    <w:p w14:paraId="5711AB36">
      <w:pPr>
        <w:snapToGrid w:val="0"/>
        <w:spacing w:line="460" w:lineRule="atLeast"/>
        <w:rPr>
          <w:rFonts w:hint="eastAsia" w:ascii="宋体" w:eastAsia="宋体" w:cs="Times New Roman"/>
          <w:bCs w:val="0"/>
          <w:color w:val="auto"/>
          <w:sz w:val="22"/>
          <w:szCs w:val="22"/>
          <w:highlight w:val="none"/>
        </w:rPr>
      </w:pPr>
      <w:r>
        <w:rPr>
          <w:rFonts w:hint="eastAsia" w:ascii="宋体" w:eastAsia="宋体" w:cs="Times New Roman"/>
          <w:bCs w:val="0"/>
          <w:color w:val="auto"/>
          <w:sz w:val="22"/>
          <w:szCs w:val="22"/>
          <w:highlight w:val="none"/>
          <w:lang w:val="en-US" w:eastAsia="zh-CN"/>
        </w:rPr>
        <w:t>四</w:t>
      </w:r>
      <w:r>
        <w:rPr>
          <w:rFonts w:hint="eastAsia" w:ascii="宋体" w:eastAsia="宋体" w:cs="Times New Roman"/>
          <w:bCs w:val="0"/>
          <w:color w:val="auto"/>
          <w:sz w:val="22"/>
          <w:szCs w:val="22"/>
          <w:highlight w:val="none"/>
        </w:rPr>
        <w:t>、工作范围</w:t>
      </w:r>
      <w:bookmarkEnd w:id="31"/>
    </w:p>
    <w:p w14:paraId="25B9B6E4">
      <w:pPr>
        <w:adjustRightInd w:val="0"/>
        <w:snapToGrid w:val="0"/>
        <w:spacing w:line="460" w:lineRule="atLeast"/>
        <w:ind w:firstLine="440" w:firstLineChars="200"/>
        <w:rPr>
          <w:rFonts w:hint="eastAsia" w:ascii="宋体" w:eastAsia="宋体"/>
          <w:b w:val="0"/>
          <w:color w:val="auto"/>
          <w:sz w:val="22"/>
          <w:szCs w:val="22"/>
          <w:highlight w:val="none"/>
        </w:rPr>
      </w:pPr>
      <w:r>
        <w:rPr>
          <w:rFonts w:hint="eastAsia" w:ascii="宋体" w:eastAsia="宋体"/>
          <w:b w:val="0"/>
          <w:color w:val="auto"/>
          <w:sz w:val="22"/>
          <w:szCs w:val="22"/>
          <w:highlight w:val="none"/>
        </w:rPr>
        <w:t>根据招标文件，各供应商须按国家有关标准及规范完成下列工作：</w:t>
      </w:r>
    </w:p>
    <w:p w14:paraId="2E095A21">
      <w:pPr>
        <w:tabs>
          <w:tab w:val="left" w:pos="1740"/>
        </w:tabs>
        <w:adjustRightInd w:val="0"/>
        <w:snapToGrid w:val="0"/>
        <w:spacing w:line="460" w:lineRule="atLeast"/>
        <w:ind w:firstLine="431" w:firstLineChars="196"/>
        <w:rPr>
          <w:rFonts w:hint="eastAsia" w:ascii="宋体" w:eastAsia="宋体"/>
          <w:b w:val="0"/>
          <w:color w:val="auto"/>
          <w:sz w:val="22"/>
          <w:szCs w:val="22"/>
          <w:highlight w:val="none"/>
        </w:rPr>
      </w:pPr>
      <w:r>
        <w:rPr>
          <w:rFonts w:hint="eastAsia" w:ascii="宋体" w:eastAsia="宋体"/>
          <w:b w:val="0"/>
          <w:color w:val="auto"/>
          <w:sz w:val="22"/>
          <w:szCs w:val="22"/>
          <w:highlight w:val="none"/>
        </w:rPr>
        <w:t>1.提供完整成套的货物</w:t>
      </w:r>
    </w:p>
    <w:p w14:paraId="514C8AFF">
      <w:pPr>
        <w:adjustRightInd w:val="0"/>
        <w:snapToGrid w:val="0"/>
        <w:spacing w:line="460" w:lineRule="atLeast"/>
        <w:ind w:firstLine="431" w:firstLineChars="196"/>
        <w:rPr>
          <w:rFonts w:hint="eastAsia" w:ascii="宋体" w:eastAsia="宋体"/>
          <w:b w:val="0"/>
          <w:color w:val="auto"/>
          <w:sz w:val="22"/>
          <w:szCs w:val="22"/>
          <w:highlight w:val="none"/>
          <w:u w:val="single"/>
        </w:rPr>
      </w:pPr>
      <w:r>
        <w:rPr>
          <w:rFonts w:hint="eastAsia" w:ascii="宋体" w:eastAsia="宋体"/>
          <w:b w:val="0"/>
          <w:color w:val="auto"/>
          <w:sz w:val="22"/>
          <w:szCs w:val="22"/>
          <w:highlight w:val="none"/>
          <w:u w:val="single"/>
        </w:rPr>
        <w:t>2.产品及相关附件的提供、运输、装卸、就位、安装、调试、检验、通过验收；</w:t>
      </w:r>
    </w:p>
    <w:p w14:paraId="7B101F8D">
      <w:pPr>
        <w:tabs>
          <w:tab w:val="left" w:pos="1740"/>
        </w:tabs>
        <w:adjustRightInd w:val="0"/>
        <w:snapToGrid w:val="0"/>
        <w:spacing w:line="460" w:lineRule="atLeast"/>
        <w:ind w:firstLine="431" w:firstLineChars="196"/>
        <w:rPr>
          <w:rFonts w:hint="eastAsia" w:ascii="宋体" w:eastAsia="宋体"/>
          <w:b w:val="0"/>
          <w:color w:val="auto"/>
          <w:sz w:val="22"/>
          <w:szCs w:val="22"/>
          <w:highlight w:val="none"/>
        </w:rPr>
      </w:pPr>
      <w:r>
        <w:rPr>
          <w:rFonts w:hint="eastAsia" w:ascii="宋体" w:eastAsia="宋体"/>
          <w:b w:val="0"/>
          <w:color w:val="auto"/>
          <w:sz w:val="22"/>
          <w:szCs w:val="22"/>
          <w:highlight w:val="none"/>
        </w:rPr>
        <w:t>3.完成各项安装、调试、检验、测试等工作，并在采购人的配合下通过的验收；提供各种数据资料；直至通过验收。</w:t>
      </w:r>
    </w:p>
    <w:p w14:paraId="21367502">
      <w:pPr>
        <w:adjustRightInd w:val="0"/>
        <w:snapToGrid w:val="0"/>
        <w:spacing w:line="460" w:lineRule="atLeast"/>
        <w:ind w:firstLine="431" w:firstLineChars="196"/>
        <w:rPr>
          <w:rFonts w:hint="eastAsia" w:ascii="宋体" w:eastAsia="宋体"/>
          <w:b w:val="0"/>
          <w:color w:val="auto"/>
          <w:sz w:val="22"/>
          <w:szCs w:val="22"/>
          <w:highlight w:val="none"/>
        </w:rPr>
      </w:pPr>
      <w:r>
        <w:rPr>
          <w:rFonts w:hint="eastAsia" w:ascii="宋体" w:eastAsia="宋体"/>
          <w:b w:val="0"/>
          <w:color w:val="auto"/>
          <w:sz w:val="22"/>
          <w:szCs w:val="22"/>
          <w:highlight w:val="none"/>
        </w:rPr>
        <w:t>4.对最终使用单位的操作人员及维修人员进行技术培训；</w:t>
      </w:r>
    </w:p>
    <w:p w14:paraId="6A3B9466">
      <w:pPr>
        <w:adjustRightInd w:val="0"/>
        <w:snapToGrid w:val="0"/>
        <w:spacing w:line="460" w:lineRule="atLeast"/>
        <w:ind w:firstLine="431" w:firstLineChars="196"/>
        <w:rPr>
          <w:rFonts w:hint="eastAsia" w:ascii="宋体" w:eastAsia="宋体"/>
          <w:b w:val="0"/>
          <w:color w:val="auto"/>
          <w:sz w:val="22"/>
          <w:szCs w:val="22"/>
          <w:highlight w:val="none"/>
        </w:rPr>
      </w:pPr>
      <w:r>
        <w:rPr>
          <w:rFonts w:hint="eastAsia" w:ascii="宋体" w:eastAsia="宋体"/>
          <w:b w:val="0"/>
          <w:color w:val="auto"/>
          <w:sz w:val="22"/>
          <w:szCs w:val="22"/>
          <w:highlight w:val="none"/>
        </w:rPr>
        <w:t>5.质保期内维保及维修及质保期后终身维修；</w:t>
      </w:r>
    </w:p>
    <w:p w14:paraId="07B9608F">
      <w:pPr>
        <w:adjustRightInd w:val="0"/>
        <w:snapToGrid w:val="0"/>
        <w:spacing w:line="460" w:lineRule="atLeast"/>
        <w:ind w:firstLine="431" w:firstLineChars="196"/>
        <w:rPr>
          <w:rFonts w:hint="eastAsia" w:ascii="宋体" w:eastAsia="宋体"/>
          <w:b w:val="0"/>
          <w:color w:val="auto"/>
          <w:sz w:val="22"/>
          <w:szCs w:val="22"/>
          <w:highlight w:val="none"/>
        </w:rPr>
      </w:pPr>
      <w:r>
        <w:rPr>
          <w:rFonts w:hint="eastAsia" w:ascii="宋体" w:eastAsia="宋体"/>
          <w:b w:val="0"/>
          <w:color w:val="auto"/>
          <w:sz w:val="22"/>
          <w:szCs w:val="22"/>
          <w:highlight w:val="none"/>
        </w:rPr>
        <w:t>6.售后服务的措施及承诺。</w:t>
      </w:r>
    </w:p>
    <w:p w14:paraId="2ED4AADB">
      <w:pPr>
        <w:tabs>
          <w:tab w:val="left" w:pos="1740"/>
        </w:tabs>
        <w:adjustRightInd w:val="0"/>
        <w:snapToGrid w:val="0"/>
        <w:spacing w:line="460" w:lineRule="atLeast"/>
        <w:ind w:firstLine="431" w:firstLineChars="196"/>
        <w:rPr>
          <w:rFonts w:hint="eastAsia" w:ascii="宋体" w:eastAsia="宋体"/>
          <w:b w:val="0"/>
          <w:color w:val="auto"/>
          <w:sz w:val="22"/>
          <w:szCs w:val="22"/>
          <w:highlight w:val="none"/>
          <w:u w:val="single"/>
        </w:rPr>
      </w:pPr>
      <w:r>
        <w:rPr>
          <w:rFonts w:hint="eastAsia" w:ascii="宋体" w:eastAsia="宋体"/>
          <w:b w:val="0"/>
          <w:color w:val="auto"/>
          <w:sz w:val="22"/>
          <w:szCs w:val="22"/>
          <w:highlight w:val="none"/>
          <w:u w:val="single"/>
        </w:rPr>
        <w:t>以上工作内容的费用均包含在报价总价中。</w:t>
      </w:r>
    </w:p>
    <w:p w14:paraId="74E04F15">
      <w:pPr>
        <w:pStyle w:val="45"/>
        <w:rPr>
          <w:rFonts w:hint="eastAsia" w:ascii="宋体" w:eastAsia="宋体"/>
          <w:b w:val="0"/>
          <w:color w:val="auto"/>
          <w:sz w:val="22"/>
          <w:szCs w:val="22"/>
          <w:highlight w:val="none"/>
          <w:u w:val="single"/>
        </w:rPr>
      </w:pPr>
    </w:p>
    <w:p w14:paraId="192923B2">
      <w:pPr>
        <w:rPr>
          <w:rFonts w:hint="eastAsia" w:ascii="宋体" w:eastAsia="宋体"/>
          <w:b w:val="0"/>
          <w:color w:val="auto"/>
          <w:sz w:val="22"/>
          <w:szCs w:val="22"/>
          <w:highlight w:val="none"/>
          <w:u w:val="single"/>
        </w:rPr>
      </w:pPr>
    </w:p>
    <w:p w14:paraId="2EDC96C4">
      <w:pPr>
        <w:pStyle w:val="45"/>
        <w:rPr>
          <w:rFonts w:hint="eastAsia" w:ascii="宋体" w:eastAsia="宋体"/>
          <w:b w:val="0"/>
          <w:color w:val="auto"/>
          <w:sz w:val="22"/>
          <w:szCs w:val="22"/>
          <w:highlight w:val="none"/>
          <w:u w:val="single"/>
        </w:rPr>
      </w:pPr>
    </w:p>
    <w:p w14:paraId="5AFDCE77">
      <w:pPr>
        <w:rPr>
          <w:rFonts w:hint="eastAsia" w:ascii="宋体" w:eastAsia="宋体"/>
          <w:b w:val="0"/>
          <w:color w:val="auto"/>
          <w:sz w:val="22"/>
          <w:szCs w:val="22"/>
          <w:highlight w:val="none"/>
          <w:u w:val="single"/>
        </w:rPr>
      </w:pPr>
    </w:p>
    <w:p w14:paraId="6E127175">
      <w:pPr>
        <w:pStyle w:val="45"/>
        <w:rPr>
          <w:rFonts w:hint="eastAsia" w:ascii="宋体" w:eastAsia="宋体"/>
          <w:b w:val="0"/>
          <w:color w:val="auto"/>
          <w:sz w:val="22"/>
          <w:szCs w:val="22"/>
          <w:highlight w:val="none"/>
          <w:u w:val="single"/>
        </w:rPr>
      </w:pPr>
    </w:p>
    <w:p w14:paraId="19D7F7C4">
      <w:pPr>
        <w:rPr>
          <w:rFonts w:hint="eastAsia" w:ascii="宋体" w:eastAsia="宋体"/>
          <w:b w:val="0"/>
          <w:color w:val="auto"/>
          <w:sz w:val="22"/>
          <w:szCs w:val="22"/>
          <w:highlight w:val="none"/>
          <w:u w:val="single"/>
        </w:rPr>
      </w:pPr>
    </w:p>
    <w:p w14:paraId="5B16E973">
      <w:pPr>
        <w:rPr>
          <w:rFonts w:hint="eastAsia" w:ascii="宋体" w:eastAsia="宋体"/>
          <w:b w:val="0"/>
          <w:color w:val="auto"/>
          <w:sz w:val="22"/>
          <w:szCs w:val="22"/>
          <w:highlight w:val="none"/>
          <w:u w:val="single"/>
        </w:rPr>
      </w:pPr>
    </w:p>
    <w:p w14:paraId="6BDE202E">
      <w:pPr>
        <w:rPr>
          <w:rFonts w:hint="eastAsia" w:ascii="宋体" w:eastAsia="宋体"/>
          <w:b w:val="0"/>
          <w:color w:val="auto"/>
          <w:sz w:val="22"/>
          <w:szCs w:val="22"/>
          <w:highlight w:val="none"/>
          <w:u w:val="single"/>
        </w:rPr>
      </w:pPr>
    </w:p>
    <w:p w14:paraId="66C8833B">
      <w:pPr>
        <w:rPr>
          <w:rFonts w:hint="eastAsia" w:ascii="宋体" w:eastAsia="宋体"/>
          <w:b w:val="0"/>
          <w:color w:val="auto"/>
          <w:sz w:val="22"/>
          <w:szCs w:val="22"/>
          <w:highlight w:val="none"/>
          <w:u w:val="single"/>
        </w:rPr>
      </w:pPr>
    </w:p>
    <w:p w14:paraId="226D9097">
      <w:pPr>
        <w:rPr>
          <w:rFonts w:hint="eastAsia" w:ascii="宋体" w:eastAsia="宋体"/>
          <w:b w:val="0"/>
          <w:color w:val="auto"/>
          <w:sz w:val="22"/>
          <w:szCs w:val="22"/>
          <w:highlight w:val="none"/>
          <w:u w:val="single"/>
        </w:rPr>
      </w:pPr>
    </w:p>
    <w:bookmarkEnd w:id="26"/>
    <w:bookmarkEnd w:id="27"/>
    <w:p w14:paraId="30513039">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049B61BA">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2ACAC6F6">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2CBE11C4">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45B2678B">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26F228EE">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1F1CCD9C">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155C434D">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641D8FCD">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4243083D">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2231ACE5">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lang w:val="en-US" w:eastAsia="zh-CN"/>
        </w:rPr>
        <w:t xml:space="preserve">第四部分 </w:t>
      </w:r>
      <w:r>
        <w:rPr>
          <w:rFonts w:hint="eastAsia" w:ascii="宋体" w:hAnsi="宋体" w:eastAsia="宋体" w:cs="宋体"/>
          <w:b/>
          <w:color w:val="auto"/>
          <w:kern w:val="0"/>
          <w:sz w:val="32"/>
          <w:szCs w:val="32"/>
          <w:highlight w:val="none"/>
        </w:rPr>
        <w:t>评标办法</w:t>
      </w:r>
    </w:p>
    <w:p w14:paraId="35B5BF60">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评标办法前附表</w:t>
      </w:r>
    </w:p>
    <w:tbl>
      <w:tblPr>
        <w:tblStyle w:val="48"/>
        <w:tblW w:w="96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1142"/>
        <w:gridCol w:w="4987"/>
        <w:gridCol w:w="850"/>
        <w:gridCol w:w="855"/>
        <w:gridCol w:w="1161"/>
      </w:tblGrid>
      <w:tr w14:paraId="6CE97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jc w:val="center"/>
        </w:trPr>
        <w:tc>
          <w:tcPr>
            <w:tcW w:w="638" w:type="dxa"/>
            <w:vAlign w:val="center"/>
          </w:tcPr>
          <w:p w14:paraId="0388B9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序号</w:t>
            </w:r>
          </w:p>
        </w:tc>
        <w:tc>
          <w:tcPr>
            <w:tcW w:w="1142" w:type="dxa"/>
            <w:vAlign w:val="center"/>
          </w:tcPr>
          <w:p w14:paraId="621AF9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评审内容</w:t>
            </w:r>
          </w:p>
        </w:tc>
        <w:tc>
          <w:tcPr>
            <w:tcW w:w="4987" w:type="dxa"/>
            <w:vAlign w:val="center"/>
          </w:tcPr>
          <w:p w14:paraId="29B3EE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评标标准</w:t>
            </w:r>
          </w:p>
        </w:tc>
        <w:tc>
          <w:tcPr>
            <w:tcW w:w="850" w:type="dxa"/>
            <w:vAlign w:val="center"/>
          </w:tcPr>
          <w:p w14:paraId="7F2F45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分值</w:t>
            </w:r>
          </w:p>
        </w:tc>
        <w:tc>
          <w:tcPr>
            <w:tcW w:w="855" w:type="dxa"/>
            <w:vAlign w:val="center"/>
          </w:tcPr>
          <w:p w14:paraId="643FB6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分值类型</w:t>
            </w:r>
          </w:p>
        </w:tc>
        <w:tc>
          <w:tcPr>
            <w:tcW w:w="1161" w:type="dxa"/>
            <w:vAlign w:val="center"/>
          </w:tcPr>
          <w:p w14:paraId="1D30A5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投标文件中评标标准相应的商务技术资料目录</w:t>
            </w:r>
          </w:p>
        </w:tc>
      </w:tr>
      <w:tr w14:paraId="15F73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9633" w:type="dxa"/>
            <w:gridSpan w:val="6"/>
            <w:vAlign w:val="center"/>
          </w:tcPr>
          <w:p w14:paraId="763CEEF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kern w:val="28"/>
                <w:sz w:val="22"/>
                <w:szCs w:val="22"/>
                <w:highlight w:val="none"/>
              </w:rPr>
              <w:t>（一）商务技术（70分）</w:t>
            </w:r>
          </w:p>
        </w:tc>
      </w:tr>
      <w:tr w14:paraId="26B14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1" w:hRule="atLeast"/>
          <w:jc w:val="center"/>
        </w:trPr>
        <w:tc>
          <w:tcPr>
            <w:tcW w:w="638" w:type="dxa"/>
            <w:vAlign w:val="center"/>
          </w:tcPr>
          <w:p w14:paraId="7EE05607">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1</w:t>
            </w:r>
          </w:p>
        </w:tc>
        <w:tc>
          <w:tcPr>
            <w:tcW w:w="1142" w:type="dxa"/>
            <w:vAlign w:val="center"/>
          </w:tcPr>
          <w:p w14:paraId="40F0F4E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技术参数</w:t>
            </w:r>
          </w:p>
        </w:tc>
        <w:tc>
          <w:tcPr>
            <w:tcW w:w="4987" w:type="dxa"/>
            <w:shd w:val="clear" w:color="auto" w:fill="auto"/>
            <w:vAlign w:val="center"/>
          </w:tcPr>
          <w:p w14:paraId="4C8D71BD">
            <w:pPr>
              <w:keepNext w:val="0"/>
              <w:keepLines w:val="0"/>
              <w:widowControl/>
              <w:suppressLineNumbers w:val="0"/>
              <w:jc w:val="left"/>
              <w:textAlignment w:val="center"/>
              <w:rPr>
                <w:rFonts w:hint="eastAsia" w:ascii="宋体" w:hAnsi="宋体" w:eastAsia="宋体" w:cs="宋体"/>
                <w:b w:val="0"/>
                <w:bCs/>
                <w:i w:val="0"/>
                <w:iCs w:val="0"/>
                <w:color w:val="auto"/>
                <w:sz w:val="22"/>
                <w:szCs w:val="22"/>
                <w:highlight w:val="none"/>
                <w:u w:val="none"/>
                <w:lang w:val="en-US" w:eastAsia="zh-CN" w:bidi="ar-SA"/>
              </w:rPr>
            </w:pPr>
            <w:r>
              <w:rPr>
                <w:rFonts w:hint="eastAsia" w:ascii="宋体" w:hAnsi="宋体" w:eastAsia="宋体" w:cs="宋体"/>
                <w:b w:val="0"/>
                <w:bCs/>
                <w:color w:val="auto"/>
                <w:sz w:val="22"/>
                <w:szCs w:val="22"/>
                <w:highlight w:val="none"/>
                <w:lang w:val="en-US" w:eastAsia="zh-CN"/>
              </w:rPr>
              <w:t>投标人所投产品完全满足或优于招标文件技术要求得32分。标★技术参数要求每1条不满足扣2分，非标★技术参数要求每1条不满足扣1分，扣完为止。要求提供检测报告的参数项以检测报告为证明材料。</w:t>
            </w:r>
          </w:p>
        </w:tc>
        <w:tc>
          <w:tcPr>
            <w:tcW w:w="850" w:type="dxa"/>
            <w:vAlign w:val="center"/>
          </w:tcPr>
          <w:p w14:paraId="06FBC819">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kern w:val="28"/>
                <w:sz w:val="22"/>
                <w:szCs w:val="22"/>
                <w:highlight w:val="none"/>
                <w:lang w:val="en-US" w:eastAsia="zh-CN"/>
              </w:rPr>
            </w:pPr>
            <w:r>
              <w:rPr>
                <w:rFonts w:hint="eastAsia" w:ascii="宋体" w:hAnsi="宋体" w:eastAsia="宋体" w:cs="宋体"/>
                <w:b w:val="0"/>
                <w:bCs/>
                <w:color w:val="auto"/>
                <w:kern w:val="28"/>
                <w:sz w:val="22"/>
                <w:szCs w:val="22"/>
                <w:highlight w:val="none"/>
                <w:lang w:val="en-US" w:eastAsia="zh-CN"/>
              </w:rPr>
              <w:t>32分</w:t>
            </w:r>
          </w:p>
        </w:tc>
        <w:tc>
          <w:tcPr>
            <w:tcW w:w="855" w:type="dxa"/>
            <w:vAlign w:val="center"/>
          </w:tcPr>
          <w:p w14:paraId="269469A9">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kern w:val="28"/>
                <w:sz w:val="22"/>
                <w:szCs w:val="22"/>
                <w:highlight w:val="none"/>
              </w:rPr>
            </w:pPr>
            <w:r>
              <w:rPr>
                <w:rFonts w:hint="eastAsia" w:ascii="宋体" w:hAnsi="宋体" w:eastAsia="宋体" w:cs="宋体"/>
                <w:b w:val="0"/>
                <w:bCs/>
                <w:color w:val="auto"/>
                <w:kern w:val="28"/>
                <w:sz w:val="22"/>
                <w:szCs w:val="22"/>
                <w:highlight w:val="none"/>
              </w:rPr>
              <w:t>客观分</w:t>
            </w:r>
          </w:p>
        </w:tc>
        <w:tc>
          <w:tcPr>
            <w:tcW w:w="1161" w:type="dxa"/>
            <w:vAlign w:val="center"/>
          </w:tcPr>
          <w:p w14:paraId="626B2C40">
            <w:pPr>
              <w:spacing w:line="360" w:lineRule="auto"/>
              <w:jc w:val="center"/>
              <w:rPr>
                <w:rFonts w:hint="eastAsia" w:ascii="宋体" w:hAnsi="宋体" w:eastAsia="宋体" w:cs="宋体"/>
                <w:b w:val="0"/>
                <w:bCs/>
                <w:color w:val="auto"/>
                <w:sz w:val="22"/>
                <w:szCs w:val="22"/>
                <w:highlight w:val="none"/>
                <w:lang w:val="en-US" w:eastAsia="zh-CN"/>
              </w:rPr>
            </w:pPr>
          </w:p>
        </w:tc>
      </w:tr>
      <w:tr w14:paraId="08C1D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1" w:hRule="atLeast"/>
          <w:jc w:val="center"/>
        </w:trPr>
        <w:tc>
          <w:tcPr>
            <w:tcW w:w="638" w:type="dxa"/>
            <w:vAlign w:val="center"/>
          </w:tcPr>
          <w:p w14:paraId="17C735ED">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2</w:t>
            </w:r>
          </w:p>
        </w:tc>
        <w:tc>
          <w:tcPr>
            <w:tcW w:w="1142" w:type="dxa"/>
            <w:vAlign w:val="center"/>
          </w:tcPr>
          <w:p w14:paraId="11CC8294">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kern w:val="2"/>
                <w:sz w:val="22"/>
                <w:szCs w:val="22"/>
                <w:highlight w:val="none"/>
                <w:lang w:val="en-US" w:eastAsia="zh-CN" w:bidi="ar-SA"/>
              </w:rPr>
            </w:pPr>
            <w:r>
              <w:rPr>
                <w:rFonts w:hint="eastAsia" w:ascii="宋体" w:hAnsi="宋体" w:eastAsia="宋体" w:cs="宋体"/>
                <w:b w:val="0"/>
                <w:bCs/>
                <w:color w:val="auto"/>
                <w:sz w:val="22"/>
                <w:szCs w:val="22"/>
                <w:highlight w:val="none"/>
                <w:lang w:val="en-US" w:eastAsia="zh-CN"/>
              </w:rPr>
              <w:t>样品</w:t>
            </w:r>
          </w:p>
        </w:tc>
        <w:tc>
          <w:tcPr>
            <w:tcW w:w="4987" w:type="dxa"/>
            <w:vAlign w:val="center"/>
          </w:tcPr>
          <w:p w14:paraId="7106826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i w:val="0"/>
                <w:iCs w:val="0"/>
                <w:color w:val="auto"/>
                <w:kern w:val="0"/>
                <w:sz w:val="22"/>
                <w:szCs w:val="22"/>
                <w:highlight w:val="none"/>
                <w:u w:val="none"/>
                <w:lang w:val="en-US" w:eastAsia="zh-CN" w:bidi="ar"/>
              </w:rPr>
            </w:pPr>
            <w:r>
              <w:rPr>
                <w:rFonts w:hint="eastAsia" w:ascii="宋体" w:hAnsi="宋体" w:eastAsia="宋体" w:cs="宋体"/>
                <w:b w:val="0"/>
                <w:bCs/>
                <w:i w:val="0"/>
                <w:iCs w:val="0"/>
                <w:color w:val="auto"/>
                <w:kern w:val="0"/>
                <w:sz w:val="22"/>
                <w:szCs w:val="22"/>
                <w:highlight w:val="none"/>
                <w:u w:val="none"/>
                <w:lang w:val="en-US" w:eastAsia="zh-CN" w:bidi="ar"/>
              </w:rPr>
              <w:t>评标委员会根据样品造型尺寸与采购需求的符合程度，样品的材质、功能、外观整体效果、制作工艺、安装工艺等进行打分，样品严重偏离采购要求的、未递交样品的或样品数量不全的，样品分为零分：</w:t>
            </w:r>
          </w:p>
          <w:p w14:paraId="59506556">
            <w:pPr>
              <w:keepNext w:val="0"/>
              <w:keepLines w:val="0"/>
              <w:widowControl/>
              <w:suppressLineNumbers w:val="0"/>
              <w:jc w:val="left"/>
              <w:textAlignment w:val="center"/>
              <w:rPr>
                <w:rFonts w:hint="eastAsia" w:ascii="宋体" w:hAnsi="宋体" w:eastAsia="宋体" w:cs="宋体"/>
                <w:b w:val="0"/>
                <w:bCs/>
                <w:i w:val="0"/>
                <w:iCs w:val="0"/>
                <w:color w:val="auto"/>
                <w:kern w:val="0"/>
                <w:sz w:val="22"/>
                <w:szCs w:val="22"/>
                <w:highlight w:val="none"/>
                <w:u w:val="none"/>
                <w:lang w:val="en-US" w:eastAsia="zh-CN" w:bidi="ar"/>
              </w:rPr>
            </w:pPr>
            <w:r>
              <w:rPr>
                <w:rFonts w:hint="eastAsia" w:ascii="宋体" w:hAnsi="宋体" w:eastAsia="宋体" w:cs="宋体"/>
                <w:b w:val="0"/>
                <w:bCs/>
                <w:i w:val="0"/>
                <w:iCs w:val="0"/>
                <w:color w:val="auto"/>
                <w:kern w:val="0"/>
                <w:sz w:val="22"/>
                <w:szCs w:val="22"/>
                <w:highlight w:val="none"/>
                <w:u w:val="none"/>
                <w:lang w:val="en-US" w:eastAsia="zh-CN" w:bidi="ar"/>
              </w:rPr>
              <w:t>1、材质:根据提供样品与招标文件项目需求的材质及要求评定，</w:t>
            </w:r>
            <w:r>
              <w:rPr>
                <w:rFonts w:hint="eastAsia" w:ascii="宋体" w:hAnsi="宋体" w:eastAsia="宋体" w:cs="宋体"/>
                <w:b w:val="0"/>
                <w:bCs/>
                <w:color w:val="auto"/>
                <w:sz w:val="22"/>
                <w:szCs w:val="22"/>
                <w:highlight w:val="none"/>
                <w:vertAlign w:val="baseline"/>
                <w:lang w:val="en-US" w:eastAsia="zh-CN"/>
              </w:rPr>
              <w:t>（评审分值：3,2,1,0）</w:t>
            </w:r>
            <w:r>
              <w:rPr>
                <w:rFonts w:hint="eastAsia" w:ascii="宋体" w:hAnsi="宋体" w:eastAsia="宋体" w:cs="宋体"/>
                <w:b w:val="0"/>
                <w:bCs/>
                <w:i w:val="0"/>
                <w:iCs w:val="0"/>
                <w:color w:val="auto"/>
                <w:kern w:val="0"/>
                <w:sz w:val="22"/>
                <w:szCs w:val="22"/>
                <w:highlight w:val="none"/>
                <w:u w:val="none"/>
                <w:lang w:val="en-US" w:eastAsia="zh-CN" w:bidi="ar"/>
              </w:rPr>
              <w:t>。</w:t>
            </w:r>
          </w:p>
          <w:p w14:paraId="2DCB112C">
            <w:pPr>
              <w:keepNext w:val="0"/>
              <w:keepLines w:val="0"/>
              <w:widowControl/>
              <w:suppressLineNumbers w:val="0"/>
              <w:jc w:val="left"/>
              <w:textAlignment w:val="center"/>
              <w:rPr>
                <w:rFonts w:hint="eastAsia" w:ascii="宋体" w:hAnsi="宋体" w:eastAsia="宋体" w:cs="宋体"/>
                <w:b w:val="0"/>
                <w:bCs/>
                <w:i w:val="0"/>
                <w:iCs w:val="0"/>
                <w:color w:val="auto"/>
                <w:kern w:val="0"/>
                <w:sz w:val="22"/>
                <w:szCs w:val="22"/>
                <w:highlight w:val="none"/>
                <w:u w:val="none"/>
                <w:lang w:val="en-US" w:eastAsia="zh-CN" w:bidi="ar"/>
              </w:rPr>
            </w:pPr>
            <w:r>
              <w:rPr>
                <w:rFonts w:hint="eastAsia" w:ascii="宋体" w:hAnsi="宋体" w:eastAsia="宋体" w:cs="宋体"/>
                <w:b w:val="0"/>
                <w:bCs/>
                <w:i w:val="0"/>
                <w:iCs w:val="0"/>
                <w:color w:val="auto"/>
                <w:kern w:val="0"/>
                <w:sz w:val="22"/>
                <w:szCs w:val="22"/>
                <w:highlight w:val="none"/>
                <w:u w:val="none"/>
                <w:lang w:val="en-US" w:eastAsia="zh-CN" w:bidi="ar"/>
              </w:rPr>
              <w:t>2、结构、功能、牢固等:根据所提供样品的结构合理性、使用功能性、舒适性及牢固度等评定，</w:t>
            </w:r>
            <w:r>
              <w:rPr>
                <w:rFonts w:hint="eastAsia" w:ascii="宋体" w:hAnsi="宋体" w:eastAsia="宋体" w:cs="宋体"/>
                <w:b w:val="0"/>
                <w:bCs/>
                <w:color w:val="auto"/>
                <w:sz w:val="22"/>
                <w:szCs w:val="22"/>
                <w:highlight w:val="none"/>
                <w:vertAlign w:val="baseline"/>
                <w:lang w:val="en-US" w:eastAsia="zh-CN"/>
              </w:rPr>
              <w:t>（评审分值：3,2,1,0）</w:t>
            </w:r>
            <w:r>
              <w:rPr>
                <w:rFonts w:hint="eastAsia" w:ascii="宋体" w:hAnsi="宋体" w:eastAsia="宋体" w:cs="宋体"/>
                <w:b w:val="0"/>
                <w:bCs/>
                <w:i w:val="0"/>
                <w:iCs w:val="0"/>
                <w:color w:val="auto"/>
                <w:kern w:val="0"/>
                <w:sz w:val="22"/>
                <w:szCs w:val="22"/>
                <w:highlight w:val="none"/>
                <w:u w:val="none"/>
                <w:lang w:val="en-US" w:eastAsia="zh-CN" w:bidi="ar"/>
              </w:rPr>
              <w:t>。</w:t>
            </w:r>
          </w:p>
          <w:p w14:paraId="20581954">
            <w:pPr>
              <w:keepNext w:val="0"/>
              <w:keepLines w:val="0"/>
              <w:widowControl/>
              <w:suppressLineNumbers w:val="0"/>
              <w:jc w:val="left"/>
              <w:textAlignment w:val="center"/>
              <w:rPr>
                <w:rFonts w:hint="eastAsia" w:ascii="宋体" w:hAnsi="宋体" w:eastAsia="宋体" w:cs="宋体"/>
                <w:b w:val="0"/>
                <w:bCs/>
                <w:i w:val="0"/>
                <w:iCs w:val="0"/>
                <w:color w:val="auto"/>
                <w:kern w:val="0"/>
                <w:sz w:val="22"/>
                <w:szCs w:val="22"/>
                <w:highlight w:val="none"/>
                <w:u w:val="none"/>
                <w:lang w:val="en-US" w:eastAsia="zh-CN" w:bidi="ar"/>
              </w:rPr>
            </w:pPr>
            <w:r>
              <w:rPr>
                <w:rFonts w:hint="eastAsia" w:ascii="宋体" w:hAnsi="宋体" w:eastAsia="宋体" w:cs="宋体"/>
                <w:b w:val="0"/>
                <w:bCs/>
                <w:i w:val="0"/>
                <w:iCs w:val="0"/>
                <w:color w:val="auto"/>
                <w:kern w:val="0"/>
                <w:sz w:val="22"/>
                <w:szCs w:val="22"/>
                <w:highlight w:val="none"/>
                <w:u w:val="none"/>
                <w:lang w:val="en-US" w:eastAsia="zh-CN" w:bidi="ar"/>
              </w:rPr>
              <w:t>3、制作工艺:根据样品制作工艺、组合结构、样品安装精密度、节点细部处理等评定，</w:t>
            </w:r>
            <w:r>
              <w:rPr>
                <w:rFonts w:hint="eastAsia" w:ascii="宋体" w:hAnsi="宋体" w:eastAsia="宋体" w:cs="宋体"/>
                <w:b w:val="0"/>
                <w:bCs/>
                <w:color w:val="auto"/>
                <w:sz w:val="22"/>
                <w:szCs w:val="22"/>
                <w:highlight w:val="none"/>
                <w:vertAlign w:val="baseline"/>
                <w:lang w:val="en-US" w:eastAsia="zh-CN"/>
              </w:rPr>
              <w:t>（评审分值：2,1,0）</w:t>
            </w:r>
            <w:r>
              <w:rPr>
                <w:rFonts w:hint="eastAsia" w:ascii="宋体" w:hAnsi="宋体" w:eastAsia="宋体" w:cs="宋体"/>
                <w:b w:val="0"/>
                <w:bCs/>
                <w:i w:val="0"/>
                <w:iCs w:val="0"/>
                <w:color w:val="auto"/>
                <w:kern w:val="0"/>
                <w:sz w:val="22"/>
                <w:szCs w:val="22"/>
                <w:highlight w:val="none"/>
                <w:u w:val="none"/>
                <w:lang w:val="en-US" w:eastAsia="zh-CN" w:bidi="ar"/>
              </w:rPr>
              <w:t>。</w:t>
            </w:r>
          </w:p>
          <w:p w14:paraId="1E02158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i w:val="0"/>
                <w:iCs w:val="0"/>
                <w:color w:val="auto"/>
                <w:kern w:val="0"/>
                <w:sz w:val="22"/>
                <w:szCs w:val="22"/>
                <w:highlight w:val="none"/>
                <w:u w:val="none"/>
                <w:lang w:val="en-US" w:eastAsia="zh-CN" w:bidi="ar"/>
              </w:rPr>
              <w:t>4、材料:根据所提供样品材料的反映质量、规格品质等级等评定</w:t>
            </w:r>
            <w:r>
              <w:rPr>
                <w:rFonts w:hint="eastAsia" w:ascii="宋体" w:hAnsi="宋体" w:eastAsia="宋体" w:cs="宋体"/>
                <w:b w:val="0"/>
                <w:bCs/>
                <w:color w:val="auto"/>
                <w:sz w:val="22"/>
                <w:szCs w:val="22"/>
                <w:highlight w:val="none"/>
                <w:vertAlign w:val="baseline"/>
                <w:lang w:val="en-US" w:eastAsia="zh-CN"/>
              </w:rPr>
              <w:t>（评审分值：2,1,0）</w:t>
            </w:r>
            <w:r>
              <w:rPr>
                <w:rFonts w:hint="eastAsia" w:ascii="宋体" w:hAnsi="宋体" w:eastAsia="宋体" w:cs="宋体"/>
                <w:b w:val="0"/>
                <w:bCs/>
                <w:i w:val="0"/>
                <w:iCs w:val="0"/>
                <w:color w:val="auto"/>
                <w:kern w:val="0"/>
                <w:sz w:val="22"/>
                <w:szCs w:val="22"/>
                <w:highlight w:val="none"/>
                <w:u w:val="none"/>
                <w:lang w:val="en-US" w:eastAsia="zh-CN" w:bidi="ar"/>
              </w:rPr>
              <w:t>。</w:t>
            </w:r>
          </w:p>
        </w:tc>
        <w:tc>
          <w:tcPr>
            <w:tcW w:w="850" w:type="dxa"/>
            <w:vAlign w:val="center"/>
          </w:tcPr>
          <w:p w14:paraId="56F22A9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kern w:val="2"/>
                <w:sz w:val="22"/>
                <w:szCs w:val="22"/>
                <w:highlight w:val="none"/>
                <w:lang w:val="en-US" w:eastAsia="zh-CN" w:bidi="ar-SA"/>
              </w:rPr>
            </w:pPr>
            <w:r>
              <w:rPr>
                <w:rFonts w:hint="eastAsia" w:ascii="宋体" w:hAnsi="宋体" w:eastAsia="宋体" w:cs="宋体"/>
                <w:b w:val="0"/>
                <w:bCs/>
                <w:color w:val="auto"/>
                <w:kern w:val="2"/>
                <w:sz w:val="22"/>
                <w:szCs w:val="22"/>
                <w:highlight w:val="none"/>
                <w:lang w:val="en-US" w:eastAsia="zh-CN" w:bidi="ar-SA"/>
              </w:rPr>
              <w:t>10分</w:t>
            </w:r>
          </w:p>
        </w:tc>
        <w:tc>
          <w:tcPr>
            <w:tcW w:w="855" w:type="dxa"/>
            <w:vAlign w:val="center"/>
          </w:tcPr>
          <w:p w14:paraId="1FC467C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kern w:val="2"/>
                <w:sz w:val="22"/>
                <w:szCs w:val="22"/>
                <w:highlight w:val="none"/>
                <w:lang w:val="en-US" w:eastAsia="zh-CN" w:bidi="ar-SA"/>
              </w:rPr>
            </w:pPr>
            <w:r>
              <w:rPr>
                <w:rFonts w:hint="eastAsia" w:ascii="宋体" w:hAnsi="宋体" w:eastAsia="宋体" w:cs="宋体"/>
                <w:b w:val="0"/>
                <w:bCs/>
                <w:color w:val="auto"/>
                <w:kern w:val="2"/>
                <w:sz w:val="22"/>
                <w:szCs w:val="22"/>
                <w:highlight w:val="none"/>
                <w:lang w:val="en-US" w:eastAsia="zh-CN" w:bidi="ar-SA"/>
              </w:rPr>
              <w:t>主观分</w:t>
            </w:r>
          </w:p>
        </w:tc>
        <w:tc>
          <w:tcPr>
            <w:tcW w:w="1161" w:type="dxa"/>
            <w:vAlign w:val="center"/>
          </w:tcPr>
          <w:p w14:paraId="796EEE29">
            <w:pPr>
              <w:spacing w:line="360" w:lineRule="auto"/>
              <w:jc w:val="center"/>
              <w:rPr>
                <w:rFonts w:hint="eastAsia" w:ascii="宋体" w:hAnsi="宋体" w:eastAsia="宋体" w:cs="宋体"/>
                <w:b w:val="0"/>
                <w:bCs/>
                <w:color w:val="auto"/>
                <w:sz w:val="22"/>
                <w:szCs w:val="22"/>
                <w:highlight w:val="none"/>
                <w:lang w:val="en-US" w:eastAsia="zh-CN"/>
              </w:rPr>
            </w:pPr>
          </w:p>
        </w:tc>
      </w:tr>
      <w:tr w14:paraId="276E1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1" w:hRule="atLeast"/>
          <w:jc w:val="center"/>
        </w:trPr>
        <w:tc>
          <w:tcPr>
            <w:tcW w:w="638" w:type="dxa"/>
            <w:vAlign w:val="center"/>
          </w:tcPr>
          <w:p w14:paraId="124A0964">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3</w:t>
            </w:r>
          </w:p>
        </w:tc>
        <w:tc>
          <w:tcPr>
            <w:tcW w:w="1142" w:type="dxa"/>
            <w:vAlign w:val="center"/>
          </w:tcPr>
          <w:p w14:paraId="0263664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rPr>
              <w:t>投标人认证</w:t>
            </w:r>
          </w:p>
        </w:tc>
        <w:tc>
          <w:tcPr>
            <w:tcW w:w="4987" w:type="dxa"/>
            <w:shd w:val="clear" w:color="auto" w:fill="auto"/>
            <w:vAlign w:val="center"/>
          </w:tcPr>
          <w:p w14:paraId="4182B435">
            <w:pPr>
              <w:pStyle w:val="358"/>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lang w:val="en-US" w:eastAsia="zh-CN" w:bidi="ar-SA"/>
              </w:rPr>
              <w:t>投标人或所投产品制造商提供</w:t>
            </w:r>
            <w:r>
              <w:rPr>
                <w:rFonts w:hint="eastAsia" w:ascii="宋体" w:hAnsi="宋体" w:eastAsia="宋体" w:cs="宋体"/>
                <w:b w:val="0"/>
                <w:bCs/>
                <w:color w:val="auto"/>
                <w:sz w:val="22"/>
                <w:szCs w:val="22"/>
                <w:highlight w:val="none"/>
              </w:rPr>
              <w:t>质量管理体系认证证书</w:t>
            </w:r>
            <w:r>
              <w:rPr>
                <w:rFonts w:hint="eastAsia" w:ascii="宋体" w:hAnsi="宋体" w:eastAsia="宋体" w:cs="宋体"/>
                <w:b w:val="0"/>
                <w:bCs/>
                <w:color w:val="auto"/>
                <w:sz w:val="22"/>
                <w:szCs w:val="22"/>
                <w:highlight w:val="none"/>
                <w:lang w:eastAsia="zh-CN"/>
              </w:rPr>
              <w:t>、</w:t>
            </w:r>
            <w:r>
              <w:rPr>
                <w:rFonts w:hint="eastAsia" w:ascii="宋体" w:hAnsi="宋体" w:eastAsia="宋体" w:cs="宋体"/>
                <w:b w:val="0"/>
                <w:bCs/>
                <w:color w:val="auto"/>
                <w:sz w:val="22"/>
                <w:szCs w:val="22"/>
                <w:highlight w:val="none"/>
              </w:rPr>
              <w:t>环境管理体系认证证书</w:t>
            </w:r>
            <w:r>
              <w:rPr>
                <w:rFonts w:hint="eastAsia" w:ascii="宋体" w:hAnsi="宋体" w:eastAsia="宋体" w:cs="宋体"/>
                <w:b w:val="0"/>
                <w:bCs/>
                <w:color w:val="auto"/>
                <w:sz w:val="22"/>
                <w:szCs w:val="22"/>
                <w:highlight w:val="none"/>
                <w:lang w:eastAsia="zh-CN"/>
              </w:rPr>
              <w:t>、</w:t>
            </w:r>
            <w:r>
              <w:rPr>
                <w:rFonts w:hint="eastAsia" w:ascii="宋体" w:hAnsi="宋体" w:eastAsia="宋体" w:cs="宋体"/>
                <w:b w:val="0"/>
                <w:bCs/>
                <w:color w:val="auto"/>
                <w:sz w:val="22"/>
                <w:szCs w:val="22"/>
                <w:highlight w:val="none"/>
              </w:rPr>
              <w:t>职业健康安全管理体系认证证</w:t>
            </w:r>
            <w:r>
              <w:rPr>
                <w:rFonts w:hint="eastAsia" w:ascii="宋体" w:hAnsi="宋体" w:eastAsia="宋体" w:cs="宋体"/>
                <w:b w:val="0"/>
                <w:bCs/>
                <w:color w:val="auto"/>
                <w:sz w:val="22"/>
                <w:szCs w:val="22"/>
                <w:highlight w:val="none"/>
                <w:lang w:val="en-US" w:eastAsia="zh-CN"/>
              </w:rPr>
              <w:t>书。</w:t>
            </w:r>
            <w:r>
              <w:rPr>
                <w:rFonts w:hint="eastAsia" w:ascii="宋体" w:hAnsi="宋体" w:eastAsia="宋体" w:cs="宋体"/>
                <w:b w:val="0"/>
                <w:bCs/>
                <w:color w:val="auto"/>
                <w:sz w:val="22"/>
                <w:szCs w:val="22"/>
                <w:highlight w:val="none"/>
                <w:lang w:val="en-US" w:eastAsia="zh-CN" w:bidi="ar-SA"/>
              </w:rPr>
              <w:t>每提供1份得1分，共3分。</w:t>
            </w:r>
          </w:p>
        </w:tc>
        <w:tc>
          <w:tcPr>
            <w:tcW w:w="850" w:type="dxa"/>
            <w:shd w:val="clear" w:color="auto" w:fill="auto"/>
            <w:vAlign w:val="center"/>
          </w:tcPr>
          <w:p w14:paraId="468EB6DF">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kern w:val="2"/>
                <w:sz w:val="22"/>
                <w:szCs w:val="22"/>
                <w:highlight w:val="none"/>
                <w:lang w:val="en-US" w:eastAsia="zh-CN" w:bidi="ar-SA"/>
              </w:rPr>
            </w:pP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tc>
        <w:tc>
          <w:tcPr>
            <w:tcW w:w="855" w:type="dxa"/>
            <w:shd w:val="clear" w:color="auto" w:fill="auto"/>
            <w:vAlign w:val="center"/>
          </w:tcPr>
          <w:p w14:paraId="727022C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kern w:val="2"/>
                <w:sz w:val="22"/>
                <w:szCs w:val="22"/>
                <w:highlight w:val="none"/>
                <w:lang w:val="en-US" w:eastAsia="zh-CN" w:bidi="ar-SA"/>
              </w:rPr>
            </w:pPr>
            <w:r>
              <w:rPr>
                <w:rFonts w:hint="eastAsia" w:ascii="宋体" w:hAnsi="宋体" w:eastAsia="宋体" w:cs="宋体"/>
                <w:b w:val="0"/>
                <w:bCs/>
                <w:color w:val="auto"/>
                <w:sz w:val="22"/>
                <w:szCs w:val="22"/>
                <w:highlight w:val="none"/>
              </w:rPr>
              <w:t>客观分</w:t>
            </w:r>
          </w:p>
        </w:tc>
        <w:tc>
          <w:tcPr>
            <w:tcW w:w="1161" w:type="dxa"/>
            <w:vAlign w:val="center"/>
          </w:tcPr>
          <w:p w14:paraId="58A7D7A1">
            <w:pPr>
              <w:spacing w:line="360" w:lineRule="auto"/>
              <w:jc w:val="center"/>
              <w:rPr>
                <w:rFonts w:hint="eastAsia" w:ascii="宋体" w:hAnsi="宋体" w:eastAsia="宋体" w:cs="宋体"/>
                <w:b w:val="0"/>
                <w:bCs/>
                <w:color w:val="auto"/>
                <w:sz w:val="22"/>
                <w:szCs w:val="22"/>
                <w:highlight w:val="none"/>
              </w:rPr>
            </w:pPr>
          </w:p>
        </w:tc>
      </w:tr>
      <w:tr w14:paraId="68064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638" w:type="dxa"/>
            <w:vMerge w:val="restart"/>
            <w:vAlign w:val="center"/>
          </w:tcPr>
          <w:p w14:paraId="1161F06F">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4</w:t>
            </w:r>
          </w:p>
        </w:tc>
        <w:tc>
          <w:tcPr>
            <w:tcW w:w="1142" w:type="dxa"/>
            <w:vMerge w:val="restart"/>
            <w:vAlign w:val="center"/>
          </w:tcPr>
          <w:p w14:paraId="5324D165">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snapToGrid w:val="0"/>
                <w:color w:val="auto"/>
                <w:sz w:val="22"/>
                <w:szCs w:val="22"/>
                <w:highlight w:val="none"/>
              </w:rPr>
            </w:pPr>
            <w:r>
              <w:rPr>
                <w:rFonts w:hint="eastAsia" w:ascii="宋体" w:hAnsi="宋体" w:eastAsia="宋体" w:cs="宋体"/>
                <w:b w:val="0"/>
                <w:bCs/>
                <w:snapToGrid w:val="0"/>
                <w:color w:val="auto"/>
                <w:sz w:val="22"/>
                <w:szCs w:val="22"/>
                <w:highlight w:val="none"/>
              </w:rPr>
              <w:t>实施</w:t>
            </w:r>
            <w:r>
              <w:rPr>
                <w:rFonts w:hint="eastAsia" w:ascii="宋体" w:hAnsi="宋体" w:eastAsia="宋体" w:cs="宋体"/>
                <w:b w:val="0"/>
                <w:bCs/>
                <w:color w:val="auto"/>
                <w:sz w:val="22"/>
                <w:szCs w:val="22"/>
                <w:highlight w:val="none"/>
                <w:lang w:bidi="ar"/>
              </w:rPr>
              <w:t>方案</w:t>
            </w:r>
          </w:p>
        </w:tc>
        <w:tc>
          <w:tcPr>
            <w:tcW w:w="4987" w:type="dxa"/>
            <w:vAlign w:val="center"/>
          </w:tcPr>
          <w:p w14:paraId="1963BE67">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zh-CN"/>
              </w:rPr>
            </w:pPr>
            <w:r>
              <w:rPr>
                <w:rFonts w:hint="eastAsia" w:ascii="宋体" w:hAnsi="宋体" w:eastAsia="宋体" w:cs="宋体"/>
                <w:b w:val="0"/>
                <w:bCs/>
                <w:color w:val="auto"/>
                <w:sz w:val="22"/>
                <w:szCs w:val="22"/>
                <w:highlight w:val="none"/>
                <w:lang w:val="en-US" w:eastAsia="zh-CN"/>
              </w:rPr>
              <w:t>4.1.</w:t>
            </w:r>
            <w:r>
              <w:rPr>
                <w:rFonts w:hint="eastAsia" w:ascii="宋体" w:hAnsi="宋体" w:eastAsia="宋体" w:cs="宋体"/>
                <w:b w:val="0"/>
                <w:bCs/>
                <w:color w:val="auto"/>
                <w:sz w:val="22"/>
                <w:szCs w:val="22"/>
                <w:highlight w:val="none"/>
              </w:rPr>
              <w:t>根据投标供应商需进行现场勘探（自行与采购人联系），根据实际情况要求，针对本项目结合招标文件要求提供的的平面点位图、效果图的规范性、完整性、准确性、合理性、可实施性进行评议，</w:t>
            </w:r>
            <w:r>
              <w:rPr>
                <w:rFonts w:hint="eastAsia" w:ascii="宋体" w:hAnsi="宋体" w:eastAsia="宋体" w:cs="宋体"/>
                <w:b w:val="0"/>
                <w:bCs/>
                <w:color w:val="auto"/>
                <w:sz w:val="22"/>
                <w:szCs w:val="22"/>
                <w:highlight w:val="none"/>
                <w:lang w:val="zh-CN"/>
              </w:rPr>
              <w:t>有利于项目实施的情况由专家评审。</w:t>
            </w:r>
          </w:p>
          <w:p w14:paraId="2031BF90">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w:t>
            </w:r>
            <w:r>
              <w:rPr>
                <w:rFonts w:hint="eastAsia" w:ascii="宋体" w:hAnsi="宋体" w:eastAsia="宋体" w:cs="宋体"/>
                <w:b w:val="0"/>
                <w:bCs/>
                <w:color w:val="auto"/>
                <w:sz w:val="22"/>
                <w:szCs w:val="22"/>
                <w:highlight w:val="none"/>
                <w:lang w:val="en-US" w:eastAsia="zh-CN"/>
              </w:rPr>
              <w:t>.</w:t>
            </w:r>
            <w:r>
              <w:rPr>
                <w:rFonts w:hint="eastAsia" w:ascii="宋体" w:hAnsi="宋体" w:eastAsia="宋体" w:cs="宋体"/>
                <w:b w:val="0"/>
                <w:bCs/>
                <w:color w:val="auto"/>
                <w:sz w:val="22"/>
                <w:szCs w:val="22"/>
                <w:highlight w:val="none"/>
              </w:rPr>
              <w:t>小学科学实验室4平面点位图情况</w:t>
            </w:r>
          </w:p>
          <w:p w14:paraId="327B375E">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（1）提供的的平面点位图、效果图的规范性、完整性、准确性、合理性、可实施性强的得3分；</w:t>
            </w:r>
          </w:p>
          <w:p w14:paraId="05348B9F">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（2）提供的的平面点位图、效果图的规范性、完整性、准确性、合理性、可实施性基本满足，但有所欠缺的得</w:t>
            </w:r>
            <w:r>
              <w:rPr>
                <w:rFonts w:hint="eastAsia" w:ascii="宋体" w:hAnsi="宋体" w:eastAsia="宋体" w:cs="宋体"/>
                <w:b w:val="0"/>
                <w:bCs/>
                <w:color w:val="auto"/>
                <w:sz w:val="22"/>
                <w:szCs w:val="22"/>
                <w:highlight w:val="none"/>
                <w:lang w:val="en-US" w:eastAsia="zh-CN"/>
              </w:rPr>
              <w:t>2</w:t>
            </w:r>
            <w:r>
              <w:rPr>
                <w:rFonts w:hint="eastAsia" w:ascii="宋体" w:hAnsi="宋体" w:eastAsia="宋体" w:cs="宋体"/>
                <w:b w:val="0"/>
                <w:bCs/>
                <w:color w:val="auto"/>
                <w:sz w:val="22"/>
                <w:szCs w:val="22"/>
                <w:highlight w:val="none"/>
              </w:rPr>
              <w:t>分；</w:t>
            </w:r>
          </w:p>
          <w:p w14:paraId="74EF3D5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（3）提供的的平面点位图、效果图的规范性、完整性、准确性、合理性、可实施性仅部分满足的得</w:t>
            </w:r>
            <w:r>
              <w:rPr>
                <w:rFonts w:hint="eastAsia" w:ascii="宋体" w:hAnsi="宋体" w:eastAsia="宋体" w:cs="宋体"/>
                <w:b w:val="0"/>
                <w:bCs/>
                <w:color w:val="auto"/>
                <w:sz w:val="22"/>
                <w:szCs w:val="22"/>
                <w:highlight w:val="none"/>
                <w:lang w:val="en-US" w:eastAsia="zh-CN"/>
              </w:rPr>
              <w:t>1</w:t>
            </w:r>
            <w:r>
              <w:rPr>
                <w:rFonts w:hint="eastAsia" w:ascii="宋体" w:hAnsi="宋体" w:eastAsia="宋体" w:cs="宋体"/>
                <w:b w:val="0"/>
                <w:bCs/>
                <w:color w:val="auto"/>
                <w:sz w:val="22"/>
                <w:szCs w:val="22"/>
                <w:highlight w:val="none"/>
              </w:rPr>
              <w:t>分；</w:t>
            </w:r>
          </w:p>
          <w:p w14:paraId="48A115DC">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（4）未提供或提供的不满足的不得分。</w:t>
            </w:r>
          </w:p>
          <w:p w14:paraId="196FCED0">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w:t>
            </w:r>
            <w:r>
              <w:rPr>
                <w:rFonts w:hint="eastAsia" w:ascii="宋体" w:hAnsi="宋体" w:eastAsia="宋体" w:cs="宋体"/>
                <w:b w:val="0"/>
                <w:bCs/>
                <w:color w:val="auto"/>
                <w:sz w:val="22"/>
                <w:szCs w:val="22"/>
                <w:highlight w:val="none"/>
                <w:lang w:val="en-US" w:eastAsia="zh-CN"/>
              </w:rPr>
              <w:t>.</w:t>
            </w:r>
            <w:r>
              <w:rPr>
                <w:rFonts w:hint="eastAsia" w:ascii="宋体" w:hAnsi="宋体" w:eastAsia="宋体" w:cs="宋体"/>
                <w:b w:val="0"/>
                <w:bCs/>
                <w:color w:val="auto"/>
                <w:sz w:val="22"/>
                <w:szCs w:val="22"/>
                <w:highlight w:val="none"/>
              </w:rPr>
              <w:t>小学科学实验室7平面点位图情况</w:t>
            </w:r>
          </w:p>
          <w:p w14:paraId="45B1A760">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（1）提供的的平面点位图、效果图的规范性、完整性、准确性、合理性、可实施性强的得</w:t>
            </w: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p w14:paraId="7FC0B807">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（2）提供的的平面点位图、效果图的规范性、完整性、准确性、合理性、可实施性基本满足，但有所欠缺的得</w:t>
            </w:r>
            <w:r>
              <w:rPr>
                <w:rFonts w:hint="eastAsia" w:ascii="宋体" w:hAnsi="宋体" w:eastAsia="宋体" w:cs="宋体"/>
                <w:b w:val="0"/>
                <w:bCs/>
                <w:color w:val="auto"/>
                <w:sz w:val="22"/>
                <w:szCs w:val="22"/>
                <w:highlight w:val="none"/>
                <w:lang w:val="en-US" w:eastAsia="zh-CN"/>
              </w:rPr>
              <w:t>2</w:t>
            </w:r>
            <w:r>
              <w:rPr>
                <w:rFonts w:hint="eastAsia" w:ascii="宋体" w:hAnsi="宋体" w:eastAsia="宋体" w:cs="宋体"/>
                <w:b w:val="0"/>
                <w:bCs/>
                <w:color w:val="auto"/>
                <w:sz w:val="22"/>
                <w:szCs w:val="22"/>
                <w:highlight w:val="none"/>
              </w:rPr>
              <w:t>分；</w:t>
            </w:r>
          </w:p>
          <w:p w14:paraId="67D78E6C">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（3）提供的的平面点位图、效果图的规范性、完整性、准确性、合理性、可实施性仅部分满足的得</w:t>
            </w:r>
            <w:r>
              <w:rPr>
                <w:rFonts w:hint="eastAsia" w:ascii="宋体" w:hAnsi="宋体" w:eastAsia="宋体" w:cs="宋体"/>
                <w:b w:val="0"/>
                <w:bCs/>
                <w:color w:val="auto"/>
                <w:sz w:val="22"/>
                <w:szCs w:val="22"/>
                <w:highlight w:val="none"/>
                <w:lang w:val="en-US" w:eastAsia="zh-CN"/>
              </w:rPr>
              <w:t>1</w:t>
            </w:r>
            <w:r>
              <w:rPr>
                <w:rFonts w:hint="eastAsia" w:ascii="宋体" w:hAnsi="宋体" w:eastAsia="宋体" w:cs="宋体"/>
                <w:b w:val="0"/>
                <w:bCs/>
                <w:color w:val="auto"/>
                <w:sz w:val="22"/>
                <w:szCs w:val="22"/>
                <w:highlight w:val="none"/>
              </w:rPr>
              <w:t>分；</w:t>
            </w:r>
          </w:p>
          <w:p w14:paraId="6600543D">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（4）未提供或</w:t>
            </w:r>
            <w:r>
              <w:rPr>
                <w:rFonts w:hint="eastAsia" w:ascii="宋体" w:hAnsi="宋体" w:eastAsia="宋体" w:cs="宋体"/>
                <w:b w:val="0"/>
                <w:bCs/>
                <w:color w:val="auto"/>
                <w:kern w:val="28"/>
                <w:sz w:val="22"/>
                <w:szCs w:val="22"/>
                <w:highlight w:val="none"/>
              </w:rPr>
              <w:t>提</w:t>
            </w:r>
            <w:r>
              <w:rPr>
                <w:rFonts w:hint="eastAsia" w:ascii="宋体" w:hAnsi="宋体" w:eastAsia="宋体" w:cs="宋体"/>
                <w:b w:val="0"/>
                <w:bCs/>
                <w:color w:val="auto"/>
                <w:sz w:val="22"/>
                <w:szCs w:val="22"/>
                <w:highlight w:val="none"/>
              </w:rPr>
              <w:t>供的不满足的不得分。</w:t>
            </w:r>
          </w:p>
          <w:p w14:paraId="237C2CF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w:t>
            </w:r>
            <w:r>
              <w:rPr>
                <w:rFonts w:hint="eastAsia" w:ascii="宋体" w:hAnsi="宋体" w:eastAsia="宋体" w:cs="宋体"/>
                <w:b w:val="0"/>
                <w:bCs/>
                <w:color w:val="auto"/>
                <w:sz w:val="22"/>
                <w:szCs w:val="22"/>
                <w:highlight w:val="none"/>
                <w:lang w:val="en-US" w:eastAsia="zh-CN"/>
              </w:rPr>
              <w:t>.</w:t>
            </w:r>
            <w:r>
              <w:rPr>
                <w:rFonts w:hint="eastAsia" w:ascii="宋体" w:hAnsi="宋体" w:eastAsia="宋体" w:cs="宋体"/>
                <w:b w:val="0"/>
                <w:bCs/>
                <w:color w:val="auto"/>
                <w:sz w:val="22"/>
                <w:szCs w:val="22"/>
                <w:highlight w:val="none"/>
              </w:rPr>
              <w:t>小学科学准备室（2）平面点位图情况</w:t>
            </w:r>
          </w:p>
          <w:p w14:paraId="11DE6352">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（1）提供的的平面点位图、效果图的规范性、完整性、准确性、合理性、可实施性强的得</w:t>
            </w: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p w14:paraId="3EBC0C92">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（2）提供的的平面点位图、效果图的规范性、完整性、准确性、合理性、可实施性基本满足，但有所欠缺的得</w:t>
            </w:r>
            <w:r>
              <w:rPr>
                <w:rFonts w:hint="eastAsia" w:ascii="宋体" w:hAnsi="宋体" w:eastAsia="宋体" w:cs="宋体"/>
                <w:b w:val="0"/>
                <w:bCs/>
                <w:color w:val="auto"/>
                <w:sz w:val="22"/>
                <w:szCs w:val="22"/>
                <w:highlight w:val="none"/>
                <w:lang w:val="en-US" w:eastAsia="zh-CN"/>
              </w:rPr>
              <w:t>2</w:t>
            </w:r>
            <w:r>
              <w:rPr>
                <w:rFonts w:hint="eastAsia" w:ascii="宋体" w:hAnsi="宋体" w:eastAsia="宋体" w:cs="宋体"/>
                <w:b w:val="0"/>
                <w:bCs/>
                <w:color w:val="auto"/>
                <w:sz w:val="22"/>
                <w:szCs w:val="22"/>
                <w:highlight w:val="none"/>
              </w:rPr>
              <w:t>分；</w:t>
            </w:r>
          </w:p>
          <w:p w14:paraId="1194374A">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（3）提供的的平面点位图、效果图的规范性、完整性、准确性、合理性、可实施性仅部分满足的得</w:t>
            </w:r>
            <w:r>
              <w:rPr>
                <w:rFonts w:hint="eastAsia" w:ascii="宋体" w:hAnsi="宋体" w:eastAsia="宋体" w:cs="宋体"/>
                <w:b w:val="0"/>
                <w:bCs/>
                <w:color w:val="auto"/>
                <w:sz w:val="22"/>
                <w:szCs w:val="22"/>
                <w:highlight w:val="none"/>
                <w:lang w:val="en-US" w:eastAsia="zh-CN"/>
              </w:rPr>
              <w:t>1</w:t>
            </w:r>
            <w:r>
              <w:rPr>
                <w:rFonts w:hint="eastAsia" w:ascii="宋体" w:hAnsi="宋体" w:eastAsia="宋体" w:cs="宋体"/>
                <w:b w:val="0"/>
                <w:bCs/>
                <w:color w:val="auto"/>
                <w:sz w:val="22"/>
                <w:szCs w:val="22"/>
                <w:highlight w:val="none"/>
              </w:rPr>
              <w:t>分；</w:t>
            </w:r>
          </w:p>
          <w:p w14:paraId="7A67C635">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（4）未提供或提供的不满足的不得分。</w:t>
            </w:r>
          </w:p>
        </w:tc>
        <w:tc>
          <w:tcPr>
            <w:tcW w:w="850" w:type="dxa"/>
            <w:vAlign w:val="center"/>
          </w:tcPr>
          <w:p w14:paraId="28103F6A">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val="en-US" w:eastAsia="zh-CN"/>
              </w:rPr>
              <w:t>9</w:t>
            </w:r>
            <w:r>
              <w:rPr>
                <w:rFonts w:hint="eastAsia" w:ascii="宋体" w:hAnsi="宋体" w:eastAsia="宋体" w:cs="宋体"/>
                <w:b w:val="0"/>
                <w:bCs/>
                <w:color w:val="auto"/>
                <w:sz w:val="22"/>
                <w:szCs w:val="22"/>
                <w:highlight w:val="none"/>
              </w:rPr>
              <w:t>分</w:t>
            </w:r>
          </w:p>
        </w:tc>
        <w:tc>
          <w:tcPr>
            <w:tcW w:w="855" w:type="dxa"/>
            <w:vAlign w:val="center"/>
          </w:tcPr>
          <w:p w14:paraId="1E47ACED">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主观分</w:t>
            </w:r>
          </w:p>
        </w:tc>
        <w:tc>
          <w:tcPr>
            <w:tcW w:w="1161" w:type="dxa"/>
            <w:vAlign w:val="center"/>
          </w:tcPr>
          <w:p w14:paraId="3955E7EF">
            <w:pPr>
              <w:spacing w:line="360" w:lineRule="auto"/>
              <w:jc w:val="center"/>
              <w:rPr>
                <w:rFonts w:hint="eastAsia" w:ascii="宋体" w:hAnsi="宋体" w:eastAsia="宋体" w:cs="宋体"/>
                <w:b w:val="0"/>
                <w:bCs/>
                <w:color w:val="auto"/>
                <w:sz w:val="22"/>
                <w:szCs w:val="22"/>
                <w:highlight w:val="none"/>
                <w:lang w:val="en-US" w:eastAsia="zh-CN"/>
              </w:rPr>
            </w:pPr>
          </w:p>
        </w:tc>
      </w:tr>
      <w:tr w14:paraId="3019C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638" w:type="dxa"/>
            <w:vMerge w:val="continue"/>
            <w:vAlign w:val="center"/>
          </w:tcPr>
          <w:p w14:paraId="3B3C3E2F">
            <w:pPr>
              <w:numPr>
                <w:ilvl w:val="0"/>
                <w:numId w:val="7"/>
              </w:numPr>
              <w:spacing w:line="360" w:lineRule="auto"/>
              <w:jc w:val="center"/>
              <w:rPr>
                <w:rFonts w:hint="eastAsia" w:ascii="宋体" w:hAnsi="宋体" w:eastAsia="宋体" w:cs="宋体"/>
                <w:b w:val="0"/>
                <w:bCs/>
                <w:color w:val="auto"/>
                <w:sz w:val="22"/>
                <w:szCs w:val="22"/>
                <w:highlight w:val="none"/>
              </w:rPr>
            </w:pPr>
          </w:p>
        </w:tc>
        <w:tc>
          <w:tcPr>
            <w:tcW w:w="1142" w:type="dxa"/>
            <w:vMerge w:val="continue"/>
            <w:vAlign w:val="center"/>
          </w:tcPr>
          <w:p w14:paraId="76636FE2">
            <w:pPr>
              <w:spacing w:line="360" w:lineRule="auto"/>
              <w:jc w:val="center"/>
              <w:rPr>
                <w:rFonts w:hint="eastAsia" w:ascii="宋体" w:hAnsi="宋体" w:eastAsia="宋体" w:cs="宋体"/>
                <w:b w:val="0"/>
                <w:bCs/>
                <w:snapToGrid w:val="0"/>
                <w:color w:val="auto"/>
                <w:sz w:val="22"/>
                <w:szCs w:val="22"/>
                <w:highlight w:val="none"/>
              </w:rPr>
            </w:pPr>
          </w:p>
        </w:tc>
        <w:tc>
          <w:tcPr>
            <w:tcW w:w="4987" w:type="dxa"/>
            <w:vAlign w:val="center"/>
          </w:tcPr>
          <w:p w14:paraId="19E2EA5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val="en-US" w:eastAsia="zh-CN"/>
              </w:rPr>
              <w:t>4</w:t>
            </w:r>
            <w:r>
              <w:rPr>
                <w:rFonts w:hint="eastAsia" w:ascii="宋体" w:hAnsi="宋体" w:eastAsia="宋体" w:cs="宋体"/>
                <w:b w:val="0"/>
                <w:bCs/>
                <w:color w:val="auto"/>
                <w:sz w:val="22"/>
                <w:szCs w:val="22"/>
                <w:highlight w:val="none"/>
              </w:rPr>
              <w:t>.2</w:t>
            </w:r>
            <w:r>
              <w:rPr>
                <w:rFonts w:hint="eastAsia" w:ascii="宋体" w:hAnsi="宋体" w:eastAsia="宋体" w:cs="宋体"/>
                <w:b w:val="0"/>
                <w:bCs/>
                <w:color w:val="auto"/>
                <w:sz w:val="22"/>
                <w:szCs w:val="22"/>
                <w:highlight w:val="none"/>
                <w:lang w:val="en-US" w:eastAsia="zh-CN"/>
              </w:rPr>
              <w:t>.</w:t>
            </w:r>
            <w:r>
              <w:rPr>
                <w:rFonts w:hint="eastAsia" w:ascii="宋体" w:hAnsi="宋体" w:eastAsia="宋体" w:cs="宋体"/>
                <w:b w:val="0"/>
                <w:bCs/>
                <w:color w:val="auto"/>
                <w:sz w:val="22"/>
                <w:szCs w:val="22"/>
                <w:highlight w:val="none"/>
              </w:rPr>
              <w:t>根据供应商针对本项目供货方案、安装调试方案（含工期承诺和工期保证措施）。</w:t>
            </w:r>
          </w:p>
          <w:p w14:paraId="22DF3CB4">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（1）提供完整的方案，能具体、完整详细、可行、满足采购人要求，且有利于本</w:t>
            </w:r>
            <w:r>
              <w:rPr>
                <w:rFonts w:hint="eastAsia" w:ascii="宋体" w:hAnsi="宋体" w:eastAsia="宋体" w:cs="宋体"/>
                <w:b w:val="0"/>
                <w:bCs/>
                <w:color w:val="auto"/>
                <w:kern w:val="28"/>
                <w:sz w:val="22"/>
                <w:szCs w:val="22"/>
                <w:highlight w:val="none"/>
              </w:rPr>
              <w:t>项目</w:t>
            </w:r>
            <w:r>
              <w:rPr>
                <w:rFonts w:hint="eastAsia" w:ascii="宋体" w:hAnsi="宋体" w:eastAsia="宋体" w:cs="宋体"/>
                <w:b w:val="0"/>
                <w:bCs/>
                <w:color w:val="auto"/>
                <w:sz w:val="22"/>
                <w:szCs w:val="22"/>
                <w:highlight w:val="none"/>
              </w:rPr>
              <w:t>的实施的得</w:t>
            </w: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p w14:paraId="758AA74D">
            <w:pPr>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（2）方案简略，未针对项目阐述得2分；</w:t>
            </w:r>
          </w:p>
          <w:p w14:paraId="4176BF6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（3）方案不完整，只能部分</w:t>
            </w:r>
            <w:r>
              <w:rPr>
                <w:rFonts w:hint="eastAsia" w:ascii="宋体" w:hAnsi="宋体" w:eastAsia="宋体" w:cs="宋体"/>
                <w:b w:val="0"/>
                <w:bCs/>
                <w:color w:val="auto"/>
                <w:kern w:val="28"/>
                <w:sz w:val="22"/>
                <w:szCs w:val="22"/>
                <w:highlight w:val="none"/>
              </w:rPr>
              <w:t>满足</w:t>
            </w:r>
            <w:r>
              <w:rPr>
                <w:rFonts w:hint="eastAsia" w:ascii="宋体" w:hAnsi="宋体" w:eastAsia="宋体" w:cs="宋体"/>
                <w:b w:val="0"/>
                <w:bCs/>
                <w:color w:val="auto"/>
                <w:sz w:val="22"/>
                <w:szCs w:val="22"/>
                <w:highlight w:val="none"/>
              </w:rPr>
              <w:t>的得1分；</w:t>
            </w:r>
          </w:p>
          <w:p w14:paraId="3D1B12F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（4）未提供不得分。</w:t>
            </w:r>
          </w:p>
        </w:tc>
        <w:tc>
          <w:tcPr>
            <w:tcW w:w="850" w:type="dxa"/>
            <w:vAlign w:val="center"/>
          </w:tcPr>
          <w:p w14:paraId="305D0C4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tc>
        <w:tc>
          <w:tcPr>
            <w:tcW w:w="855" w:type="dxa"/>
            <w:vAlign w:val="center"/>
          </w:tcPr>
          <w:p w14:paraId="31E17BA2">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主观分</w:t>
            </w:r>
          </w:p>
        </w:tc>
        <w:tc>
          <w:tcPr>
            <w:tcW w:w="1161" w:type="dxa"/>
            <w:vAlign w:val="center"/>
          </w:tcPr>
          <w:p w14:paraId="5B271BB4">
            <w:pPr>
              <w:spacing w:line="360" w:lineRule="auto"/>
              <w:jc w:val="center"/>
              <w:rPr>
                <w:rFonts w:hint="eastAsia" w:ascii="宋体" w:hAnsi="宋体" w:eastAsia="宋体" w:cs="宋体"/>
                <w:b w:val="0"/>
                <w:bCs/>
                <w:color w:val="auto"/>
                <w:sz w:val="22"/>
                <w:szCs w:val="22"/>
                <w:highlight w:val="none"/>
              </w:rPr>
            </w:pPr>
          </w:p>
        </w:tc>
      </w:tr>
      <w:tr w14:paraId="5B92E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2" w:hRule="atLeast"/>
          <w:jc w:val="center"/>
        </w:trPr>
        <w:tc>
          <w:tcPr>
            <w:tcW w:w="638" w:type="dxa"/>
            <w:vMerge w:val="continue"/>
            <w:vAlign w:val="center"/>
          </w:tcPr>
          <w:p w14:paraId="7D22C3B2">
            <w:pPr>
              <w:numPr>
                <w:ilvl w:val="0"/>
                <w:numId w:val="7"/>
              </w:numPr>
              <w:spacing w:line="360" w:lineRule="auto"/>
              <w:jc w:val="center"/>
              <w:rPr>
                <w:rFonts w:hint="eastAsia" w:ascii="宋体" w:hAnsi="宋体" w:eastAsia="宋体" w:cs="宋体"/>
                <w:b w:val="0"/>
                <w:bCs/>
                <w:color w:val="auto"/>
                <w:sz w:val="22"/>
                <w:szCs w:val="22"/>
                <w:highlight w:val="none"/>
              </w:rPr>
            </w:pPr>
          </w:p>
        </w:tc>
        <w:tc>
          <w:tcPr>
            <w:tcW w:w="1142" w:type="dxa"/>
            <w:vMerge w:val="continue"/>
            <w:vAlign w:val="center"/>
          </w:tcPr>
          <w:p w14:paraId="7C821B3B">
            <w:pPr>
              <w:spacing w:line="360" w:lineRule="auto"/>
              <w:jc w:val="center"/>
              <w:rPr>
                <w:rFonts w:hint="eastAsia" w:ascii="宋体" w:hAnsi="宋体" w:eastAsia="宋体" w:cs="宋体"/>
                <w:b w:val="0"/>
                <w:bCs/>
                <w:snapToGrid w:val="0"/>
                <w:color w:val="auto"/>
                <w:sz w:val="22"/>
                <w:szCs w:val="22"/>
                <w:highlight w:val="none"/>
              </w:rPr>
            </w:pPr>
          </w:p>
        </w:tc>
        <w:tc>
          <w:tcPr>
            <w:tcW w:w="4987" w:type="dxa"/>
            <w:vAlign w:val="center"/>
          </w:tcPr>
          <w:p w14:paraId="714BBEF6">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snapToGrid w:val="0"/>
                <w:color w:val="auto"/>
                <w:sz w:val="22"/>
                <w:szCs w:val="22"/>
                <w:highlight w:val="none"/>
              </w:rPr>
            </w:pPr>
            <w:r>
              <w:rPr>
                <w:rFonts w:hint="eastAsia" w:ascii="宋体" w:hAnsi="宋体" w:eastAsia="宋体" w:cs="宋体"/>
                <w:b w:val="0"/>
                <w:bCs/>
                <w:snapToGrid w:val="0"/>
                <w:color w:val="auto"/>
                <w:sz w:val="22"/>
                <w:szCs w:val="22"/>
                <w:highlight w:val="none"/>
                <w:lang w:val="en-US" w:eastAsia="zh-CN"/>
              </w:rPr>
              <w:t>4</w:t>
            </w:r>
            <w:r>
              <w:rPr>
                <w:rFonts w:hint="eastAsia" w:ascii="宋体" w:hAnsi="宋体" w:eastAsia="宋体" w:cs="宋体"/>
                <w:b w:val="0"/>
                <w:bCs/>
                <w:snapToGrid w:val="0"/>
                <w:color w:val="auto"/>
                <w:sz w:val="22"/>
                <w:szCs w:val="22"/>
                <w:highlight w:val="none"/>
              </w:rPr>
              <w:t>.3</w:t>
            </w:r>
            <w:r>
              <w:rPr>
                <w:rFonts w:hint="eastAsia" w:ascii="宋体" w:hAnsi="宋体" w:eastAsia="宋体" w:cs="宋体"/>
                <w:b w:val="0"/>
                <w:bCs/>
                <w:snapToGrid w:val="0"/>
                <w:color w:val="auto"/>
                <w:sz w:val="22"/>
                <w:szCs w:val="22"/>
                <w:highlight w:val="none"/>
                <w:lang w:val="en-US" w:eastAsia="zh-CN"/>
              </w:rPr>
              <w:t>.</w:t>
            </w:r>
            <w:r>
              <w:rPr>
                <w:rFonts w:hint="eastAsia" w:ascii="宋体" w:hAnsi="宋体" w:eastAsia="宋体" w:cs="宋体"/>
                <w:b w:val="0"/>
                <w:bCs/>
                <w:color w:val="auto"/>
                <w:sz w:val="22"/>
                <w:szCs w:val="22"/>
                <w:highlight w:val="none"/>
              </w:rPr>
              <w:t>质量控制及质量保证措施</w:t>
            </w:r>
          </w:p>
          <w:p w14:paraId="3DF5050A">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（1）提供完整的质量控制及质量保证措施，能具体、完整详细、满足采购人要求，且有利于本项目的实施的得</w:t>
            </w: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p w14:paraId="7B52F395">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（2）提供的质量控制及质量保证措施简略，但能基本满足本项目要求的得</w:t>
            </w:r>
            <w:r>
              <w:rPr>
                <w:rFonts w:hint="eastAsia" w:ascii="宋体" w:hAnsi="宋体" w:eastAsia="宋体" w:cs="宋体"/>
                <w:b w:val="0"/>
                <w:bCs/>
                <w:color w:val="auto"/>
                <w:sz w:val="22"/>
                <w:szCs w:val="22"/>
                <w:highlight w:val="none"/>
                <w:lang w:val="en-US" w:eastAsia="zh-CN"/>
              </w:rPr>
              <w:t>2</w:t>
            </w:r>
            <w:r>
              <w:rPr>
                <w:rFonts w:hint="eastAsia" w:ascii="宋体" w:hAnsi="宋体" w:eastAsia="宋体" w:cs="宋体"/>
                <w:b w:val="0"/>
                <w:bCs/>
                <w:color w:val="auto"/>
                <w:sz w:val="22"/>
                <w:szCs w:val="22"/>
                <w:highlight w:val="none"/>
              </w:rPr>
              <w:t>分；</w:t>
            </w:r>
          </w:p>
          <w:p w14:paraId="3722C66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（3）提供的质量控制及质量保证措施不完整，只有部分满足本项目需求的得</w:t>
            </w:r>
            <w:r>
              <w:rPr>
                <w:rFonts w:hint="eastAsia" w:ascii="宋体" w:hAnsi="宋体" w:eastAsia="宋体" w:cs="宋体"/>
                <w:b w:val="0"/>
                <w:bCs/>
                <w:color w:val="auto"/>
                <w:sz w:val="22"/>
                <w:szCs w:val="22"/>
                <w:highlight w:val="none"/>
                <w:lang w:val="en-US" w:eastAsia="zh-CN"/>
              </w:rPr>
              <w:t>1</w:t>
            </w:r>
            <w:r>
              <w:rPr>
                <w:rFonts w:hint="eastAsia" w:ascii="宋体" w:hAnsi="宋体" w:eastAsia="宋体" w:cs="宋体"/>
                <w:b w:val="0"/>
                <w:bCs/>
                <w:color w:val="auto"/>
                <w:sz w:val="22"/>
                <w:szCs w:val="22"/>
                <w:highlight w:val="none"/>
              </w:rPr>
              <w:t>分</w:t>
            </w:r>
          </w:p>
          <w:p w14:paraId="36FED8DF">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snapToGrid w:val="0"/>
                <w:color w:val="auto"/>
                <w:sz w:val="22"/>
                <w:szCs w:val="22"/>
                <w:highlight w:val="none"/>
              </w:rPr>
            </w:pPr>
            <w:r>
              <w:rPr>
                <w:rFonts w:hint="eastAsia" w:ascii="宋体" w:hAnsi="宋体" w:eastAsia="宋体" w:cs="宋体"/>
                <w:b w:val="0"/>
                <w:bCs/>
                <w:color w:val="auto"/>
                <w:sz w:val="22"/>
                <w:szCs w:val="22"/>
                <w:highlight w:val="none"/>
              </w:rPr>
              <w:t>（4）提供的质量控制及质量保证</w:t>
            </w:r>
            <w:r>
              <w:rPr>
                <w:rFonts w:hint="eastAsia" w:ascii="宋体" w:hAnsi="宋体" w:eastAsia="宋体" w:cs="宋体"/>
                <w:b w:val="0"/>
                <w:bCs/>
                <w:color w:val="auto"/>
                <w:kern w:val="28"/>
                <w:sz w:val="22"/>
                <w:szCs w:val="22"/>
                <w:highlight w:val="none"/>
              </w:rPr>
              <w:t>措施</w:t>
            </w:r>
            <w:r>
              <w:rPr>
                <w:rFonts w:hint="eastAsia" w:ascii="宋体" w:hAnsi="宋体" w:eastAsia="宋体" w:cs="宋体"/>
                <w:b w:val="0"/>
                <w:bCs/>
                <w:color w:val="auto"/>
                <w:sz w:val="22"/>
                <w:szCs w:val="22"/>
                <w:highlight w:val="none"/>
              </w:rPr>
              <w:t>完全未针对本项目，或不符合实际等情况等同等比较差劲的情况或未提供的，此项不得分。</w:t>
            </w:r>
          </w:p>
        </w:tc>
        <w:tc>
          <w:tcPr>
            <w:tcW w:w="850" w:type="dxa"/>
            <w:vAlign w:val="center"/>
          </w:tcPr>
          <w:p w14:paraId="24CB04FE">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tc>
        <w:tc>
          <w:tcPr>
            <w:tcW w:w="855" w:type="dxa"/>
            <w:vAlign w:val="center"/>
          </w:tcPr>
          <w:p w14:paraId="77AA1CA8">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主观分</w:t>
            </w:r>
          </w:p>
        </w:tc>
        <w:tc>
          <w:tcPr>
            <w:tcW w:w="1161" w:type="dxa"/>
            <w:vAlign w:val="center"/>
          </w:tcPr>
          <w:p w14:paraId="425F3010">
            <w:pPr>
              <w:spacing w:line="360" w:lineRule="auto"/>
              <w:jc w:val="center"/>
              <w:rPr>
                <w:rFonts w:hint="eastAsia" w:ascii="宋体" w:hAnsi="宋体" w:eastAsia="宋体" w:cs="宋体"/>
                <w:b w:val="0"/>
                <w:bCs/>
                <w:color w:val="auto"/>
                <w:sz w:val="22"/>
                <w:szCs w:val="22"/>
                <w:highlight w:val="none"/>
                <w:lang w:val="en-US" w:eastAsia="zh-CN"/>
              </w:rPr>
            </w:pPr>
          </w:p>
        </w:tc>
      </w:tr>
      <w:tr w14:paraId="17CDF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638" w:type="dxa"/>
            <w:vMerge w:val="continue"/>
            <w:vAlign w:val="center"/>
          </w:tcPr>
          <w:p w14:paraId="39F17711">
            <w:pPr>
              <w:numPr>
                <w:ilvl w:val="0"/>
                <w:numId w:val="7"/>
              </w:numPr>
              <w:spacing w:line="360" w:lineRule="auto"/>
              <w:jc w:val="center"/>
              <w:rPr>
                <w:rFonts w:hint="eastAsia" w:ascii="宋体" w:hAnsi="宋体" w:eastAsia="宋体" w:cs="宋体"/>
                <w:b w:val="0"/>
                <w:bCs/>
                <w:color w:val="auto"/>
                <w:sz w:val="22"/>
                <w:szCs w:val="22"/>
                <w:highlight w:val="none"/>
              </w:rPr>
            </w:pPr>
          </w:p>
        </w:tc>
        <w:tc>
          <w:tcPr>
            <w:tcW w:w="1142" w:type="dxa"/>
            <w:vMerge w:val="continue"/>
            <w:vAlign w:val="center"/>
          </w:tcPr>
          <w:p w14:paraId="5F7BDA04">
            <w:pPr>
              <w:spacing w:line="360" w:lineRule="auto"/>
              <w:jc w:val="center"/>
              <w:rPr>
                <w:rFonts w:hint="eastAsia" w:ascii="宋体" w:hAnsi="宋体" w:eastAsia="宋体" w:cs="宋体"/>
                <w:b w:val="0"/>
                <w:bCs/>
                <w:snapToGrid w:val="0"/>
                <w:color w:val="auto"/>
                <w:sz w:val="22"/>
                <w:szCs w:val="22"/>
                <w:highlight w:val="none"/>
              </w:rPr>
            </w:pPr>
          </w:p>
        </w:tc>
        <w:tc>
          <w:tcPr>
            <w:tcW w:w="4987" w:type="dxa"/>
            <w:vAlign w:val="center"/>
          </w:tcPr>
          <w:p w14:paraId="2ED9B21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zh-CN"/>
              </w:rPr>
            </w:pPr>
            <w:r>
              <w:rPr>
                <w:rFonts w:hint="eastAsia" w:ascii="宋体" w:hAnsi="宋体" w:eastAsia="宋体" w:cs="宋体"/>
                <w:b w:val="0"/>
                <w:bCs/>
                <w:color w:val="auto"/>
                <w:sz w:val="22"/>
                <w:szCs w:val="22"/>
                <w:highlight w:val="none"/>
                <w:lang w:val="en-US" w:eastAsia="zh-CN"/>
              </w:rPr>
              <w:t>4</w:t>
            </w:r>
            <w:r>
              <w:rPr>
                <w:rFonts w:hint="eastAsia" w:ascii="宋体" w:hAnsi="宋体" w:eastAsia="宋体" w:cs="宋体"/>
                <w:b w:val="0"/>
                <w:bCs/>
                <w:color w:val="auto"/>
                <w:sz w:val="22"/>
                <w:szCs w:val="22"/>
                <w:highlight w:val="none"/>
                <w:lang w:val="zh-CN"/>
              </w:rPr>
              <w:t>.4</w:t>
            </w:r>
            <w:r>
              <w:rPr>
                <w:rFonts w:hint="eastAsia" w:ascii="宋体" w:hAnsi="宋体" w:eastAsia="宋体" w:cs="宋体"/>
                <w:b w:val="0"/>
                <w:bCs/>
                <w:color w:val="auto"/>
                <w:sz w:val="22"/>
                <w:szCs w:val="22"/>
                <w:highlight w:val="none"/>
                <w:lang w:val="en-US" w:eastAsia="zh-CN"/>
              </w:rPr>
              <w:t>.</w:t>
            </w:r>
            <w:r>
              <w:rPr>
                <w:rFonts w:hint="eastAsia" w:ascii="宋体" w:hAnsi="宋体" w:eastAsia="宋体" w:cs="宋体"/>
                <w:b w:val="0"/>
                <w:bCs/>
                <w:color w:val="auto"/>
                <w:sz w:val="22"/>
                <w:szCs w:val="22"/>
                <w:highlight w:val="none"/>
                <w:lang w:val="zh-CN"/>
              </w:rPr>
              <w:t>根据供应商对本项目实施安全保证措施（含人员、设备、设备安装）情况</w:t>
            </w:r>
          </w:p>
          <w:p w14:paraId="58CB6999">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（1）提供完整的实施安全保证措施，能具体、完整详细、满足采购人要求，且有利于本项目的实施的得</w:t>
            </w: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p w14:paraId="31DCD79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（2）提供的实施安全保证措施简略，但能基本满足本项目要求的得</w:t>
            </w:r>
            <w:r>
              <w:rPr>
                <w:rFonts w:hint="eastAsia" w:ascii="宋体" w:hAnsi="宋体" w:eastAsia="宋体" w:cs="宋体"/>
                <w:b w:val="0"/>
                <w:bCs/>
                <w:color w:val="auto"/>
                <w:sz w:val="22"/>
                <w:szCs w:val="22"/>
                <w:highlight w:val="none"/>
                <w:lang w:val="en-US" w:eastAsia="zh-CN"/>
              </w:rPr>
              <w:t>2</w:t>
            </w:r>
            <w:r>
              <w:rPr>
                <w:rFonts w:hint="eastAsia" w:ascii="宋体" w:hAnsi="宋体" w:eastAsia="宋体" w:cs="宋体"/>
                <w:b w:val="0"/>
                <w:bCs/>
                <w:color w:val="auto"/>
                <w:sz w:val="22"/>
                <w:szCs w:val="22"/>
                <w:highlight w:val="none"/>
              </w:rPr>
              <w:t>分；</w:t>
            </w:r>
          </w:p>
          <w:p w14:paraId="51B434BA">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（3）提供的实施安全保证措施不完整，只有部分满足本项目需求的得</w:t>
            </w:r>
            <w:r>
              <w:rPr>
                <w:rFonts w:hint="eastAsia" w:ascii="宋体" w:hAnsi="宋体" w:eastAsia="宋体" w:cs="宋体"/>
                <w:b w:val="0"/>
                <w:bCs/>
                <w:color w:val="auto"/>
                <w:sz w:val="22"/>
                <w:szCs w:val="22"/>
                <w:highlight w:val="none"/>
                <w:lang w:val="en-US" w:eastAsia="zh-CN"/>
              </w:rPr>
              <w:t>1</w:t>
            </w:r>
            <w:r>
              <w:rPr>
                <w:rFonts w:hint="eastAsia" w:ascii="宋体" w:hAnsi="宋体" w:eastAsia="宋体" w:cs="宋体"/>
                <w:b w:val="0"/>
                <w:bCs/>
                <w:color w:val="auto"/>
                <w:sz w:val="22"/>
                <w:szCs w:val="22"/>
                <w:highlight w:val="none"/>
              </w:rPr>
              <w:t>分</w:t>
            </w:r>
          </w:p>
          <w:p w14:paraId="64B5901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snapToGrid w:val="0"/>
                <w:color w:val="auto"/>
                <w:sz w:val="22"/>
                <w:szCs w:val="22"/>
                <w:highlight w:val="none"/>
              </w:rPr>
            </w:pPr>
            <w:r>
              <w:rPr>
                <w:rFonts w:hint="eastAsia" w:ascii="宋体" w:hAnsi="宋体" w:eastAsia="宋体" w:cs="宋体"/>
                <w:b w:val="0"/>
                <w:bCs/>
                <w:color w:val="auto"/>
                <w:sz w:val="22"/>
                <w:szCs w:val="22"/>
                <w:highlight w:val="none"/>
              </w:rPr>
              <w:t>（4）提供的实施安全保证措施完全未针对本项目，或不符合实际等情况等</w:t>
            </w:r>
            <w:r>
              <w:rPr>
                <w:rFonts w:hint="eastAsia" w:ascii="宋体" w:hAnsi="宋体" w:eastAsia="宋体" w:cs="宋体"/>
                <w:b w:val="0"/>
                <w:bCs/>
                <w:color w:val="auto"/>
                <w:kern w:val="28"/>
                <w:sz w:val="22"/>
                <w:szCs w:val="22"/>
                <w:highlight w:val="none"/>
              </w:rPr>
              <w:t>同等</w:t>
            </w:r>
            <w:r>
              <w:rPr>
                <w:rFonts w:hint="eastAsia" w:ascii="宋体" w:hAnsi="宋体" w:eastAsia="宋体" w:cs="宋体"/>
                <w:b w:val="0"/>
                <w:bCs/>
                <w:color w:val="auto"/>
                <w:sz w:val="22"/>
                <w:szCs w:val="22"/>
                <w:highlight w:val="none"/>
              </w:rPr>
              <w:t>比较差劲的情况或未提供的，此项不得分。</w:t>
            </w:r>
          </w:p>
        </w:tc>
        <w:tc>
          <w:tcPr>
            <w:tcW w:w="850" w:type="dxa"/>
            <w:vAlign w:val="center"/>
          </w:tcPr>
          <w:p w14:paraId="722125EE">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tc>
        <w:tc>
          <w:tcPr>
            <w:tcW w:w="855" w:type="dxa"/>
            <w:vAlign w:val="center"/>
          </w:tcPr>
          <w:p w14:paraId="4F3A8D92">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主观分</w:t>
            </w:r>
          </w:p>
        </w:tc>
        <w:tc>
          <w:tcPr>
            <w:tcW w:w="1161" w:type="dxa"/>
            <w:vAlign w:val="center"/>
          </w:tcPr>
          <w:p w14:paraId="1BC3CDFB">
            <w:pPr>
              <w:spacing w:line="360" w:lineRule="auto"/>
              <w:jc w:val="center"/>
              <w:rPr>
                <w:rFonts w:hint="eastAsia" w:ascii="宋体" w:hAnsi="宋体" w:eastAsia="宋体" w:cs="宋体"/>
                <w:b w:val="0"/>
                <w:bCs/>
                <w:color w:val="auto"/>
                <w:sz w:val="22"/>
                <w:szCs w:val="22"/>
                <w:highlight w:val="none"/>
                <w:lang w:val="en-US" w:eastAsia="zh-CN"/>
              </w:rPr>
            </w:pPr>
          </w:p>
        </w:tc>
      </w:tr>
      <w:tr w14:paraId="1F07C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638" w:type="dxa"/>
            <w:vAlign w:val="center"/>
          </w:tcPr>
          <w:p w14:paraId="54B19131">
            <w:pPr>
              <w:numPr>
                <w:ilvl w:val="-1"/>
                <w:numId w:val="0"/>
              </w:numPr>
              <w:spacing w:line="360" w:lineRule="auto"/>
              <w:ind w:left="0" w:firstLine="0"/>
              <w:jc w:val="both"/>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5</w:t>
            </w:r>
          </w:p>
        </w:tc>
        <w:tc>
          <w:tcPr>
            <w:tcW w:w="1142" w:type="dxa"/>
            <w:shd w:val="clear" w:color="auto" w:fill="auto"/>
            <w:vAlign w:val="center"/>
          </w:tcPr>
          <w:p w14:paraId="1340AFA5">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rPr>
              <w:t>节能</w:t>
            </w:r>
            <w:r>
              <w:rPr>
                <w:rFonts w:hint="eastAsia" w:ascii="宋体" w:hAnsi="宋体" w:eastAsia="宋体" w:cs="宋体"/>
                <w:b w:val="0"/>
                <w:bCs/>
                <w:color w:val="auto"/>
                <w:sz w:val="22"/>
                <w:szCs w:val="22"/>
                <w:highlight w:val="none"/>
                <w:lang w:bidi="ar"/>
              </w:rPr>
              <w:t>环保</w:t>
            </w:r>
          </w:p>
        </w:tc>
        <w:tc>
          <w:tcPr>
            <w:tcW w:w="4987" w:type="dxa"/>
            <w:shd w:val="clear" w:color="auto" w:fill="auto"/>
            <w:vAlign w:val="center"/>
          </w:tcPr>
          <w:p w14:paraId="0D2A3489">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val="en-US" w:eastAsia="zh-CN"/>
              </w:rPr>
              <w:t>5</w:t>
            </w:r>
            <w:r>
              <w:rPr>
                <w:rFonts w:hint="eastAsia" w:ascii="宋体" w:hAnsi="宋体" w:eastAsia="宋体" w:cs="宋体"/>
                <w:b w:val="0"/>
                <w:bCs/>
                <w:color w:val="auto"/>
                <w:sz w:val="22"/>
                <w:szCs w:val="22"/>
                <w:highlight w:val="none"/>
              </w:rPr>
              <w:t>.1</w:t>
            </w:r>
            <w:r>
              <w:rPr>
                <w:rFonts w:hint="eastAsia" w:ascii="宋体" w:hAnsi="宋体" w:eastAsia="宋体" w:cs="宋体"/>
                <w:b w:val="0"/>
                <w:bCs/>
                <w:color w:val="auto"/>
                <w:sz w:val="22"/>
                <w:szCs w:val="22"/>
                <w:highlight w:val="none"/>
                <w:lang w:val="en-US" w:eastAsia="zh-CN"/>
              </w:rPr>
              <w:t>.</w:t>
            </w:r>
            <w:r>
              <w:rPr>
                <w:rFonts w:hint="eastAsia" w:ascii="宋体" w:hAnsi="宋体" w:eastAsia="宋体" w:cs="宋体"/>
                <w:b w:val="0"/>
                <w:bCs/>
                <w:color w:val="auto"/>
                <w:sz w:val="22"/>
                <w:szCs w:val="22"/>
                <w:highlight w:val="none"/>
              </w:rPr>
              <w:t>投标产品中有列入《节能产品政府采购品目清单》的，可得0.5分，但属于政府强制采购节能产品的不得分；</w:t>
            </w:r>
          </w:p>
          <w:p w14:paraId="0ADEC2D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val="en-US" w:eastAsia="zh-CN"/>
              </w:rPr>
              <w:t>5</w:t>
            </w:r>
            <w:r>
              <w:rPr>
                <w:rFonts w:hint="eastAsia" w:ascii="宋体" w:hAnsi="宋体" w:eastAsia="宋体" w:cs="宋体"/>
                <w:b w:val="0"/>
                <w:bCs/>
                <w:color w:val="auto"/>
                <w:sz w:val="22"/>
                <w:szCs w:val="22"/>
                <w:highlight w:val="none"/>
              </w:rPr>
              <w:t>.2</w:t>
            </w:r>
            <w:r>
              <w:rPr>
                <w:rFonts w:hint="eastAsia" w:ascii="宋体" w:hAnsi="宋体" w:eastAsia="宋体" w:cs="宋体"/>
                <w:b w:val="0"/>
                <w:bCs/>
                <w:color w:val="auto"/>
                <w:sz w:val="22"/>
                <w:szCs w:val="22"/>
                <w:highlight w:val="none"/>
                <w:lang w:val="en-US" w:eastAsia="zh-CN"/>
              </w:rPr>
              <w:t>.</w:t>
            </w:r>
            <w:r>
              <w:rPr>
                <w:rFonts w:hint="eastAsia" w:ascii="宋体" w:hAnsi="宋体" w:eastAsia="宋体" w:cs="宋体"/>
                <w:b w:val="0"/>
                <w:bCs/>
                <w:color w:val="auto"/>
                <w:sz w:val="22"/>
                <w:szCs w:val="22"/>
                <w:highlight w:val="none"/>
              </w:rPr>
              <w:t>投标产品中有列入《环境标志产品政府采购品目清单》的，可得0.5分。</w:t>
            </w:r>
          </w:p>
          <w:p w14:paraId="0312A2FA">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rPr>
              <w:t>说明：投标文件中必须提供《节能环保产品声明函》、《节能（环保）产品清单》及所投相关产品对应的认证证书扫描件，否则不予给分。</w:t>
            </w:r>
          </w:p>
        </w:tc>
        <w:tc>
          <w:tcPr>
            <w:tcW w:w="850" w:type="dxa"/>
            <w:shd w:val="clear" w:color="auto" w:fill="auto"/>
            <w:vAlign w:val="center"/>
          </w:tcPr>
          <w:p w14:paraId="19FDB1C0">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rPr>
              <w:t>1分</w:t>
            </w:r>
          </w:p>
        </w:tc>
        <w:tc>
          <w:tcPr>
            <w:tcW w:w="855" w:type="dxa"/>
            <w:shd w:val="clear" w:color="auto" w:fill="auto"/>
            <w:vAlign w:val="center"/>
          </w:tcPr>
          <w:p w14:paraId="15EED0F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rPr>
              <w:t>客观分</w:t>
            </w:r>
          </w:p>
        </w:tc>
        <w:tc>
          <w:tcPr>
            <w:tcW w:w="1161" w:type="dxa"/>
            <w:vAlign w:val="center"/>
          </w:tcPr>
          <w:p w14:paraId="7FEF05A6">
            <w:pPr>
              <w:spacing w:line="360" w:lineRule="auto"/>
              <w:jc w:val="center"/>
              <w:rPr>
                <w:rFonts w:hint="eastAsia" w:ascii="宋体" w:hAnsi="宋体" w:eastAsia="宋体" w:cs="宋体"/>
                <w:b w:val="0"/>
                <w:bCs/>
                <w:color w:val="auto"/>
                <w:sz w:val="22"/>
                <w:szCs w:val="22"/>
                <w:highlight w:val="none"/>
                <w:lang w:val="en-US" w:eastAsia="zh-CN"/>
              </w:rPr>
            </w:pPr>
          </w:p>
        </w:tc>
      </w:tr>
      <w:tr w14:paraId="6B7F9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638" w:type="dxa"/>
            <w:vMerge w:val="restart"/>
            <w:vAlign w:val="center"/>
          </w:tcPr>
          <w:p w14:paraId="79B515D9">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6</w:t>
            </w:r>
          </w:p>
        </w:tc>
        <w:tc>
          <w:tcPr>
            <w:tcW w:w="1142" w:type="dxa"/>
            <w:vMerge w:val="restart"/>
            <w:vAlign w:val="center"/>
          </w:tcPr>
          <w:p w14:paraId="57C8DBEF">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供应商</w:t>
            </w:r>
            <w:r>
              <w:rPr>
                <w:rFonts w:hint="eastAsia" w:ascii="宋体" w:hAnsi="宋体" w:eastAsia="宋体" w:cs="宋体"/>
                <w:b w:val="0"/>
                <w:bCs/>
                <w:color w:val="auto"/>
                <w:sz w:val="22"/>
                <w:szCs w:val="22"/>
                <w:highlight w:val="none"/>
                <w:lang w:bidi="ar"/>
              </w:rPr>
              <w:t>售后服务</w:t>
            </w:r>
            <w:r>
              <w:rPr>
                <w:rFonts w:hint="eastAsia" w:ascii="宋体" w:hAnsi="宋体" w:eastAsia="宋体" w:cs="宋体"/>
                <w:b w:val="0"/>
                <w:bCs/>
                <w:color w:val="auto"/>
                <w:sz w:val="22"/>
                <w:szCs w:val="22"/>
                <w:highlight w:val="none"/>
              </w:rPr>
              <w:t>、售后服务响应时间评价及承诺等</w:t>
            </w:r>
          </w:p>
        </w:tc>
        <w:tc>
          <w:tcPr>
            <w:tcW w:w="4987" w:type="dxa"/>
            <w:shd w:val="clear" w:color="auto" w:fill="auto"/>
            <w:vAlign w:val="center"/>
          </w:tcPr>
          <w:p w14:paraId="3A0EDA20">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lang w:val="en-US" w:eastAsia="zh-CN"/>
              </w:rPr>
              <w:t>1.根据供应商提供本项目的售后服务方案、售后服务团队人员情况打分（分值范围：2,1,0）。</w:t>
            </w:r>
          </w:p>
        </w:tc>
        <w:tc>
          <w:tcPr>
            <w:tcW w:w="850" w:type="dxa"/>
            <w:shd w:val="clear" w:color="auto" w:fill="auto"/>
            <w:vAlign w:val="center"/>
          </w:tcPr>
          <w:p w14:paraId="46698C3C">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lang w:val="en-US" w:eastAsia="zh-CN"/>
              </w:rPr>
              <w:t>2</w:t>
            </w:r>
            <w:r>
              <w:rPr>
                <w:rFonts w:hint="eastAsia" w:ascii="宋体" w:hAnsi="宋体" w:eastAsia="宋体" w:cs="宋体"/>
                <w:b w:val="0"/>
                <w:bCs/>
                <w:color w:val="auto"/>
                <w:sz w:val="22"/>
                <w:szCs w:val="22"/>
                <w:highlight w:val="none"/>
              </w:rPr>
              <w:t>分</w:t>
            </w:r>
          </w:p>
        </w:tc>
        <w:tc>
          <w:tcPr>
            <w:tcW w:w="855" w:type="dxa"/>
            <w:shd w:val="clear" w:color="auto" w:fill="auto"/>
            <w:vAlign w:val="center"/>
          </w:tcPr>
          <w:p w14:paraId="256E527D">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rPr>
              <w:t>主观分</w:t>
            </w:r>
          </w:p>
        </w:tc>
        <w:tc>
          <w:tcPr>
            <w:tcW w:w="1161" w:type="dxa"/>
            <w:vAlign w:val="center"/>
          </w:tcPr>
          <w:p w14:paraId="000874DD">
            <w:pPr>
              <w:spacing w:line="360" w:lineRule="auto"/>
              <w:jc w:val="center"/>
              <w:rPr>
                <w:rFonts w:hint="eastAsia" w:ascii="宋体" w:hAnsi="宋体" w:eastAsia="宋体" w:cs="宋体"/>
                <w:b w:val="0"/>
                <w:bCs/>
                <w:color w:val="auto"/>
                <w:sz w:val="22"/>
                <w:szCs w:val="22"/>
                <w:highlight w:val="none"/>
                <w:lang w:val="en-US" w:eastAsia="zh-CN"/>
              </w:rPr>
            </w:pPr>
          </w:p>
        </w:tc>
      </w:tr>
      <w:tr w14:paraId="69C26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638" w:type="dxa"/>
            <w:vMerge w:val="continue"/>
            <w:vAlign w:val="center"/>
          </w:tcPr>
          <w:p w14:paraId="01ECB906">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p>
        </w:tc>
        <w:tc>
          <w:tcPr>
            <w:tcW w:w="1142" w:type="dxa"/>
            <w:vMerge w:val="continue"/>
            <w:vAlign w:val="center"/>
          </w:tcPr>
          <w:p w14:paraId="1BE248BA">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p>
        </w:tc>
        <w:tc>
          <w:tcPr>
            <w:tcW w:w="4987" w:type="dxa"/>
            <w:shd w:val="clear" w:color="auto" w:fill="auto"/>
            <w:vAlign w:val="center"/>
          </w:tcPr>
          <w:p w14:paraId="4B399E0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val="en-US" w:eastAsia="zh-CN"/>
              </w:rPr>
              <w:t>2.</w:t>
            </w:r>
            <w:r>
              <w:rPr>
                <w:rFonts w:hint="eastAsia" w:ascii="宋体" w:hAnsi="宋体" w:eastAsia="宋体" w:cs="宋体"/>
                <w:b w:val="0"/>
                <w:bCs/>
                <w:color w:val="auto"/>
                <w:sz w:val="22"/>
                <w:szCs w:val="22"/>
                <w:highlight w:val="none"/>
              </w:rPr>
              <w:t>针对招标项目培训需求提供详尽的培训方案，</w:t>
            </w:r>
          </w:p>
          <w:p w14:paraId="36DD3194">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（1）提供的培训方案培训计划、配备的专职培训人员或讲师、培训时效性、培训内容及培训结果好，培训方案的详尽情况、可执行度高的</w:t>
            </w: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p w14:paraId="5CDC3376">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（2）方案简略，未针对项目阐述得</w:t>
            </w:r>
            <w:r>
              <w:rPr>
                <w:rFonts w:hint="eastAsia" w:ascii="宋体" w:hAnsi="宋体" w:eastAsia="宋体" w:cs="宋体"/>
                <w:b w:val="0"/>
                <w:bCs/>
                <w:color w:val="auto"/>
                <w:sz w:val="22"/>
                <w:szCs w:val="22"/>
                <w:highlight w:val="none"/>
                <w:lang w:val="en-US" w:eastAsia="zh-CN"/>
              </w:rPr>
              <w:t>2</w:t>
            </w:r>
            <w:r>
              <w:rPr>
                <w:rFonts w:hint="eastAsia" w:ascii="宋体" w:hAnsi="宋体" w:eastAsia="宋体" w:cs="宋体"/>
                <w:b w:val="0"/>
                <w:bCs/>
                <w:color w:val="auto"/>
                <w:sz w:val="22"/>
                <w:szCs w:val="22"/>
                <w:highlight w:val="none"/>
              </w:rPr>
              <w:t>分；</w:t>
            </w:r>
          </w:p>
          <w:p w14:paraId="72DC8070">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（3）方案不完整，只能部分满足的得</w:t>
            </w:r>
            <w:r>
              <w:rPr>
                <w:rFonts w:hint="eastAsia" w:ascii="宋体" w:hAnsi="宋体" w:eastAsia="宋体" w:cs="宋体"/>
                <w:b w:val="0"/>
                <w:bCs/>
                <w:color w:val="auto"/>
                <w:sz w:val="22"/>
                <w:szCs w:val="22"/>
                <w:highlight w:val="none"/>
                <w:lang w:val="en-US" w:eastAsia="zh-CN"/>
              </w:rPr>
              <w:t>1</w:t>
            </w:r>
            <w:r>
              <w:rPr>
                <w:rFonts w:hint="eastAsia" w:ascii="宋体" w:hAnsi="宋体" w:eastAsia="宋体" w:cs="宋体"/>
                <w:b w:val="0"/>
                <w:bCs/>
                <w:color w:val="auto"/>
                <w:sz w:val="22"/>
                <w:szCs w:val="22"/>
                <w:highlight w:val="none"/>
              </w:rPr>
              <w:t>分；</w:t>
            </w:r>
          </w:p>
          <w:p w14:paraId="04D1A17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rPr>
              <w:t>（4）未提供不得分。</w:t>
            </w:r>
          </w:p>
        </w:tc>
        <w:tc>
          <w:tcPr>
            <w:tcW w:w="850" w:type="dxa"/>
            <w:shd w:val="clear" w:color="auto" w:fill="auto"/>
            <w:vAlign w:val="center"/>
          </w:tcPr>
          <w:p w14:paraId="684E4738">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tc>
        <w:tc>
          <w:tcPr>
            <w:tcW w:w="855" w:type="dxa"/>
            <w:shd w:val="clear" w:color="auto" w:fill="auto"/>
            <w:vAlign w:val="center"/>
          </w:tcPr>
          <w:p w14:paraId="4EE4F5A5">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rPr>
              <w:t>主观分</w:t>
            </w:r>
          </w:p>
        </w:tc>
        <w:tc>
          <w:tcPr>
            <w:tcW w:w="1161" w:type="dxa"/>
            <w:vAlign w:val="center"/>
          </w:tcPr>
          <w:p w14:paraId="7993A7B7">
            <w:pPr>
              <w:spacing w:line="360" w:lineRule="auto"/>
              <w:jc w:val="center"/>
              <w:rPr>
                <w:rFonts w:hint="eastAsia" w:ascii="宋体" w:hAnsi="宋体" w:eastAsia="宋体" w:cs="宋体"/>
                <w:b w:val="0"/>
                <w:bCs/>
                <w:color w:val="auto"/>
                <w:sz w:val="22"/>
                <w:szCs w:val="22"/>
                <w:highlight w:val="none"/>
                <w:lang w:val="en-US" w:eastAsia="zh-CN"/>
              </w:rPr>
            </w:pPr>
          </w:p>
        </w:tc>
      </w:tr>
      <w:tr w14:paraId="5E1AA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638" w:type="dxa"/>
            <w:vMerge w:val="continue"/>
            <w:vAlign w:val="center"/>
          </w:tcPr>
          <w:p w14:paraId="121704C4">
            <w:pPr>
              <w:numPr>
                <w:ilvl w:val="0"/>
                <w:numId w:val="7"/>
              </w:numPr>
              <w:spacing w:line="360" w:lineRule="auto"/>
              <w:jc w:val="center"/>
              <w:rPr>
                <w:rFonts w:hint="eastAsia" w:ascii="宋体" w:hAnsi="宋体" w:eastAsia="宋体" w:cs="宋体"/>
                <w:b w:val="0"/>
                <w:bCs/>
                <w:color w:val="auto"/>
                <w:sz w:val="22"/>
                <w:szCs w:val="22"/>
                <w:highlight w:val="none"/>
              </w:rPr>
            </w:pPr>
          </w:p>
        </w:tc>
        <w:tc>
          <w:tcPr>
            <w:tcW w:w="1142" w:type="dxa"/>
            <w:vMerge w:val="continue"/>
            <w:vAlign w:val="center"/>
          </w:tcPr>
          <w:p w14:paraId="7898530E">
            <w:pPr>
              <w:spacing w:line="360" w:lineRule="auto"/>
              <w:jc w:val="center"/>
              <w:rPr>
                <w:rFonts w:hint="eastAsia" w:ascii="宋体" w:hAnsi="宋体" w:eastAsia="宋体" w:cs="宋体"/>
                <w:b w:val="0"/>
                <w:bCs/>
                <w:color w:val="auto"/>
                <w:sz w:val="22"/>
                <w:szCs w:val="22"/>
                <w:highlight w:val="none"/>
              </w:rPr>
            </w:pPr>
          </w:p>
        </w:tc>
        <w:tc>
          <w:tcPr>
            <w:tcW w:w="4987" w:type="dxa"/>
            <w:vAlign w:val="center"/>
          </w:tcPr>
          <w:p w14:paraId="1F2640F4">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3.优惠措施：针对本项目提供的实质性优惠措施打分（分值范围：1,0）。</w:t>
            </w:r>
          </w:p>
        </w:tc>
        <w:tc>
          <w:tcPr>
            <w:tcW w:w="850" w:type="dxa"/>
            <w:shd w:val="clear" w:color="auto" w:fill="auto"/>
            <w:vAlign w:val="center"/>
          </w:tcPr>
          <w:p w14:paraId="4B4B26B7">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lang w:val="en-US" w:eastAsia="zh-CN"/>
              </w:rPr>
              <w:t>1</w:t>
            </w:r>
            <w:r>
              <w:rPr>
                <w:rFonts w:hint="eastAsia" w:ascii="宋体" w:hAnsi="宋体" w:eastAsia="宋体" w:cs="宋体"/>
                <w:b w:val="0"/>
                <w:bCs/>
                <w:color w:val="auto"/>
                <w:sz w:val="22"/>
                <w:szCs w:val="22"/>
                <w:highlight w:val="none"/>
              </w:rPr>
              <w:t>分</w:t>
            </w:r>
          </w:p>
        </w:tc>
        <w:tc>
          <w:tcPr>
            <w:tcW w:w="855" w:type="dxa"/>
            <w:shd w:val="clear" w:color="auto" w:fill="auto"/>
            <w:vAlign w:val="center"/>
          </w:tcPr>
          <w:p w14:paraId="1A5BAE0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rPr>
              <w:t>主观分</w:t>
            </w:r>
          </w:p>
        </w:tc>
        <w:tc>
          <w:tcPr>
            <w:tcW w:w="1161" w:type="dxa"/>
            <w:vAlign w:val="center"/>
          </w:tcPr>
          <w:p w14:paraId="17FE8263">
            <w:pPr>
              <w:spacing w:line="360" w:lineRule="auto"/>
              <w:jc w:val="center"/>
              <w:rPr>
                <w:rFonts w:hint="eastAsia" w:ascii="宋体" w:hAnsi="宋体" w:eastAsia="宋体" w:cs="宋体"/>
                <w:b w:val="0"/>
                <w:bCs/>
                <w:color w:val="auto"/>
                <w:sz w:val="22"/>
                <w:szCs w:val="22"/>
                <w:highlight w:val="none"/>
                <w:lang w:val="en-US" w:eastAsia="zh-CN"/>
              </w:rPr>
            </w:pPr>
          </w:p>
        </w:tc>
      </w:tr>
      <w:tr w14:paraId="43E1F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9633" w:type="dxa"/>
            <w:gridSpan w:val="6"/>
            <w:vAlign w:val="center"/>
          </w:tcPr>
          <w:p w14:paraId="3CFF2B38">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kern w:val="28"/>
                <w:sz w:val="22"/>
                <w:szCs w:val="22"/>
                <w:highlight w:val="none"/>
              </w:rPr>
              <w:t>（</w:t>
            </w:r>
            <w:r>
              <w:rPr>
                <w:rFonts w:hint="eastAsia" w:ascii="宋体" w:hAnsi="宋体" w:eastAsia="宋体" w:cs="宋体"/>
                <w:b w:val="0"/>
                <w:bCs/>
                <w:color w:val="auto"/>
                <w:kern w:val="28"/>
                <w:sz w:val="22"/>
                <w:szCs w:val="22"/>
                <w:highlight w:val="none"/>
                <w:lang w:val="en-US" w:eastAsia="zh-CN"/>
              </w:rPr>
              <w:t>二</w:t>
            </w:r>
            <w:r>
              <w:rPr>
                <w:rFonts w:hint="eastAsia" w:ascii="宋体" w:hAnsi="宋体" w:eastAsia="宋体" w:cs="宋体"/>
                <w:b w:val="0"/>
                <w:bCs/>
                <w:color w:val="auto"/>
                <w:kern w:val="28"/>
                <w:sz w:val="22"/>
                <w:szCs w:val="22"/>
                <w:highlight w:val="none"/>
              </w:rPr>
              <w:t>）</w:t>
            </w:r>
            <w:r>
              <w:rPr>
                <w:rFonts w:hint="eastAsia" w:ascii="宋体" w:hAnsi="宋体" w:eastAsia="宋体" w:cs="宋体"/>
                <w:b w:val="0"/>
                <w:bCs/>
                <w:color w:val="auto"/>
                <w:kern w:val="28"/>
                <w:sz w:val="22"/>
                <w:szCs w:val="22"/>
                <w:highlight w:val="none"/>
                <w:lang w:val="en-US" w:eastAsia="zh-CN"/>
              </w:rPr>
              <w:t>报价部分</w:t>
            </w:r>
            <w:r>
              <w:rPr>
                <w:rFonts w:hint="eastAsia" w:ascii="宋体" w:hAnsi="宋体" w:eastAsia="宋体" w:cs="宋体"/>
                <w:b w:val="0"/>
                <w:bCs/>
                <w:color w:val="auto"/>
                <w:kern w:val="28"/>
                <w:sz w:val="22"/>
                <w:szCs w:val="22"/>
                <w:highlight w:val="none"/>
              </w:rPr>
              <w:t>（</w:t>
            </w:r>
            <w:r>
              <w:rPr>
                <w:rFonts w:hint="eastAsia" w:ascii="宋体" w:hAnsi="宋体" w:eastAsia="宋体" w:cs="宋体"/>
                <w:b w:val="0"/>
                <w:bCs/>
                <w:color w:val="auto"/>
                <w:kern w:val="28"/>
                <w:sz w:val="22"/>
                <w:szCs w:val="22"/>
                <w:highlight w:val="none"/>
                <w:lang w:val="en-US" w:eastAsia="zh-CN"/>
              </w:rPr>
              <w:t>3</w:t>
            </w:r>
            <w:r>
              <w:rPr>
                <w:rFonts w:hint="eastAsia" w:ascii="宋体" w:hAnsi="宋体" w:eastAsia="宋体" w:cs="宋体"/>
                <w:b w:val="0"/>
                <w:bCs/>
                <w:color w:val="auto"/>
                <w:kern w:val="28"/>
                <w:sz w:val="22"/>
                <w:szCs w:val="22"/>
                <w:highlight w:val="none"/>
              </w:rPr>
              <w:t>0分）</w:t>
            </w:r>
          </w:p>
        </w:tc>
      </w:tr>
      <w:tr w14:paraId="6DE78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2" w:hRule="atLeast"/>
          <w:jc w:val="center"/>
        </w:trPr>
        <w:tc>
          <w:tcPr>
            <w:tcW w:w="638" w:type="dxa"/>
            <w:vAlign w:val="center"/>
          </w:tcPr>
          <w:p w14:paraId="64FC478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1</w:t>
            </w:r>
          </w:p>
        </w:tc>
        <w:tc>
          <w:tcPr>
            <w:tcW w:w="1142" w:type="dxa"/>
            <w:vAlign w:val="center"/>
          </w:tcPr>
          <w:p w14:paraId="33AFBB5E">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bidi="ar"/>
              </w:rPr>
              <w:t>报价</w:t>
            </w:r>
            <w:r>
              <w:rPr>
                <w:rFonts w:hint="eastAsia" w:ascii="宋体" w:hAnsi="宋体" w:eastAsia="宋体" w:cs="宋体"/>
                <w:b w:val="0"/>
                <w:bCs/>
                <w:color w:val="auto"/>
                <w:kern w:val="28"/>
                <w:sz w:val="22"/>
                <w:szCs w:val="22"/>
                <w:highlight w:val="none"/>
              </w:rPr>
              <w:t>评标</w:t>
            </w:r>
          </w:p>
        </w:tc>
        <w:tc>
          <w:tcPr>
            <w:tcW w:w="4987" w:type="dxa"/>
            <w:vAlign w:val="center"/>
          </w:tcPr>
          <w:p w14:paraId="505812BB">
            <w:pPr>
              <w:snapToGrid w:val="0"/>
              <w:jc w:val="left"/>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1.有效投标报价的最低价作为评标基准价，其最低报价为满分；按［投标报价得分=（评标基准价/投标报价）*权重］的计算公式计算。</w:t>
            </w:r>
          </w:p>
          <w:p w14:paraId="49E7C32A">
            <w:pPr>
              <w:snapToGrid w:val="0"/>
              <w:jc w:val="left"/>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2.评标过程中，不得去掉报价中的最高报价和最低报价。</w:t>
            </w:r>
          </w:p>
          <w:p w14:paraId="3FC8B5C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3.本项目专门面向中小微企业（监狱企业、残疾人企业等同中小微企业），不再执行价格评审优惠政策</w:t>
            </w:r>
          </w:p>
        </w:tc>
        <w:tc>
          <w:tcPr>
            <w:tcW w:w="850" w:type="dxa"/>
            <w:vAlign w:val="center"/>
          </w:tcPr>
          <w:p w14:paraId="18132D00">
            <w:pPr>
              <w:spacing w:line="360" w:lineRule="auto"/>
              <w:jc w:val="center"/>
              <w:rPr>
                <w:rFonts w:hint="eastAsia" w:ascii="宋体" w:hAnsi="宋体" w:eastAsia="宋体" w:cs="宋体"/>
                <w:b w:val="0"/>
                <w:bCs/>
                <w:color w:val="auto"/>
                <w:sz w:val="22"/>
                <w:szCs w:val="22"/>
                <w:highlight w:val="none"/>
              </w:rPr>
            </w:pPr>
            <w:r>
              <w:rPr>
                <w:rFonts w:hint="eastAsia" w:ascii="宋体" w:hAnsi="宋体" w:eastAsia="宋体" w:cs="宋体"/>
                <w:b w:val="0"/>
                <w:bCs/>
                <w:color w:val="auto"/>
                <w:kern w:val="28"/>
                <w:sz w:val="22"/>
                <w:szCs w:val="22"/>
                <w:highlight w:val="none"/>
              </w:rPr>
              <w:t>30分</w:t>
            </w:r>
          </w:p>
        </w:tc>
        <w:tc>
          <w:tcPr>
            <w:tcW w:w="2016" w:type="dxa"/>
            <w:gridSpan w:val="2"/>
            <w:vAlign w:val="center"/>
          </w:tcPr>
          <w:p w14:paraId="26D57D43">
            <w:pPr>
              <w:spacing w:line="360" w:lineRule="auto"/>
              <w:jc w:val="center"/>
              <w:rPr>
                <w:rFonts w:hint="eastAsia" w:ascii="宋体" w:hAnsi="宋体" w:eastAsia="宋体" w:cs="宋体"/>
                <w:b w:val="0"/>
                <w:bCs/>
                <w:color w:val="auto"/>
                <w:sz w:val="22"/>
                <w:szCs w:val="22"/>
                <w:highlight w:val="none"/>
              </w:rPr>
            </w:pPr>
            <w:r>
              <w:rPr>
                <w:rFonts w:hint="eastAsia" w:ascii="宋体" w:hAnsi="宋体" w:eastAsia="宋体" w:cs="宋体"/>
                <w:b w:val="0"/>
                <w:bCs/>
                <w:color w:val="auto"/>
                <w:kern w:val="28"/>
                <w:sz w:val="22"/>
                <w:szCs w:val="22"/>
                <w:highlight w:val="none"/>
              </w:rPr>
              <w:t>自动计算</w:t>
            </w:r>
          </w:p>
        </w:tc>
      </w:tr>
    </w:tbl>
    <w:p w14:paraId="653EAAD6">
      <w:pPr>
        <w:spacing w:line="460" w:lineRule="atLeast"/>
        <w:ind w:firstLine="440"/>
        <w:rPr>
          <w:rFonts w:hint="eastAsia" w:ascii="宋体" w:hAnsi="宋体" w:eastAsia="宋体"/>
          <w:b w:val="0"/>
          <w:color w:val="auto"/>
          <w:sz w:val="22"/>
          <w:szCs w:val="22"/>
          <w:highlight w:val="none"/>
        </w:rPr>
      </w:pPr>
      <w:bookmarkStart w:id="32" w:name="_Toc184308040"/>
      <w:bookmarkEnd w:id="32"/>
      <w:bookmarkStart w:id="33" w:name="_Toc184308060"/>
      <w:bookmarkEnd w:id="33"/>
      <w:bookmarkStart w:id="34" w:name="_Toc184312082"/>
      <w:bookmarkEnd w:id="34"/>
      <w:bookmarkStart w:id="35" w:name="_Toc184313272"/>
      <w:bookmarkEnd w:id="35"/>
      <w:bookmarkStart w:id="36" w:name="_Toc184310340"/>
      <w:bookmarkEnd w:id="36"/>
      <w:bookmarkStart w:id="37" w:name="_Toc184310322"/>
      <w:bookmarkEnd w:id="37"/>
      <w:bookmarkStart w:id="38" w:name="_Toc184314442"/>
      <w:bookmarkEnd w:id="38"/>
      <w:bookmarkStart w:id="39" w:name="_Toc184314424"/>
      <w:bookmarkEnd w:id="39"/>
      <w:bookmarkStart w:id="40" w:name="_Toc184314425"/>
      <w:bookmarkEnd w:id="40"/>
      <w:bookmarkStart w:id="41" w:name="_Toc184313290"/>
      <w:bookmarkEnd w:id="41"/>
      <w:bookmarkStart w:id="42" w:name="_Toc184308091"/>
      <w:bookmarkEnd w:id="42"/>
      <w:bookmarkStart w:id="43" w:name="_Toc184308100"/>
      <w:bookmarkEnd w:id="43"/>
      <w:bookmarkStart w:id="44" w:name="_Toc184308042"/>
      <w:bookmarkEnd w:id="44"/>
      <w:bookmarkStart w:id="45" w:name="_Toc184308074"/>
      <w:bookmarkEnd w:id="45"/>
      <w:bookmarkStart w:id="46" w:name="_Toc184312118"/>
      <w:bookmarkEnd w:id="46"/>
      <w:bookmarkStart w:id="47" w:name="_Toc184313273"/>
      <w:bookmarkEnd w:id="47"/>
      <w:bookmarkStart w:id="48" w:name="_Toc184308090"/>
      <w:bookmarkEnd w:id="48"/>
      <w:bookmarkStart w:id="49" w:name="_Toc184308052"/>
      <w:bookmarkEnd w:id="49"/>
      <w:bookmarkStart w:id="50" w:name="_Toc184313300"/>
      <w:bookmarkEnd w:id="50"/>
      <w:bookmarkStart w:id="51" w:name="_Toc184313243"/>
      <w:bookmarkEnd w:id="51"/>
      <w:bookmarkStart w:id="52" w:name="_Toc184312090"/>
      <w:bookmarkEnd w:id="52"/>
      <w:bookmarkStart w:id="53" w:name="_Toc184312078"/>
      <w:bookmarkEnd w:id="53"/>
      <w:bookmarkStart w:id="54" w:name="_Toc184308104"/>
      <w:bookmarkEnd w:id="54"/>
      <w:bookmarkStart w:id="55" w:name="_Toc184314417"/>
      <w:bookmarkEnd w:id="55"/>
      <w:bookmarkStart w:id="56" w:name="_Toc184308083"/>
      <w:bookmarkEnd w:id="56"/>
      <w:bookmarkStart w:id="57" w:name="_Toc184308101"/>
      <w:bookmarkEnd w:id="57"/>
      <w:bookmarkStart w:id="58" w:name="_Toc184313271"/>
      <w:bookmarkEnd w:id="58"/>
      <w:bookmarkStart w:id="59" w:name="_Toc184310294"/>
      <w:bookmarkEnd w:id="59"/>
      <w:bookmarkStart w:id="60" w:name="_Toc184313278"/>
      <w:bookmarkEnd w:id="60"/>
      <w:bookmarkStart w:id="61" w:name="_Toc184310337"/>
      <w:bookmarkEnd w:id="61"/>
      <w:bookmarkStart w:id="62" w:name="_Toc184313238"/>
      <w:bookmarkEnd w:id="62"/>
      <w:bookmarkStart w:id="63" w:name="_Toc184310305"/>
      <w:bookmarkEnd w:id="63"/>
      <w:bookmarkStart w:id="64" w:name="_Toc184310326"/>
      <w:bookmarkEnd w:id="64"/>
      <w:bookmarkStart w:id="65" w:name="_Toc184313281"/>
      <w:bookmarkEnd w:id="65"/>
      <w:bookmarkStart w:id="66" w:name="_Toc184314480"/>
      <w:bookmarkEnd w:id="66"/>
      <w:bookmarkStart w:id="67" w:name="_Toc184308085"/>
      <w:bookmarkEnd w:id="67"/>
      <w:bookmarkStart w:id="68" w:name="_Toc184314434"/>
      <w:bookmarkEnd w:id="68"/>
      <w:bookmarkStart w:id="69" w:name="_Toc184314460"/>
      <w:bookmarkEnd w:id="69"/>
      <w:bookmarkStart w:id="70" w:name="_Toc184308084"/>
      <w:bookmarkEnd w:id="70"/>
      <w:bookmarkStart w:id="71" w:name="_Toc184312089"/>
      <w:bookmarkEnd w:id="71"/>
      <w:bookmarkStart w:id="72" w:name="_Toc184314411"/>
      <w:bookmarkEnd w:id="72"/>
      <w:bookmarkStart w:id="73" w:name="_Toc184313253"/>
      <w:bookmarkEnd w:id="73"/>
      <w:bookmarkStart w:id="74" w:name="_Toc184313299"/>
      <w:bookmarkEnd w:id="74"/>
      <w:bookmarkStart w:id="75" w:name="_Toc184312132"/>
      <w:bookmarkEnd w:id="75"/>
      <w:bookmarkStart w:id="76" w:name="_Toc184312106"/>
      <w:bookmarkEnd w:id="76"/>
      <w:bookmarkStart w:id="77" w:name="_Toc184310335"/>
      <w:bookmarkEnd w:id="77"/>
      <w:bookmarkStart w:id="78" w:name="_Toc184308094"/>
      <w:bookmarkEnd w:id="78"/>
      <w:bookmarkStart w:id="79" w:name="_Toc184312086"/>
      <w:bookmarkEnd w:id="79"/>
      <w:bookmarkStart w:id="80" w:name="_Toc184314476"/>
      <w:bookmarkEnd w:id="80"/>
      <w:bookmarkStart w:id="81" w:name="_Toc184312088"/>
      <w:bookmarkEnd w:id="81"/>
      <w:bookmarkStart w:id="82" w:name="_Toc184308043"/>
      <w:bookmarkEnd w:id="82"/>
      <w:bookmarkStart w:id="83" w:name="_Toc184312071"/>
      <w:bookmarkEnd w:id="83"/>
      <w:bookmarkStart w:id="84" w:name="_Toc184310318"/>
      <w:bookmarkEnd w:id="84"/>
      <w:bookmarkStart w:id="85" w:name="_Toc184308061"/>
      <w:bookmarkEnd w:id="85"/>
      <w:bookmarkStart w:id="86" w:name="_Toc184310284"/>
      <w:bookmarkEnd w:id="86"/>
      <w:bookmarkStart w:id="87" w:name="_Toc184310287"/>
      <w:bookmarkEnd w:id="87"/>
      <w:bookmarkStart w:id="88" w:name="_Toc184314473"/>
      <w:bookmarkEnd w:id="88"/>
      <w:bookmarkStart w:id="89" w:name="_Toc184308057"/>
      <w:bookmarkEnd w:id="89"/>
      <w:bookmarkStart w:id="90" w:name="_Toc184312095"/>
      <w:bookmarkEnd w:id="90"/>
      <w:bookmarkStart w:id="91" w:name="_Toc184308080"/>
      <w:bookmarkEnd w:id="91"/>
      <w:bookmarkStart w:id="92" w:name="_Toc184310283"/>
      <w:bookmarkEnd w:id="92"/>
      <w:bookmarkStart w:id="93" w:name="_Toc184313282"/>
      <w:bookmarkEnd w:id="93"/>
      <w:bookmarkStart w:id="94" w:name="_Toc184312129"/>
      <w:bookmarkEnd w:id="94"/>
      <w:bookmarkStart w:id="95" w:name="_Toc184308099"/>
      <w:bookmarkEnd w:id="95"/>
      <w:bookmarkStart w:id="96" w:name="_Toc184312123"/>
      <w:bookmarkEnd w:id="96"/>
      <w:bookmarkStart w:id="97" w:name="_Toc184314426"/>
      <w:bookmarkEnd w:id="97"/>
      <w:bookmarkStart w:id="98" w:name="_Toc184308092"/>
      <w:bookmarkEnd w:id="98"/>
      <w:bookmarkStart w:id="99" w:name="_Toc184312068"/>
      <w:bookmarkEnd w:id="99"/>
      <w:bookmarkStart w:id="100" w:name="_Toc184314456"/>
      <w:bookmarkEnd w:id="100"/>
      <w:bookmarkStart w:id="101" w:name="_Toc184314444"/>
      <w:bookmarkEnd w:id="101"/>
      <w:bookmarkStart w:id="102" w:name="_Toc184312134"/>
      <w:bookmarkEnd w:id="102"/>
      <w:bookmarkStart w:id="103" w:name="_Toc184313309"/>
      <w:bookmarkEnd w:id="103"/>
      <w:bookmarkStart w:id="104" w:name="_Toc184313268"/>
      <w:bookmarkEnd w:id="104"/>
      <w:bookmarkStart w:id="105" w:name="_Toc184312131"/>
      <w:bookmarkEnd w:id="105"/>
      <w:bookmarkStart w:id="106" w:name="_Toc184313269"/>
      <w:bookmarkEnd w:id="106"/>
      <w:bookmarkStart w:id="107" w:name="_Toc184310309"/>
      <w:bookmarkEnd w:id="107"/>
      <w:bookmarkStart w:id="108" w:name="_Toc184308073"/>
      <w:bookmarkEnd w:id="108"/>
      <w:bookmarkStart w:id="109" w:name="_Toc184308039"/>
      <w:bookmarkEnd w:id="109"/>
      <w:bookmarkStart w:id="110" w:name="_Toc184314414"/>
      <w:bookmarkEnd w:id="110"/>
      <w:bookmarkStart w:id="111" w:name="_Toc184310333"/>
      <w:bookmarkEnd w:id="111"/>
      <w:bookmarkStart w:id="112" w:name="_Toc184314428"/>
      <w:bookmarkEnd w:id="112"/>
      <w:bookmarkStart w:id="113" w:name="_Toc184308102"/>
      <w:bookmarkEnd w:id="113"/>
      <w:bookmarkStart w:id="114" w:name="_Toc184313240"/>
      <w:bookmarkEnd w:id="114"/>
      <w:bookmarkStart w:id="115" w:name="_Toc184313303"/>
      <w:bookmarkEnd w:id="115"/>
      <w:bookmarkStart w:id="116" w:name="_Toc184314458"/>
      <w:bookmarkEnd w:id="116"/>
      <w:bookmarkStart w:id="117" w:name="_Toc184308082"/>
      <w:bookmarkEnd w:id="117"/>
      <w:bookmarkStart w:id="118" w:name="_Toc184313270"/>
      <w:bookmarkEnd w:id="118"/>
      <w:bookmarkStart w:id="119" w:name="_Toc184312133"/>
      <w:bookmarkEnd w:id="119"/>
      <w:bookmarkStart w:id="120" w:name="_Toc184310327"/>
      <w:bookmarkEnd w:id="120"/>
      <w:bookmarkStart w:id="121" w:name="_Toc184314413"/>
      <w:bookmarkEnd w:id="121"/>
      <w:bookmarkStart w:id="122" w:name="_Toc184312128"/>
      <w:bookmarkEnd w:id="122"/>
      <w:bookmarkStart w:id="123" w:name="_Toc184314415"/>
      <w:bookmarkEnd w:id="123"/>
      <w:bookmarkStart w:id="124" w:name="_Toc184310328"/>
      <w:bookmarkEnd w:id="124"/>
      <w:bookmarkStart w:id="125" w:name="_Toc184313295"/>
      <w:bookmarkEnd w:id="125"/>
      <w:bookmarkStart w:id="126" w:name="_Toc184310275"/>
      <w:bookmarkEnd w:id="126"/>
      <w:bookmarkStart w:id="127" w:name="_Toc184313289"/>
      <w:bookmarkEnd w:id="127"/>
      <w:bookmarkStart w:id="128" w:name="_Toc184310310"/>
      <w:bookmarkEnd w:id="128"/>
      <w:bookmarkStart w:id="129" w:name="_Toc184314420"/>
      <w:bookmarkEnd w:id="129"/>
      <w:bookmarkStart w:id="130" w:name="_Toc184313254"/>
      <w:bookmarkEnd w:id="130"/>
      <w:bookmarkStart w:id="131" w:name="_Toc184313265"/>
      <w:bookmarkEnd w:id="131"/>
      <w:bookmarkStart w:id="132" w:name="_Toc184310298"/>
      <w:bookmarkEnd w:id="132"/>
      <w:bookmarkStart w:id="133" w:name="_Toc184308059"/>
      <w:bookmarkEnd w:id="133"/>
      <w:bookmarkStart w:id="134" w:name="_Toc184310316"/>
      <w:bookmarkEnd w:id="134"/>
      <w:bookmarkStart w:id="135" w:name="_Toc184313263"/>
      <w:bookmarkEnd w:id="135"/>
      <w:bookmarkStart w:id="136" w:name="_Toc184314464"/>
      <w:bookmarkEnd w:id="136"/>
      <w:bookmarkStart w:id="137" w:name="_Toc184314448"/>
      <w:bookmarkEnd w:id="137"/>
      <w:bookmarkStart w:id="138" w:name="_Toc184313298"/>
      <w:bookmarkEnd w:id="138"/>
      <w:bookmarkStart w:id="139" w:name="_Toc184313280"/>
      <w:bookmarkEnd w:id="139"/>
      <w:bookmarkStart w:id="140" w:name="_Toc184312135"/>
      <w:bookmarkEnd w:id="140"/>
      <w:bookmarkStart w:id="141" w:name="_Toc184310279"/>
      <w:bookmarkEnd w:id="141"/>
      <w:bookmarkStart w:id="142" w:name="_Toc184312114"/>
      <w:bookmarkEnd w:id="142"/>
      <w:bookmarkStart w:id="143" w:name="_Toc184314439"/>
      <w:bookmarkEnd w:id="143"/>
      <w:bookmarkStart w:id="144" w:name="_Toc184313259"/>
      <w:bookmarkEnd w:id="144"/>
      <w:bookmarkStart w:id="145" w:name="_Toc184313310"/>
      <w:bookmarkEnd w:id="145"/>
      <w:bookmarkStart w:id="146" w:name="_Toc184314461"/>
      <w:bookmarkEnd w:id="146"/>
      <w:bookmarkStart w:id="147" w:name="_Toc184310308"/>
      <w:bookmarkEnd w:id="147"/>
      <w:bookmarkStart w:id="148" w:name="_Toc184314449"/>
      <w:bookmarkEnd w:id="148"/>
      <w:bookmarkStart w:id="149" w:name="_Toc184308037"/>
      <w:bookmarkEnd w:id="149"/>
      <w:bookmarkStart w:id="150" w:name="_Toc184314431"/>
      <w:bookmarkEnd w:id="150"/>
      <w:bookmarkStart w:id="151" w:name="_Toc184314470"/>
      <w:bookmarkEnd w:id="151"/>
      <w:bookmarkStart w:id="152" w:name="_Toc184308069"/>
      <w:bookmarkEnd w:id="152"/>
      <w:bookmarkStart w:id="153" w:name="_Toc184308071"/>
      <w:bookmarkEnd w:id="153"/>
      <w:bookmarkStart w:id="154" w:name="_Toc184308108"/>
      <w:bookmarkEnd w:id="154"/>
      <w:bookmarkStart w:id="155" w:name="_Toc184308077"/>
      <w:bookmarkEnd w:id="155"/>
      <w:bookmarkStart w:id="156" w:name="_Toc184314441"/>
      <w:bookmarkEnd w:id="156"/>
      <w:bookmarkStart w:id="157" w:name="_Toc184312083"/>
      <w:bookmarkEnd w:id="157"/>
      <w:bookmarkStart w:id="158" w:name="_Toc184314419"/>
      <w:bookmarkEnd w:id="158"/>
      <w:bookmarkStart w:id="159" w:name="_Toc184313279"/>
      <w:bookmarkEnd w:id="159"/>
      <w:bookmarkStart w:id="160" w:name="_Toc184313285"/>
      <w:bookmarkEnd w:id="160"/>
      <w:bookmarkStart w:id="161" w:name="_Toc184312073"/>
      <w:bookmarkEnd w:id="161"/>
      <w:bookmarkStart w:id="162" w:name="_Toc184313262"/>
      <w:bookmarkEnd w:id="162"/>
      <w:bookmarkStart w:id="163" w:name="_Toc184310344"/>
      <w:bookmarkEnd w:id="163"/>
      <w:bookmarkStart w:id="164" w:name="_Toc184308089"/>
      <w:bookmarkEnd w:id="164"/>
      <w:bookmarkStart w:id="165" w:name="_Toc184312125"/>
      <w:bookmarkEnd w:id="165"/>
      <w:bookmarkStart w:id="166" w:name="_Toc184308075"/>
      <w:bookmarkEnd w:id="166"/>
      <w:bookmarkStart w:id="167" w:name="_Toc184314437"/>
      <w:bookmarkEnd w:id="167"/>
      <w:bookmarkStart w:id="168" w:name="_Toc184312069"/>
      <w:bookmarkEnd w:id="168"/>
      <w:bookmarkStart w:id="169" w:name="_Toc184310296"/>
      <w:bookmarkEnd w:id="169"/>
      <w:bookmarkStart w:id="170" w:name="_Toc184310295"/>
      <w:bookmarkEnd w:id="170"/>
      <w:bookmarkStart w:id="171" w:name="_Toc184313251"/>
      <w:bookmarkEnd w:id="171"/>
      <w:bookmarkStart w:id="172" w:name="_Toc184312098"/>
      <w:bookmarkEnd w:id="172"/>
      <w:bookmarkStart w:id="173" w:name="_Toc184310317"/>
      <w:bookmarkEnd w:id="173"/>
      <w:bookmarkStart w:id="174" w:name="_Toc184310319"/>
      <w:bookmarkEnd w:id="174"/>
      <w:bookmarkStart w:id="175" w:name="_Toc184314453"/>
      <w:bookmarkEnd w:id="175"/>
      <w:bookmarkStart w:id="176" w:name="_Toc184313276"/>
      <w:bookmarkEnd w:id="176"/>
      <w:bookmarkStart w:id="177" w:name="_Toc184310291"/>
      <w:bookmarkEnd w:id="177"/>
      <w:bookmarkStart w:id="178" w:name="_Toc184313301"/>
      <w:bookmarkEnd w:id="178"/>
      <w:bookmarkStart w:id="179" w:name="_Toc184310292"/>
      <w:bookmarkEnd w:id="179"/>
      <w:bookmarkStart w:id="180" w:name="_Toc184310334"/>
      <w:bookmarkEnd w:id="180"/>
      <w:bookmarkStart w:id="181" w:name="_Toc184312111"/>
      <w:bookmarkEnd w:id="181"/>
      <w:bookmarkStart w:id="182" w:name="_Toc184312076"/>
      <w:bookmarkEnd w:id="182"/>
      <w:bookmarkStart w:id="183" w:name="_Toc184312070"/>
      <w:bookmarkEnd w:id="183"/>
      <w:bookmarkStart w:id="184" w:name="_Toc184313244"/>
      <w:bookmarkEnd w:id="184"/>
      <w:bookmarkStart w:id="185" w:name="_Toc184310315"/>
      <w:bookmarkEnd w:id="185"/>
      <w:bookmarkStart w:id="186" w:name="_Toc184310321"/>
      <w:bookmarkEnd w:id="186"/>
      <w:bookmarkStart w:id="187" w:name="_Toc184312126"/>
      <w:bookmarkEnd w:id="187"/>
      <w:bookmarkStart w:id="188" w:name="_Toc184312130"/>
      <w:bookmarkEnd w:id="188"/>
      <w:bookmarkStart w:id="189" w:name="_Toc184313293"/>
      <w:bookmarkEnd w:id="189"/>
      <w:bookmarkStart w:id="190" w:name="_Toc184314438"/>
      <w:bookmarkEnd w:id="190"/>
      <w:bookmarkStart w:id="191" w:name="_Toc184312136"/>
      <w:bookmarkEnd w:id="191"/>
      <w:bookmarkStart w:id="192" w:name="_Toc184314447"/>
      <w:bookmarkEnd w:id="192"/>
      <w:bookmarkStart w:id="193" w:name="_Toc184313257"/>
      <w:bookmarkEnd w:id="193"/>
      <w:bookmarkStart w:id="194" w:name="_Toc184313302"/>
      <w:bookmarkEnd w:id="194"/>
      <w:bookmarkStart w:id="195" w:name="_Toc184312084"/>
      <w:bookmarkEnd w:id="195"/>
      <w:bookmarkStart w:id="196" w:name="_Toc184314412"/>
      <w:bookmarkEnd w:id="196"/>
      <w:bookmarkStart w:id="197" w:name="_Toc184312102"/>
      <w:bookmarkEnd w:id="197"/>
      <w:bookmarkStart w:id="198" w:name="_Toc184314471"/>
      <w:bookmarkEnd w:id="198"/>
      <w:bookmarkStart w:id="199" w:name="_Toc184312097"/>
      <w:bookmarkEnd w:id="199"/>
      <w:bookmarkStart w:id="200" w:name="_Toc184314469"/>
      <w:bookmarkEnd w:id="200"/>
      <w:bookmarkStart w:id="201" w:name="_Toc184308088"/>
      <w:bookmarkEnd w:id="201"/>
      <w:bookmarkStart w:id="202" w:name="_Toc184308064"/>
      <w:bookmarkEnd w:id="202"/>
      <w:bookmarkStart w:id="203" w:name="_Toc184310343"/>
      <w:bookmarkEnd w:id="203"/>
      <w:bookmarkStart w:id="204" w:name="_Toc184308051"/>
      <w:bookmarkEnd w:id="204"/>
      <w:bookmarkStart w:id="205" w:name="_Toc184314474"/>
      <w:bookmarkEnd w:id="205"/>
      <w:bookmarkStart w:id="206" w:name="_Toc184310286"/>
      <w:bookmarkEnd w:id="206"/>
      <w:bookmarkStart w:id="207" w:name="_Toc184308044"/>
      <w:bookmarkEnd w:id="207"/>
      <w:bookmarkStart w:id="208" w:name="_Toc184313287"/>
      <w:bookmarkEnd w:id="208"/>
      <w:bookmarkStart w:id="209" w:name="_Toc184310293"/>
      <w:bookmarkEnd w:id="209"/>
      <w:bookmarkStart w:id="210" w:name="_Toc184312121"/>
      <w:bookmarkEnd w:id="210"/>
      <w:bookmarkStart w:id="211" w:name="_Toc184308055"/>
      <w:bookmarkEnd w:id="211"/>
      <w:bookmarkStart w:id="212" w:name="_Toc184308106"/>
      <w:bookmarkEnd w:id="212"/>
      <w:bookmarkStart w:id="213" w:name="_Toc184308097"/>
      <w:bookmarkEnd w:id="213"/>
      <w:bookmarkStart w:id="214" w:name="_Toc184314455"/>
      <w:bookmarkEnd w:id="214"/>
      <w:bookmarkStart w:id="215" w:name="_Toc184308103"/>
      <w:bookmarkEnd w:id="215"/>
      <w:bookmarkStart w:id="216" w:name="_Toc184314443"/>
      <w:bookmarkEnd w:id="216"/>
      <w:bookmarkStart w:id="217" w:name="_Toc184314466"/>
      <w:bookmarkEnd w:id="217"/>
      <w:bookmarkStart w:id="218" w:name="_Toc184310282"/>
      <w:bookmarkEnd w:id="218"/>
      <w:bookmarkStart w:id="219" w:name="_Toc184310290"/>
      <w:bookmarkEnd w:id="219"/>
      <w:bookmarkStart w:id="220" w:name="_Toc184312085"/>
      <w:bookmarkEnd w:id="220"/>
      <w:bookmarkStart w:id="221" w:name="_Toc184314446"/>
      <w:bookmarkEnd w:id="221"/>
      <w:bookmarkStart w:id="222" w:name="_Toc184314450"/>
      <w:bookmarkEnd w:id="222"/>
      <w:bookmarkStart w:id="223" w:name="_Toc184313292"/>
      <w:bookmarkEnd w:id="223"/>
      <w:bookmarkStart w:id="224" w:name="_Toc184314481"/>
      <w:bookmarkEnd w:id="224"/>
      <w:bookmarkStart w:id="225" w:name="_Toc184312108"/>
      <w:bookmarkEnd w:id="225"/>
      <w:bookmarkStart w:id="226" w:name="_Toc184308062"/>
      <w:bookmarkEnd w:id="226"/>
      <w:bookmarkStart w:id="227" w:name="_Toc184310303"/>
      <w:bookmarkEnd w:id="227"/>
      <w:bookmarkStart w:id="228" w:name="_Toc184314427"/>
      <w:bookmarkEnd w:id="228"/>
      <w:bookmarkStart w:id="229" w:name="_Toc184308105"/>
      <w:bookmarkEnd w:id="229"/>
      <w:bookmarkStart w:id="230" w:name="_Toc184310314"/>
      <w:bookmarkEnd w:id="230"/>
      <w:bookmarkStart w:id="231" w:name="_Toc184313255"/>
      <w:bookmarkEnd w:id="231"/>
      <w:bookmarkStart w:id="232" w:name="_Toc184314451"/>
      <w:bookmarkEnd w:id="232"/>
      <w:bookmarkStart w:id="233" w:name="_Toc184314436"/>
      <w:bookmarkEnd w:id="233"/>
      <w:bookmarkStart w:id="234" w:name="_Toc184308047"/>
      <w:bookmarkEnd w:id="234"/>
      <w:bookmarkStart w:id="235" w:name="_Toc184308066"/>
      <w:bookmarkEnd w:id="235"/>
      <w:bookmarkStart w:id="236" w:name="_Toc184310289"/>
      <w:bookmarkEnd w:id="236"/>
      <w:bookmarkStart w:id="237" w:name="_Toc184313239"/>
      <w:bookmarkEnd w:id="237"/>
      <w:bookmarkStart w:id="238" w:name="_Toc184310329"/>
      <w:bookmarkEnd w:id="238"/>
      <w:bookmarkStart w:id="239" w:name="_Toc184314430"/>
      <w:bookmarkEnd w:id="239"/>
      <w:bookmarkStart w:id="240" w:name="_Toc184312092"/>
      <w:bookmarkEnd w:id="240"/>
      <w:bookmarkStart w:id="241" w:name="_Toc184314475"/>
      <w:bookmarkEnd w:id="241"/>
      <w:bookmarkStart w:id="242" w:name="_Toc184312112"/>
      <w:bookmarkEnd w:id="242"/>
      <w:bookmarkStart w:id="243" w:name="_Toc184310342"/>
      <w:bookmarkEnd w:id="243"/>
      <w:bookmarkStart w:id="244" w:name="_Toc184310280"/>
      <w:bookmarkEnd w:id="244"/>
      <w:bookmarkStart w:id="245" w:name="_Toc184313246"/>
      <w:bookmarkEnd w:id="245"/>
      <w:bookmarkStart w:id="246" w:name="_Toc184314479"/>
      <w:bookmarkEnd w:id="246"/>
      <w:bookmarkStart w:id="247" w:name="_Toc184313241"/>
      <w:bookmarkEnd w:id="247"/>
      <w:bookmarkStart w:id="248" w:name="_Toc184314454"/>
      <w:bookmarkEnd w:id="248"/>
      <w:bookmarkStart w:id="249" w:name="_Toc184308078"/>
      <w:bookmarkEnd w:id="249"/>
      <w:bookmarkStart w:id="250" w:name="_Toc184308050"/>
      <w:bookmarkEnd w:id="250"/>
      <w:bookmarkStart w:id="251" w:name="_Toc184312074"/>
      <w:bookmarkEnd w:id="251"/>
      <w:bookmarkStart w:id="252" w:name="_Toc184310330"/>
      <w:bookmarkEnd w:id="252"/>
      <w:bookmarkStart w:id="253" w:name="_Toc184312087"/>
      <w:bookmarkEnd w:id="253"/>
      <w:bookmarkStart w:id="254" w:name="_Toc184308067"/>
      <w:bookmarkEnd w:id="254"/>
      <w:bookmarkStart w:id="255" w:name="_Toc184313288"/>
      <w:bookmarkEnd w:id="255"/>
      <w:bookmarkStart w:id="256" w:name="_Toc184312115"/>
      <w:bookmarkEnd w:id="256"/>
      <w:bookmarkStart w:id="257" w:name="_Toc184313291"/>
      <w:bookmarkEnd w:id="257"/>
      <w:bookmarkStart w:id="258" w:name="_Toc184313267"/>
      <w:bookmarkEnd w:id="258"/>
      <w:bookmarkStart w:id="259" w:name="_Toc184314435"/>
      <w:bookmarkEnd w:id="259"/>
      <w:bookmarkStart w:id="260" w:name="_Toc184312122"/>
      <w:bookmarkEnd w:id="260"/>
      <w:bookmarkStart w:id="261" w:name="_Toc184312091"/>
      <w:bookmarkEnd w:id="261"/>
      <w:bookmarkStart w:id="262" w:name="_Toc184310324"/>
      <w:bookmarkEnd w:id="262"/>
      <w:bookmarkStart w:id="263" w:name="_Toc184310311"/>
      <w:bookmarkEnd w:id="263"/>
      <w:bookmarkStart w:id="264" w:name="_Toc184312116"/>
      <w:bookmarkEnd w:id="264"/>
      <w:bookmarkStart w:id="265" w:name="_Toc184310278"/>
      <w:bookmarkEnd w:id="265"/>
      <w:bookmarkStart w:id="266" w:name="_Toc184313245"/>
      <w:bookmarkEnd w:id="266"/>
      <w:bookmarkStart w:id="267" w:name="_Toc184312117"/>
      <w:bookmarkEnd w:id="267"/>
      <w:bookmarkStart w:id="268" w:name="_Toc184314421"/>
      <w:bookmarkEnd w:id="268"/>
      <w:bookmarkStart w:id="269" w:name="_Toc184313247"/>
      <w:bookmarkEnd w:id="269"/>
      <w:bookmarkStart w:id="270" w:name="_Toc184313250"/>
      <w:bookmarkEnd w:id="270"/>
      <w:bookmarkStart w:id="271" w:name="_Toc184314465"/>
      <w:bookmarkEnd w:id="271"/>
      <w:bookmarkStart w:id="272" w:name="_Toc184312093"/>
      <w:bookmarkEnd w:id="272"/>
      <w:bookmarkStart w:id="273" w:name="_Toc184313277"/>
      <w:bookmarkEnd w:id="273"/>
      <w:bookmarkStart w:id="274" w:name="_Toc184313274"/>
      <w:bookmarkEnd w:id="274"/>
      <w:bookmarkStart w:id="275" w:name="_Toc184310274"/>
      <w:bookmarkEnd w:id="275"/>
      <w:bookmarkStart w:id="276" w:name="_Toc184310277"/>
      <w:bookmarkEnd w:id="276"/>
      <w:bookmarkStart w:id="277" w:name="_Toc184313296"/>
      <w:bookmarkEnd w:id="277"/>
      <w:bookmarkStart w:id="278" w:name="_Toc184308038"/>
      <w:bookmarkEnd w:id="278"/>
      <w:bookmarkStart w:id="279" w:name="_Toc184308081"/>
      <w:bookmarkEnd w:id="279"/>
      <w:bookmarkStart w:id="280" w:name="_Toc184310273"/>
      <w:bookmarkEnd w:id="280"/>
      <w:bookmarkStart w:id="281" w:name="_Toc184312139"/>
      <w:bookmarkEnd w:id="281"/>
      <w:bookmarkStart w:id="282" w:name="_Toc184308058"/>
      <w:bookmarkEnd w:id="282"/>
      <w:bookmarkStart w:id="283" w:name="_Toc184308036"/>
      <w:bookmarkEnd w:id="283"/>
      <w:bookmarkStart w:id="284" w:name="_Toc184310288"/>
      <w:bookmarkEnd w:id="284"/>
      <w:bookmarkStart w:id="285" w:name="_Toc184312113"/>
      <w:bookmarkEnd w:id="285"/>
      <w:bookmarkStart w:id="286" w:name="_Toc184310320"/>
      <w:bookmarkEnd w:id="286"/>
      <w:bookmarkStart w:id="287" w:name="_Toc184313283"/>
      <w:bookmarkEnd w:id="287"/>
      <w:bookmarkStart w:id="288" w:name="_Toc184308076"/>
      <w:bookmarkEnd w:id="288"/>
      <w:bookmarkStart w:id="289" w:name="_Toc184310339"/>
      <w:bookmarkEnd w:id="289"/>
      <w:bookmarkStart w:id="290" w:name="_Toc184313260"/>
      <w:bookmarkEnd w:id="290"/>
      <w:bookmarkStart w:id="291" w:name="_Toc184308053"/>
      <w:bookmarkEnd w:id="291"/>
      <w:bookmarkStart w:id="292" w:name="_Toc184314422"/>
      <w:bookmarkEnd w:id="292"/>
      <w:bookmarkStart w:id="293" w:name="_Toc184314418"/>
      <w:bookmarkEnd w:id="293"/>
      <w:bookmarkStart w:id="294" w:name="_Toc184314467"/>
      <w:bookmarkEnd w:id="294"/>
      <w:bookmarkStart w:id="295" w:name="_Toc184308046"/>
      <w:bookmarkEnd w:id="295"/>
      <w:bookmarkStart w:id="296" w:name="_Toc184314410"/>
      <w:bookmarkEnd w:id="296"/>
      <w:bookmarkStart w:id="297" w:name="_Toc184310323"/>
      <w:bookmarkEnd w:id="297"/>
      <w:bookmarkStart w:id="298" w:name="_Toc184310325"/>
      <w:bookmarkEnd w:id="298"/>
      <w:bookmarkStart w:id="299" w:name="_Toc184312077"/>
      <w:bookmarkEnd w:id="299"/>
      <w:bookmarkStart w:id="300" w:name="_Toc184310300"/>
      <w:bookmarkEnd w:id="300"/>
      <w:bookmarkStart w:id="301" w:name="_Toc184312120"/>
      <w:bookmarkEnd w:id="301"/>
      <w:bookmarkStart w:id="302" w:name="_Toc184313308"/>
      <w:bookmarkEnd w:id="302"/>
      <w:bookmarkStart w:id="303" w:name="_Toc184310336"/>
      <w:bookmarkEnd w:id="303"/>
      <w:bookmarkStart w:id="304" w:name="_Toc184312072"/>
      <w:bookmarkEnd w:id="304"/>
      <w:bookmarkStart w:id="305" w:name="_Toc184312100"/>
      <w:bookmarkEnd w:id="305"/>
      <w:bookmarkStart w:id="306" w:name="_Toc184314477"/>
      <w:bookmarkEnd w:id="306"/>
      <w:bookmarkStart w:id="307" w:name="_Toc184312079"/>
      <w:bookmarkEnd w:id="307"/>
      <w:bookmarkStart w:id="308" w:name="_Toc184313258"/>
      <w:bookmarkEnd w:id="308"/>
      <w:bookmarkStart w:id="309" w:name="_Toc184308087"/>
      <w:bookmarkEnd w:id="309"/>
      <w:bookmarkStart w:id="310" w:name="_Toc184313306"/>
      <w:bookmarkEnd w:id="310"/>
      <w:bookmarkStart w:id="311" w:name="_Toc184313252"/>
      <w:bookmarkEnd w:id="311"/>
      <w:bookmarkStart w:id="312" w:name="_Toc184312080"/>
      <w:bookmarkEnd w:id="312"/>
      <w:bookmarkStart w:id="313" w:name="_Toc184313286"/>
      <w:bookmarkEnd w:id="313"/>
      <w:bookmarkStart w:id="314" w:name="_Toc184308072"/>
      <w:bookmarkEnd w:id="314"/>
      <w:bookmarkStart w:id="315" w:name="_Toc184310281"/>
      <w:bookmarkEnd w:id="315"/>
      <w:bookmarkStart w:id="316" w:name="_Toc184314429"/>
      <w:bookmarkEnd w:id="316"/>
      <w:bookmarkStart w:id="317" w:name="_Toc184310312"/>
      <w:bookmarkEnd w:id="317"/>
      <w:bookmarkStart w:id="318" w:name="_Toc184308070"/>
      <w:bookmarkEnd w:id="318"/>
      <w:bookmarkStart w:id="319" w:name="_Toc184312124"/>
      <w:bookmarkEnd w:id="319"/>
      <w:bookmarkStart w:id="320" w:name="_Toc184310272"/>
      <w:bookmarkEnd w:id="320"/>
      <w:bookmarkStart w:id="321" w:name="_Toc184308041"/>
      <w:bookmarkEnd w:id="321"/>
      <w:bookmarkStart w:id="322" w:name="_Toc184314463"/>
      <w:bookmarkEnd w:id="322"/>
      <w:bookmarkStart w:id="323" w:name="_Toc184308079"/>
      <w:bookmarkEnd w:id="323"/>
      <w:bookmarkStart w:id="324" w:name="_Toc184314462"/>
      <w:bookmarkEnd w:id="324"/>
      <w:bookmarkStart w:id="325" w:name="_Toc184308063"/>
      <w:bookmarkEnd w:id="325"/>
      <w:bookmarkStart w:id="326" w:name="_Toc184308049"/>
      <w:bookmarkEnd w:id="326"/>
      <w:bookmarkStart w:id="327" w:name="_Toc184312075"/>
      <w:bookmarkEnd w:id="327"/>
      <w:bookmarkStart w:id="328" w:name="_Toc184310297"/>
      <w:bookmarkEnd w:id="328"/>
      <w:bookmarkStart w:id="329" w:name="_Toc184312110"/>
      <w:bookmarkEnd w:id="329"/>
      <w:bookmarkStart w:id="330" w:name="_Toc184314432"/>
      <w:bookmarkEnd w:id="330"/>
      <w:bookmarkStart w:id="331" w:name="_Toc184312105"/>
      <w:bookmarkEnd w:id="331"/>
      <w:bookmarkStart w:id="332" w:name="_Toc184308107"/>
      <w:bookmarkEnd w:id="332"/>
      <w:bookmarkStart w:id="333" w:name="_Toc184308098"/>
      <w:bookmarkEnd w:id="333"/>
      <w:bookmarkStart w:id="334" w:name="_Toc184312107"/>
      <w:bookmarkEnd w:id="334"/>
      <w:bookmarkStart w:id="335" w:name="_Toc184314445"/>
      <w:bookmarkEnd w:id="335"/>
      <w:bookmarkStart w:id="336" w:name="_Toc184314459"/>
      <w:bookmarkEnd w:id="336"/>
      <w:bookmarkStart w:id="337" w:name="_Toc184312138"/>
      <w:bookmarkEnd w:id="337"/>
      <w:bookmarkStart w:id="338" w:name="_Toc184308045"/>
      <w:bookmarkEnd w:id="338"/>
      <w:bookmarkStart w:id="339" w:name="_Toc184312099"/>
      <w:bookmarkEnd w:id="339"/>
      <w:bookmarkStart w:id="340" w:name="_Toc184308054"/>
      <w:bookmarkEnd w:id="340"/>
      <w:bookmarkStart w:id="341" w:name="_Toc184308093"/>
      <w:bookmarkEnd w:id="341"/>
      <w:bookmarkStart w:id="342" w:name="_Toc184313275"/>
      <w:bookmarkEnd w:id="342"/>
      <w:bookmarkStart w:id="343" w:name="_Toc184313297"/>
      <w:bookmarkEnd w:id="343"/>
      <w:bookmarkStart w:id="344" w:name="_Toc184310307"/>
      <w:bookmarkEnd w:id="344"/>
      <w:bookmarkStart w:id="345" w:name="_Toc184314482"/>
      <w:bookmarkEnd w:id="345"/>
      <w:bookmarkStart w:id="346" w:name="_Toc184310276"/>
      <w:bookmarkEnd w:id="346"/>
      <w:bookmarkStart w:id="347" w:name="_Toc184313264"/>
      <w:bookmarkEnd w:id="347"/>
      <w:bookmarkStart w:id="348" w:name="_Toc184312101"/>
      <w:bookmarkEnd w:id="348"/>
      <w:bookmarkStart w:id="349" w:name="_Toc184308048"/>
      <w:bookmarkEnd w:id="349"/>
      <w:bookmarkStart w:id="350" w:name="_Toc184313294"/>
      <w:bookmarkEnd w:id="350"/>
      <w:bookmarkStart w:id="351" w:name="_Toc184308068"/>
      <w:bookmarkEnd w:id="351"/>
      <w:bookmarkStart w:id="352" w:name="_Toc184312067"/>
      <w:bookmarkEnd w:id="352"/>
      <w:bookmarkStart w:id="353" w:name="_Toc184312119"/>
      <w:bookmarkEnd w:id="353"/>
      <w:bookmarkStart w:id="354" w:name="_Toc184308095"/>
      <w:bookmarkEnd w:id="354"/>
      <w:bookmarkStart w:id="355" w:name="_Toc184312104"/>
      <w:bookmarkEnd w:id="355"/>
      <w:bookmarkStart w:id="356" w:name="_Toc184310332"/>
      <w:bookmarkEnd w:id="356"/>
      <w:bookmarkStart w:id="357" w:name="_Toc184314416"/>
      <w:bookmarkEnd w:id="357"/>
      <w:bookmarkStart w:id="358" w:name="_Toc184310301"/>
      <w:bookmarkEnd w:id="358"/>
      <w:bookmarkStart w:id="359" w:name="_Toc184314478"/>
      <w:bookmarkEnd w:id="359"/>
      <w:bookmarkStart w:id="360" w:name="_Toc184312096"/>
      <w:bookmarkEnd w:id="360"/>
      <w:bookmarkStart w:id="361" w:name="_Toc184313304"/>
      <w:bookmarkEnd w:id="361"/>
      <w:bookmarkStart w:id="362" w:name="_Toc184313242"/>
      <w:bookmarkEnd w:id="362"/>
      <w:bookmarkStart w:id="363" w:name="_Toc184312137"/>
      <w:bookmarkEnd w:id="363"/>
      <w:bookmarkStart w:id="364" w:name="_Toc184313261"/>
      <w:bookmarkEnd w:id="364"/>
      <w:bookmarkStart w:id="365" w:name="_Toc184314452"/>
      <w:bookmarkEnd w:id="365"/>
      <w:bookmarkStart w:id="366" w:name="_Toc184313249"/>
      <w:bookmarkEnd w:id="366"/>
      <w:bookmarkStart w:id="367" w:name="_Toc184313305"/>
      <w:bookmarkEnd w:id="367"/>
      <w:bookmarkStart w:id="368" w:name="_Toc184313284"/>
      <w:bookmarkEnd w:id="368"/>
      <w:bookmarkStart w:id="369" w:name="_Toc184310304"/>
      <w:bookmarkEnd w:id="369"/>
      <w:bookmarkStart w:id="370" w:name="_Toc184313248"/>
      <w:bookmarkEnd w:id="370"/>
      <w:bookmarkStart w:id="371" w:name="_Toc184310302"/>
      <w:bookmarkEnd w:id="371"/>
      <w:bookmarkStart w:id="372" w:name="_Toc184314472"/>
      <w:bookmarkEnd w:id="372"/>
      <w:bookmarkStart w:id="373" w:name="_Toc184314440"/>
      <w:bookmarkEnd w:id="373"/>
      <w:bookmarkStart w:id="374" w:name="_Toc184312081"/>
      <w:bookmarkEnd w:id="374"/>
      <w:bookmarkStart w:id="375" w:name="_Toc184310338"/>
      <w:bookmarkEnd w:id="375"/>
      <w:bookmarkStart w:id="376" w:name="_Toc184310331"/>
      <w:bookmarkEnd w:id="376"/>
      <w:bookmarkStart w:id="377" w:name="_Toc184313266"/>
      <w:bookmarkEnd w:id="377"/>
      <w:bookmarkStart w:id="378" w:name="_Toc184310299"/>
      <w:bookmarkEnd w:id="378"/>
      <w:bookmarkStart w:id="379" w:name="_Toc184310306"/>
      <w:bookmarkEnd w:id="379"/>
      <w:bookmarkStart w:id="380" w:name="_Toc184310313"/>
      <w:bookmarkEnd w:id="380"/>
      <w:bookmarkStart w:id="381" w:name="_Toc184314433"/>
      <w:bookmarkEnd w:id="381"/>
      <w:bookmarkStart w:id="382" w:name="_Toc184313256"/>
      <w:bookmarkEnd w:id="382"/>
      <w:bookmarkStart w:id="383" w:name="_Toc184308096"/>
      <w:bookmarkEnd w:id="383"/>
      <w:bookmarkStart w:id="384" w:name="_Toc184314468"/>
      <w:bookmarkEnd w:id="384"/>
      <w:bookmarkStart w:id="385" w:name="_Toc184310285"/>
      <w:bookmarkEnd w:id="385"/>
      <w:bookmarkStart w:id="386" w:name="_Toc184310341"/>
      <w:bookmarkEnd w:id="386"/>
      <w:bookmarkStart w:id="387" w:name="_Toc184308065"/>
      <w:bookmarkEnd w:id="387"/>
      <w:bookmarkStart w:id="388" w:name="_Toc184308086"/>
      <w:bookmarkEnd w:id="388"/>
      <w:bookmarkStart w:id="389" w:name="_Toc184312127"/>
      <w:bookmarkEnd w:id="389"/>
      <w:bookmarkStart w:id="390" w:name="_Toc184314457"/>
      <w:bookmarkEnd w:id="390"/>
      <w:bookmarkStart w:id="391" w:name="_Toc184312109"/>
      <w:bookmarkEnd w:id="391"/>
      <w:bookmarkStart w:id="392" w:name="_Toc184308056"/>
      <w:bookmarkEnd w:id="392"/>
      <w:bookmarkStart w:id="393" w:name="_Toc184312103"/>
      <w:bookmarkEnd w:id="393"/>
      <w:bookmarkStart w:id="394" w:name="_Toc184313307"/>
      <w:bookmarkEnd w:id="394"/>
      <w:bookmarkStart w:id="395" w:name="_Toc184312094"/>
      <w:bookmarkEnd w:id="395"/>
      <w:bookmarkStart w:id="396" w:name="_Toc184314423"/>
      <w:bookmarkEnd w:id="396"/>
      <w:r>
        <w:rPr>
          <w:rFonts w:hint="eastAsia" w:ascii="宋体" w:hAnsi="宋体" w:eastAsia="宋体"/>
          <w:b w:val="0"/>
          <w:color w:val="auto"/>
          <w:sz w:val="22"/>
          <w:szCs w:val="22"/>
          <w:highlight w:val="none"/>
        </w:rPr>
        <w:t>*备注：投标人编制投标文件（商务技术文件部分）时，建议按此目录（序号和内容）提供评标标准相应的商务技术资料。 </w:t>
      </w:r>
    </w:p>
    <w:p w14:paraId="247680FF">
      <w:pPr>
        <w:spacing w:line="460" w:lineRule="atLeast"/>
        <w:rPr>
          <w:rFonts w:hint="eastAsia" w:ascii="宋体" w:hAnsi="宋体" w:eastAsia="宋体"/>
          <w:bCs/>
          <w:color w:val="auto"/>
          <w:sz w:val="22"/>
          <w:szCs w:val="22"/>
          <w:highlight w:val="none"/>
        </w:rPr>
      </w:pPr>
      <w:r>
        <w:rPr>
          <w:rFonts w:hint="eastAsia" w:ascii="宋体" w:hAnsi="宋体" w:eastAsia="宋体"/>
          <w:bCs/>
          <w:color w:val="auto"/>
          <w:sz w:val="22"/>
          <w:szCs w:val="22"/>
          <w:highlight w:val="none"/>
        </w:rPr>
        <w:t>一、评标方法</w:t>
      </w:r>
    </w:p>
    <w:p w14:paraId="09178ACD">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1.本项目采用综合评分法。综合评分法，是指投标文件满足招标文件全部实质性要求，且按照评审因素的量化指标评审得分最高的投标人为中标候选人的评标方法。</w:t>
      </w:r>
    </w:p>
    <w:p w14:paraId="4ECE382C">
      <w:pPr>
        <w:spacing w:line="460" w:lineRule="atLeast"/>
        <w:rPr>
          <w:rFonts w:hint="eastAsia" w:ascii="宋体" w:hAnsi="宋体" w:eastAsia="宋体"/>
          <w:bCs/>
          <w:color w:val="auto"/>
          <w:sz w:val="22"/>
          <w:szCs w:val="22"/>
          <w:highlight w:val="none"/>
        </w:rPr>
      </w:pPr>
      <w:r>
        <w:rPr>
          <w:rFonts w:hint="eastAsia" w:ascii="宋体" w:hAnsi="宋体" w:eastAsia="宋体"/>
          <w:bCs/>
          <w:color w:val="auto"/>
          <w:sz w:val="22"/>
          <w:szCs w:val="22"/>
          <w:highlight w:val="none"/>
        </w:rPr>
        <w:t>二、评标标准</w:t>
      </w:r>
    </w:p>
    <w:p w14:paraId="5D461024">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2. 评标标准：见评标办法前附表。</w:t>
      </w:r>
    </w:p>
    <w:p w14:paraId="472FCF68">
      <w:pPr>
        <w:spacing w:line="460" w:lineRule="atLeast"/>
        <w:rPr>
          <w:rFonts w:hint="eastAsia" w:ascii="宋体" w:hAnsi="宋体" w:eastAsia="宋体"/>
          <w:bCs/>
          <w:color w:val="auto"/>
          <w:sz w:val="22"/>
          <w:szCs w:val="22"/>
          <w:highlight w:val="none"/>
        </w:rPr>
      </w:pPr>
      <w:r>
        <w:rPr>
          <w:rFonts w:hint="eastAsia" w:ascii="宋体" w:hAnsi="宋体" w:eastAsia="宋体"/>
          <w:bCs/>
          <w:color w:val="auto"/>
          <w:sz w:val="22"/>
          <w:szCs w:val="22"/>
          <w:highlight w:val="none"/>
        </w:rPr>
        <w:t>三、评标程序</w:t>
      </w:r>
    </w:p>
    <w:p w14:paraId="6005E2C7">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3.1符合性审查。评标委员会应当对符合资格的投标人的投标文件进行符合性审查，以确定其是否满足招标文件的实质性要求。不满足招标文件的实质性要求的，投标无效。</w:t>
      </w:r>
    </w:p>
    <w:p w14:paraId="4EBC3AFC">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3.2 比较与评价。评标委员会应当按照招标文件中规定的评标方法和标准，对符合性审查合格的投标文件进行商务和技术评估，综合比较与评价。</w:t>
      </w:r>
    </w:p>
    <w:p w14:paraId="28E4325F">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3.3汇总商务技术得分。评标委员会各成员应当独立对每个投标人的商务和技术文件进行评价，并汇总商务技术得分情况。</w:t>
      </w:r>
    </w:p>
    <w:p w14:paraId="1B6C8F33">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3.4报价评审。</w:t>
      </w:r>
    </w:p>
    <w:p w14:paraId="43DE0048">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3.4.1投标文件报价出现前后不一致的，按照下列规定修正：</w:t>
      </w:r>
    </w:p>
    <w:p w14:paraId="506A4ABF">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3.4.1.1投标文件中开标一览表(报价表)内容与投标文件中相应内容不一致的，以开标一览表(报价表)为准;</w:t>
      </w:r>
    </w:p>
    <w:p w14:paraId="1E3807BA">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3.4.1.2大写金额和小写金额不一致的，以大写金额为准;</w:t>
      </w:r>
    </w:p>
    <w:p w14:paraId="6E956387">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3.4.1.3单价金额小数点或者百分比有明显错位的，以开标一览表的总价为准，并修改单价;</w:t>
      </w:r>
    </w:p>
    <w:p w14:paraId="2901C0A6">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3.4.1.4总价金额与按单价汇总金额不一致的，以单价金额计算结果为准。</w:t>
      </w:r>
    </w:p>
    <w:p w14:paraId="0B768849">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3.4.1.5同时出现两种以上不一致的，按照3.4.1规定的顺序修正。修正后的报价按照财政部第87号令 《政府采购货物和服务招标投标管理办法》第五十一条第二款的规定经投标人确认后产生约束力。</w:t>
      </w:r>
    </w:p>
    <w:p w14:paraId="69710695">
      <w:pPr>
        <w:autoSpaceDE w:val="0"/>
        <w:autoSpaceDN w:val="0"/>
        <w:adjustRightInd w:val="0"/>
        <w:snapToGrid w:val="0"/>
        <w:spacing w:line="460" w:lineRule="atLeast"/>
        <w:ind w:firstLine="442" w:firstLineChars="200"/>
        <w:textAlignment w:val="bottom"/>
        <w:rPr>
          <w:rFonts w:ascii="宋体" w:eastAsia="宋体"/>
          <w:b/>
          <w:bCs/>
          <w:color w:val="auto"/>
          <w:sz w:val="22"/>
          <w:szCs w:val="22"/>
          <w:highlight w:val="none"/>
        </w:rPr>
      </w:pPr>
      <w:r>
        <w:rPr>
          <w:rFonts w:hint="eastAsia" w:ascii="宋体" w:eastAsia="宋体"/>
          <w:b/>
          <w:bCs/>
          <w:color w:val="auto"/>
          <w:sz w:val="22"/>
          <w:szCs w:val="22"/>
          <w:highlight w:val="none"/>
          <w:lang w:val="en-US" w:eastAsia="zh-CN"/>
        </w:rPr>
        <w:t xml:space="preserve">3.4.1.6 </w:t>
      </w:r>
      <w:r>
        <w:rPr>
          <w:rFonts w:ascii="宋体" w:eastAsia="宋体"/>
          <w:b/>
          <w:bCs/>
          <w:color w:val="auto"/>
          <w:sz w:val="22"/>
          <w:szCs w:val="22"/>
          <w:highlight w:val="none"/>
        </w:rPr>
        <w:t>投标供应商在线制作投标文件时《开标一览表》中填写的金额与解密后“电子加密投标文件”中《开标一览表》填写的金额不一致的，以解密后“电子加密投标文件”中《开标一览表》填写的金额为准，投标供应商拒绝接受此调整的，按无效投标处理。</w:t>
      </w:r>
    </w:p>
    <w:p w14:paraId="6602840B">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3.4.2投标文件出现不是唯一的、有选择性投标报价的，投标无效。</w:t>
      </w:r>
    </w:p>
    <w:p w14:paraId="29720625">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3.4.3投标报价超过招标文件中规定的预算金额或者最高限价的，投标无效。</w:t>
      </w:r>
    </w:p>
    <w:p w14:paraId="51A8BE40">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3.4.4评标委员会认为投标人的报价明显低于其他通过符合性审查投标人的报价，有可能影响产品质量或者不能诚信履约的，应当要求其在合理的时间内提供书面说明，必要时提交相关证明材料;投标人不能证明其报价合理性的，评标委员会应当将其作为无效投标处理。</w:t>
      </w:r>
    </w:p>
    <w:p w14:paraId="0432B1D6">
      <w:pPr>
        <w:spacing w:line="460" w:lineRule="atLeast"/>
        <w:ind w:firstLine="440"/>
        <w:rPr>
          <w:rFonts w:hint="eastAsia" w:ascii="宋体" w:hAnsi="宋体" w:eastAsia="宋体"/>
          <w:b/>
          <w:bCs/>
          <w:color w:val="auto"/>
          <w:sz w:val="22"/>
          <w:szCs w:val="22"/>
          <w:highlight w:val="none"/>
          <w:u w:val="single"/>
        </w:rPr>
      </w:pPr>
      <w:r>
        <w:rPr>
          <w:rFonts w:hint="eastAsia" w:ascii="宋体" w:hAnsi="宋体" w:eastAsia="宋体"/>
          <w:b/>
          <w:bCs/>
          <w:color w:val="auto"/>
          <w:sz w:val="22"/>
          <w:szCs w:val="22"/>
          <w:highlight w:val="none"/>
          <w:u w:val="single"/>
        </w:rPr>
        <w:t>3.4.5</w:t>
      </w:r>
      <w:r>
        <w:rPr>
          <w:rFonts w:hint="eastAsia" w:ascii="宋体" w:hAnsi="宋体" w:eastAsia="宋体" w:cs="宋体"/>
          <w:b/>
          <w:bCs/>
          <w:color w:val="auto"/>
          <w:sz w:val="22"/>
          <w:szCs w:val="22"/>
          <w:highlight w:val="none"/>
          <w:u w:val="single"/>
          <w:lang w:val="en-US" w:eastAsia="zh-CN"/>
        </w:rPr>
        <w:t>本项目专门面向中小微企业（监狱企业、残疾人企业等同中小微企业），不再执行价格评审优惠政策</w:t>
      </w:r>
      <w:r>
        <w:rPr>
          <w:rFonts w:hint="eastAsia" w:ascii="宋体" w:hAnsi="宋体" w:eastAsia="宋体"/>
          <w:b/>
          <w:bCs/>
          <w:color w:val="auto"/>
          <w:sz w:val="22"/>
          <w:szCs w:val="22"/>
          <w:highlight w:val="none"/>
          <w:u w:val="single"/>
        </w:rPr>
        <w:t>。</w:t>
      </w:r>
    </w:p>
    <w:p w14:paraId="2F636FBB">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3.5排序与推荐。采用综合评分法的，评标结果按评审后得分由高到低顺序排列，推荐2名中标候选人。得分相同的，按投标报价由低到高顺序排列。得分且投标报价相同的并列。投标文件满足招标文件全部实质性要求，且按照评审因素的量化指标评审得分最高的投标人为排名第一的中标候选人。</w:t>
      </w:r>
    </w:p>
    <w:p w14:paraId="2E1D7A97">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多家投标人提供相同品牌产品（单一产品采购项目中的该产品或者非单一产品采购项目的核心产品）且通过资格审查、符合性审查的不同投标人参加同一合同项下投标的，按一家投标人计算，评审后得分最高的同品牌投标人获得中标人推荐资格；评审得分相同的，采取随机抽取方式确定，其他同品牌投标人不作为中标候选人。</w:t>
      </w:r>
    </w:p>
    <w:p w14:paraId="6EA25525">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3.6编写评标报告。评标委员会根据全体评标成员签字的原始评标记录和评标结果编写评标报告。评标委员会成员对需要共同认定的事项存在争议的，应当按照少数服从多数的原则作出结论。持不同意见的评标委员会成员应当在评标报告上签署不同意见及理由，否则视为同意评标报告。</w:t>
      </w:r>
    </w:p>
    <w:p w14:paraId="4E08D221">
      <w:pPr>
        <w:spacing w:line="460" w:lineRule="atLeast"/>
        <w:rPr>
          <w:rFonts w:hint="eastAsia" w:ascii="宋体" w:hAnsi="宋体" w:eastAsia="宋体"/>
          <w:bCs/>
          <w:color w:val="auto"/>
          <w:sz w:val="22"/>
          <w:szCs w:val="22"/>
          <w:highlight w:val="none"/>
        </w:rPr>
      </w:pPr>
      <w:r>
        <w:rPr>
          <w:rFonts w:hint="eastAsia" w:ascii="宋体" w:hAnsi="宋体" w:eastAsia="宋体"/>
          <w:bCs/>
          <w:color w:val="auto"/>
          <w:sz w:val="22"/>
          <w:szCs w:val="22"/>
          <w:highlight w:val="none"/>
        </w:rPr>
        <w:t>四、评标中的其他事项</w:t>
      </w:r>
    </w:p>
    <w:bookmarkEnd w:id="21"/>
    <w:p w14:paraId="6C39EC6C">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4.1投标人澄清、说明或者补正。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如果投标人拒绝或逾期回复，评标委员会将对其作出不利的评审。投标人的澄清、说明或者补正不得超出投标文件的范围或者改变投标文件的实质性内容。</w:t>
      </w:r>
    </w:p>
    <w:p w14:paraId="0E4F5C00">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4.2投标无效。有下列情形之一的，投标无效：</w:t>
      </w:r>
    </w:p>
    <w:p w14:paraId="37A4B9B9">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4.2.1投标人不具备招标文件中规定的资格要求的（投标人未提供有效的资格文件的，视为投标人不具备招标文件中规定的资格要求）；</w:t>
      </w:r>
    </w:p>
    <w:p w14:paraId="3066F172">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4.2.2投标文件未按照招标文件要求签署、盖章的；</w:t>
      </w:r>
    </w:p>
    <w:p w14:paraId="632DCD9C">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4.2.3采购人拟采购的产品属于政府强制采购的节能产品品目清单范围的，投标人相应的投标产品未获得国家确定的认证机构出具的、处于有效期之内的节能产品认证证书的；</w:t>
      </w:r>
    </w:p>
    <w:p w14:paraId="4400EEDB">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4.2.4投标文件含有采购人不能接受的附加条件的；</w:t>
      </w:r>
    </w:p>
    <w:p w14:paraId="47B32E49">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4.2.5投标文件中承诺的投标有效期少于招标文件中载明的投标有效期的；</w:t>
      </w:r>
    </w:p>
    <w:p w14:paraId="43A425E6">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4.2.6投标文件出现不是唯一的、有选择性投标报价的;</w:t>
      </w:r>
    </w:p>
    <w:p w14:paraId="392ED539">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4.2.7投标报价超过招标文件中规定的预算金额或者最高限价的;</w:t>
      </w:r>
    </w:p>
    <w:p w14:paraId="09A7014F">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4.2.8报价明显低于其他通过符合性审查投标人的报价，有可能影响产品质量或者不能诚信履约的，未能按要求提供书面说明或者提交相关证明材料，不能证明其报价合理性的;</w:t>
      </w:r>
    </w:p>
    <w:p w14:paraId="097F962F">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4.2.9投标人对根据修正原则修正后的报价不确认的；</w:t>
      </w:r>
    </w:p>
    <w:p w14:paraId="7E293BA6">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4.2.10投标人提供虚假材料投标的；</w:t>
      </w:r>
    </w:p>
    <w:p w14:paraId="36410332">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4.2.11投标人有恶意串通、妨碍其他投标人的竞争行为、损害采购人或者其他投标人的合法权益情形的；</w:t>
      </w:r>
    </w:p>
    <w:p w14:paraId="6F73581E">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4.2.12投标人仅提交备份投标文件，未在电子交易平台传输递交投标文件的，投标无效；</w:t>
      </w:r>
    </w:p>
    <w:p w14:paraId="34423A2D">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4.2.13 投标文件不满足招标文件的其它实质性要求的；</w:t>
      </w:r>
    </w:p>
    <w:p w14:paraId="3AA4EB72">
      <w:pPr>
        <w:spacing w:line="460" w:lineRule="atLeast"/>
        <w:ind w:firstLine="440"/>
        <w:rPr>
          <w:rFonts w:hint="default" w:ascii="宋体" w:hAnsi="宋体" w:eastAsia="宋体"/>
          <w:b/>
          <w:bCs/>
          <w:color w:val="auto"/>
          <w:sz w:val="22"/>
          <w:szCs w:val="22"/>
          <w:highlight w:val="none"/>
          <w:lang w:val="en-US" w:eastAsia="zh-CN"/>
        </w:rPr>
      </w:pPr>
      <w:r>
        <w:rPr>
          <w:rFonts w:hint="eastAsia" w:ascii="宋体" w:hAnsi="宋体" w:eastAsia="宋体"/>
          <w:b/>
          <w:bCs/>
          <w:color w:val="auto"/>
          <w:sz w:val="22"/>
          <w:szCs w:val="22"/>
          <w:highlight w:val="none"/>
          <w:lang w:val="en-US" w:eastAsia="zh-CN"/>
        </w:rPr>
        <w:t xml:space="preserve">4.2.14 </w:t>
      </w:r>
      <w:r>
        <w:rPr>
          <w:rFonts w:hint="eastAsia" w:ascii="宋体" w:hAnsi="宋体" w:eastAsia="宋体" w:cs="宋体"/>
          <w:b/>
          <w:bCs/>
          <w:color w:val="auto"/>
          <w:kern w:val="0"/>
          <w:sz w:val="22"/>
          <w:szCs w:val="22"/>
          <w:highlight w:val="none"/>
          <w:lang w:val="en-US" w:eastAsia="zh-CN"/>
        </w:rPr>
        <w:t>不同供应商的电子投标（响应）文件上传的IP地址相同且无法合理解释的</w:t>
      </w:r>
      <w:r>
        <w:rPr>
          <w:rFonts w:hint="eastAsia" w:ascii="宋体" w:hAnsi="宋体" w:eastAsia="宋体"/>
          <w:b/>
          <w:bCs/>
          <w:color w:val="auto"/>
          <w:sz w:val="22"/>
          <w:szCs w:val="22"/>
          <w:highlight w:val="none"/>
          <w:lang w:val="en-US" w:eastAsia="zh-CN"/>
        </w:rPr>
        <w:t>；</w:t>
      </w:r>
    </w:p>
    <w:p w14:paraId="07E2E200">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4.2.1</w:t>
      </w:r>
      <w:r>
        <w:rPr>
          <w:rFonts w:hint="eastAsia" w:ascii="宋体" w:hAnsi="宋体" w:eastAsia="宋体"/>
          <w:b w:val="0"/>
          <w:color w:val="auto"/>
          <w:sz w:val="22"/>
          <w:szCs w:val="22"/>
          <w:highlight w:val="none"/>
          <w:lang w:val="en-US" w:eastAsia="zh-CN"/>
        </w:rPr>
        <w:t>5</w:t>
      </w:r>
      <w:r>
        <w:rPr>
          <w:rFonts w:hint="eastAsia" w:ascii="宋体" w:hAnsi="宋体" w:eastAsia="宋体"/>
          <w:b w:val="0"/>
          <w:color w:val="auto"/>
          <w:sz w:val="22"/>
          <w:szCs w:val="22"/>
          <w:highlight w:val="none"/>
        </w:rPr>
        <w:t>法律、法规、规章（适用本市的）及省级以上规范性文件（适用本市的）规定的其他无效情形。</w:t>
      </w:r>
    </w:p>
    <w:p w14:paraId="779E1AFC">
      <w:pPr>
        <w:spacing w:line="460" w:lineRule="atLeast"/>
        <w:ind w:firstLine="440"/>
        <w:rPr>
          <w:rFonts w:hint="eastAsia" w:ascii="宋体" w:hAnsi="宋体" w:eastAsia="宋体" w:cs="宋体"/>
          <w:b/>
          <w:color w:val="auto"/>
          <w:sz w:val="22"/>
          <w:szCs w:val="22"/>
          <w:highlight w:val="none"/>
        </w:rPr>
      </w:pPr>
      <w:r>
        <w:rPr>
          <w:rFonts w:hint="eastAsia" w:ascii="宋体" w:hAnsi="宋体" w:eastAsia="宋体" w:cs="宋体"/>
          <w:b/>
          <w:color w:val="auto"/>
          <w:sz w:val="22"/>
          <w:szCs w:val="22"/>
          <w:highlight w:val="none"/>
        </w:rPr>
        <w:t>5</w:t>
      </w:r>
      <w:r>
        <w:rPr>
          <w:rFonts w:hint="eastAsia" w:ascii="宋体" w:hAnsi="宋体" w:eastAsia="宋体" w:cs="宋体"/>
          <w:b/>
          <w:color w:val="auto"/>
          <w:sz w:val="22"/>
          <w:szCs w:val="22"/>
          <w:highlight w:val="none"/>
          <w:lang w:eastAsia="zh-CN"/>
        </w:rPr>
        <w:t>.</w:t>
      </w:r>
      <w:r>
        <w:rPr>
          <w:rFonts w:hint="eastAsia" w:ascii="宋体" w:hAnsi="宋体" w:eastAsia="宋体" w:cs="宋体"/>
          <w:b/>
          <w:color w:val="auto"/>
          <w:sz w:val="22"/>
          <w:szCs w:val="22"/>
          <w:highlight w:val="none"/>
        </w:rPr>
        <w:t>有下列情形之一的，视为投标供应商相互串通投标：</w:t>
      </w:r>
    </w:p>
    <w:p w14:paraId="3B9DE96E">
      <w:pPr>
        <w:spacing w:line="460" w:lineRule="atLeast"/>
        <w:ind w:firstLine="440"/>
        <w:rPr>
          <w:rFonts w:hint="eastAsia" w:ascii="宋体" w:hAnsi="宋体" w:eastAsia="宋体" w:cs="宋体"/>
          <w:b/>
          <w:color w:val="auto"/>
          <w:sz w:val="22"/>
          <w:szCs w:val="22"/>
          <w:highlight w:val="none"/>
        </w:rPr>
      </w:pPr>
      <w:r>
        <w:rPr>
          <w:rFonts w:hint="eastAsia" w:ascii="宋体" w:hAnsi="宋体" w:eastAsia="宋体" w:cs="宋体"/>
          <w:b/>
          <w:color w:val="auto"/>
          <w:sz w:val="22"/>
          <w:szCs w:val="22"/>
          <w:highlight w:val="none"/>
        </w:rPr>
        <w:t>5.1不同投标供应商的投标文件由同一单位或者个人编制；</w:t>
      </w:r>
    </w:p>
    <w:p w14:paraId="5FD4F22D">
      <w:pPr>
        <w:spacing w:line="460" w:lineRule="atLeast"/>
        <w:ind w:firstLine="440"/>
        <w:rPr>
          <w:rFonts w:hint="eastAsia" w:ascii="宋体" w:hAnsi="宋体" w:eastAsia="宋体" w:cs="宋体"/>
          <w:b/>
          <w:color w:val="auto"/>
          <w:sz w:val="22"/>
          <w:szCs w:val="22"/>
          <w:highlight w:val="none"/>
        </w:rPr>
      </w:pPr>
      <w:r>
        <w:rPr>
          <w:rFonts w:hint="eastAsia" w:ascii="宋体" w:hAnsi="宋体" w:eastAsia="宋体" w:cs="宋体"/>
          <w:b/>
          <w:color w:val="auto"/>
          <w:sz w:val="22"/>
          <w:szCs w:val="22"/>
          <w:highlight w:val="none"/>
        </w:rPr>
        <w:t>5.2不同投标供应商委托同一单位或者个人办理投标事宜；</w:t>
      </w:r>
    </w:p>
    <w:p w14:paraId="74EE0D93">
      <w:pPr>
        <w:spacing w:line="460" w:lineRule="atLeast"/>
        <w:ind w:firstLine="440"/>
        <w:rPr>
          <w:rFonts w:hint="eastAsia" w:ascii="宋体" w:hAnsi="宋体" w:eastAsia="宋体" w:cs="宋体"/>
          <w:b/>
          <w:color w:val="auto"/>
          <w:sz w:val="22"/>
          <w:szCs w:val="22"/>
          <w:highlight w:val="none"/>
        </w:rPr>
      </w:pPr>
      <w:r>
        <w:rPr>
          <w:rFonts w:hint="eastAsia" w:ascii="宋体" w:hAnsi="宋体" w:eastAsia="宋体" w:cs="宋体"/>
          <w:b/>
          <w:color w:val="auto"/>
          <w:sz w:val="22"/>
          <w:szCs w:val="22"/>
          <w:highlight w:val="none"/>
        </w:rPr>
        <w:t>5.3不同投标供应商的投标文件载明的项目管理成员为同一人；</w:t>
      </w:r>
    </w:p>
    <w:p w14:paraId="1091187F">
      <w:pPr>
        <w:spacing w:line="460" w:lineRule="atLeast"/>
        <w:ind w:firstLine="440"/>
        <w:rPr>
          <w:rFonts w:hint="eastAsia" w:ascii="宋体" w:hAnsi="宋体" w:eastAsia="宋体" w:cs="宋体"/>
          <w:b/>
          <w:color w:val="auto"/>
          <w:sz w:val="22"/>
          <w:szCs w:val="22"/>
          <w:highlight w:val="none"/>
        </w:rPr>
      </w:pPr>
      <w:r>
        <w:rPr>
          <w:rFonts w:hint="eastAsia" w:ascii="宋体" w:hAnsi="宋体" w:eastAsia="宋体" w:cs="宋体"/>
          <w:b/>
          <w:color w:val="auto"/>
          <w:sz w:val="22"/>
          <w:szCs w:val="22"/>
          <w:highlight w:val="none"/>
        </w:rPr>
        <w:t>5.4不同投标供应商的投标文件异常一致或者投标报价呈规律性差异；</w:t>
      </w:r>
    </w:p>
    <w:p w14:paraId="779AA137">
      <w:pPr>
        <w:spacing w:line="460" w:lineRule="atLeast"/>
        <w:ind w:firstLine="440"/>
        <w:rPr>
          <w:rFonts w:hint="eastAsia" w:ascii="宋体" w:hAnsi="宋体" w:eastAsia="宋体" w:cs="宋体"/>
          <w:b/>
          <w:color w:val="auto"/>
          <w:sz w:val="22"/>
          <w:szCs w:val="22"/>
          <w:highlight w:val="none"/>
          <w:lang w:eastAsia="zh-CN"/>
        </w:rPr>
      </w:pPr>
      <w:r>
        <w:rPr>
          <w:rFonts w:hint="eastAsia" w:ascii="宋体" w:hAnsi="宋体" w:eastAsia="宋体" w:cs="宋体"/>
          <w:b/>
          <w:color w:val="auto"/>
          <w:sz w:val="22"/>
          <w:szCs w:val="22"/>
          <w:highlight w:val="none"/>
        </w:rPr>
        <w:t>5.5不同投标供应商的投标文件相互混装</w:t>
      </w:r>
      <w:r>
        <w:rPr>
          <w:rFonts w:hint="eastAsia" w:ascii="宋体" w:hAnsi="宋体" w:eastAsia="宋体" w:cs="宋体"/>
          <w:b/>
          <w:color w:val="auto"/>
          <w:sz w:val="22"/>
          <w:szCs w:val="22"/>
          <w:highlight w:val="none"/>
          <w:lang w:eastAsia="zh-CN"/>
        </w:rPr>
        <w:t>。</w:t>
      </w:r>
    </w:p>
    <w:p w14:paraId="1F0CBB92">
      <w:pPr>
        <w:spacing w:line="460" w:lineRule="atLeast"/>
        <w:ind w:firstLine="440"/>
        <w:rPr>
          <w:rFonts w:hint="default" w:ascii="宋体" w:hAnsi="宋体" w:eastAsia="宋体" w:cs="宋体"/>
          <w:b/>
          <w:color w:val="auto"/>
          <w:sz w:val="22"/>
          <w:szCs w:val="22"/>
          <w:highlight w:val="none"/>
          <w:lang w:val="en-US" w:eastAsia="zh-CN"/>
        </w:rPr>
      </w:pPr>
      <w:r>
        <w:rPr>
          <w:rFonts w:hint="eastAsia" w:ascii="宋体" w:hAnsi="宋体" w:eastAsia="宋体" w:cs="宋体"/>
          <w:b/>
          <w:color w:val="auto"/>
          <w:sz w:val="22"/>
          <w:szCs w:val="22"/>
          <w:highlight w:val="none"/>
          <w:lang w:val="en-US" w:eastAsia="zh-CN"/>
        </w:rPr>
        <w:t xml:space="preserve">5.6 </w:t>
      </w:r>
      <w:r>
        <w:rPr>
          <w:rFonts w:hint="eastAsia" w:ascii="宋体" w:hAnsi="宋体" w:eastAsia="宋体"/>
          <w:b/>
          <w:bCs/>
          <w:color w:val="auto"/>
          <w:sz w:val="22"/>
          <w:szCs w:val="22"/>
          <w:highlight w:val="none"/>
          <w:lang w:val="en-US" w:eastAsia="zh-CN"/>
        </w:rPr>
        <w:t>参与同一个采购包（标段）的供应商存在下列情形之一且无法合理解释的，其投标（响应）文件无效：</w:t>
      </w:r>
      <w:r>
        <w:rPr>
          <w:rFonts w:hint="eastAsia" w:ascii="宋体" w:hAnsi="宋体" w:eastAsia="宋体"/>
          <w:b/>
          <w:bCs/>
          <w:color w:val="auto"/>
          <w:sz w:val="22"/>
          <w:szCs w:val="22"/>
          <w:highlight w:val="none"/>
          <w:lang w:val="en-US" w:eastAsia="zh"/>
        </w:rPr>
        <w:t>1.</w:t>
      </w:r>
      <w:r>
        <w:rPr>
          <w:rFonts w:hint="eastAsia" w:ascii="宋体" w:hAnsi="宋体" w:eastAsia="宋体"/>
          <w:b/>
          <w:bCs/>
          <w:color w:val="auto"/>
          <w:sz w:val="22"/>
          <w:szCs w:val="22"/>
          <w:highlight w:val="none"/>
          <w:lang w:val="en-US" w:eastAsia="zh-CN"/>
        </w:rPr>
        <w:t>不同供应商的电子投标（响应）文件上传计算机的网卡MAC地址或硬盘序列号等硬件信息相同的；</w:t>
      </w:r>
      <w:r>
        <w:rPr>
          <w:rFonts w:hint="eastAsia" w:ascii="宋体" w:hAnsi="宋体" w:eastAsia="宋体"/>
          <w:b/>
          <w:bCs/>
          <w:color w:val="auto"/>
          <w:sz w:val="22"/>
          <w:szCs w:val="22"/>
          <w:highlight w:val="none"/>
          <w:lang w:val="en-US" w:eastAsia="zh"/>
        </w:rPr>
        <w:t>2.</w:t>
      </w:r>
      <w:r>
        <w:rPr>
          <w:rFonts w:hint="eastAsia" w:ascii="宋体" w:hAnsi="宋体" w:eastAsia="宋体"/>
          <w:b/>
          <w:bCs/>
          <w:color w:val="auto"/>
          <w:sz w:val="22"/>
          <w:szCs w:val="22"/>
          <w:highlight w:val="none"/>
          <w:lang w:val="en-US" w:eastAsia="zh-CN"/>
        </w:rPr>
        <w:t>上传的电子投标（响应）文件若出现使用本项目其他投标（响应）供应商的数字证书加密的，或者加盖本项目其他投标（响应）供应商的电子印章的；</w:t>
      </w:r>
      <w:r>
        <w:rPr>
          <w:rFonts w:hint="eastAsia" w:ascii="宋体" w:hAnsi="宋体" w:eastAsia="宋体"/>
          <w:b/>
          <w:bCs/>
          <w:color w:val="auto"/>
          <w:sz w:val="22"/>
          <w:szCs w:val="22"/>
          <w:highlight w:val="none"/>
          <w:lang w:val="en-US" w:eastAsia="zh"/>
        </w:rPr>
        <w:t>3.</w:t>
      </w:r>
      <w:r>
        <w:rPr>
          <w:rFonts w:hint="eastAsia" w:ascii="宋体" w:hAnsi="宋体" w:eastAsia="宋体"/>
          <w:b/>
          <w:bCs/>
          <w:color w:val="auto"/>
          <w:sz w:val="22"/>
          <w:szCs w:val="22"/>
          <w:highlight w:val="none"/>
          <w:lang w:val="en-US" w:eastAsia="zh-CN"/>
        </w:rPr>
        <w:t>不同供应商的投标（响应）文件的内容存在</w:t>
      </w:r>
      <w:r>
        <w:rPr>
          <w:rFonts w:hint="eastAsia" w:ascii="宋体" w:hAnsi="宋体" w:eastAsia="宋体"/>
          <w:b/>
          <w:bCs/>
          <w:color w:val="auto"/>
          <w:sz w:val="22"/>
          <w:szCs w:val="22"/>
          <w:highlight w:val="none"/>
          <w:lang w:val="en-US" w:eastAsia="zh"/>
        </w:rPr>
        <w:t>3</w:t>
      </w:r>
      <w:r>
        <w:rPr>
          <w:rFonts w:hint="eastAsia" w:ascii="宋体" w:hAnsi="宋体" w:eastAsia="宋体"/>
          <w:b/>
          <w:bCs/>
          <w:color w:val="auto"/>
          <w:sz w:val="22"/>
          <w:szCs w:val="22"/>
          <w:highlight w:val="none"/>
          <w:lang w:val="en-US" w:eastAsia="zh-CN"/>
        </w:rPr>
        <w:t>处（含）以上错误一致的；4</w:t>
      </w:r>
      <w:r>
        <w:rPr>
          <w:rFonts w:hint="eastAsia" w:ascii="宋体" w:hAnsi="宋体" w:eastAsia="宋体"/>
          <w:b/>
          <w:bCs/>
          <w:color w:val="auto"/>
          <w:sz w:val="22"/>
          <w:szCs w:val="22"/>
          <w:highlight w:val="none"/>
          <w:lang w:val="en-US" w:eastAsia="zh"/>
        </w:rPr>
        <w:t>.</w:t>
      </w:r>
      <w:r>
        <w:rPr>
          <w:rFonts w:hint="eastAsia" w:ascii="宋体" w:hAnsi="宋体" w:eastAsia="宋体"/>
          <w:b/>
          <w:bCs/>
          <w:color w:val="auto"/>
          <w:sz w:val="22"/>
          <w:szCs w:val="22"/>
          <w:highlight w:val="none"/>
          <w:lang w:val="en-US" w:eastAsia="zh-CN"/>
        </w:rPr>
        <w:t>不同供应商联系人为同一人或不同联系人的联系电话一致的。</w:t>
      </w:r>
    </w:p>
    <w:p w14:paraId="1388820C">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6</w:t>
      </w:r>
      <w:r>
        <w:rPr>
          <w:rFonts w:hint="eastAsia" w:ascii="宋体" w:hAnsi="宋体" w:eastAsia="宋体"/>
          <w:b w:val="0"/>
          <w:color w:val="auto"/>
          <w:sz w:val="22"/>
          <w:szCs w:val="22"/>
          <w:highlight w:val="none"/>
        </w:rPr>
        <w:t>.废标。根据《中华人民共和国政府采购法》第三十六条之规定，在采购中，出现下列情形之一的，应予废标：</w:t>
      </w:r>
    </w:p>
    <w:p w14:paraId="4FCA4782">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6</w:t>
      </w:r>
      <w:r>
        <w:rPr>
          <w:rFonts w:hint="eastAsia" w:ascii="宋体" w:hAnsi="宋体" w:eastAsia="宋体"/>
          <w:b w:val="0"/>
          <w:color w:val="auto"/>
          <w:sz w:val="22"/>
          <w:szCs w:val="22"/>
          <w:highlight w:val="none"/>
        </w:rPr>
        <w:t>.1符合专业条件的供应商或者对招标文件作实质响应的供应商不足3家的；</w:t>
      </w:r>
    </w:p>
    <w:p w14:paraId="5C0006E7">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6</w:t>
      </w:r>
      <w:r>
        <w:rPr>
          <w:rFonts w:hint="eastAsia" w:ascii="宋体" w:hAnsi="宋体" w:eastAsia="宋体"/>
          <w:b w:val="0"/>
          <w:color w:val="auto"/>
          <w:sz w:val="22"/>
          <w:szCs w:val="22"/>
          <w:highlight w:val="none"/>
        </w:rPr>
        <w:t>.2出现影响采购公正的违法、违规行为的；</w:t>
      </w:r>
    </w:p>
    <w:p w14:paraId="67739C9A">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6</w:t>
      </w:r>
      <w:r>
        <w:rPr>
          <w:rFonts w:hint="eastAsia" w:ascii="宋体" w:hAnsi="宋体" w:eastAsia="宋体"/>
          <w:b w:val="0"/>
          <w:color w:val="auto"/>
          <w:sz w:val="22"/>
          <w:szCs w:val="22"/>
          <w:highlight w:val="none"/>
        </w:rPr>
        <w:t>.3投标人的报价均超过了采购预算，采购人不能支付的；</w:t>
      </w:r>
    </w:p>
    <w:p w14:paraId="56185D45">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6</w:t>
      </w:r>
      <w:r>
        <w:rPr>
          <w:rFonts w:hint="eastAsia" w:ascii="宋体" w:hAnsi="宋体" w:eastAsia="宋体"/>
          <w:b w:val="0"/>
          <w:color w:val="auto"/>
          <w:sz w:val="22"/>
          <w:szCs w:val="22"/>
          <w:highlight w:val="none"/>
        </w:rPr>
        <w:t>.4因重大变故，采购任务取消的。</w:t>
      </w:r>
    </w:p>
    <w:p w14:paraId="3DF9B9C6">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废标后，采购代理机构应当将废标理由通知所有投标人。</w:t>
      </w:r>
    </w:p>
    <w:p w14:paraId="7ED5B19A">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7</w:t>
      </w:r>
      <w:r>
        <w:rPr>
          <w:rFonts w:hint="eastAsia" w:ascii="宋体" w:hAnsi="宋体" w:eastAsia="宋体"/>
          <w:b w:val="0"/>
          <w:color w:val="auto"/>
          <w:sz w:val="22"/>
          <w:szCs w:val="22"/>
          <w:highlight w:val="none"/>
        </w:rPr>
        <w:t>.修改招标文件，重新组织采购活动。评标委员会发现招标文件存在歧义、重大缺陷导致评标工作无法进行，或者招标文件内容违反国家有关强制性规定的，将停止评标工作，并与采购人、采购代理机构沟通并作书面记录。采购人、采购代理机构确认后，将修改招标文件，重新组织采购活动。</w:t>
      </w:r>
    </w:p>
    <w:p w14:paraId="1A154128">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8</w:t>
      </w:r>
      <w:r>
        <w:rPr>
          <w:rFonts w:hint="eastAsia" w:ascii="宋体" w:hAnsi="宋体" w:eastAsia="宋体"/>
          <w:b w:val="0"/>
          <w:color w:val="auto"/>
          <w:sz w:val="22"/>
          <w:szCs w:val="22"/>
          <w:highlight w:val="none"/>
        </w:rPr>
        <w:t>.重新开展采购。有政府采购法第七十一条、第七十二条规定的违法行为之一，影响或者可能影响中标结果的，依照下列规定处理：</w:t>
      </w:r>
    </w:p>
    <w:p w14:paraId="3424933F">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8</w:t>
      </w:r>
      <w:r>
        <w:rPr>
          <w:rFonts w:hint="eastAsia" w:ascii="宋体" w:hAnsi="宋体" w:eastAsia="宋体"/>
          <w:b w:val="0"/>
          <w:color w:val="auto"/>
          <w:sz w:val="22"/>
          <w:szCs w:val="22"/>
          <w:highlight w:val="none"/>
        </w:rPr>
        <w:t>.1未确定中标供应商的，终止本次政府采购活动，重新开展政府采购活动。</w:t>
      </w:r>
    </w:p>
    <w:p w14:paraId="44DCAD34">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8</w:t>
      </w:r>
      <w:r>
        <w:rPr>
          <w:rFonts w:hint="eastAsia" w:ascii="宋体" w:hAnsi="宋体" w:eastAsia="宋体"/>
          <w:b w:val="0"/>
          <w:color w:val="auto"/>
          <w:sz w:val="22"/>
          <w:szCs w:val="22"/>
          <w:highlight w:val="none"/>
        </w:rPr>
        <w:t>.2已确定中标供应商但尚未签订政府采购合同的，中标结果无效，从合格的中标候选人中另行确定中标供应商；没有合格的中标候选人的，重新开展政府采购活动。</w:t>
      </w:r>
    </w:p>
    <w:p w14:paraId="308AE387">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8</w:t>
      </w:r>
      <w:r>
        <w:rPr>
          <w:rFonts w:hint="eastAsia" w:ascii="宋体" w:hAnsi="宋体" w:eastAsia="宋体"/>
          <w:b w:val="0"/>
          <w:color w:val="auto"/>
          <w:sz w:val="22"/>
          <w:szCs w:val="22"/>
          <w:highlight w:val="none"/>
        </w:rPr>
        <w:t>.3政府采购合同已签订但尚未履行的，撤销合同，从合格的中标候选人中另行确定中标供应商；没有合格的中标候选人的，重新开展政府采购活动。</w:t>
      </w:r>
    </w:p>
    <w:p w14:paraId="460EBB1E">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8</w:t>
      </w:r>
      <w:r>
        <w:rPr>
          <w:rFonts w:hint="eastAsia" w:ascii="宋体" w:hAnsi="宋体" w:eastAsia="宋体"/>
          <w:b w:val="0"/>
          <w:color w:val="auto"/>
          <w:sz w:val="22"/>
          <w:szCs w:val="22"/>
          <w:highlight w:val="none"/>
        </w:rPr>
        <w:t>.4政府采购合同已经履行，给采购人、供应商造成损失的，由责任人承担赔偿责任。</w:t>
      </w:r>
    </w:p>
    <w:p w14:paraId="4D459A5C">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8</w:t>
      </w:r>
      <w:r>
        <w:rPr>
          <w:rFonts w:hint="eastAsia" w:ascii="宋体" w:hAnsi="宋体" w:eastAsia="宋体"/>
          <w:b w:val="0"/>
          <w:color w:val="auto"/>
          <w:sz w:val="22"/>
          <w:szCs w:val="22"/>
          <w:highlight w:val="none"/>
        </w:rPr>
        <w:t>.5政府采购当事人有其他违反政府采购法或者政府采购法实施条例等法律法规规定的行为，经改正后仍然影响或者可能影响中标结果或者依法被认定为中标无效的，依照</w:t>
      </w:r>
      <w:r>
        <w:rPr>
          <w:rFonts w:hint="eastAsia" w:ascii="宋体" w:hAnsi="宋体" w:eastAsia="宋体"/>
          <w:b w:val="0"/>
          <w:color w:val="auto"/>
          <w:sz w:val="22"/>
          <w:szCs w:val="22"/>
          <w:highlight w:val="none"/>
          <w:lang w:val="en-US" w:eastAsia="zh-CN"/>
        </w:rPr>
        <w:t>8</w:t>
      </w:r>
      <w:r>
        <w:rPr>
          <w:rFonts w:hint="eastAsia" w:ascii="宋体" w:hAnsi="宋体" w:eastAsia="宋体"/>
          <w:b w:val="0"/>
          <w:color w:val="auto"/>
          <w:sz w:val="22"/>
          <w:szCs w:val="22"/>
          <w:highlight w:val="none"/>
        </w:rPr>
        <w:t>.1-</w:t>
      </w:r>
      <w:r>
        <w:rPr>
          <w:rFonts w:hint="eastAsia" w:ascii="宋体" w:hAnsi="宋体" w:eastAsia="宋体"/>
          <w:b w:val="0"/>
          <w:color w:val="auto"/>
          <w:sz w:val="22"/>
          <w:szCs w:val="22"/>
          <w:highlight w:val="none"/>
          <w:lang w:val="en-US" w:eastAsia="zh-CN"/>
        </w:rPr>
        <w:t>8</w:t>
      </w:r>
      <w:r>
        <w:rPr>
          <w:rFonts w:hint="eastAsia" w:ascii="宋体" w:hAnsi="宋体" w:eastAsia="宋体"/>
          <w:b w:val="0"/>
          <w:color w:val="auto"/>
          <w:sz w:val="22"/>
          <w:szCs w:val="22"/>
          <w:highlight w:val="none"/>
        </w:rPr>
        <w:t>.4规定处理。</w:t>
      </w:r>
    </w:p>
    <w:p w14:paraId="1F070979">
      <w:pPr>
        <w:rPr>
          <w:rFonts w:ascii="宋体" w:hAnsi="宋体" w:eastAsia="宋体"/>
          <w:b w:val="0"/>
          <w:color w:val="auto"/>
          <w:sz w:val="32"/>
          <w:szCs w:val="32"/>
          <w:highlight w:val="none"/>
        </w:rPr>
      </w:pPr>
    </w:p>
    <w:p w14:paraId="4B841593">
      <w:pPr>
        <w:pStyle w:val="22"/>
        <w:rPr>
          <w:rFonts w:ascii="宋体" w:hAnsi="宋体" w:cs="宋体"/>
          <w:b/>
          <w:color w:val="auto"/>
          <w:kern w:val="0"/>
          <w:sz w:val="32"/>
          <w:szCs w:val="32"/>
          <w:highlight w:val="none"/>
        </w:rPr>
      </w:pPr>
    </w:p>
    <w:p w14:paraId="515628A9">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br w:type="column"/>
      </w:r>
      <w:r>
        <w:rPr>
          <w:rFonts w:hint="eastAsia" w:ascii="宋体" w:hAnsi="宋体" w:eastAsia="宋体" w:cs="宋体"/>
          <w:b/>
          <w:color w:val="auto"/>
          <w:kern w:val="0"/>
          <w:sz w:val="32"/>
          <w:szCs w:val="32"/>
          <w:highlight w:val="none"/>
        </w:rPr>
        <w:t>第五部分 拟签订的合同文本</w:t>
      </w:r>
    </w:p>
    <w:p w14:paraId="3FFF8456">
      <w:pPr>
        <w:pStyle w:val="29"/>
        <w:spacing w:line="420" w:lineRule="atLeast"/>
        <w:jc w:val="center"/>
        <w:rPr>
          <w:rFonts w:hint="eastAsia" w:hAnsi="宋体" w:eastAsia="宋体"/>
          <w:b w:val="0"/>
          <w:color w:val="auto"/>
          <w:sz w:val="22"/>
          <w:szCs w:val="22"/>
          <w:highlight w:val="none"/>
        </w:rPr>
      </w:pPr>
      <w:bookmarkStart w:id="397" w:name="_Toc61286948"/>
      <w:bookmarkStart w:id="398" w:name="_Toc61343839"/>
      <w:bookmarkStart w:id="399" w:name="_Toc22315"/>
      <w:bookmarkStart w:id="400" w:name="_Toc67213299"/>
      <w:r>
        <w:rPr>
          <w:rFonts w:hint="eastAsia" w:hAnsi="宋体" w:eastAsia="宋体"/>
          <w:b w:val="0"/>
          <w:color w:val="auto"/>
          <w:sz w:val="22"/>
          <w:szCs w:val="22"/>
          <w:highlight w:val="none"/>
        </w:rPr>
        <w:t>编号  ：</w:t>
      </w:r>
    </w:p>
    <w:p w14:paraId="32B1B6DF">
      <w:pPr>
        <w:pStyle w:val="29"/>
        <w:spacing w:line="460" w:lineRule="atLeast"/>
        <w:rPr>
          <w:rFonts w:hint="eastAsia" w:hAnsi="宋体" w:eastAsia="宋体"/>
          <w:b w:val="0"/>
          <w:color w:val="auto"/>
          <w:sz w:val="22"/>
          <w:szCs w:val="22"/>
          <w:highlight w:val="none"/>
        </w:rPr>
      </w:pPr>
      <w:r>
        <w:rPr>
          <w:rFonts w:hint="eastAsia" w:hAnsi="宋体" w:eastAsia="宋体"/>
          <w:b w:val="0"/>
          <w:color w:val="auto"/>
          <w:sz w:val="22"/>
          <w:szCs w:val="22"/>
          <w:highlight w:val="none"/>
        </w:rPr>
        <w:t>采购人：采购人</w:t>
      </w:r>
    </w:p>
    <w:p w14:paraId="001971EA">
      <w:pPr>
        <w:pStyle w:val="29"/>
        <w:spacing w:line="460" w:lineRule="atLeast"/>
        <w:rPr>
          <w:rFonts w:hint="eastAsia" w:hAnsi="宋体" w:eastAsia="宋体"/>
          <w:b w:val="0"/>
          <w:color w:val="auto"/>
          <w:sz w:val="22"/>
          <w:szCs w:val="22"/>
          <w:highlight w:val="none"/>
        </w:rPr>
      </w:pPr>
      <w:r>
        <w:rPr>
          <w:rFonts w:hint="eastAsia" w:hAnsi="宋体" w:eastAsia="宋体"/>
          <w:b w:val="0"/>
          <w:color w:val="auto"/>
          <w:sz w:val="22"/>
          <w:szCs w:val="22"/>
          <w:highlight w:val="none"/>
        </w:rPr>
        <w:t>中标供应商：本次招标的中标供应商</w:t>
      </w:r>
    </w:p>
    <w:p w14:paraId="16D39586">
      <w:pPr>
        <w:pStyle w:val="29"/>
        <w:spacing w:line="460" w:lineRule="atLeast"/>
        <w:ind w:firstLine="570"/>
        <w:rPr>
          <w:rFonts w:hint="eastAsia" w:hAnsi="宋体" w:eastAsia="宋体"/>
          <w:b w:val="0"/>
          <w:color w:val="auto"/>
          <w:sz w:val="22"/>
          <w:szCs w:val="22"/>
          <w:highlight w:val="none"/>
        </w:rPr>
      </w:pPr>
      <w:r>
        <w:rPr>
          <w:rFonts w:hint="eastAsia" w:hAnsi="宋体" w:eastAsia="宋体"/>
          <w:b w:val="0"/>
          <w:color w:val="auto"/>
          <w:sz w:val="22"/>
          <w:szCs w:val="22"/>
          <w:highlight w:val="none"/>
        </w:rPr>
        <w:t>双方经协商，就中标供应商向采购人提供本公司产品以及相关产品的伴随服务事宜达成以下条款：</w:t>
      </w:r>
    </w:p>
    <w:p w14:paraId="2EFFE7C4">
      <w:pPr>
        <w:pStyle w:val="29"/>
        <w:spacing w:line="460" w:lineRule="atLeast"/>
        <w:rPr>
          <w:rFonts w:hint="eastAsia" w:hAnsi="宋体" w:eastAsia="宋体"/>
          <w:b w:val="0"/>
          <w:bCs w:val="0"/>
          <w:color w:val="auto"/>
          <w:sz w:val="22"/>
          <w:szCs w:val="22"/>
          <w:highlight w:val="none"/>
        </w:rPr>
      </w:pPr>
      <w:r>
        <w:rPr>
          <w:rFonts w:hint="eastAsia" w:hAnsi="宋体" w:eastAsia="宋体"/>
          <w:b w:val="0"/>
          <w:bCs w:val="0"/>
          <w:color w:val="auto"/>
          <w:sz w:val="22"/>
          <w:szCs w:val="22"/>
          <w:highlight w:val="none"/>
        </w:rPr>
        <w:t>第一条：采购商品清单及合同价格</w:t>
      </w:r>
    </w:p>
    <w:p w14:paraId="6EC384A1">
      <w:pPr>
        <w:spacing w:line="460" w:lineRule="atLeast"/>
        <w:ind w:firstLine="540"/>
        <w:rPr>
          <w:rFonts w:hint="eastAsia" w:ascii="宋体" w:eastAsia="宋体"/>
          <w:b w:val="0"/>
          <w:color w:val="auto"/>
          <w:sz w:val="22"/>
          <w:szCs w:val="22"/>
          <w:highlight w:val="none"/>
        </w:rPr>
      </w:pPr>
      <w:r>
        <w:rPr>
          <w:rFonts w:hint="eastAsia" w:ascii="宋体" w:eastAsia="宋体"/>
          <w:b w:val="0"/>
          <w:color w:val="auto"/>
          <w:sz w:val="22"/>
          <w:szCs w:val="22"/>
          <w:highlight w:val="none"/>
        </w:rPr>
        <w:t>中标供应商保证提供如下内容的合格产品：        金额单位：人民币/元</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73"/>
        <w:gridCol w:w="2720"/>
        <w:gridCol w:w="818"/>
        <w:gridCol w:w="1262"/>
        <w:gridCol w:w="1082"/>
        <w:gridCol w:w="1082"/>
      </w:tblGrid>
      <w:tr w14:paraId="2A969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2273" w:type="dxa"/>
            <w:noWrap w:val="0"/>
            <w:vAlign w:val="center"/>
          </w:tcPr>
          <w:p w14:paraId="1AD4B9C3">
            <w:pPr>
              <w:spacing w:line="460" w:lineRule="atLeast"/>
              <w:ind w:firstLine="240"/>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采购产品名称</w:t>
            </w:r>
          </w:p>
        </w:tc>
        <w:tc>
          <w:tcPr>
            <w:tcW w:w="2720" w:type="dxa"/>
            <w:noWrap w:val="0"/>
            <w:vAlign w:val="center"/>
          </w:tcPr>
          <w:p w14:paraId="676AF4A8">
            <w:pPr>
              <w:spacing w:line="460" w:lineRule="atLeast"/>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型号规格和主要配置</w:t>
            </w:r>
          </w:p>
        </w:tc>
        <w:tc>
          <w:tcPr>
            <w:tcW w:w="818" w:type="dxa"/>
            <w:noWrap w:val="0"/>
            <w:vAlign w:val="center"/>
          </w:tcPr>
          <w:p w14:paraId="1EC7D3C3">
            <w:pPr>
              <w:spacing w:line="460" w:lineRule="atLeast"/>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数量</w:t>
            </w:r>
          </w:p>
        </w:tc>
        <w:tc>
          <w:tcPr>
            <w:tcW w:w="1262" w:type="dxa"/>
            <w:noWrap w:val="0"/>
            <w:vAlign w:val="center"/>
          </w:tcPr>
          <w:p w14:paraId="502D9A59">
            <w:pPr>
              <w:spacing w:line="460" w:lineRule="atLeast"/>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中标价</w:t>
            </w:r>
          </w:p>
        </w:tc>
        <w:tc>
          <w:tcPr>
            <w:tcW w:w="1082" w:type="dxa"/>
            <w:noWrap w:val="0"/>
            <w:vAlign w:val="center"/>
          </w:tcPr>
          <w:p w14:paraId="16C77D79">
            <w:pPr>
              <w:spacing w:line="460" w:lineRule="atLeast"/>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完工期</w:t>
            </w:r>
          </w:p>
        </w:tc>
        <w:tc>
          <w:tcPr>
            <w:tcW w:w="1082" w:type="dxa"/>
            <w:noWrap w:val="0"/>
            <w:vAlign w:val="center"/>
          </w:tcPr>
          <w:p w14:paraId="5B9DB0DB">
            <w:pPr>
              <w:spacing w:line="460" w:lineRule="atLeast"/>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备注</w:t>
            </w:r>
          </w:p>
        </w:tc>
      </w:tr>
      <w:tr w14:paraId="6B7BE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3" w:hRule="atLeast"/>
        </w:trPr>
        <w:tc>
          <w:tcPr>
            <w:tcW w:w="2273" w:type="dxa"/>
            <w:noWrap w:val="0"/>
            <w:vAlign w:val="center"/>
          </w:tcPr>
          <w:p w14:paraId="4A9F2E60">
            <w:pPr>
              <w:spacing w:line="460" w:lineRule="atLeast"/>
              <w:jc w:val="center"/>
              <w:rPr>
                <w:rFonts w:hint="eastAsia" w:ascii="宋体" w:eastAsia="宋体"/>
                <w:b w:val="0"/>
                <w:color w:val="auto"/>
                <w:sz w:val="22"/>
                <w:szCs w:val="22"/>
                <w:highlight w:val="none"/>
              </w:rPr>
            </w:pPr>
          </w:p>
        </w:tc>
        <w:tc>
          <w:tcPr>
            <w:tcW w:w="2720" w:type="dxa"/>
            <w:noWrap w:val="0"/>
            <w:vAlign w:val="center"/>
          </w:tcPr>
          <w:p w14:paraId="7C15C301">
            <w:pPr>
              <w:spacing w:line="460" w:lineRule="atLeast"/>
              <w:jc w:val="center"/>
              <w:rPr>
                <w:rFonts w:hint="eastAsia" w:ascii="宋体" w:eastAsia="宋体"/>
                <w:b w:val="0"/>
                <w:color w:val="auto"/>
                <w:sz w:val="22"/>
                <w:szCs w:val="22"/>
                <w:highlight w:val="none"/>
              </w:rPr>
            </w:pPr>
          </w:p>
        </w:tc>
        <w:tc>
          <w:tcPr>
            <w:tcW w:w="818" w:type="dxa"/>
            <w:noWrap w:val="0"/>
            <w:vAlign w:val="center"/>
          </w:tcPr>
          <w:p w14:paraId="683CCD51">
            <w:pPr>
              <w:spacing w:line="460" w:lineRule="atLeast"/>
              <w:jc w:val="center"/>
              <w:rPr>
                <w:rFonts w:hint="eastAsia" w:ascii="宋体" w:eastAsia="宋体"/>
                <w:b w:val="0"/>
                <w:color w:val="auto"/>
                <w:sz w:val="22"/>
                <w:szCs w:val="22"/>
                <w:highlight w:val="none"/>
              </w:rPr>
            </w:pPr>
          </w:p>
        </w:tc>
        <w:tc>
          <w:tcPr>
            <w:tcW w:w="1262" w:type="dxa"/>
            <w:noWrap w:val="0"/>
            <w:vAlign w:val="center"/>
          </w:tcPr>
          <w:p w14:paraId="438B7996">
            <w:pPr>
              <w:spacing w:line="460" w:lineRule="atLeast"/>
              <w:jc w:val="center"/>
              <w:rPr>
                <w:rFonts w:hint="eastAsia" w:ascii="宋体" w:eastAsia="宋体"/>
                <w:b w:val="0"/>
                <w:color w:val="auto"/>
                <w:sz w:val="22"/>
                <w:szCs w:val="22"/>
                <w:highlight w:val="none"/>
              </w:rPr>
            </w:pPr>
          </w:p>
        </w:tc>
        <w:tc>
          <w:tcPr>
            <w:tcW w:w="1082" w:type="dxa"/>
            <w:noWrap w:val="0"/>
            <w:vAlign w:val="center"/>
          </w:tcPr>
          <w:p w14:paraId="1B5E2576">
            <w:pPr>
              <w:spacing w:line="460" w:lineRule="atLeast"/>
              <w:jc w:val="center"/>
              <w:rPr>
                <w:rFonts w:hint="eastAsia" w:ascii="宋体" w:eastAsia="宋体"/>
                <w:b w:val="0"/>
                <w:color w:val="auto"/>
                <w:sz w:val="22"/>
                <w:szCs w:val="22"/>
                <w:highlight w:val="none"/>
              </w:rPr>
            </w:pPr>
          </w:p>
        </w:tc>
        <w:tc>
          <w:tcPr>
            <w:tcW w:w="1082" w:type="dxa"/>
            <w:noWrap w:val="0"/>
            <w:vAlign w:val="center"/>
          </w:tcPr>
          <w:p w14:paraId="100ADAFD">
            <w:pPr>
              <w:spacing w:line="460" w:lineRule="atLeast"/>
              <w:jc w:val="center"/>
              <w:rPr>
                <w:rFonts w:hint="eastAsia" w:ascii="宋体" w:eastAsia="宋体"/>
                <w:b w:val="0"/>
                <w:color w:val="auto"/>
                <w:sz w:val="22"/>
                <w:szCs w:val="22"/>
                <w:highlight w:val="none"/>
              </w:rPr>
            </w:pPr>
          </w:p>
        </w:tc>
      </w:tr>
      <w:tr w14:paraId="39372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3" w:hRule="atLeast"/>
        </w:trPr>
        <w:tc>
          <w:tcPr>
            <w:tcW w:w="2273" w:type="dxa"/>
            <w:noWrap w:val="0"/>
            <w:vAlign w:val="center"/>
          </w:tcPr>
          <w:p w14:paraId="403AA9F2">
            <w:pPr>
              <w:spacing w:line="460" w:lineRule="atLeast"/>
              <w:jc w:val="center"/>
              <w:rPr>
                <w:rFonts w:hint="eastAsia" w:ascii="宋体" w:eastAsia="宋体"/>
                <w:b w:val="0"/>
                <w:color w:val="auto"/>
                <w:sz w:val="22"/>
                <w:szCs w:val="22"/>
                <w:highlight w:val="none"/>
              </w:rPr>
            </w:pPr>
          </w:p>
        </w:tc>
        <w:tc>
          <w:tcPr>
            <w:tcW w:w="2720" w:type="dxa"/>
            <w:noWrap w:val="0"/>
            <w:vAlign w:val="center"/>
          </w:tcPr>
          <w:p w14:paraId="144DCED6">
            <w:pPr>
              <w:spacing w:line="460" w:lineRule="atLeast"/>
              <w:jc w:val="center"/>
              <w:rPr>
                <w:rFonts w:hint="eastAsia" w:ascii="宋体" w:eastAsia="宋体"/>
                <w:b w:val="0"/>
                <w:color w:val="auto"/>
                <w:sz w:val="22"/>
                <w:szCs w:val="22"/>
                <w:highlight w:val="none"/>
              </w:rPr>
            </w:pPr>
          </w:p>
        </w:tc>
        <w:tc>
          <w:tcPr>
            <w:tcW w:w="818" w:type="dxa"/>
            <w:noWrap w:val="0"/>
            <w:vAlign w:val="center"/>
          </w:tcPr>
          <w:p w14:paraId="0148DAB5">
            <w:pPr>
              <w:spacing w:line="460" w:lineRule="atLeast"/>
              <w:jc w:val="center"/>
              <w:rPr>
                <w:rFonts w:hint="eastAsia" w:ascii="宋体" w:eastAsia="宋体"/>
                <w:b w:val="0"/>
                <w:color w:val="auto"/>
                <w:sz w:val="22"/>
                <w:szCs w:val="22"/>
                <w:highlight w:val="none"/>
              </w:rPr>
            </w:pPr>
          </w:p>
        </w:tc>
        <w:tc>
          <w:tcPr>
            <w:tcW w:w="1262" w:type="dxa"/>
            <w:noWrap w:val="0"/>
            <w:vAlign w:val="center"/>
          </w:tcPr>
          <w:p w14:paraId="1F8B4533">
            <w:pPr>
              <w:spacing w:line="460" w:lineRule="atLeast"/>
              <w:jc w:val="center"/>
              <w:rPr>
                <w:rFonts w:hint="eastAsia" w:ascii="宋体" w:eastAsia="宋体"/>
                <w:b w:val="0"/>
                <w:color w:val="auto"/>
                <w:sz w:val="22"/>
                <w:szCs w:val="22"/>
                <w:highlight w:val="none"/>
              </w:rPr>
            </w:pPr>
          </w:p>
        </w:tc>
        <w:tc>
          <w:tcPr>
            <w:tcW w:w="1082" w:type="dxa"/>
            <w:noWrap w:val="0"/>
            <w:vAlign w:val="center"/>
          </w:tcPr>
          <w:p w14:paraId="360EF3A9">
            <w:pPr>
              <w:spacing w:line="460" w:lineRule="atLeast"/>
              <w:jc w:val="center"/>
              <w:rPr>
                <w:rFonts w:hint="eastAsia" w:ascii="宋体" w:eastAsia="宋体"/>
                <w:b w:val="0"/>
                <w:color w:val="auto"/>
                <w:sz w:val="22"/>
                <w:szCs w:val="22"/>
                <w:highlight w:val="none"/>
              </w:rPr>
            </w:pPr>
          </w:p>
        </w:tc>
        <w:tc>
          <w:tcPr>
            <w:tcW w:w="1082" w:type="dxa"/>
            <w:noWrap w:val="0"/>
            <w:vAlign w:val="center"/>
          </w:tcPr>
          <w:p w14:paraId="07961384">
            <w:pPr>
              <w:spacing w:line="460" w:lineRule="atLeast"/>
              <w:jc w:val="center"/>
              <w:rPr>
                <w:rFonts w:hint="eastAsia" w:ascii="宋体" w:eastAsia="宋体"/>
                <w:b w:val="0"/>
                <w:color w:val="auto"/>
                <w:sz w:val="22"/>
                <w:szCs w:val="22"/>
                <w:highlight w:val="none"/>
              </w:rPr>
            </w:pPr>
          </w:p>
        </w:tc>
      </w:tr>
      <w:tr w14:paraId="4CE89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1" w:hRule="atLeast"/>
        </w:trPr>
        <w:tc>
          <w:tcPr>
            <w:tcW w:w="2273" w:type="dxa"/>
            <w:noWrap w:val="0"/>
            <w:vAlign w:val="center"/>
          </w:tcPr>
          <w:p w14:paraId="1F98B6C9">
            <w:pPr>
              <w:spacing w:line="460" w:lineRule="atLeast"/>
              <w:jc w:val="center"/>
              <w:rPr>
                <w:rFonts w:hint="eastAsia" w:ascii="宋体" w:eastAsia="宋体"/>
                <w:b w:val="0"/>
                <w:color w:val="auto"/>
                <w:sz w:val="22"/>
                <w:szCs w:val="22"/>
                <w:highlight w:val="none"/>
              </w:rPr>
            </w:pPr>
          </w:p>
        </w:tc>
        <w:tc>
          <w:tcPr>
            <w:tcW w:w="2720" w:type="dxa"/>
            <w:noWrap w:val="0"/>
            <w:vAlign w:val="center"/>
          </w:tcPr>
          <w:p w14:paraId="036BDF24">
            <w:pPr>
              <w:spacing w:line="460" w:lineRule="atLeast"/>
              <w:jc w:val="center"/>
              <w:rPr>
                <w:rFonts w:hint="eastAsia" w:ascii="宋体" w:eastAsia="宋体"/>
                <w:b w:val="0"/>
                <w:color w:val="auto"/>
                <w:sz w:val="22"/>
                <w:szCs w:val="22"/>
                <w:highlight w:val="none"/>
              </w:rPr>
            </w:pPr>
          </w:p>
        </w:tc>
        <w:tc>
          <w:tcPr>
            <w:tcW w:w="818" w:type="dxa"/>
            <w:noWrap w:val="0"/>
            <w:vAlign w:val="center"/>
          </w:tcPr>
          <w:p w14:paraId="3900FDDC">
            <w:pPr>
              <w:spacing w:line="460" w:lineRule="atLeast"/>
              <w:jc w:val="center"/>
              <w:rPr>
                <w:rFonts w:hint="eastAsia" w:ascii="宋体" w:eastAsia="宋体"/>
                <w:b w:val="0"/>
                <w:color w:val="auto"/>
                <w:sz w:val="22"/>
                <w:szCs w:val="22"/>
                <w:highlight w:val="none"/>
              </w:rPr>
            </w:pPr>
          </w:p>
        </w:tc>
        <w:tc>
          <w:tcPr>
            <w:tcW w:w="1262" w:type="dxa"/>
            <w:noWrap w:val="0"/>
            <w:vAlign w:val="center"/>
          </w:tcPr>
          <w:p w14:paraId="0511F41B">
            <w:pPr>
              <w:spacing w:line="460" w:lineRule="atLeast"/>
              <w:jc w:val="center"/>
              <w:rPr>
                <w:rFonts w:hint="eastAsia" w:ascii="宋体" w:eastAsia="宋体"/>
                <w:b w:val="0"/>
                <w:color w:val="auto"/>
                <w:sz w:val="22"/>
                <w:szCs w:val="22"/>
                <w:highlight w:val="none"/>
              </w:rPr>
            </w:pPr>
          </w:p>
        </w:tc>
        <w:tc>
          <w:tcPr>
            <w:tcW w:w="1082" w:type="dxa"/>
            <w:noWrap w:val="0"/>
            <w:vAlign w:val="center"/>
          </w:tcPr>
          <w:p w14:paraId="088A5906">
            <w:pPr>
              <w:spacing w:line="460" w:lineRule="atLeast"/>
              <w:jc w:val="center"/>
              <w:rPr>
                <w:rFonts w:hint="eastAsia" w:ascii="宋体" w:eastAsia="宋体"/>
                <w:b w:val="0"/>
                <w:color w:val="auto"/>
                <w:sz w:val="22"/>
                <w:szCs w:val="22"/>
                <w:highlight w:val="none"/>
              </w:rPr>
            </w:pPr>
          </w:p>
        </w:tc>
        <w:tc>
          <w:tcPr>
            <w:tcW w:w="1082" w:type="dxa"/>
            <w:noWrap w:val="0"/>
            <w:vAlign w:val="center"/>
          </w:tcPr>
          <w:p w14:paraId="699AC262">
            <w:pPr>
              <w:spacing w:line="460" w:lineRule="atLeast"/>
              <w:jc w:val="center"/>
              <w:rPr>
                <w:rFonts w:hint="eastAsia" w:ascii="宋体" w:eastAsia="宋体"/>
                <w:b w:val="0"/>
                <w:color w:val="auto"/>
                <w:sz w:val="22"/>
                <w:szCs w:val="22"/>
                <w:highlight w:val="none"/>
              </w:rPr>
            </w:pPr>
          </w:p>
        </w:tc>
      </w:tr>
    </w:tbl>
    <w:p w14:paraId="4C8F8701">
      <w:pPr>
        <w:pStyle w:val="29"/>
        <w:spacing w:line="460" w:lineRule="atLeast"/>
        <w:rPr>
          <w:rFonts w:hint="eastAsia" w:hAnsi="宋体" w:eastAsia="宋体"/>
          <w:b w:val="0"/>
          <w:bCs w:val="0"/>
          <w:color w:val="auto"/>
          <w:sz w:val="22"/>
          <w:szCs w:val="22"/>
          <w:highlight w:val="none"/>
        </w:rPr>
      </w:pPr>
      <w:r>
        <w:rPr>
          <w:rFonts w:hint="eastAsia" w:hAnsi="宋体" w:eastAsia="宋体"/>
          <w:b w:val="0"/>
          <w:bCs w:val="0"/>
          <w:color w:val="auto"/>
          <w:sz w:val="22"/>
          <w:szCs w:val="22"/>
          <w:highlight w:val="none"/>
        </w:rPr>
        <w:t>第二条：质量标准和要求</w:t>
      </w:r>
    </w:p>
    <w:p w14:paraId="3E9C2C5D">
      <w:pPr>
        <w:spacing w:line="460" w:lineRule="atLeast"/>
        <w:ind w:firstLine="420"/>
        <w:rPr>
          <w:rFonts w:hint="eastAsia" w:ascii="宋体" w:eastAsia="宋体"/>
          <w:b w:val="0"/>
          <w:color w:val="auto"/>
          <w:sz w:val="22"/>
          <w:szCs w:val="22"/>
          <w:highlight w:val="none"/>
        </w:rPr>
      </w:pPr>
      <w:r>
        <w:rPr>
          <w:rFonts w:hint="eastAsia" w:ascii="宋体" w:eastAsia="宋体"/>
          <w:b w:val="0"/>
          <w:color w:val="auto"/>
          <w:sz w:val="22"/>
          <w:szCs w:val="22"/>
          <w:highlight w:val="none"/>
        </w:rPr>
        <w:t>1、中标供应商保证本合同中所供应的货物质量标准按照国家标准、行业标准或制造厂家企业标准确定，上述标准不一致的，以严格的标准为准。没有国家标准、行业标准和企业标准的，按照通常标准或者符合本合同目的的特定标准确定。</w:t>
      </w:r>
    </w:p>
    <w:p w14:paraId="379DAB55">
      <w:pPr>
        <w:pStyle w:val="29"/>
        <w:spacing w:line="460" w:lineRule="atLeast"/>
        <w:ind w:firstLine="480"/>
        <w:rPr>
          <w:rFonts w:hint="eastAsia" w:hAnsi="宋体" w:eastAsia="宋体"/>
          <w:b w:val="0"/>
          <w:color w:val="auto"/>
          <w:sz w:val="22"/>
          <w:szCs w:val="22"/>
          <w:highlight w:val="none"/>
        </w:rPr>
      </w:pPr>
      <w:r>
        <w:rPr>
          <w:rFonts w:hint="eastAsia" w:hAnsi="宋体" w:eastAsia="宋体"/>
          <w:b w:val="0"/>
          <w:color w:val="auto"/>
          <w:sz w:val="22"/>
          <w:szCs w:val="22"/>
          <w:highlight w:val="none"/>
        </w:rPr>
        <w:t>2、 中标供应商所出售的货物还应符合国家和浙江省有关安全、环保、卫生之规定。</w:t>
      </w:r>
    </w:p>
    <w:p w14:paraId="6CDBA659">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第三条：权利瑕疵担保</w:t>
      </w:r>
    </w:p>
    <w:p w14:paraId="7DA22BE2">
      <w:pPr>
        <w:spacing w:line="460" w:lineRule="atLeast"/>
        <w:ind w:firstLine="420"/>
        <w:rPr>
          <w:rFonts w:hint="eastAsia" w:ascii="宋体" w:eastAsia="宋体"/>
          <w:b w:val="0"/>
          <w:color w:val="auto"/>
          <w:sz w:val="22"/>
          <w:szCs w:val="22"/>
          <w:highlight w:val="none"/>
        </w:rPr>
      </w:pPr>
      <w:r>
        <w:rPr>
          <w:rFonts w:hint="eastAsia" w:ascii="宋体" w:eastAsia="宋体"/>
          <w:b w:val="0"/>
          <w:color w:val="auto"/>
          <w:sz w:val="22"/>
          <w:szCs w:val="22"/>
          <w:highlight w:val="none"/>
        </w:rPr>
        <w:t>1、中标供应商保证对其出售的货物享有合法的权利。</w:t>
      </w:r>
    </w:p>
    <w:p w14:paraId="771AD8FD">
      <w:pPr>
        <w:spacing w:line="460" w:lineRule="atLeast"/>
        <w:ind w:firstLine="420"/>
        <w:rPr>
          <w:rFonts w:hint="eastAsia" w:ascii="宋体" w:eastAsia="宋体"/>
          <w:b w:val="0"/>
          <w:color w:val="auto"/>
          <w:sz w:val="22"/>
          <w:szCs w:val="22"/>
          <w:highlight w:val="none"/>
        </w:rPr>
      </w:pPr>
      <w:r>
        <w:rPr>
          <w:rFonts w:hint="eastAsia" w:ascii="宋体" w:eastAsia="宋体"/>
          <w:b w:val="0"/>
          <w:color w:val="auto"/>
          <w:sz w:val="22"/>
          <w:szCs w:val="22"/>
          <w:highlight w:val="none"/>
        </w:rPr>
        <w:t>2、中标供应商保证在其出售的货物上不存在任何未曾向采购人透露的担保物权，如抵押权、质押权、留置权等。</w:t>
      </w:r>
    </w:p>
    <w:p w14:paraId="13769AEE">
      <w:pPr>
        <w:spacing w:line="460" w:lineRule="atLeast"/>
        <w:ind w:firstLine="420"/>
        <w:rPr>
          <w:rFonts w:hint="eastAsia" w:ascii="宋体" w:eastAsia="宋体"/>
          <w:b w:val="0"/>
          <w:color w:val="auto"/>
          <w:sz w:val="22"/>
          <w:szCs w:val="22"/>
          <w:highlight w:val="none"/>
        </w:rPr>
      </w:pPr>
      <w:r>
        <w:rPr>
          <w:rFonts w:hint="eastAsia" w:ascii="宋体" w:eastAsia="宋体"/>
          <w:b w:val="0"/>
          <w:color w:val="auto"/>
          <w:sz w:val="22"/>
          <w:szCs w:val="22"/>
          <w:highlight w:val="none"/>
        </w:rPr>
        <w:t>3、中标供应商保证其所出售的货物没有侵犯任何第三人的知识产权和商业秘密等权利。</w:t>
      </w:r>
    </w:p>
    <w:p w14:paraId="20562AC5">
      <w:pPr>
        <w:pStyle w:val="29"/>
        <w:spacing w:line="460" w:lineRule="atLeast"/>
        <w:ind w:firstLine="360"/>
        <w:rPr>
          <w:rFonts w:hint="eastAsia" w:hAnsi="宋体" w:eastAsia="宋体"/>
          <w:b w:val="0"/>
          <w:color w:val="auto"/>
          <w:sz w:val="22"/>
          <w:szCs w:val="22"/>
          <w:highlight w:val="none"/>
        </w:rPr>
      </w:pPr>
      <w:r>
        <w:rPr>
          <w:rFonts w:hint="eastAsia" w:hAnsi="宋体" w:eastAsia="宋体"/>
          <w:b w:val="0"/>
          <w:color w:val="auto"/>
          <w:sz w:val="22"/>
          <w:szCs w:val="22"/>
          <w:highlight w:val="none"/>
        </w:rPr>
        <w:t>4、如采购人使用该货物构成上述侵权的，则由中标供应商承担全部责任。</w:t>
      </w:r>
    </w:p>
    <w:p w14:paraId="1A96B553">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第四条：包装要求</w:t>
      </w:r>
    </w:p>
    <w:p w14:paraId="3584B2B8">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1、中标供应商所出售的全部货物均应按标准保护措施进行包装，这类包装应适应于远距离运输、防潮、防震、防锈和防野蛮装卸等要求，以确保货物安全无损地运抵指定现场。</w:t>
      </w:r>
    </w:p>
    <w:p w14:paraId="0DC5F8E2">
      <w:pPr>
        <w:pStyle w:val="29"/>
        <w:spacing w:line="460" w:lineRule="atLeast"/>
        <w:ind w:firstLine="360"/>
        <w:rPr>
          <w:rFonts w:hint="eastAsia" w:hAnsi="宋体" w:eastAsia="宋体"/>
          <w:b w:val="0"/>
          <w:color w:val="auto"/>
          <w:sz w:val="22"/>
          <w:szCs w:val="22"/>
          <w:highlight w:val="none"/>
        </w:rPr>
      </w:pPr>
      <w:r>
        <w:rPr>
          <w:rFonts w:hint="eastAsia" w:hAnsi="宋体" w:eastAsia="宋体"/>
          <w:b w:val="0"/>
          <w:color w:val="auto"/>
          <w:sz w:val="22"/>
          <w:szCs w:val="22"/>
          <w:highlight w:val="none"/>
        </w:rPr>
        <w:t xml:space="preserve"> 2、每一个包装箱内应附一份详细装箱单、质量证书和保修保养证书。</w:t>
      </w:r>
    </w:p>
    <w:p w14:paraId="5A23BDDD">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第五条：供货期限</w:t>
      </w:r>
    </w:p>
    <w:p w14:paraId="754E88F2">
      <w:pPr>
        <w:spacing w:line="460" w:lineRule="atLeast"/>
        <w:ind w:firstLine="440" w:firstLineChars="200"/>
        <w:rPr>
          <w:rFonts w:hint="eastAsia" w:ascii="宋体" w:eastAsia="宋体"/>
          <w:b w:val="0"/>
          <w:color w:val="auto"/>
          <w:sz w:val="22"/>
          <w:szCs w:val="22"/>
          <w:highlight w:val="none"/>
        </w:rPr>
      </w:pPr>
      <w:r>
        <w:rPr>
          <w:rFonts w:hint="eastAsia" w:ascii="宋体" w:eastAsia="宋体"/>
          <w:b w:val="0"/>
          <w:color w:val="auto"/>
          <w:sz w:val="22"/>
          <w:szCs w:val="22"/>
          <w:highlight w:val="none"/>
        </w:rPr>
        <w:t>中标供应商负责202  年 月  日前完成交货，202  年 月  日前调试验收合格。</w:t>
      </w:r>
    </w:p>
    <w:p w14:paraId="3AC7FB3E">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第六条：供货方式</w:t>
      </w:r>
    </w:p>
    <w:p w14:paraId="26D82909">
      <w:pPr>
        <w:spacing w:line="460" w:lineRule="atLeast"/>
        <w:ind w:firstLine="555"/>
        <w:rPr>
          <w:rFonts w:hint="eastAsia" w:ascii="宋体" w:eastAsia="宋体"/>
          <w:b w:val="0"/>
          <w:color w:val="auto"/>
          <w:sz w:val="22"/>
          <w:szCs w:val="22"/>
          <w:highlight w:val="none"/>
        </w:rPr>
      </w:pPr>
      <w:r>
        <w:rPr>
          <w:rFonts w:hint="eastAsia" w:ascii="宋体" w:eastAsia="宋体"/>
          <w:b w:val="0"/>
          <w:color w:val="auto"/>
          <w:sz w:val="22"/>
          <w:szCs w:val="22"/>
          <w:highlight w:val="none"/>
        </w:rPr>
        <w:t>在供货期限内，中标供应商在与采购人签署合同后，保证在</w:t>
      </w:r>
      <w:r>
        <w:rPr>
          <w:rFonts w:hint="eastAsia" w:ascii="宋体" w:eastAsia="宋体"/>
          <w:b w:val="0"/>
          <w:color w:val="auto"/>
          <w:sz w:val="22"/>
          <w:szCs w:val="22"/>
          <w:highlight w:val="none"/>
          <w:u w:val="single"/>
        </w:rPr>
        <w:t xml:space="preserve">  </w:t>
      </w:r>
      <w:r>
        <w:rPr>
          <w:rFonts w:hint="eastAsia" w:ascii="宋体" w:eastAsia="宋体"/>
          <w:b w:val="0"/>
          <w:color w:val="auto"/>
          <w:sz w:val="22"/>
          <w:szCs w:val="22"/>
          <w:highlight w:val="none"/>
        </w:rPr>
        <w:t>个日历天内派人送货至采购人指定地点。</w:t>
      </w:r>
    </w:p>
    <w:p w14:paraId="77708666">
      <w:pPr>
        <w:pStyle w:val="29"/>
        <w:spacing w:line="460" w:lineRule="atLeast"/>
        <w:rPr>
          <w:rFonts w:hint="eastAsia" w:hAnsi="宋体" w:eastAsia="宋体"/>
          <w:b w:val="0"/>
          <w:bCs w:val="0"/>
          <w:color w:val="auto"/>
          <w:sz w:val="22"/>
          <w:szCs w:val="22"/>
          <w:highlight w:val="none"/>
        </w:rPr>
      </w:pPr>
      <w:r>
        <w:rPr>
          <w:rFonts w:hint="eastAsia" w:hAnsi="宋体" w:eastAsia="宋体"/>
          <w:b w:val="0"/>
          <w:bCs w:val="0"/>
          <w:color w:val="auto"/>
          <w:sz w:val="22"/>
          <w:szCs w:val="22"/>
          <w:highlight w:val="none"/>
        </w:rPr>
        <w:t>第七条：验收</w:t>
      </w:r>
    </w:p>
    <w:p w14:paraId="6823195E">
      <w:pPr>
        <w:spacing w:line="460" w:lineRule="atLeast"/>
        <w:ind w:firstLine="480"/>
        <w:rPr>
          <w:rFonts w:hint="eastAsia" w:ascii="宋体" w:eastAsia="宋体"/>
          <w:color w:val="auto"/>
          <w:sz w:val="22"/>
          <w:szCs w:val="22"/>
          <w:highlight w:val="none"/>
        </w:rPr>
      </w:pPr>
      <w:r>
        <w:rPr>
          <w:rFonts w:hint="eastAsia" w:ascii="宋体" w:eastAsia="宋体"/>
          <w:color w:val="auto"/>
          <w:sz w:val="22"/>
          <w:szCs w:val="22"/>
          <w:highlight w:val="none"/>
        </w:rPr>
        <w:t>1、本项目验收程序参照温州市财政局关于印发《温州市政府采购履约验收办法》（温财采〔2020〕6号 ）文件执行。</w:t>
      </w:r>
    </w:p>
    <w:p w14:paraId="543605E6">
      <w:pPr>
        <w:spacing w:line="460" w:lineRule="atLeast"/>
        <w:ind w:firstLine="480"/>
        <w:rPr>
          <w:rFonts w:hint="eastAsia" w:ascii="宋体" w:eastAsia="宋体"/>
          <w:b w:val="0"/>
          <w:color w:val="auto"/>
          <w:sz w:val="22"/>
          <w:szCs w:val="22"/>
          <w:highlight w:val="none"/>
        </w:rPr>
      </w:pPr>
      <w:r>
        <w:rPr>
          <w:rFonts w:ascii="宋体" w:eastAsia="宋体"/>
          <w:b w:val="0"/>
          <w:color w:val="auto"/>
          <w:sz w:val="22"/>
          <w:szCs w:val="22"/>
          <w:highlight w:val="none"/>
        </w:rPr>
        <w:t>2</w:t>
      </w:r>
      <w:r>
        <w:rPr>
          <w:rFonts w:hint="eastAsia" w:ascii="宋体" w:eastAsia="宋体"/>
          <w:b w:val="0"/>
          <w:color w:val="auto"/>
          <w:sz w:val="22"/>
          <w:szCs w:val="22"/>
          <w:highlight w:val="none"/>
        </w:rPr>
        <w:t>、中标供应商送货至指定地点后，由采购人根据货物的技术规格要求和质量标准，对货物进行检查验收。</w:t>
      </w:r>
    </w:p>
    <w:p w14:paraId="781ABEA2">
      <w:pPr>
        <w:spacing w:line="460" w:lineRule="atLeast"/>
        <w:ind w:firstLine="480"/>
        <w:rPr>
          <w:rFonts w:hint="eastAsia" w:ascii="宋体" w:eastAsia="宋体"/>
          <w:b w:val="0"/>
          <w:color w:val="auto"/>
          <w:sz w:val="22"/>
          <w:szCs w:val="22"/>
          <w:highlight w:val="none"/>
        </w:rPr>
      </w:pPr>
      <w:r>
        <w:rPr>
          <w:rFonts w:ascii="宋体" w:eastAsia="宋体"/>
          <w:b w:val="0"/>
          <w:color w:val="auto"/>
          <w:sz w:val="22"/>
          <w:szCs w:val="22"/>
          <w:highlight w:val="none"/>
        </w:rPr>
        <w:t>3</w:t>
      </w:r>
      <w:r>
        <w:rPr>
          <w:rFonts w:hint="eastAsia" w:ascii="宋体" w:eastAsia="宋体"/>
          <w:b w:val="0"/>
          <w:color w:val="auto"/>
          <w:sz w:val="22"/>
          <w:szCs w:val="22"/>
          <w:highlight w:val="none"/>
        </w:rPr>
        <w:t>、货物的数量不足或表面瑕疵，采购人应在验收时当面提出；对质量问题有异议的应在安装调试后10个工作日内提出。</w:t>
      </w:r>
    </w:p>
    <w:p w14:paraId="453AA3DD">
      <w:pPr>
        <w:spacing w:line="460" w:lineRule="atLeast"/>
        <w:ind w:firstLine="480"/>
        <w:rPr>
          <w:rFonts w:hint="eastAsia" w:ascii="宋体" w:eastAsia="宋体"/>
          <w:b w:val="0"/>
          <w:color w:val="auto"/>
          <w:sz w:val="22"/>
          <w:szCs w:val="22"/>
          <w:highlight w:val="none"/>
        </w:rPr>
      </w:pPr>
      <w:r>
        <w:rPr>
          <w:rFonts w:ascii="宋体" w:eastAsia="宋体"/>
          <w:b w:val="0"/>
          <w:color w:val="auto"/>
          <w:sz w:val="22"/>
          <w:szCs w:val="22"/>
          <w:highlight w:val="none"/>
        </w:rPr>
        <w:t>4</w:t>
      </w:r>
      <w:r>
        <w:rPr>
          <w:rFonts w:hint="eastAsia" w:ascii="宋体" w:eastAsia="宋体"/>
          <w:b w:val="0"/>
          <w:color w:val="auto"/>
          <w:sz w:val="22"/>
          <w:szCs w:val="22"/>
          <w:highlight w:val="none"/>
        </w:rPr>
        <w:t>、在验收过程中发现数量不足或有质量、技术等问题，中标供应商应负责按照采购人的要求采取补足、更换或退货等处理措施，并承担由此发生的一切费用和损失。</w:t>
      </w:r>
    </w:p>
    <w:p w14:paraId="473201B8">
      <w:pPr>
        <w:spacing w:line="460" w:lineRule="atLeast"/>
        <w:ind w:firstLine="480"/>
        <w:rPr>
          <w:rFonts w:ascii="宋体" w:eastAsia="宋体"/>
          <w:b w:val="0"/>
          <w:color w:val="auto"/>
          <w:sz w:val="22"/>
          <w:szCs w:val="22"/>
          <w:highlight w:val="none"/>
        </w:rPr>
      </w:pPr>
      <w:r>
        <w:rPr>
          <w:rFonts w:ascii="宋体" w:eastAsia="宋体"/>
          <w:b w:val="0"/>
          <w:color w:val="auto"/>
          <w:sz w:val="22"/>
          <w:szCs w:val="22"/>
          <w:highlight w:val="none"/>
        </w:rPr>
        <w:t>5</w:t>
      </w:r>
      <w:r>
        <w:rPr>
          <w:rFonts w:hint="eastAsia" w:ascii="宋体" w:eastAsia="宋体"/>
          <w:b w:val="0"/>
          <w:color w:val="auto"/>
          <w:sz w:val="22"/>
          <w:szCs w:val="22"/>
          <w:highlight w:val="none"/>
        </w:rPr>
        <w:t>、采购人在中标供应商按合同规定交货和安装、调试后，无正当理由而拖延接收、验收或拒绝接收、验收的，应承担由此而造成的中标供应商直接损失。</w:t>
      </w:r>
    </w:p>
    <w:p w14:paraId="304CD954">
      <w:pPr>
        <w:pStyle w:val="29"/>
        <w:spacing w:line="460" w:lineRule="atLeast"/>
        <w:rPr>
          <w:rFonts w:hint="eastAsia" w:hAnsi="宋体" w:eastAsia="宋体"/>
          <w:b w:val="0"/>
          <w:bCs w:val="0"/>
          <w:color w:val="auto"/>
          <w:sz w:val="22"/>
          <w:szCs w:val="22"/>
          <w:highlight w:val="none"/>
        </w:rPr>
      </w:pPr>
      <w:r>
        <w:rPr>
          <w:rFonts w:hint="eastAsia" w:hAnsi="宋体" w:eastAsia="宋体"/>
          <w:b w:val="0"/>
          <w:bCs w:val="0"/>
          <w:color w:val="auto"/>
          <w:sz w:val="22"/>
          <w:szCs w:val="22"/>
          <w:highlight w:val="none"/>
        </w:rPr>
        <w:t>第八条：售后服务</w:t>
      </w:r>
    </w:p>
    <w:p w14:paraId="7CA87683">
      <w:pPr>
        <w:pStyle w:val="29"/>
        <w:spacing w:line="460" w:lineRule="atLeast"/>
        <w:ind w:firstLine="480"/>
        <w:rPr>
          <w:rFonts w:hint="eastAsia" w:hAnsi="宋体" w:eastAsia="宋体"/>
          <w:b w:val="0"/>
          <w:color w:val="auto"/>
          <w:sz w:val="22"/>
          <w:szCs w:val="22"/>
          <w:highlight w:val="none"/>
        </w:rPr>
      </w:pPr>
      <w:r>
        <w:rPr>
          <w:rFonts w:hint="eastAsia" w:hAnsi="宋体" w:eastAsia="宋体"/>
          <w:b w:val="0"/>
          <w:color w:val="auto"/>
          <w:sz w:val="22"/>
          <w:szCs w:val="22"/>
          <w:highlight w:val="none"/>
        </w:rPr>
        <w:t>中标供应商承诺售后服务按照投标承诺的服务计划实施，包括培训。</w:t>
      </w:r>
    </w:p>
    <w:p w14:paraId="4B78BB95">
      <w:pPr>
        <w:pStyle w:val="29"/>
        <w:spacing w:line="460" w:lineRule="atLeast"/>
        <w:rPr>
          <w:rFonts w:hint="eastAsia" w:hAnsi="宋体" w:eastAsia="宋体"/>
          <w:b w:val="0"/>
          <w:bCs w:val="0"/>
          <w:color w:val="auto"/>
          <w:sz w:val="22"/>
          <w:szCs w:val="22"/>
          <w:highlight w:val="none"/>
        </w:rPr>
      </w:pPr>
      <w:r>
        <w:rPr>
          <w:rFonts w:hint="eastAsia" w:hAnsi="宋体" w:eastAsia="宋体"/>
          <w:b w:val="0"/>
          <w:bCs w:val="0"/>
          <w:color w:val="auto"/>
          <w:sz w:val="22"/>
          <w:szCs w:val="22"/>
          <w:highlight w:val="none"/>
        </w:rPr>
        <w:t>第九条：履约保证金</w:t>
      </w:r>
    </w:p>
    <w:p w14:paraId="7207D7D0">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拟签订的合同文本要求中标供应商提交履约保证金的，供应商应当以支票、汇票、本票或者金融机构、担保机构出具的保函等非现金形式提交。履约保证金的数额不得超过政府采购合同金额的1%，鼓励根据项目特点、供应商诚信等因素免收履约保证金或降低缴纳比例。鼓励和支持供应商以银行、保险公司出具的保函形式提供履约保证金。采购人不得拒收履约保函，项目验收结束后应及时退还，延迟退还的，应当按照合同约定和法律规定承担相应的赔偿责任。</w:t>
      </w:r>
    </w:p>
    <w:p w14:paraId="752C239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供应商可登录政采云平台-【金融服务】—【我的项目】—【已备案合同】以保函形式提供：1、供应商在合同列表选择需要投保的合同，点击[保函推荐]。2、在弹框里查看推荐的保函产品，供应商自行选择保函产品，点击[立即申请]。3、在弹框里填写保函申请信息。具体步骤：选择产品—填写供应商信息—选择中标项目—确认信息—等待保险/保函受理—确认保单—支付保费—成功出单。政采云金融专线400-903-9583。</w:t>
      </w:r>
    </w:p>
    <w:p w14:paraId="2156FB5E">
      <w:pPr>
        <w:pStyle w:val="29"/>
        <w:spacing w:line="460" w:lineRule="atLeast"/>
        <w:rPr>
          <w:rFonts w:hint="eastAsia" w:hAnsi="宋体" w:eastAsia="宋体"/>
          <w:b w:val="0"/>
          <w:color w:val="auto"/>
          <w:sz w:val="22"/>
          <w:szCs w:val="22"/>
          <w:highlight w:val="none"/>
        </w:rPr>
      </w:pPr>
      <w:r>
        <w:rPr>
          <w:rFonts w:hint="eastAsia" w:hAnsi="宋体" w:eastAsia="宋体"/>
          <w:b w:val="0"/>
          <w:color w:val="auto"/>
          <w:sz w:val="22"/>
          <w:szCs w:val="22"/>
          <w:highlight w:val="none"/>
        </w:rPr>
        <w:t>第十条：货款的支付</w:t>
      </w:r>
    </w:p>
    <w:p w14:paraId="7054699D">
      <w:pPr>
        <w:widowControl/>
        <w:autoSpaceDE w:val="0"/>
        <w:autoSpaceDN w:val="0"/>
        <w:adjustRightInd w:val="0"/>
        <w:spacing w:line="460" w:lineRule="atLeast"/>
        <w:ind w:firstLine="442" w:firstLineChars="200"/>
        <w:textAlignment w:val="bottom"/>
        <w:rPr>
          <w:rFonts w:hint="eastAsia" w:ascii="宋体" w:eastAsia="宋体"/>
          <w:color w:val="auto"/>
          <w:sz w:val="22"/>
          <w:szCs w:val="22"/>
          <w:highlight w:val="none"/>
          <w:u w:val="single"/>
        </w:rPr>
      </w:pPr>
      <w:r>
        <w:rPr>
          <w:rFonts w:hint="eastAsia" w:ascii="宋体" w:eastAsia="宋体"/>
          <w:color w:val="auto"/>
          <w:sz w:val="22"/>
          <w:szCs w:val="22"/>
          <w:highlight w:val="none"/>
          <w:u w:val="single"/>
        </w:rPr>
        <w:t>在合同签订后5日内中标供应商应提供合同总金额</w:t>
      </w:r>
      <w:r>
        <w:rPr>
          <w:rFonts w:hint="eastAsia" w:ascii="宋体" w:eastAsia="宋体"/>
          <w:color w:val="auto"/>
          <w:sz w:val="22"/>
          <w:szCs w:val="22"/>
          <w:highlight w:val="none"/>
          <w:u w:val="single"/>
          <w:lang w:val="en-US" w:eastAsia="zh-CN"/>
        </w:rPr>
        <w:t>1</w:t>
      </w:r>
      <w:r>
        <w:rPr>
          <w:rFonts w:hint="eastAsia" w:ascii="宋体" w:eastAsia="宋体"/>
          <w:color w:val="auto"/>
          <w:sz w:val="22"/>
          <w:szCs w:val="22"/>
          <w:highlight w:val="none"/>
          <w:u w:val="single"/>
        </w:rPr>
        <w:t>%的履约保证金；采购人在收到供货书面清单后，支付40%预付款，在产品安装完毕最终验收合格后在财政款项拨付后15个工作日内付60%，履约保证金在质保期结束后无质量与售后服务问题15个工作日内无息退还（或保函自动失效）。</w:t>
      </w:r>
    </w:p>
    <w:p w14:paraId="1A653A85">
      <w:pPr>
        <w:widowControl/>
        <w:autoSpaceDE w:val="0"/>
        <w:autoSpaceDN w:val="0"/>
        <w:adjustRightInd w:val="0"/>
        <w:spacing w:line="460" w:lineRule="atLeast"/>
        <w:ind w:firstLine="440" w:firstLineChars="200"/>
        <w:textAlignment w:val="bottom"/>
        <w:rPr>
          <w:rFonts w:eastAsia="宋体"/>
          <w:color w:val="auto"/>
          <w:highlight w:val="none"/>
        </w:rPr>
      </w:pPr>
      <w:r>
        <w:rPr>
          <w:rFonts w:hint="eastAsia" w:ascii="宋体" w:eastAsia="宋体"/>
          <w:b w:val="0"/>
          <w:bCs w:val="0"/>
          <w:color w:val="auto"/>
          <w:sz w:val="22"/>
          <w:szCs w:val="22"/>
          <w:highlight w:val="none"/>
          <w:lang w:eastAsia="zh-CN"/>
        </w:rPr>
        <w:t>如采购人无法按上述约定期限支付对应款项的，采购人与中标供应商根据实际情况另行协商确定付款时间，中标供应商确认不因采购人延期付款的情形要求采购人承担逾期付款利息等违约责任</w:t>
      </w:r>
      <w:r>
        <w:rPr>
          <w:rFonts w:hint="eastAsia" w:ascii="宋体" w:eastAsia="宋体"/>
          <w:b w:val="0"/>
          <w:bCs w:val="0"/>
          <w:color w:val="auto"/>
          <w:sz w:val="22"/>
          <w:szCs w:val="22"/>
          <w:highlight w:val="none"/>
        </w:rPr>
        <w:t>。</w:t>
      </w:r>
    </w:p>
    <w:p w14:paraId="64DA0C23">
      <w:pPr>
        <w:pStyle w:val="29"/>
        <w:spacing w:line="460" w:lineRule="atLeast"/>
        <w:rPr>
          <w:rFonts w:hint="eastAsia" w:hAnsi="宋体" w:eastAsia="宋体"/>
          <w:b w:val="0"/>
          <w:bCs w:val="0"/>
          <w:color w:val="auto"/>
          <w:sz w:val="22"/>
          <w:szCs w:val="22"/>
          <w:highlight w:val="none"/>
        </w:rPr>
      </w:pPr>
      <w:r>
        <w:rPr>
          <w:rFonts w:hint="eastAsia" w:hAnsi="宋体" w:eastAsia="宋体"/>
          <w:b w:val="0"/>
          <w:bCs w:val="0"/>
          <w:color w:val="auto"/>
          <w:sz w:val="22"/>
          <w:szCs w:val="22"/>
          <w:highlight w:val="none"/>
        </w:rPr>
        <w:t>第十一条：辅助服务</w:t>
      </w:r>
    </w:p>
    <w:p w14:paraId="706EAEE9">
      <w:pPr>
        <w:spacing w:line="460" w:lineRule="atLeast"/>
        <w:ind w:firstLine="480"/>
        <w:rPr>
          <w:rFonts w:hint="eastAsia" w:ascii="宋体" w:eastAsia="宋体"/>
          <w:b w:val="0"/>
          <w:color w:val="auto"/>
          <w:sz w:val="22"/>
          <w:szCs w:val="22"/>
          <w:highlight w:val="none"/>
        </w:rPr>
      </w:pPr>
      <w:r>
        <w:rPr>
          <w:rFonts w:hint="eastAsia" w:ascii="宋体" w:eastAsia="宋体"/>
          <w:b w:val="0"/>
          <w:color w:val="auto"/>
          <w:sz w:val="22"/>
          <w:szCs w:val="22"/>
          <w:highlight w:val="none"/>
        </w:rPr>
        <w:t>中标供应商应提交所提供货物的技术文件，包括相应的每一套设备的中文技术文件，例如：产品目录、图纸、操作手册、使用说明、维护手册和/或服务指南。这些文件应包装好随同货物一起发运。</w:t>
      </w:r>
    </w:p>
    <w:p w14:paraId="758C3751">
      <w:pPr>
        <w:spacing w:line="460" w:lineRule="atLeast"/>
        <w:rPr>
          <w:rFonts w:hint="eastAsia" w:ascii="宋体" w:eastAsia="宋体"/>
          <w:b w:val="0"/>
          <w:color w:val="auto"/>
          <w:sz w:val="22"/>
          <w:szCs w:val="22"/>
          <w:highlight w:val="none"/>
        </w:rPr>
      </w:pPr>
      <w:r>
        <w:rPr>
          <w:rFonts w:hint="eastAsia" w:ascii="宋体" w:eastAsia="宋体"/>
          <w:b w:val="0"/>
          <w:color w:val="auto"/>
          <w:sz w:val="22"/>
          <w:szCs w:val="22"/>
          <w:highlight w:val="none"/>
        </w:rPr>
        <w:t xml:space="preserve">     中标供应商还应提供下列服务：</w:t>
      </w:r>
    </w:p>
    <w:p w14:paraId="135E4709">
      <w:pPr>
        <w:spacing w:line="460" w:lineRule="atLeast"/>
        <w:ind w:firstLine="444"/>
        <w:rPr>
          <w:rFonts w:hint="eastAsia" w:ascii="宋体" w:eastAsia="宋体"/>
          <w:b w:val="0"/>
          <w:color w:val="auto"/>
          <w:sz w:val="22"/>
          <w:szCs w:val="22"/>
          <w:highlight w:val="none"/>
        </w:rPr>
      </w:pPr>
      <w:r>
        <w:rPr>
          <w:rFonts w:hint="eastAsia" w:ascii="宋体" w:eastAsia="宋体"/>
          <w:b w:val="0"/>
          <w:color w:val="auto"/>
          <w:sz w:val="22"/>
          <w:szCs w:val="22"/>
          <w:highlight w:val="none"/>
        </w:rPr>
        <w:t>（1）货物的现场指导安装、调试、启动监督及技术支持；</w:t>
      </w:r>
    </w:p>
    <w:p w14:paraId="45780320">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（2）在厂家和/或项目现场就货物的指导安装、启动、运营、维护对采购人操作人员进行培训。辅助服务的费用包含在合同价中，采购人不再另行支付。</w:t>
      </w:r>
    </w:p>
    <w:p w14:paraId="19ED177A">
      <w:pPr>
        <w:spacing w:line="460" w:lineRule="atLeast"/>
        <w:ind w:left="-360" w:firstLine="360"/>
        <w:rPr>
          <w:rFonts w:hint="eastAsia" w:ascii="宋体" w:eastAsia="宋体"/>
          <w:b w:val="0"/>
          <w:color w:val="auto"/>
          <w:sz w:val="22"/>
          <w:szCs w:val="22"/>
          <w:highlight w:val="none"/>
        </w:rPr>
      </w:pPr>
      <w:r>
        <w:rPr>
          <w:rFonts w:hint="eastAsia" w:ascii="宋体" w:eastAsia="宋体"/>
          <w:b w:val="0"/>
          <w:color w:val="auto"/>
          <w:sz w:val="22"/>
          <w:szCs w:val="22"/>
          <w:highlight w:val="none"/>
        </w:rPr>
        <w:t>第十二条：质量保证</w:t>
      </w:r>
    </w:p>
    <w:p w14:paraId="69966B94">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中标供应商应保证所供货物是全新的、未使用过的，并完全符合合同规定的质量、规格和性能的要求。中标供应商应保证其货物在正确安装、正常使用和保养条件下，在其使用寿命期内应具有满意的性能。在货物最终交付验收后不少于</w:t>
      </w:r>
      <w:r>
        <w:rPr>
          <w:rFonts w:ascii="宋体" w:eastAsia="宋体"/>
          <w:color w:val="auto"/>
          <w:sz w:val="22"/>
          <w:szCs w:val="22"/>
          <w:highlight w:val="none"/>
          <w:u w:val="single"/>
        </w:rPr>
        <w:t xml:space="preserve">  </w:t>
      </w:r>
      <w:r>
        <w:rPr>
          <w:rFonts w:hint="eastAsia" w:ascii="宋体" w:eastAsia="宋体"/>
          <w:b w:val="0"/>
          <w:color w:val="auto"/>
          <w:sz w:val="22"/>
          <w:szCs w:val="22"/>
          <w:highlight w:val="none"/>
        </w:rPr>
        <w:t>年的质量保证期内，中标供应商应对由于设计、工艺或材料的缺陷而产生的故障负责。</w:t>
      </w:r>
    </w:p>
    <w:p w14:paraId="6F897DAA">
      <w:pPr>
        <w:spacing w:line="460" w:lineRule="atLeast"/>
        <w:ind w:firstLine="385" w:firstLineChars="175"/>
        <w:rPr>
          <w:rFonts w:hint="eastAsia" w:ascii="宋体" w:eastAsia="宋体"/>
          <w:b w:val="0"/>
          <w:color w:val="auto"/>
          <w:sz w:val="22"/>
          <w:szCs w:val="22"/>
          <w:highlight w:val="none"/>
        </w:rPr>
      </w:pPr>
      <w:r>
        <w:rPr>
          <w:rFonts w:hint="eastAsia" w:ascii="宋体" w:eastAsia="宋体"/>
          <w:b w:val="0"/>
          <w:color w:val="auto"/>
          <w:sz w:val="22"/>
          <w:szCs w:val="22"/>
          <w:highlight w:val="none"/>
        </w:rPr>
        <w:t>在质量保证期内，如果货物的质量或规格与合同不符，或证实货物是有缺陷的，包括潜在的缺陷或使用不符合要求的材料等，采购人可以根据本合同第十三条规定以书面形式向中标供应商提出补救措施或索赔。</w:t>
      </w:r>
    </w:p>
    <w:p w14:paraId="7B5B8B48">
      <w:pPr>
        <w:spacing w:line="460" w:lineRule="atLeast"/>
        <w:ind w:firstLine="420"/>
        <w:rPr>
          <w:rFonts w:hint="eastAsia" w:ascii="宋体" w:eastAsia="宋体"/>
          <w:b w:val="0"/>
          <w:color w:val="auto"/>
          <w:sz w:val="22"/>
          <w:szCs w:val="22"/>
          <w:highlight w:val="none"/>
        </w:rPr>
      </w:pPr>
      <w:r>
        <w:rPr>
          <w:rFonts w:hint="eastAsia" w:ascii="宋体" w:eastAsia="宋体"/>
          <w:b w:val="0"/>
          <w:color w:val="auto"/>
          <w:sz w:val="22"/>
          <w:szCs w:val="22"/>
          <w:highlight w:val="none"/>
        </w:rPr>
        <w:t>中标供应商在约定的时间内未能弥补缺陷，采购人可采取必要的补救措施，但其风险和费用将由中标供应商承担，采购人根据合同规定对中标供应商行使的其他权利不受影响。</w:t>
      </w:r>
    </w:p>
    <w:p w14:paraId="7BCEE042">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第十三条：补救措施和索赔</w:t>
      </w:r>
    </w:p>
    <w:p w14:paraId="4048E6B9">
      <w:pPr>
        <w:spacing w:line="460" w:lineRule="atLeast"/>
        <w:ind w:firstLine="420"/>
        <w:rPr>
          <w:rFonts w:hint="eastAsia" w:ascii="宋体" w:eastAsia="宋体"/>
          <w:b w:val="0"/>
          <w:color w:val="auto"/>
          <w:sz w:val="22"/>
          <w:szCs w:val="22"/>
          <w:highlight w:val="none"/>
        </w:rPr>
      </w:pPr>
      <w:r>
        <w:rPr>
          <w:rFonts w:hint="eastAsia" w:ascii="宋体" w:eastAsia="宋体"/>
          <w:b w:val="0"/>
          <w:color w:val="auto"/>
          <w:sz w:val="22"/>
          <w:szCs w:val="22"/>
          <w:highlight w:val="none"/>
        </w:rPr>
        <w:t>1、采购人有权根据权威质量检测部门出具的检验报告向中标供应商提出索赔。</w:t>
      </w:r>
    </w:p>
    <w:p w14:paraId="3DA89176">
      <w:pPr>
        <w:spacing w:line="460" w:lineRule="atLeast"/>
        <w:ind w:firstLine="420"/>
        <w:rPr>
          <w:rFonts w:hint="eastAsia" w:ascii="宋体" w:eastAsia="宋体"/>
          <w:b w:val="0"/>
          <w:color w:val="auto"/>
          <w:sz w:val="22"/>
          <w:szCs w:val="22"/>
          <w:highlight w:val="none"/>
        </w:rPr>
      </w:pPr>
      <w:r>
        <w:rPr>
          <w:rFonts w:hint="eastAsia" w:ascii="宋体" w:eastAsia="宋体"/>
          <w:b w:val="0"/>
          <w:color w:val="auto"/>
          <w:sz w:val="22"/>
          <w:szCs w:val="22"/>
          <w:highlight w:val="none"/>
        </w:rPr>
        <w:t>2、在质量保证期内，如果中标供应商对缺陷产品负有责任而采购人提出索赔，中标供应商应按照采购人同意的下列一种或多种方式解决索赔事宜，并且采购人可以收取中标供应商合同总价20%的违约金：</w:t>
      </w:r>
    </w:p>
    <w:p w14:paraId="37C11F77">
      <w:pPr>
        <w:spacing w:line="460" w:lineRule="atLeast"/>
        <w:ind w:firstLine="440" w:firstLineChars="200"/>
        <w:rPr>
          <w:rFonts w:hint="eastAsia" w:ascii="宋体" w:eastAsia="宋体"/>
          <w:b w:val="0"/>
          <w:color w:val="auto"/>
          <w:sz w:val="22"/>
          <w:szCs w:val="22"/>
          <w:highlight w:val="none"/>
        </w:rPr>
      </w:pPr>
      <w:r>
        <w:rPr>
          <w:rFonts w:hint="eastAsia" w:ascii="宋体" w:eastAsia="宋体"/>
          <w:b w:val="0"/>
          <w:color w:val="auto"/>
          <w:sz w:val="22"/>
          <w:szCs w:val="22"/>
          <w:highlight w:val="none"/>
        </w:rPr>
        <w:t>（1） 中标供应商退货并将货款退还给采购人，由此发生的一切费用和损失由中标供应商承担。</w:t>
      </w:r>
    </w:p>
    <w:p w14:paraId="0B73BAD8">
      <w:pPr>
        <w:spacing w:line="460" w:lineRule="atLeast"/>
        <w:ind w:firstLine="440" w:firstLineChars="200"/>
        <w:rPr>
          <w:rFonts w:hint="eastAsia" w:ascii="宋体" w:eastAsia="宋体"/>
          <w:b w:val="0"/>
          <w:color w:val="auto"/>
          <w:sz w:val="22"/>
          <w:szCs w:val="22"/>
          <w:highlight w:val="none"/>
        </w:rPr>
      </w:pPr>
      <w:r>
        <w:rPr>
          <w:rFonts w:hint="eastAsia" w:ascii="宋体" w:eastAsia="宋体"/>
          <w:b w:val="0"/>
          <w:color w:val="auto"/>
          <w:sz w:val="22"/>
          <w:szCs w:val="22"/>
          <w:highlight w:val="none"/>
        </w:rPr>
        <w:t>（2） 根据货物的质量状况以及采购人所遭受的损失，经过采购人及中标供应商商定降低货物的价格。</w:t>
      </w:r>
    </w:p>
    <w:p w14:paraId="7ED497EE">
      <w:pPr>
        <w:spacing w:line="460" w:lineRule="atLeast"/>
        <w:ind w:firstLine="440" w:firstLineChars="200"/>
        <w:rPr>
          <w:rFonts w:hint="eastAsia" w:ascii="宋体" w:eastAsia="宋体"/>
          <w:b w:val="0"/>
          <w:color w:val="auto"/>
          <w:sz w:val="22"/>
          <w:szCs w:val="22"/>
          <w:highlight w:val="none"/>
        </w:rPr>
      </w:pPr>
      <w:r>
        <w:rPr>
          <w:rFonts w:hint="eastAsia" w:ascii="宋体" w:eastAsia="宋体"/>
          <w:b w:val="0"/>
          <w:color w:val="auto"/>
          <w:sz w:val="22"/>
          <w:szCs w:val="22"/>
          <w:highlight w:val="none"/>
        </w:rPr>
        <w:t>（3） 中标供应商应在接到采购人通知后七天内负责采用符合合同规定的规格、质量和性能要求的新零件、部件和设备来更换有缺陷的部分或修补缺陷部分，其费用由中标供应商负担。同时，中标供应商应在约定的质量保证期基础上相应延长修补和/或更换件的质量保证期。</w:t>
      </w:r>
    </w:p>
    <w:p w14:paraId="23A5B1AD">
      <w:pPr>
        <w:spacing w:line="460" w:lineRule="atLeast"/>
        <w:ind w:firstLine="440" w:firstLineChars="200"/>
        <w:rPr>
          <w:rFonts w:hint="eastAsia" w:ascii="宋体" w:eastAsia="宋体"/>
          <w:b w:val="0"/>
          <w:color w:val="auto"/>
          <w:sz w:val="22"/>
          <w:szCs w:val="22"/>
          <w:highlight w:val="none"/>
        </w:rPr>
      </w:pPr>
      <w:r>
        <w:rPr>
          <w:rFonts w:hint="eastAsia" w:ascii="宋体" w:eastAsia="宋体"/>
          <w:b w:val="0"/>
          <w:color w:val="auto"/>
          <w:sz w:val="22"/>
          <w:szCs w:val="22"/>
          <w:highlight w:val="none"/>
        </w:rPr>
        <w:t>3、如果在采购人发出索赔通知后十天内中标供应商未作答复，上述索赔应视为已被中标供应商接受。如果中标供应商未能在采购人发出索赔通知后十天内或采购人同意延长的期限内，按照上述规定的任何一种方法采取补救措施，采购人有权从应付货款中扣除索赔金额，如不足以弥补采购人损失的，采购人有权进一步要求中标供应商赔偿。</w:t>
      </w:r>
    </w:p>
    <w:p w14:paraId="3B216988">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第十四条：履约延误</w:t>
      </w:r>
    </w:p>
    <w:p w14:paraId="44AE7847">
      <w:pPr>
        <w:spacing w:line="460" w:lineRule="atLeast"/>
        <w:ind w:firstLine="444"/>
        <w:rPr>
          <w:rFonts w:hint="eastAsia" w:ascii="宋体" w:eastAsia="宋体"/>
          <w:b w:val="0"/>
          <w:color w:val="auto"/>
          <w:sz w:val="22"/>
          <w:szCs w:val="22"/>
          <w:highlight w:val="none"/>
        </w:rPr>
      </w:pPr>
      <w:r>
        <w:rPr>
          <w:rFonts w:hint="eastAsia" w:ascii="宋体" w:eastAsia="宋体"/>
          <w:b w:val="0"/>
          <w:color w:val="auto"/>
          <w:sz w:val="22"/>
          <w:szCs w:val="22"/>
          <w:highlight w:val="none"/>
        </w:rPr>
        <w:t>1、中标供应商应按照《合同》规定的时间、地点交货和提供服务。</w:t>
      </w:r>
    </w:p>
    <w:p w14:paraId="29E91AB7">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2、在履行《合同》过程中，如果中标供应商可能遇到妨碍按时交货和提供服务的情况时，应及时将拖延的事实、可能拖延的期限和理由通知采购人。采购人在收到中标供应商通知后，应尽快对情况进行评价，并确定是否同意延长交货时间或延期提供服务。</w:t>
      </w:r>
    </w:p>
    <w:p w14:paraId="10B6D192">
      <w:pPr>
        <w:spacing w:line="460" w:lineRule="atLeast"/>
        <w:ind w:firstLine="440" w:firstLineChars="200"/>
        <w:rPr>
          <w:rFonts w:hint="eastAsia" w:ascii="宋体" w:eastAsia="宋体"/>
          <w:b w:val="0"/>
          <w:color w:val="auto"/>
          <w:sz w:val="22"/>
          <w:szCs w:val="22"/>
          <w:highlight w:val="none"/>
        </w:rPr>
      </w:pPr>
      <w:r>
        <w:rPr>
          <w:rFonts w:hint="eastAsia" w:ascii="宋体" w:eastAsia="宋体"/>
          <w:b w:val="0"/>
          <w:color w:val="auto"/>
          <w:sz w:val="22"/>
          <w:szCs w:val="22"/>
          <w:highlight w:val="none"/>
        </w:rPr>
        <w:t>3、如中标供应商无正当理由而拖延交货，经协商无效,采购人有权追究中标供应商的违约责任。延期交货违约责任按每延期一天罚款2万元处理，如果超出合同规定期限15天应不能供货，则采购人可以终止合同，并收取中标供应商合同总价20%的违约金。</w:t>
      </w:r>
    </w:p>
    <w:p w14:paraId="09027677">
      <w:pPr>
        <w:spacing w:line="460" w:lineRule="atLeast"/>
        <w:rPr>
          <w:rFonts w:hint="eastAsia" w:ascii="宋体" w:eastAsia="宋体"/>
          <w:b w:val="0"/>
          <w:bCs w:val="0"/>
          <w:color w:val="auto"/>
          <w:sz w:val="22"/>
          <w:szCs w:val="22"/>
          <w:highlight w:val="none"/>
        </w:rPr>
      </w:pPr>
      <w:r>
        <w:rPr>
          <w:rFonts w:hint="eastAsia" w:ascii="宋体" w:eastAsia="宋体"/>
          <w:b w:val="0"/>
          <w:color w:val="auto"/>
          <w:sz w:val="22"/>
          <w:szCs w:val="22"/>
          <w:highlight w:val="none"/>
        </w:rPr>
        <w:t xml:space="preserve"> </w:t>
      </w:r>
      <w:r>
        <w:rPr>
          <w:rFonts w:hint="eastAsia" w:ascii="宋体" w:eastAsia="宋体"/>
          <w:b w:val="0"/>
          <w:bCs w:val="0"/>
          <w:color w:val="auto"/>
          <w:sz w:val="22"/>
          <w:szCs w:val="22"/>
          <w:highlight w:val="none"/>
        </w:rPr>
        <w:t>第十五条：不可抗力</w:t>
      </w:r>
    </w:p>
    <w:p w14:paraId="1B5C6C72">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1、如果合同各方因不可抗力而导致合同实施延误或不能履行合同义务的话，不应该承担误期赔偿或不能履行合同义务的责任。</w:t>
      </w:r>
    </w:p>
    <w:p w14:paraId="71A08727">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2、本条所述的“不可抗力”系指那些双方不可预见、不可避免、不可克服的事件，但不包括双方的违约或疏忽。这些事件包括但不限于：战争、严重火灾、洪水、台风、地震、国家政策的重大变化，以及双方商定的其他事件。</w:t>
      </w:r>
    </w:p>
    <w:p w14:paraId="5213765B">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3、在不可抗力事件发生后，当事方应尽快以书面形式将不可抗力的情况和原因通知对方。合同各方应尽可能继续履行合同义务，并积极寻求采取合理的措施履行不受不可抗力影响的其他事项。合同各方应通过友好协商在合理的时间内达成进一步履行合同。</w:t>
      </w:r>
    </w:p>
    <w:p w14:paraId="6FA398CA">
      <w:pPr>
        <w:pStyle w:val="29"/>
        <w:spacing w:line="460" w:lineRule="atLeast"/>
        <w:rPr>
          <w:rFonts w:hint="eastAsia" w:hAnsi="宋体" w:eastAsia="宋体"/>
          <w:b w:val="0"/>
          <w:bCs w:val="0"/>
          <w:color w:val="auto"/>
          <w:sz w:val="22"/>
          <w:szCs w:val="22"/>
          <w:highlight w:val="none"/>
        </w:rPr>
      </w:pPr>
      <w:r>
        <w:rPr>
          <w:rFonts w:hint="eastAsia" w:hAnsi="宋体" w:eastAsia="宋体"/>
          <w:b w:val="0"/>
          <w:bCs w:val="0"/>
          <w:color w:val="auto"/>
          <w:sz w:val="22"/>
          <w:szCs w:val="22"/>
          <w:highlight w:val="none"/>
        </w:rPr>
        <w:t>第十六条：争议的解决</w:t>
      </w:r>
    </w:p>
    <w:p w14:paraId="594B8109">
      <w:pPr>
        <w:pStyle w:val="29"/>
        <w:spacing w:line="460" w:lineRule="atLeast"/>
        <w:ind w:firstLine="480"/>
        <w:rPr>
          <w:rFonts w:hint="eastAsia" w:hAnsi="宋体" w:eastAsia="宋体"/>
          <w:b w:val="0"/>
          <w:color w:val="auto"/>
          <w:sz w:val="22"/>
          <w:szCs w:val="22"/>
          <w:highlight w:val="none"/>
        </w:rPr>
      </w:pPr>
      <w:r>
        <w:rPr>
          <w:rFonts w:hint="eastAsia" w:hAnsi="宋体" w:eastAsia="宋体"/>
          <w:b w:val="0"/>
          <w:color w:val="auto"/>
          <w:sz w:val="22"/>
          <w:szCs w:val="22"/>
          <w:highlight w:val="none"/>
        </w:rPr>
        <w:t>在发生所供商品的质量、售后服务等问题时，采购人有权直接向中标供应商索赔，签订必要的书面处理合同。协商不能解决的，任何一方有权在合同签约地选择仲裁或诉讼的途径解决。</w:t>
      </w:r>
    </w:p>
    <w:p w14:paraId="0CEFE50A">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第十七条：违约处理</w:t>
      </w:r>
    </w:p>
    <w:p w14:paraId="4B77D128">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1、在采购人对中标供应商违约而采取的任何补救措施不受影响的情况下，采购人可在下列情况下向中标供应商发出书面通知书，提出终止部分或全部合同。</w:t>
      </w:r>
    </w:p>
    <w:p w14:paraId="6A55A573">
      <w:pPr>
        <w:spacing w:line="460" w:lineRule="atLeast"/>
        <w:rPr>
          <w:rFonts w:hint="eastAsia" w:ascii="宋体" w:eastAsia="宋体"/>
          <w:b w:val="0"/>
          <w:color w:val="auto"/>
          <w:sz w:val="22"/>
          <w:szCs w:val="22"/>
          <w:highlight w:val="none"/>
        </w:rPr>
      </w:pPr>
      <w:r>
        <w:rPr>
          <w:rFonts w:hint="eastAsia" w:ascii="宋体" w:eastAsia="宋体"/>
          <w:b w:val="0"/>
          <w:color w:val="auto"/>
          <w:sz w:val="22"/>
          <w:szCs w:val="22"/>
          <w:highlight w:val="none"/>
        </w:rPr>
        <w:t xml:space="preserve">   （1）中标供应商提供的产品质量、配置不符合国家规定和承诺的标准；</w:t>
      </w:r>
    </w:p>
    <w:p w14:paraId="7CC185CF">
      <w:pPr>
        <w:spacing w:line="460" w:lineRule="atLeast"/>
        <w:ind w:firstLine="360"/>
        <w:rPr>
          <w:rFonts w:hint="eastAsia" w:ascii="宋体" w:eastAsia="宋体"/>
          <w:b w:val="0"/>
          <w:color w:val="auto"/>
          <w:sz w:val="22"/>
          <w:szCs w:val="22"/>
          <w:highlight w:val="none"/>
        </w:rPr>
      </w:pPr>
      <w:r>
        <w:rPr>
          <w:rFonts w:hint="eastAsia" w:ascii="宋体" w:eastAsia="宋体"/>
          <w:b w:val="0"/>
          <w:color w:val="auto"/>
          <w:sz w:val="22"/>
          <w:szCs w:val="22"/>
          <w:highlight w:val="none"/>
        </w:rPr>
        <w:t>（2）中标供应商没有按承诺的时间供货、维修或提供其他服务；</w:t>
      </w:r>
    </w:p>
    <w:p w14:paraId="0DC99ED8">
      <w:pPr>
        <w:spacing w:line="460" w:lineRule="atLeast"/>
        <w:rPr>
          <w:rFonts w:hint="eastAsia" w:ascii="宋体" w:eastAsia="宋体"/>
          <w:b w:val="0"/>
          <w:color w:val="auto"/>
          <w:sz w:val="22"/>
          <w:szCs w:val="22"/>
          <w:highlight w:val="none"/>
        </w:rPr>
      </w:pPr>
      <w:r>
        <w:rPr>
          <w:rFonts w:hint="eastAsia" w:ascii="宋体" w:eastAsia="宋体"/>
          <w:b w:val="0"/>
          <w:color w:val="auto"/>
          <w:sz w:val="22"/>
          <w:szCs w:val="22"/>
          <w:highlight w:val="none"/>
        </w:rPr>
        <w:t xml:space="preserve">   （3）中标供应商没有按承诺的价格或优惠率签订合同并供货；</w:t>
      </w:r>
    </w:p>
    <w:p w14:paraId="5B8F56D2">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2、如果采购人根据上述的规定，终止了全部或部分合同，采购人可以依其认为适当的条件和方法购买与未交货物类似的货物，中标供应商应对购买类似货物所超出的那部分费用负责。但是，中标供应商应继续执行合同中未终止的部分。</w:t>
      </w:r>
    </w:p>
    <w:p w14:paraId="68A16D98">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第十八条：合同转让和分包</w:t>
      </w:r>
    </w:p>
    <w:p w14:paraId="702F8489">
      <w:pPr>
        <w:spacing w:line="460" w:lineRule="atLeast"/>
        <w:ind w:firstLine="444"/>
        <w:rPr>
          <w:rFonts w:hint="eastAsia" w:ascii="宋体" w:eastAsia="宋体"/>
          <w:b w:val="0"/>
          <w:color w:val="auto"/>
          <w:sz w:val="22"/>
          <w:szCs w:val="22"/>
          <w:highlight w:val="none"/>
        </w:rPr>
      </w:pPr>
      <w:r>
        <w:rPr>
          <w:rFonts w:hint="eastAsia" w:ascii="宋体" w:eastAsia="宋体"/>
          <w:b w:val="0"/>
          <w:color w:val="auto"/>
          <w:sz w:val="22"/>
          <w:szCs w:val="22"/>
          <w:highlight w:val="none"/>
        </w:rPr>
        <w:t>除采购人事先书面同意外，中标供应商不得转让和分包其应履行的合同义务。</w:t>
      </w:r>
    </w:p>
    <w:p w14:paraId="07C62251">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第十九条：合同生效</w:t>
      </w:r>
    </w:p>
    <w:p w14:paraId="5766F537">
      <w:pPr>
        <w:pStyle w:val="29"/>
        <w:spacing w:line="460" w:lineRule="atLeast"/>
        <w:ind w:firstLine="480"/>
        <w:rPr>
          <w:rFonts w:hint="eastAsia" w:hAnsi="宋体" w:eastAsia="宋体"/>
          <w:b w:val="0"/>
          <w:color w:val="auto"/>
          <w:sz w:val="22"/>
          <w:szCs w:val="22"/>
          <w:highlight w:val="none"/>
        </w:rPr>
      </w:pPr>
      <w:r>
        <w:rPr>
          <w:rFonts w:hint="eastAsia" w:hAnsi="宋体" w:eastAsia="宋体"/>
          <w:b w:val="0"/>
          <w:color w:val="auto"/>
          <w:sz w:val="22"/>
          <w:szCs w:val="22"/>
          <w:highlight w:val="none"/>
        </w:rPr>
        <w:t>1、如上述文件与本合同有不符之处，以有利于采购人的为准。</w:t>
      </w:r>
    </w:p>
    <w:p w14:paraId="5B2604E4">
      <w:pPr>
        <w:pStyle w:val="29"/>
        <w:spacing w:line="460" w:lineRule="atLeast"/>
        <w:ind w:firstLine="480"/>
        <w:rPr>
          <w:rFonts w:hint="eastAsia" w:hAnsi="宋体" w:eastAsia="宋体"/>
          <w:b w:val="0"/>
          <w:color w:val="auto"/>
          <w:sz w:val="22"/>
          <w:szCs w:val="22"/>
          <w:highlight w:val="none"/>
        </w:rPr>
      </w:pPr>
      <w:r>
        <w:rPr>
          <w:rFonts w:hint="eastAsia" w:hAnsi="宋体" w:eastAsia="宋体"/>
          <w:b w:val="0"/>
          <w:color w:val="auto"/>
          <w:sz w:val="22"/>
          <w:szCs w:val="22"/>
          <w:highlight w:val="none"/>
        </w:rPr>
        <w:t>2、</w:t>
      </w:r>
      <w:r>
        <w:rPr>
          <w:rFonts w:hint="eastAsia" w:hAnsi="宋体" w:eastAsia="宋体"/>
          <w:color w:val="auto"/>
          <w:sz w:val="22"/>
          <w:szCs w:val="22"/>
          <w:highlight w:val="none"/>
          <w:u w:val="single"/>
        </w:rPr>
        <w:t>本合同经双方法定代表人或授权代表签署，采购人及中标供应商加盖印章后生效。</w:t>
      </w:r>
    </w:p>
    <w:p w14:paraId="05D13E7A">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第二十条：合同修改</w:t>
      </w:r>
    </w:p>
    <w:p w14:paraId="385E421A">
      <w:pPr>
        <w:spacing w:line="460" w:lineRule="atLeast"/>
        <w:ind w:firstLine="480"/>
        <w:rPr>
          <w:rFonts w:hint="eastAsia" w:ascii="宋体" w:eastAsia="宋体"/>
          <w:b w:val="0"/>
          <w:color w:val="auto"/>
          <w:sz w:val="22"/>
          <w:szCs w:val="22"/>
          <w:highlight w:val="none"/>
        </w:rPr>
      </w:pPr>
      <w:r>
        <w:rPr>
          <w:rFonts w:hint="eastAsia" w:ascii="宋体" w:eastAsia="宋体"/>
          <w:b w:val="0"/>
          <w:color w:val="auto"/>
          <w:sz w:val="22"/>
          <w:szCs w:val="22"/>
          <w:highlight w:val="none"/>
        </w:rPr>
        <w:t>除了双方签署书面修改合同，并成为本合同不可分割的一部分之外，本合同条件不得有任何变化或修改。</w:t>
      </w:r>
    </w:p>
    <w:p w14:paraId="3AB14B51">
      <w:pPr>
        <w:pStyle w:val="29"/>
        <w:spacing w:line="460" w:lineRule="atLeast"/>
        <w:rPr>
          <w:rFonts w:hint="eastAsia" w:hAnsi="宋体" w:eastAsia="宋体"/>
          <w:b w:val="0"/>
          <w:bCs w:val="0"/>
          <w:color w:val="auto"/>
          <w:sz w:val="22"/>
          <w:szCs w:val="22"/>
          <w:highlight w:val="none"/>
        </w:rPr>
      </w:pPr>
      <w:r>
        <w:rPr>
          <w:rFonts w:hint="eastAsia" w:hAnsi="宋体" w:eastAsia="宋体"/>
          <w:b w:val="0"/>
          <w:bCs w:val="0"/>
          <w:color w:val="auto"/>
          <w:sz w:val="22"/>
          <w:szCs w:val="22"/>
          <w:highlight w:val="none"/>
        </w:rPr>
        <w:t>第二十一条 合同附件</w:t>
      </w:r>
    </w:p>
    <w:p w14:paraId="5E56C0F6">
      <w:pPr>
        <w:spacing w:line="460" w:lineRule="atLeast"/>
        <w:ind w:firstLine="444"/>
        <w:rPr>
          <w:rFonts w:hint="eastAsia" w:ascii="宋体" w:eastAsia="宋体"/>
          <w:b w:val="0"/>
          <w:color w:val="auto"/>
          <w:sz w:val="22"/>
          <w:szCs w:val="22"/>
          <w:highlight w:val="none"/>
        </w:rPr>
      </w:pPr>
      <w:r>
        <w:rPr>
          <w:rFonts w:hint="eastAsia" w:ascii="宋体" w:eastAsia="宋体"/>
          <w:b w:val="0"/>
          <w:color w:val="auto"/>
          <w:sz w:val="22"/>
          <w:szCs w:val="22"/>
          <w:highlight w:val="none"/>
        </w:rPr>
        <w:t>下列文件与本合同具有同等法律效力：</w:t>
      </w:r>
    </w:p>
    <w:p w14:paraId="0936FAFB">
      <w:pPr>
        <w:spacing w:line="460" w:lineRule="atLeast"/>
        <w:ind w:firstLine="431" w:firstLineChars="196"/>
        <w:rPr>
          <w:rFonts w:hint="eastAsia" w:ascii="宋体" w:eastAsia="宋体"/>
          <w:b w:val="0"/>
          <w:color w:val="auto"/>
          <w:sz w:val="22"/>
          <w:szCs w:val="22"/>
          <w:highlight w:val="none"/>
        </w:rPr>
      </w:pPr>
      <w:r>
        <w:rPr>
          <w:rFonts w:hint="eastAsia" w:ascii="宋体" w:eastAsia="宋体"/>
          <w:b w:val="0"/>
          <w:color w:val="auto"/>
          <w:sz w:val="22"/>
          <w:szCs w:val="22"/>
          <w:highlight w:val="none"/>
        </w:rPr>
        <w:t>1、采购人的招标文件与招标补充文件；</w:t>
      </w:r>
    </w:p>
    <w:p w14:paraId="20B8F135">
      <w:pPr>
        <w:spacing w:line="460" w:lineRule="atLeast"/>
        <w:ind w:firstLine="431" w:firstLineChars="196"/>
        <w:rPr>
          <w:rFonts w:hint="eastAsia" w:ascii="宋体" w:eastAsia="宋体"/>
          <w:b w:val="0"/>
          <w:color w:val="auto"/>
          <w:sz w:val="22"/>
          <w:szCs w:val="22"/>
          <w:highlight w:val="none"/>
        </w:rPr>
      </w:pPr>
      <w:r>
        <w:rPr>
          <w:rFonts w:hint="eastAsia" w:ascii="宋体" w:eastAsia="宋体"/>
          <w:b w:val="0"/>
          <w:color w:val="auto"/>
          <w:sz w:val="22"/>
          <w:szCs w:val="22"/>
          <w:highlight w:val="none"/>
        </w:rPr>
        <w:t>2、中标供应商投标文件；</w:t>
      </w:r>
    </w:p>
    <w:p w14:paraId="16DAF7AB">
      <w:pPr>
        <w:pStyle w:val="29"/>
        <w:spacing w:line="460" w:lineRule="atLeast"/>
        <w:ind w:firstLine="323" w:firstLineChars="147"/>
        <w:rPr>
          <w:rFonts w:hint="eastAsia" w:hAnsi="宋体" w:eastAsia="宋体"/>
          <w:b w:val="0"/>
          <w:color w:val="auto"/>
          <w:sz w:val="22"/>
          <w:szCs w:val="22"/>
          <w:highlight w:val="none"/>
        </w:rPr>
      </w:pPr>
      <w:r>
        <w:rPr>
          <w:rFonts w:hint="eastAsia" w:hAnsi="宋体" w:eastAsia="宋体"/>
          <w:b w:val="0"/>
          <w:color w:val="auto"/>
          <w:sz w:val="22"/>
          <w:szCs w:val="22"/>
          <w:highlight w:val="none"/>
        </w:rPr>
        <w:t xml:space="preserve"> 3、询标纪要和承诺书。</w:t>
      </w:r>
    </w:p>
    <w:p w14:paraId="0321E0A4">
      <w:pPr>
        <w:spacing w:line="460" w:lineRule="atLeast"/>
        <w:ind w:firstLine="440" w:firstLineChars="200"/>
        <w:rPr>
          <w:rFonts w:ascii="宋体" w:eastAsia="宋体"/>
          <w:b w:val="0"/>
          <w:color w:val="auto"/>
          <w:sz w:val="22"/>
          <w:szCs w:val="22"/>
          <w:highlight w:val="none"/>
        </w:rPr>
      </w:pPr>
      <w:r>
        <w:rPr>
          <w:rFonts w:hint="eastAsia" w:ascii="宋体" w:eastAsia="宋体"/>
          <w:b w:val="0"/>
          <w:color w:val="auto"/>
          <w:sz w:val="22"/>
          <w:szCs w:val="22"/>
          <w:highlight w:val="none"/>
        </w:rPr>
        <w:t>4、中标通知书</w:t>
      </w:r>
    </w:p>
    <w:p w14:paraId="463F88F6">
      <w:pPr>
        <w:pStyle w:val="29"/>
        <w:spacing w:line="460" w:lineRule="atLeast"/>
        <w:ind w:firstLine="323" w:firstLineChars="147"/>
        <w:rPr>
          <w:rFonts w:hint="eastAsia" w:hAnsi="宋体" w:eastAsia="宋体"/>
          <w:b w:val="0"/>
          <w:color w:val="auto"/>
          <w:sz w:val="22"/>
          <w:szCs w:val="22"/>
          <w:highlight w:val="none"/>
        </w:rPr>
      </w:pPr>
    </w:p>
    <w:p w14:paraId="7612D8D8">
      <w:pPr>
        <w:pStyle w:val="29"/>
        <w:spacing w:line="460" w:lineRule="atLeast"/>
        <w:ind w:firstLine="323" w:firstLineChars="147"/>
        <w:rPr>
          <w:rFonts w:hint="eastAsia" w:hAnsi="宋体" w:eastAsia="宋体"/>
          <w:b w:val="0"/>
          <w:color w:val="auto"/>
          <w:sz w:val="22"/>
          <w:szCs w:val="22"/>
          <w:highlight w:val="none"/>
        </w:rPr>
      </w:pPr>
      <w:r>
        <w:rPr>
          <w:rFonts w:hint="eastAsia" w:hAnsi="宋体" w:eastAsia="宋体"/>
          <w:b w:val="0"/>
          <w:color w:val="auto"/>
          <w:sz w:val="22"/>
          <w:szCs w:val="22"/>
          <w:highlight w:val="none"/>
        </w:rPr>
        <w:t>采购人：（印章）                     供应商：（印章）</w:t>
      </w:r>
    </w:p>
    <w:p w14:paraId="5F5EA69B">
      <w:pPr>
        <w:pStyle w:val="29"/>
        <w:spacing w:line="460" w:lineRule="atLeast"/>
        <w:ind w:firstLine="323" w:firstLineChars="147"/>
        <w:rPr>
          <w:rFonts w:hint="eastAsia" w:hAnsi="宋体" w:eastAsia="宋体"/>
          <w:b w:val="0"/>
          <w:color w:val="auto"/>
          <w:sz w:val="22"/>
          <w:szCs w:val="22"/>
          <w:highlight w:val="none"/>
        </w:rPr>
      </w:pPr>
      <w:r>
        <w:rPr>
          <w:rFonts w:hint="eastAsia" w:hAnsi="宋体" w:eastAsia="宋体"/>
          <w:b w:val="0"/>
          <w:color w:val="auto"/>
          <w:sz w:val="22"/>
          <w:szCs w:val="22"/>
          <w:highlight w:val="none"/>
        </w:rPr>
        <w:t>全权代表:（签字）                    全权代表:（签字）</w:t>
      </w:r>
    </w:p>
    <w:p w14:paraId="162FC60E">
      <w:pPr>
        <w:pStyle w:val="29"/>
        <w:spacing w:line="460" w:lineRule="atLeast"/>
        <w:ind w:firstLine="323" w:firstLineChars="147"/>
        <w:rPr>
          <w:rFonts w:hint="eastAsia" w:hAnsi="宋体" w:eastAsia="宋体"/>
          <w:b w:val="0"/>
          <w:color w:val="auto"/>
          <w:sz w:val="22"/>
          <w:szCs w:val="22"/>
          <w:highlight w:val="none"/>
        </w:rPr>
      </w:pPr>
      <w:r>
        <w:rPr>
          <w:rFonts w:hint="eastAsia" w:hAnsi="宋体" w:eastAsia="宋体"/>
          <w:b w:val="0"/>
          <w:color w:val="auto"/>
          <w:sz w:val="22"/>
          <w:szCs w:val="22"/>
          <w:highlight w:val="none"/>
        </w:rPr>
        <w:t>地址：                               地址：</w:t>
      </w:r>
    </w:p>
    <w:p w14:paraId="76A845E4">
      <w:pPr>
        <w:pStyle w:val="29"/>
        <w:spacing w:line="460" w:lineRule="atLeast"/>
        <w:ind w:firstLine="323" w:firstLineChars="147"/>
        <w:rPr>
          <w:rFonts w:hint="eastAsia" w:hAnsi="宋体"/>
          <w:color w:val="auto"/>
          <w:highlight w:val="none"/>
        </w:rPr>
      </w:pPr>
      <w:r>
        <w:rPr>
          <w:rFonts w:hint="eastAsia" w:hAnsi="宋体" w:eastAsia="宋体"/>
          <w:b w:val="0"/>
          <w:color w:val="auto"/>
          <w:sz w:val="22"/>
          <w:szCs w:val="22"/>
          <w:highlight w:val="none"/>
        </w:rPr>
        <w:t>电话：                               电话：</w:t>
      </w:r>
      <w:r>
        <w:rPr>
          <w:rFonts w:hint="eastAsia" w:eastAsia="宋体"/>
          <w:b w:val="0"/>
          <w:color w:val="auto"/>
          <w:sz w:val="22"/>
          <w:szCs w:val="22"/>
          <w:highlight w:val="none"/>
        </w:rPr>
        <w:t xml:space="preserve">   </w:t>
      </w:r>
    </w:p>
    <w:p w14:paraId="2EA8B980">
      <w:pPr>
        <w:pStyle w:val="29"/>
        <w:spacing w:line="460" w:lineRule="atLeast"/>
        <w:ind w:firstLine="323" w:firstLineChars="147"/>
        <w:rPr>
          <w:rFonts w:hint="eastAsia" w:ascii="宋体" w:hAnsi="宋体"/>
          <w:color w:val="auto"/>
          <w:highlight w:val="none"/>
        </w:rPr>
      </w:pPr>
      <w:r>
        <w:rPr>
          <w:rFonts w:hint="eastAsia" w:ascii="宋体" w:eastAsia="宋体"/>
          <w:b w:val="0"/>
          <w:color w:val="auto"/>
          <w:sz w:val="22"/>
          <w:szCs w:val="22"/>
          <w:highlight w:val="none"/>
        </w:rPr>
        <w:t xml:space="preserve">   </w:t>
      </w:r>
    </w:p>
    <w:p w14:paraId="0E3B5792">
      <w:pPr>
        <w:widowControl/>
        <w:jc w:val="center"/>
        <w:rPr>
          <w:rFonts w:hint="eastAsia" w:ascii="宋体" w:hAnsi="宋体"/>
          <w:color w:val="auto"/>
          <w:sz w:val="36"/>
          <w:szCs w:val="20"/>
          <w:highlight w:val="none"/>
        </w:rPr>
      </w:pPr>
    </w:p>
    <w:p w14:paraId="263EBB3A">
      <w:pPr>
        <w:widowControl/>
        <w:jc w:val="center"/>
        <w:rPr>
          <w:rFonts w:ascii="宋体" w:hAnsi="宋体"/>
          <w:color w:val="auto"/>
          <w:sz w:val="36"/>
          <w:szCs w:val="20"/>
          <w:highlight w:val="none"/>
        </w:rPr>
      </w:pPr>
      <w:r>
        <w:rPr>
          <w:rFonts w:hint="eastAsia" w:ascii="宋体" w:hAnsi="宋体"/>
          <w:color w:val="auto"/>
          <w:sz w:val="36"/>
          <w:szCs w:val="20"/>
          <w:highlight w:val="none"/>
        </w:rPr>
        <w:t>第六部分 应提交的有关格式范例</w:t>
      </w:r>
    </w:p>
    <w:p w14:paraId="68A70321">
      <w:pPr>
        <w:spacing w:line="360" w:lineRule="auto"/>
        <w:jc w:val="center"/>
        <w:outlineLvl w:val="0"/>
        <w:rPr>
          <w:rFonts w:ascii="宋体" w:hAnsi="宋体"/>
          <w:color w:val="auto"/>
          <w:sz w:val="36"/>
          <w:szCs w:val="36"/>
          <w:highlight w:val="none"/>
        </w:rPr>
      </w:pPr>
    </w:p>
    <w:p w14:paraId="3C1EB6FE">
      <w:pPr>
        <w:spacing w:line="360" w:lineRule="auto"/>
        <w:jc w:val="center"/>
        <w:outlineLvl w:val="0"/>
        <w:rPr>
          <w:rFonts w:ascii="宋体" w:hAnsi="宋体"/>
          <w:color w:val="auto"/>
          <w:sz w:val="36"/>
          <w:szCs w:val="36"/>
          <w:highlight w:val="none"/>
        </w:rPr>
      </w:pPr>
      <w:r>
        <w:rPr>
          <w:rFonts w:hint="eastAsia" w:ascii="宋体" w:hAnsi="宋体"/>
          <w:color w:val="auto"/>
          <w:sz w:val="36"/>
          <w:szCs w:val="36"/>
          <w:highlight w:val="none"/>
        </w:rPr>
        <w:t>资格文件部分</w:t>
      </w:r>
    </w:p>
    <w:p w14:paraId="5171A960">
      <w:pPr>
        <w:spacing w:line="360" w:lineRule="auto"/>
        <w:jc w:val="center"/>
        <w:outlineLvl w:val="0"/>
        <w:rPr>
          <w:rFonts w:ascii="宋体" w:hAnsi="宋体"/>
          <w:color w:val="auto"/>
          <w:sz w:val="36"/>
          <w:szCs w:val="36"/>
          <w:highlight w:val="none"/>
        </w:rPr>
      </w:pPr>
      <w:r>
        <w:rPr>
          <w:rFonts w:hint="eastAsia" w:ascii="宋体" w:hAnsi="宋体"/>
          <w:color w:val="auto"/>
          <w:sz w:val="36"/>
          <w:szCs w:val="36"/>
          <w:highlight w:val="none"/>
        </w:rPr>
        <w:t>目录</w:t>
      </w:r>
    </w:p>
    <w:p w14:paraId="43E910EC">
      <w:pPr>
        <w:spacing w:line="360" w:lineRule="auto"/>
        <w:jc w:val="center"/>
        <w:outlineLvl w:val="0"/>
        <w:rPr>
          <w:rFonts w:ascii="宋体" w:hAnsi="宋体"/>
          <w:color w:val="auto"/>
          <w:sz w:val="36"/>
          <w:szCs w:val="36"/>
          <w:highlight w:val="none"/>
        </w:rPr>
      </w:pPr>
    </w:p>
    <w:p w14:paraId="70ACA078">
      <w:pPr>
        <w:snapToGrid w:val="0"/>
        <w:spacing w:line="360" w:lineRule="auto"/>
        <w:rPr>
          <w:rFonts w:ascii="宋体" w:hAnsi="宋体"/>
          <w:color w:val="auto"/>
          <w:sz w:val="24"/>
          <w:highlight w:val="none"/>
        </w:rPr>
      </w:pPr>
      <w:r>
        <w:rPr>
          <w:rFonts w:hint="eastAsia" w:ascii="宋体" w:hAnsi="宋体"/>
          <w:color w:val="auto"/>
          <w:sz w:val="24"/>
          <w:highlight w:val="none"/>
        </w:rPr>
        <w:t>（1）符合参加政府采购活动应当具备的一般条件的承诺函……………（页码）</w:t>
      </w:r>
    </w:p>
    <w:p w14:paraId="57180FB2">
      <w:pPr>
        <w:snapToGrid w:val="0"/>
        <w:spacing w:line="360" w:lineRule="auto"/>
        <w:rPr>
          <w:rFonts w:ascii="宋体" w:hAnsi="宋体"/>
          <w:color w:val="auto"/>
          <w:sz w:val="24"/>
          <w:highlight w:val="none"/>
        </w:rPr>
      </w:pPr>
      <w:r>
        <w:rPr>
          <w:rFonts w:hint="eastAsia" w:ascii="宋体" w:hAnsi="宋体"/>
          <w:snapToGrid w:val="0"/>
          <w:color w:val="auto"/>
          <w:kern w:val="28"/>
          <w:sz w:val="24"/>
          <w:szCs w:val="20"/>
          <w:highlight w:val="none"/>
        </w:rPr>
        <w:t>（2）联合协议</w:t>
      </w:r>
      <w:r>
        <w:rPr>
          <w:rFonts w:hint="eastAsia" w:ascii="宋体" w:hAnsi="宋体"/>
          <w:color w:val="auto"/>
          <w:sz w:val="24"/>
          <w:highlight w:val="none"/>
        </w:rPr>
        <w:t>………………………………………………………………（页码）</w:t>
      </w:r>
    </w:p>
    <w:p w14:paraId="1EB22294">
      <w:pPr>
        <w:snapToGrid w:val="0"/>
        <w:spacing w:line="360" w:lineRule="auto"/>
        <w:rPr>
          <w:rFonts w:ascii="宋体" w:hAnsi="宋体"/>
          <w:color w:val="auto"/>
          <w:sz w:val="24"/>
          <w:highlight w:val="none"/>
        </w:rPr>
      </w:pPr>
      <w:r>
        <w:rPr>
          <w:rFonts w:hint="eastAsia" w:ascii="宋体" w:hAnsi="宋体"/>
          <w:color w:val="auto"/>
          <w:sz w:val="24"/>
          <w:highlight w:val="none"/>
        </w:rPr>
        <w:t>（</w:t>
      </w:r>
      <w:r>
        <w:rPr>
          <w:rFonts w:ascii="宋体" w:hAnsi="宋体"/>
          <w:color w:val="auto"/>
          <w:sz w:val="24"/>
          <w:highlight w:val="none"/>
        </w:rPr>
        <w:t>3</w:t>
      </w:r>
      <w:r>
        <w:rPr>
          <w:rFonts w:hint="eastAsia" w:ascii="宋体" w:hAnsi="宋体"/>
          <w:color w:val="auto"/>
          <w:sz w:val="24"/>
          <w:highlight w:val="none"/>
        </w:rPr>
        <w:t>）落实政府采购政策需满足的资格要求………………………………（页码）</w:t>
      </w:r>
    </w:p>
    <w:p w14:paraId="376981BA">
      <w:pPr>
        <w:snapToGrid w:val="0"/>
        <w:spacing w:line="360" w:lineRule="auto"/>
        <w:rPr>
          <w:rFonts w:ascii="宋体" w:hAnsi="宋体"/>
          <w:color w:val="auto"/>
          <w:sz w:val="24"/>
          <w:highlight w:val="none"/>
        </w:rPr>
      </w:pPr>
      <w:r>
        <w:rPr>
          <w:rFonts w:hint="eastAsia" w:ascii="宋体" w:hAnsi="宋体"/>
          <w:color w:val="auto"/>
          <w:sz w:val="24"/>
          <w:highlight w:val="none"/>
        </w:rPr>
        <w:t>（</w:t>
      </w:r>
      <w:r>
        <w:rPr>
          <w:rFonts w:ascii="宋体" w:hAnsi="宋体"/>
          <w:color w:val="auto"/>
          <w:sz w:val="24"/>
          <w:highlight w:val="none"/>
        </w:rPr>
        <w:t>4</w:t>
      </w:r>
      <w:r>
        <w:rPr>
          <w:rFonts w:hint="eastAsia" w:ascii="宋体" w:hAnsi="宋体"/>
          <w:color w:val="auto"/>
          <w:sz w:val="24"/>
          <w:highlight w:val="none"/>
        </w:rPr>
        <w:t>）本项目的特定资格要求………………………………………………（页码）</w:t>
      </w:r>
    </w:p>
    <w:p w14:paraId="031E4858">
      <w:pPr>
        <w:snapToGrid w:val="0"/>
        <w:spacing w:line="360" w:lineRule="auto"/>
        <w:ind w:firstLine="482" w:firstLineChars="200"/>
        <w:rPr>
          <w:rFonts w:ascii="宋体" w:hAnsi="宋体"/>
          <w:color w:val="auto"/>
          <w:sz w:val="24"/>
          <w:highlight w:val="none"/>
        </w:rPr>
      </w:pPr>
    </w:p>
    <w:p w14:paraId="69BDD80C">
      <w:pPr>
        <w:spacing w:line="360" w:lineRule="auto"/>
        <w:ind w:firstLine="482" w:firstLineChars="200"/>
        <w:rPr>
          <w:rFonts w:ascii="宋体" w:hAnsi="宋体"/>
          <w:color w:val="auto"/>
          <w:sz w:val="24"/>
          <w:highlight w:val="none"/>
        </w:rPr>
      </w:pPr>
    </w:p>
    <w:p w14:paraId="1D845308">
      <w:pPr>
        <w:snapToGrid w:val="0"/>
        <w:spacing w:line="360" w:lineRule="auto"/>
        <w:ind w:right="480"/>
        <w:jc w:val="center"/>
        <w:rPr>
          <w:rFonts w:ascii="宋体" w:hAnsi="宋体"/>
          <w:color w:val="auto"/>
          <w:sz w:val="32"/>
          <w:szCs w:val="32"/>
          <w:highlight w:val="none"/>
        </w:rPr>
      </w:pPr>
      <w:r>
        <w:rPr>
          <w:rFonts w:hint="eastAsia" w:ascii="宋体" w:hAnsi="宋体"/>
          <w:color w:val="auto"/>
          <w:sz w:val="24"/>
          <w:highlight w:val="none"/>
        </w:rPr>
        <w:br w:type="page"/>
      </w:r>
      <w:r>
        <w:rPr>
          <w:rFonts w:hint="eastAsia" w:ascii="宋体" w:hAnsi="宋体"/>
          <w:color w:val="auto"/>
          <w:sz w:val="32"/>
          <w:szCs w:val="32"/>
          <w:highlight w:val="none"/>
        </w:rPr>
        <w:t xml:space="preserve">  一、 符合参加政府采购活动应当具备的一般条件的承诺函</w:t>
      </w:r>
    </w:p>
    <w:p w14:paraId="5881BD99">
      <w:pPr>
        <w:snapToGrid w:val="0"/>
        <w:spacing w:line="360" w:lineRule="auto"/>
        <w:rPr>
          <w:rFonts w:ascii="宋体" w:hAnsi="宋体"/>
          <w:color w:val="auto"/>
          <w:sz w:val="24"/>
          <w:highlight w:val="none"/>
        </w:rPr>
      </w:pPr>
      <w:r>
        <w:rPr>
          <w:rFonts w:hint="eastAsia" w:ascii="宋体" w:hAnsi="宋体"/>
          <w:color w:val="auto"/>
          <w:sz w:val="24"/>
          <w:highlight w:val="none"/>
          <w:u w:val="single"/>
          <w:lang w:eastAsia="zh-CN"/>
        </w:rPr>
        <w:t>永嘉县瓯北第三小学</w:t>
      </w:r>
      <w:r>
        <w:rPr>
          <w:rFonts w:hint="eastAsia" w:ascii="宋体" w:hAnsi="宋体"/>
          <w:color w:val="auto"/>
          <w:sz w:val="24"/>
          <w:highlight w:val="none"/>
          <w:u w:val="single"/>
        </w:rPr>
        <w:t>、</w:t>
      </w:r>
      <w:r>
        <w:rPr>
          <w:rFonts w:hint="eastAsia" w:ascii="宋体" w:hAnsi="宋体"/>
          <w:color w:val="auto"/>
          <w:sz w:val="24"/>
          <w:highlight w:val="none"/>
          <w:u w:val="single"/>
          <w:lang w:eastAsia="zh-CN"/>
        </w:rPr>
        <w:t>温州国利项目管理咨询有限公司</w:t>
      </w:r>
      <w:r>
        <w:rPr>
          <w:rFonts w:hint="eastAsia" w:ascii="宋体" w:hAnsi="宋体"/>
          <w:color w:val="auto"/>
          <w:sz w:val="24"/>
          <w:highlight w:val="none"/>
        </w:rPr>
        <w:t>：</w:t>
      </w:r>
    </w:p>
    <w:p w14:paraId="0FA45A8D">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我方参与</w:t>
      </w:r>
      <w:r>
        <w:rPr>
          <w:rFonts w:hint="eastAsia" w:ascii="宋体" w:hAnsi="宋体"/>
          <w:color w:val="auto"/>
          <w:sz w:val="24"/>
          <w:highlight w:val="none"/>
          <w:u w:val="single"/>
          <w:lang w:eastAsia="zh-CN"/>
        </w:rPr>
        <w:t>永嘉县瓯北第三小学科学实验室设备</w:t>
      </w:r>
      <w:r>
        <w:rPr>
          <w:rFonts w:hint="eastAsia" w:ascii="宋体" w:hAnsi="宋体"/>
          <w:color w:val="auto"/>
          <w:sz w:val="24"/>
          <w:highlight w:val="none"/>
          <w:u w:val="single"/>
        </w:rPr>
        <w:t>项目</w:t>
      </w:r>
      <w:r>
        <w:rPr>
          <w:rFonts w:hint="eastAsia" w:ascii="宋体" w:hAnsi="宋体"/>
          <w:color w:val="auto"/>
          <w:sz w:val="24"/>
          <w:highlight w:val="none"/>
        </w:rPr>
        <w:t>【</w:t>
      </w:r>
      <w:r>
        <w:rPr>
          <w:rFonts w:hint="eastAsia" w:ascii="宋体" w:hAnsi="宋体"/>
          <w:color w:val="auto"/>
          <w:sz w:val="24"/>
          <w:highlight w:val="none"/>
          <w:u w:val="single"/>
        </w:rPr>
        <w:t>招标编号：</w:t>
      </w:r>
      <w:r>
        <w:rPr>
          <w:rFonts w:hint="eastAsia" w:ascii="宋体" w:hAnsi="宋体"/>
          <w:color w:val="auto"/>
          <w:sz w:val="24"/>
          <w:highlight w:val="none"/>
        </w:rPr>
        <w:t>】政府采购活动，郑重承诺：</w:t>
      </w:r>
    </w:p>
    <w:p w14:paraId="63249D94">
      <w:pPr>
        <w:snapToGrid w:val="0"/>
        <w:spacing w:line="360" w:lineRule="auto"/>
        <w:ind w:firstLine="361" w:firstLineChars="150"/>
        <w:rPr>
          <w:rFonts w:ascii="宋体" w:hAnsi="宋体"/>
          <w:color w:val="auto"/>
          <w:sz w:val="24"/>
          <w:highlight w:val="none"/>
        </w:rPr>
      </w:pPr>
      <w:r>
        <w:rPr>
          <w:rFonts w:hint="eastAsia" w:ascii="宋体" w:hAnsi="宋体"/>
          <w:color w:val="auto"/>
          <w:sz w:val="24"/>
          <w:highlight w:val="none"/>
        </w:rPr>
        <w:t>（一）具备《中华人民共和国政府采购法》第二十二条第一款规定的条件：</w:t>
      </w:r>
    </w:p>
    <w:p w14:paraId="2689B39F">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1、具有独立承担民事责任的能力；</w:t>
      </w:r>
    </w:p>
    <w:p w14:paraId="744A2412">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 xml:space="preserve">2、具有良好的商业信誉和健全的财务会计制度； </w:t>
      </w:r>
    </w:p>
    <w:p w14:paraId="4F0C07AA">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3、具有履行合同所必需的设备和专业技术能力；</w:t>
      </w:r>
    </w:p>
    <w:p w14:paraId="7383A493">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4、有依法缴纳税收和社会保障资金的良好记录；</w:t>
      </w:r>
    </w:p>
    <w:p w14:paraId="383EF9D9">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5、参加政府采购活动前三年内，在经营活动中没有重大违法记录；</w:t>
      </w:r>
    </w:p>
    <w:p w14:paraId="52DA45E0">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6、具有法律、行政法规规定的其他条件。</w:t>
      </w:r>
    </w:p>
    <w:p w14:paraId="25DBCEFF">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（二）符合《中华人民共和国政府采购法》第二十二条规定的供应商资格要求及项目特定资格要求（如有）</w:t>
      </w:r>
    </w:p>
    <w:p w14:paraId="7C02FBBA">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（三）未被信用中国（www.creditchina.gov.cn)、中国政府采购网（www.ccgp.gov.cn）列入失信被执行人、重大税收违法案件当事人名单、政府采购严重违法失信行为记录名单。</w:t>
      </w:r>
    </w:p>
    <w:p w14:paraId="67E016B2">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（四）不存在以下情况：</w:t>
      </w:r>
    </w:p>
    <w:p w14:paraId="239FAB8B">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1、单位负责人为同一人或者存在直接控股、管理关系的不同供应商参加同一合同项下的政府采购活动的；</w:t>
      </w:r>
    </w:p>
    <w:p w14:paraId="70A3F386">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2、为采购项目提供整体设计、规范编制或者项目管理、监理、检测等服务后再参加该采购项目的其他采购活动的。</w:t>
      </w:r>
    </w:p>
    <w:p w14:paraId="5DCF44BC">
      <w:pPr>
        <w:snapToGrid w:val="0"/>
        <w:spacing w:line="360" w:lineRule="auto"/>
        <w:ind w:firstLine="5542" w:firstLineChars="2300"/>
        <w:rPr>
          <w:rFonts w:ascii="宋体" w:hAnsi="宋体"/>
          <w:color w:val="auto"/>
          <w:sz w:val="24"/>
          <w:highlight w:val="none"/>
        </w:rPr>
      </w:pPr>
      <w:r>
        <w:rPr>
          <w:rFonts w:hint="eastAsia" w:ascii="宋体" w:hAnsi="宋体"/>
          <w:color w:val="auto"/>
          <w:sz w:val="24"/>
          <w:highlight w:val="none"/>
          <w:lang w:val="zh-CN"/>
        </w:rPr>
        <w:t>投标人名称(电子签名)：</w:t>
      </w:r>
    </w:p>
    <w:p w14:paraId="2658746E">
      <w:pPr>
        <w:snapToGrid w:val="0"/>
        <w:spacing w:line="360" w:lineRule="auto"/>
        <w:rPr>
          <w:rFonts w:hint="eastAsia" w:ascii="宋体" w:hAnsi="宋体"/>
          <w:color w:val="auto"/>
          <w:sz w:val="24"/>
          <w:highlight w:val="none"/>
          <w:lang w:val="zh-CN"/>
        </w:rPr>
      </w:pPr>
      <w:r>
        <w:rPr>
          <w:rFonts w:hint="eastAsia" w:ascii="宋体" w:hAnsi="宋体"/>
          <w:color w:val="auto"/>
          <w:sz w:val="24"/>
          <w:highlight w:val="none"/>
          <w:lang w:val="zh-CN"/>
        </w:rPr>
        <w:t xml:space="preserve">                        </w:t>
      </w:r>
      <w:r>
        <w:rPr>
          <w:rFonts w:hint="eastAsia" w:ascii="宋体" w:hAnsi="宋体"/>
          <w:color w:val="auto"/>
          <w:sz w:val="24"/>
          <w:highlight w:val="none"/>
        </w:rPr>
        <w:t xml:space="preserve">                      </w:t>
      </w:r>
      <w:r>
        <w:rPr>
          <w:rFonts w:hint="eastAsia" w:ascii="宋体" w:hAnsi="宋体"/>
          <w:color w:val="auto"/>
          <w:sz w:val="24"/>
          <w:highlight w:val="none"/>
          <w:lang w:val="zh-CN"/>
        </w:rPr>
        <w:t>日期</w:t>
      </w:r>
      <w:r>
        <w:rPr>
          <w:rFonts w:hint="eastAsia" w:ascii="宋体" w:hAnsi="宋体"/>
          <w:color w:val="auto"/>
          <w:sz w:val="24"/>
          <w:highlight w:val="none"/>
        </w:rPr>
        <w:t xml:space="preserve">：  年  </w:t>
      </w:r>
      <w:r>
        <w:rPr>
          <w:rFonts w:hint="eastAsia" w:ascii="宋体" w:hAnsi="宋体"/>
          <w:color w:val="auto"/>
          <w:sz w:val="24"/>
          <w:highlight w:val="none"/>
          <w:lang w:val="zh-CN"/>
        </w:rPr>
        <w:t>月</w:t>
      </w:r>
      <w:r>
        <w:rPr>
          <w:rFonts w:hint="eastAsia" w:ascii="宋体" w:hAnsi="宋体"/>
          <w:color w:val="auto"/>
          <w:sz w:val="24"/>
          <w:highlight w:val="none"/>
        </w:rPr>
        <w:t xml:space="preserve">   </w:t>
      </w:r>
      <w:r>
        <w:rPr>
          <w:rFonts w:hint="eastAsia" w:ascii="宋体" w:hAnsi="宋体"/>
          <w:color w:val="auto"/>
          <w:sz w:val="24"/>
          <w:highlight w:val="none"/>
          <w:lang w:val="zh-CN"/>
        </w:rPr>
        <w:t>日</w:t>
      </w:r>
    </w:p>
    <w:p w14:paraId="164D2E41">
      <w:pPr>
        <w:rPr>
          <w:color w:val="auto"/>
          <w:highlight w:val="none"/>
        </w:rPr>
      </w:pPr>
    </w:p>
    <w:p w14:paraId="7402394B">
      <w:pPr>
        <w:snapToGrid w:val="0"/>
        <w:spacing w:line="360" w:lineRule="auto"/>
        <w:ind w:firstLine="361" w:firstLineChars="200"/>
        <w:rPr>
          <w:rFonts w:ascii="宋体" w:hAnsi="宋体"/>
          <w:color w:val="auto"/>
          <w:sz w:val="18"/>
          <w:szCs w:val="18"/>
          <w:highlight w:val="none"/>
        </w:rPr>
      </w:pPr>
      <w:r>
        <w:rPr>
          <w:rFonts w:hint="eastAsia" w:ascii="宋体" w:hAnsi="宋体" w:eastAsia="宋体" w:cs="仿宋_GB2312"/>
          <w:color w:val="auto"/>
          <w:sz w:val="18"/>
          <w:szCs w:val="18"/>
          <w:highlight w:val="none"/>
        </w:rPr>
        <w:t>注：根据《</w:t>
      </w:r>
      <w:r>
        <w:rPr>
          <w:rFonts w:ascii="宋体" w:hAnsi="宋体" w:eastAsia="宋体" w:cs="仿宋_GB2312"/>
          <w:color w:val="auto"/>
          <w:sz w:val="18"/>
          <w:szCs w:val="18"/>
          <w:highlight w:val="none"/>
        </w:rPr>
        <w:t>关于规范政府采购供应商资格设定及资格审查的通知</w:t>
      </w:r>
      <w:r>
        <w:rPr>
          <w:rFonts w:hint="eastAsia" w:ascii="宋体" w:hAnsi="宋体" w:eastAsia="宋体" w:cs="仿宋_GB2312"/>
          <w:color w:val="auto"/>
          <w:sz w:val="18"/>
          <w:szCs w:val="18"/>
          <w:highlight w:val="none"/>
        </w:rPr>
        <w:t>》（</w:t>
      </w:r>
      <w:r>
        <w:rPr>
          <w:rFonts w:ascii="宋体" w:hAnsi="宋体" w:eastAsia="宋体" w:cs="仿宋_GB2312"/>
          <w:color w:val="auto"/>
          <w:sz w:val="18"/>
          <w:szCs w:val="18"/>
          <w:highlight w:val="none"/>
        </w:rPr>
        <w:t>浙财采监[2013]24号</w:t>
      </w:r>
      <w:r>
        <w:rPr>
          <w:rFonts w:hint="eastAsia" w:ascii="宋体" w:hAnsi="宋体" w:eastAsia="宋体" w:cs="仿宋_GB2312"/>
          <w:color w:val="auto"/>
          <w:sz w:val="18"/>
          <w:szCs w:val="18"/>
          <w:highlight w:val="none"/>
        </w:rPr>
        <w:t>）的相关规定，金融、保险、通讯等特定行业的全国性企业所设立的区域性分支机构，以及个体工商户、个人独资企业、合伙企业，参与政府采购活动，如果已经依法办理了工商、税务和社保登记手续，</w:t>
      </w:r>
      <w:r>
        <w:rPr>
          <w:rFonts w:hint="eastAsia" w:ascii="宋体" w:hAnsi="宋体" w:eastAsia="宋体" w:cs="仿宋_GB2312"/>
          <w:color w:val="auto"/>
          <w:sz w:val="18"/>
          <w:szCs w:val="18"/>
          <w:highlight w:val="none"/>
          <w:u w:val="single"/>
        </w:rPr>
        <w:t>除提供上述《符合参加政府采购活动应当具备的一般条件的承诺函》外，还需提供下列材料：总公司（总机构）的授权书或提供房产权证或其他有效财产证明材料，证明其具备实际承担责任的能力和法定的缔结合同能力，可以独立参加政府采购活动，由单位负责人签署相关文件材料。</w:t>
      </w:r>
    </w:p>
    <w:p w14:paraId="533C25D4">
      <w:pPr>
        <w:widowControl/>
        <w:spacing w:line="360" w:lineRule="auto"/>
        <w:ind w:firstLine="643" w:firstLineChars="200"/>
        <w:jc w:val="center"/>
        <w:rPr>
          <w:rFonts w:hint="eastAsia" w:ascii="宋体" w:hAnsi="宋体"/>
          <w:color w:val="auto"/>
          <w:sz w:val="32"/>
          <w:szCs w:val="32"/>
          <w:highlight w:val="none"/>
        </w:rPr>
      </w:pPr>
    </w:p>
    <w:p w14:paraId="63ABB4D5">
      <w:pPr>
        <w:widowControl/>
        <w:spacing w:line="360" w:lineRule="auto"/>
        <w:ind w:firstLine="643" w:firstLineChars="200"/>
        <w:jc w:val="center"/>
        <w:rPr>
          <w:rFonts w:ascii="宋体" w:hAnsi="宋体"/>
          <w:color w:val="auto"/>
          <w:sz w:val="32"/>
          <w:szCs w:val="32"/>
          <w:highlight w:val="none"/>
        </w:rPr>
      </w:pPr>
      <w:r>
        <w:rPr>
          <w:rFonts w:hint="eastAsia" w:ascii="宋体" w:hAnsi="宋体"/>
          <w:color w:val="auto"/>
          <w:sz w:val="32"/>
          <w:szCs w:val="32"/>
          <w:highlight w:val="none"/>
        </w:rPr>
        <w:t>二、联合协议（如果有）</w:t>
      </w:r>
    </w:p>
    <w:p w14:paraId="51FF1C9C">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[以联合体形式投标的，提供联合协议（附件5）；本项目不接受联合体投标或者投标人不以联合体形式投标的，则不需要提供）]</w:t>
      </w:r>
    </w:p>
    <w:p w14:paraId="170063D1">
      <w:pPr>
        <w:snapToGrid w:val="0"/>
        <w:spacing w:line="360" w:lineRule="auto"/>
        <w:ind w:right="480"/>
        <w:jc w:val="center"/>
        <w:rPr>
          <w:rFonts w:ascii="宋体" w:hAnsi="宋体"/>
          <w:color w:val="auto"/>
          <w:sz w:val="32"/>
          <w:szCs w:val="32"/>
          <w:highlight w:val="none"/>
        </w:rPr>
      </w:pPr>
    </w:p>
    <w:p w14:paraId="4947B434">
      <w:pPr>
        <w:snapToGrid w:val="0"/>
        <w:spacing w:line="360" w:lineRule="auto"/>
        <w:ind w:right="480"/>
        <w:jc w:val="center"/>
        <w:rPr>
          <w:rFonts w:ascii="宋体" w:hAnsi="宋体"/>
          <w:color w:val="auto"/>
          <w:sz w:val="32"/>
          <w:szCs w:val="32"/>
          <w:highlight w:val="none"/>
        </w:rPr>
      </w:pPr>
    </w:p>
    <w:p w14:paraId="3702803C">
      <w:pPr>
        <w:snapToGrid w:val="0"/>
        <w:spacing w:line="360" w:lineRule="auto"/>
        <w:ind w:right="480"/>
        <w:jc w:val="center"/>
        <w:rPr>
          <w:rFonts w:ascii="宋体" w:hAnsi="宋体"/>
          <w:color w:val="auto"/>
          <w:sz w:val="32"/>
          <w:szCs w:val="32"/>
          <w:highlight w:val="none"/>
        </w:rPr>
      </w:pPr>
      <w:r>
        <w:rPr>
          <w:rFonts w:hint="eastAsia" w:ascii="宋体" w:hAnsi="宋体"/>
          <w:color w:val="auto"/>
          <w:sz w:val="32"/>
          <w:szCs w:val="32"/>
          <w:highlight w:val="none"/>
        </w:rPr>
        <w:t>三、落实政府采购政策需满足的资格要求</w:t>
      </w:r>
    </w:p>
    <w:p w14:paraId="231812A4">
      <w:pPr>
        <w:spacing w:line="360" w:lineRule="auto"/>
        <w:rPr>
          <w:rFonts w:ascii="宋体" w:hAnsi="宋体"/>
          <w:color w:val="auto"/>
          <w:sz w:val="24"/>
          <w:highlight w:val="none"/>
        </w:rPr>
      </w:pPr>
      <w:r>
        <w:rPr>
          <w:rFonts w:hint="eastAsia" w:ascii="宋体" w:hAnsi="宋体"/>
          <w:color w:val="auto"/>
          <w:sz w:val="24"/>
          <w:highlight w:val="none"/>
        </w:rPr>
        <w:t>（根据招标公告落实政府采购政策需满足的资格要求选择提供相应的材料；未要求的，无需提供）</w:t>
      </w:r>
    </w:p>
    <w:p w14:paraId="2E25E201">
      <w:pPr>
        <w:snapToGrid w:val="0"/>
        <w:spacing w:before="50" w:after="50" w:line="360" w:lineRule="auto"/>
        <w:ind w:firstLine="472" w:firstLineChars="196"/>
        <w:jc w:val="left"/>
        <w:rPr>
          <w:rFonts w:ascii="宋体" w:hAnsi="宋体"/>
          <w:color w:val="auto"/>
          <w:sz w:val="24"/>
          <w:highlight w:val="none"/>
        </w:rPr>
      </w:pPr>
      <w:r>
        <w:rPr>
          <w:rFonts w:hint="eastAsia" w:ascii="宋体" w:hAnsi="宋体"/>
          <w:color w:val="auto"/>
          <w:sz w:val="24"/>
          <w:highlight w:val="none"/>
        </w:rPr>
        <w:t>A.专门面向中小企业，投标供应商所投产品的</w:t>
      </w:r>
      <w:r>
        <w:rPr>
          <w:rFonts w:hint="eastAsia" w:ascii="宋体" w:hAnsi="宋体"/>
          <w:color w:val="auto"/>
          <w:sz w:val="24"/>
          <w:highlight w:val="none"/>
          <w:lang w:eastAsia="zh-CN"/>
        </w:rPr>
        <w:t>制造商</w:t>
      </w:r>
      <w:r>
        <w:rPr>
          <w:rFonts w:hint="eastAsia" w:ascii="宋体" w:hAnsi="宋体"/>
          <w:color w:val="auto"/>
          <w:sz w:val="24"/>
          <w:highlight w:val="none"/>
        </w:rPr>
        <w:t>为中小企业（或小微企业）的，提供相应的中小企业声明函（附件</w:t>
      </w:r>
      <w:r>
        <w:rPr>
          <w:rFonts w:ascii="宋体" w:hAnsi="宋体"/>
          <w:color w:val="auto"/>
          <w:sz w:val="24"/>
          <w:highlight w:val="none"/>
        </w:rPr>
        <w:t>7</w:t>
      </w:r>
      <w:r>
        <w:rPr>
          <w:rFonts w:hint="eastAsia" w:ascii="宋体" w:hAnsi="宋体"/>
          <w:color w:val="auto"/>
          <w:sz w:val="24"/>
          <w:highlight w:val="none"/>
        </w:rPr>
        <w:t xml:space="preserve">）。 </w:t>
      </w:r>
    </w:p>
    <w:p w14:paraId="5550DF06">
      <w:pPr>
        <w:widowControl/>
        <w:spacing w:line="360" w:lineRule="auto"/>
        <w:ind w:firstLine="480"/>
        <w:jc w:val="left"/>
        <w:rPr>
          <w:rFonts w:ascii="宋体" w:hAnsi="宋体"/>
          <w:color w:val="auto"/>
          <w:sz w:val="24"/>
          <w:highlight w:val="none"/>
        </w:rPr>
      </w:pPr>
    </w:p>
    <w:p w14:paraId="2B2C5AB4">
      <w:pPr>
        <w:widowControl/>
        <w:spacing w:line="360" w:lineRule="auto"/>
        <w:ind w:firstLine="472" w:firstLineChars="196"/>
        <w:jc w:val="left"/>
        <w:rPr>
          <w:rFonts w:ascii="宋体" w:hAnsi="宋体"/>
          <w:color w:val="auto"/>
          <w:sz w:val="24"/>
          <w:highlight w:val="none"/>
        </w:rPr>
      </w:pPr>
      <w:r>
        <w:rPr>
          <w:rFonts w:hint="eastAsia" w:ascii="宋体" w:hAnsi="宋体"/>
          <w:color w:val="auto"/>
          <w:sz w:val="24"/>
          <w:highlight w:val="none"/>
        </w:rPr>
        <w:t>B.要求以联合体形式参加的，提供联合协议（附件</w:t>
      </w:r>
      <w:r>
        <w:rPr>
          <w:rFonts w:ascii="宋体" w:hAnsi="宋体"/>
          <w:color w:val="auto"/>
          <w:sz w:val="24"/>
          <w:highlight w:val="none"/>
        </w:rPr>
        <w:t>5</w:t>
      </w:r>
      <w:r>
        <w:rPr>
          <w:rFonts w:hint="eastAsia" w:ascii="宋体" w:hAnsi="宋体"/>
          <w:color w:val="auto"/>
          <w:sz w:val="24"/>
          <w:highlight w:val="none"/>
        </w:rPr>
        <w:t>）和中小企业声明函（附件</w:t>
      </w:r>
      <w:r>
        <w:rPr>
          <w:rFonts w:ascii="宋体" w:hAnsi="宋体"/>
          <w:color w:val="auto"/>
          <w:sz w:val="24"/>
          <w:highlight w:val="none"/>
        </w:rPr>
        <w:t>7</w:t>
      </w:r>
      <w:r>
        <w:rPr>
          <w:rFonts w:hint="eastAsia" w:ascii="宋体" w:hAnsi="宋体"/>
          <w:color w:val="auto"/>
          <w:sz w:val="24"/>
          <w:highlight w:val="none"/>
        </w:rPr>
        <w:t>），联合协议中中小企业合同金额应当达到招标公告载明的比例；如果供应商本身提供所有标的均由中小企业承接的，</w:t>
      </w:r>
      <w:r>
        <w:rPr>
          <w:rFonts w:hint="eastAsia" w:ascii="宋体" w:hAnsi="宋体"/>
          <w:color w:val="auto"/>
          <w:spacing w:val="8"/>
          <w:sz w:val="24"/>
          <w:highlight w:val="none"/>
        </w:rPr>
        <w:t>并相应达到了前述比例要求，</w:t>
      </w:r>
      <w:r>
        <w:rPr>
          <w:rFonts w:hint="eastAsia" w:ascii="宋体" w:hAnsi="宋体"/>
          <w:color w:val="auto"/>
          <w:sz w:val="24"/>
          <w:highlight w:val="none"/>
        </w:rPr>
        <w:t>视同符合了资格条件，无需再与其他中小企业组成联合体参加政府采购活动，无需提供联合协议。</w:t>
      </w:r>
    </w:p>
    <w:p w14:paraId="650DF286">
      <w:pPr>
        <w:snapToGrid w:val="0"/>
        <w:spacing w:before="50" w:after="50" w:line="360" w:lineRule="auto"/>
        <w:jc w:val="center"/>
        <w:rPr>
          <w:rFonts w:ascii="宋体" w:hAnsi="宋体"/>
          <w:color w:val="auto"/>
          <w:sz w:val="24"/>
          <w:highlight w:val="none"/>
        </w:rPr>
      </w:pPr>
      <w:r>
        <w:rPr>
          <w:rFonts w:hint="eastAsia" w:ascii="宋体" w:hAnsi="宋体"/>
          <w:color w:val="auto"/>
          <w:sz w:val="24"/>
          <w:highlight w:val="none"/>
        </w:rPr>
        <w:t xml:space="preserve">    </w:t>
      </w:r>
    </w:p>
    <w:p w14:paraId="001C6D29">
      <w:pPr>
        <w:spacing w:line="360" w:lineRule="auto"/>
        <w:ind w:firstLine="482" w:firstLineChars="200"/>
        <w:rPr>
          <w:rFonts w:ascii="宋体" w:hAnsi="宋体"/>
          <w:color w:val="auto"/>
          <w:sz w:val="24"/>
          <w:highlight w:val="none"/>
        </w:rPr>
      </w:pPr>
      <w:r>
        <w:rPr>
          <w:rFonts w:hint="eastAsia" w:ascii="宋体" w:hAnsi="宋体"/>
          <w:color w:val="auto"/>
          <w:sz w:val="24"/>
          <w:highlight w:val="none"/>
        </w:rPr>
        <w:t>C、要求合同分包的，提供分包意向协议（附件6）和中小企业声明函（附件</w:t>
      </w:r>
      <w:r>
        <w:rPr>
          <w:rFonts w:ascii="宋体" w:hAnsi="宋体"/>
          <w:color w:val="auto"/>
          <w:sz w:val="24"/>
          <w:highlight w:val="none"/>
        </w:rPr>
        <w:t>7</w:t>
      </w:r>
      <w:r>
        <w:rPr>
          <w:rFonts w:hint="eastAsia" w:ascii="宋体" w:hAnsi="宋体"/>
          <w:color w:val="auto"/>
          <w:sz w:val="24"/>
          <w:highlight w:val="none"/>
        </w:rPr>
        <w:t>），分包意向协议中中小企业合同金额应当达到招标公告载明的比例；如果供应商本身提供所有标的均由中小企业承接的，</w:t>
      </w:r>
      <w:r>
        <w:rPr>
          <w:rFonts w:hint="eastAsia" w:ascii="宋体" w:hAnsi="宋体"/>
          <w:color w:val="auto"/>
          <w:spacing w:val="8"/>
          <w:sz w:val="24"/>
          <w:highlight w:val="none"/>
        </w:rPr>
        <w:t>并相应达到了前述比例要求，</w:t>
      </w:r>
      <w:r>
        <w:rPr>
          <w:rFonts w:hint="eastAsia" w:ascii="宋体" w:hAnsi="宋体"/>
          <w:color w:val="auto"/>
          <w:sz w:val="24"/>
          <w:highlight w:val="none"/>
        </w:rPr>
        <w:t>视同符合了资格条件，无需再向中小企业分包，无需提供分包意向协议。</w:t>
      </w:r>
    </w:p>
    <w:p w14:paraId="4C8F55D3">
      <w:pPr>
        <w:widowControl/>
        <w:spacing w:line="360" w:lineRule="auto"/>
        <w:ind w:left="150"/>
        <w:jc w:val="center"/>
        <w:rPr>
          <w:rFonts w:ascii="宋体" w:hAnsi="宋体"/>
          <w:color w:val="auto"/>
          <w:sz w:val="32"/>
          <w:szCs w:val="32"/>
          <w:highlight w:val="none"/>
        </w:rPr>
      </w:pPr>
    </w:p>
    <w:p w14:paraId="39EF39EE">
      <w:pPr>
        <w:widowControl/>
        <w:spacing w:line="360" w:lineRule="auto"/>
        <w:ind w:left="150"/>
        <w:jc w:val="center"/>
        <w:rPr>
          <w:rFonts w:ascii="宋体" w:hAnsi="宋体"/>
          <w:color w:val="auto"/>
          <w:sz w:val="32"/>
          <w:szCs w:val="32"/>
          <w:highlight w:val="none"/>
        </w:rPr>
      </w:pPr>
      <w:r>
        <w:rPr>
          <w:rFonts w:hint="eastAsia" w:ascii="宋体" w:hAnsi="宋体"/>
          <w:color w:val="auto"/>
          <w:sz w:val="32"/>
          <w:szCs w:val="32"/>
          <w:highlight w:val="none"/>
        </w:rPr>
        <w:t>四、本项目的特定资格要求</w:t>
      </w:r>
    </w:p>
    <w:p w14:paraId="2429F964">
      <w:pPr>
        <w:spacing w:line="360" w:lineRule="auto"/>
        <w:jc w:val="center"/>
        <w:rPr>
          <w:rFonts w:ascii="宋体" w:hAnsi="宋体"/>
          <w:color w:val="auto"/>
          <w:sz w:val="24"/>
          <w:highlight w:val="none"/>
        </w:rPr>
      </w:pPr>
      <w:r>
        <w:rPr>
          <w:rFonts w:hint="eastAsia" w:ascii="宋体" w:hAnsi="宋体"/>
          <w:color w:val="auto"/>
          <w:sz w:val="24"/>
          <w:highlight w:val="none"/>
        </w:rPr>
        <w:t>（根据招标公告本项目的特定资格要求提供相应的材料；未要求的，无需提供）</w:t>
      </w:r>
    </w:p>
    <w:p w14:paraId="5011E025">
      <w:pPr>
        <w:rPr>
          <w:rFonts w:ascii="宋体" w:hAnsi="宋体"/>
          <w:color w:val="auto"/>
          <w:highlight w:val="none"/>
        </w:rPr>
      </w:pPr>
    </w:p>
    <w:p w14:paraId="0D9A2166">
      <w:pPr>
        <w:snapToGrid w:val="0"/>
        <w:spacing w:line="360" w:lineRule="auto"/>
        <w:ind w:right="480"/>
        <w:jc w:val="center"/>
        <w:rPr>
          <w:rFonts w:ascii="宋体" w:hAnsi="宋体"/>
          <w:color w:val="auto"/>
          <w:sz w:val="32"/>
          <w:szCs w:val="32"/>
          <w:highlight w:val="none"/>
        </w:rPr>
      </w:pPr>
    </w:p>
    <w:p w14:paraId="725E64FC">
      <w:pPr>
        <w:widowControl/>
        <w:jc w:val="left"/>
        <w:rPr>
          <w:rFonts w:ascii="宋体" w:hAnsi="宋体"/>
          <w:color w:val="auto"/>
          <w:sz w:val="36"/>
          <w:szCs w:val="36"/>
          <w:highlight w:val="none"/>
        </w:rPr>
      </w:pPr>
      <w:r>
        <w:rPr>
          <w:rFonts w:ascii="宋体" w:hAnsi="宋体"/>
          <w:color w:val="auto"/>
          <w:sz w:val="36"/>
          <w:szCs w:val="36"/>
          <w:highlight w:val="none"/>
        </w:rPr>
        <w:br w:type="page"/>
      </w:r>
    </w:p>
    <w:p w14:paraId="2BF24481">
      <w:pPr>
        <w:spacing w:line="360" w:lineRule="auto"/>
        <w:ind w:right="420"/>
        <w:jc w:val="center"/>
        <w:rPr>
          <w:rFonts w:ascii="宋体" w:hAnsi="宋体"/>
          <w:color w:val="auto"/>
          <w:sz w:val="36"/>
          <w:szCs w:val="36"/>
          <w:highlight w:val="none"/>
        </w:rPr>
      </w:pPr>
      <w:r>
        <w:rPr>
          <w:rFonts w:hint="eastAsia" w:ascii="宋体" w:hAnsi="宋体"/>
          <w:color w:val="auto"/>
          <w:sz w:val="36"/>
          <w:szCs w:val="36"/>
          <w:highlight w:val="none"/>
        </w:rPr>
        <w:t>商务技术文件部分</w:t>
      </w:r>
    </w:p>
    <w:p w14:paraId="1EE51CCB">
      <w:pPr>
        <w:spacing w:line="360" w:lineRule="auto"/>
        <w:jc w:val="center"/>
        <w:outlineLvl w:val="0"/>
        <w:rPr>
          <w:rFonts w:ascii="宋体" w:hAnsi="宋体"/>
          <w:color w:val="auto"/>
          <w:sz w:val="24"/>
          <w:highlight w:val="none"/>
        </w:rPr>
      </w:pPr>
    </w:p>
    <w:p w14:paraId="631A46DD">
      <w:pPr>
        <w:spacing w:line="360" w:lineRule="auto"/>
        <w:jc w:val="center"/>
        <w:outlineLvl w:val="0"/>
        <w:rPr>
          <w:rFonts w:ascii="宋体" w:hAnsi="宋体"/>
          <w:color w:val="auto"/>
          <w:sz w:val="28"/>
          <w:szCs w:val="28"/>
          <w:highlight w:val="none"/>
        </w:rPr>
      </w:pPr>
      <w:r>
        <w:rPr>
          <w:rFonts w:hint="eastAsia" w:ascii="宋体" w:hAnsi="宋体"/>
          <w:color w:val="auto"/>
          <w:sz w:val="28"/>
          <w:szCs w:val="28"/>
          <w:highlight w:val="none"/>
        </w:rPr>
        <w:t>目录</w:t>
      </w:r>
    </w:p>
    <w:p w14:paraId="11A57F8E">
      <w:pPr>
        <w:numPr>
          <w:ilvl w:val="0"/>
          <w:numId w:val="0"/>
        </w:numPr>
        <w:snapToGrid w:val="0"/>
        <w:spacing w:line="360" w:lineRule="auto"/>
        <w:rPr>
          <w:rFonts w:hint="eastAsia" w:ascii="宋体" w:hAnsi="宋体"/>
          <w:color w:val="auto"/>
          <w:highlight w:val="none"/>
        </w:rPr>
      </w:pPr>
      <w:r>
        <w:rPr>
          <w:rFonts w:hint="eastAsia" w:ascii="宋体" w:hAnsi="宋体"/>
          <w:color w:val="auto"/>
          <w:sz w:val="24"/>
          <w:highlight w:val="none"/>
          <w:lang w:eastAsia="zh-CN"/>
        </w:rPr>
        <w:t>（</w:t>
      </w:r>
      <w:r>
        <w:rPr>
          <w:rFonts w:hint="eastAsia" w:ascii="宋体" w:hAnsi="宋体"/>
          <w:color w:val="auto"/>
          <w:sz w:val="24"/>
          <w:highlight w:val="none"/>
          <w:lang w:val="en-US" w:eastAsia="zh-CN"/>
        </w:rPr>
        <w:t>1</w:t>
      </w:r>
      <w:r>
        <w:rPr>
          <w:rFonts w:hint="eastAsia" w:ascii="宋体" w:hAnsi="宋体"/>
          <w:color w:val="auto"/>
          <w:sz w:val="24"/>
          <w:highlight w:val="none"/>
          <w:lang w:eastAsia="zh-CN"/>
        </w:rPr>
        <w:t>）</w:t>
      </w:r>
      <w:r>
        <w:rPr>
          <w:rFonts w:hint="eastAsia" w:ascii="宋体" w:hAnsi="宋体"/>
          <w:color w:val="auto"/>
          <w:sz w:val="24"/>
          <w:highlight w:val="none"/>
        </w:rPr>
        <w:t>投标函</w:t>
      </w:r>
      <w:r>
        <w:rPr>
          <w:rFonts w:hint="eastAsia" w:ascii="宋体" w:hAnsi="宋体"/>
          <w:color w:val="auto"/>
          <w:highlight w:val="none"/>
        </w:rPr>
        <w:t>……………………………………………………………………………………（页码）</w:t>
      </w:r>
    </w:p>
    <w:p w14:paraId="1966EBEB">
      <w:pPr>
        <w:numPr>
          <w:ilvl w:val="0"/>
          <w:numId w:val="0"/>
        </w:numPr>
        <w:snapToGrid w:val="0"/>
        <w:spacing w:line="360" w:lineRule="auto"/>
        <w:rPr>
          <w:rFonts w:ascii="宋体" w:hAnsi="宋体"/>
          <w:color w:val="auto"/>
          <w:highlight w:val="none"/>
        </w:rPr>
      </w:pPr>
      <w:r>
        <w:rPr>
          <w:rFonts w:hint="eastAsia" w:ascii="宋体" w:hAnsi="宋体"/>
          <w:color w:val="auto"/>
          <w:sz w:val="24"/>
          <w:highlight w:val="none"/>
        </w:rPr>
        <w:t>（2）授权委托书或法定代表人（单位负责人、自然人本人）身份证明</w:t>
      </w:r>
      <w:r>
        <w:rPr>
          <w:rFonts w:hint="eastAsia" w:ascii="宋体" w:hAnsi="宋体"/>
          <w:color w:val="auto"/>
          <w:highlight w:val="none"/>
        </w:rPr>
        <w:t>………（页码）</w:t>
      </w:r>
    </w:p>
    <w:p w14:paraId="4BECF5C9">
      <w:pPr>
        <w:snapToGrid w:val="0"/>
        <w:spacing w:line="360" w:lineRule="auto"/>
        <w:rPr>
          <w:rFonts w:ascii="宋体" w:hAnsi="宋体"/>
          <w:color w:val="auto"/>
          <w:highlight w:val="none"/>
        </w:rPr>
      </w:pPr>
      <w:r>
        <w:rPr>
          <w:rFonts w:hint="eastAsia" w:ascii="宋体" w:hAnsi="宋体"/>
          <w:color w:val="auto"/>
          <w:sz w:val="24"/>
          <w:highlight w:val="none"/>
        </w:rPr>
        <w:t>（</w:t>
      </w:r>
      <w:r>
        <w:rPr>
          <w:rFonts w:ascii="宋体" w:hAnsi="宋体"/>
          <w:color w:val="auto"/>
          <w:sz w:val="24"/>
          <w:highlight w:val="none"/>
        </w:rPr>
        <w:t>3</w:t>
      </w:r>
      <w:r>
        <w:rPr>
          <w:rFonts w:hint="eastAsia" w:ascii="宋体" w:hAnsi="宋体"/>
          <w:color w:val="auto"/>
          <w:sz w:val="24"/>
          <w:highlight w:val="none"/>
        </w:rPr>
        <w:t>）分包意向协议</w:t>
      </w:r>
      <w:r>
        <w:rPr>
          <w:rFonts w:hint="eastAsia" w:ascii="宋体" w:hAnsi="宋体"/>
          <w:color w:val="auto"/>
          <w:highlight w:val="none"/>
        </w:rPr>
        <w:t>…………………………………………………………………………  （页码）</w:t>
      </w:r>
    </w:p>
    <w:p w14:paraId="51C8A82A">
      <w:pPr>
        <w:snapToGrid w:val="0"/>
        <w:spacing w:line="360" w:lineRule="auto"/>
        <w:rPr>
          <w:rFonts w:ascii="宋体" w:hAnsi="宋体"/>
          <w:color w:val="auto"/>
          <w:highlight w:val="none"/>
        </w:rPr>
      </w:pPr>
      <w:r>
        <w:rPr>
          <w:rFonts w:hint="eastAsia" w:ascii="宋体" w:hAnsi="宋体"/>
          <w:color w:val="auto"/>
          <w:sz w:val="24"/>
          <w:highlight w:val="none"/>
        </w:rPr>
        <w:t>（</w:t>
      </w:r>
      <w:r>
        <w:rPr>
          <w:rFonts w:ascii="宋体" w:hAnsi="宋体"/>
          <w:color w:val="auto"/>
          <w:sz w:val="24"/>
          <w:highlight w:val="none"/>
        </w:rPr>
        <w:t>4</w:t>
      </w:r>
      <w:r>
        <w:rPr>
          <w:rFonts w:hint="eastAsia" w:ascii="宋体" w:hAnsi="宋体"/>
          <w:color w:val="auto"/>
          <w:sz w:val="24"/>
          <w:highlight w:val="none"/>
        </w:rPr>
        <w:t>）符合性审查资料</w:t>
      </w:r>
      <w:r>
        <w:rPr>
          <w:rFonts w:hint="eastAsia" w:ascii="宋体" w:hAnsi="宋体"/>
          <w:color w:val="auto"/>
          <w:highlight w:val="none"/>
        </w:rPr>
        <w:t>………………………………………………………………………  （页码）</w:t>
      </w:r>
    </w:p>
    <w:p w14:paraId="6415E523">
      <w:pPr>
        <w:snapToGrid w:val="0"/>
        <w:spacing w:line="360" w:lineRule="auto"/>
        <w:rPr>
          <w:rFonts w:hint="eastAsia" w:ascii="宋体" w:hAnsi="宋体"/>
          <w:color w:val="auto"/>
          <w:highlight w:val="none"/>
        </w:rPr>
      </w:pPr>
      <w:r>
        <w:rPr>
          <w:rFonts w:hint="eastAsia" w:ascii="宋体" w:hAnsi="宋体"/>
          <w:color w:val="auto"/>
          <w:sz w:val="24"/>
          <w:highlight w:val="none"/>
        </w:rPr>
        <w:t>（</w:t>
      </w:r>
      <w:r>
        <w:rPr>
          <w:rFonts w:ascii="宋体" w:hAnsi="宋体"/>
          <w:color w:val="auto"/>
          <w:sz w:val="24"/>
          <w:highlight w:val="none"/>
        </w:rPr>
        <w:t>5</w:t>
      </w:r>
      <w:r>
        <w:rPr>
          <w:rFonts w:hint="eastAsia" w:ascii="宋体" w:hAnsi="宋体"/>
          <w:color w:val="auto"/>
          <w:sz w:val="24"/>
          <w:highlight w:val="none"/>
        </w:rPr>
        <w:t>）评标标准相应的商务技术资料</w:t>
      </w:r>
      <w:r>
        <w:rPr>
          <w:rFonts w:hint="eastAsia" w:ascii="宋体" w:hAnsi="宋体"/>
          <w:color w:val="auto"/>
          <w:highlight w:val="none"/>
        </w:rPr>
        <w:t>………………………………………………………（页码）</w:t>
      </w:r>
    </w:p>
    <w:p w14:paraId="34034B35">
      <w:pPr>
        <w:snapToGrid w:val="0"/>
        <w:spacing w:line="360" w:lineRule="auto"/>
        <w:rPr>
          <w:rFonts w:hint="eastAsia" w:ascii="宋体" w:hAnsi="宋体"/>
          <w:color w:val="auto"/>
          <w:highlight w:val="none"/>
        </w:rPr>
      </w:pPr>
      <w:r>
        <w:rPr>
          <w:rFonts w:hint="eastAsia" w:ascii="宋体" w:hAnsi="宋体"/>
          <w:color w:val="auto"/>
          <w:sz w:val="24"/>
          <w:highlight w:val="none"/>
        </w:rPr>
        <w:t>（</w:t>
      </w:r>
      <w:r>
        <w:rPr>
          <w:rFonts w:ascii="宋体" w:hAnsi="宋体"/>
          <w:color w:val="auto"/>
          <w:sz w:val="24"/>
          <w:highlight w:val="none"/>
        </w:rPr>
        <w:t>6</w:t>
      </w:r>
      <w:r>
        <w:rPr>
          <w:rFonts w:hint="eastAsia" w:ascii="宋体" w:hAnsi="宋体"/>
          <w:color w:val="auto"/>
          <w:sz w:val="24"/>
          <w:highlight w:val="none"/>
        </w:rPr>
        <w:t>）投标标的清单</w:t>
      </w:r>
      <w:r>
        <w:rPr>
          <w:rFonts w:hint="eastAsia" w:ascii="宋体" w:hAnsi="宋体"/>
          <w:color w:val="auto"/>
          <w:highlight w:val="none"/>
        </w:rPr>
        <w:t>……………………………………………………………………………（页码）</w:t>
      </w:r>
    </w:p>
    <w:p w14:paraId="600E14DA">
      <w:pPr>
        <w:snapToGrid w:val="0"/>
        <w:spacing w:line="360" w:lineRule="auto"/>
        <w:rPr>
          <w:rFonts w:ascii="宋体" w:hAnsi="宋体"/>
          <w:color w:val="auto"/>
          <w:highlight w:val="none"/>
        </w:rPr>
      </w:pPr>
      <w:r>
        <w:rPr>
          <w:rFonts w:hint="eastAsia" w:ascii="宋体" w:hAnsi="宋体"/>
          <w:color w:val="auto"/>
          <w:sz w:val="24"/>
          <w:highlight w:val="none"/>
        </w:rPr>
        <w:t>（</w:t>
      </w:r>
      <w:r>
        <w:rPr>
          <w:rFonts w:ascii="宋体" w:hAnsi="宋体"/>
          <w:color w:val="auto"/>
          <w:sz w:val="24"/>
          <w:highlight w:val="none"/>
        </w:rPr>
        <w:t>7</w:t>
      </w:r>
      <w:r>
        <w:rPr>
          <w:rFonts w:hint="eastAsia" w:ascii="宋体" w:hAnsi="宋体"/>
          <w:color w:val="auto"/>
          <w:sz w:val="24"/>
          <w:highlight w:val="none"/>
        </w:rPr>
        <w:t>）商务技术偏离表</w:t>
      </w:r>
      <w:r>
        <w:rPr>
          <w:rFonts w:hint="eastAsia" w:ascii="宋体" w:hAnsi="宋体"/>
          <w:color w:val="auto"/>
          <w:highlight w:val="none"/>
        </w:rPr>
        <w:t>………………………………………………………………………  （页码）</w:t>
      </w:r>
    </w:p>
    <w:p w14:paraId="3E2FCFE5">
      <w:pPr>
        <w:snapToGrid w:val="0"/>
        <w:spacing w:line="360" w:lineRule="auto"/>
        <w:rPr>
          <w:rFonts w:hint="eastAsia" w:ascii="宋体" w:hAnsi="宋体"/>
          <w:color w:val="auto"/>
          <w:highlight w:val="none"/>
        </w:rPr>
      </w:pPr>
      <w:r>
        <w:rPr>
          <w:rFonts w:hint="eastAsia" w:ascii="宋体" w:hAnsi="宋体" w:cs="仿宋"/>
          <w:color w:val="auto"/>
          <w:sz w:val="24"/>
          <w:highlight w:val="none"/>
          <w:lang w:val="zh-CN"/>
        </w:rPr>
        <w:t>（</w:t>
      </w:r>
      <w:r>
        <w:rPr>
          <w:rFonts w:hint="eastAsia" w:ascii="宋体" w:hAnsi="宋体" w:cs="仿宋"/>
          <w:color w:val="auto"/>
          <w:sz w:val="24"/>
          <w:highlight w:val="none"/>
        </w:rPr>
        <w:t>8</w:t>
      </w:r>
      <w:r>
        <w:rPr>
          <w:rFonts w:hint="eastAsia" w:ascii="宋体" w:hAnsi="宋体" w:cs="仿宋"/>
          <w:color w:val="auto"/>
          <w:sz w:val="24"/>
          <w:highlight w:val="none"/>
          <w:lang w:val="zh-CN"/>
        </w:rPr>
        <w:t>）</w:t>
      </w:r>
      <w:r>
        <w:rPr>
          <w:rFonts w:hint="eastAsia" w:ascii="宋体" w:hAnsi="宋体" w:cs="仿宋"/>
          <w:color w:val="auto"/>
          <w:sz w:val="24"/>
          <w:highlight w:val="none"/>
        </w:rPr>
        <w:t xml:space="preserve">认为需要的其他文件资料或说明…………………………………………   </w:t>
      </w:r>
      <w:r>
        <w:rPr>
          <w:rFonts w:hint="eastAsia" w:ascii="宋体" w:hAnsi="宋体"/>
          <w:color w:val="auto"/>
          <w:highlight w:val="none"/>
        </w:rPr>
        <w:t>（页码）</w:t>
      </w:r>
    </w:p>
    <w:p w14:paraId="705FAACC">
      <w:pPr>
        <w:snapToGrid w:val="0"/>
        <w:spacing w:line="360" w:lineRule="auto"/>
        <w:rPr>
          <w:rFonts w:ascii="宋体" w:hAnsi="宋体"/>
          <w:color w:val="auto"/>
          <w:highlight w:val="none"/>
        </w:rPr>
      </w:pPr>
      <w:r>
        <w:rPr>
          <w:rFonts w:hint="eastAsia" w:ascii="宋体" w:hAnsi="宋体"/>
          <w:color w:val="auto"/>
          <w:sz w:val="24"/>
          <w:highlight w:val="none"/>
          <w:lang w:val="zh-CN"/>
        </w:rPr>
        <w:t>（</w:t>
      </w:r>
      <w:r>
        <w:rPr>
          <w:rFonts w:hint="eastAsia" w:ascii="宋体" w:hAnsi="宋体"/>
          <w:color w:val="auto"/>
          <w:sz w:val="24"/>
          <w:highlight w:val="none"/>
        </w:rPr>
        <w:t>9</w:t>
      </w:r>
      <w:r>
        <w:rPr>
          <w:rFonts w:hint="eastAsia" w:ascii="宋体" w:hAnsi="宋体"/>
          <w:color w:val="auto"/>
          <w:sz w:val="24"/>
          <w:highlight w:val="none"/>
          <w:lang w:val="zh-CN"/>
        </w:rPr>
        <w:t>）政府采购供应商廉洁自律承诺书</w:t>
      </w:r>
      <w:r>
        <w:rPr>
          <w:rFonts w:hint="eastAsia" w:ascii="宋体" w:hAnsi="宋体"/>
          <w:color w:val="auto"/>
          <w:highlight w:val="none"/>
        </w:rPr>
        <w:t>…………………………………………………  （页码）</w:t>
      </w:r>
    </w:p>
    <w:p w14:paraId="64A7B776">
      <w:pPr>
        <w:snapToGrid w:val="0"/>
        <w:spacing w:line="360" w:lineRule="auto"/>
        <w:jc w:val="center"/>
        <w:rPr>
          <w:rFonts w:ascii="宋体" w:hAnsi="宋体"/>
          <w:color w:val="auto"/>
          <w:sz w:val="32"/>
          <w:szCs w:val="32"/>
          <w:highlight w:val="none"/>
          <w:lang w:val="zh-CN"/>
        </w:rPr>
      </w:pPr>
    </w:p>
    <w:p w14:paraId="180843F2">
      <w:pPr>
        <w:snapToGrid w:val="0"/>
        <w:spacing w:line="360" w:lineRule="auto"/>
        <w:jc w:val="center"/>
        <w:rPr>
          <w:rFonts w:ascii="宋体" w:hAnsi="宋体"/>
          <w:color w:val="auto"/>
          <w:sz w:val="32"/>
          <w:szCs w:val="32"/>
          <w:highlight w:val="none"/>
          <w:lang w:val="zh-CN"/>
        </w:rPr>
      </w:pPr>
    </w:p>
    <w:p w14:paraId="758F982B">
      <w:pPr>
        <w:snapToGrid w:val="0"/>
        <w:spacing w:line="360" w:lineRule="auto"/>
        <w:jc w:val="center"/>
        <w:rPr>
          <w:rFonts w:ascii="宋体" w:hAnsi="宋体"/>
          <w:color w:val="auto"/>
          <w:sz w:val="32"/>
          <w:szCs w:val="32"/>
          <w:highlight w:val="none"/>
          <w:lang w:val="zh-CN"/>
        </w:rPr>
      </w:pPr>
    </w:p>
    <w:p w14:paraId="62F6CD09">
      <w:pPr>
        <w:snapToGrid w:val="0"/>
        <w:spacing w:line="360" w:lineRule="auto"/>
        <w:jc w:val="center"/>
        <w:rPr>
          <w:rFonts w:ascii="宋体" w:hAnsi="宋体"/>
          <w:color w:val="auto"/>
          <w:sz w:val="32"/>
          <w:szCs w:val="32"/>
          <w:highlight w:val="none"/>
          <w:lang w:val="zh-CN"/>
        </w:rPr>
      </w:pPr>
    </w:p>
    <w:p w14:paraId="4DD0AEC6">
      <w:pPr>
        <w:snapToGrid w:val="0"/>
        <w:spacing w:line="360" w:lineRule="auto"/>
        <w:jc w:val="center"/>
        <w:rPr>
          <w:rFonts w:ascii="宋体" w:hAnsi="宋体"/>
          <w:color w:val="auto"/>
          <w:sz w:val="32"/>
          <w:szCs w:val="32"/>
          <w:highlight w:val="none"/>
          <w:lang w:val="zh-CN"/>
        </w:rPr>
      </w:pPr>
    </w:p>
    <w:p w14:paraId="2A8C494D">
      <w:pPr>
        <w:snapToGrid w:val="0"/>
        <w:spacing w:line="360" w:lineRule="auto"/>
        <w:jc w:val="center"/>
        <w:rPr>
          <w:rFonts w:ascii="宋体" w:hAnsi="宋体"/>
          <w:color w:val="auto"/>
          <w:sz w:val="32"/>
          <w:szCs w:val="32"/>
          <w:highlight w:val="none"/>
          <w:lang w:val="zh-CN"/>
        </w:rPr>
      </w:pPr>
    </w:p>
    <w:p w14:paraId="0B6743DC">
      <w:pPr>
        <w:snapToGrid w:val="0"/>
        <w:spacing w:line="360" w:lineRule="auto"/>
        <w:jc w:val="center"/>
        <w:rPr>
          <w:rFonts w:ascii="宋体" w:hAnsi="宋体"/>
          <w:color w:val="auto"/>
          <w:sz w:val="32"/>
          <w:szCs w:val="32"/>
          <w:highlight w:val="none"/>
          <w:lang w:val="zh-CN"/>
        </w:rPr>
      </w:pPr>
    </w:p>
    <w:p w14:paraId="3CE3C14D">
      <w:pPr>
        <w:snapToGrid w:val="0"/>
        <w:spacing w:line="360" w:lineRule="auto"/>
        <w:jc w:val="center"/>
        <w:rPr>
          <w:rFonts w:ascii="宋体" w:hAnsi="宋体"/>
          <w:color w:val="auto"/>
          <w:sz w:val="32"/>
          <w:szCs w:val="32"/>
          <w:highlight w:val="none"/>
          <w:lang w:val="zh-CN"/>
        </w:rPr>
      </w:pPr>
    </w:p>
    <w:p w14:paraId="36C322A8">
      <w:pPr>
        <w:snapToGrid w:val="0"/>
        <w:spacing w:line="360" w:lineRule="auto"/>
        <w:jc w:val="center"/>
        <w:rPr>
          <w:rFonts w:ascii="宋体" w:hAnsi="宋体"/>
          <w:color w:val="auto"/>
          <w:sz w:val="32"/>
          <w:szCs w:val="32"/>
          <w:highlight w:val="none"/>
          <w:lang w:val="zh-CN"/>
        </w:rPr>
      </w:pPr>
    </w:p>
    <w:p w14:paraId="0048482E">
      <w:pPr>
        <w:widowControl/>
        <w:jc w:val="left"/>
        <w:rPr>
          <w:rFonts w:ascii="宋体" w:hAnsi="宋体"/>
          <w:color w:val="auto"/>
          <w:sz w:val="32"/>
          <w:szCs w:val="32"/>
          <w:highlight w:val="none"/>
        </w:rPr>
      </w:pPr>
    </w:p>
    <w:p w14:paraId="19450C76">
      <w:pPr>
        <w:snapToGrid w:val="0"/>
        <w:spacing w:line="360" w:lineRule="auto"/>
        <w:jc w:val="center"/>
        <w:outlineLvl w:val="0"/>
        <w:rPr>
          <w:rFonts w:hint="eastAsia" w:ascii="宋体" w:hAnsi="宋体"/>
          <w:color w:val="auto"/>
          <w:sz w:val="32"/>
          <w:szCs w:val="32"/>
          <w:highlight w:val="none"/>
        </w:rPr>
      </w:pPr>
    </w:p>
    <w:p w14:paraId="240C2E98">
      <w:pPr>
        <w:snapToGrid w:val="0"/>
        <w:spacing w:line="360" w:lineRule="auto"/>
        <w:jc w:val="center"/>
        <w:outlineLvl w:val="0"/>
        <w:rPr>
          <w:rFonts w:hint="eastAsia" w:ascii="宋体" w:hAnsi="宋体"/>
          <w:color w:val="auto"/>
          <w:sz w:val="32"/>
          <w:szCs w:val="32"/>
          <w:highlight w:val="none"/>
        </w:rPr>
      </w:pPr>
    </w:p>
    <w:p w14:paraId="557795C5">
      <w:pPr>
        <w:rPr>
          <w:rFonts w:hint="eastAsia" w:ascii="宋体" w:hAnsi="宋体"/>
          <w:color w:val="auto"/>
          <w:sz w:val="32"/>
          <w:szCs w:val="32"/>
          <w:highlight w:val="none"/>
        </w:rPr>
      </w:pPr>
      <w:r>
        <w:rPr>
          <w:rFonts w:hint="eastAsia" w:ascii="宋体" w:hAnsi="宋体"/>
          <w:color w:val="auto"/>
          <w:sz w:val="32"/>
          <w:szCs w:val="32"/>
          <w:highlight w:val="none"/>
        </w:rPr>
        <w:br w:type="page"/>
      </w:r>
    </w:p>
    <w:p w14:paraId="23C79D40">
      <w:pPr>
        <w:snapToGrid w:val="0"/>
        <w:spacing w:line="360" w:lineRule="auto"/>
        <w:jc w:val="center"/>
        <w:outlineLvl w:val="0"/>
        <w:rPr>
          <w:rFonts w:ascii="宋体" w:hAnsi="宋体"/>
          <w:color w:val="auto"/>
          <w:sz w:val="32"/>
          <w:szCs w:val="32"/>
          <w:highlight w:val="none"/>
        </w:rPr>
      </w:pPr>
      <w:r>
        <w:rPr>
          <w:rFonts w:hint="eastAsia" w:ascii="宋体" w:hAnsi="宋体"/>
          <w:color w:val="auto"/>
          <w:sz w:val="32"/>
          <w:szCs w:val="32"/>
          <w:highlight w:val="none"/>
        </w:rPr>
        <w:t>一、投标函</w:t>
      </w:r>
    </w:p>
    <w:p w14:paraId="6B4F45B2">
      <w:pPr>
        <w:keepNext w:val="0"/>
        <w:keepLines w:val="0"/>
        <w:pageBreakBefore w:val="0"/>
        <w:widowControl w:val="0"/>
        <w:kinsoku/>
        <w:wordWrap/>
        <w:overflowPunct/>
        <w:topLinePunct w:val="0"/>
        <w:autoSpaceDE/>
        <w:autoSpaceDN/>
        <w:bidi w:val="0"/>
        <w:adjustRightInd/>
        <w:snapToGrid w:val="0"/>
        <w:spacing w:line="460" w:lineRule="atLeast"/>
        <w:textAlignment w:val="auto"/>
        <w:rPr>
          <w:rFonts w:ascii="宋体" w:hAnsi="宋体"/>
          <w:color w:val="auto"/>
          <w:sz w:val="24"/>
          <w:highlight w:val="none"/>
        </w:rPr>
      </w:pPr>
      <w:r>
        <w:rPr>
          <w:rFonts w:hint="eastAsia" w:ascii="宋体" w:hAnsi="宋体"/>
          <w:color w:val="auto"/>
          <w:sz w:val="24"/>
          <w:highlight w:val="none"/>
          <w:u w:val="single"/>
          <w:lang w:eastAsia="zh-CN"/>
        </w:rPr>
        <w:t>永嘉县瓯北第三小学</w:t>
      </w:r>
      <w:r>
        <w:rPr>
          <w:rFonts w:hint="eastAsia" w:ascii="宋体" w:hAnsi="宋体"/>
          <w:color w:val="auto"/>
          <w:sz w:val="24"/>
          <w:highlight w:val="none"/>
          <w:u w:val="single"/>
        </w:rPr>
        <w:t>、</w:t>
      </w:r>
      <w:r>
        <w:rPr>
          <w:rFonts w:hint="eastAsia" w:ascii="宋体" w:hAnsi="宋体"/>
          <w:color w:val="auto"/>
          <w:sz w:val="24"/>
          <w:highlight w:val="none"/>
          <w:u w:val="single"/>
          <w:lang w:eastAsia="zh-CN"/>
        </w:rPr>
        <w:t>温州国利项目管理咨询有限公司</w:t>
      </w:r>
      <w:r>
        <w:rPr>
          <w:rFonts w:hint="eastAsia" w:ascii="宋体" w:hAnsi="宋体"/>
          <w:color w:val="auto"/>
          <w:sz w:val="24"/>
          <w:highlight w:val="none"/>
        </w:rPr>
        <w:t>：</w:t>
      </w:r>
    </w:p>
    <w:p w14:paraId="3BF6DDB9">
      <w:pPr>
        <w:keepNext w:val="0"/>
        <w:keepLines w:val="0"/>
        <w:pageBreakBefore w:val="0"/>
        <w:widowControl w:val="0"/>
        <w:kinsoku/>
        <w:wordWrap/>
        <w:overflowPunct/>
        <w:topLinePunct w:val="0"/>
        <w:autoSpaceDE/>
        <w:autoSpaceDN/>
        <w:bidi w:val="0"/>
        <w:adjustRightInd/>
        <w:snapToGrid w:val="0"/>
        <w:spacing w:line="460" w:lineRule="atLeast"/>
        <w:ind w:firstLine="482" w:firstLineChars="200"/>
        <w:textAlignment w:val="auto"/>
        <w:rPr>
          <w:rFonts w:ascii="宋体" w:hAnsi="宋体"/>
          <w:color w:val="auto"/>
          <w:sz w:val="24"/>
          <w:highlight w:val="none"/>
        </w:rPr>
      </w:pPr>
      <w:r>
        <w:rPr>
          <w:rFonts w:hint="eastAsia" w:ascii="宋体" w:hAnsi="宋体"/>
          <w:color w:val="auto"/>
          <w:sz w:val="24"/>
          <w:highlight w:val="none"/>
        </w:rPr>
        <w:t>我方参加你方组织的</w:t>
      </w:r>
      <w:r>
        <w:rPr>
          <w:rFonts w:hint="eastAsia" w:ascii="宋体" w:hAnsi="宋体"/>
          <w:color w:val="auto"/>
          <w:sz w:val="24"/>
          <w:highlight w:val="none"/>
          <w:u w:val="single"/>
          <w:lang w:eastAsia="zh-CN"/>
        </w:rPr>
        <w:t>永嘉县瓯北第三小学科学实验室设备</w:t>
      </w:r>
      <w:r>
        <w:rPr>
          <w:rFonts w:hint="eastAsia" w:ascii="宋体" w:hAnsi="宋体"/>
          <w:color w:val="auto"/>
          <w:sz w:val="24"/>
          <w:highlight w:val="none"/>
          <w:u w:val="single"/>
        </w:rPr>
        <w:t>项目</w:t>
      </w:r>
      <w:r>
        <w:rPr>
          <w:rFonts w:hint="eastAsia" w:ascii="宋体" w:hAnsi="宋体"/>
          <w:color w:val="auto"/>
          <w:sz w:val="24"/>
          <w:highlight w:val="none"/>
        </w:rPr>
        <w:t>【</w:t>
      </w:r>
      <w:r>
        <w:rPr>
          <w:rFonts w:hint="eastAsia" w:ascii="宋体" w:hAnsi="宋体"/>
          <w:color w:val="auto"/>
          <w:sz w:val="24"/>
          <w:highlight w:val="none"/>
          <w:u w:val="single"/>
        </w:rPr>
        <w:t>招标编号：</w:t>
      </w:r>
      <w:r>
        <w:rPr>
          <w:rFonts w:hint="eastAsia" w:ascii="宋体" w:hAnsi="宋体"/>
          <w:color w:val="auto"/>
          <w:sz w:val="24"/>
          <w:highlight w:val="none"/>
        </w:rPr>
        <w:t>】招标的有关活动，并对此项目进行投标。为此：</w:t>
      </w:r>
    </w:p>
    <w:p w14:paraId="3197B047">
      <w:pPr>
        <w:keepNext w:val="0"/>
        <w:keepLines w:val="0"/>
        <w:pageBreakBefore w:val="0"/>
        <w:widowControl w:val="0"/>
        <w:kinsoku/>
        <w:wordWrap/>
        <w:overflowPunct/>
        <w:topLinePunct w:val="0"/>
        <w:autoSpaceDE/>
        <w:autoSpaceDN/>
        <w:bidi w:val="0"/>
        <w:adjustRightInd/>
        <w:snapToGrid w:val="0"/>
        <w:spacing w:line="460" w:lineRule="atLeast"/>
        <w:ind w:firstLine="482" w:firstLineChars="200"/>
        <w:textAlignment w:val="auto"/>
        <w:rPr>
          <w:rFonts w:ascii="宋体" w:hAnsi="宋体"/>
          <w:color w:val="auto"/>
          <w:sz w:val="24"/>
          <w:highlight w:val="none"/>
        </w:rPr>
      </w:pPr>
      <w:r>
        <w:rPr>
          <w:rFonts w:hint="eastAsia" w:ascii="宋体" w:hAnsi="宋体"/>
          <w:color w:val="auto"/>
          <w:sz w:val="24"/>
          <w:highlight w:val="none"/>
        </w:rPr>
        <w:t>1</w:t>
      </w:r>
      <w:r>
        <w:rPr>
          <w:rFonts w:hint="eastAsia" w:ascii="宋体" w:hAnsi="宋体"/>
          <w:color w:val="auto"/>
          <w:sz w:val="24"/>
          <w:highlight w:val="none"/>
          <w:lang w:eastAsia="zh-CN"/>
        </w:rPr>
        <w:t>.</w:t>
      </w:r>
      <w:r>
        <w:rPr>
          <w:rFonts w:hint="eastAsia" w:ascii="宋体" w:hAnsi="宋体"/>
          <w:color w:val="auto"/>
          <w:sz w:val="24"/>
          <w:highlight w:val="none"/>
        </w:rPr>
        <w:t>我方承诺投标有效期从提交投标文件的截止之日起</w:t>
      </w:r>
      <w:r>
        <w:rPr>
          <w:rFonts w:hint="eastAsia" w:ascii="宋体" w:hAnsi="宋体"/>
          <w:color w:val="auto"/>
          <w:sz w:val="24"/>
          <w:highlight w:val="none"/>
          <w:u w:val="single"/>
        </w:rPr>
        <w:t xml:space="preserve"> 90</w:t>
      </w:r>
      <w:r>
        <w:rPr>
          <w:rFonts w:hint="eastAsia" w:ascii="宋体" w:hAnsi="宋体"/>
          <w:color w:val="auto"/>
          <w:sz w:val="24"/>
          <w:highlight w:val="none"/>
        </w:rPr>
        <w:t>天（不少于90天）</w:t>
      </w:r>
      <w:r>
        <w:rPr>
          <w:rFonts w:hint="eastAsia" w:ascii="宋体" w:hAnsi="宋体"/>
          <w:color w:val="auto"/>
          <w:highlight w:val="none"/>
        </w:rPr>
        <w:t>，</w:t>
      </w:r>
      <w:r>
        <w:rPr>
          <w:rFonts w:hint="eastAsia" w:ascii="宋体" w:hAnsi="宋体"/>
          <w:color w:val="auto"/>
          <w:sz w:val="24"/>
          <w:highlight w:val="none"/>
        </w:rPr>
        <w:t>本投标文件在投标有效期满之前均具有约束力。</w:t>
      </w:r>
    </w:p>
    <w:p w14:paraId="08EF282A">
      <w:pPr>
        <w:keepNext w:val="0"/>
        <w:keepLines w:val="0"/>
        <w:pageBreakBefore w:val="0"/>
        <w:widowControl w:val="0"/>
        <w:kinsoku/>
        <w:wordWrap/>
        <w:overflowPunct/>
        <w:topLinePunct w:val="0"/>
        <w:autoSpaceDE/>
        <w:autoSpaceDN/>
        <w:bidi w:val="0"/>
        <w:adjustRightInd/>
        <w:snapToGrid w:val="0"/>
        <w:spacing w:line="460" w:lineRule="atLeast"/>
        <w:ind w:firstLine="482" w:firstLineChars="200"/>
        <w:textAlignment w:val="auto"/>
        <w:rPr>
          <w:rFonts w:ascii="宋体" w:hAnsi="宋体"/>
          <w:color w:val="auto"/>
          <w:sz w:val="24"/>
          <w:highlight w:val="none"/>
        </w:rPr>
      </w:pPr>
      <w:r>
        <w:rPr>
          <w:rFonts w:hint="eastAsia" w:ascii="宋体" w:hAnsi="宋体"/>
          <w:color w:val="auto"/>
          <w:sz w:val="24"/>
          <w:highlight w:val="none"/>
        </w:rPr>
        <w:t>2</w:t>
      </w:r>
      <w:r>
        <w:rPr>
          <w:rFonts w:hint="eastAsia" w:ascii="宋体" w:hAnsi="宋体"/>
          <w:color w:val="auto"/>
          <w:sz w:val="24"/>
          <w:highlight w:val="none"/>
          <w:lang w:eastAsia="zh-CN"/>
        </w:rPr>
        <w:t>.</w:t>
      </w:r>
      <w:r>
        <w:rPr>
          <w:rFonts w:hint="eastAsia" w:ascii="宋体" w:hAnsi="宋体"/>
          <w:color w:val="auto"/>
          <w:sz w:val="24"/>
          <w:highlight w:val="none"/>
        </w:rPr>
        <w:t>我方的投标文件包括以下内容：</w:t>
      </w:r>
    </w:p>
    <w:p w14:paraId="030A4046">
      <w:pPr>
        <w:keepNext w:val="0"/>
        <w:keepLines w:val="0"/>
        <w:pageBreakBefore w:val="0"/>
        <w:widowControl w:val="0"/>
        <w:kinsoku/>
        <w:wordWrap/>
        <w:overflowPunct/>
        <w:topLinePunct w:val="0"/>
        <w:autoSpaceDE/>
        <w:autoSpaceDN/>
        <w:bidi w:val="0"/>
        <w:adjustRightInd/>
        <w:snapToGrid w:val="0"/>
        <w:spacing w:line="460" w:lineRule="atLeast"/>
        <w:ind w:left="210" w:leftChars="100" w:firstLine="482" w:firstLineChars="200"/>
        <w:textAlignment w:val="auto"/>
        <w:rPr>
          <w:rFonts w:ascii="宋体" w:hAnsi="宋体"/>
          <w:color w:val="auto"/>
          <w:sz w:val="24"/>
          <w:highlight w:val="none"/>
        </w:rPr>
      </w:pPr>
      <w:r>
        <w:rPr>
          <w:rFonts w:hint="eastAsia" w:ascii="宋体" w:hAnsi="宋体"/>
          <w:color w:val="auto"/>
          <w:sz w:val="24"/>
          <w:highlight w:val="none"/>
        </w:rPr>
        <w:t>2.1</w:t>
      </w:r>
      <w:r>
        <w:rPr>
          <w:rFonts w:hint="eastAsia" w:ascii="宋体" w:hAnsi="宋体"/>
          <w:color w:val="auto"/>
          <w:sz w:val="24"/>
          <w:highlight w:val="none"/>
          <w:lang w:eastAsia="zh-CN"/>
        </w:rPr>
        <w:t>。</w:t>
      </w:r>
      <w:r>
        <w:rPr>
          <w:rFonts w:hint="eastAsia" w:ascii="宋体" w:hAnsi="宋体"/>
          <w:color w:val="auto"/>
          <w:sz w:val="24"/>
          <w:highlight w:val="none"/>
        </w:rPr>
        <w:t>资格文件：</w:t>
      </w:r>
    </w:p>
    <w:p w14:paraId="08B78267">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2.1.1</w:t>
      </w:r>
      <w:r>
        <w:rPr>
          <w:rFonts w:hint="eastAsia" w:ascii="宋体" w:hAnsi="宋体"/>
          <w:color w:val="auto"/>
          <w:sz w:val="24"/>
          <w:highlight w:val="none"/>
          <w:lang w:val="en-US" w:eastAsia="zh-CN"/>
        </w:rPr>
        <w:t>.</w:t>
      </w:r>
      <w:r>
        <w:rPr>
          <w:rFonts w:hint="eastAsia" w:ascii="宋体" w:hAnsi="宋体"/>
          <w:color w:val="auto"/>
          <w:sz w:val="24"/>
          <w:highlight w:val="none"/>
        </w:rPr>
        <w:t>承诺函；</w:t>
      </w:r>
    </w:p>
    <w:p w14:paraId="4482E6DD">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2.1.2</w:t>
      </w:r>
      <w:r>
        <w:rPr>
          <w:rFonts w:hint="eastAsia" w:ascii="宋体" w:hAnsi="宋体"/>
          <w:color w:val="auto"/>
          <w:sz w:val="24"/>
          <w:highlight w:val="none"/>
          <w:lang w:val="en-US" w:eastAsia="zh-CN"/>
        </w:rPr>
        <w:t>.</w:t>
      </w:r>
      <w:r>
        <w:rPr>
          <w:rFonts w:hint="eastAsia" w:ascii="宋体" w:hAnsi="宋体"/>
          <w:snapToGrid w:val="0"/>
          <w:color w:val="auto"/>
          <w:kern w:val="28"/>
          <w:sz w:val="24"/>
          <w:szCs w:val="20"/>
          <w:highlight w:val="none"/>
        </w:rPr>
        <w:t>联合协议</w:t>
      </w:r>
      <w:bookmarkStart w:id="401" w:name="_Hlk101257010"/>
      <w:r>
        <w:rPr>
          <w:rFonts w:hint="eastAsia" w:ascii="宋体" w:hAnsi="宋体"/>
          <w:color w:val="auto"/>
          <w:sz w:val="24"/>
          <w:highlight w:val="none"/>
        </w:rPr>
        <w:t>（如果有)</w:t>
      </w:r>
      <w:bookmarkEnd w:id="401"/>
      <w:r>
        <w:rPr>
          <w:rFonts w:hint="eastAsia" w:ascii="宋体" w:hAnsi="宋体"/>
          <w:snapToGrid w:val="0"/>
          <w:color w:val="auto"/>
          <w:kern w:val="28"/>
          <w:sz w:val="24"/>
          <w:szCs w:val="20"/>
          <w:highlight w:val="none"/>
        </w:rPr>
        <w:t>；</w:t>
      </w:r>
    </w:p>
    <w:p w14:paraId="54F86737">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s="宋体"/>
          <w:color w:val="auto"/>
          <w:sz w:val="24"/>
          <w:highlight w:val="none"/>
        </w:rPr>
      </w:pPr>
      <w:r>
        <w:rPr>
          <w:rFonts w:hint="eastAsia" w:ascii="宋体" w:hAnsi="宋体"/>
          <w:color w:val="auto"/>
          <w:sz w:val="24"/>
          <w:highlight w:val="none"/>
        </w:rPr>
        <w:t>2</w:t>
      </w:r>
      <w:r>
        <w:rPr>
          <w:rFonts w:ascii="宋体" w:hAnsi="宋体"/>
          <w:color w:val="auto"/>
          <w:sz w:val="24"/>
          <w:highlight w:val="none"/>
        </w:rPr>
        <w:t>.1.3</w:t>
      </w:r>
      <w:r>
        <w:rPr>
          <w:rFonts w:hint="eastAsia" w:ascii="宋体" w:hAnsi="宋体"/>
          <w:color w:val="auto"/>
          <w:sz w:val="24"/>
          <w:highlight w:val="none"/>
          <w:lang w:val="en-US" w:eastAsia="zh-CN"/>
        </w:rPr>
        <w:t>.</w:t>
      </w:r>
      <w:r>
        <w:rPr>
          <w:rFonts w:hint="eastAsia" w:ascii="宋体" w:hAnsi="宋体"/>
          <w:color w:val="auto"/>
          <w:sz w:val="24"/>
          <w:highlight w:val="none"/>
        </w:rPr>
        <w:t>落实政府采购政策需满足的资格要求：</w:t>
      </w:r>
      <w:sdt>
        <w:sdtPr>
          <w:rPr>
            <w:rFonts w:hint="eastAsia" w:ascii="宋体" w:hAnsi="宋体" w:cs="宋体"/>
            <w:color w:val="auto"/>
            <w:kern w:val="0"/>
            <w:sz w:val="24"/>
            <w:highlight w:val="none"/>
          </w:rPr>
          <w:id w:val="147479051"/>
          <w14:checkbox>
            <w14:checked w14:val="1"/>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Wingdings" w:hAnsi="Wingdings" w:eastAsia="MS Gothic" w:cs="宋体"/>
              <w:color w:val="auto"/>
              <w:kern w:val="0"/>
              <w:sz w:val="24"/>
              <w:szCs w:val="24"/>
              <w:highlight w:val="none"/>
              <w:lang w:val="en-US" w:eastAsia="zh-CN" w:bidi="ar-SA"/>
            </w:rPr>
            <w:t>þ</w:t>
          </w:r>
        </w:sdtContent>
      </w:sdt>
      <w:r>
        <w:rPr>
          <w:rFonts w:hint="eastAsia" w:ascii="宋体" w:hAnsi="宋体" w:cs="宋体"/>
          <w:color w:val="auto"/>
          <w:sz w:val="24"/>
          <w:highlight w:val="none"/>
        </w:rPr>
        <w:t>专门面向中小企业</w:t>
      </w:r>
    </w:p>
    <w:p w14:paraId="729F7F66">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40" w:firstLineChars="200"/>
        <w:textAlignment w:val="auto"/>
        <w:rPr>
          <w:rFonts w:ascii="宋体" w:hAnsi="宋体"/>
          <w:color w:val="auto"/>
          <w:sz w:val="24"/>
          <w:highlight w:val="none"/>
        </w:rPr>
      </w:pPr>
      <w:r>
        <w:rPr>
          <w:rFonts w:hint="eastAsia" w:ascii="宋体" w:hAnsi="宋体" w:eastAsia="宋体" w:cs="Times New Roman"/>
          <w:b w:val="0"/>
          <w:bCs w:val="0"/>
          <w:color w:val="auto"/>
          <w:sz w:val="22"/>
          <w:szCs w:val="22"/>
          <w:highlight w:val="none"/>
        </w:rPr>
        <w:sym w:font="Wingdings" w:char="F0FE"/>
      </w:r>
      <w:r>
        <w:rPr>
          <w:rFonts w:hint="eastAsia" w:ascii="宋体" w:hAnsi="宋体" w:cs="宋体"/>
          <w:color w:val="auto"/>
          <w:sz w:val="24"/>
          <w:highlight w:val="none"/>
        </w:rPr>
        <w:t>货物全部由符合政策要求的中小企业制造，提供中小企业声明函；</w:t>
      </w:r>
      <w:r>
        <w:rPr>
          <w:rFonts w:hint="eastAsia" w:ascii="宋体" w:hAnsi="宋体" w:cs="宋体"/>
          <w:color w:val="auto"/>
          <w:sz w:val="24"/>
          <w:highlight w:val="none"/>
          <w:lang w:val="en-US" w:eastAsia="zh-CN"/>
        </w:rPr>
        <w:t>（监狱企业、残疾人企业等同中小企业）</w:t>
      </w:r>
      <w:r>
        <w:rPr>
          <w:rFonts w:hint="eastAsia" w:ascii="宋体" w:hAnsi="宋体" w:cs="宋体"/>
          <w:color w:val="auto"/>
          <w:sz w:val="24"/>
          <w:highlight w:val="none"/>
        </w:rPr>
        <w:t>；</w:t>
      </w:r>
    </w:p>
    <w:p w14:paraId="2E7A915C">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2.1.</w:t>
      </w:r>
      <w:r>
        <w:rPr>
          <w:rFonts w:ascii="宋体" w:hAnsi="宋体"/>
          <w:color w:val="auto"/>
          <w:sz w:val="24"/>
          <w:highlight w:val="none"/>
        </w:rPr>
        <w:t>4</w:t>
      </w:r>
      <w:r>
        <w:rPr>
          <w:rFonts w:hint="eastAsia" w:ascii="宋体" w:hAnsi="宋体"/>
          <w:color w:val="auto"/>
          <w:sz w:val="24"/>
          <w:highlight w:val="none"/>
          <w:lang w:val="en-US" w:eastAsia="zh-CN"/>
        </w:rPr>
        <w:t>.</w:t>
      </w:r>
      <w:r>
        <w:rPr>
          <w:rFonts w:hint="eastAsia" w:ascii="宋体" w:hAnsi="宋体"/>
          <w:color w:val="auto"/>
          <w:sz w:val="24"/>
          <w:highlight w:val="none"/>
        </w:rPr>
        <w:t>本项目的特定资格要求（如果有)。</w:t>
      </w:r>
    </w:p>
    <w:p w14:paraId="43516545">
      <w:pPr>
        <w:keepNext w:val="0"/>
        <w:keepLines w:val="0"/>
        <w:pageBreakBefore w:val="0"/>
        <w:widowControl w:val="0"/>
        <w:kinsoku/>
        <w:wordWrap/>
        <w:overflowPunct/>
        <w:topLinePunct w:val="0"/>
        <w:autoSpaceDE/>
        <w:autoSpaceDN/>
        <w:bidi w:val="0"/>
        <w:adjustRightInd/>
        <w:snapToGrid w:val="0"/>
        <w:spacing w:line="460" w:lineRule="atLeast"/>
        <w:ind w:left="210" w:leftChars="100" w:firstLine="482" w:firstLineChars="200"/>
        <w:textAlignment w:val="auto"/>
        <w:rPr>
          <w:rFonts w:ascii="宋体" w:hAnsi="宋体"/>
          <w:color w:val="auto"/>
          <w:sz w:val="24"/>
          <w:highlight w:val="none"/>
          <w:lang w:val="zh-CN"/>
        </w:rPr>
      </w:pPr>
      <w:r>
        <w:rPr>
          <w:rFonts w:hint="eastAsia" w:ascii="宋体" w:hAnsi="宋体"/>
          <w:color w:val="auto"/>
          <w:sz w:val="24"/>
          <w:highlight w:val="none"/>
        </w:rPr>
        <w:t>2</w:t>
      </w:r>
      <w:r>
        <w:rPr>
          <w:rFonts w:hint="eastAsia" w:ascii="宋体" w:hAnsi="宋体"/>
          <w:color w:val="auto"/>
          <w:sz w:val="24"/>
          <w:highlight w:val="none"/>
          <w:lang w:val="zh-CN"/>
        </w:rPr>
        <w:t>.</w:t>
      </w:r>
      <w:r>
        <w:rPr>
          <w:rFonts w:hint="eastAsia" w:ascii="宋体" w:hAnsi="宋体"/>
          <w:color w:val="auto"/>
          <w:sz w:val="24"/>
          <w:highlight w:val="none"/>
        </w:rPr>
        <w:t>2</w:t>
      </w:r>
      <w:r>
        <w:rPr>
          <w:rFonts w:hint="eastAsia" w:ascii="宋体" w:hAnsi="宋体"/>
          <w:color w:val="auto"/>
          <w:sz w:val="24"/>
          <w:highlight w:val="none"/>
          <w:lang w:val="en-US" w:eastAsia="zh-CN"/>
        </w:rPr>
        <w:t>.</w:t>
      </w:r>
      <w:r>
        <w:rPr>
          <w:rFonts w:hint="eastAsia" w:ascii="宋体" w:hAnsi="宋体"/>
          <w:color w:val="auto"/>
          <w:sz w:val="24"/>
          <w:highlight w:val="none"/>
        </w:rPr>
        <w:t>商务技术</w:t>
      </w:r>
      <w:r>
        <w:rPr>
          <w:rFonts w:hint="eastAsia" w:ascii="宋体" w:hAnsi="宋体"/>
          <w:color w:val="auto"/>
          <w:sz w:val="24"/>
          <w:highlight w:val="none"/>
          <w:lang w:val="zh-CN"/>
        </w:rPr>
        <w:t>文件：</w:t>
      </w:r>
    </w:p>
    <w:p w14:paraId="4631DD92">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2.2.1</w:t>
      </w:r>
      <w:r>
        <w:rPr>
          <w:rFonts w:hint="eastAsia" w:ascii="宋体" w:hAnsi="宋体"/>
          <w:color w:val="auto"/>
          <w:sz w:val="24"/>
          <w:highlight w:val="none"/>
          <w:lang w:val="en-US" w:eastAsia="zh-CN"/>
        </w:rPr>
        <w:t>.</w:t>
      </w:r>
      <w:r>
        <w:rPr>
          <w:rFonts w:hint="eastAsia" w:ascii="宋体" w:hAnsi="宋体"/>
          <w:color w:val="auto"/>
          <w:sz w:val="24"/>
          <w:highlight w:val="none"/>
        </w:rPr>
        <w:t>投标函；</w:t>
      </w:r>
      <w:r>
        <w:rPr>
          <w:rFonts w:hint="eastAsia" w:ascii="宋体" w:hAnsi="宋体"/>
          <w:color w:val="auto"/>
          <w:sz w:val="24"/>
          <w:highlight w:val="none"/>
          <w:lang w:val="zh-CN"/>
        </w:rPr>
        <w:t xml:space="preserve"> </w:t>
      </w:r>
    </w:p>
    <w:p w14:paraId="093A5C0A">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2.2.2</w:t>
      </w:r>
      <w:r>
        <w:rPr>
          <w:rFonts w:hint="eastAsia" w:ascii="宋体" w:hAnsi="宋体"/>
          <w:color w:val="auto"/>
          <w:sz w:val="24"/>
          <w:highlight w:val="none"/>
          <w:lang w:val="en-US" w:eastAsia="zh-CN"/>
        </w:rPr>
        <w:t>.</w:t>
      </w:r>
      <w:r>
        <w:rPr>
          <w:rFonts w:hint="eastAsia" w:ascii="宋体" w:hAnsi="宋体"/>
          <w:color w:val="auto"/>
          <w:sz w:val="24"/>
          <w:highlight w:val="none"/>
        </w:rPr>
        <w:t>授权委托书或法定代表人（单位负责人）身份证明；</w:t>
      </w:r>
    </w:p>
    <w:p w14:paraId="629C7BC9">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2.2.</w:t>
      </w:r>
      <w:r>
        <w:rPr>
          <w:rFonts w:ascii="宋体" w:hAnsi="宋体"/>
          <w:color w:val="auto"/>
          <w:sz w:val="24"/>
          <w:highlight w:val="none"/>
        </w:rPr>
        <w:t>3</w:t>
      </w:r>
      <w:r>
        <w:rPr>
          <w:rFonts w:hint="eastAsia" w:ascii="宋体" w:hAnsi="宋体"/>
          <w:color w:val="auto"/>
          <w:sz w:val="24"/>
          <w:highlight w:val="none"/>
          <w:lang w:val="en-US" w:eastAsia="zh-CN"/>
        </w:rPr>
        <w:t>.</w:t>
      </w:r>
      <w:r>
        <w:rPr>
          <w:rFonts w:hint="eastAsia" w:ascii="宋体" w:hAnsi="宋体"/>
          <w:color w:val="auto"/>
          <w:sz w:val="24"/>
          <w:highlight w:val="none"/>
        </w:rPr>
        <w:t>分包意向协议（如果有)；</w:t>
      </w:r>
    </w:p>
    <w:p w14:paraId="13361975">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2.2.</w:t>
      </w:r>
      <w:r>
        <w:rPr>
          <w:rFonts w:ascii="宋体" w:hAnsi="宋体"/>
          <w:color w:val="auto"/>
          <w:sz w:val="24"/>
          <w:highlight w:val="none"/>
        </w:rPr>
        <w:t>4</w:t>
      </w:r>
      <w:r>
        <w:rPr>
          <w:rFonts w:hint="eastAsia" w:ascii="宋体" w:hAnsi="宋体"/>
          <w:color w:val="auto"/>
          <w:sz w:val="24"/>
          <w:highlight w:val="none"/>
          <w:lang w:val="en-US" w:eastAsia="zh-CN"/>
        </w:rPr>
        <w:t>.</w:t>
      </w:r>
      <w:r>
        <w:rPr>
          <w:rFonts w:hint="eastAsia" w:ascii="宋体" w:hAnsi="宋体"/>
          <w:color w:val="auto"/>
          <w:sz w:val="24"/>
          <w:highlight w:val="none"/>
        </w:rPr>
        <w:t>符合性审查资料；</w:t>
      </w:r>
    </w:p>
    <w:p w14:paraId="4B850B34">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2.2.</w:t>
      </w:r>
      <w:r>
        <w:rPr>
          <w:rFonts w:ascii="宋体" w:hAnsi="宋体"/>
          <w:color w:val="auto"/>
          <w:sz w:val="24"/>
          <w:highlight w:val="none"/>
        </w:rPr>
        <w:t>5</w:t>
      </w:r>
      <w:r>
        <w:rPr>
          <w:rFonts w:hint="eastAsia" w:ascii="宋体" w:hAnsi="宋体"/>
          <w:color w:val="auto"/>
          <w:sz w:val="24"/>
          <w:highlight w:val="none"/>
          <w:lang w:val="en-US" w:eastAsia="zh-CN"/>
        </w:rPr>
        <w:t>.</w:t>
      </w:r>
      <w:r>
        <w:rPr>
          <w:rFonts w:hint="eastAsia" w:ascii="宋体" w:hAnsi="宋体"/>
          <w:color w:val="auto"/>
          <w:sz w:val="24"/>
          <w:highlight w:val="none"/>
        </w:rPr>
        <w:t>评标标准相应的商务技术资料；</w:t>
      </w:r>
    </w:p>
    <w:p w14:paraId="63658113">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2.2.</w:t>
      </w:r>
      <w:r>
        <w:rPr>
          <w:rFonts w:ascii="宋体" w:hAnsi="宋体"/>
          <w:color w:val="auto"/>
          <w:sz w:val="24"/>
          <w:highlight w:val="none"/>
        </w:rPr>
        <w:t>6</w:t>
      </w:r>
      <w:r>
        <w:rPr>
          <w:rFonts w:hint="eastAsia" w:ascii="宋体" w:hAnsi="宋体"/>
          <w:color w:val="auto"/>
          <w:sz w:val="24"/>
          <w:highlight w:val="none"/>
          <w:lang w:val="en-US" w:eastAsia="zh-CN"/>
        </w:rPr>
        <w:t>.</w:t>
      </w:r>
      <w:r>
        <w:rPr>
          <w:rFonts w:hint="eastAsia" w:ascii="宋体" w:hAnsi="宋体"/>
          <w:color w:val="auto"/>
          <w:sz w:val="24"/>
          <w:highlight w:val="none"/>
        </w:rPr>
        <w:t>投标标的清单；</w:t>
      </w:r>
    </w:p>
    <w:p w14:paraId="0043F3FE">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2.2.</w:t>
      </w:r>
      <w:r>
        <w:rPr>
          <w:rFonts w:ascii="宋体" w:hAnsi="宋体"/>
          <w:color w:val="auto"/>
          <w:sz w:val="24"/>
          <w:highlight w:val="none"/>
        </w:rPr>
        <w:t>7</w:t>
      </w:r>
      <w:r>
        <w:rPr>
          <w:rFonts w:hint="eastAsia" w:ascii="宋体" w:hAnsi="宋体"/>
          <w:color w:val="auto"/>
          <w:sz w:val="24"/>
          <w:highlight w:val="none"/>
          <w:lang w:val="en-US" w:eastAsia="zh-CN"/>
        </w:rPr>
        <w:t>.</w:t>
      </w:r>
      <w:r>
        <w:rPr>
          <w:rFonts w:hint="eastAsia" w:ascii="宋体" w:hAnsi="宋体"/>
          <w:color w:val="auto"/>
          <w:sz w:val="24"/>
          <w:highlight w:val="none"/>
        </w:rPr>
        <w:t>商务技术偏离表；</w:t>
      </w:r>
    </w:p>
    <w:p w14:paraId="7D5E177D">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hint="eastAsia" w:ascii="宋体" w:hAnsi="宋体" w:cs="宋体"/>
          <w:color w:val="auto"/>
          <w:sz w:val="24"/>
          <w:highlight w:val="none"/>
        </w:rPr>
      </w:pPr>
      <w:r>
        <w:rPr>
          <w:rFonts w:hint="eastAsia" w:ascii="宋体" w:hAnsi="宋体" w:cs="宋体"/>
          <w:color w:val="auto"/>
          <w:sz w:val="24"/>
          <w:highlight w:val="none"/>
        </w:rPr>
        <w:t>2.2.8</w:t>
      </w:r>
      <w:r>
        <w:rPr>
          <w:rFonts w:hint="eastAsia" w:ascii="宋体" w:hAnsi="宋体" w:cs="宋体"/>
          <w:color w:val="auto"/>
          <w:sz w:val="24"/>
          <w:highlight w:val="none"/>
          <w:lang w:val="en-US" w:eastAsia="zh-CN"/>
        </w:rPr>
        <w:t>.</w:t>
      </w:r>
      <w:r>
        <w:rPr>
          <w:rFonts w:hint="eastAsia" w:ascii="宋体" w:hAnsi="宋体" w:cs="宋体"/>
          <w:color w:val="auto"/>
          <w:sz w:val="24"/>
          <w:highlight w:val="none"/>
        </w:rPr>
        <w:t>认为需要的其他文件资料或说明；</w:t>
      </w:r>
    </w:p>
    <w:p w14:paraId="0299BD25">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eastAsia="宋体"/>
          <w:color w:val="auto"/>
          <w:highlight w:val="none"/>
        </w:rPr>
      </w:pPr>
      <w:r>
        <w:rPr>
          <w:rFonts w:hint="eastAsia" w:ascii="宋体" w:hAnsi="宋体"/>
          <w:color w:val="auto"/>
          <w:sz w:val="24"/>
          <w:highlight w:val="none"/>
        </w:rPr>
        <w:t>2</w:t>
      </w:r>
      <w:r>
        <w:rPr>
          <w:rFonts w:hint="eastAsia" w:ascii="宋体" w:hAnsi="宋体"/>
          <w:color w:val="auto"/>
          <w:sz w:val="24"/>
          <w:highlight w:val="none"/>
          <w:lang w:val="zh-CN"/>
        </w:rPr>
        <w:t>.</w:t>
      </w:r>
      <w:r>
        <w:rPr>
          <w:rFonts w:hint="eastAsia" w:ascii="宋体" w:hAnsi="宋体"/>
          <w:color w:val="auto"/>
          <w:sz w:val="24"/>
          <w:highlight w:val="none"/>
        </w:rPr>
        <w:t>2</w:t>
      </w:r>
      <w:r>
        <w:rPr>
          <w:rFonts w:hint="eastAsia" w:ascii="宋体" w:hAnsi="宋体"/>
          <w:color w:val="auto"/>
          <w:sz w:val="24"/>
          <w:highlight w:val="none"/>
          <w:lang w:val="zh-CN"/>
        </w:rPr>
        <w:t>.</w:t>
      </w:r>
      <w:r>
        <w:rPr>
          <w:rFonts w:hint="eastAsia" w:ascii="宋体" w:hAnsi="宋体"/>
          <w:color w:val="auto"/>
          <w:sz w:val="24"/>
          <w:highlight w:val="none"/>
        </w:rPr>
        <w:t>9</w:t>
      </w:r>
      <w:r>
        <w:rPr>
          <w:rFonts w:hint="eastAsia" w:ascii="宋体" w:hAnsi="宋体"/>
          <w:color w:val="auto"/>
          <w:sz w:val="24"/>
          <w:highlight w:val="none"/>
          <w:lang w:val="en-US" w:eastAsia="zh-CN"/>
        </w:rPr>
        <w:t>.</w:t>
      </w:r>
      <w:r>
        <w:rPr>
          <w:rFonts w:hint="eastAsia" w:ascii="宋体" w:hAnsi="宋体"/>
          <w:color w:val="auto"/>
          <w:sz w:val="24"/>
          <w:highlight w:val="none"/>
          <w:lang w:val="zh-CN"/>
        </w:rPr>
        <w:t>政府采购供应商廉洁自律承诺书；</w:t>
      </w:r>
    </w:p>
    <w:p w14:paraId="6CE1A3A3">
      <w:pPr>
        <w:keepNext w:val="0"/>
        <w:keepLines w:val="0"/>
        <w:pageBreakBefore w:val="0"/>
        <w:widowControl w:val="0"/>
        <w:kinsoku/>
        <w:wordWrap/>
        <w:overflowPunct/>
        <w:topLinePunct w:val="0"/>
        <w:autoSpaceDE/>
        <w:autoSpaceDN/>
        <w:bidi w:val="0"/>
        <w:adjustRightInd/>
        <w:snapToGrid w:val="0"/>
        <w:spacing w:line="460" w:lineRule="atLeast"/>
        <w:ind w:left="210" w:leftChars="100" w:firstLine="482" w:firstLineChars="200"/>
        <w:textAlignment w:val="auto"/>
        <w:rPr>
          <w:rFonts w:ascii="宋体" w:hAnsi="宋体"/>
          <w:color w:val="auto"/>
          <w:sz w:val="24"/>
          <w:highlight w:val="none"/>
        </w:rPr>
      </w:pPr>
      <w:r>
        <w:rPr>
          <w:rFonts w:hint="eastAsia" w:ascii="宋体" w:hAnsi="宋体"/>
          <w:color w:val="auto"/>
          <w:sz w:val="24"/>
          <w:highlight w:val="none"/>
        </w:rPr>
        <w:t>2</w:t>
      </w:r>
      <w:r>
        <w:rPr>
          <w:rFonts w:hint="eastAsia" w:ascii="宋体" w:hAnsi="宋体"/>
          <w:color w:val="auto"/>
          <w:sz w:val="24"/>
          <w:highlight w:val="none"/>
          <w:lang w:val="zh-CN"/>
        </w:rPr>
        <w:t>.</w:t>
      </w:r>
      <w:r>
        <w:rPr>
          <w:rFonts w:hint="eastAsia" w:ascii="宋体" w:hAnsi="宋体"/>
          <w:color w:val="auto"/>
          <w:sz w:val="24"/>
          <w:highlight w:val="none"/>
        </w:rPr>
        <w:t>3</w:t>
      </w:r>
      <w:r>
        <w:rPr>
          <w:rFonts w:hint="eastAsia" w:ascii="宋体" w:hAnsi="宋体"/>
          <w:color w:val="auto"/>
          <w:sz w:val="24"/>
          <w:highlight w:val="none"/>
          <w:lang w:val="en-US" w:eastAsia="zh-CN"/>
        </w:rPr>
        <w:t>.</w:t>
      </w:r>
      <w:r>
        <w:rPr>
          <w:rFonts w:hint="eastAsia" w:ascii="宋体" w:hAnsi="宋体"/>
          <w:color w:val="auto"/>
          <w:sz w:val="24"/>
          <w:highlight w:val="none"/>
        </w:rPr>
        <w:t>报价文件</w:t>
      </w:r>
    </w:p>
    <w:p w14:paraId="7164177F">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hint="eastAsia" w:ascii="宋体" w:hAnsi="宋体"/>
          <w:color w:val="auto"/>
          <w:sz w:val="24"/>
          <w:highlight w:val="none"/>
        </w:rPr>
      </w:pPr>
      <w:r>
        <w:rPr>
          <w:rFonts w:hint="eastAsia" w:ascii="宋体" w:hAnsi="宋体"/>
          <w:color w:val="auto"/>
          <w:sz w:val="24"/>
          <w:highlight w:val="none"/>
        </w:rPr>
        <w:t>2.3.1</w:t>
      </w:r>
      <w:r>
        <w:rPr>
          <w:rFonts w:hint="eastAsia" w:ascii="宋体" w:hAnsi="宋体"/>
          <w:color w:val="auto"/>
          <w:sz w:val="24"/>
          <w:highlight w:val="none"/>
          <w:lang w:val="en-US" w:eastAsia="zh-CN"/>
        </w:rPr>
        <w:t>.</w:t>
      </w:r>
      <w:r>
        <w:rPr>
          <w:rFonts w:hint="eastAsia" w:ascii="宋体" w:hAnsi="宋体"/>
          <w:color w:val="auto"/>
          <w:sz w:val="24"/>
          <w:highlight w:val="none"/>
        </w:rPr>
        <w:t>开标一览表；</w:t>
      </w:r>
    </w:p>
    <w:p w14:paraId="6C431BFE">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hint="default" w:ascii="宋体" w:hAnsi="宋体" w:cs="宋体"/>
          <w:color w:val="auto"/>
          <w:sz w:val="24"/>
          <w:highlight w:val="none"/>
          <w:lang w:val="en-US" w:eastAsia="zh-CN"/>
        </w:rPr>
      </w:pPr>
      <w:r>
        <w:rPr>
          <w:rFonts w:hint="eastAsia" w:ascii="宋体" w:hAnsi="宋体" w:cs="宋体"/>
          <w:color w:val="auto"/>
          <w:sz w:val="24"/>
          <w:highlight w:val="none"/>
          <w:lang w:val="en-US" w:eastAsia="zh-CN"/>
        </w:rPr>
        <w:t>2.3.2.</w:t>
      </w:r>
      <w:r>
        <w:rPr>
          <w:rFonts w:hint="eastAsia" w:ascii="宋体" w:hAnsi="宋体" w:cs="宋体"/>
          <w:color w:val="auto"/>
          <w:sz w:val="24"/>
          <w:highlight w:val="none"/>
        </w:rPr>
        <w:t>投标货物数量价格</w:t>
      </w:r>
      <w:r>
        <w:rPr>
          <w:rFonts w:hint="eastAsia" w:ascii="宋体" w:hAnsi="宋体" w:cs="宋体"/>
          <w:color w:val="auto"/>
          <w:sz w:val="24"/>
          <w:highlight w:val="none"/>
          <w:lang w:val="en-US" w:eastAsia="zh-CN"/>
        </w:rPr>
        <w:t>表。</w:t>
      </w:r>
    </w:p>
    <w:p w14:paraId="28D6F5DA">
      <w:pPr>
        <w:keepNext w:val="0"/>
        <w:keepLines w:val="0"/>
        <w:pageBreakBefore w:val="0"/>
        <w:widowControl w:val="0"/>
        <w:kinsoku/>
        <w:wordWrap/>
        <w:overflowPunct/>
        <w:topLinePunct w:val="0"/>
        <w:autoSpaceDE/>
        <w:autoSpaceDN/>
        <w:bidi w:val="0"/>
        <w:adjustRightInd/>
        <w:snapToGrid w:val="0"/>
        <w:spacing w:line="460" w:lineRule="atLeast"/>
        <w:ind w:firstLine="482" w:firstLineChars="200"/>
        <w:textAlignment w:val="auto"/>
        <w:rPr>
          <w:rFonts w:ascii="宋体" w:hAnsi="宋体"/>
          <w:color w:val="auto"/>
          <w:sz w:val="24"/>
          <w:highlight w:val="none"/>
        </w:rPr>
      </w:pPr>
      <w:r>
        <w:rPr>
          <w:rFonts w:hint="eastAsia" w:ascii="宋体" w:hAnsi="宋体"/>
          <w:color w:val="auto"/>
          <w:sz w:val="24"/>
          <w:highlight w:val="none"/>
        </w:rPr>
        <w:t>3</w:t>
      </w:r>
      <w:r>
        <w:rPr>
          <w:rFonts w:hint="eastAsia" w:ascii="宋体" w:hAnsi="宋体"/>
          <w:color w:val="auto"/>
          <w:sz w:val="24"/>
          <w:highlight w:val="none"/>
          <w:lang w:val="en-US" w:eastAsia="zh-CN"/>
        </w:rPr>
        <w:t>.</w:t>
      </w:r>
      <w:r>
        <w:rPr>
          <w:rFonts w:hint="eastAsia" w:ascii="宋体" w:hAnsi="宋体"/>
          <w:color w:val="auto"/>
          <w:sz w:val="24"/>
          <w:highlight w:val="none"/>
        </w:rPr>
        <w:t>我方承诺除商务技术偏离表列出的偏离外，我方响应招标文件的全部要求。</w:t>
      </w:r>
    </w:p>
    <w:p w14:paraId="33AA689F">
      <w:pPr>
        <w:keepNext w:val="0"/>
        <w:keepLines w:val="0"/>
        <w:pageBreakBefore w:val="0"/>
        <w:widowControl w:val="0"/>
        <w:kinsoku/>
        <w:wordWrap/>
        <w:overflowPunct/>
        <w:topLinePunct w:val="0"/>
        <w:autoSpaceDE/>
        <w:autoSpaceDN/>
        <w:bidi w:val="0"/>
        <w:adjustRightInd/>
        <w:snapToGrid w:val="0"/>
        <w:spacing w:line="460" w:lineRule="atLeast"/>
        <w:ind w:firstLine="482" w:firstLineChars="200"/>
        <w:textAlignment w:val="auto"/>
        <w:rPr>
          <w:rFonts w:ascii="宋体" w:hAnsi="宋体"/>
          <w:color w:val="auto"/>
          <w:sz w:val="24"/>
          <w:highlight w:val="none"/>
        </w:rPr>
      </w:pPr>
      <w:r>
        <w:rPr>
          <w:rFonts w:hint="eastAsia" w:ascii="宋体" w:hAnsi="宋体"/>
          <w:color w:val="auto"/>
          <w:sz w:val="24"/>
          <w:highlight w:val="none"/>
        </w:rPr>
        <w:t>4</w:t>
      </w:r>
      <w:r>
        <w:rPr>
          <w:rFonts w:hint="eastAsia" w:ascii="宋体" w:hAnsi="宋体"/>
          <w:color w:val="auto"/>
          <w:sz w:val="24"/>
          <w:highlight w:val="none"/>
          <w:lang w:val="en-US" w:eastAsia="zh-CN"/>
        </w:rPr>
        <w:t>.</w:t>
      </w:r>
      <w:r>
        <w:rPr>
          <w:rFonts w:hint="eastAsia" w:ascii="宋体" w:hAnsi="宋体"/>
          <w:color w:val="auto"/>
          <w:sz w:val="24"/>
          <w:highlight w:val="none"/>
        </w:rPr>
        <w:t>如我方中标，我方承诺：</w:t>
      </w:r>
    </w:p>
    <w:p w14:paraId="2D4D170A">
      <w:pPr>
        <w:keepNext w:val="0"/>
        <w:keepLines w:val="0"/>
        <w:pageBreakBefore w:val="0"/>
        <w:widowControl w:val="0"/>
        <w:kinsoku/>
        <w:wordWrap/>
        <w:overflowPunct/>
        <w:topLinePunct w:val="0"/>
        <w:autoSpaceDE/>
        <w:autoSpaceDN/>
        <w:bidi w:val="0"/>
        <w:adjustRightInd/>
        <w:snapToGrid w:val="0"/>
        <w:spacing w:line="460" w:lineRule="atLeast"/>
        <w:ind w:left="210" w:leftChars="100" w:firstLine="482" w:firstLineChars="200"/>
        <w:textAlignment w:val="auto"/>
        <w:rPr>
          <w:rFonts w:ascii="宋体" w:hAnsi="宋体"/>
          <w:color w:val="auto"/>
          <w:sz w:val="24"/>
          <w:highlight w:val="none"/>
        </w:rPr>
      </w:pPr>
      <w:r>
        <w:rPr>
          <w:rFonts w:hint="eastAsia" w:ascii="宋体" w:hAnsi="宋体"/>
          <w:color w:val="auto"/>
          <w:sz w:val="24"/>
          <w:highlight w:val="none"/>
        </w:rPr>
        <w:t>4.1</w:t>
      </w:r>
      <w:r>
        <w:rPr>
          <w:rFonts w:hint="eastAsia" w:ascii="宋体" w:hAnsi="宋体"/>
          <w:color w:val="auto"/>
          <w:sz w:val="24"/>
          <w:highlight w:val="none"/>
          <w:lang w:val="en-US" w:eastAsia="zh-CN"/>
        </w:rPr>
        <w:t>.</w:t>
      </w:r>
      <w:r>
        <w:rPr>
          <w:rFonts w:hint="eastAsia" w:ascii="宋体" w:hAnsi="宋体"/>
          <w:color w:val="auto"/>
          <w:sz w:val="24"/>
          <w:highlight w:val="none"/>
        </w:rPr>
        <w:t xml:space="preserve">在收到中标通知书后，在中标通知书规定的期限内与你方签订合同； </w:t>
      </w:r>
    </w:p>
    <w:p w14:paraId="4357A626">
      <w:pPr>
        <w:keepNext w:val="0"/>
        <w:keepLines w:val="0"/>
        <w:pageBreakBefore w:val="0"/>
        <w:widowControl w:val="0"/>
        <w:kinsoku/>
        <w:wordWrap/>
        <w:overflowPunct/>
        <w:topLinePunct w:val="0"/>
        <w:autoSpaceDE/>
        <w:autoSpaceDN/>
        <w:bidi w:val="0"/>
        <w:adjustRightInd/>
        <w:snapToGrid w:val="0"/>
        <w:spacing w:line="460" w:lineRule="atLeast"/>
        <w:ind w:left="210" w:leftChars="100" w:firstLine="482" w:firstLineChars="200"/>
        <w:textAlignment w:val="auto"/>
        <w:rPr>
          <w:rFonts w:ascii="宋体" w:hAnsi="宋体"/>
          <w:color w:val="auto"/>
          <w:sz w:val="24"/>
          <w:highlight w:val="none"/>
        </w:rPr>
      </w:pPr>
      <w:r>
        <w:rPr>
          <w:rFonts w:hint="eastAsia" w:ascii="宋体" w:hAnsi="宋体"/>
          <w:color w:val="auto"/>
          <w:sz w:val="24"/>
          <w:highlight w:val="none"/>
        </w:rPr>
        <w:t>4.2</w:t>
      </w:r>
      <w:r>
        <w:rPr>
          <w:rFonts w:hint="eastAsia" w:ascii="宋体" w:hAnsi="宋体"/>
          <w:color w:val="auto"/>
          <w:sz w:val="24"/>
          <w:highlight w:val="none"/>
          <w:lang w:val="en-US" w:eastAsia="zh-CN"/>
        </w:rPr>
        <w:t>.</w:t>
      </w:r>
      <w:r>
        <w:rPr>
          <w:rFonts w:hint="eastAsia" w:ascii="宋体" w:hAnsi="宋体"/>
          <w:color w:val="auto"/>
          <w:sz w:val="24"/>
          <w:highlight w:val="none"/>
        </w:rPr>
        <w:t xml:space="preserve">在签订合同时不向你方提出附加条件； </w:t>
      </w:r>
    </w:p>
    <w:p w14:paraId="6C56F16A">
      <w:pPr>
        <w:keepNext w:val="0"/>
        <w:keepLines w:val="0"/>
        <w:pageBreakBefore w:val="0"/>
        <w:widowControl w:val="0"/>
        <w:kinsoku/>
        <w:wordWrap/>
        <w:overflowPunct/>
        <w:topLinePunct w:val="0"/>
        <w:autoSpaceDE/>
        <w:autoSpaceDN/>
        <w:bidi w:val="0"/>
        <w:adjustRightInd/>
        <w:snapToGrid w:val="0"/>
        <w:spacing w:line="460" w:lineRule="atLeast"/>
        <w:ind w:left="210" w:leftChars="100" w:firstLine="482" w:firstLineChars="200"/>
        <w:textAlignment w:val="auto"/>
        <w:rPr>
          <w:rFonts w:ascii="宋体" w:hAnsi="宋体"/>
          <w:color w:val="auto"/>
          <w:sz w:val="24"/>
          <w:highlight w:val="none"/>
        </w:rPr>
      </w:pPr>
      <w:r>
        <w:rPr>
          <w:rFonts w:hint="eastAsia" w:ascii="宋体" w:hAnsi="宋体"/>
          <w:color w:val="auto"/>
          <w:sz w:val="24"/>
          <w:highlight w:val="none"/>
        </w:rPr>
        <w:t>4.3</w:t>
      </w:r>
      <w:r>
        <w:rPr>
          <w:rFonts w:hint="eastAsia" w:ascii="宋体" w:hAnsi="宋体"/>
          <w:color w:val="auto"/>
          <w:sz w:val="24"/>
          <w:highlight w:val="none"/>
          <w:lang w:val="en-US" w:eastAsia="zh-CN"/>
        </w:rPr>
        <w:t>.</w:t>
      </w:r>
      <w:r>
        <w:rPr>
          <w:rFonts w:hint="eastAsia" w:ascii="宋体" w:hAnsi="宋体"/>
          <w:color w:val="auto"/>
          <w:sz w:val="24"/>
          <w:highlight w:val="none"/>
        </w:rPr>
        <w:t xml:space="preserve">按照招标文件要求提交履约保证金； </w:t>
      </w:r>
    </w:p>
    <w:p w14:paraId="04752A8F">
      <w:pPr>
        <w:keepNext w:val="0"/>
        <w:keepLines w:val="0"/>
        <w:pageBreakBefore w:val="0"/>
        <w:widowControl w:val="0"/>
        <w:kinsoku/>
        <w:wordWrap/>
        <w:overflowPunct/>
        <w:topLinePunct w:val="0"/>
        <w:autoSpaceDE/>
        <w:autoSpaceDN/>
        <w:bidi w:val="0"/>
        <w:adjustRightInd/>
        <w:snapToGrid w:val="0"/>
        <w:spacing w:line="460" w:lineRule="atLeast"/>
        <w:ind w:left="210" w:leftChars="100" w:firstLine="482" w:firstLineChars="200"/>
        <w:textAlignment w:val="auto"/>
        <w:rPr>
          <w:rFonts w:ascii="宋体" w:hAnsi="宋体"/>
          <w:color w:val="auto"/>
          <w:sz w:val="24"/>
          <w:highlight w:val="none"/>
        </w:rPr>
      </w:pPr>
      <w:r>
        <w:rPr>
          <w:rFonts w:hint="eastAsia" w:ascii="宋体" w:hAnsi="宋体"/>
          <w:color w:val="auto"/>
          <w:sz w:val="24"/>
          <w:highlight w:val="none"/>
        </w:rPr>
        <w:t>4.4</w:t>
      </w:r>
      <w:r>
        <w:rPr>
          <w:rFonts w:hint="eastAsia" w:ascii="宋体" w:hAnsi="宋体"/>
          <w:color w:val="auto"/>
          <w:sz w:val="24"/>
          <w:highlight w:val="none"/>
          <w:lang w:val="en-US" w:eastAsia="zh-CN"/>
        </w:rPr>
        <w:t>.</w:t>
      </w:r>
      <w:r>
        <w:rPr>
          <w:rFonts w:hint="eastAsia" w:ascii="宋体" w:hAnsi="宋体"/>
          <w:color w:val="auto"/>
          <w:sz w:val="24"/>
          <w:highlight w:val="none"/>
        </w:rPr>
        <w:t xml:space="preserve">在合同约定的期限内完成合同规定的全部义务。 </w:t>
      </w:r>
    </w:p>
    <w:p w14:paraId="40154F3A">
      <w:pPr>
        <w:keepNext w:val="0"/>
        <w:keepLines w:val="0"/>
        <w:pageBreakBefore w:val="0"/>
        <w:widowControl w:val="0"/>
        <w:kinsoku/>
        <w:wordWrap/>
        <w:overflowPunct/>
        <w:topLinePunct w:val="0"/>
        <w:autoSpaceDE/>
        <w:autoSpaceDN/>
        <w:bidi w:val="0"/>
        <w:adjustRightInd/>
        <w:snapToGrid w:val="0"/>
        <w:spacing w:line="460" w:lineRule="atLeast"/>
        <w:ind w:left="210" w:leftChars="100" w:firstLine="482" w:firstLineChars="200"/>
        <w:textAlignment w:val="auto"/>
        <w:rPr>
          <w:rFonts w:ascii="宋体" w:hAnsi="宋体"/>
          <w:color w:val="auto"/>
          <w:sz w:val="24"/>
          <w:highlight w:val="none"/>
        </w:rPr>
      </w:pPr>
      <w:r>
        <w:rPr>
          <w:rFonts w:hint="eastAsia" w:ascii="宋体" w:hAnsi="宋体"/>
          <w:color w:val="auto"/>
          <w:sz w:val="24"/>
          <w:highlight w:val="none"/>
        </w:rPr>
        <w:t>5</w:t>
      </w:r>
      <w:r>
        <w:rPr>
          <w:rFonts w:hint="eastAsia" w:ascii="宋体" w:hAnsi="宋体"/>
          <w:color w:val="auto"/>
          <w:sz w:val="24"/>
          <w:highlight w:val="none"/>
          <w:lang w:val="en-US" w:eastAsia="zh-CN"/>
        </w:rPr>
        <w:t>.</w:t>
      </w:r>
      <w:r>
        <w:rPr>
          <w:rFonts w:hint="eastAsia" w:ascii="宋体" w:hAnsi="宋体"/>
          <w:color w:val="auto"/>
          <w:sz w:val="24"/>
          <w:highlight w:val="none"/>
        </w:rPr>
        <w:t>其他补充说明:</w:t>
      </w:r>
      <w:r>
        <w:rPr>
          <w:rFonts w:hint="eastAsia" w:ascii="宋体" w:hAnsi="宋体"/>
          <w:color w:val="auto"/>
          <w:sz w:val="24"/>
          <w:highlight w:val="none"/>
          <w:u w:val="single"/>
        </w:rPr>
        <w:t xml:space="preserve">                                        </w:t>
      </w:r>
      <w:r>
        <w:rPr>
          <w:rFonts w:hint="eastAsia" w:ascii="宋体" w:hAnsi="宋体"/>
          <w:color w:val="auto"/>
          <w:sz w:val="24"/>
          <w:highlight w:val="none"/>
        </w:rPr>
        <w:t>。</w:t>
      </w:r>
    </w:p>
    <w:p w14:paraId="385F760A">
      <w:pPr>
        <w:keepNext w:val="0"/>
        <w:keepLines w:val="0"/>
        <w:pageBreakBefore w:val="0"/>
        <w:widowControl w:val="0"/>
        <w:kinsoku/>
        <w:wordWrap/>
        <w:overflowPunct/>
        <w:topLinePunct w:val="0"/>
        <w:autoSpaceDE/>
        <w:autoSpaceDN/>
        <w:bidi w:val="0"/>
        <w:adjustRightInd/>
        <w:spacing w:line="460" w:lineRule="atLeast"/>
        <w:ind w:firstLine="3614" w:firstLineChars="1500"/>
        <w:textAlignment w:val="auto"/>
        <w:rPr>
          <w:rFonts w:ascii="宋体" w:hAnsi="宋体"/>
          <w:color w:val="auto"/>
          <w:sz w:val="24"/>
          <w:highlight w:val="none"/>
        </w:rPr>
      </w:pPr>
      <w:r>
        <w:rPr>
          <w:rFonts w:hint="eastAsia" w:ascii="宋体" w:hAnsi="宋体"/>
          <w:color w:val="auto"/>
          <w:sz w:val="24"/>
          <w:highlight w:val="none"/>
        </w:rPr>
        <w:t xml:space="preserve">投标人名称（电子签名）：                          </w:t>
      </w:r>
    </w:p>
    <w:p w14:paraId="7E2377AE">
      <w:pPr>
        <w:keepNext w:val="0"/>
        <w:keepLines w:val="0"/>
        <w:pageBreakBefore w:val="0"/>
        <w:widowControl w:val="0"/>
        <w:kinsoku/>
        <w:wordWrap/>
        <w:overflowPunct/>
        <w:topLinePunct w:val="0"/>
        <w:autoSpaceDE/>
        <w:autoSpaceDN/>
        <w:bidi w:val="0"/>
        <w:adjustRightInd/>
        <w:spacing w:line="460" w:lineRule="atLeast"/>
        <w:jc w:val="center"/>
        <w:textAlignment w:val="auto"/>
        <w:rPr>
          <w:rFonts w:ascii="宋体" w:hAnsi="宋体"/>
          <w:color w:val="auto"/>
          <w:sz w:val="24"/>
          <w:highlight w:val="none"/>
        </w:rPr>
      </w:pPr>
      <w:r>
        <w:rPr>
          <w:rFonts w:hint="eastAsia" w:ascii="宋体" w:hAnsi="宋体"/>
          <w:color w:val="auto"/>
          <w:sz w:val="24"/>
          <w:highlight w:val="none"/>
        </w:rPr>
        <w:t xml:space="preserve">     日期：  年   月   日</w:t>
      </w:r>
    </w:p>
    <w:p w14:paraId="32B694FE">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216" w:firstLineChars="1750"/>
        <w:textAlignment w:val="auto"/>
        <w:rPr>
          <w:rFonts w:ascii="宋体" w:hAnsi="宋体"/>
          <w:color w:val="auto"/>
          <w:sz w:val="24"/>
          <w:highlight w:val="none"/>
          <w:u w:val="single"/>
        </w:rPr>
      </w:pPr>
    </w:p>
    <w:p w14:paraId="6912C553">
      <w:pPr>
        <w:keepNext w:val="0"/>
        <w:keepLines w:val="0"/>
        <w:pageBreakBefore w:val="0"/>
        <w:widowControl w:val="0"/>
        <w:kinsoku/>
        <w:wordWrap/>
        <w:overflowPunct/>
        <w:topLinePunct w:val="0"/>
        <w:autoSpaceDE/>
        <w:autoSpaceDN/>
        <w:bidi w:val="0"/>
        <w:adjustRightInd/>
        <w:spacing w:line="460" w:lineRule="atLeast"/>
        <w:ind w:right="420"/>
        <w:textAlignment w:val="auto"/>
        <w:rPr>
          <w:rFonts w:ascii="宋体" w:hAnsi="宋体"/>
          <w:color w:val="auto"/>
          <w:sz w:val="24"/>
          <w:highlight w:val="none"/>
        </w:rPr>
      </w:pPr>
      <w:r>
        <w:rPr>
          <w:rFonts w:hint="eastAsia" w:ascii="宋体" w:hAnsi="宋体"/>
          <w:color w:val="auto"/>
          <w:sz w:val="24"/>
          <w:highlight w:val="none"/>
        </w:rPr>
        <w:t>注：按本格式和要求提供。</w:t>
      </w:r>
    </w:p>
    <w:p w14:paraId="770E710E">
      <w:pPr>
        <w:snapToGrid w:val="0"/>
        <w:spacing w:line="360" w:lineRule="auto"/>
        <w:jc w:val="center"/>
        <w:rPr>
          <w:rFonts w:ascii="宋体" w:hAnsi="宋体"/>
          <w:color w:val="auto"/>
          <w:sz w:val="32"/>
          <w:szCs w:val="32"/>
          <w:highlight w:val="none"/>
        </w:rPr>
      </w:pPr>
    </w:p>
    <w:p w14:paraId="7B283241">
      <w:pPr>
        <w:snapToGrid w:val="0"/>
        <w:spacing w:line="360" w:lineRule="auto"/>
        <w:rPr>
          <w:rFonts w:ascii="宋体" w:hAnsi="宋体"/>
          <w:color w:val="auto"/>
          <w:sz w:val="24"/>
          <w:highlight w:val="none"/>
        </w:rPr>
      </w:pPr>
    </w:p>
    <w:p w14:paraId="0E083782">
      <w:pPr>
        <w:jc w:val="center"/>
        <w:rPr>
          <w:rFonts w:ascii="宋体" w:hAnsi="宋体"/>
          <w:color w:val="auto"/>
          <w:sz w:val="32"/>
          <w:szCs w:val="32"/>
          <w:highlight w:val="none"/>
        </w:rPr>
      </w:pPr>
    </w:p>
    <w:p w14:paraId="4CEAF759">
      <w:pPr>
        <w:jc w:val="center"/>
        <w:rPr>
          <w:rFonts w:ascii="宋体" w:hAnsi="宋体"/>
          <w:color w:val="auto"/>
          <w:sz w:val="32"/>
          <w:szCs w:val="32"/>
          <w:highlight w:val="none"/>
        </w:rPr>
      </w:pPr>
    </w:p>
    <w:p w14:paraId="050FEF1F">
      <w:pPr>
        <w:jc w:val="center"/>
        <w:rPr>
          <w:rFonts w:ascii="宋体" w:hAnsi="宋体"/>
          <w:color w:val="auto"/>
          <w:sz w:val="32"/>
          <w:szCs w:val="32"/>
          <w:highlight w:val="none"/>
        </w:rPr>
      </w:pPr>
    </w:p>
    <w:p w14:paraId="2BF80C58">
      <w:pPr>
        <w:jc w:val="center"/>
        <w:rPr>
          <w:rFonts w:ascii="宋体" w:hAnsi="宋体"/>
          <w:color w:val="auto"/>
          <w:sz w:val="32"/>
          <w:szCs w:val="32"/>
          <w:highlight w:val="none"/>
        </w:rPr>
      </w:pPr>
    </w:p>
    <w:p w14:paraId="579DB543">
      <w:pPr>
        <w:jc w:val="center"/>
        <w:rPr>
          <w:rFonts w:ascii="宋体" w:hAnsi="宋体"/>
          <w:color w:val="auto"/>
          <w:sz w:val="32"/>
          <w:szCs w:val="32"/>
          <w:highlight w:val="none"/>
        </w:rPr>
      </w:pPr>
    </w:p>
    <w:p w14:paraId="0FA9CF20">
      <w:pPr>
        <w:jc w:val="center"/>
        <w:rPr>
          <w:rFonts w:ascii="宋体" w:hAnsi="宋体"/>
          <w:color w:val="auto"/>
          <w:sz w:val="32"/>
          <w:szCs w:val="32"/>
          <w:highlight w:val="none"/>
        </w:rPr>
      </w:pPr>
    </w:p>
    <w:p w14:paraId="05EF4EE7">
      <w:pPr>
        <w:jc w:val="center"/>
        <w:rPr>
          <w:rFonts w:ascii="宋体" w:hAnsi="宋体"/>
          <w:color w:val="auto"/>
          <w:sz w:val="32"/>
          <w:szCs w:val="32"/>
          <w:highlight w:val="none"/>
        </w:rPr>
      </w:pPr>
    </w:p>
    <w:p w14:paraId="0634B606">
      <w:pPr>
        <w:jc w:val="center"/>
        <w:rPr>
          <w:rFonts w:ascii="宋体" w:hAnsi="宋体"/>
          <w:color w:val="auto"/>
          <w:sz w:val="32"/>
          <w:szCs w:val="32"/>
          <w:highlight w:val="none"/>
        </w:rPr>
      </w:pPr>
    </w:p>
    <w:p w14:paraId="676EFFFD">
      <w:pPr>
        <w:jc w:val="center"/>
        <w:rPr>
          <w:rFonts w:ascii="宋体" w:hAnsi="宋体"/>
          <w:color w:val="auto"/>
          <w:sz w:val="32"/>
          <w:szCs w:val="32"/>
          <w:highlight w:val="none"/>
        </w:rPr>
      </w:pPr>
    </w:p>
    <w:p w14:paraId="05E0829A">
      <w:pPr>
        <w:jc w:val="center"/>
        <w:rPr>
          <w:rFonts w:ascii="宋体" w:hAnsi="宋体"/>
          <w:color w:val="auto"/>
          <w:sz w:val="32"/>
          <w:szCs w:val="32"/>
          <w:highlight w:val="none"/>
        </w:rPr>
      </w:pPr>
    </w:p>
    <w:p w14:paraId="0ECE964D">
      <w:pPr>
        <w:jc w:val="center"/>
        <w:rPr>
          <w:rFonts w:ascii="宋体" w:hAnsi="宋体"/>
          <w:color w:val="auto"/>
          <w:sz w:val="32"/>
          <w:szCs w:val="32"/>
          <w:highlight w:val="none"/>
        </w:rPr>
      </w:pPr>
    </w:p>
    <w:p w14:paraId="6FB8A2A5">
      <w:pPr>
        <w:jc w:val="center"/>
        <w:rPr>
          <w:rFonts w:ascii="宋体" w:hAnsi="宋体"/>
          <w:color w:val="auto"/>
          <w:sz w:val="32"/>
          <w:szCs w:val="32"/>
          <w:highlight w:val="none"/>
        </w:rPr>
      </w:pPr>
    </w:p>
    <w:p w14:paraId="6611E37B">
      <w:pPr>
        <w:jc w:val="center"/>
        <w:rPr>
          <w:rFonts w:ascii="宋体" w:hAnsi="宋体"/>
          <w:color w:val="auto"/>
          <w:sz w:val="32"/>
          <w:szCs w:val="32"/>
          <w:highlight w:val="none"/>
        </w:rPr>
      </w:pPr>
    </w:p>
    <w:p w14:paraId="7CF8D1CD">
      <w:pPr>
        <w:jc w:val="center"/>
        <w:rPr>
          <w:rFonts w:ascii="宋体" w:hAnsi="宋体"/>
          <w:color w:val="auto"/>
          <w:sz w:val="32"/>
          <w:szCs w:val="32"/>
          <w:highlight w:val="none"/>
        </w:rPr>
      </w:pPr>
    </w:p>
    <w:p w14:paraId="0F620E55">
      <w:pPr>
        <w:jc w:val="center"/>
        <w:rPr>
          <w:rFonts w:ascii="宋体" w:hAnsi="宋体"/>
          <w:color w:val="auto"/>
          <w:sz w:val="32"/>
          <w:szCs w:val="32"/>
          <w:highlight w:val="none"/>
        </w:rPr>
      </w:pPr>
    </w:p>
    <w:p w14:paraId="31B91C4E">
      <w:pPr>
        <w:jc w:val="center"/>
        <w:rPr>
          <w:rFonts w:ascii="宋体" w:hAnsi="宋体"/>
          <w:color w:val="auto"/>
          <w:sz w:val="32"/>
          <w:szCs w:val="32"/>
          <w:highlight w:val="none"/>
        </w:rPr>
      </w:pPr>
    </w:p>
    <w:p w14:paraId="0109CFD6">
      <w:pPr>
        <w:jc w:val="center"/>
        <w:rPr>
          <w:rFonts w:ascii="宋体" w:hAnsi="宋体"/>
          <w:color w:val="auto"/>
          <w:sz w:val="32"/>
          <w:szCs w:val="32"/>
          <w:highlight w:val="none"/>
        </w:rPr>
      </w:pPr>
    </w:p>
    <w:p w14:paraId="7E942C3D">
      <w:pPr>
        <w:jc w:val="center"/>
        <w:rPr>
          <w:rFonts w:ascii="宋体" w:hAnsi="宋体"/>
          <w:color w:val="auto"/>
          <w:sz w:val="32"/>
          <w:szCs w:val="32"/>
          <w:highlight w:val="none"/>
        </w:rPr>
      </w:pPr>
    </w:p>
    <w:p w14:paraId="3E735FC3">
      <w:pPr>
        <w:jc w:val="center"/>
        <w:rPr>
          <w:rFonts w:ascii="宋体" w:hAnsi="宋体"/>
          <w:color w:val="auto"/>
          <w:sz w:val="32"/>
          <w:szCs w:val="32"/>
          <w:highlight w:val="none"/>
        </w:rPr>
      </w:pPr>
    </w:p>
    <w:p w14:paraId="45B0FB1C">
      <w:pPr>
        <w:jc w:val="center"/>
        <w:rPr>
          <w:rFonts w:ascii="宋体" w:hAnsi="宋体"/>
          <w:color w:val="auto"/>
          <w:sz w:val="32"/>
          <w:szCs w:val="32"/>
          <w:highlight w:val="none"/>
          <w:lang w:val="zh-CN"/>
        </w:rPr>
      </w:pPr>
      <w:r>
        <w:rPr>
          <w:rFonts w:hint="eastAsia" w:ascii="宋体" w:hAnsi="宋体"/>
          <w:color w:val="auto"/>
          <w:sz w:val="32"/>
          <w:szCs w:val="32"/>
          <w:highlight w:val="none"/>
          <w:lang w:val="zh-CN"/>
        </w:rPr>
        <w:br w:type="column"/>
      </w:r>
      <w:r>
        <w:rPr>
          <w:rFonts w:hint="eastAsia" w:ascii="宋体" w:hAnsi="宋体"/>
          <w:color w:val="auto"/>
          <w:sz w:val="32"/>
          <w:szCs w:val="32"/>
          <w:highlight w:val="none"/>
          <w:lang w:val="zh-CN"/>
        </w:rPr>
        <w:t>二、授权委托书或法定代表人（单位负责人、自然人本人）身份证明</w:t>
      </w:r>
    </w:p>
    <w:p w14:paraId="4960CA2D">
      <w:pPr>
        <w:snapToGrid w:val="0"/>
        <w:spacing w:line="360" w:lineRule="auto"/>
        <w:rPr>
          <w:rFonts w:ascii="宋体" w:hAnsi="宋体"/>
          <w:color w:val="auto"/>
          <w:sz w:val="24"/>
          <w:highlight w:val="none"/>
        </w:rPr>
      </w:pPr>
      <w:r>
        <w:rPr>
          <w:rFonts w:hint="eastAsia" w:ascii="宋体" w:hAnsi="宋体"/>
          <w:color w:val="auto"/>
          <w:sz w:val="24"/>
          <w:highlight w:val="none"/>
        </w:rPr>
        <w:t xml:space="preserve">                                </w:t>
      </w:r>
    </w:p>
    <w:p w14:paraId="497B0380">
      <w:pPr>
        <w:snapToGrid w:val="0"/>
        <w:spacing w:line="360" w:lineRule="auto"/>
        <w:jc w:val="center"/>
        <w:rPr>
          <w:rFonts w:ascii="宋体" w:hAnsi="宋体"/>
          <w:color w:val="auto"/>
          <w:highlight w:val="none"/>
        </w:rPr>
      </w:pPr>
      <w:r>
        <w:rPr>
          <w:rFonts w:hint="eastAsia" w:ascii="宋体" w:hAnsi="宋体"/>
          <w:color w:val="auto"/>
          <w:sz w:val="32"/>
          <w:szCs w:val="32"/>
          <w:highlight w:val="none"/>
          <w:lang w:val="zh-CN"/>
        </w:rPr>
        <w:t>授权委托书（适用于非联合体投标）</w:t>
      </w:r>
    </w:p>
    <w:p w14:paraId="5858F5F6">
      <w:pPr>
        <w:snapToGrid w:val="0"/>
        <w:spacing w:line="360" w:lineRule="auto"/>
        <w:rPr>
          <w:rFonts w:ascii="宋体" w:hAnsi="宋体"/>
          <w:color w:val="auto"/>
          <w:sz w:val="24"/>
          <w:highlight w:val="none"/>
        </w:rPr>
      </w:pPr>
      <w:r>
        <w:rPr>
          <w:rFonts w:hint="eastAsia" w:ascii="宋体" w:hAnsi="宋体"/>
          <w:color w:val="auto"/>
          <w:sz w:val="24"/>
          <w:highlight w:val="none"/>
          <w:u w:val="single"/>
          <w:lang w:eastAsia="zh-CN"/>
        </w:rPr>
        <w:t>永嘉县瓯北第三小学</w:t>
      </w:r>
      <w:r>
        <w:rPr>
          <w:rFonts w:hint="eastAsia" w:ascii="宋体" w:hAnsi="宋体"/>
          <w:color w:val="auto"/>
          <w:sz w:val="24"/>
          <w:highlight w:val="none"/>
          <w:u w:val="single"/>
        </w:rPr>
        <w:t>、</w:t>
      </w:r>
      <w:r>
        <w:rPr>
          <w:rFonts w:hint="eastAsia" w:ascii="宋体" w:hAnsi="宋体"/>
          <w:color w:val="auto"/>
          <w:sz w:val="24"/>
          <w:highlight w:val="none"/>
          <w:u w:val="single"/>
          <w:lang w:eastAsia="zh-CN"/>
        </w:rPr>
        <w:t>温州国利项目管理咨询有限公司</w:t>
      </w:r>
      <w:r>
        <w:rPr>
          <w:rFonts w:hint="eastAsia" w:ascii="宋体" w:hAnsi="宋体"/>
          <w:color w:val="auto"/>
          <w:sz w:val="24"/>
          <w:highlight w:val="none"/>
          <w:lang w:val="zh-CN"/>
        </w:rPr>
        <w:t>：</w:t>
      </w:r>
    </w:p>
    <w:p w14:paraId="09B6C475">
      <w:pPr>
        <w:snapToGrid w:val="0"/>
        <w:spacing w:line="360" w:lineRule="auto"/>
        <w:ind w:firstLine="576"/>
        <w:rPr>
          <w:rFonts w:ascii="宋体" w:hAnsi="宋体"/>
          <w:color w:val="auto"/>
          <w:sz w:val="24"/>
          <w:highlight w:val="none"/>
        </w:rPr>
      </w:pPr>
      <w:r>
        <w:rPr>
          <w:rFonts w:hint="eastAsia" w:ascii="宋体" w:hAnsi="宋体"/>
          <w:color w:val="auto"/>
          <w:sz w:val="24"/>
          <w:highlight w:val="none"/>
        </w:rPr>
        <w:t>现</w:t>
      </w:r>
      <w:r>
        <w:rPr>
          <w:rFonts w:hint="eastAsia" w:ascii="宋体" w:hAnsi="宋体"/>
          <w:color w:val="auto"/>
          <w:sz w:val="24"/>
          <w:highlight w:val="none"/>
          <w:lang w:val="zh-CN"/>
        </w:rPr>
        <w:t>委托</w:t>
      </w:r>
      <w:r>
        <w:rPr>
          <w:rFonts w:hint="eastAsia" w:ascii="宋体" w:hAnsi="宋体"/>
          <w:color w:val="auto"/>
          <w:sz w:val="24"/>
          <w:highlight w:val="none"/>
          <w:u w:val="single"/>
          <w:lang w:val="zh-CN"/>
        </w:rPr>
        <w:t xml:space="preserve">          </w:t>
      </w:r>
      <w:r>
        <w:rPr>
          <w:rFonts w:hint="eastAsia" w:ascii="宋体" w:hAnsi="宋体"/>
          <w:color w:val="auto"/>
          <w:sz w:val="24"/>
          <w:highlight w:val="none"/>
          <w:lang w:val="zh-CN"/>
        </w:rPr>
        <w:t>（姓名）为我方代理人（身份证号码：</w:t>
      </w:r>
      <w:r>
        <w:rPr>
          <w:rFonts w:hint="eastAsia" w:ascii="宋体" w:hAnsi="宋体"/>
          <w:color w:val="auto"/>
          <w:sz w:val="24"/>
          <w:highlight w:val="none"/>
          <w:u w:val="single"/>
          <w:lang w:val="zh-CN"/>
        </w:rPr>
        <w:t xml:space="preserve">          </w:t>
      </w:r>
      <w:r>
        <w:rPr>
          <w:rFonts w:hint="eastAsia" w:ascii="宋体" w:hAnsi="宋体"/>
          <w:color w:val="auto"/>
          <w:sz w:val="24"/>
          <w:highlight w:val="none"/>
          <w:lang w:val="zh-CN"/>
        </w:rPr>
        <w:t>，手机：</w:t>
      </w:r>
      <w:r>
        <w:rPr>
          <w:rFonts w:hint="eastAsia" w:ascii="宋体" w:hAnsi="宋体"/>
          <w:color w:val="auto"/>
          <w:sz w:val="24"/>
          <w:highlight w:val="none"/>
          <w:u w:val="single"/>
          <w:lang w:val="zh-CN"/>
        </w:rPr>
        <w:t xml:space="preserve">          </w:t>
      </w:r>
      <w:r>
        <w:rPr>
          <w:rFonts w:hint="eastAsia" w:ascii="宋体" w:hAnsi="宋体"/>
          <w:color w:val="auto"/>
          <w:sz w:val="24"/>
          <w:highlight w:val="none"/>
          <w:lang w:val="zh-CN"/>
        </w:rPr>
        <w:t>），以我方名义处理</w:t>
      </w:r>
      <w:r>
        <w:rPr>
          <w:rFonts w:hint="eastAsia" w:ascii="宋体" w:hAnsi="宋体"/>
          <w:color w:val="auto"/>
          <w:sz w:val="24"/>
          <w:highlight w:val="none"/>
          <w:u w:val="single"/>
          <w:lang w:eastAsia="zh-CN"/>
        </w:rPr>
        <w:t>永嘉县瓯北第三小学科学实验室设备</w:t>
      </w:r>
      <w:r>
        <w:rPr>
          <w:rFonts w:hint="eastAsia" w:ascii="宋体" w:hAnsi="宋体"/>
          <w:color w:val="auto"/>
          <w:sz w:val="24"/>
          <w:highlight w:val="none"/>
          <w:u w:val="single"/>
        </w:rPr>
        <w:t>项目【招标编号：】</w:t>
      </w:r>
      <w:r>
        <w:rPr>
          <w:rFonts w:hint="eastAsia" w:ascii="宋体" w:hAnsi="宋体"/>
          <w:color w:val="auto"/>
          <w:sz w:val="24"/>
          <w:highlight w:val="none"/>
          <w:lang w:val="zh-CN"/>
        </w:rPr>
        <w:t>政府采购投标的一切事项，其法律后果由我方承担。</w:t>
      </w:r>
    </w:p>
    <w:p w14:paraId="11B86ED6">
      <w:pPr>
        <w:snapToGrid w:val="0"/>
        <w:spacing w:line="360" w:lineRule="auto"/>
        <w:rPr>
          <w:rFonts w:ascii="宋体" w:hAnsi="宋体"/>
          <w:color w:val="auto"/>
          <w:sz w:val="24"/>
          <w:highlight w:val="none"/>
        </w:rPr>
      </w:pPr>
      <w:r>
        <w:rPr>
          <w:rFonts w:hint="eastAsia" w:ascii="宋体" w:hAnsi="宋体"/>
          <w:color w:val="auto"/>
          <w:sz w:val="24"/>
          <w:highlight w:val="none"/>
        </w:rPr>
        <w:t xml:space="preserve">    </w:t>
      </w:r>
      <w:r>
        <w:rPr>
          <w:rFonts w:hint="eastAsia" w:ascii="宋体" w:hAnsi="宋体"/>
          <w:color w:val="auto"/>
          <w:sz w:val="24"/>
          <w:highlight w:val="none"/>
          <w:lang w:val="zh-CN"/>
        </w:rPr>
        <w:t>委托期限</w:t>
      </w:r>
      <w:r>
        <w:rPr>
          <w:rFonts w:hint="eastAsia" w:ascii="宋体" w:hAnsi="宋体"/>
          <w:color w:val="auto"/>
          <w:sz w:val="24"/>
          <w:highlight w:val="none"/>
        </w:rPr>
        <w:t>：</w:t>
      </w:r>
      <w:r>
        <w:rPr>
          <w:rFonts w:hint="eastAsia" w:ascii="宋体" w:hAnsi="宋体"/>
          <w:color w:val="auto"/>
          <w:sz w:val="24"/>
          <w:highlight w:val="none"/>
          <w:lang w:val="zh-CN"/>
        </w:rPr>
        <w:t>自</w:t>
      </w:r>
      <w:r>
        <w:rPr>
          <w:rFonts w:hint="eastAsia" w:ascii="宋体" w:hAnsi="宋体"/>
          <w:color w:val="auto"/>
          <w:sz w:val="24"/>
          <w:highlight w:val="none"/>
        </w:rPr>
        <w:t xml:space="preserve">   </w:t>
      </w:r>
      <w:r>
        <w:rPr>
          <w:rFonts w:hint="eastAsia" w:ascii="宋体" w:hAnsi="宋体"/>
          <w:color w:val="auto"/>
          <w:sz w:val="24"/>
          <w:highlight w:val="none"/>
          <w:lang w:val="zh-CN"/>
        </w:rPr>
        <w:t>年</w:t>
      </w:r>
      <w:r>
        <w:rPr>
          <w:rFonts w:hint="eastAsia" w:ascii="宋体" w:hAnsi="宋体"/>
          <w:color w:val="auto"/>
          <w:sz w:val="24"/>
          <w:highlight w:val="none"/>
        </w:rPr>
        <w:t xml:space="preserve"> </w:t>
      </w:r>
      <w:r>
        <w:rPr>
          <w:rFonts w:hint="eastAsia" w:ascii="宋体" w:hAnsi="宋体"/>
          <w:color w:val="auto"/>
          <w:sz w:val="24"/>
          <w:highlight w:val="none"/>
          <w:lang w:val="zh-CN"/>
        </w:rPr>
        <w:t>月</w:t>
      </w:r>
      <w:r>
        <w:rPr>
          <w:rFonts w:hint="eastAsia" w:ascii="宋体" w:hAnsi="宋体"/>
          <w:color w:val="auto"/>
          <w:sz w:val="24"/>
          <w:highlight w:val="none"/>
        </w:rPr>
        <w:t xml:space="preserve">  </w:t>
      </w:r>
      <w:r>
        <w:rPr>
          <w:rFonts w:hint="eastAsia" w:ascii="宋体" w:hAnsi="宋体"/>
          <w:color w:val="auto"/>
          <w:sz w:val="24"/>
          <w:highlight w:val="none"/>
          <w:lang w:val="zh-CN"/>
        </w:rPr>
        <w:t>日起至</w:t>
      </w:r>
      <w:r>
        <w:rPr>
          <w:rFonts w:hint="eastAsia" w:ascii="宋体" w:hAnsi="宋体"/>
          <w:color w:val="auto"/>
          <w:sz w:val="24"/>
          <w:highlight w:val="none"/>
        </w:rPr>
        <w:t xml:space="preserve">  </w:t>
      </w:r>
      <w:r>
        <w:rPr>
          <w:rFonts w:hint="eastAsia" w:ascii="宋体" w:hAnsi="宋体"/>
          <w:color w:val="auto"/>
          <w:sz w:val="24"/>
          <w:highlight w:val="none"/>
          <w:lang w:val="zh-CN"/>
        </w:rPr>
        <w:t>年</w:t>
      </w:r>
      <w:r>
        <w:rPr>
          <w:rFonts w:hint="eastAsia" w:ascii="宋体" w:hAnsi="宋体"/>
          <w:color w:val="auto"/>
          <w:sz w:val="24"/>
          <w:highlight w:val="none"/>
        </w:rPr>
        <w:t xml:space="preserve">  </w:t>
      </w:r>
      <w:r>
        <w:rPr>
          <w:rFonts w:hint="eastAsia" w:ascii="宋体" w:hAnsi="宋体"/>
          <w:color w:val="auto"/>
          <w:sz w:val="24"/>
          <w:highlight w:val="none"/>
          <w:lang w:val="zh-CN"/>
        </w:rPr>
        <w:t>月</w:t>
      </w:r>
      <w:r>
        <w:rPr>
          <w:rFonts w:hint="eastAsia" w:ascii="宋体" w:hAnsi="宋体"/>
          <w:color w:val="auto"/>
          <w:sz w:val="24"/>
          <w:highlight w:val="none"/>
        </w:rPr>
        <w:t xml:space="preserve">  </w:t>
      </w:r>
      <w:r>
        <w:rPr>
          <w:rFonts w:hint="eastAsia" w:ascii="宋体" w:hAnsi="宋体"/>
          <w:color w:val="auto"/>
          <w:sz w:val="24"/>
          <w:highlight w:val="none"/>
          <w:lang w:val="zh-CN"/>
        </w:rPr>
        <w:t>日止。</w:t>
      </w:r>
    </w:p>
    <w:p w14:paraId="2451725A">
      <w:pPr>
        <w:snapToGrid w:val="0"/>
        <w:spacing w:line="360" w:lineRule="auto"/>
        <w:rPr>
          <w:rFonts w:ascii="宋体" w:hAnsi="宋体"/>
          <w:color w:val="auto"/>
          <w:sz w:val="24"/>
          <w:highlight w:val="none"/>
        </w:rPr>
      </w:pPr>
      <w:r>
        <w:rPr>
          <w:rFonts w:hint="eastAsia" w:ascii="宋体" w:hAnsi="宋体"/>
          <w:color w:val="auto"/>
          <w:sz w:val="24"/>
          <w:highlight w:val="none"/>
        </w:rPr>
        <w:t xml:space="preserve">    </w:t>
      </w:r>
      <w:r>
        <w:rPr>
          <w:rFonts w:hint="eastAsia" w:ascii="宋体" w:hAnsi="宋体"/>
          <w:color w:val="auto"/>
          <w:sz w:val="24"/>
          <w:highlight w:val="none"/>
          <w:lang w:val="zh-CN"/>
        </w:rPr>
        <w:t>特此告知。</w:t>
      </w:r>
    </w:p>
    <w:p w14:paraId="0E74B3C9">
      <w:pPr>
        <w:snapToGrid w:val="0"/>
        <w:spacing w:line="360" w:lineRule="auto"/>
        <w:rPr>
          <w:rFonts w:hint="eastAsia" w:ascii="宋体" w:hAnsi="宋体"/>
          <w:color w:val="auto"/>
          <w:sz w:val="24"/>
          <w:highlight w:val="none"/>
          <w:lang w:val="zh-CN"/>
        </w:rPr>
      </w:pPr>
      <w:r>
        <w:rPr>
          <w:rFonts w:hint="eastAsia" w:ascii="宋体" w:hAnsi="宋体"/>
          <w:color w:val="auto"/>
          <w:sz w:val="24"/>
          <w:highlight w:val="none"/>
          <w:lang w:val="zh-CN"/>
        </w:rPr>
        <w:t xml:space="preserve">                                                </w:t>
      </w:r>
    </w:p>
    <w:p w14:paraId="01CDF7F7">
      <w:pPr>
        <w:snapToGrid w:val="0"/>
        <w:spacing w:line="360" w:lineRule="auto"/>
        <w:ind w:firstLine="6023" w:firstLineChars="2500"/>
        <w:rPr>
          <w:rFonts w:ascii="宋体" w:hAnsi="宋体"/>
          <w:color w:val="auto"/>
          <w:sz w:val="24"/>
          <w:highlight w:val="none"/>
        </w:rPr>
      </w:pPr>
      <w:r>
        <w:rPr>
          <w:rFonts w:hint="eastAsia" w:ascii="宋体" w:hAnsi="宋体"/>
          <w:color w:val="auto"/>
          <w:sz w:val="24"/>
          <w:highlight w:val="none"/>
          <w:lang w:val="zh-CN"/>
        </w:rPr>
        <w:t>投标人名称(电子签名)：</w:t>
      </w:r>
    </w:p>
    <w:p w14:paraId="5808D23C">
      <w:pPr>
        <w:snapToGrid w:val="0"/>
        <w:spacing w:line="360" w:lineRule="auto"/>
        <w:rPr>
          <w:rFonts w:ascii="宋体" w:hAnsi="宋体"/>
          <w:color w:val="auto"/>
          <w:sz w:val="24"/>
          <w:highlight w:val="none"/>
          <w:lang w:val="zh-CN"/>
        </w:rPr>
      </w:pPr>
      <w:r>
        <w:rPr>
          <w:rFonts w:hint="eastAsia" w:ascii="宋体" w:hAnsi="宋体"/>
          <w:color w:val="auto"/>
          <w:sz w:val="24"/>
          <w:highlight w:val="none"/>
          <w:lang w:val="zh-CN"/>
        </w:rPr>
        <w:t xml:space="preserve">                                                 签发日期：  年  月   日</w:t>
      </w:r>
    </w:p>
    <w:p w14:paraId="795FD6C3">
      <w:pPr>
        <w:snapToGrid w:val="0"/>
        <w:spacing w:line="360" w:lineRule="auto"/>
        <w:rPr>
          <w:rFonts w:ascii="宋体" w:hAnsi="宋体"/>
          <w:color w:val="auto"/>
          <w:sz w:val="24"/>
          <w:highlight w:val="none"/>
        </w:rPr>
      </w:pPr>
    </w:p>
    <w:p w14:paraId="20B3F220">
      <w:pPr>
        <w:snapToGrid w:val="0"/>
        <w:spacing w:line="360" w:lineRule="auto"/>
        <w:jc w:val="center"/>
        <w:rPr>
          <w:rFonts w:ascii="宋体" w:hAnsi="宋体"/>
          <w:color w:val="auto"/>
          <w:sz w:val="32"/>
          <w:szCs w:val="32"/>
          <w:highlight w:val="none"/>
        </w:rPr>
      </w:pPr>
      <w:r>
        <w:rPr>
          <w:rFonts w:hint="eastAsia" w:ascii="宋体" w:hAnsi="宋体"/>
          <w:color w:val="auto"/>
          <w:sz w:val="32"/>
          <w:szCs w:val="32"/>
          <w:highlight w:val="none"/>
          <w:lang w:val="zh-CN"/>
        </w:rPr>
        <w:t>授权委托书（适用于联合体投标）</w:t>
      </w:r>
    </w:p>
    <w:p w14:paraId="76F08BCB">
      <w:pPr>
        <w:snapToGrid w:val="0"/>
        <w:spacing w:line="360" w:lineRule="auto"/>
        <w:rPr>
          <w:rFonts w:ascii="宋体" w:hAnsi="宋体"/>
          <w:color w:val="auto"/>
          <w:sz w:val="24"/>
          <w:highlight w:val="none"/>
        </w:rPr>
      </w:pPr>
      <w:r>
        <w:rPr>
          <w:rFonts w:hint="eastAsia" w:ascii="宋体" w:hAnsi="宋体"/>
          <w:color w:val="auto"/>
          <w:sz w:val="24"/>
          <w:highlight w:val="none"/>
          <w:lang w:eastAsia="zh-CN"/>
        </w:rPr>
        <w:t>永嘉县瓯北第三小学</w:t>
      </w:r>
      <w:r>
        <w:rPr>
          <w:rFonts w:hint="eastAsia" w:ascii="宋体" w:hAnsi="宋体"/>
          <w:color w:val="auto"/>
          <w:sz w:val="24"/>
          <w:highlight w:val="none"/>
        </w:rPr>
        <w:t>、</w:t>
      </w:r>
      <w:r>
        <w:rPr>
          <w:rFonts w:hint="eastAsia" w:ascii="宋体" w:hAnsi="宋体"/>
          <w:color w:val="auto"/>
          <w:sz w:val="24"/>
          <w:highlight w:val="none"/>
          <w:lang w:eastAsia="zh-CN"/>
        </w:rPr>
        <w:t>温州国利项目管理咨询有限公司</w:t>
      </w:r>
      <w:r>
        <w:rPr>
          <w:rFonts w:hint="eastAsia" w:ascii="宋体" w:hAnsi="宋体"/>
          <w:color w:val="auto"/>
          <w:sz w:val="24"/>
          <w:highlight w:val="none"/>
          <w:lang w:val="zh-CN"/>
        </w:rPr>
        <w:t>：</w:t>
      </w:r>
    </w:p>
    <w:p w14:paraId="0AA51DA4">
      <w:pPr>
        <w:snapToGrid w:val="0"/>
        <w:spacing w:line="360" w:lineRule="auto"/>
        <w:ind w:firstLine="576"/>
        <w:rPr>
          <w:rFonts w:ascii="宋体" w:hAnsi="宋体"/>
          <w:color w:val="auto"/>
          <w:sz w:val="24"/>
          <w:highlight w:val="none"/>
        </w:rPr>
      </w:pPr>
      <w:r>
        <w:rPr>
          <w:rFonts w:hint="eastAsia" w:ascii="宋体" w:hAnsi="宋体"/>
          <w:color w:val="auto"/>
          <w:sz w:val="24"/>
          <w:highlight w:val="none"/>
        </w:rPr>
        <w:t>现</w:t>
      </w:r>
      <w:r>
        <w:rPr>
          <w:rFonts w:hint="eastAsia" w:ascii="宋体" w:hAnsi="宋体"/>
          <w:color w:val="auto"/>
          <w:sz w:val="24"/>
          <w:highlight w:val="none"/>
          <w:lang w:val="zh-CN"/>
        </w:rPr>
        <w:t>委托</w:t>
      </w:r>
      <w:r>
        <w:rPr>
          <w:rFonts w:hint="eastAsia" w:ascii="宋体" w:hAnsi="宋体"/>
          <w:color w:val="auto"/>
          <w:sz w:val="24"/>
          <w:highlight w:val="none"/>
          <w:u w:val="single"/>
          <w:lang w:val="zh-CN"/>
        </w:rPr>
        <w:t xml:space="preserve">          </w:t>
      </w:r>
      <w:r>
        <w:rPr>
          <w:rFonts w:hint="eastAsia" w:ascii="宋体" w:hAnsi="宋体"/>
          <w:color w:val="auto"/>
          <w:sz w:val="24"/>
          <w:highlight w:val="none"/>
          <w:lang w:val="zh-CN"/>
        </w:rPr>
        <w:t>（姓名）为我方代理人（身份证号码：</w:t>
      </w:r>
      <w:r>
        <w:rPr>
          <w:rFonts w:hint="eastAsia" w:ascii="宋体" w:hAnsi="宋体"/>
          <w:color w:val="auto"/>
          <w:sz w:val="24"/>
          <w:highlight w:val="none"/>
          <w:u w:val="single"/>
          <w:lang w:val="zh-CN"/>
        </w:rPr>
        <w:t xml:space="preserve">          </w:t>
      </w:r>
      <w:r>
        <w:rPr>
          <w:rFonts w:hint="eastAsia" w:ascii="宋体" w:hAnsi="宋体"/>
          <w:color w:val="auto"/>
          <w:sz w:val="24"/>
          <w:highlight w:val="none"/>
          <w:lang w:val="zh-CN"/>
        </w:rPr>
        <w:t>，手机：</w:t>
      </w:r>
      <w:r>
        <w:rPr>
          <w:rFonts w:hint="eastAsia" w:ascii="宋体" w:hAnsi="宋体"/>
          <w:color w:val="auto"/>
          <w:sz w:val="24"/>
          <w:highlight w:val="none"/>
          <w:u w:val="single"/>
          <w:lang w:val="zh-CN"/>
        </w:rPr>
        <w:t xml:space="preserve">          </w:t>
      </w:r>
      <w:r>
        <w:rPr>
          <w:rFonts w:hint="eastAsia" w:ascii="宋体" w:hAnsi="宋体"/>
          <w:color w:val="auto"/>
          <w:sz w:val="24"/>
          <w:highlight w:val="none"/>
          <w:lang w:val="zh-CN"/>
        </w:rPr>
        <w:t>），以我方名义处理</w:t>
      </w:r>
      <w:r>
        <w:rPr>
          <w:rFonts w:hint="eastAsia" w:ascii="宋体" w:hAnsi="宋体"/>
          <w:color w:val="auto"/>
          <w:sz w:val="24"/>
          <w:highlight w:val="none"/>
          <w:lang w:eastAsia="zh-CN"/>
        </w:rPr>
        <w:t>永嘉县瓯北第三小学科学实验室设备</w:t>
      </w:r>
      <w:r>
        <w:rPr>
          <w:rFonts w:hint="eastAsia" w:ascii="宋体" w:hAnsi="宋体"/>
          <w:color w:val="auto"/>
          <w:sz w:val="24"/>
          <w:highlight w:val="none"/>
        </w:rPr>
        <w:t>项目【招标编号：】</w:t>
      </w:r>
      <w:r>
        <w:rPr>
          <w:rFonts w:hint="eastAsia" w:ascii="宋体" w:hAnsi="宋体"/>
          <w:color w:val="auto"/>
          <w:sz w:val="24"/>
          <w:highlight w:val="none"/>
          <w:lang w:val="zh-CN"/>
        </w:rPr>
        <w:t>政府采购投标的一切事项，其法律后果由我方承担。</w:t>
      </w:r>
    </w:p>
    <w:p w14:paraId="4A6C9EA2">
      <w:pPr>
        <w:snapToGrid w:val="0"/>
        <w:spacing w:line="360" w:lineRule="auto"/>
        <w:rPr>
          <w:rFonts w:ascii="宋体" w:hAnsi="宋体"/>
          <w:color w:val="auto"/>
          <w:sz w:val="24"/>
          <w:highlight w:val="none"/>
        </w:rPr>
      </w:pPr>
      <w:r>
        <w:rPr>
          <w:rFonts w:hint="eastAsia" w:ascii="宋体" w:hAnsi="宋体"/>
          <w:color w:val="auto"/>
          <w:sz w:val="24"/>
          <w:highlight w:val="none"/>
        </w:rPr>
        <w:t xml:space="preserve">    </w:t>
      </w:r>
      <w:r>
        <w:rPr>
          <w:rFonts w:hint="eastAsia" w:ascii="宋体" w:hAnsi="宋体"/>
          <w:color w:val="auto"/>
          <w:sz w:val="24"/>
          <w:highlight w:val="none"/>
          <w:lang w:val="zh-CN"/>
        </w:rPr>
        <w:t>委托期限</w:t>
      </w:r>
      <w:r>
        <w:rPr>
          <w:rFonts w:hint="eastAsia" w:ascii="宋体" w:hAnsi="宋体"/>
          <w:color w:val="auto"/>
          <w:sz w:val="24"/>
          <w:highlight w:val="none"/>
        </w:rPr>
        <w:t>：</w:t>
      </w:r>
      <w:r>
        <w:rPr>
          <w:rFonts w:hint="eastAsia" w:ascii="宋体" w:hAnsi="宋体"/>
          <w:color w:val="auto"/>
          <w:sz w:val="24"/>
          <w:highlight w:val="none"/>
          <w:lang w:val="zh-CN"/>
        </w:rPr>
        <w:t>自</w:t>
      </w:r>
      <w:r>
        <w:rPr>
          <w:rFonts w:hint="eastAsia" w:ascii="宋体" w:hAnsi="宋体"/>
          <w:color w:val="auto"/>
          <w:sz w:val="24"/>
          <w:highlight w:val="none"/>
        </w:rPr>
        <w:t xml:space="preserve">   </w:t>
      </w:r>
      <w:r>
        <w:rPr>
          <w:rFonts w:hint="eastAsia" w:ascii="宋体" w:hAnsi="宋体"/>
          <w:color w:val="auto"/>
          <w:sz w:val="24"/>
          <w:highlight w:val="none"/>
          <w:lang w:val="zh-CN"/>
        </w:rPr>
        <w:t>年</w:t>
      </w:r>
      <w:r>
        <w:rPr>
          <w:rFonts w:hint="eastAsia" w:ascii="宋体" w:hAnsi="宋体"/>
          <w:color w:val="auto"/>
          <w:sz w:val="24"/>
          <w:highlight w:val="none"/>
        </w:rPr>
        <w:t xml:space="preserve"> </w:t>
      </w:r>
      <w:r>
        <w:rPr>
          <w:rFonts w:hint="eastAsia" w:ascii="宋体" w:hAnsi="宋体"/>
          <w:color w:val="auto"/>
          <w:sz w:val="24"/>
          <w:highlight w:val="none"/>
          <w:lang w:val="zh-CN"/>
        </w:rPr>
        <w:t>月</w:t>
      </w:r>
      <w:r>
        <w:rPr>
          <w:rFonts w:hint="eastAsia" w:ascii="宋体" w:hAnsi="宋体"/>
          <w:color w:val="auto"/>
          <w:sz w:val="24"/>
          <w:highlight w:val="none"/>
        </w:rPr>
        <w:t xml:space="preserve">  </w:t>
      </w:r>
      <w:r>
        <w:rPr>
          <w:rFonts w:hint="eastAsia" w:ascii="宋体" w:hAnsi="宋体"/>
          <w:color w:val="auto"/>
          <w:sz w:val="24"/>
          <w:highlight w:val="none"/>
          <w:lang w:val="zh-CN"/>
        </w:rPr>
        <w:t>日起至</w:t>
      </w:r>
      <w:r>
        <w:rPr>
          <w:rFonts w:hint="eastAsia" w:ascii="宋体" w:hAnsi="宋体"/>
          <w:color w:val="auto"/>
          <w:sz w:val="24"/>
          <w:highlight w:val="none"/>
        </w:rPr>
        <w:t xml:space="preserve">  </w:t>
      </w:r>
      <w:r>
        <w:rPr>
          <w:rFonts w:hint="eastAsia" w:ascii="宋体" w:hAnsi="宋体"/>
          <w:color w:val="auto"/>
          <w:sz w:val="24"/>
          <w:highlight w:val="none"/>
          <w:lang w:val="zh-CN"/>
        </w:rPr>
        <w:t>年</w:t>
      </w:r>
      <w:r>
        <w:rPr>
          <w:rFonts w:hint="eastAsia" w:ascii="宋体" w:hAnsi="宋体"/>
          <w:color w:val="auto"/>
          <w:sz w:val="24"/>
          <w:highlight w:val="none"/>
        </w:rPr>
        <w:t xml:space="preserve">  </w:t>
      </w:r>
      <w:r>
        <w:rPr>
          <w:rFonts w:hint="eastAsia" w:ascii="宋体" w:hAnsi="宋体"/>
          <w:color w:val="auto"/>
          <w:sz w:val="24"/>
          <w:highlight w:val="none"/>
          <w:lang w:val="zh-CN"/>
        </w:rPr>
        <w:t>月</w:t>
      </w:r>
      <w:r>
        <w:rPr>
          <w:rFonts w:hint="eastAsia" w:ascii="宋体" w:hAnsi="宋体"/>
          <w:color w:val="auto"/>
          <w:sz w:val="24"/>
          <w:highlight w:val="none"/>
        </w:rPr>
        <w:t xml:space="preserve">  </w:t>
      </w:r>
      <w:r>
        <w:rPr>
          <w:rFonts w:hint="eastAsia" w:ascii="宋体" w:hAnsi="宋体"/>
          <w:color w:val="auto"/>
          <w:sz w:val="24"/>
          <w:highlight w:val="none"/>
          <w:lang w:val="zh-CN"/>
        </w:rPr>
        <w:t>日止。</w:t>
      </w:r>
    </w:p>
    <w:p w14:paraId="1D27713E">
      <w:pPr>
        <w:snapToGrid w:val="0"/>
        <w:spacing w:line="360" w:lineRule="auto"/>
        <w:rPr>
          <w:rFonts w:ascii="宋体" w:hAnsi="宋体"/>
          <w:color w:val="auto"/>
          <w:sz w:val="24"/>
          <w:highlight w:val="none"/>
        </w:rPr>
      </w:pPr>
      <w:r>
        <w:rPr>
          <w:rFonts w:hint="eastAsia" w:ascii="宋体" w:hAnsi="宋体"/>
          <w:color w:val="auto"/>
          <w:sz w:val="24"/>
          <w:highlight w:val="none"/>
        </w:rPr>
        <w:t xml:space="preserve">    </w:t>
      </w:r>
      <w:r>
        <w:rPr>
          <w:rFonts w:hint="eastAsia" w:ascii="宋体" w:hAnsi="宋体"/>
          <w:color w:val="auto"/>
          <w:sz w:val="24"/>
          <w:highlight w:val="none"/>
          <w:lang w:val="zh-CN"/>
        </w:rPr>
        <w:t>特此告知。</w:t>
      </w:r>
    </w:p>
    <w:p w14:paraId="2CE71173">
      <w:pPr>
        <w:jc w:val="center"/>
        <w:rPr>
          <w:rFonts w:ascii="宋体" w:hAnsi="宋体"/>
          <w:color w:val="auto"/>
          <w:sz w:val="32"/>
          <w:szCs w:val="32"/>
          <w:highlight w:val="none"/>
        </w:rPr>
      </w:pPr>
    </w:p>
    <w:p w14:paraId="6ADE93CF">
      <w:pPr>
        <w:rPr>
          <w:rFonts w:ascii="宋体" w:hAnsi="宋体"/>
          <w:color w:val="auto"/>
          <w:highlight w:val="none"/>
        </w:rPr>
      </w:pPr>
    </w:p>
    <w:p w14:paraId="081ACEDB">
      <w:pPr>
        <w:snapToGrid w:val="0"/>
        <w:spacing w:line="360" w:lineRule="auto"/>
        <w:ind w:firstLine="5060" w:firstLineChars="2100"/>
        <w:rPr>
          <w:rFonts w:ascii="宋体" w:hAnsi="宋体"/>
          <w:color w:val="auto"/>
          <w:sz w:val="24"/>
          <w:highlight w:val="none"/>
          <w:lang w:val="zh-CN"/>
        </w:rPr>
      </w:pPr>
      <w:r>
        <w:rPr>
          <w:rFonts w:hint="eastAsia" w:ascii="宋体" w:hAnsi="宋体"/>
          <w:color w:val="auto"/>
          <w:sz w:val="24"/>
          <w:highlight w:val="none"/>
          <w:lang w:val="zh-CN"/>
        </w:rPr>
        <w:t>联合体成员名称(电子签名/公章)：</w:t>
      </w:r>
    </w:p>
    <w:p w14:paraId="3E210B25">
      <w:pPr>
        <w:snapToGrid w:val="0"/>
        <w:spacing w:line="360" w:lineRule="auto"/>
        <w:ind w:firstLine="5060" w:firstLineChars="2100"/>
        <w:rPr>
          <w:rFonts w:ascii="宋体" w:hAnsi="宋体"/>
          <w:color w:val="auto"/>
          <w:sz w:val="24"/>
          <w:highlight w:val="none"/>
          <w:lang w:val="zh-CN"/>
        </w:rPr>
      </w:pPr>
      <w:r>
        <w:rPr>
          <w:rFonts w:hint="eastAsia" w:ascii="宋体" w:hAnsi="宋体"/>
          <w:color w:val="auto"/>
          <w:sz w:val="24"/>
          <w:highlight w:val="none"/>
          <w:lang w:val="zh-CN"/>
        </w:rPr>
        <w:t>联合体成员名称(电子签名/公章)：</w:t>
      </w:r>
    </w:p>
    <w:p w14:paraId="72F1A520">
      <w:pPr>
        <w:snapToGrid w:val="0"/>
        <w:spacing w:line="360" w:lineRule="auto"/>
        <w:ind w:firstLine="5783" w:firstLineChars="2400"/>
        <w:rPr>
          <w:rFonts w:ascii="宋体" w:hAnsi="宋体"/>
          <w:color w:val="auto"/>
          <w:highlight w:val="none"/>
        </w:rPr>
      </w:pPr>
      <w:r>
        <w:rPr>
          <w:rFonts w:hint="eastAsia" w:ascii="宋体" w:hAnsi="宋体"/>
          <w:color w:val="auto"/>
          <w:sz w:val="24"/>
          <w:highlight w:val="none"/>
          <w:lang w:val="zh-CN"/>
        </w:rPr>
        <w:t>……</w:t>
      </w:r>
    </w:p>
    <w:p w14:paraId="5680CAFF">
      <w:pPr>
        <w:snapToGrid w:val="0"/>
        <w:spacing w:line="360" w:lineRule="auto"/>
        <w:rPr>
          <w:rFonts w:ascii="宋体" w:hAnsi="宋体"/>
          <w:color w:val="auto"/>
          <w:sz w:val="24"/>
          <w:highlight w:val="none"/>
          <w:lang w:val="zh-CN"/>
        </w:rPr>
      </w:pPr>
      <w:r>
        <w:rPr>
          <w:rFonts w:hint="eastAsia" w:ascii="宋体" w:hAnsi="宋体"/>
          <w:color w:val="auto"/>
          <w:sz w:val="24"/>
          <w:highlight w:val="none"/>
          <w:lang w:val="zh-CN"/>
        </w:rPr>
        <w:t xml:space="preserve">                                               日期：  年  月   日</w:t>
      </w:r>
    </w:p>
    <w:p w14:paraId="44D30ADC">
      <w:pPr>
        <w:autoSpaceDE w:val="0"/>
        <w:autoSpaceDN w:val="0"/>
        <w:spacing w:line="360" w:lineRule="auto"/>
        <w:jc w:val="center"/>
        <w:rPr>
          <w:rFonts w:hint="eastAsia" w:ascii="宋体" w:hAnsi="宋体"/>
          <w:color w:val="auto"/>
          <w:sz w:val="32"/>
          <w:szCs w:val="32"/>
          <w:highlight w:val="none"/>
          <w:lang w:val="zh-CN"/>
        </w:rPr>
      </w:pPr>
    </w:p>
    <w:p w14:paraId="29A15F01">
      <w:pPr>
        <w:autoSpaceDE w:val="0"/>
        <w:autoSpaceDN w:val="0"/>
        <w:spacing w:line="360" w:lineRule="auto"/>
        <w:jc w:val="center"/>
        <w:rPr>
          <w:rFonts w:hint="eastAsia" w:ascii="宋体" w:hAnsi="宋体"/>
          <w:color w:val="auto"/>
          <w:sz w:val="32"/>
          <w:szCs w:val="32"/>
          <w:highlight w:val="none"/>
          <w:lang w:val="zh-CN"/>
        </w:rPr>
      </w:pPr>
    </w:p>
    <w:p w14:paraId="548FEFAD">
      <w:pPr>
        <w:autoSpaceDE w:val="0"/>
        <w:autoSpaceDN w:val="0"/>
        <w:spacing w:line="360" w:lineRule="auto"/>
        <w:jc w:val="center"/>
        <w:rPr>
          <w:rFonts w:ascii="宋体" w:hAnsi="宋体"/>
          <w:color w:val="auto"/>
          <w:sz w:val="24"/>
          <w:highlight w:val="none"/>
        </w:rPr>
      </w:pPr>
      <w:r>
        <w:rPr>
          <w:rFonts w:hint="eastAsia" w:ascii="宋体" w:hAnsi="宋体"/>
          <w:color w:val="auto"/>
          <w:sz w:val="32"/>
          <w:szCs w:val="32"/>
          <w:highlight w:val="none"/>
          <w:lang w:val="zh-CN"/>
        </w:rPr>
        <w:t>法定代表人、单位负责人或自然人本人</w:t>
      </w:r>
      <w:r>
        <w:rPr>
          <w:rFonts w:hint="eastAsia" w:ascii="宋体" w:hAnsi="宋体"/>
          <w:color w:val="auto"/>
          <w:sz w:val="30"/>
          <w:szCs w:val="30"/>
          <w:highlight w:val="none"/>
        </w:rPr>
        <w:t>的身份证明（适用于法定代表人、单位负责人或者自然人本人代表投标人参加投标）</w:t>
      </w:r>
    </w:p>
    <w:p w14:paraId="0D867E4F">
      <w:pPr>
        <w:pStyle w:val="348"/>
        <w:spacing w:line="360" w:lineRule="auto"/>
        <w:rPr>
          <w:rFonts w:hAnsi="宋体" w:cs="宋体"/>
          <w:bCs/>
          <w:color w:val="auto"/>
          <w:sz w:val="24"/>
          <w:highlight w:val="none"/>
        </w:rPr>
      </w:pPr>
      <w:r>
        <w:rPr>
          <w:rFonts w:hint="eastAsia" w:hAnsi="宋体" w:cs="宋体"/>
          <w:bCs/>
          <w:color w:val="auto"/>
          <w:sz w:val="24"/>
          <w:highlight w:val="none"/>
        </w:rPr>
        <w:t>身份证件扫描件：</w:t>
      </w:r>
    </w:p>
    <w:tbl>
      <w:tblPr>
        <w:tblStyle w:val="4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14:paraId="62356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2" w:hRule="atLeast"/>
          <w:jc w:val="center"/>
        </w:trPr>
        <w:tc>
          <w:tcPr>
            <w:tcW w:w="9207" w:type="dxa"/>
            <w:noWrap w:val="0"/>
            <w:vAlign w:val="top"/>
          </w:tcPr>
          <w:p w14:paraId="3116A07F">
            <w:pPr>
              <w:pStyle w:val="348"/>
              <w:adjustRightInd w:val="0"/>
              <w:spacing w:line="360" w:lineRule="auto"/>
              <w:rPr>
                <w:rFonts w:hAnsi="宋体" w:cs="宋体"/>
                <w:bCs/>
                <w:color w:val="auto"/>
                <w:sz w:val="24"/>
                <w:highlight w:val="none"/>
              </w:rPr>
            </w:pPr>
            <w:r>
              <w:rPr>
                <w:rFonts w:hint="eastAsia" w:hAnsi="宋体" w:cs="宋体"/>
                <w:bCs/>
                <w:color w:val="auto"/>
                <w:sz w:val="24"/>
                <w:highlight w:val="none"/>
              </w:rPr>
              <w:t>正面：                                 反面：</w:t>
            </w:r>
          </w:p>
          <w:p w14:paraId="4D7B8B47">
            <w:pPr>
              <w:pStyle w:val="348"/>
              <w:adjustRightInd w:val="0"/>
              <w:spacing w:line="360" w:lineRule="auto"/>
              <w:rPr>
                <w:rFonts w:hAnsi="宋体" w:cs="宋体"/>
                <w:bCs/>
                <w:color w:val="auto"/>
                <w:sz w:val="24"/>
                <w:highlight w:val="none"/>
              </w:rPr>
            </w:pPr>
          </w:p>
        </w:tc>
      </w:tr>
    </w:tbl>
    <w:p w14:paraId="5B0B6DDA">
      <w:pPr>
        <w:snapToGrid w:val="0"/>
        <w:spacing w:line="360" w:lineRule="auto"/>
        <w:ind w:firstLine="576"/>
        <w:jc w:val="center"/>
        <w:rPr>
          <w:rFonts w:ascii="宋体" w:hAnsi="宋体"/>
          <w:color w:val="auto"/>
          <w:sz w:val="24"/>
          <w:highlight w:val="none"/>
          <w:lang w:val="zh-CN"/>
        </w:rPr>
      </w:pPr>
      <w:r>
        <w:rPr>
          <w:rFonts w:hint="eastAsia" w:ascii="宋体" w:hAnsi="宋体"/>
          <w:color w:val="auto"/>
          <w:sz w:val="24"/>
          <w:highlight w:val="none"/>
          <w:lang w:val="zh-CN"/>
        </w:rPr>
        <w:t xml:space="preserve">                 </w:t>
      </w:r>
    </w:p>
    <w:p w14:paraId="3CF8AC8C">
      <w:pPr>
        <w:snapToGrid w:val="0"/>
        <w:spacing w:line="360" w:lineRule="auto"/>
        <w:ind w:firstLine="576"/>
        <w:jc w:val="center"/>
        <w:rPr>
          <w:rFonts w:ascii="宋体" w:hAnsi="宋体"/>
          <w:color w:val="auto"/>
          <w:sz w:val="24"/>
          <w:highlight w:val="none"/>
          <w:lang w:val="zh-CN"/>
        </w:rPr>
      </w:pPr>
      <w:r>
        <w:rPr>
          <w:rFonts w:hint="eastAsia" w:ascii="宋体" w:hAnsi="宋体"/>
          <w:color w:val="auto"/>
          <w:sz w:val="24"/>
          <w:highlight w:val="none"/>
          <w:lang w:val="zh-CN"/>
        </w:rPr>
        <w:t xml:space="preserve">                  投标人名称(电子签名)：                              </w:t>
      </w:r>
    </w:p>
    <w:p w14:paraId="25829114">
      <w:pPr>
        <w:spacing w:line="360" w:lineRule="auto"/>
        <w:jc w:val="center"/>
        <w:rPr>
          <w:rFonts w:ascii="宋体" w:hAnsi="宋体"/>
          <w:color w:val="auto"/>
          <w:sz w:val="24"/>
          <w:highlight w:val="none"/>
          <w:lang w:val="zh-CN"/>
        </w:rPr>
      </w:pPr>
      <w:r>
        <w:rPr>
          <w:rFonts w:hint="eastAsia" w:ascii="宋体" w:hAnsi="宋体"/>
          <w:color w:val="auto"/>
          <w:sz w:val="24"/>
          <w:highlight w:val="none"/>
          <w:lang w:val="zh-CN"/>
        </w:rPr>
        <w:t xml:space="preserve">                   日期：  年  月  日</w:t>
      </w:r>
    </w:p>
    <w:p w14:paraId="1217E1AB">
      <w:pPr>
        <w:jc w:val="center"/>
        <w:rPr>
          <w:rFonts w:ascii="宋体" w:hAnsi="宋体"/>
          <w:color w:val="auto"/>
          <w:sz w:val="32"/>
          <w:szCs w:val="32"/>
          <w:highlight w:val="none"/>
        </w:rPr>
      </w:pPr>
    </w:p>
    <w:p w14:paraId="0D0C4B8A">
      <w:pPr>
        <w:jc w:val="center"/>
        <w:rPr>
          <w:rFonts w:ascii="宋体" w:hAnsi="宋体"/>
          <w:color w:val="auto"/>
          <w:sz w:val="32"/>
          <w:szCs w:val="32"/>
          <w:highlight w:val="none"/>
        </w:rPr>
      </w:pPr>
    </w:p>
    <w:p w14:paraId="6CA2567F">
      <w:pPr>
        <w:jc w:val="center"/>
        <w:rPr>
          <w:rFonts w:ascii="宋体" w:hAnsi="宋体"/>
          <w:color w:val="auto"/>
          <w:sz w:val="32"/>
          <w:szCs w:val="32"/>
          <w:highlight w:val="none"/>
        </w:rPr>
      </w:pPr>
    </w:p>
    <w:p w14:paraId="765D3388">
      <w:pPr>
        <w:jc w:val="center"/>
        <w:rPr>
          <w:rFonts w:ascii="宋体" w:hAnsi="宋体"/>
          <w:color w:val="auto"/>
          <w:sz w:val="32"/>
          <w:szCs w:val="32"/>
          <w:highlight w:val="none"/>
        </w:rPr>
      </w:pPr>
    </w:p>
    <w:p w14:paraId="14CC34B5">
      <w:pPr>
        <w:jc w:val="center"/>
        <w:rPr>
          <w:rFonts w:ascii="宋体" w:hAnsi="宋体"/>
          <w:color w:val="auto"/>
          <w:sz w:val="32"/>
          <w:szCs w:val="32"/>
          <w:highlight w:val="none"/>
        </w:rPr>
      </w:pPr>
    </w:p>
    <w:p w14:paraId="1C7195E3">
      <w:pPr>
        <w:jc w:val="center"/>
        <w:rPr>
          <w:rFonts w:ascii="宋体" w:hAnsi="宋体"/>
          <w:color w:val="auto"/>
          <w:sz w:val="32"/>
          <w:szCs w:val="32"/>
          <w:highlight w:val="none"/>
        </w:rPr>
      </w:pPr>
    </w:p>
    <w:p w14:paraId="63ABAC1D">
      <w:pPr>
        <w:jc w:val="center"/>
        <w:rPr>
          <w:rFonts w:ascii="宋体" w:hAnsi="宋体"/>
          <w:color w:val="auto"/>
          <w:sz w:val="32"/>
          <w:szCs w:val="32"/>
          <w:highlight w:val="none"/>
        </w:rPr>
      </w:pPr>
    </w:p>
    <w:p w14:paraId="0DD2E77B">
      <w:pPr>
        <w:jc w:val="center"/>
        <w:rPr>
          <w:rFonts w:ascii="宋体" w:hAnsi="宋体"/>
          <w:color w:val="auto"/>
          <w:sz w:val="32"/>
          <w:szCs w:val="32"/>
          <w:highlight w:val="none"/>
        </w:rPr>
      </w:pPr>
    </w:p>
    <w:p w14:paraId="49CDEAED">
      <w:pPr>
        <w:jc w:val="center"/>
        <w:rPr>
          <w:rFonts w:ascii="宋体" w:hAnsi="宋体"/>
          <w:color w:val="auto"/>
          <w:sz w:val="32"/>
          <w:szCs w:val="32"/>
          <w:highlight w:val="none"/>
        </w:rPr>
      </w:pPr>
    </w:p>
    <w:p w14:paraId="5086D545">
      <w:pPr>
        <w:jc w:val="center"/>
        <w:rPr>
          <w:rFonts w:ascii="宋体" w:hAnsi="宋体"/>
          <w:color w:val="auto"/>
          <w:sz w:val="32"/>
          <w:szCs w:val="32"/>
          <w:highlight w:val="none"/>
        </w:rPr>
      </w:pPr>
    </w:p>
    <w:p w14:paraId="7C4DAA8B">
      <w:pPr>
        <w:snapToGrid w:val="0"/>
        <w:spacing w:line="360" w:lineRule="auto"/>
        <w:ind w:right="480"/>
        <w:rPr>
          <w:rFonts w:ascii="宋体" w:hAnsi="宋体"/>
          <w:color w:val="auto"/>
          <w:sz w:val="32"/>
          <w:szCs w:val="32"/>
          <w:highlight w:val="none"/>
        </w:rPr>
        <w:sectPr>
          <w:headerReference r:id="rId7" w:type="first"/>
          <w:footerReference r:id="rId9" w:type="first"/>
          <w:headerReference r:id="rId6" w:type="default"/>
          <w:footerReference r:id="rId8" w:type="default"/>
          <w:pgSz w:w="11906" w:h="16838"/>
          <w:pgMar w:top="1463" w:right="1304" w:bottom="1531" w:left="1417" w:header="850" w:footer="992" w:gutter="0"/>
          <w:pgBorders>
            <w:top w:val="none" w:sz="0" w:space="0"/>
            <w:left w:val="none" w:sz="0" w:space="0"/>
            <w:bottom w:val="none" w:sz="0" w:space="0"/>
            <w:right w:val="none" w:sz="0" w:space="0"/>
          </w:pgBorders>
          <w:cols w:space="0" w:num="1"/>
          <w:titlePg/>
          <w:rtlGutter w:val="0"/>
          <w:docGrid w:linePitch="312" w:charSpace="0"/>
        </w:sectPr>
      </w:pPr>
    </w:p>
    <w:p w14:paraId="480A11A4">
      <w:pPr>
        <w:snapToGrid w:val="0"/>
        <w:spacing w:line="360" w:lineRule="auto"/>
        <w:jc w:val="center"/>
        <w:rPr>
          <w:rFonts w:ascii="宋体" w:hAnsi="宋体"/>
          <w:color w:val="auto"/>
          <w:sz w:val="32"/>
          <w:szCs w:val="32"/>
          <w:highlight w:val="none"/>
        </w:rPr>
      </w:pPr>
      <w:r>
        <w:rPr>
          <w:rFonts w:hint="eastAsia" w:ascii="宋体" w:hAnsi="宋体"/>
          <w:color w:val="auto"/>
          <w:sz w:val="32"/>
          <w:szCs w:val="32"/>
          <w:highlight w:val="none"/>
        </w:rPr>
        <w:t>三、分包意向协议（如果有）</w:t>
      </w:r>
    </w:p>
    <w:p w14:paraId="636368DF">
      <w:pPr>
        <w:widowControl/>
        <w:spacing w:line="360" w:lineRule="auto"/>
        <w:ind w:firstLine="120" w:firstLineChars="50"/>
        <w:jc w:val="left"/>
        <w:rPr>
          <w:rFonts w:ascii="宋体" w:hAnsi="宋体"/>
          <w:color w:val="auto"/>
          <w:sz w:val="24"/>
          <w:highlight w:val="none"/>
        </w:rPr>
      </w:pPr>
      <w:r>
        <w:rPr>
          <w:rFonts w:hint="eastAsia" w:ascii="宋体" w:hAnsi="宋体"/>
          <w:color w:val="auto"/>
          <w:sz w:val="24"/>
          <w:highlight w:val="none"/>
        </w:rPr>
        <w:t>[中标后以分包方式履行合同的，提供分包意向协议(附件6</w:t>
      </w:r>
      <w:r>
        <w:rPr>
          <w:rFonts w:ascii="宋体" w:hAnsi="宋体"/>
          <w:color w:val="auto"/>
          <w:sz w:val="24"/>
          <w:highlight w:val="none"/>
        </w:rPr>
        <w:t>)</w:t>
      </w:r>
      <w:r>
        <w:rPr>
          <w:rFonts w:hint="eastAsia" w:ascii="宋体" w:hAnsi="宋体"/>
          <w:color w:val="auto"/>
          <w:sz w:val="24"/>
          <w:highlight w:val="none"/>
        </w:rPr>
        <w:t>；采购人不同意分包或者投标人中标后不以分包方式履行合同的，则不需要提供。]</w:t>
      </w:r>
    </w:p>
    <w:p w14:paraId="2C17A978">
      <w:pPr>
        <w:snapToGrid w:val="0"/>
        <w:spacing w:line="360" w:lineRule="auto"/>
        <w:rPr>
          <w:rFonts w:ascii="宋体" w:hAnsi="宋体"/>
          <w:color w:val="auto"/>
          <w:sz w:val="24"/>
          <w:highlight w:val="none"/>
        </w:rPr>
      </w:pPr>
    </w:p>
    <w:p w14:paraId="0E9F0044">
      <w:pPr>
        <w:jc w:val="center"/>
        <w:rPr>
          <w:rFonts w:ascii="宋体" w:hAnsi="宋体"/>
          <w:color w:val="auto"/>
          <w:sz w:val="32"/>
          <w:szCs w:val="32"/>
          <w:highlight w:val="none"/>
        </w:rPr>
      </w:pPr>
      <w:r>
        <w:rPr>
          <w:rFonts w:hint="eastAsia" w:ascii="宋体" w:hAnsi="宋体"/>
          <w:color w:val="auto"/>
          <w:sz w:val="32"/>
          <w:szCs w:val="32"/>
          <w:highlight w:val="none"/>
        </w:rPr>
        <w:t>四、符合性审查资料</w:t>
      </w:r>
    </w:p>
    <w:p w14:paraId="0A1CD703">
      <w:pPr>
        <w:jc w:val="center"/>
        <w:rPr>
          <w:rFonts w:ascii="宋体" w:hAnsi="宋体"/>
          <w:color w:val="auto"/>
          <w:sz w:val="32"/>
          <w:szCs w:val="32"/>
          <w:highlight w:val="none"/>
        </w:rPr>
      </w:pPr>
    </w:p>
    <w:tbl>
      <w:tblPr>
        <w:tblStyle w:val="48"/>
        <w:tblW w:w="96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3865"/>
        <w:gridCol w:w="3677"/>
        <w:gridCol w:w="1418"/>
      </w:tblGrid>
      <w:tr w14:paraId="32CC1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646" w:type="dxa"/>
            <w:noWrap w:val="0"/>
            <w:vAlign w:val="center"/>
          </w:tcPr>
          <w:p w14:paraId="686D1E82">
            <w:pPr>
              <w:snapToGrid w:val="0"/>
              <w:spacing w:line="240" w:lineRule="atLeast"/>
              <w:jc w:val="center"/>
              <w:rPr>
                <w:rFonts w:ascii="宋体" w:hAnsi="宋体"/>
                <w:color w:val="auto"/>
                <w:sz w:val="24"/>
                <w:highlight w:val="none"/>
              </w:rPr>
            </w:pPr>
            <w:r>
              <w:rPr>
                <w:rFonts w:hint="eastAsia" w:ascii="宋体" w:hAnsi="宋体"/>
                <w:color w:val="auto"/>
                <w:sz w:val="24"/>
                <w:highlight w:val="none"/>
              </w:rPr>
              <w:t>序号</w:t>
            </w:r>
          </w:p>
        </w:tc>
        <w:tc>
          <w:tcPr>
            <w:tcW w:w="3865" w:type="dxa"/>
            <w:noWrap w:val="0"/>
            <w:vAlign w:val="center"/>
          </w:tcPr>
          <w:p w14:paraId="6BB3258B">
            <w:pPr>
              <w:snapToGrid w:val="0"/>
              <w:spacing w:line="240" w:lineRule="atLeast"/>
              <w:jc w:val="center"/>
              <w:rPr>
                <w:rFonts w:ascii="宋体" w:hAnsi="宋体"/>
                <w:color w:val="auto"/>
                <w:sz w:val="24"/>
                <w:highlight w:val="none"/>
              </w:rPr>
            </w:pPr>
            <w:r>
              <w:rPr>
                <w:rFonts w:hint="eastAsia" w:ascii="宋体" w:hAnsi="宋体"/>
                <w:color w:val="auto"/>
                <w:sz w:val="24"/>
                <w:highlight w:val="none"/>
              </w:rPr>
              <w:t>实质性要求</w:t>
            </w:r>
          </w:p>
        </w:tc>
        <w:tc>
          <w:tcPr>
            <w:tcW w:w="3677" w:type="dxa"/>
            <w:noWrap w:val="0"/>
            <w:vAlign w:val="center"/>
          </w:tcPr>
          <w:p w14:paraId="02A3035A">
            <w:pPr>
              <w:snapToGrid w:val="0"/>
              <w:spacing w:line="240" w:lineRule="atLeast"/>
              <w:jc w:val="center"/>
              <w:rPr>
                <w:rFonts w:ascii="宋体" w:hAnsi="宋体"/>
                <w:color w:val="auto"/>
                <w:sz w:val="24"/>
                <w:highlight w:val="none"/>
              </w:rPr>
            </w:pPr>
            <w:r>
              <w:rPr>
                <w:rFonts w:hint="eastAsia" w:ascii="宋体" w:hAnsi="宋体"/>
                <w:color w:val="auto"/>
                <w:sz w:val="24"/>
                <w:highlight w:val="none"/>
              </w:rPr>
              <w:t>需要提供的符合性审查资料</w:t>
            </w:r>
          </w:p>
        </w:tc>
        <w:tc>
          <w:tcPr>
            <w:tcW w:w="1418" w:type="dxa"/>
            <w:noWrap w:val="0"/>
            <w:vAlign w:val="center"/>
          </w:tcPr>
          <w:p w14:paraId="20465A56">
            <w:pPr>
              <w:snapToGrid w:val="0"/>
              <w:spacing w:line="240" w:lineRule="atLeast"/>
              <w:jc w:val="center"/>
              <w:rPr>
                <w:rFonts w:ascii="宋体" w:hAnsi="宋体"/>
                <w:color w:val="auto"/>
                <w:sz w:val="24"/>
                <w:highlight w:val="none"/>
              </w:rPr>
            </w:pPr>
            <w:r>
              <w:rPr>
                <w:rFonts w:hint="eastAsia" w:ascii="宋体" w:hAnsi="宋体"/>
                <w:color w:val="auto"/>
                <w:sz w:val="24"/>
                <w:highlight w:val="none"/>
              </w:rPr>
              <w:t>投标文件中的</w:t>
            </w:r>
          </w:p>
          <w:p w14:paraId="69716D19">
            <w:pPr>
              <w:snapToGrid w:val="0"/>
              <w:spacing w:line="240" w:lineRule="atLeast"/>
              <w:jc w:val="center"/>
              <w:rPr>
                <w:rFonts w:ascii="宋体" w:hAnsi="宋体"/>
                <w:color w:val="auto"/>
                <w:sz w:val="24"/>
                <w:highlight w:val="none"/>
              </w:rPr>
            </w:pPr>
            <w:r>
              <w:rPr>
                <w:rFonts w:hint="eastAsia" w:ascii="宋体" w:hAnsi="宋体"/>
                <w:color w:val="auto"/>
                <w:sz w:val="24"/>
                <w:highlight w:val="none"/>
              </w:rPr>
              <w:t>页码位置</w:t>
            </w:r>
          </w:p>
        </w:tc>
      </w:tr>
      <w:tr w14:paraId="15170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noWrap w:val="0"/>
            <w:vAlign w:val="center"/>
          </w:tcPr>
          <w:p w14:paraId="4800FE81">
            <w:pPr>
              <w:jc w:val="center"/>
              <w:rPr>
                <w:rFonts w:ascii="宋体" w:hAnsi="宋体"/>
                <w:color w:val="auto"/>
                <w:sz w:val="24"/>
                <w:highlight w:val="none"/>
              </w:rPr>
            </w:pPr>
            <w:r>
              <w:rPr>
                <w:rFonts w:hint="eastAsia" w:ascii="宋体" w:hAnsi="宋体"/>
                <w:color w:val="auto"/>
                <w:sz w:val="24"/>
                <w:highlight w:val="none"/>
              </w:rPr>
              <w:t>1</w:t>
            </w:r>
          </w:p>
        </w:tc>
        <w:tc>
          <w:tcPr>
            <w:tcW w:w="3865" w:type="dxa"/>
            <w:noWrap w:val="0"/>
            <w:vAlign w:val="center"/>
          </w:tcPr>
          <w:p w14:paraId="4245FE00">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宋体" w:hAnsi="宋体"/>
                <w:color w:val="auto"/>
                <w:sz w:val="24"/>
                <w:highlight w:val="none"/>
              </w:rPr>
            </w:pPr>
            <w:r>
              <w:rPr>
                <w:rFonts w:hint="eastAsia" w:ascii="宋体" w:hAnsi="宋体"/>
                <w:color w:val="auto"/>
                <w:sz w:val="24"/>
                <w:highlight w:val="none"/>
              </w:rPr>
              <w:t>投标文件按照招标文件要求需签署、盖章的（如法人授权委托书、廉洁自律承诺书、投标标的清单等）</w:t>
            </w:r>
          </w:p>
        </w:tc>
        <w:tc>
          <w:tcPr>
            <w:tcW w:w="3677" w:type="dxa"/>
            <w:noWrap w:val="0"/>
            <w:vAlign w:val="center"/>
          </w:tcPr>
          <w:p w14:paraId="4391EF2A">
            <w:pPr>
              <w:jc w:val="both"/>
              <w:rPr>
                <w:rFonts w:ascii="宋体" w:hAnsi="宋体"/>
                <w:color w:val="auto"/>
                <w:sz w:val="24"/>
                <w:highlight w:val="none"/>
              </w:rPr>
            </w:pPr>
            <w:r>
              <w:rPr>
                <w:rFonts w:hint="eastAsia" w:ascii="宋体" w:hAnsi="宋体"/>
                <w:color w:val="auto"/>
                <w:sz w:val="24"/>
                <w:highlight w:val="none"/>
              </w:rPr>
              <w:t>提供需要使用电子签名或者签字盖章的投标文件的组成部分（法人授权委托书、廉洁自律承诺书、投标标的清单等是否均已签署、盖章）</w:t>
            </w:r>
          </w:p>
        </w:tc>
        <w:tc>
          <w:tcPr>
            <w:tcW w:w="1418" w:type="dxa"/>
            <w:noWrap w:val="0"/>
            <w:vAlign w:val="center"/>
          </w:tcPr>
          <w:p w14:paraId="075CF146">
            <w:pPr>
              <w:jc w:val="both"/>
              <w:rPr>
                <w:rFonts w:ascii="宋体" w:hAnsi="宋体"/>
                <w:color w:val="auto"/>
                <w:sz w:val="24"/>
                <w:highlight w:val="none"/>
              </w:rPr>
            </w:pPr>
          </w:p>
          <w:p w14:paraId="241F2146">
            <w:pPr>
              <w:jc w:val="both"/>
              <w:rPr>
                <w:rFonts w:ascii="宋体" w:hAnsi="宋体"/>
                <w:color w:val="auto"/>
                <w:sz w:val="24"/>
                <w:highlight w:val="none"/>
              </w:rPr>
            </w:pPr>
            <w:r>
              <w:rPr>
                <w:rFonts w:hint="eastAsia" w:ascii="宋体" w:hAnsi="宋体"/>
                <w:color w:val="auto"/>
                <w:sz w:val="24"/>
                <w:highlight w:val="none"/>
              </w:rPr>
              <w:t>见投标文件</w:t>
            </w:r>
          </w:p>
          <w:p w14:paraId="399B6894">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宋体" w:hAnsi="宋体"/>
                <w:color w:val="auto"/>
                <w:highlight w:val="none"/>
              </w:rPr>
            </w:pPr>
            <w:r>
              <w:rPr>
                <w:rFonts w:hint="eastAsia" w:ascii="宋体" w:hAnsi="宋体"/>
                <w:color w:val="auto"/>
                <w:sz w:val="24"/>
                <w:highlight w:val="none"/>
              </w:rPr>
              <w:t>第</w:t>
            </w:r>
            <w:r>
              <w:rPr>
                <w:rFonts w:hint="eastAsia" w:ascii="宋体" w:hAnsi="宋体"/>
                <w:color w:val="auto"/>
                <w:sz w:val="24"/>
                <w:highlight w:val="none"/>
                <w:u w:val="single"/>
              </w:rPr>
              <w:t xml:space="preserve">  </w:t>
            </w:r>
            <w:r>
              <w:rPr>
                <w:rFonts w:hint="eastAsia" w:ascii="宋体" w:hAnsi="宋体"/>
                <w:color w:val="auto"/>
                <w:sz w:val="24"/>
                <w:highlight w:val="none"/>
              </w:rPr>
              <w:t>页</w:t>
            </w:r>
          </w:p>
        </w:tc>
      </w:tr>
      <w:tr w14:paraId="6862F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noWrap w:val="0"/>
            <w:vAlign w:val="center"/>
          </w:tcPr>
          <w:p w14:paraId="170E98DA">
            <w:pPr>
              <w:jc w:val="center"/>
              <w:rPr>
                <w:rFonts w:ascii="宋体" w:hAnsi="宋体"/>
                <w:color w:val="auto"/>
                <w:sz w:val="24"/>
                <w:highlight w:val="none"/>
              </w:rPr>
            </w:pPr>
            <w:r>
              <w:rPr>
                <w:rFonts w:hint="eastAsia" w:ascii="宋体" w:hAnsi="宋体"/>
                <w:color w:val="auto"/>
                <w:sz w:val="24"/>
                <w:highlight w:val="none"/>
              </w:rPr>
              <w:t>2</w:t>
            </w:r>
          </w:p>
        </w:tc>
        <w:tc>
          <w:tcPr>
            <w:tcW w:w="3865" w:type="dxa"/>
            <w:noWrap w:val="0"/>
            <w:vAlign w:val="center"/>
          </w:tcPr>
          <w:p w14:paraId="4110E95B">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宋体" w:hAnsi="宋体"/>
                <w:color w:val="auto"/>
                <w:sz w:val="24"/>
                <w:highlight w:val="none"/>
              </w:rPr>
            </w:pPr>
            <w:r>
              <w:rPr>
                <w:rFonts w:hint="eastAsia" w:ascii="宋体" w:hAnsi="宋体"/>
                <w:color w:val="auto"/>
                <w:sz w:val="24"/>
                <w:highlight w:val="none"/>
              </w:rPr>
              <w:t>投标文件中承诺的投标有效期不少于招标文件中载明的投标有效期。</w:t>
            </w:r>
          </w:p>
        </w:tc>
        <w:tc>
          <w:tcPr>
            <w:tcW w:w="3677" w:type="dxa"/>
            <w:noWrap w:val="0"/>
            <w:vAlign w:val="center"/>
          </w:tcPr>
          <w:p w14:paraId="5F4ABFAE">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宋体" w:hAnsi="宋体"/>
                <w:color w:val="auto"/>
                <w:sz w:val="24"/>
                <w:highlight w:val="none"/>
              </w:rPr>
            </w:pPr>
            <w:r>
              <w:rPr>
                <w:rFonts w:hint="eastAsia" w:ascii="宋体" w:hAnsi="宋体"/>
                <w:color w:val="auto"/>
                <w:sz w:val="24"/>
                <w:highlight w:val="none"/>
              </w:rPr>
              <w:t>投标函</w:t>
            </w:r>
          </w:p>
        </w:tc>
        <w:tc>
          <w:tcPr>
            <w:tcW w:w="1418" w:type="dxa"/>
            <w:noWrap w:val="0"/>
            <w:vAlign w:val="center"/>
          </w:tcPr>
          <w:p w14:paraId="69146998">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宋体" w:hAnsi="宋体"/>
                <w:color w:val="auto"/>
                <w:highlight w:val="none"/>
              </w:rPr>
            </w:pPr>
            <w:r>
              <w:rPr>
                <w:rFonts w:hint="eastAsia" w:ascii="宋体" w:hAnsi="宋体"/>
                <w:color w:val="auto"/>
                <w:sz w:val="24"/>
                <w:highlight w:val="none"/>
              </w:rPr>
              <w:t>见投标文件第</w:t>
            </w:r>
            <w:r>
              <w:rPr>
                <w:rFonts w:hint="eastAsia" w:ascii="宋体" w:hAnsi="宋体"/>
                <w:color w:val="auto"/>
                <w:sz w:val="24"/>
                <w:highlight w:val="none"/>
                <w:u w:val="single"/>
              </w:rPr>
              <w:t xml:space="preserve">  </w:t>
            </w:r>
            <w:r>
              <w:rPr>
                <w:rFonts w:hint="eastAsia" w:ascii="宋体" w:hAnsi="宋体"/>
                <w:color w:val="auto"/>
                <w:sz w:val="24"/>
                <w:highlight w:val="none"/>
              </w:rPr>
              <w:t>页</w:t>
            </w:r>
          </w:p>
        </w:tc>
      </w:tr>
      <w:tr w14:paraId="1105C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noWrap w:val="0"/>
            <w:vAlign w:val="center"/>
          </w:tcPr>
          <w:p w14:paraId="4688BBD2">
            <w:pPr>
              <w:jc w:val="center"/>
              <w:rPr>
                <w:rFonts w:ascii="宋体" w:hAnsi="宋体"/>
                <w:color w:val="auto"/>
                <w:sz w:val="24"/>
                <w:highlight w:val="none"/>
              </w:rPr>
            </w:pPr>
            <w:r>
              <w:rPr>
                <w:rFonts w:hint="eastAsia" w:ascii="宋体" w:hAnsi="宋体"/>
                <w:color w:val="auto"/>
                <w:sz w:val="24"/>
                <w:highlight w:val="none"/>
              </w:rPr>
              <w:t>3</w:t>
            </w:r>
          </w:p>
        </w:tc>
        <w:tc>
          <w:tcPr>
            <w:tcW w:w="3865" w:type="dxa"/>
            <w:noWrap w:val="0"/>
            <w:vAlign w:val="center"/>
          </w:tcPr>
          <w:p w14:paraId="06337822">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宋体" w:hAnsi="宋体"/>
                <w:color w:val="auto"/>
                <w:sz w:val="24"/>
                <w:highlight w:val="none"/>
              </w:rPr>
            </w:pPr>
            <w:r>
              <w:rPr>
                <w:rFonts w:hint="eastAsia" w:ascii="宋体" w:hAnsi="宋体"/>
                <w:color w:val="auto"/>
                <w:sz w:val="24"/>
                <w:highlight w:val="none"/>
              </w:rPr>
              <w:t>投标文件满足招标文件第三部分采购需求参数里的其它实质性要求（如有）。</w:t>
            </w:r>
          </w:p>
        </w:tc>
        <w:tc>
          <w:tcPr>
            <w:tcW w:w="3677" w:type="dxa"/>
            <w:noWrap w:val="0"/>
            <w:vAlign w:val="center"/>
          </w:tcPr>
          <w:p w14:paraId="10EE6DF1">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宋体" w:hAnsi="宋体"/>
                <w:color w:val="auto"/>
                <w:sz w:val="24"/>
                <w:highlight w:val="none"/>
              </w:rPr>
            </w:pPr>
            <w:r>
              <w:rPr>
                <w:rFonts w:hint="eastAsia" w:ascii="宋体" w:hAnsi="宋体"/>
                <w:color w:val="auto"/>
                <w:sz w:val="24"/>
                <w:highlight w:val="none"/>
              </w:rPr>
              <w:t>提供招标文件需求参数里的其它实质性要求相应的材料（“▲且加下线部分”系指实质性要求条款，招标文件无其它实质性要求的，无需提供）</w:t>
            </w:r>
          </w:p>
        </w:tc>
        <w:tc>
          <w:tcPr>
            <w:tcW w:w="1418" w:type="dxa"/>
            <w:noWrap w:val="0"/>
            <w:vAlign w:val="center"/>
          </w:tcPr>
          <w:p w14:paraId="2A88EB5D">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宋体" w:hAnsi="宋体"/>
                <w:color w:val="auto"/>
                <w:highlight w:val="none"/>
              </w:rPr>
            </w:pPr>
            <w:r>
              <w:rPr>
                <w:rFonts w:hint="eastAsia" w:ascii="宋体" w:hAnsi="宋体"/>
                <w:color w:val="auto"/>
                <w:sz w:val="24"/>
                <w:highlight w:val="none"/>
              </w:rPr>
              <w:t>见投标文件第</w:t>
            </w:r>
            <w:r>
              <w:rPr>
                <w:rFonts w:hint="eastAsia" w:ascii="宋体" w:hAnsi="宋体"/>
                <w:color w:val="auto"/>
                <w:sz w:val="24"/>
                <w:highlight w:val="none"/>
                <w:u w:val="single"/>
              </w:rPr>
              <w:t xml:space="preserve">  </w:t>
            </w:r>
            <w:r>
              <w:rPr>
                <w:rFonts w:hint="eastAsia" w:ascii="宋体" w:hAnsi="宋体"/>
                <w:color w:val="auto"/>
                <w:sz w:val="24"/>
                <w:highlight w:val="none"/>
              </w:rPr>
              <w:t>页</w:t>
            </w:r>
          </w:p>
        </w:tc>
      </w:tr>
    </w:tbl>
    <w:p w14:paraId="510FDD42">
      <w:pPr>
        <w:spacing w:line="360" w:lineRule="auto"/>
        <w:ind w:right="420"/>
        <w:rPr>
          <w:rFonts w:ascii="宋体" w:hAnsi="宋体"/>
          <w:color w:val="auto"/>
          <w:sz w:val="24"/>
          <w:highlight w:val="none"/>
        </w:rPr>
      </w:pPr>
      <w:r>
        <w:rPr>
          <w:rFonts w:hint="eastAsia" w:ascii="宋体" w:hAnsi="宋体"/>
          <w:color w:val="auto"/>
          <w:sz w:val="24"/>
          <w:highlight w:val="none"/>
        </w:rPr>
        <w:t>注：按本格式和要求提供。</w:t>
      </w:r>
    </w:p>
    <w:p w14:paraId="24EF285F">
      <w:pPr>
        <w:jc w:val="center"/>
        <w:rPr>
          <w:rFonts w:ascii="宋体" w:hAnsi="宋体"/>
          <w:color w:val="auto"/>
          <w:sz w:val="32"/>
          <w:szCs w:val="32"/>
          <w:highlight w:val="none"/>
        </w:rPr>
      </w:pPr>
    </w:p>
    <w:p w14:paraId="5E9BF9AB">
      <w:pPr>
        <w:jc w:val="center"/>
        <w:rPr>
          <w:rFonts w:ascii="宋体" w:hAnsi="宋体"/>
          <w:color w:val="auto"/>
          <w:sz w:val="32"/>
          <w:szCs w:val="32"/>
          <w:highlight w:val="none"/>
        </w:rPr>
      </w:pPr>
      <w:r>
        <w:rPr>
          <w:rFonts w:hint="eastAsia" w:ascii="宋体" w:hAnsi="宋体"/>
          <w:color w:val="auto"/>
          <w:sz w:val="32"/>
          <w:szCs w:val="32"/>
          <w:highlight w:val="none"/>
        </w:rPr>
        <w:t xml:space="preserve">    </w:t>
      </w:r>
    </w:p>
    <w:p w14:paraId="0B659989">
      <w:pPr>
        <w:jc w:val="center"/>
        <w:rPr>
          <w:rFonts w:ascii="宋体" w:hAnsi="宋体"/>
          <w:color w:val="auto"/>
          <w:sz w:val="32"/>
          <w:szCs w:val="32"/>
          <w:highlight w:val="none"/>
        </w:rPr>
      </w:pPr>
    </w:p>
    <w:p w14:paraId="7BC72952">
      <w:pPr>
        <w:jc w:val="center"/>
        <w:rPr>
          <w:rFonts w:ascii="宋体" w:hAnsi="宋体"/>
          <w:color w:val="auto"/>
          <w:sz w:val="32"/>
          <w:szCs w:val="32"/>
          <w:highlight w:val="none"/>
        </w:rPr>
      </w:pPr>
    </w:p>
    <w:p w14:paraId="51DBAEB7">
      <w:pPr>
        <w:jc w:val="center"/>
        <w:rPr>
          <w:rFonts w:ascii="宋体" w:hAnsi="宋体"/>
          <w:color w:val="auto"/>
          <w:sz w:val="32"/>
          <w:szCs w:val="32"/>
          <w:highlight w:val="none"/>
        </w:rPr>
      </w:pPr>
    </w:p>
    <w:p w14:paraId="61578D1E">
      <w:pPr>
        <w:jc w:val="center"/>
        <w:rPr>
          <w:rFonts w:ascii="宋体" w:hAnsi="宋体"/>
          <w:color w:val="auto"/>
          <w:sz w:val="32"/>
          <w:szCs w:val="32"/>
          <w:highlight w:val="none"/>
        </w:rPr>
      </w:pPr>
    </w:p>
    <w:p w14:paraId="7B4D77A8">
      <w:pPr>
        <w:jc w:val="center"/>
        <w:rPr>
          <w:rFonts w:ascii="宋体" w:hAnsi="宋体"/>
          <w:color w:val="auto"/>
          <w:sz w:val="32"/>
          <w:szCs w:val="32"/>
          <w:highlight w:val="none"/>
        </w:rPr>
      </w:pPr>
    </w:p>
    <w:p w14:paraId="4D52C95C">
      <w:pPr>
        <w:jc w:val="center"/>
        <w:rPr>
          <w:rFonts w:ascii="宋体" w:hAnsi="宋体"/>
          <w:color w:val="auto"/>
          <w:sz w:val="32"/>
          <w:szCs w:val="32"/>
          <w:highlight w:val="none"/>
        </w:rPr>
      </w:pPr>
    </w:p>
    <w:p w14:paraId="1DB37896">
      <w:pPr>
        <w:jc w:val="center"/>
        <w:rPr>
          <w:rFonts w:ascii="宋体" w:hAnsi="宋体"/>
          <w:color w:val="auto"/>
          <w:sz w:val="32"/>
          <w:szCs w:val="32"/>
          <w:highlight w:val="none"/>
        </w:rPr>
      </w:pPr>
    </w:p>
    <w:p w14:paraId="49252D15">
      <w:pPr>
        <w:jc w:val="center"/>
        <w:rPr>
          <w:rFonts w:ascii="宋体" w:hAnsi="宋体"/>
          <w:color w:val="auto"/>
          <w:sz w:val="32"/>
          <w:szCs w:val="32"/>
          <w:highlight w:val="none"/>
        </w:rPr>
      </w:pPr>
    </w:p>
    <w:p w14:paraId="16992B15">
      <w:pPr>
        <w:jc w:val="center"/>
        <w:rPr>
          <w:rFonts w:ascii="宋体" w:hAnsi="宋体"/>
          <w:color w:val="auto"/>
          <w:sz w:val="32"/>
          <w:szCs w:val="32"/>
          <w:highlight w:val="none"/>
        </w:rPr>
      </w:pPr>
    </w:p>
    <w:p w14:paraId="3975BCE2">
      <w:pPr>
        <w:jc w:val="center"/>
        <w:rPr>
          <w:rFonts w:ascii="宋体" w:hAnsi="宋体"/>
          <w:color w:val="auto"/>
          <w:sz w:val="32"/>
          <w:szCs w:val="32"/>
          <w:highlight w:val="none"/>
        </w:rPr>
      </w:pPr>
    </w:p>
    <w:p w14:paraId="1DBD65FD">
      <w:pPr>
        <w:jc w:val="center"/>
        <w:rPr>
          <w:rFonts w:ascii="宋体" w:hAnsi="宋体"/>
          <w:color w:val="auto"/>
          <w:sz w:val="32"/>
          <w:szCs w:val="32"/>
          <w:highlight w:val="none"/>
        </w:rPr>
      </w:pPr>
    </w:p>
    <w:p w14:paraId="44C3B929">
      <w:pPr>
        <w:jc w:val="center"/>
        <w:rPr>
          <w:rFonts w:ascii="宋体" w:hAnsi="宋体"/>
          <w:color w:val="auto"/>
          <w:highlight w:val="none"/>
        </w:rPr>
      </w:pPr>
      <w:r>
        <w:rPr>
          <w:rFonts w:hint="eastAsia" w:ascii="宋体" w:hAnsi="宋体"/>
          <w:color w:val="auto"/>
          <w:sz w:val="32"/>
          <w:szCs w:val="32"/>
          <w:highlight w:val="none"/>
        </w:rPr>
        <w:t>五、评标标准相应的商务技术资料</w:t>
      </w:r>
    </w:p>
    <w:p w14:paraId="35BE7D22">
      <w:pPr>
        <w:snapToGrid w:val="0"/>
        <w:spacing w:line="360" w:lineRule="auto"/>
        <w:jc w:val="left"/>
        <w:rPr>
          <w:rFonts w:hint="eastAsia" w:ascii="宋体" w:hAnsi="宋体"/>
          <w:color w:val="auto"/>
          <w:sz w:val="24"/>
          <w:highlight w:val="none"/>
        </w:rPr>
      </w:pPr>
    </w:p>
    <w:p w14:paraId="4ED301C4">
      <w:pPr>
        <w:snapToGrid w:val="0"/>
        <w:spacing w:line="360" w:lineRule="auto"/>
        <w:jc w:val="left"/>
        <w:rPr>
          <w:rFonts w:hint="eastAsia" w:ascii="宋体" w:hAnsi="宋体"/>
          <w:color w:val="auto"/>
          <w:sz w:val="24"/>
          <w:highlight w:val="none"/>
        </w:rPr>
      </w:pPr>
      <w:r>
        <w:rPr>
          <w:rFonts w:hint="eastAsia" w:ascii="宋体" w:hAnsi="宋体"/>
          <w:color w:val="auto"/>
          <w:sz w:val="24"/>
          <w:highlight w:val="none"/>
        </w:rPr>
        <w:t xml:space="preserve">（按招标文件第四部分评标办法前附表中“投标文件中评标标准相应的商务技术资料目录”提供资料。）【格式自拟】  </w:t>
      </w:r>
    </w:p>
    <w:p w14:paraId="0E4E8C77">
      <w:pPr>
        <w:snapToGrid w:val="0"/>
        <w:spacing w:line="360" w:lineRule="auto"/>
        <w:jc w:val="left"/>
        <w:rPr>
          <w:rFonts w:hint="eastAsia" w:ascii="宋体" w:hAnsi="宋体"/>
          <w:color w:val="auto"/>
          <w:sz w:val="24"/>
          <w:highlight w:val="none"/>
        </w:rPr>
      </w:pPr>
    </w:p>
    <w:p w14:paraId="050DBEBF">
      <w:pPr>
        <w:snapToGrid w:val="0"/>
        <w:spacing w:line="360" w:lineRule="auto"/>
        <w:jc w:val="left"/>
        <w:rPr>
          <w:rFonts w:hint="eastAsia" w:ascii="宋体" w:hAnsi="宋体"/>
          <w:color w:val="auto"/>
          <w:sz w:val="24"/>
          <w:highlight w:val="none"/>
        </w:rPr>
      </w:pPr>
      <w:r>
        <w:rPr>
          <w:rFonts w:hint="eastAsia" w:ascii="宋体" w:hAnsi="宋体"/>
          <w:color w:val="auto"/>
          <w:sz w:val="24"/>
          <w:highlight w:val="none"/>
        </w:rPr>
        <w:t xml:space="preserve"> </w:t>
      </w:r>
    </w:p>
    <w:p w14:paraId="45F2AAA8">
      <w:pPr>
        <w:ind w:firstLine="2891" w:firstLineChars="900"/>
        <w:rPr>
          <w:rFonts w:ascii="宋体" w:hAnsi="宋体"/>
          <w:color w:val="auto"/>
          <w:sz w:val="32"/>
          <w:szCs w:val="32"/>
          <w:highlight w:val="none"/>
        </w:rPr>
      </w:pPr>
      <w:r>
        <w:rPr>
          <w:rFonts w:hint="eastAsia" w:ascii="宋体" w:hAnsi="宋体"/>
          <w:color w:val="auto"/>
          <w:sz w:val="32"/>
          <w:szCs w:val="32"/>
          <w:highlight w:val="none"/>
        </w:rPr>
        <w:t>六、投标标的清单</w:t>
      </w:r>
    </w:p>
    <w:tbl>
      <w:tblPr>
        <w:tblStyle w:val="48"/>
        <w:tblW w:w="97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176"/>
        <w:gridCol w:w="1307"/>
        <w:gridCol w:w="1260"/>
        <w:gridCol w:w="2775"/>
        <w:gridCol w:w="930"/>
        <w:gridCol w:w="1526"/>
      </w:tblGrid>
      <w:tr w14:paraId="2C413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29CAF9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heme="minorEastAsia" w:hAnsiTheme="minorEastAsia"/>
                <w:b/>
                <w:color w:val="auto"/>
                <w:sz w:val="24"/>
                <w:highlight w:val="none"/>
              </w:rPr>
            </w:pPr>
            <w:r>
              <w:rPr>
                <w:rFonts w:hint="eastAsia" w:cs="宋体" w:asciiTheme="minorEastAsia" w:hAnsiTheme="minorEastAsia"/>
                <w:b/>
                <w:color w:val="auto"/>
                <w:sz w:val="24"/>
                <w:highlight w:val="none"/>
              </w:rPr>
              <w:t>序号</w:t>
            </w:r>
          </w:p>
        </w:tc>
        <w:tc>
          <w:tcPr>
            <w:tcW w:w="1176" w:type="dxa"/>
            <w:tcBorders>
              <w:top w:val="single" w:color="auto" w:sz="4" w:space="0"/>
              <w:left w:val="single" w:color="auto" w:sz="4" w:space="0"/>
              <w:bottom w:val="single" w:color="auto" w:sz="4" w:space="0"/>
              <w:right w:val="single" w:color="auto" w:sz="4" w:space="0"/>
            </w:tcBorders>
            <w:vAlign w:val="center"/>
          </w:tcPr>
          <w:p w14:paraId="28E0E4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heme="minorEastAsia" w:hAnsiTheme="minorEastAsia"/>
                <w:b/>
                <w:color w:val="auto"/>
                <w:sz w:val="24"/>
                <w:highlight w:val="none"/>
              </w:rPr>
            </w:pPr>
            <w:r>
              <w:rPr>
                <w:rFonts w:hint="eastAsia" w:asciiTheme="minorEastAsia" w:hAnsiTheme="minorEastAsia"/>
                <w:b/>
                <w:color w:val="auto"/>
                <w:sz w:val="24"/>
                <w:highlight w:val="none"/>
              </w:rPr>
              <w:t>名称</w:t>
            </w:r>
          </w:p>
        </w:tc>
        <w:tc>
          <w:tcPr>
            <w:tcW w:w="1307" w:type="dxa"/>
            <w:tcBorders>
              <w:top w:val="single" w:color="auto" w:sz="4" w:space="0"/>
              <w:left w:val="single" w:color="auto" w:sz="4" w:space="0"/>
              <w:bottom w:val="single" w:color="auto" w:sz="4" w:space="0"/>
              <w:right w:val="single" w:color="auto" w:sz="4" w:space="0"/>
            </w:tcBorders>
            <w:vAlign w:val="center"/>
          </w:tcPr>
          <w:p w14:paraId="73B796C9">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Theme="minorEastAsia" w:hAnsiTheme="minorEastAsia"/>
                <w:b/>
                <w:color w:val="auto"/>
                <w:sz w:val="24"/>
                <w:highlight w:val="none"/>
              </w:rPr>
            </w:pPr>
            <w:r>
              <w:rPr>
                <w:rFonts w:hint="eastAsia" w:asciiTheme="minorEastAsia" w:hAnsiTheme="minorEastAsia"/>
                <w:b/>
                <w:color w:val="auto"/>
                <w:sz w:val="24"/>
                <w:highlight w:val="none"/>
              </w:rPr>
              <w:t>品牌（如果有）</w:t>
            </w:r>
          </w:p>
        </w:tc>
        <w:tc>
          <w:tcPr>
            <w:tcW w:w="1260" w:type="dxa"/>
            <w:tcBorders>
              <w:top w:val="single" w:color="auto" w:sz="4" w:space="0"/>
              <w:left w:val="single" w:color="auto" w:sz="4" w:space="0"/>
              <w:bottom w:val="single" w:color="auto" w:sz="4" w:space="0"/>
              <w:right w:val="single" w:color="auto" w:sz="4" w:space="0"/>
            </w:tcBorders>
            <w:vAlign w:val="center"/>
          </w:tcPr>
          <w:p w14:paraId="2E5590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heme="minorEastAsia" w:hAnsiTheme="minorEastAsia"/>
                <w:b/>
                <w:color w:val="auto"/>
                <w:sz w:val="24"/>
                <w:highlight w:val="none"/>
              </w:rPr>
            </w:pPr>
            <w:r>
              <w:rPr>
                <w:rFonts w:hint="eastAsia" w:asciiTheme="minorEastAsia" w:hAnsiTheme="minorEastAsia"/>
                <w:b/>
                <w:color w:val="auto"/>
                <w:sz w:val="24"/>
                <w:highlight w:val="none"/>
              </w:rPr>
              <w:t>型号（如果有需填写完整）</w:t>
            </w:r>
          </w:p>
        </w:tc>
        <w:tc>
          <w:tcPr>
            <w:tcW w:w="2775" w:type="dxa"/>
            <w:tcBorders>
              <w:top w:val="single" w:color="auto" w:sz="4" w:space="0"/>
              <w:left w:val="single" w:color="auto" w:sz="4" w:space="0"/>
              <w:bottom w:val="single" w:color="auto" w:sz="4" w:space="0"/>
              <w:right w:val="single" w:color="auto" w:sz="4" w:space="0"/>
            </w:tcBorders>
            <w:vAlign w:val="center"/>
          </w:tcPr>
          <w:p w14:paraId="597457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heme="minorEastAsia" w:hAnsiTheme="minorEastAsia"/>
                <w:b/>
                <w:color w:val="auto"/>
                <w:sz w:val="24"/>
                <w:highlight w:val="none"/>
              </w:rPr>
            </w:pPr>
            <w:r>
              <w:rPr>
                <w:rFonts w:hint="eastAsia" w:asciiTheme="minorEastAsia" w:hAnsiTheme="minorEastAsia"/>
                <w:b/>
                <w:color w:val="auto"/>
                <w:sz w:val="24"/>
                <w:highlight w:val="none"/>
              </w:rPr>
              <w:t>规格配置</w:t>
            </w:r>
            <w:r>
              <w:rPr>
                <w:rFonts w:hint="eastAsia" w:cs="宋体" w:asciiTheme="minorEastAsia" w:hAnsiTheme="minorEastAsia"/>
                <w:b/>
                <w:color w:val="auto"/>
                <w:sz w:val="24"/>
                <w:highlight w:val="none"/>
              </w:rPr>
              <w:t>详细</w:t>
            </w:r>
            <w:r>
              <w:rPr>
                <w:rFonts w:hint="eastAsia" w:asciiTheme="minorEastAsia" w:hAnsiTheme="minorEastAsia"/>
                <w:b/>
                <w:color w:val="auto"/>
                <w:sz w:val="24"/>
                <w:highlight w:val="none"/>
              </w:rPr>
              <w:t>说明</w:t>
            </w:r>
          </w:p>
        </w:tc>
        <w:tc>
          <w:tcPr>
            <w:tcW w:w="930" w:type="dxa"/>
            <w:tcBorders>
              <w:top w:val="single" w:color="auto" w:sz="4" w:space="0"/>
              <w:left w:val="single" w:color="auto" w:sz="4" w:space="0"/>
              <w:bottom w:val="single" w:color="auto" w:sz="4" w:space="0"/>
              <w:right w:val="single" w:color="auto" w:sz="4" w:space="0"/>
            </w:tcBorders>
            <w:vAlign w:val="center"/>
          </w:tcPr>
          <w:p w14:paraId="551BF9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heme="minorEastAsia" w:hAnsiTheme="minorEastAsia"/>
                <w:b/>
                <w:color w:val="auto"/>
                <w:sz w:val="24"/>
                <w:highlight w:val="none"/>
              </w:rPr>
            </w:pPr>
            <w:r>
              <w:rPr>
                <w:rFonts w:hint="eastAsia" w:asciiTheme="minorEastAsia" w:hAnsiTheme="minorEastAsia"/>
                <w:b/>
                <w:color w:val="auto"/>
                <w:sz w:val="24"/>
                <w:highlight w:val="none"/>
              </w:rPr>
              <w:t>数量</w:t>
            </w:r>
          </w:p>
        </w:tc>
        <w:tc>
          <w:tcPr>
            <w:tcW w:w="1526" w:type="dxa"/>
            <w:tcBorders>
              <w:top w:val="single" w:color="auto" w:sz="4" w:space="0"/>
              <w:left w:val="single" w:color="auto" w:sz="4" w:space="0"/>
              <w:bottom w:val="single" w:color="auto" w:sz="4" w:space="0"/>
              <w:right w:val="single" w:color="auto" w:sz="4" w:space="0"/>
            </w:tcBorders>
            <w:vAlign w:val="center"/>
          </w:tcPr>
          <w:p w14:paraId="31F5B8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heme="minorEastAsia" w:hAnsiTheme="minorEastAsia"/>
                <w:b/>
                <w:color w:val="auto"/>
                <w:sz w:val="24"/>
                <w:highlight w:val="none"/>
              </w:rPr>
            </w:pPr>
            <w:r>
              <w:rPr>
                <w:rFonts w:hint="eastAsia" w:cs="宋体" w:asciiTheme="minorEastAsia" w:hAnsiTheme="minorEastAsia"/>
                <w:b/>
                <w:color w:val="auto"/>
                <w:sz w:val="24"/>
                <w:highlight w:val="none"/>
              </w:rPr>
              <w:t>备注</w:t>
            </w:r>
          </w:p>
        </w:tc>
      </w:tr>
      <w:tr w14:paraId="4F71E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55960387">
            <w:pPr>
              <w:spacing w:line="360" w:lineRule="auto"/>
              <w:jc w:val="center"/>
              <w:rPr>
                <w:rFonts w:asciiTheme="minorEastAsia" w:hAnsiTheme="minorEastAsia"/>
                <w:color w:val="auto"/>
                <w:sz w:val="24"/>
                <w:highlight w:val="none"/>
              </w:rPr>
            </w:pPr>
            <w:r>
              <w:rPr>
                <w:rFonts w:hint="eastAsia" w:asciiTheme="minorEastAsia" w:hAnsiTheme="minorEastAsia"/>
                <w:color w:val="auto"/>
                <w:sz w:val="24"/>
                <w:highlight w:val="none"/>
              </w:rPr>
              <w:t>1</w:t>
            </w:r>
          </w:p>
        </w:tc>
        <w:tc>
          <w:tcPr>
            <w:tcW w:w="1176" w:type="dxa"/>
            <w:tcBorders>
              <w:top w:val="single" w:color="auto" w:sz="4" w:space="0"/>
              <w:left w:val="single" w:color="auto" w:sz="4" w:space="0"/>
              <w:bottom w:val="single" w:color="auto" w:sz="4" w:space="0"/>
              <w:right w:val="single" w:color="auto" w:sz="4" w:space="0"/>
            </w:tcBorders>
            <w:vAlign w:val="center"/>
          </w:tcPr>
          <w:p w14:paraId="7F4C09D8">
            <w:pPr>
              <w:snapToGrid w:val="0"/>
              <w:spacing w:line="360" w:lineRule="auto"/>
              <w:jc w:val="center"/>
              <w:rPr>
                <w:rFonts w:asciiTheme="minorEastAsia" w:hAnsiTheme="minorEastAsia"/>
                <w:color w:val="auto"/>
                <w:sz w:val="24"/>
                <w:highlight w:val="none"/>
              </w:rPr>
            </w:pPr>
          </w:p>
        </w:tc>
        <w:tc>
          <w:tcPr>
            <w:tcW w:w="1307" w:type="dxa"/>
            <w:tcBorders>
              <w:top w:val="single" w:color="auto" w:sz="4" w:space="0"/>
              <w:left w:val="single" w:color="auto" w:sz="4" w:space="0"/>
              <w:bottom w:val="single" w:color="auto" w:sz="4" w:space="0"/>
              <w:right w:val="single" w:color="auto" w:sz="4" w:space="0"/>
            </w:tcBorders>
            <w:vAlign w:val="center"/>
          </w:tcPr>
          <w:p w14:paraId="41BAEE10">
            <w:pPr>
              <w:snapToGrid w:val="0"/>
              <w:spacing w:line="360" w:lineRule="auto"/>
              <w:jc w:val="center"/>
              <w:rPr>
                <w:rFonts w:asciiTheme="minorEastAsia" w:hAnsiTheme="minorEastAsia"/>
                <w:color w:val="auto"/>
                <w:sz w:val="24"/>
                <w:highlight w:val="none"/>
              </w:rPr>
            </w:pPr>
          </w:p>
        </w:tc>
        <w:tc>
          <w:tcPr>
            <w:tcW w:w="1260" w:type="dxa"/>
            <w:tcBorders>
              <w:top w:val="single" w:color="auto" w:sz="4" w:space="0"/>
              <w:left w:val="single" w:color="auto" w:sz="4" w:space="0"/>
              <w:bottom w:val="single" w:color="auto" w:sz="4" w:space="0"/>
              <w:right w:val="single" w:color="auto" w:sz="4" w:space="0"/>
            </w:tcBorders>
            <w:vAlign w:val="center"/>
          </w:tcPr>
          <w:p w14:paraId="56EC0DC3">
            <w:pPr>
              <w:snapToGrid w:val="0"/>
              <w:spacing w:line="360" w:lineRule="auto"/>
              <w:jc w:val="center"/>
              <w:rPr>
                <w:rFonts w:asciiTheme="minorEastAsia" w:hAnsiTheme="minorEastAsia"/>
                <w:color w:val="auto"/>
                <w:sz w:val="24"/>
                <w:highlight w:val="none"/>
              </w:rPr>
            </w:pPr>
          </w:p>
        </w:tc>
        <w:tc>
          <w:tcPr>
            <w:tcW w:w="2775" w:type="dxa"/>
            <w:tcBorders>
              <w:top w:val="single" w:color="auto" w:sz="4" w:space="0"/>
              <w:left w:val="single" w:color="auto" w:sz="4" w:space="0"/>
              <w:bottom w:val="single" w:color="auto" w:sz="4" w:space="0"/>
              <w:right w:val="single" w:color="auto" w:sz="4" w:space="0"/>
            </w:tcBorders>
            <w:vAlign w:val="center"/>
          </w:tcPr>
          <w:p w14:paraId="5DCC3FA0">
            <w:pPr>
              <w:spacing w:line="360" w:lineRule="auto"/>
              <w:jc w:val="center"/>
              <w:rPr>
                <w:rFonts w:asciiTheme="minorEastAsia" w:hAnsiTheme="minorEastAsia"/>
                <w:color w:val="auto"/>
                <w:sz w:val="24"/>
                <w:highlight w:val="none"/>
              </w:rPr>
            </w:pPr>
          </w:p>
        </w:tc>
        <w:tc>
          <w:tcPr>
            <w:tcW w:w="930" w:type="dxa"/>
            <w:tcBorders>
              <w:top w:val="single" w:color="auto" w:sz="4" w:space="0"/>
              <w:left w:val="single" w:color="auto" w:sz="4" w:space="0"/>
              <w:bottom w:val="single" w:color="auto" w:sz="4" w:space="0"/>
              <w:right w:val="single" w:color="auto" w:sz="4" w:space="0"/>
            </w:tcBorders>
            <w:vAlign w:val="center"/>
          </w:tcPr>
          <w:p w14:paraId="2B72BEB4">
            <w:pPr>
              <w:spacing w:line="360" w:lineRule="auto"/>
              <w:jc w:val="center"/>
              <w:rPr>
                <w:rFonts w:asciiTheme="minorEastAsia" w:hAnsiTheme="minorEastAsia"/>
                <w:color w:val="auto"/>
                <w:sz w:val="24"/>
                <w:highlight w:val="none"/>
              </w:rPr>
            </w:pPr>
          </w:p>
        </w:tc>
        <w:tc>
          <w:tcPr>
            <w:tcW w:w="1526" w:type="dxa"/>
            <w:tcBorders>
              <w:top w:val="single" w:color="auto" w:sz="4" w:space="0"/>
              <w:left w:val="single" w:color="auto" w:sz="4" w:space="0"/>
              <w:bottom w:val="single" w:color="auto" w:sz="4" w:space="0"/>
              <w:right w:val="single" w:color="auto" w:sz="4" w:space="0"/>
            </w:tcBorders>
            <w:vAlign w:val="center"/>
          </w:tcPr>
          <w:p w14:paraId="387AEA97">
            <w:pPr>
              <w:spacing w:line="360" w:lineRule="auto"/>
              <w:jc w:val="center"/>
              <w:rPr>
                <w:rFonts w:asciiTheme="minorEastAsia" w:hAnsiTheme="minorEastAsia"/>
                <w:color w:val="auto"/>
                <w:sz w:val="24"/>
                <w:highlight w:val="none"/>
              </w:rPr>
            </w:pPr>
          </w:p>
        </w:tc>
      </w:tr>
      <w:tr w14:paraId="737CC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27A9BB4A">
            <w:pPr>
              <w:spacing w:line="360" w:lineRule="auto"/>
              <w:jc w:val="center"/>
              <w:rPr>
                <w:rFonts w:asciiTheme="minorEastAsia" w:hAnsiTheme="minorEastAsia"/>
                <w:color w:val="auto"/>
                <w:sz w:val="24"/>
                <w:highlight w:val="none"/>
              </w:rPr>
            </w:pPr>
            <w:r>
              <w:rPr>
                <w:rFonts w:hint="eastAsia" w:asciiTheme="minorEastAsia" w:hAnsiTheme="minorEastAsia"/>
                <w:color w:val="auto"/>
                <w:sz w:val="24"/>
                <w:highlight w:val="none"/>
              </w:rPr>
              <w:t>2</w:t>
            </w:r>
          </w:p>
        </w:tc>
        <w:tc>
          <w:tcPr>
            <w:tcW w:w="1176" w:type="dxa"/>
            <w:tcBorders>
              <w:top w:val="single" w:color="auto" w:sz="4" w:space="0"/>
              <w:left w:val="single" w:color="auto" w:sz="4" w:space="0"/>
              <w:bottom w:val="single" w:color="auto" w:sz="4" w:space="0"/>
              <w:right w:val="single" w:color="auto" w:sz="4" w:space="0"/>
            </w:tcBorders>
            <w:vAlign w:val="center"/>
          </w:tcPr>
          <w:p w14:paraId="7E0AC1F0">
            <w:pPr>
              <w:snapToGrid w:val="0"/>
              <w:spacing w:line="360" w:lineRule="auto"/>
              <w:jc w:val="center"/>
              <w:rPr>
                <w:rFonts w:asciiTheme="minorEastAsia" w:hAnsiTheme="minorEastAsia"/>
                <w:color w:val="auto"/>
                <w:sz w:val="24"/>
                <w:highlight w:val="none"/>
              </w:rPr>
            </w:pPr>
          </w:p>
        </w:tc>
        <w:tc>
          <w:tcPr>
            <w:tcW w:w="1307" w:type="dxa"/>
            <w:tcBorders>
              <w:top w:val="single" w:color="auto" w:sz="4" w:space="0"/>
              <w:left w:val="single" w:color="auto" w:sz="4" w:space="0"/>
              <w:bottom w:val="single" w:color="auto" w:sz="4" w:space="0"/>
              <w:right w:val="single" w:color="auto" w:sz="4" w:space="0"/>
            </w:tcBorders>
            <w:vAlign w:val="center"/>
          </w:tcPr>
          <w:p w14:paraId="403DF49A">
            <w:pPr>
              <w:snapToGrid w:val="0"/>
              <w:spacing w:line="360" w:lineRule="auto"/>
              <w:jc w:val="center"/>
              <w:rPr>
                <w:rFonts w:asciiTheme="minorEastAsia" w:hAnsiTheme="minorEastAsia"/>
                <w:color w:val="auto"/>
                <w:sz w:val="24"/>
                <w:highlight w:val="none"/>
              </w:rPr>
            </w:pPr>
          </w:p>
        </w:tc>
        <w:tc>
          <w:tcPr>
            <w:tcW w:w="1260" w:type="dxa"/>
            <w:tcBorders>
              <w:top w:val="single" w:color="auto" w:sz="4" w:space="0"/>
              <w:left w:val="single" w:color="auto" w:sz="4" w:space="0"/>
              <w:bottom w:val="single" w:color="auto" w:sz="4" w:space="0"/>
              <w:right w:val="single" w:color="auto" w:sz="4" w:space="0"/>
            </w:tcBorders>
            <w:vAlign w:val="center"/>
          </w:tcPr>
          <w:p w14:paraId="444B763D">
            <w:pPr>
              <w:snapToGrid w:val="0"/>
              <w:spacing w:line="360" w:lineRule="auto"/>
              <w:jc w:val="center"/>
              <w:rPr>
                <w:rFonts w:asciiTheme="minorEastAsia" w:hAnsiTheme="minorEastAsia"/>
                <w:color w:val="auto"/>
                <w:sz w:val="24"/>
                <w:highlight w:val="none"/>
              </w:rPr>
            </w:pPr>
          </w:p>
        </w:tc>
        <w:tc>
          <w:tcPr>
            <w:tcW w:w="2775" w:type="dxa"/>
            <w:tcBorders>
              <w:top w:val="single" w:color="auto" w:sz="4" w:space="0"/>
              <w:left w:val="single" w:color="auto" w:sz="4" w:space="0"/>
              <w:bottom w:val="single" w:color="auto" w:sz="4" w:space="0"/>
              <w:right w:val="single" w:color="auto" w:sz="4" w:space="0"/>
            </w:tcBorders>
            <w:vAlign w:val="center"/>
          </w:tcPr>
          <w:p w14:paraId="10AA7DDD">
            <w:pPr>
              <w:spacing w:line="360" w:lineRule="auto"/>
              <w:jc w:val="center"/>
              <w:rPr>
                <w:rFonts w:asciiTheme="minorEastAsia" w:hAnsiTheme="minorEastAsia"/>
                <w:color w:val="auto"/>
                <w:sz w:val="24"/>
                <w:highlight w:val="none"/>
              </w:rPr>
            </w:pPr>
          </w:p>
        </w:tc>
        <w:tc>
          <w:tcPr>
            <w:tcW w:w="930" w:type="dxa"/>
            <w:tcBorders>
              <w:top w:val="single" w:color="auto" w:sz="4" w:space="0"/>
              <w:left w:val="single" w:color="auto" w:sz="4" w:space="0"/>
              <w:bottom w:val="single" w:color="auto" w:sz="4" w:space="0"/>
              <w:right w:val="single" w:color="auto" w:sz="4" w:space="0"/>
            </w:tcBorders>
            <w:vAlign w:val="center"/>
          </w:tcPr>
          <w:p w14:paraId="5C021AF2">
            <w:pPr>
              <w:spacing w:line="360" w:lineRule="auto"/>
              <w:jc w:val="center"/>
              <w:rPr>
                <w:rFonts w:asciiTheme="minorEastAsia" w:hAnsiTheme="minorEastAsia"/>
                <w:color w:val="auto"/>
                <w:sz w:val="24"/>
                <w:highlight w:val="none"/>
              </w:rPr>
            </w:pPr>
          </w:p>
        </w:tc>
        <w:tc>
          <w:tcPr>
            <w:tcW w:w="1526" w:type="dxa"/>
            <w:tcBorders>
              <w:top w:val="single" w:color="auto" w:sz="4" w:space="0"/>
              <w:left w:val="single" w:color="auto" w:sz="4" w:space="0"/>
              <w:bottom w:val="single" w:color="auto" w:sz="4" w:space="0"/>
              <w:right w:val="single" w:color="auto" w:sz="4" w:space="0"/>
            </w:tcBorders>
            <w:vAlign w:val="center"/>
          </w:tcPr>
          <w:p w14:paraId="52C6AC86">
            <w:pPr>
              <w:spacing w:line="360" w:lineRule="auto"/>
              <w:jc w:val="center"/>
              <w:rPr>
                <w:rFonts w:asciiTheme="minorEastAsia" w:hAnsiTheme="minorEastAsia"/>
                <w:color w:val="auto"/>
                <w:sz w:val="24"/>
                <w:highlight w:val="none"/>
              </w:rPr>
            </w:pPr>
          </w:p>
        </w:tc>
      </w:tr>
      <w:tr w14:paraId="2CB83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3446C60F">
            <w:pPr>
              <w:spacing w:line="360" w:lineRule="auto"/>
              <w:jc w:val="center"/>
              <w:rPr>
                <w:rFonts w:asciiTheme="minorEastAsia" w:hAnsiTheme="minorEastAsia"/>
                <w:color w:val="auto"/>
                <w:sz w:val="24"/>
                <w:highlight w:val="none"/>
              </w:rPr>
            </w:pPr>
            <w:r>
              <w:rPr>
                <w:rFonts w:hint="eastAsia" w:asciiTheme="minorEastAsia" w:hAnsiTheme="minorEastAsia"/>
                <w:color w:val="auto"/>
                <w:sz w:val="24"/>
                <w:highlight w:val="none"/>
              </w:rPr>
              <w:t>……</w:t>
            </w:r>
          </w:p>
        </w:tc>
        <w:tc>
          <w:tcPr>
            <w:tcW w:w="1176" w:type="dxa"/>
            <w:tcBorders>
              <w:top w:val="single" w:color="auto" w:sz="4" w:space="0"/>
              <w:left w:val="single" w:color="auto" w:sz="4" w:space="0"/>
              <w:bottom w:val="single" w:color="auto" w:sz="4" w:space="0"/>
              <w:right w:val="single" w:color="auto" w:sz="4" w:space="0"/>
            </w:tcBorders>
            <w:vAlign w:val="center"/>
          </w:tcPr>
          <w:p w14:paraId="49B5AFB2">
            <w:pPr>
              <w:snapToGrid w:val="0"/>
              <w:spacing w:line="360" w:lineRule="auto"/>
              <w:jc w:val="center"/>
              <w:rPr>
                <w:rFonts w:asciiTheme="minorEastAsia" w:hAnsiTheme="minorEastAsia"/>
                <w:color w:val="auto"/>
                <w:sz w:val="24"/>
                <w:highlight w:val="none"/>
              </w:rPr>
            </w:pPr>
          </w:p>
        </w:tc>
        <w:tc>
          <w:tcPr>
            <w:tcW w:w="1307" w:type="dxa"/>
            <w:tcBorders>
              <w:top w:val="single" w:color="auto" w:sz="4" w:space="0"/>
              <w:left w:val="single" w:color="auto" w:sz="4" w:space="0"/>
              <w:bottom w:val="single" w:color="auto" w:sz="4" w:space="0"/>
              <w:right w:val="single" w:color="auto" w:sz="4" w:space="0"/>
            </w:tcBorders>
            <w:vAlign w:val="center"/>
          </w:tcPr>
          <w:p w14:paraId="2DD9684C">
            <w:pPr>
              <w:snapToGrid w:val="0"/>
              <w:spacing w:line="360" w:lineRule="auto"/>
              <w:jc w:val="center"/>
              <w:rPr>
                <w:rFonts w:asciiTheme="minorEastAsia" w:hAnsiTheme="minorEastAsia"/>
                <w:color w:val="auto"/>
                <w:sz w:val="24"/>
                <w:highlight w:val="none"/>
              </w:rPr>
            </w:pPr>
          </w:p>
        </w:tc>
        <w:tc>
          <w:tcPr>
            <w:tcW w:w="1260" w:type="dxa"/>
            <w:tcBorders>
              <w:top w:val="single" w:color="auto" w:sz="4" w:space="0"/>
              <w:left w:val="single" w:color="auto" w:sz="4" w:space="0"/>
              <w:bottom w:val="single" w:color="auto" w:sz="4" w:space="0"/>
              <w:right w:val="single" w:color="auto" w:sz="4" w:space="0"/>
            </w:tcBorders>
            <w:vAlign w:val="center"/>
          </w:tcPr>
          <w:p w14:paraId="7FB9B3CB">
            <w:pPr>
              <w:snapToGrid w:val="0"/>
              <w:spacing w:line="360" w:lineRule="auto"/>
              <w:jc w:val="center"/>
              <w:rPr>
                <w:rFonts w:asciiTheme="minorEastAsia" w:hAnsiTheme="minorEastAsia"/>
                <w:color w:val="auto"/>
                <w:sz w:val="24"/>
                <w:highlight w:val="none"/>
              </w:rPr>
            </w:pPr>
          </w:p>
        </w:tc>
        <w:tc>
          <w:tcPr>
            <w:tcW w:w="2775" w:type="dxa"/>
            <w:tcBorders>
              <w:top w:val="single" w:color="auto" w:sz="4" w:space="0"/>
              <w:left w:val="single" w:color="auto" w:sz="4" w:space="0"/>
              <w:bottom w:val="single" w:color="auto" w:sz="4" w:space="0"/>
              <w:right w:val="single" w:color="auto" w:sz="4" w:space="0"/>
            </w:tcBorders>
            <w:vAlign w:val="center"/>
          </w:tcPr>
          <w:p w14:paraId="59C28AC8">
            <w:pPr>
              <w:spacing w:line="360" w:lineRule="auto"/>
              <w:jc w:val="center"/>
              <w:rPr>
                <w:rFonts w:asciiTheme="minorEastAsia" w:hAnsiTheme="minorEastAsia"/>
                <w:color w:val="auto"/>
                <w:sz w:val="24"/>
                <w:highlight w:val="none"/>
              </w:rPr>
            </w:pPr>
          </w:p>
        </w:tc>
        <w:tc>
          <w:tcPr>
            <w:tcW w:w="930" w:type="dxa"/>
            <w:tcBorders>
              <w:top w:val="single" w:color="auto" w:sz="4" w:space="0"/>
              <w:left w:val="single" w:color="auto" w:sz="4" w:space="0"/>
              <w:bottom w:val="single" w:color="auto" w:sz="4" w:space="0"/>
              <w:right w:val="single" w:color="auto" w:sz="4" w:space="0"/>
            </w:tcBorders>
            <w:vAlign w:val="center"/>
          </w:tcPr>
          <w:p w14:paraId="1087A6D8">
            <w:pPr>
              <w:spacing w:line="360" w:lineRule="auto"/>
              <w:jc w:val="center"/>
              <w:rPr>
                <w:rFonts w:asciiTheme="minorEastAsia" w:hAnsiTheme="minorEastAsia"/>
                <w:color w:val="auto"/>
                <w:sz w:val="24"/>
                <w:highlight w:val="none"/>
              </w:rPr>
            </w:pPr>
          </w:p>
        </w:tc>
        <w:tc>
          <w:tcPr>
            <w:tcW w:w="1526" w:type="dxa"/>
            <w:tcBorders>
              <w:top w:val="single" w:color="auto" w:sz="4" w:space="0"/>
              <w:left w:val="single" w:color="auto" w:sz="4" w:space="0"/>
              <w:bottom w:val="single" w:color="auto" w:sz="4" w:space="0"/>
              <w:right w:val="single" w:color="auto" w:sz="4" w:space="0"/>
            </w:tcBorders>
            <w:vAlign w:val="center"/>
          </w:tcPr>
          <w:p w14:paraId="6C17ED1F">
            <w:pPr>
              <w:spacing w:line="360" w:lineRule="auto"/>
              <w:jc w:val="center"/>
              <w:rPr>
                <w:rFonts w:asciiTheme="minorEastAsia" w:hAnsiTheme="minorEastAsia"/>
                <w:color w:val="auto"/>
                <w:sz w:val="24"/>
                <w:highlight w:val="none"/>
              </w:rPr>
            </w:pPr>
          </w:p>
        </w:tc>
      </w:tr>
    </w:tbl>
    <w:p w14:paraId="4E3788B7">
      <w:pPr>
        <w:spacing w:line="360" w:lineRule="auto"/>
        <w:ind w:right="420"/>
        <w:rPr>
          <w:rFonts w:ascii="宋体" w:hAnsi="宋体"/>
          <w:color w:val="auto"/>
          <w:sz w:val="24"/>
          <w:highlight w:val="none"/>
        </w:rPr>
      </w:pPr>
      <w:r>
        <w:rPr>
          <w:rFonts w:hint="eastAsia" w:ascii="宋体" w:hAnsi="宋体"/>
          <w:color w:val="auto"/>
          <w:sz w:val="24"/>
          <w:highlight w:val="none"/>
        </w:rPr>
        <w:t>注：按本格式和要求提供。</w:t>
      </w:r>
    </w:p>
    <w:p w14:paraId="6C086811">
      <w:pPr>
        <w:snapToGrid w:val="0"/>
        <w:spacing w:line="360" w:lineRule="auto"/>
        <w:ind w:firstLine="576"/>
        <w:jc w:val="center"/>
        <w:rPr>
          <w:rFonts w:hint="eastAsia" w:ascii="宋体" w:hAnsi="宋体"/>
          <w:color w:val="auto"/>
          <w:sz w:val="24"/>
          <w:highlight w:val="none"/>
        </w:rPr>
      </w:pPr>
    </w:p>
    <w:p w14:paraId="3EA959FD">
      <w:pPr>
        <w:snapToGrid w:val="0"/>
        <w:spacing w:line="360" w:lineRule="auto"/>
        <w:ind w:firstLine="576"/>
        <w:jc w:val="center"/>
        <w:rPr>
          <w:rFonts w:ascii="宋体" w:hAnsi="宋体"/>
          <w:color w:val="auto"/>
          <w:sz w:val="24"/>
          <w:highlight w:val="none"/>
          <w:lang w:val="zh-CN"/>
        </w:rPr>
      </w:pPr>
      <w:r>
        <w:rPr>
          <w:rFonts w:hint="eastAsia" w:ascii="宋体" w:hAnsi="宋体"/>
          <w:color w:val="auto"/>
          <w:sz w:val="24"/>
          <w:highlight w:val="none"/>
        </w:rPr>
        <w:t xml:space="preserve">                                  </w:t>
      </w:r>
      <w:r>
        <w:rPr>
          <w:rFonts w:hint="eastAsia" w:ascii="宋体" w:hAnsi="宋体"/>
          <w:color w:val="auto"/>
          <w:sz w:val="24"/>
          <w:highlight w:val="none"/>
          <w:lang w:val="zh-CN"/>
        </w:rPr>
        <w:t xml:space="preserve">投标人名称(电子签名)：                              </w:t>
      </w:r>
    </w:p>
    <w:p w14:paraId="52E4F92D">
      <w:pPr>
        <w:spacing w:line="360" w:lineRule="auto"/>
        <w:jc w:val="center"/>
        <w:rPr>
          <w:rFonts w:ascii="宋体" w:hAnsi="宋体"/>
          <w:color w:val="auto"/>
          <w:sz w:val="32"/>
          <w:szCs w:val="32"/>
          <w:highlight w:val="none"/>
        </w:rPr>
      </w:pPr>
      <w:r>
        <w:rPr>
          <w:rFonts w:hint="eastAsia" w:ascii="宋体" w:hAnsi="宋体"/>
          <w:color w:val="auto"/>
          <w:sz w:val="24"/>
          <w:highlight w:val="none"/>
          <w:lang w:val="zh-CN"/>
        </w:rPr>
        <w:t xml:space="preserve">                  </w:t>
      </w:r>
      <w:r>
        <w:rPr>
          <w:rFonts w:hint="eastAsia" w:ascii="宋体" w:hAnsi="宋体"/>
          <w:color w:val="auto"/>
          <w:sz w:val="24"/>
          <w:highlight w:val="none"/>
        </w:rPr>
        <w:t xml:space="preserve">                  </w:t>
      </w:r>
      <w:r>
        <w:rPr>
          <w:rFonts w:hint="eastAsia" w:ascii="宋体" w:hAnsi="宋体"/>
          <w:color w:val="auto"/>
          <w:sz w:val="24"/>
          <w:highlight w:val="none"/>
          <w:lang w:val="zh-CN"/>
        </w:rPr>
        <w:t xml:space="preserve"> 日期：  年  月  日</w:t>
      </w:r>
    </w:p>
    <w:p w14:paraId="29B95810">
      <w:pPr>
        <w:rPr>
          <w:color w:val="auto"/>
          <w:highlight w:val="none"/>
        </w:rPr>
      </w:pPr>
    </w:p>
    <w:p w14:paraId="28B496A5">
      <w:pPr>
        <w:jc w:val="center"/>
        <w:rPr>
          <w:rFonts w:hint="eastAsia" w:ascii="宋体" w:hAnsi="宋体"/>
          <w:color w:val="auto"/>
          <w:sz w:val="32"/>
          <w:szCs w:val="32"/>
          <w:highlight w:val="none"/>
        </w:rPr>
      </w:pPr>
    </w:p>
    <w:p w14:paraId="071F01FC">
      <w:pPr>
        <w:jc w:val="center"/>
        <w:rPr>
          <w:rFonts w:hint="eastAsia" w:ascii="宋体" w:hAnsi="宋体"/>
          <w:color w:val="auto"/>
          <w:sz w:val="32"/>
          <w:szCs w:val="32"/>
          <w:highlight w:val="none"/>
        </w:rPr>
      </w:pPr>
    </w:p>
    <w:p w14:paraId="2C0B41DD">
      <w:pPr>
        <w:jc w:val="center"/>
        <w:rPr>
          <w:rFonts w:hint="eastAsia" w:ascii="宋体" w:hAnsi="宋体"/>
          <w:color w:val="auto"/>
          <w:sz w:val="32"/>
          <w:szCs w:val="32"/>
          <w:highlight w:val="none"/>
        </w:rPr>
      </w:pPr>
    </w:p>
    <w:p w14:paraId="46D76B45">
      <w:pPr>
        <w:jc w:val="center"/>
        <w:rPr>
          <w:rFonts w:hint="eastAsia" w:ascii="宋体" w:hAnsi="宋体"/>
          <w:color w:val="auto"/>
          <w:sz w:val="32"/>
          <w:szCs w:val="32"/>
          <w:highlight w:val="none"/>
        </w:rPr>
      </w:pPr>
    </w:p>
    <w:p w14:paraId="41C648C2">
      <w:pPr>
        <w:jc w:val="center"/>
        <w:rPr>
          <w:rFonts w:hint="eastAsia" w:ascii="宋体" w:hAnsi="宋体"/>
          <w:color w:val="auto"/>
          <w:sz w:val="32"/>
          <w:szCs w:val="32"/>
          <w:highlight w:val="none"/>
        </w:rPr>
      </w:pPr>
    </w:p>
    <w:p w14:paraId="591A60D4">
      <w:pPr>
        <w:jc w:val="center"/>
        <w:rPr>
          <w:rFonts w:hint="eastAsia" w:ascii="宋体" w:hAnsi="宋体"/>
          <w:color w:val="auto"/>
          <w:sz w:val="32"/>
          <w:szCs w:val="32"/>
          <w:highlight w:val="none"/>
        </w:rPr>
      </w:pPr>
    </w:p>
    <w:p w14:paraId="4E842A54">
      <w:pPr>
        <w:jc w:val="center"/>
        <w:rPr>
          <w:rFonts w:hint="eastAsia" w:ascii="宋体" w:hAnsi="宋体"/>
          <w:color w:val="auto"/>
          <w:sz w:val="32"/>
          <w:szCs w:val="32"/>
          <w:highlight w:val="none"/>
        </w:rPr>
      </w:pPr>
    </w:p>
    <w:p w14:paraId="2AD428D2">
      <w:pPr>
        <w:jc w:val="center"/>
        <w:rPr>
          <w:rFonts w:hint="eastAsia" w:ascii="宋体" w:hAnsi="宋体"/>
          <w:color w:val="auto"/>
          <w:sz w:val="32"/>
          <w:szCs w:val="32"/>
          <w:highlight w:val="none"/>
        </w:rPr>
      </w:pPr>
    </w:p>
    <w:p w14:paraId="7FDDEF89">
      <w:pPr>
        <w:jc w:val="center"/>
        <w:rPr>
          <w:rFonts w:hint="eastAsia" w:ascii="宋体" w:hAnsi="宋体"/>
          <w:color w:val="auto"/>
          <w:sz w:val="32"/>
          <w:szCs w:val="32"/>
          <w:highlight w:val="none"/>
        </w:rPr>
      </w:pPr>
    </w:p>
    <w:p w14:paraId="50756C5C">
      <w:pPr>
        <w:jc w:val="center"/>
        <w:rPr>
          <w:rFonts w:hint="eastAsia" w:ascii="宋体" w:hAnsi="宋体"/>
          <w:color w:val="auto"/>
          <w:sz w:val="32"/>
          <w:szCs w:val="32"/>
          <w:highlight w:val="none"/>
        </w:rPr>
      </w:pPr>
    </w:p>
    <w:p w14:paraId="4E5A8F93">
      <w:pPr>
        <w:jc w:val="center"/>
        <w:rPr>
          <w:rFonts w:hint="eastAsia" w:ascii="宋体" w:hAnsi="宋体"/>
          <w:color w:val="auto"/>
          <w:sz w:val="32"/>
          <w:szCs w:val="32"/>
          <w:highlight w:val="none"/>
        </w:rPr>
      </w:pPr>
    </w:p>
    <w:p w14:paraId="163D4B4D">
      <w:pPr>
        <w:jc w:val="center"/>
        <w:rPr>
          <w:rFonts w:hint="eastAsia" w:ascii="宋体" w:hAnsi="宋体"/>
          <w:color w:val="auto"/>
          <w:sz w:val="32"/>
          <w:szCs w:val="32"/>
          <w:highlight w:val="none"/>
        </w:rPr>
      </w:pPr>
    </w:p>
    <w:p w14:paraId="330E462E">
      <w:pPr>
        <w:jc w:val="center"/>
        <w:rPr>
          <w:rFonts w:hint="eastAsia" w:ascii="宋体" w:hAnsi="宋体"/>
          <w:color w:val="auto"/>
          <w:sz w:val="32"/>
          <w:szCs w:val="32"/>
          <w:highlight w:val="none"/>
        </w:rPr>
      </w:pPr>
    </w:p>
    <w:p w14:paraId="0E4D9267">
      <w:pPr>
        <w:rPr>
          <w:rFonts w:hint="eastAsia" w:ascii="宋体" w:hAnsi="宋体"/>
          <w:color w:val="auto"/>
          <w:sz w:val="32"/>
          <w:szCs w:val="32"/>
          <w:highlight w:val="none"/>
        </w:rPr>
      </w:pPr>
      <w:r>
        <w:rPr>
          <w:rFonts w:hint="eastAsia" w:ascii="宋体" w:hAnsi="宋体"/>
          <w:color w:val="auto"/>
          <w:sz w:val="32"/>
          <w:szCs w:val="32"/>
          <w:highlight w:val="none"/>
        </w:rPr>
        <w:br w:type="page"/>
      </w:r>
    </w:p>
    <w:p w14:paraId="68E0CBE9">
      <w:pPr>
        <w:jc w:val="center"/>
        <w:rPr>
          <w:rFonts w:ascii="宋体" w:hAnsi="宋体"/>
          <w:color w:val="auto"/>
          <w:sz w:val="32"/>
          <w:szCs w:val="32"/>
          <w:highlight w:val="none"/>
        </w:rPr>
      </w:pPr>
      <w:r>
        <w:rPr>
          <w:rFonts w:hint="eastAsia" w:ascii="宋体" w:hAnsi="宋体"/>
          <w:color w:val="auto"/>
          <w:sz w:val="32"/>
          <w:szCs w:val="32"/>
          <w:highlight w:val="none"/>
        </w:rPr>
        <w:t>七、商务技术偏离表</w:t>
      </w:r>
    </w:p>
    <w:tbl>
      <w:tblPr>
        <w:tblStyle w:val="48"/>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3683"/>
        <w:gridCol w:w="3546"/>
        <w:gridCol w:w="1276"/>
      </w:tblGrid>
      <w:tr w14:paraId="3A29D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noWrap w:val="0"/>
            <w:vAlign w:val="top"/>
          </w:tcPr>
          <w:p w14:paraId="6264326A">
            <w:pPr>
              <w:jc w:val="center"/>
              <w:rPr>
                <w:rFonts w:ascii="宋体" w:hAnsi="宋体"/>
                <w:bCs/>
                <w:color w:val="auto"/>
                <w:sz w:val="24"/>
                <w:highlight w:val="none"/>
              </w:rPr>
            </w:pPr>
            <w:r>
              <w:rPr>
                <w:rFonts w:hint="eastAsia" w:ascii="宋体" w:hAnsi="宋体"/>
                <w:bCs/>
                <w:color w:val="auto"/>
                <w:sz w:val="24"/>
                <w:highlight w:val="none"/>
              </w:rPr>
              <w:t>序号</w:t>
            </w:r>
          </w:p>
        </w:tc>
        <w:tc>
          <w:tcPr>
            <w:tcW w:w="3683" w:type="dxa"/>
            <w:noWrap w:val="0"/>
            <w:vAlign w:val="top"/>
          </w:tcPr>
          <w:p w14:paraId="17591E48">
            <w:pPr>
              <w:jc w:val="center"/>
              <w:rPr>
                <w:rFonts w:ascii="宋体" w:hAnsi="宋体"/>
                <w:bCs/>
                <w:color w:val="auto"/>
                <w:sz w:val="24"/>
                <w:highlight w:val="none"/>
              </w:rPr>
            </w:pPr>
            <w:r>
              <w:rPr>
                <w:rFonts w:hint="eastAsia" w:ascii="宋体" w:hAnsi="宋体"/>
                <w:bCs/>
                <w:color w:val="auto"/>
                <w:sz w:val="24"/>
                <w:highlight w:val="none"/>
              </w:rPr>
              <w:t>招标文件章节及具体内容</w:t>
            </w:r>
          </w:p>
        </w:tc>
        <w:tc>
          <w:tcPr>
            <w:tcW w:w="3546" w:type="dxa"/>
            <w:noWrap w:val="0"/>
            <w:vAlign w:val="top"/>
          </w:tcPr>
          <w:p w14:paraId="031BBB89">
            <w:pPr>
              <w:jc w:val="center"/>
              <w:rPr>
                <w:rFonts w:ascii="宋体" w:hAnsi="宋体"/>
                <w:bCs/>
                <w:color w:val="auto"/>
                <w:sz w:val="24"/>
                <w:highlight w:val="none"/>
              </w:rPr>
            </w:pPr>
            <w:r>
              <w:rPr>
                <w:rFonts w:hint="eastAsia" w:ascii="宋体" w:hAnsi="宋体"/>
                <w:bCs/>
                <w:color w:val="auto"/>
                <w:sz w:val="24"/>
                <w:highlight w:val="none"/>
              </w:rPr>
              <w:t>投标文件章节及具体内容</w:t>
            </w:r>
          </w:p>
        </w:tc>
        <w:tc>
          <w:tcPr>
            <w:tcW w:w="1276" w:type="dxa"/>
            <w:noWrap w:val="0"/>
            <w:vAlign w:val="top"/>
          </w:tcPr>
          <w:p w14:paraId="18A01A4A">
            <w:pPr>
              <w:jc w:val="center"/>
              <w:rPr>
                <w:rFonts w:ascii="宋体" w:hAnsi="宋体"/>
                <w:bCs/>
                <w:color w:val="auto"/>
                <w:sz w:val="24"/>
                <w:highlight w:val="none"/>
              </w:rPr>
            </w:pPr>
            <w:r>
              <w:rPr>
                <w:rFonts w:hint="eastAsia" w:ascii="宋体" w:hAnsi="宋体"/>
                <w:bCs/>
                <w:color w:val="auto"/>
                <w:sz w:val="24"/>
                <w:highlight w:val="none"/>
              </w:rPr>
              <w:t>偏离说明</w:t>
            </w:r>
          </w:p>
        </w:tc>
      </w:tr>
      <w:tr w14:paraId="14CE7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noWrap w:val="0"/>
            <w:vAlign w:val="top"/>
          </w:tcPr>
          <w:p w14:paraId="12F44C7E">
            <w:pPr>
              <w:jc w:val="center"/>
              <w:rPr>
                <w:rFonts w:ascii="宋体" w:hAnsi="宋体"/>
                <w:color w:val="auto"/>
                <w:sz w:val="24"/>
                <w:highlight w:val="none"/>
              </w:rPr>
            </w:pPr>
            <w:r>
              <w:rPr>
                <w:rFonts w:hint="eastAsia" w:ascii="宋体" w:hAnsi="宋体"/>
                <w:color w:val="auto"/>
                <w:sz w:val="24"/>
                <w:highlight w:val="none"/>
              </w:rPr>
              <w:t>1</w:t>
            </w:r>
          </w:p>
        </w:tc>
        <w:tc>
          <w:tcPr>
            <w:tcW w:w="3683" w:type="dxa"/>
            <w:noWrap w:val="0"/>
            <w:vAlign w:val="top"/>
          </w:tcPr>
          <w:p w14:paraId="321826FD">
            <w:pPr>
              <w:jc w:val="center"/>
              <w:rPr>
                <w:rFonts w:ascii="宋体" w:hAnsi="宋体"/>
                <w:color w:val="auto"/>
                <w:sz w:val="32"/>
                <w:szCs w:val="32"/>
                <w:highlight w:val="none"/>
              </w:rPr>
            </w:pPr>
          </w:p>
        </w:tc>
        <w:tc>
          <w:tcPr>
            <w:tcW w:w="3546" w:type="dxa"/>
            <w:noWrap w:val="0"/>
            <w:vAlign w:val="top"/>
          </w:tcPr>
          <w:p w14:paraId="7139252D">
            <w:pPr>
              <w:jc w:val="center"/>
              <w:rPr>
                <w:rFonts w:ascii="宋体" w:hAnsi="宋体"/>
                <w:color w:val="auto"/>
                <w:sz w:val="32"/>
                <w:szCs w:val="32"/>
                <w:highlight w:val="none"/>
              </w:rPr>
            </w:pPr>
          </w:p>
        </w:tc>
        <w:tc>
          <w:tcPr>
            <w:tcW w:w="1276" w:type="dxa"/>
            <w:noWrap w:val="0"/>
            <w:vAlign w:val="top"/>
          </w:tcPr>
          <w:p w14:paraId="7D57047C">
            <w:pPr>
              <w:jc w:val="center"/>
              <w:rPr>
                <w:rFonts w:ascii="宋体" w:hAnsi="宋体"/>
                <w:color w:val="auto"/>
                <w:sz w:val="32"/>
                <w:szCs w:val="32"/>
                <w:highlight w:val="none"/>
              </w:rPr>
            </w:pPr>
          </w:p>
        </w:tc>
      </w:tr>
      <w:tr w14:paraId="5C7AF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noWrap w:val="0"/>
            <w:vAlign w:val="top"/>
          </w:tcPr>
          <w:p w14:paraId="45764183">
            <w:pPr>
              <w:jc w:val="center"/>
              <w:rPr>
                <w:rFonts w:ascii="宋体" w:hAnsi="宋体"/>
                <w:color w:val="auto"/>
                <w:sz w:val="24"/>
                <w:highlight w:val="none"/>
              </w:rPr>
            </w:pPr>
            <w:r>
              <w:rPr>
                <w:rFonts w:hint="eastAsia" w:ascii="宋体" w:hAnsi="宋体"/>
                <w:color w:val="auto"/>
                <w:sz w:val="24"/>
                <w:highlight w:val="none"/>
              </w:rPr>
              <w:t>2</w:t>
            </w:r>
          </w:p>
        </w:tc>
        <w:tc>
          <w:tcPr>
            <w:tcW w:w="3683" w:type="dxa"/>
            <w:noWrap w:val="0"/>
            <w:vAlign w:val="top"/>
          </w:tcPr>
          <w:p w14:paraId="122D5235">
            <w:pPr>
              <w:jc w:val="center"/>
              <w:rPr>
                <w:rFonts w:ascii="宋体" w:hAnsi="宋体"/>
                <w:color w:val="auto"/>
                <w:sz w:val="32"/>
                <w:szCs w:val="32"/>
                <w:highlight w:val="none"/>
              </w:rPr>
            </w:pPr>
          </w:p>
        </w:tc>
        <w:tc>
          <w:tcPr>
            <w:tcW w:w="3546" w:type="dxa"/>
            <w:noWrap w:val="0"/>
            <w:vAlign w:val="top"/>
          </w:tcPr>
          <w:p w14:paraId="164EF154">
            <w:pPr>
              <w:jc w:val="center"/>
              <w:rPr>
                <w:rFonts w:ascii="宋体" w:hAnsi="宋体"/>
                <w:color w:val="auto"/>
                <w:sz w:val="32"/>
                <w:szCs w:val="32"/>
                <w:highlight w:val="none"/>
              </w:rPr>
            </w:pPr>
          </w:p>
        </w:tc>
        <w:tc>
          <w:tcPr>
            <w:tcW w:w="1276" w:type="dxa"/>
            <w:noWrap w:val="0"/>
            <w:vAlign w:val="top"/>
          </w:tcPr>
          <w:p w14:paraId="31B3B6A5">
            <w:pPr>
              <w:jc w:val="center"/>
              <w:rPr>
                <w:rFonts w:ascii="宋体" w:hAnsi="宋体"/>
                <w:color w:val="auto"/>
                <w:sz w:val="32"/>
                <w:szCs w:val="32"/>
                <w:highlight w:val="none"/>
              </w:rPr>
            </w:pPr>
          </w:p>
        </w:tc>
      </w:tr>
      <w:tr w14:paraId="4E228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noWrap w:val="0"/>
            <w:vAlign w:val="top"/>
          </w:tcPr>
          <w:p w14:paraId="1F732B24">
            <w:pPr>
              <w:jc w:val="center"/>
              <w:rPr>
                <w:rFonts w:ascii="宋体" w:hAnsi="宋体"/>
                <w:color w:val="auto"/>
                <w:sz w:val="24"/>
                <w:highlight w:val="none"/>
              </w:rPr>
            </w:pPr>
            <w:r>
              <w:rPr>
                <w:rFonts w:hint="eastAsia" w:ascii="宋体" w:hAnsi="宋体"/>
                <w:color w:val="auto"/>
                <w:sz w:val="24"/>
                <w:highlight w:val="none"/>
              </w:rPr>
              <w:t>……</w:t>
            </w:r>
          </w:p>
        </w:tc>
        <w:tc>
          <w:tcPr>
            <w:tcW w:w="3683" w:type="dxa"/>
            <w:noWrap w:val="0"/>
            <w:vAlign w:val="top"/>
          </w:tcPr>
          <w:p w14:paraId="1D42093C">
            <w:pPr>
              <w:jc w:val="center"/>
              <w:rPr>
                <w:rFonts w:ascii="宋体" w:hAnsi="宋体"/>
                <w:color w:val="auto"/>
                <w:sz w:val="32"/>
                <w:szCs w:val="32"/>
                <w:highlight w:val="none"/>
              </w:rPr>
            </w:pPr>
          </w:p>
        </w:tc>
        <w:tc>
          <w:tcPr>
            <w:tcW w:w="3546" w:type="dxa"/>
            <w:noWrap w:val="0"/>
            <w:vAlign w:val="top"/>
          </w:tcPr>
          <w:p w14:paraId="35150681">
            <w:pPr>
              <w:jc w:val="center"/>
              <w:rPr>
                <w:rFonts w:ascii="宋体" w:hAnsi="宋体"/>
                <w:color w:val="auto"/>
                <w:sz w:val="32"/>
                <w:szCs w:val="32"/>
                <w:highlight w:val="none"/>
              </w:rPr>
            </w:pPr>
          </w:p>
        </w:tc>
        <w:tc>
          <w:tcPr>
            <w:tcW w:w="1276" w:type="dxa"/>
            <w:noWrap w:val="0"/>
            <w:vAlign w:val="top"/>
          </w:tcPr>
          <w:p w14:paraId="10F9BEA6">
            <w:pPr>
              <w:jc w:val="center"/>
              <w:rPr>
                <w:rFonts w:ascii="宋体" w:hAnsi="宋体"/>
                <w:color w:val="auto"/>
                <w:sz w:val="32"/>
                <w:szCs w:val="32"/>
                <w:highlight w:val="none"/>
              </w:rPr>
            </w:pPr>
          </w:p>
        </w:tc>
      </w:tr>
    </w:tbl>
    <w:p w14:paraId="4004A523">
      <w:pPr>
        <w:jc w:val="left"/>
        <w:rPr>
          <w:rFonts w:ascii="宋体" w:hAnsi="宋体"/>
          <w:color w:val="auto"/>
          <w:sz w:val="24"/>
          <w:highlight w:val="none"/>
        </w:rPr>
      </w:pPr>
      <w:r>
        <w:rPr>
          <w:rFonts w:hint="eastAsia" w:ascii="宋体" w:hAnsi="宋体"/>
          <w:color w:val="auto"/>
          <w:sz w:val="24"/>
          <w:highlight w:val="none"/>
        </w:rPr>
        <w:t>投标人保证：除商务技术偏离表列出的偏离外，投标人响应招标文件的全部要求</w:t>
      </w:r>
    </w:p>
    <w:p w14:paraId="4DACDCFB">
      <w:pPr>
        <w:spacing w:line="360" w:lineRule="auto"/>
        <w:ind w:right="420"/>
        <w:rPr>
          <w:rFonts w:hint="eastAsia" w:ascii="宋体" w:hAnsi="宋体"/>
          <w:color w:val="auto"/>
          <w:sz w:val="24"/>
          <w:highlight w:val="none"/>
        </w:rPr>
      </w:pPr>
      <w:r>
        <w:rPr>
          <w:rFonts w:hint="eastAsia" w:ascii="宋体" w:hAnsi="宋体"/>
          <w:color w:val="auto"/>
          <w:sz w:val="24"/>
          <w:highlight w:val="none"/>
        </w:rPr>
        <w:t>注：按本格式和要求提供。</w:t>
      </w:r>
    </w:p>
    <w:p w14:paraId="6892DE81">
      <w:pPr>
        <w:numPr>
          <w:ilvl w:val="0"/>
          <w:numId w:val="8"/>
        </w:numPr>
        <w:spacing w:line="380" w:lineRule="exact"/>
        <w:rPr>
          <w:rFonts w:hint="eastAsia" w:ascii="楷体" w:hAnsi="楷体" w:eastAsia="楷体" w:cs="Arial"/>
          <w:color w:val="auto"/>
          <w:sz w:val="24"/>
          <w:highlight w:val="none"/>
          <w:u w:val="single"/>
        </w:rPr>
      </w:pPr>
      <w:r>
        <w:rPr>
          <w:rFonts w:hint="eastAsia" w:ascii="楷体" w:hAnsi="楷体" w:eastAsia="楷体"/>
          <w:bCs/>
          <w:color w:val="auto"/>
          <w:sz w:val="24"/>
          <w:highlight w:val="none"/>
          <w:u w:val="single"/>
        </w:rPr>
        <w:t>▲</w:t>
      </w:r>
      <w:r>
        <w:rPr>
          <w:rFonts w:hint="eastAsia" w:ascii="楷体" w:hAnsi="楷体" w:eastAsia="楷体" w:cs="Arial"/>
          <w:color w:val="auto"/>
          <w:sz w:val="24"/>
          <w:highlight w:val="none"/>
          <w:u w:val="single"/>
        </w:rPr>
        <w:t>没有填写此表视为完全满足招标文件的实质性要求；（必须提供）</w:t>
      </w:r>
    </w:p>
    <w:p w14:paraId="69957DFA">
      <w:pPr>
        <w:numPr>
          <w:ilvl w:val="0"/>
          <w:numId w:val="8"/>
        </w:numPr>
        <w:spacing w:line="380" w:lineRule="exact"/>
        <w:rPr>
          <w:rFonts w:ascii="楷体" w:hAnsi="楷体" w:eastAsia="楷体" w:cs="Arial"/>
          <w:color w:val="auto"/>
          <w:sz w:val="24"/>
          <w:highlight w:val="none"/>
        </w:rPr>
      </w:pPr>
      <w:r>
        <w:rPr>
          <w:rFonts w:hint="eastAsia" w:ascii="楷体" w:hAnsi="楷体" w:eastAsia="楷体" w:cs="Arial"/>
          <w:color w:val="auto"/>
          <w:sz w:val="24"/>
          <w:highlight w:val="none"/>
        </w:rPr>
        <w:t>如出现偏离，投标人务必如实填写此表，“投标文件对应规范”及“说明”栏不得复制粘贴，所投产品必须对照招标文件要求详细填写说明，否则存在的风险由投标人自行承担；</w:t>
      </w:r>
    </w:p>
    <w:p w14:paraId="5C144967">
      <w:pPr>
        <w:spacing w:line="380" w:lineRule="exact"/>
        <w:rPr>
          <w:rFonts w:ascii="宋体" w:hAnsi="宋体"/>
          <w:bCs/>
          <w:color w:val="auto"/>
          <w:sz w:val="32"/>
          <w:szCs w:val="32"/>
          <w:highlight w:val="none"/>
        </w:rPr>
      </w:pPr>
      <w:r>
        <w:rPr>
          <w:rFonts w:hint="eastAsia" w:ascii="楷体" w:hAnsi="楷体" w:eastAsia="楷体"/>
          <w:color w:val="auto"/>
          <w:sz w:val="24"/>
          <w:highlight w:val="none"/>
        </w:rPr>
        <w:t>3.</w:t>
      </w:r>
      <w:r>
        <w:rPr>
          <w:rFonts w:hint="eastAsia" w:ascii="楷体" w:hAnsi="楷体" w:eastAsia="楷体"/>
          <w:bCs/>
          <w:color w:val="auto"/>
          <w:sz w:val="24"/>
          <w:highlight w:val="none"/>
        </w:rPr>
        <w:t xml:space="preserve"> 投标人可按以上表格形式进行复制。</w:t>
      </w:r>
    </w:p>
    <w:p w14:paraId="0B7E30FD">
      <w:pPr>
        <w:ind w:firstLine="1911" w:firstLineChars="595"/>
        <w:rPr>
          <w:rFonts w:ascii="宋体" w:hAnsi="宋体"/>
          <w:bCs/>
          <w:color w:val="auto"/>
          <w:sz w:val="32"/>
          <w:szCs w:val="32"/>
          <w:highlight w:val="none"/>
        </w:rPr>
      </w:pPr>
    </w:p>
    <w:p w14:paraId="45888A1D">
      <w:pPr>
        <w:snapToGrid w:val="0"/>
        <w:spacing w:line="360" w:lineRule="auto"/>
        <w:ind w:firstLine="576"/>
        <w:jc w:val="center"/>
        <w:rPr>
          <w:rFonts w:ascii="宋体" w:hAnsi="宋体"/>
          <w:color w:val="auto"/>
          <w:sz w:val="24"/>
          <w:highlight w:val="none"/>
          <w:lang w:val="zh-CN"/>
        </w:rPr>
      </w:pPr>
      <w:r>
        <w:rPr>
          <w:rFonts w:hint="eastAsia" w:ascii="宋体" w:hAnsi="宋体"/>
          <w:color w:val="auto"/>
          <w:sz w:val="24"/>
          <w:highlight w:val="none"/>
        </w:rPr>
        <w:t xml:space="preserve">                           </w:t>
      </w:r>
      <w:r>
        <w:rPr>
          <w:rFonts w:hint="eastAsia" w:ascii="宋体" w:hAnsi="宋体"/>
          <w:color w:val="auto"/>
          <w:sz w:val="24"/>
          <w:highlight w:val="none"/>
          <w:lang w:val="zh-CN"/>
        </w:rPr>
        <w:t xml:space="preserve">投标人名称(电子签名)：                              </w:t>
      </w:r>
    </w:p>
    <w:p w14:paraId="52E840FA">
      <w:pPr>
        <w:spacing w:line="360" w:lineRule="auto"/>
        <w:jc w:val="center"/>
        <w:rPr>
          <w:rFonts w:ascii="宋体" w:hAnsi="宋体"/>
          <w:color w:val="auto"/>
          <w:sz w:val="24"/>
          <w:highlight w:val="none"/>
          <w:lang w:val="zh-CN"/>
        </w:rPr>
      </w:pPr>
      <w:r>
        <w:rPr>
          <w:rFonts w:hint="eastAsia" w:ascii="宋体" w:hAnsi="宋体"/>
          <w:color w:val="auto"/>
          <w:sz w:val="24"/>
          <w:highlight w:val="none"/>
          <w:lang w:val="zh-CN"/>
        </w:rPr>
        <w:t xml:space="preserve">               </w:t>
      </w:r>
      <w:r>
        <w:rPr>
          <w:rFonts w:hint="eastAsia" w:ascii="宋体" w:hAnsi="宋体"/>
          <w:color w:val="auto"/>
          <w:sz w:val="24"/>
          <w:highlight w:val="none"/>
        </w:rPr>
        <w:t xml:space="preserve">               </w:t>
      </w:r>
      <w:r>
        <w:rPr>
          <w:rFonts w:hint="eastAsia" w:ascii="宋体" w:hAnsi="宋体"/>
          <w:color w:val="auto"/>
          <w:sz w:val="24"/>
          <w:highlight w:val="none"/>
          <w:lang w:val="zh-CN"/>
        </w:rPr>
        <w:t xml:space="preserve">    日期：  年  月  日</w:t>
      </w:r>
    </w:p>
    <w:p w14:paraId="67A981B9">
      <w:pPr>
        <w:pStyle w:val="22"/>
        <w:rPr>
          <w:rFonts w:ascii="宋体" w:hAnsi="宋体" w:cs="宋体"/>
          <w:b/>
          <w:bCs/>
          <w:color w:val="auto"/>
          <w:sz w:val="24"/>
          <w:highlight w:val="none"/>
        </w:rPr>
      </w:pPr>
    </w:p>
    <w:p w14:paraId="7369FA8E">
      <w:pPr>
        <w:ind w:firstLine="1911" w:firstLineChars="595"/>
        <w:rPr>
          <w:rFonts w:hint="eastAsia" w:ascii="宋体" w:hAnsi="宋体" w:cs="仿宋"/>
          <w:color w:val="auto"/>
          <w:sz w:val="32"/>
          <w:szCs w:val="32"/>
          <w:highlight w:val="none"/>
        </w:rPr>
      </w:pPr>
    </w:p>
    <w:p w14:paraId="2262AD1A">
      <w:pPr>
        <w:ind w:firstLine="1911" w:firstLineChars="595"/>
        <w:rPr>
          <w:rFonts w:hint="eastAsia" w:ascii="宋体" w:hAnsi="宋体" w:cs="仿宋"/>
          <w:color w:val="auto"/>
          <w:sz w:val="32"/>
          <w:szCs w:val="32"/>
          <w:highlight w:val="none"/>
        </w:rPr>
      </w:pPr>
    </w:p>
    <w:p w14:paraId="768C1942">
      <w:pPr>
        <w:ind w:firstLine="1911" w:firstLineChars="595"/>
        <w:rPr>
          <w:rFonts w:hint="eastAsia" w:ascii="宋体" w:hAnsi="宋体" w:cs="仿宋"/>
          <w:color w:val="auto"/>
          <w:sz w:val="32"/>
          <w:szCs w:val="32"/>
          <w:highlight w:val="none"/>
        </w:rPr>
      </w:pPr>
    </w:p>
    <w:p w14:paraId="3F2E63E9">
      <w:pPr>
        <w:ind w:firstLine="1911" w:firstLineChars="595"/>
        <w:rPr>
          <w:rFonts w:hint="eastAsia" w:ascii="宋体" w:hAnsi="宋体" w:cs="仿宋"/>
          <w:color w:val="auto"/>
          <w:sz w:val="32"/>
          <w:szCs w:val="32"/>
          <w:highlight w:val="none"/>
        </w:rPr>
      </w:pPr>
    </w:p>
    <w:p w14:paraId="4CDD97EB">
      <w:pPr>
        <w:ind w:firstLine="1911" w:firstLineChars="595"/>
        <w:rPr>
          <w:rFonts w:ascii="宋体" w:hAnsi="宋体" w:cs="仿宋"/>
          <w:color w:val="auto"/>
          <w:sz w:val="32"/>
          <w:szCs w:val="32"/>
          <w:highlight w:val="none"/>
        </w:rPr>
      </w:pPr>
      <w:r>
        <w:rPr>
          <w:rFonts w:hint="eastAsia" w:ascii="宋体" w:hAnsi="宋体" w:cs="仿宋"/>
          <w:color w:val="auto"/>
          <w:sz w:val="32"/>
          <w:szCs w:val="32"/>
          <w:highlight w:val="none"/>
        </w:rPr>
        <w:t>八、认为需要的其他文件资料或说明</w:t>
      </w:r>
    </w:p>
    <w:p w14:paraId="46B414FC">
      <w:pPr>
        <w:jc w:val="center"/>
        <w:rPr>
          <w:rFonts w:ascii="宋体" w:hAnsi="宋体" w:eastAsia="宋体" w:cs="仿宋"/>
          <w:b w:val="0"/>
          <w:color w:val="auto"/>
          <w:sz w:val="24"/>
          <w:highlight w:val="none"/>
        </w:rPr>
      </w:pPr>
      <w:r>
        <w:rPr>
          <w:rFonts w:hint="eastAsia" w:ascii="宋体" w:hAnsi="宋体" w:cs="仿宋"/>
          <w:b w:val="0"/>
          <w:color w:val="auto"/>
          <w:sz w:val="24"/>
          <w:highlight w:val="none"/>
        </w:rPr>
        <w:t>（由投标人根据采购需求自行编制）</w:t>
      </w:r>
    </w:p>
    <w:p w14:paraId="09529F42">
      <w:pPr>
        <w:ind w:firstLine="1911" w:firstLineChars="595"/>
        <w:rPr>
          <w:rFonts w:hint="eastAsia" w:ascii="宋体" w:hAnsi="宋体" w:cs="仿宋"/>
          <w:color w:val="auto"/>
          <w:sz w:val="32"/>
          <w:szCs w:val="32"/>
          <w:highlight w:val="none"/>
        </w:rPr>
      </w:pPr>
    </w:p>
    <w:p w14:paraId="21DBABAC">
      <w:pPr>
        <w:ind w:firstLine="5542" w:firstLineChars="2300"/>
        <w:rPr>
          <w:rFonts w:hint="eastAsia" w:ascii="宋体" w:hAnsi="宋体" w:cs="仿宋"/>
          <w:color w:val="auto"/>
          <w:sz w:val="32"/>
          <w:szCs w:val="32"/>
          <w:highlight w:val="none"/>
        </w:rPr>
      </w:pPr>
      <w:r>
        <w:rPr>
          <w:rFonts w:hint="eastAsia" w:ascii="宋体" w:hAnsi="宋体"/>
          <w:color w:val="auto"/>
          <w:sz w:val="24"/>
          <w:highlight w:val="none"/>
        </w:rPr>
        <w:t>投标人</w:t>
      </w:r>
      <w:r>
        <w:rPr>
          <w:rFonts w:hint="eastAsia" w:ascii="宋体" w:hAnsi="宋体"/>
          <w:color w:val="auto"/>
          <w:sz w:val="24"/>
          <w:highlight w:val="none"/>
          <w:lang w:val="zh-CN"/>
        </w:rPr>
        <w:t>名称(电子签名)：</w:t>
      </w:r>
    </w:p>
    <w:p w14:paraId="40954FA4">
      <w:pPr>
        <w:ind w:firstLine="5766" w:firstLineChars="2393"/>
        <w:rPr>
          <w:rFonts w:hint="eastAsia" w:ascii="宋体" w:hAnsi="宋体"/>
          <w:color w:val="auto"/>
          <w:sz w:val="24"/>
          <w:highlight w:val="none"/>
          <w:lang w:val="zh-CN"/>
        </w:rPr>
      </w:pPr>
      <w:r>
        <w:rPr>
          <w:rFonts w:hint="eastAsia" w:ascii="宋体" w:hAnsi="宋体"/>
          <w:color w:val="auto"/>
          <w:sz w:val="24"/>
          <w:highlight w:val="none"/>
          <w:lang w:val="zh-CN"/>
        </w:rPr>
        <w:t>日期：  年  月  日</w:t>
      </w:r>
    </w:p>
    <w:p w14:paraId="5B503F24">
      <w:pPr>
        <w:pStyle w:val="3"/>
        <w:numPr>
          <w:ilvl w:val="0"/>
          <w:numId w:val="0"/>
        </w:numPr>
        <w:tabs>
          <w:tab w:val="left" w:pos="432"/>
          <w:tab w:val="clear" w:pos="576"/>
        </w:tabs>
        <w:rPr>
          <w:rFonts w:hint="eastAsia" w:ascii="宋体" w:hAnsi="宋体" w:cs="宋体"/>
          <w:color w:val="auto"/>
          <w:sz w:val="24"/>
          <w:highlight w:val="none"/>
          <w:lang w:val="zh-CN"/>
        </w:rPr>
      </w:pPr>
    </w:p>
    <w:p w14:paraId="23BD217D">
      <w:pPr>
        <w:rPr>
          <w:rFonts w:hint="eastAsia" w:ascii="宋体" w:hAnsi="宋体"/>
          <w:color w:val="auto"/>
          <w:sz w:val="24"/>
          <w:highlight w:val="none"/>
          <w:lang w:val="zh-CN"/>
        </w:rPr>
      </w:pPr>
    </w:p>
    <w:p w14:paraId="081A5265">
      <w:pPr>
        <w:ind w:firstLine="1911" w:firstLineChars="595"/>
        <w:rPr>
          <w:rFonts w:hint="eastAsia" w:ascii="宋体" w:hAnsi="宋体"/>
          <w:color w:val="auto"/>
          <w:sz w:val="32"/>
          <w:szCs w:val="32"/>
          <w:highlight w:val="none"/>
        </w:rPr>
      </w:pPr>
    </w:p>
    <w:p w14:paraId="5B37E80E">
      <w:pPr>
        <w:ind w:firstLine="1911" w:firstLineChars="595"/>
        <w:rPr>
          <w:rFonts w:hint="eastAsia" w:ascii="宋体" w:hAnsi="宋体"/>
          <w:color w:val="auto"/>
          <w:sz w:val="32"/>
          <w:szCs w:val="32"/>
          <w:highlight w:val="none"/>
        </w:rPr>
      </w:pPr>
    </w:p>
    <w:p w14:paraId="1C0015E2">
      <w:pPr>
        <w:ind w:firstLine="1911" w:firstLineChars="595"/>
        <w:rPr>
          <w:rFonts w:hint="eastAsia" w:ascii="宋体" w:hAnsi="宋体"/>
          <w:color w:val="auto"/>
          <w:sz w:val="32"/>
          <w:szCs w:val="32"/>
          <w:highlight w:val="none"/>
        </w:rPr>
      </w:pPr>
    </w:p>
    <w:p w14:paraId="758BED66">
      <w:pPr>
        <w:ind w:firstLine="1911" w:firstLineChars="595"/>
        <w:rPr>
          <w:rFonts w:hint="eastAsia" w:ascii="宋体" w:hAnsi="宋体"/>
          <w:color w:val="auto"/>
          <w:sz w:val="32"/>
          <w:szCs w:val="32"/>
          <w:highlight w:val="none"/>
        </w:rPr>
      </w:pPr>
    </w:p>
    <w:p w14:paraId="30E2597A">
      <w:pPr>
        <w:ind w:firstLine="1911" w:firstLineChars="595"/>
        <w:rPr>
          <w:rFonts w:hint="eastAsia" w:ascii="宋体" w:hAnsi="宋体"/>
          <w:color w:val="auto"/>
          <w:sz w:val="32"/>
          <w:szCs w:val="32"/>
          <w:highlight w:val="none"/>
        </w:rPr>
      </w:pPr>
    </w:p>
    <w:p w14:paraId="463B4CA2">
      <w:pPr>
        <w:ind w:firstLine="1911" w:firstLineChars="595"/>
        <w:rPr>
          <w:rFonts w:hint="eastAsia" w:ascii="宋体" w:hAnsi="宋体"/>
          <w:color w:val="auto"/>
          <w:sz w:val="32"/>
          <w:szCs w:val="32"/>
          <w:highlight w:val="none"/>
        </w:rPr>
      </w:pPr>
    </w:p>
    <w:p w14:paraId="0C021025">
      <w:pPr>
        <w:rPr>
          <w:rFonts w:hint="eastAsia" w:ascii="宋体" w:hAnsi="宋体"/>
          <w:color w:val="auto"/>
          <w:sz w:val="32"/>
          <w:szCs w:val="32"/>
          <w:highlight w:val="none"/>
        </w:rPr>
      </w:pPr>
      <w:r>
        <w:rPr>
          <w:rFonts w:hint="eastAsia" w:ascii="宋体" w:hAnsi="宋体"/>
          <w:color w:val="auto"/>
          <w:sz w:val="32"/>
          <w:szCs w:val="32"/>
          <w:highlight w:val="none"/>
        </w:rPr>
        <w:br w:type="page"/>
      </w:r>
    </w:p>
    <w:p w14:paraId="314C53A9">
      <w:pPr>
        <w:ind w:firstLine="1911" w:firstLineChars="595"/>
        <w:rPr>
          <w:rFonts w:ascii="宋体" w:hAnsi="宋体"/>
          <w:color w:val="auto"/>
          <w:sz w:val="32"/>
          <w:szCs w:val="32"/>
          <w:highlight w:val="none"/>
        </w:rPr>
      </w:pPr>
      <w:r>
        <w:rPr>
          <w:rFonts w:hint="eastAsia" w:ascii="宋体" w:hAnsi="宋体"/>
          <w:color w:val="auto"/>
          <w:sz w:val="32"/>
          <w:szCs w:val="32"/>
          <w:highlight w:val="none"/>
          <w:lang w:val="en-US" w:eastAsia="zh-CN"/>
        </w:rPr>
        <w:t>九</w:t>
      </w:r>
      <w:r>
        <w:rPr>
          <w:rFonts w:hint="eastAsia" w:ascii="宋体" w:hAnsi="宋体"/>
          <w:color w:val="auto"/>
          <w:sz w:val="32"/>
          <w:szCs w:val="32"/>
          <w:highlight w:val="none"/>
        </w:rPr>
        <w:t>、</w:t>
      </w:r>
      <w:r>
        <w:rPr>
          <w:rFonts w:hint="eastAsia" w:ascii="宋体" w:hAnsi="宋体"/>
          <w:color w:val="auto"/>
          <w:sz w:val="32"/>
          <w:szCs w:val="32"/>
          <w:highlight w:val="none"/>
          <w:lang w:val="zh-CN"/>
        </w:rPr>
        <w:t>政府采购供应商廉洁自律承诺书</w:t>
      </w:r>
    </w:p>
    <w:p w14:paraId="48CC6C41">
      <w:pPr>
        <w:snapToGrid w:val="0"/>
        <w:spacing w:line="360" w:lineRule="auto"/>
        <w:rPr>
          <w:rFonts w:ascii="宋体" w:hAnsi="宋体"/>
          <w:color w:val="auto"/>
          <w:sz w:val="24"/>
          <w:highlight w:val="none"/>
        </w:rPr>
      </w:pPr>
    </w:p>
    <w:p w14:paraId="204E1DF2">
      <w:pPr>
        <w:snapToGrid w:val="0"/>
        <w:spacing w:line="360" w:lineRule="auto"/>
        <w:rPr>
          <w:rFonts w:ascii="宋体" w:hAnsi="宋体"/>
          <w:color w:val="auto"/>
          <w:sz w:val="24"/>
          <w:highlight w:val="none"/>
        </w:rPr>
      </w:pPr>
      <w:r>
        <w:rPr>
          <w:rFonts w:hint="eastAsia" w:ascii="宋体" w:hAnsi="宋体"/>
          <w:color w:val="auto"/>
          <w:sz w:val="24"/>
          <w:highlight w:val="none"/>
          <w:lang w:eastAsia="zh-CN"/>
        </w:rPr>
        <w:t>永嘉县瓯北第三小学</w:t>
      </w:r>
      <w:r>
        <w:rPr>
          <w:rFonts w:hint="eastAsia" w:ascii="宋体" w:hAnsi="宋体"/>
          <w:color w:val="auto"/>
          <w:sz w:val="24"/>
          <w:highlight w:val="none"/>
        </w:rPr>
        <w:t>、</w:t>
      </w:r>
      <w:r>
        <w:rPr>
          <w:rFonts w:hint="eastAsia" w:ascii="宋体" w:hAnsi="宋体"/>
          <w:color w:val="auto"/>
          <w:sz w:val="24"/>
          <w:highlight w:val="none"/>
          <w:lang w:eastAsia="zh-CN"/>
        </w:rPr>
        <w:t>温州国利项目管理咨询有限公司</w:t>
      </w:r>
      <w:r>
        <w:rPr>
          <w:rFonts w:hint="eastAsia" w:ascii="宋体" w:hAnsi="宋体"/>
          <w:color w:val="auto"/>
          <w:sz w:val="24"/>
          <w:highlight w:val="none"/>
          <w:lang w:val="zh-CN"/>
        </w:rPr>
        <w:t>：</w:t>
      </w:r>
    </w:p>
    <w:p w14:paraId="5DBD1D96">
      <w:pPr>
        <w:autoSpaceDE w:val="0"/>
        <w:autoSpaceDN w:val="0"/>
        <w:spacing w:line="360" w:lineRule="auto"/>
        <w:ind w:left="2" w:leftChars="1" w:firstLine="482" w:firstLineChars="200"/>
        <w:jc w:val="left"/>
        <w:rPr>
          <w:rFonts w:ascii="宋体" w:hAnsi="宋体"/>
          <w:color w:val="auto"/>
          <w:sz w:val="24"/>
          <w:highlight w:val="none"/>
          <w:lang w:val="zh-CN"/>
        </w:rPr>
      </w:pPr>
      <w:r>
        <w:rPr>
          <w:rFonts w:hint="eastAsia" w:ascii="宋体" w:hAnsi="宋体"/>
          <w:color w:val="auto"/>
          <w:sz w:val="24"/>
          <w:highlight w:val="none"/>
          <w:lang w:val="zh-CN"/>
        </w:rPr>
        <w:t>我单位响应你</w:t>
      </w:r>
      <w:r>
        <w:rPr>
          <w:rFonts w:hint="eastAsia" w:ascii="宋体" w:hAnsi="宋体"/>
          <w:color w:val="auto"/>
          <w:sz w:val="24"/>
          <w:highlight w:val="none"/>
        </w:rPr>
        <w:t>单位</w:t>
      </w:r>
      <w:r>
        <w:rPr>
          <w:rFonts w:hint="eastAsia" w:ascii="宋体" w:hAnsi="宋体"/>
          <w:color w:val="auto"/>
          <w:sz w:val="24"/>
          <w:highlight w:val="none"/>
          <w:lang w:val="zh-CN"/>
        </w:rPr>
        <w:t>项目招标要求参加投标。在这次投标过程中和中标后，我们将严格遵守国家法律法规要求，并郑重承诺：</w:t>
      </w:r>
    </w:p>
    <w:p w14:paraId="61960E44">
      <w:pPr>
        <w:autoSpaceDE w:val="0"/>
        <w:autoSpaceDN w:val="0"/>
        <w:spacing w:line="360" w:lineRule="auto"/>
        <w:ind w:left="2" w:leftChars="1" w:firstLine="482" w:firstLineChars="200"/>
        <w:jc w:val="left"/>
        <w:rPr>
          <w:rFonts w:ascii="宋体" w:hAnsi="宋体"/>
          <w:color w:val="auto"/>
          <w:sz w:val="24"/>
          <w:highlight w:val="none"/>
          <w:lang w:val="zh-CN"/>
        </w:rPr>
      </w:pPr>
      <w:r>
        <w:rPr>
          <w:rFonts w:hint="eastAsia" w:ascii="宋体" w:hAnsi="宋体"/>
          <w:color w:val="auto"/>
          <w:sz w:val="24"/>
          <w:highlight w:val="none"/>
          <w:lang w:val="zh-CN"/>
        </w:rPr>
        <w:t xml:space="preserve">一、不向项目有关人员及部门赠送礼金礼物、有价证券、回扣以及中介费、介绍费、咨询费等好处费； </w:t>
      </w:r>
    </w:p>
    <w:p w14:paraId="464BB5F8">
      <w:pPr>
        <w:autoSpaceDE w:val="0"/>
        <w:autoSpaceDN w:val="0"/>
        <w:spacing w:line="360" w:lineRule="auto"/>
        <w:ind w:left="2" w:leftChars="1" w:firstLine="482" w:firstLineChars="200"/>
        <w:jc w:val="left"/>
        <w:rPr>
          <w:rFonts w:ascii="宋体" w:hAnsi="宋体"/>
          <w:color w:val="auto"/>
          <w:sz w:val="24"/>
          <w:highlight w:val="none"/>
          <w:lang w:val="zh-CN"/>
        </w:rPr>
      </w:pPr>
      <w:r>
        <w:rPr>
          <w:rFonts w:hint="eastAsia" w:ascii="宋体" w:hAnsi="宋体"/>
          <w:color w:val="auto"/>
          <w:sz w:val="24"/>
          <w:highlight w:val="none"/>
          <w:lang w:val="zh-CN"/>
        </w:rPr>
        <w:t xml:space="preserve">二、不为项目有关人员及部门报销应由你方单位或个人支付的费用； </w:t>
      </w:r>
    </w:p>
    <w:p w14:paraId="3C285718">
      <w:pPr>
        <w:autoSpaceDE w:val="0"/>
        <w:autoSpaceDN w:val="0"/>
        <w:spacing w:line="360" w:lineRule="auto"/>
        <w:ind w:left="2" w:leftChars="1" w:firstLine="482" w:firstLineChars="200"/>
        <w:jc w:val="left"/>
        <w:rPr>
          <w:rFonts w:ascii="宋体" w:hAnsi="宋体"/>
          <w:color w:val="auto"/>
          <w:sz w:val="24"/>
          <w:highlight w:val="none"/>
          <w:lang w:val="zh-CN"/>
        </w:rPr>
      </w:pPr>
      <w:r>
        <w:rPr>
          <w:rFonts w:hint="eastAsia" w:ascii="宋体" w:hAnsi="宋体"/>
          <w:color w:val="auto"/>
          <w:sz w:val="24"/>
          <w:highlight w:val="none"/>
          <w:lang w:val="zh-CN"/>
        </w:rPr>
        <w:t xml:space="preserve">三、不向项目有关人员及部门提供有可能影响公正的宴请和健身娱乐等活动； </w:t>
      </w:r>
    </w:p>
    <w:p w14:paraId="6AF5CC22">
      <w:pPr>
        <w:autoSpaceDE w:val="0"/>
        <w:autoSpaceDN w:val="0"/>
        <w:spacing w:line="360" w:lineRule="auto"/>
        <w:ind w:left="2" w:leftChars="1" w:firstLine="482" w:firstLineChars="200"/>
        <w:jc w:val="left"/>
        <w:rPr>
          <w:rFonts w:ascii="宋体" w:hAnsi="宋体"/>
          <w:color w:val="auto"/>
          <w:sz w:val="24"/>
          <w:highlight w:val="none"/>
          <w:lang w:val="zh-CN"/>
        </w:rPr>
      </w:pPr>
      <w:r>
        <w:rPr>
          <w:rFonts w:hint="eastAsia" w:ascii="宋体" w:hAnsi="宋体"/>
          <w:color w:val="auto"/>
          <w:sz w:val="24"/>
          <w:highlight w:val="none"/>
          <w:lang w:val="zh-CN"/>
        </w:rPr>
        <w:t>四、不为项目有关人员及部门出国（境）、旅游等提供方便；</w:t>
      </w:r>
    </w:p>
    <w:p w14:paraId="29257D77">
      <w:pPr>
        <w:autoSpaceDE w:val="0"/>
        <w:autoSpaceDN w:val="0"/>
        <w:spacing w:line="360" w:lineRule="auto"/>
        <w:ind w:left="481" w:leftChars="229"/>
        <w:jc w:val="left"/>
        <w:rPr>
          <w:rFonts w:ascii="宋体" w:hAnsi="宋体"/>
          <w:color w:val="auto"/>
          <w:sz w:val="24"/>
          <w:highlight w:val="none"/>
          <w:lang w:val="zh-CN"/>
        </w:rPr>
      </w:pPr>
      <w:r>
        <w:rPr>
          <w:rFonts w:hint="eastAsia" w:ascii="宋体" w:hAnsi="宋体"/>
          <w:color w:val="auto"/>
          <w:sz w:val="24"/>
          <w:highlight w:val="none"/>
          <w:lang w:val="zh-CN"/>
        </w:rPr>
        <w:t>五、不为项目有关人员个人装修住房、婚丧嫁娶、配偶子女工作安排等提供</w:t>
      </w:r>
    </w:p>
    <w:p w14:paraId="7CFBA6CC">
      <w:pPr>
        <w:autoSpaceDE w:val="0"/>
        <w:autoSpaceDN w:val="0"/>
        <w:spacing w:line="360" w:lineRule="auto"/>
        <w:jc w:val="left"/>
        <w:rPr>
          <w:rFonts w:ascii="宋体" w:hAnsi="宋体"/>
          <w:color w:val="auto"/>
          <w:sz w:val="24"/>
          <w:highlight w:val="none"/>
          <w:lang w:val="zh-CN"/>
        </w:rPr>
      </w:pPr>
      <w:r>
        <w:rPr>
          <w:rFonts w:hint="eastAsia" w:ascii="宋体" w:hAnsi="宋体"/>
          <w:color w:val="auto"/>
          <w:sz w:val="24"/>
          <w:highlight w:val="none"/>
          <w:lang w:val="zh-CN"/>
        </w:rPr>
        <w:t>好处；</w:t>
      </w:r>
    </w:p>
    <w:p w14:paraId="6F417AC7">
      <w:pPr>
        <w:autoSpaceDE w:val="0"/>
        <w:autoSpaceDN w:val="0"/>
        <w:spacing w:line="360" w:lineRule="auto"/>
        <w:ind w:left="481" w:leftChars="229"/>
        <w:jc w:val="left"/>
        <w:rPr>
          <w:rFonts w:ascii="宋体" w:hAnsi="宋体"/>
          <w:color w:val="auto"/>
          <w:sz w:val="24"/>
          <w:highlight w:val="none"/>
          <w:lang w:val="zh-CN"/>
        </w:rPr>
      </w:pPr>
      <w:r>
        <w:rPr>
          <w:rFonts w:hint="eastAsia" w:ascii="宋体" w:hAnsi="宋体"/>
          <w:color w:val="auto"/>
          <w:sz w:val="24"/>
          <w:highlight w:val="none"/>
          <w:lang w:val="zh-CN"/>
        </w:rPr>
        <w:t>六、严格遵守《中华人民共和国政府采购法》《中华人民共和国招标投标</w:t>
      </w:r>
    </w:p>
    <w:p w14:paraId="5E3D9D7C">
      <w:pPr>
        <w:autoSpaceDE w:val="0"/>
        <w:autoSpaceDN w:val="0"/>
        <w:spacing w:line="360" w:lineRule="auto"/>
        <w:jc w:val="left"/>
        <w:rPr>
          <w:rFonts w:ascii="宋体" w:hAnsi="宋体"/>
          <w:color w:val="auto"/>
          <w:sz w:val="24"/>
          <w:highlight w:val="none"/>
          <w:lang w:val="zh-CN"/>
        </w:rPr>
      </w:pPr>
      <w:r>
        <w:rPr>
          <w:rFonts w:hint="eastAsia" w:ascii="宋体" w:hAnsi="宋体"/>
          <w:color w:val="auto"/>
          <w:sz w:val="24"/>
          <w:highlight w:val="none"/>
          <w:lang w:val="zh-CN"/>
        </w:rPr>
        <w:t xml:space="preserve">法》《中华人民共和国民法典》等法律法规，诚实守信，合法经营，坚决抵制各种违法违纪行为。 </w:t>
      </w:r>
    </w:p>
    <w:p w14:paraId="0202A6F4">
      <w:pPr>
        <w:autoSpaceDE w:val="0"/>
        <w:autoSpaceDN w:val="0"/>
        <w:spacing w:line="360" w:lineRule="auto"/>
        <w:ind w:firstLine="482" w:firstLineChars="200"/>
        <w:jc w:val="left"/>
        <w:rPr>
          <w:rFonts w:ascii="宋体" w:hAnsi="宋体"/>
          <w:color w:val="auto"/>
          <w:sz w:val="24"/>
          <w:highlight w:val="none"/>
          <w:lang w:val="zh-CN"/>
        </w:rPr>
      </w:pPr>
      <w:r>
        <w:rPr>
          <w:rFonts w:hint="eastAsia" w:ascii="宋体" w:hAnsi="宋体"/>
          <w:color w:val="auto"/>
          <w:sz w:val="24"/>
          <w:highlight w:val="none"/>
          <w:lang w:val="zh-CN"/>
        </w:rPr>
        <w:t>如违反上述承诺，你</w:t>
      </w:r>
      <w:r>
        <w:rPr>
          <w:rFonts w:hint="eastAsia" w:ascii="宋体" w:hAnsi="宋体"/>
          <w:color w:val="auto"/>
          <w:sz w:val="24"/>
          <w:highlight w:val="none"/>
        </w:rPr>
        <w:t>单位</w:t>
      </w:r>
      <w:r>
        <w:rPr>
          <w:rFonts w:hint="eastAsia" w:ascii="宋体" w:hAnsi="宋体"/>
          <w:color w:val="auto"/>
          <w:sz w:val="24"/>
          <w:highlight w:val="none"/>
          <w:lang w:val="zh-CN"/>
        </w:rPr>
        <w:t>有权立即取消我单位投标、中标或在建项目的建设资格，有权拒绝我单位在一定时期内进入你</w:t>
      </w:r>
      <w:r>
        <w:rPr>
          <w:rFonts w:hint="eastAsia" w:ascii="宋体" w:hAnsi="宋体"/>
          <w:color w:val="auto"/>
          <w:sz w:val="24"/>
          <w:highlight w:val="none"/>
        </w:rPr>
        <w:t>单位</w:t>
      </w:r>
      <w:r>
        <w:rPr>
          <w:rFonts w:hint="eastAsia" w:ascii="宋体" w:hAnsi="宋体"/>
          <w:color w:val="auto"/>
          <w:sz w:val="24"/>
          <w:highlight w:val="none"/>
          <w:lang w:val="zh-CN"/>
        </w:rPr>
        <w:t>进行项目建设或其他经营活动，并通报市财政局。由此引起的相应损失均由我单位承担。</w:t>
      </w:r>
    </w:p>
    <w:p w14:paraId="0C71B4CB">
      <w:pPr>
        <w:autoSpaceDE w:val="0"/>
        <w:autoSpaceDN w:val="0"/>
        <w:spacing w:line="360" w:lineRule="auto"/>
        <w:ind w:left="2"/>
        <w:jc w:val="left"/>
        <w:rPr>
          <w:rFonts w:ascii="宋体" w:hAnsi="宋体"/>
          <w:color w:val="auto"/>
          <w:sz w:val="24"/>
          <w:highlight w:val="none"/>
          <w:lang w:val="zh-CN"/>
        </w:rPr>
      </w:pPr>
    </w:p>
    <w:p w14:paraId="30EC8186">
      <w:pPr>
        <w:autoSpaceDE w:val="0"/>
        <w:autoSpaceDN w:val="0"/>
        <w:spacing w:line="360" w:lineRule="auto"/>
        <w:ind w:left="2" w:leftChars="1" w:right="1120" w:firstLine="4578" w:firstLineChars="1900"/>
        <w:jc w:val="left"/>
        <w:rPr>
          <w:rFonts w:ascii="宋体" w:hAnsi="宋体"/>
          <w:color w:val="auto"/>
          <w:sz w:val="24"/>
          <w:highlight w:val="none"/>
          <w:lang w:val="zh-CN"/>
        </w:rPr>
      </w:pPr>
      <w:r>
        <w:rPr>
          <w:rFonts w:hint="eastAsia" w:ascii="宋体" w:hAnsi="宋体"/>
          <w:color w:val="auto"/>
          <w:sz w:val="24"/>
          <w:highlight w:val="none"/>
          <w:lang w:val="zh-CN"/>
        </w:rPr>
        <w:t>投标人名称（</w:t>
      </w:r>
      <w:r>
        <w:rPr>
          <w:rFonts w:hint="eastAsia" w:ascii="宋体" w:hAnsi="宋体"/>
          <w:color w:val="auto"/>
          <w:sz w:val="24"/>
          <w:highlight w:val="none"/>
        </w:rPr>
        <w:t>电子签名</w:t>
      </w:r>
      <w:r>
        <w:rPr>
          <w:rFonts w:hint="eastAsia" w:ascii="宋体" w:hAnsi="宋体"/>
          <w:color w:val="auto"/>
          <w:sz w:val="24"/>
          <w:highlight w:val="none"/>
          <w:lang w:val="zh-CN"/>
        </w:rPr>
        <w:t xml:space="preserve">）：                                                                                                                                                                                                               </w:t>
      </w:r>
    </w:p>
    <w:p w14:paraId="1E72F0F1">
      <w:pPr>
        <w:spacing w:line="360" w:lineRule="auto"/>
        <w:ind w:left="4620" w:leftChars="2200"/>
        <w:rPr>
          <w:rFonts w:ascii="宋体" w:hAnsi="宋体"/>
          <w:color w:val="auto"/>
          <w:sz w:val="24"/>
          <w:highlight w:val="none"/>
        </w:rPr>
      </w:pPr>
      <w:r>
        <w:rPr>
          <w:rFonts w:hint="eastAsia" w:ascii="宋体" w:hAnsi="宋体"/>
          <w:color w:val="auto"/>
          <w:sz w:val="24"/>
          <w:highlight w:val="none"/>
          <w:lang w:val="zh-CN"/>
        </w:rPr>
        <w:t>日期</w:t>
      </w:r>
      <w:r>
        <w:rPr>
          <w:rFonts w:hint="eastAsia" w:ascii="宋体" w:hAnsi="宋体"/>
          <w:color w:val="auto"/>
          <w:sz w:val="24"/>
          <w:highlight w:val="none"/>
        </w:rPr>
        <w:t>：</w:t>
      </w:r>
      <w:r>
        <w:rPr>
          <w:rFonts w:hint="eastAsia" w:ascii="宋体" w:hAnsi="宋体"/>
          <w:color w:val="auto"/>
          <w:sz w:val="24"/>
          <w:highlight w:val="none"/>
          <w:lang w:val="zh-CN"/>
        </w:rPr>
        <w:t xml:space="preserve">   年   月   日</w:t>
      </w:r>
    </w:p>
    <w:p w14:paraId="712F4620">
      <w:pPr>
        <w:spacing w:line="360" w:lineRule="auto"/>
        <w:jc w:val="center"/>
        <w:rPr>
          <w:rFonts w:ascii="宋体" w:hAnsi="宋体"/>
          <w:bCs/>
          <w:color w:val="auto"/>
          <w:sz w:val="24"/>
          <w:highlight w:val="none"/>
        </w:rPr>
      </w:pPr>
    </w:p>
    <w:p w14:paraId="7B7CA3C0">
      <w:pPr>
        <w:spacing w:line="360" w:lineRule="auto"/>
        <w:ind w:right="420"/>
        <w:rPr>
          <w:rFonts w:ascii="宋体" w:hAnsi="宋体"/>
          <w:bCs/>
          <w:color w:val="auto"/>
          <w:sz w:val="24"/>
          <w:highlight w:val="none"/>
        </w:rPr>
      </w:pPr>
      <w:r>
        <w:rPr>
          <w:rFonts w:hint="eastAsia" w:ascii="宋体" w:hAnsi="宋体"/>
          <w:color w:val="auto"/>
          <w:sz w:val="24"/>
          <w:highlight w:val="none"/>
        </w:rPr>
        <w:t>注：按本格式和要求提供。</w:t>
      </w:r>
    </w:p>
    <w:p w14:paraId="0C1D6B26">
      <w:pPr>
        <w:pStyle w:val="3"/>
        <w:numPr>
          <w:ilvl w:val="0"/>
          <w:numId w:val="0"/>
        </w:numPr>
        <w:tabs>
          <w:tab w:val="left" w:pos="432"/>
          <w:tab w:val="clear" w:pos="576"/>
        </w:tabs>
        <w:rPr>
          <w:rFonts w:ascii="宋体" w:hAnsi="宋体" w:cs="宋体"/>
          <w:b/>
          <w:bCs/>
          <w:color w:val="auto"/>
          <w:sz w:val="24"/>
          <w:highlight w:val="none"/>
        </w:rPr>
      </w:pPr>
    </w:p>
    <w:p w14:paraId="5A464434">
      <w:pPr>
        <w:rPr>
          <w:rFonts w:ascii="宋体" w:hAnsi="宋体"/>
          <w:bCs/>
          <w:color w:val="auto"/>
          <w:sz w:val="24"/>
          <w:highlight w:val="none"/>
        </w:rPr>
      </w:pPr>
    </w:p>
    <w:p w14:paraId="06A5940F">
      <w:pPr>
        <w:pStyle w:val="3"/>
        <w:numPr>
          <w:ilvl w:val="0"/>
          <w:numId w:val="0"/>
        </w:numPr>
        <w:tabs>
          <w:tab w:val="left" w:pos="432"/>
          <w:tab w:val="clear" w:pos="576"/>
        </w:tabs>
        <w:rPr>
          <w:color w:val="auto"/>
          <w:highlight w:val="none"/>
        </w:rPr>
      </w:pPr>
    </w:p>
    <w:p w14:paraId="0F37D34A">
      <w:pPr>
        <w:pStyle w:val="22"/>
        <w:rPr>
          <w:rFonts w:ascii="宋体" w:hAnsi="宋体" w:cs="宋体"/>
          <w:b/>
          <w:bCs/>
          <w:color w:val="auto"/>
          <w:sz w:val="24"/>
          <w:highlight w:val="none"/>
        </w:rPr>
      </w:pPr>
    </w:p>
    <w:p w14:paraId="5F0DEB86">
      <w:pPr>
        <w:spacing w:line="360" w:lineRule="auto"/>
        <w:jc w:val="center"/>
        <w:outlineLvl w:val="0"/>
        <w:rPr>
          <w:rFonts w:hint="eastAsia" w:ascii="宋体" w:hAnsi="宋体"/>
          <w:color w:val="auto"/>
          <w:sz w:val="36"/>
          <w:szCs w:val="36"/>
          <w:highlight w:val="none"/>
        </w:rPr>
      </w:pPr>
    </w:p>
    <w:p w14:paraId="0C0630CC">
      <w:pPr>
        <w:rPr>
          <w:rFonts w:hint="eastAsia" w:ascii="宋体" w:hAnsi="宋体"/>
          <w:color w:val="auto"/>
          <w:sz w:val="36"/>
          <w:szCs w:val="36"/>
          <w:highlight w:val="none"/>
        </w:rPr>
      </w:pPr>
      <w:r>
        <w:rPr>
          <w:rFonts w:hint="eastAsia" w:ascii="宋体" w:hAnsi="宋体"/>
          <w:color w:val="auto"/>
          <w:sz w:val="36"/>
          <w:szCs w:val="36"/>
          <w:highlight w:val="none"/>
        </w:rPr>
        <w:br w:type="page"/>
      </w:r>
    </w:p>
    <w:p w14:paraId="56BA691A">
      <w:pPr>
        <w:spacing w:line="360" w:lineRule="auto"/>
        <w:jc w:val="center"/>
        <w:outlineLvl w:val="0"/>
        <w:rPr>
          <w:rFonts w:ascii="宋体" w:hAnsi="宋体"/>
          <w:color w:val="auto"/>
          <w:sz w:val="36"/>
          <w:szCs w:val="36"/>
          <w:highlight w:val="none"/>
        </w:rPr>
      </w:pPr>
      <w:r>
        <w:rPr>
          <w:rFonts w:hint="eastAsia" w:ascii="宋体" w:hAnsi="宋体"/>
          <w:color w:val="auto"/>
          <w:sz w:val="36"/>
          <w:szCs w:val="36"/>
          <w:highlight w:val="none"/>
        </w:rPr>
        <w:t>报价文件部分</w:t>
      </w:r>
    </w:p>
    <w:p w14:paraId="3F3EA9F4">
      <w:pPr>
        <w:spacing w:line="360" w:lineRule="auto"/>
        <w:jc w:val="center"/>
        <w:outlineLvl w:val="0"/>
        <w:rPr>
          <w:rFonts w:ascii="宋体" w:hAnsi="宋体"/>
          <w:color w:val="auto"/>
          <w:sz w:val="36"/>
          <w:szCs w:val="36"/>
          <w:highlight w:val="none"/>
        </w:rPr>
      </w:pPr>
      <w:r>
        <w:rPr>
          <w:rFonts w:hint="eastAsia" w:ascii="宋体" w:hAnsi="宋体"/>
          <w:color w:val="auto"/>
          <w:sz w:val="36"/>
          <w:szCs w:val="36"/>
          <w:highlight w:val="none"/>
        </w:rPr>
        <w:t>目录</w:t>
      </w:r>
    </w:p>
    <w:p w14:paraId="19774DDC">
      <w:pPr>
        <w:spacing w:line="360" w:lineRule="auto"/>
        <w:jc w:val="center"/>
        <w:outlineLvl w:val="0"/>
        <w:rPr>
          <w:rFonts w:ascii="宋体" w:hAnsi="宋体"/>
          <w:color w:val="auto"/>
          <w:sz w:val="36"/>
          <w:szCs w:val="36"/>
          <w:highlight w:val="none"/>
        </w:rPr>
      </w:pPr>
    </w:p>
    <w:p w14:paraId="51936525">
      <w:pPr>
        <w:numPr>
          <w:ilvl w:val="0"/>
          <w:numId w:val="0"/>
        </w:numPr>
        <w:snapToGrid w:val="0"/>
        <w:spacing w:line="360" w:lineRule="auto"/>
        <w:rPr>
          <w:rFonts w:hint="eastAsia" w:ascii="宋体" w:hAnsi="宋体"/>
          <w:color w:val="auto"/>
          <w:sz w:val="24"/>
          <w:highlight w:val="none"/>
        </w:rPr>
      </w:pPr>
      <w:r>
        <w:rPr>
          <w:rFonts w:hint="eastAsia" w:ascii="宋体" w:hAnsi="宋体" w:eastAsia="仿宋" w:cs="宋体"/>
          <w:b/>
          <w:color w:val="auto"/>
          <w:sz w:val="24"/>
          <w:szCs w:val="21"/>
          <w:highlight w:val="none"/>
          <w:lang w:val="en-US" w:eastAsia="zh-CN" w:bidi="ar-SA"/>
        </w:rPr>
        <w:t>（1）</w:t>
      </w:r>
      <w:r>
        <w:rPr>
          <w:rFonts w:hint="eastAsia" w:ascii="宋体" w:hAnsi="宋体"/>
          <w:color w:val="auto"/>
          <w:sz w:val="24"/>
          <w:highlight w:val="none"/>
        </w:rPr>
        <w:t>开标一览表……………………………</w:t>
      </w:r>
      <w:r>
        <w:rPr>
          <w:rFonts w:hint="eastAsia" w:ascii="宋体" w:hAnsi="宋体"/>
          <w:color w:val="auto"/>
          <w:highlight w:val="none"/>
        </w:rPr>
        <w:t>……………</w:t>
      </w:r>
      <w:r>
        <w:rPr>
          <w:rFonts w:hint="eastAsia" w:ascii="宋体" w:hAnsi="宋体"/>
          <w:color w:val="auto"/>
          <w:sz w:val="24"/>
          <w:highlight w:val="none"/>
        </w:rPr>
        <w:t>…………………………（页码）</w:t>
      </w:r>
    </w:p>
    <w:p w14:paraId="34E5959D">
      <w:pPr>
        <w:snapToGrid w:val="0"/>
        <w:spacing w:line="360" w:lineRule="auto"/>
        <w:rPr>
          <w:rFonts w:hint="eastAsia" w:ascii="宋体" w:hAnsi="宋体" w:eastAsia="仿宋" w:cs="宋体"/>
          <w:b/>
          <w:color w:val="auto"/>
          <w:sz w:val="24"/>
          <w:szCs w:val="21"/>
          <w:highlight w:val="none"/>
          <w:lang w:val="en-US" w:eastAsia="zh-CN" w:bidi="ar-SA"/>
        </w:rPr>
      </w:pPr>
      <w:r>
        <w:rPr>
          <w:rFonts w:hint="eastAsia" w:ascii="宋体" w:hAnsi="宋体" w:eastAsia="仿宋" w:cs="宋体"/>
          <w:b/>
          <w:color w:val="auto"/>
          <w:sz w:val="24"/>
          <w:szCs w:val="21"/>
          <w:highlight w:val="none"/>
          <w:lang w:val="en-US" w:eastAsia="zh-CN" w:bidi="ar-SA"/>
        </w:rPr>
        <w:t>（</w:t>
      </w:r>
      <w:r>
        <w:rPr>
          <w:rFonts w:hint="eastAsia" w:ascii="宋体" w:hAnsi="宋体" w:cs="宋体"/>
          <w:b/>
          <w:color w:val="auto"/>
          <w:sz w:val="24"/>
          <w:szCs w:val="21"/>
          <w:highlight w:val="none"/>
          <w:lang w:val="en-US" w:eastAsia="zh-CN" w:bidi="ar-SA"/>
        </w:rPr>
        <w:t>2</w:t>
      </w:r>
      <w:r>
        <w:rPr>
          <w:rFonts w:hint="eastAsia" w:ascii="宋体" w:hAnsi="宋体" w:eastAsia="仿宋" w:cs="宋体"/>
          <w:b/>
          <w:color w:val="auto"/>
          <w:sz w:val="24"/>
          <w:szCs w:val="21"/>
          <w:highlight w:val="none"/>
          <w:lang w:val="en-US" w:eastAsia="zh-CN" w:bidi="ar-SA"/>
        </w:rPr>
        <w:t>）</w:t>
      </w:r>
      <w:r>
        <w:rPr>
          <w:rFonts w:hint="eastAsia" w:ascii="宋体" w:hAnsi="宋体" w:cs="宋体"/>
          <w:color w:val="auto"/>
          <w:sz w:val="24"/>
          <w:highlight w:val="none"/>
        </w:rPr>
        <w:t>投标货物数量价格表</w:t>
      </w:r>
      <w:r>
        <w:rPr>
          <w:rFonts w:hint="eastAsia" w:ascii="宋体" w:hAnsi="宋体"/>
          <w:color w:val="auto"/>
          <w:sz w:val="24"/>
          <w:highlight w:val="none"/>
        </w:rPr>
        <w:t>…………………</w:t>
      </w:r>
      <w:r>
        <w:rPr>
          <w:rFonts w:hint="eastAsia" w:ascii="宋体" w:hAnsi="宋体"/>
          <w:color w:val="auto"/>
          <w:highlight w:val="none"/>
        </w:rPr>
        <w:t>……………</w:t>
      </w:r>
      <w:r>
        <w:rPr>
          <w:rFonts w:hint="eastAsia" w:ascii="宋体" w:hAnsi="宋体"/>
          <w:color w:val="auto"/>
          <w:sz w:val="24"/>
          <w:highlight w:val="none"/>
        </w:rPr>
        <w:t>…………………………（页码）</w:t>
      </w:r>
      <w:r>
        <w:rPr>
          <w:rFonts w:hint="eastAsia" w:ascii="宋体" w:hAnsi="宋体"/>
          <w:color w:val="auto"/>
          <w:sz w:val="28"/>
          <w:szCs w:val="28"/>
          <w:highlight w:val="none"/>
        </w:rPr>
        <w:t xml:space="preserve"> </w:t>
      </w:r>
    </w:p>
    <w:p w14:paraId="432D450A">
      <w:pPr>
        <w:snapToGrid w:val="0"/>
        <w:spacing w:line="360" w:lineRule="auto"/>
        <w:rPr>
          <w:rFonts w:ascii="宋体" w:hAnsi="宋体"/>
          <w:color w:val="auto"/>
          <w:sz w:val="24"/>
          <w:highlight w:val="none"/>
        </w:rPr>
      </w:pPr>
      <w:r>
        <w:rPr>
          <w:rFonts w:hint="eastAsia" w:ascii="宋体" w:hAnsi="宋体"/>
          <w:color w:val="auto"/>
          <w:sz w:val="24"/>
          <w:highlight w:val="none"/>
        </w:rPr>
        <w:t>（</w:t>
      </w:r>
      <w:r>
        <w:rPr>
          <w:rFonts w:hint="eastAsia" w:ascii="宋体" w:hAnsi="宋体"/>
          <w:color w:val="auto"/>
          <w:sz w:val="24"/>
          <w:highlight w:val="none"/>
          <w:lang w:val="en-US" w:eastAsia="zh-CN"/>
        </w:rPr>
        <w:t>3</w:t>
      </w:r>
      <w:r>
        <w:rPr>
          <w:rFonts w:hint="eastAsia" w:ascii="宋体" w:hAnsi="宋体"/>
          <w:color w:val="auto"/>
          <w:sz w:val="24"/>
          <w:highlight w:val="none"/>
        </w:rPr>
        <w:t>）中小企业声明函……………………………………………………………</w:t>
      </w:r>
      <w:r>
        <w:rPr>
          <w:rFonts w:hint="eastAsia" w:ascii="宋体" w:hAnsi="宋体"/>
          <w:color w:val="auto"/>
          <w:sz w:val="24"/>
          <w:highlight w:val="none"/>
          <w:lang w:val="en-US" w:eastAsia="zh-CN"/>
        </w:rPr>
        <w:t xml:space="preserve"> </w:t>
      </w:r>
      <w:r>
        <w:rPr>
          <w:rFonts w:hint="eastAsia" w:ascii="宋体" w:hAnsi="宋体"/>
          <w:color w:val="auto"/>
          <w:sz w:val="24"/>
          <w:highlight w:val="none"/>
        </w:rPr>
        <w:t>（页码）</w:t>
      </w:r>
    </w:p>
    <w:p w14:paraId="0C42EC9C">
      <w:pPr>
        <w:snapToGrid w:val="0"/>
        <w:spacing w:line="360" w:lineRule="auto"/>
        <w:ind w:right="480"/>
        <w:jc w:val="center"/>
        <w:rPr>
          <w:rFonts w:ascii="宋体" w:hAnsi="宋体"/>
          <w:color w:val="auto"/>
          <w:sz w:val="32"/>
          <w:szCs w:val="32"/>
          <w:highlight w:val="none"/>
        </w:rPr>
      </w:pPr>
    </w:p>
    <w:p w14:paraId="6813F364">
      <w:pPr>
        <w:snapToGrid w:val="0"/>
        <w:spacing w:line="360" w:lineRule="auto"/>
        <w:ind w:right="480"/>
        <w:jc w:val="center"/>
        <w:rPr>
          <w:rFonts w:ascii="宋体" w:hAnsi="宋体"/>
          <w:color w:val="auto"/>
          <w:sz w:val="32"/>
          <w:szCs w:val="32"/>
          <w:highlight w:val="none"/>
        </w:rPr>
      </w:pPr>
    </w:p>
    <w:p w14:paraId="6942F950">
      <w:pPr>
        <w:snapToGrid w:val="0"/>
        <w:spacing w:line="360" w:lineRule="auto"/>
        <w:ind w:right="480"/>
        <w:jc w:val="center"/>
        <w:rPr>
          <w:rFonts w:ascii="宋体" w:hAnsi="宋体"/>
          <w:color w:val="auto"/>
          <w:sz w:val="32"/>
          <w:szCs w:val="32"/>
          <w:highlight w:val="none"/>
        </w:rPr>
      </w:pPr>
    </w:p>
    <w:p w14:paraId="43069158">
      <w:pPr>
        <w:snapToGrid w:val="0"/>
        <w:spacing w:line="360" w:lineRule="auto"/>
        <w:ind w:right="480"/>
        <w:jc w:val="center"/>
        <w:rPr>
          <w:rFonts w:ascii="宋体" w:hAnsi="宋体"/>
          <w:color w:val="auto"/>
          <w:sz w:val="32"/>
          <w:szCs w:val="32"/>
          <w:highlight w:val="none"/>
        </w:rPr>
      </w:pPr>
    </w:p>
    <w:p w14:paraId="2CC214BF">
      <w:pPr>
        <w:snapToGrid w:val="0"/>
        <w:spacing w:line="360" w:lineRule="auto"/>
        <w:ind w:right="480"/>
        <w:jc w:val="center"/>
        <w:rPr>
          <w:rFonts w:ascii="宋体" w:hAnsi="宋体"/>
          <w:color w:val="auto"/>
          <w:sz w:val="32"/>
          <w:szCs w:val="32"/>
          <w:highlight w:val="none"/>
        </w:rPr>
      </w:pPr>
    </w:p>
    <w:p w14:paraId="2A168113">
      <w:pPr>
        <w:snapToGrid w:val="0"/>
        <w:spacing w:line="360" w:lineRule="auto"/>
        <w:ind w:right="480"/>
        <w:jc w:val="center"/>
        <w:rPr>
          <w:rFonts w:ascii="宋体" w:hAnsi="宋体"/>
          <w:color w:val="auto"/>
          <w:sz w:val="32"/>
          <w:szCs w:val="32"/>
          <w:highlight w:val="none"/>
        </w:rPr>
      </w:pPr>
    </w:p>
    <w:p w14:paraId="3C5C07A7">
      <w:pPr>
        <w:snapToGrid w:val="0"/>
        <w:spacing w:line="360" w:lineRule="auto"/>
        <w:ind w:right="480"/>
        <w:jc w:val="center"/>
        <w:rPr>
          <w:rFonts w:ascii="宋体" w:hAnsi="宋体"/>
          <w:color w:val="auto"/>
          <w:sz w:val="32"/>
          <w:szCs w:val="32"/>
          <w:highlight w:val="none"/>
        </w:rPr>
      </w:pPr>
    </w:p>
    <w:p w14:paraId="5C954E2A">
      <w:pPr>
        <w:snapToGrid w:val="0"/>
        <w:spacing w:line="360" w:lineRule="auto"/>
        <w:ind w:right="480"/>
        <w:jc w:val="center"/>
        <w:rPr>
          <w:rFonts w:ascii="宋体" w:hAnsi="宋体"/>
          <w:color w:val="auto"/>
          <w:sz w:val="32"/>
          <w:szCs w:val="32"/>
          <w:highlight w:val="none"/>
        </w:rPr>
      </w:pPr>
    </w:p>
    <w:p w14:paraId="71247B8A">
      <w:pPr>
        <w:snapToGrid w:val="0"/>
        <w:spacing w:line="360" w:lineRule="auto"/>
        <w:ind w:right="480"/>
        <w:jc w:val="center"/>
        <w:rPr>
          <w:rFonts w:ascii="宋体" w:hAnsi="宋体"/>
          <w:color w:val="auto"/>
          <w:sz w:val="32"/>
          <w:szCs w:val="32"/>
          <w:highlight w:val="none"/>
        </w:rPr>
      </w:pPr>
    </w:p>
    <w:p w14:paraId="1F235D88">
      <w:pPr>
        <w:snapToGrid w:val="0"/>
        <w:spacing w:line="360" w:lineRule="auto"/>
        <w:ind w:right="480"/>
        <w:jc w:val="center"/>
        <w:rPr>
          <w:rFonts w:ascii="宋体" w:hAnsi="宋体"/>
          <w:color w:val="auto"/>
          <w:sz w:val="32"/>
          <w:szCs w:val="32"/>
          <w:highlight w:val="none"/>
        </w:rPr>
      </w:pPr>
    </w:p>
    <w:p w14:paraId="082E2393">
      <w:pPr>
        <w:snapToGrid w:val="0"/>
        <w:spacing w:line="360" w:lineRule="auto"/>
        <w:ind w:right="480"/>
        <w:jc w:val="center"/>
        <w:rPr>
          <w:rFonts w:ascii="宋体" w:hAnsi="宋体"/>
          <w:color w:val="auto"/>
          <w:sz w:val="32"/>
          <w:szCs w:val="32"/>
          <w:highlight w:val="none"/>
        </w:rPr>
      </w:pPr>
    </w:p>
    <w:p w14:paraId="1D16B9E3">
      <w:pPr>
        <w:snapToGrid w:val="0"/>
        <w:spacing w:line="360" w:lineRule="auto"/>
        <w:ind w:right="480"/>
        <w:jc w:val="center"/>
        <w:rPr>
          <w:rFonts w:ascii="宋体" w:hAnsi="宋体"/>
          <w:color w:val="auto"/>
          <w:sz w:val="32"/>
          <w:szCs w:val="32"/>
          <w:highlight w:val="none"/>
        </w:rPr>
      </w:pPr>
    </w:p>
    <w:p w14:paraId="03D486EB">
      <w:pPr>
        <w:rPr>
          <w:rFonts w:hint="eastAsia" w:ascii="宋体" w:hAnsi="宋体" w:eastAsia="宋体"/>
          <w:color w:val="auto"/>
          <w:kern w:val="2"/>
          <w:sz w:val="32"/>
          <w:szCs w:val="32"/>
          <w:highlight w:val="none"/>
        </w:rPr>
      </w:pPr>
      <w:r>
        <w:rPr>
          <w:rFonts w:hint="eastAsia" w:ascii="宋体" w:hAnsi="宋体" w:eastAsia="宋体"/>
          <w:color w:val="auto"/>
          <w:kern w:val="2"/>
          <w:sz w:val="32"/>
          <w:szCs w:val="32"/>
          <w:highlight w:val="none"/>
        </w:rPr>
        <w:br w:type="page"/>
      </w:r>
    </w:p>
    <w:p w14:paraId="1B64DAF5">
      <w:pPr>
        <w:snapToGrid w:val="0"/>
        <w:spacing w:line="360" w:lineRule="auto"/>
        <w:jc w:val="center"/>
        <w:rPr>
          <w:rFonts w:hint="eastAsia" w:ascii="宋体" w:hAnsi="宋体" w:eastAsia="宋体"/>
          <w:color w:val="auto"/>
          <w:kern w:val="2"/>
          <w:sz w:val="32"/>
          <w:szCs w:val="32"/>
          <w:highlight w:val="none"/>
        </w:rPr>
      </w:pPr>
      <w:r>
        <w:rPr>
          <w:rFonts w:hint="eastAsia" w:ascii="宋体" w:hAnsi="宋体" w:eastAsia="宋体"/>
          <w:color w:val="auto"/>
          <w:kern w:val="2"/>
          <w:sz w:val="32"/>
          <w:szCs w:val="32"/>
          <w:highlight w:val="none"/>
        </w:rPr>
        <w:t>一、开标一览表</w:t>
      </w:r>
    </w:p>
    <w:p w14:paraId="79ABA0EC">
      <w:pPr>
        <w:snapToGrid w:val="0"/>
        <w:spacing w:line="360" w:lineRule="auto"/>
        <w:rPr>
          <w:rFonts w:ascii="宋体" w:hAnsi="宋体"/>
          <w:color w:val="auto"/>
          <w:sz w:val="24"/>
          <w:highlight w:val="none"/>
        </w:rPr>
      </w:pPr>
      <w:r>
        <w:rPr>
          <w:rFonts w:hint="eastAsia" w:ascii="宋体" w:hAnsi="宋体"/>
          <w:color w:val="auto"/>
          <w:sz w:val="24"/>
          <w:highlight w:val="none"/>
          <w:u w:val="single"/>
          <w:lang w:eastAsia="zh-CN"/>
        </w:rPr>
        <w:t>永嘉县瓯北第三小学</w:t>
      </w:r>
      <w:r>
        <w:rPr>
          <w:rFonts w:hint="eastAsia" w:ascii="宋体" w:hAnsi="宋体"/>
          <w:color w:val="auto"/>
          <w:sz w:val="24"/>
          <w:highlight w:val="none"/>
          <w:u w:val="single"/>
        </w:rPr>
        <w:t>、</w:t>
      </w:r>
      <w:r>
        <w:rPr>
          <w:rFonts w:hint="eastAsia" w:ascii="宋体" w:hAnsi="宋体"/>
          <w:color w:val="auto"/>
          <w:sz w:val="24"/>
          <w:highlight w:val="none"/>
          <w:u w:val="single"/>
          <w:lang w:eastAsia="zh-CN"/>
        </w:rPr>
        <w:t>温州国利项目管理咨询有限公司</w:t>
      </w:r>
      <w:r>
        <w:rPr>
          <w:rFonts w:hint="eastAsia" w:ascii="宋体" w:hAnsi="宋体"/>
          <w:color w:val="auto"/>
          <w:sz w:val="24"/>
          <w:highlight w:val="none"/>
          <w:lang w:val="zh-CN"/>
        </w:rPr>
        <w:t>：</w:t>
      </w:r>
    </w:p>
    <w:p w14:paraId="0C23326C">
      <w:pPr>
        <w:snapToGrid w:val="0"/>
        <w:spacing w:line="360" w:lineRule="auto"/>
        <w:ind w:firstLine="482"/>
        <w:rPr>
          <w:rFonts w:ascii="宋体" w:hAnsi="宋体"/>
          <w:color w:val="auto"/>
          <w:sz w:val="24"/>
          <w:highlight w:val="none"/>
          <w:lang w:val="zh-CN"/>
        </w:rPr>
      </w:pPr>
      <w:r>
        <w:rPr>
          <w:rFonts w:hint="eastAsia" w:ascii="宋体" w:hAnsi="宋体"/>
          <w:color w:val="auto"/>
          <w:sz w:val="24"/>
          <w:highlight w:val="none"/>
          <w:lang w:val="zh-CN"/>
        </w:rPr>
        <w:t>按你方招标文件要求，我们，本投标文件签字方，谨此向你方发出要约如下：如你方接受本投标，我方承诺按照如下开标一览表（报价表）的价格完成</w:t>
      </w:r>
      <w:r>
        <w:rPr>
          <w:rFonts w:hint="eastAsia" w:ascii="宋体" w:hAnsi="宋体"/>
          <w:color w:val="auto"/>
          <w:sz w:val="24"/>
          <w:highlight w:val="none"/>
          <w:u w:val="single"/>
          <w:lang w:eastAsia="zh-CN"/>
        </w:rPr>
        <w:t>永嘉县瓯北第三小学科学实验室设备</w:t>
      </w:r>
      <w:r>
        <w:rPr>
          <w:rFonts w:hint="eastAsia" w:ascii="宋体" w:hAnsi="宋体"/>
          <w:color w:val="auto"/>
          <w:sz w:val="24"/>
          <w:highlight w:val="none"/>
          <w:u w:val="single"/>
        </w:rPr>
        <w:t>项目</w:t>
      </w:r>
      <w:r>
        <w:rPr>
          <w:rFonts w:hint="eastAsia" w:ascii="宋体" w:hAnsi="宋体"/>
          <w:color w:val="auto"/>
          <w:sz w:val="24"/>
          <w:highlight w:val="none"/>
          <w:u w:val="single"/>
          <w:lang w:val="zh-CN"/>
        </w:rPr>
        <w:t>【招标编号：】</w:t>
      </w:r>
      <w:r>
        <w:rPr>
          <w:rFonts w:hint="eastAsia" w:ascii="宋体" w:hAnsi="宋体"/>
          <w:color w:val="auto"/>
          <w:sz w:val="24"/>
          <w:highlight w:val="none"/>
          <w:u w:val="none"/>
          <w:lang w:val="zh-CN"/>
        </w:rPr>
        <w:t>的实施。</w:t>
      </w:r>
    </w:p>
    <w:p w14:paraId="37CCF6EB">
      <w:pPr>
        <w:spacing w:line="400" w:lineRule="exact"/>
        <w:jc w:val="center"/>
        <w:rPr>
          <w:rFonts w:ascii="黑体" w:hAnsi="新宋体" w:eastAsia="黑体"/>
          <w:b/>
          <w:bCs/>
          <w:color w:val="auto"/>
          <w:sz w:val="36"/>
          <w:szCs w:val="36"/>
          <w:highlight w:val="none"/>
        </w:rPr>
      </w:pPr>
      <w:r>
        <w:rPr>
          <w:rFonts w:hint="eastAsia" w:ascii="黑体" w:hAnsi="新宋体" w:eastAsia="黑体"/>
          <w:b/>
          <w:bCs/>
          <w:color w:val="auto"/>
          <w:sz w:val="36"/>
          <w:szCs w:val="36"/>
          <w:highlight w:val="none"/>
        </w:rPr>
        <w:t>（1）开标一览表</w:t>
      </w:r>
    </w:p>
    <w:p w14:paraId="566251BA">
      <w:pPr>
        <w:tabs>
          <w:tab w:val="left" w:pos="1985"/>
        </w:tabs>
        <w:rPr>
          <w:rFonts w:ascii="宋体" w:hAnsi="宋体"/>
          <w:color w:val="auto"/>
          <w:highlight w:val="none"/>
        </w:rPr>
      </w:pPr>
      <w:r>
        <w:rPr>
          <w:rFonts w:hint="eastAsia" w:ascii="宋体" w:hAnsi="宋体"/>
          <w:color w:val="auto"/>
          <w:highlight w:val="none"/>
        </w:rPr>
        <w:t>项目编号：                         　　（价格单位：人民币元）</w:t>
      </w:r>
    </w:p>
    <w:tbl>
      <w:tblPr>
        <w:tblStyle w:val="48"/>
        <w:tblW w:w="9377" w:type="dxa"/>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4262"/>
        <w:gridCol w:w="2687"/>
        <w:gridCol w:w="2428"/>
      </w:tblGrid>
      <w:tr w14:paraId="3880C20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cantSplit/>
          <w:trHeight w:val="534" w:hRule="atLeast"/>
          <w:jc w:val="center"/>
        </w:trPr>
        <w:tc>
          <w:tcPr>
            <w:tcW w:w="4262" w:type="dxa"/>
            <w:tcBorders>
              <w:top w:val="single" w:color="auto" w:sz="0" w:space="0"/>
              <w:left w:val="single" w:color="auto" w:sz="0" w:space="0"/>
              <w:bottom w:val="single" w:color="auto" w:sz="0" w:space="0"/>
            </w:tcBorders>
            <w:noWrap w:val="0"/>
            <w:vAlign w:val="center"/>
          </w:tcPr>
          <w:p w14:paraId="759BA0ED">
            <w:pPr>
              <w:tabs>
                <w:tab w:val="left" w:pos="1985"/>
              </w:tabs>
              <w:ind w:right="-21" w:rightChars="-10"/>
              <w:jc w:val="center"/>
              <w:rPr>
                <w:rFonts w:ascii="宋体" w:hAnsi="宋体"/>
                <w:bCs/>
                <w:color w:val="auto"/>
                <w:highlight w:val="none"/>
              </w:rPr>
            </w:pPr>
            <w:r>
              <w:rPr>
                <w:rFonts w:hint="eastAsia" w:ascii="宋体" w:hAnsi="宋体"/>
                <w:bCs/>
                <w:color w:val="auto"/>
                <w:highlight w:val="none"/>
              </w:rPr>
              <w:t>项目名称</w:t>
            </w:r>
          </w:p>
        </w:tc>
        <w:tc>
          <w:tcPr>
            <w:tcW w:w="2687" w:type="dxa"/>
            <w:tcBorders>
              <w:top w:val="single" w:color="auto" w:sz="0" w:space="0"/>
              <w:bottom w:val="single" w:color="auto" w:sz="0" w:space="0"/>
              <w:right w:val="single" w:color="auto" w:sz="4" w:space="0"/>
            </w:tcBorders>
            <w:noWrap w:val="0"/>
            <w:vAlign w:val="center"/>
          </w:tcPr>
          <w:p w14:paraId="0C7FE8CB">
            <w:pPr>
              <w:tabs>
                <w:tab w:val="left" w:pos="1985"/>
              </w:tabs>
              <w:ind w:right="-21" w:rightChars="-10"/>
              <w:jc w:val="center"/>
              <w:rPr>
                <w:rFonts w:ascii="宋体" w:hAnsi="宋体"/>
                <w:bCs/>
                <w:color w:val="auto"/>
                <w:highlight w:val="none"/>
              </w:rPr>
            </w:pPr>
            <w:r>
              <w:rPr>
                <w:rFonts w:hint="eastAsia" w:ascii="宋体" w:hAnsi="宋体"/>
                <w:bCs/>
                <w:color w:val="auto"/>
                <w:highlight w:val="none"/>
              </w:rPr>
              <w:t>完工期（日历</w:t>
            </w:r>
            <w:r>
              <w:rPr>
                <w:rFonts w:hint="eastAsia" w:ascii="宋体" w:hAnsi="宋体"/>
                <w:bCs/>
                <w:color w:val="auto"/>
                <w:highlight w:val="none"/>
                <w:lang w:val="en-US" w:eastAsia="zh-CN"/>
              </w:rPr>
              <w:t>天</w:t>
            </w:r>
            <w:r>
              <w:rPr>
                <w:rFonts w:hint="eastAsia" w:ascii="宋体" w:hAnsi="宋体"/>
                <w:bCs/>
                <w:color w:val="auto"/>
                <w:highlight w:val="none"/>
              </w:rPr>
              <w:t>）</w:t>
            </w:r>
          </w:p>
        </w:tc>
        <w:tc>
          <w:tcPr>
            <w:tcW w:w="2428" w:type="dxa"/>
            <w:tcBorders>
              <w:top w:val="single" w:color="auto" w:sz="0" w:space="0"/>
              <w:left w:val="single" w:color="auto" w:sz="4" w:space="0"/>
              <w:bottom w:val="single" w:color="auto" w:sz="0" w:space="0"/>
              <w:right w:val="single" w:color="auto" w:sz="0" w:space="0"/>
            </w:tcBorders>
            <w:noWrap w:val="0"/>
            <w:vAlign w:val="center"/>
          </w:tcPr>
          <w:p w14:paraId="2ABC2113">
            <w:pPr>
              <w:tabs>
                <w:tab w:val="left" w:pos="1985"/>
              </w:tabs>
              <w:ind w:right="-21" w:rightChars="-10"/>
              <w:jc w:val="center"/>
              <w:rPr>
                <w:rFonts w:ascii="宋体" w:hAnsi="宋体"/>
                <w:bCs/>
                <w:color w:val="auto"/>
                <w:highlight w:val="none"/>
              </w:rPr>
            </w:pPr>
          </w:p>
          <w:p w14:paraId="70AD2F7C">
            <w:pPr>
              <w:tabs>
                <w:tab w:val="left" w:pos="1985"/>
              </w:tabs>
              <w:ind w:right="-21" w:rightChars="-10"/>
              <w:jc w:val="center"/>
              <w:rPr>
                <w:rFonts w:ascii="宋体" w:hAnsi="宋体"/>
                <w:bCs/>
                <w:color w:val="auto"/>
                <w:highlight w:val="none"/>
              </w:rPr>
            </w:pPr>
            <w:r>
              <w:rPr>
                <w:rFonts w:hint="eastAsia" w:ascii="宋体" w:hAnsi="宋体"/>
                <w:bCs/>
                <w:color w:val="auto"/>
                <w:highlight w:val="none"/>
              </w:rPr>
              <w:t>备注</w:t>
            </w:r>
          </w:p>
        </w:tc>
      </w:tr>
      <w:tr w14:paraId="21858A5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cantSplit/>
          <w:trHeight w:val="1069" w:hRule="atLeast"/>
          <w:jc w:val="center"/>
        </w:trPr>
        <w:tc>
          <w:tcPr>
            <w:tcW w:w="4262" w:type="dxa"/>
            <w:tcBorders>
              <w:top w:val="single" w:color="auto" w:sz="0" w:space="0"/>
              <w:left w:val="single" w:color="auto" w:sz="0" w:space="0"/>
              <w:right w:val="single" w:color="auto" w:sz="0" w:space="0"/>
            </w:tcBorders>
            <w:noWrap w:val="0"/>
            <w:vAlign w:val="center"/>
          </w:tcPr>
          <w:p w14:paraId="4E3FF63D">
            <w:pPr>
              <w:tabs>
                <w:tab w:val="left" w:pos="1985"/>
              </w:tabs>
              <w:ind w:right="-21" w:rightChars="-10"/>
              <w:jc w:val="center"/>
              <w:rPr>
                <w:rFonts w:ascii="宋体" w:hAnsi="宋体"/>
                <w:bCs/>
                <w:color w:val="auto"/>
                <w:szCs w:val="21"/>
                <w:highlight w:val="none"/>
              </w:rPr>
            </w:pPr>
            <w:r>
              <w:rPr>
                <w:rFonts w:hint="eastAsia" w:ascii="宋体" w:hAnsi="宋体"/>
                <w:bCs/>
                <w:color w:val="auto"/>
                <w:highlight w:val="none"/>
                <w:lang w:eastAsia="zh-CN"/>
              </w:rPr>
              <w:t>永嘉县瓯北第三小学科学实验室设备</w:t>
            </w:r>
          </w:p>
        </w:tc>
        <w:tc>
          <w:tcPr>
            <w:tcW w:w="2687" w:type="dxa"/>
            <w:tcBorders>
              <w:top w:val="single" w:color="auto" w:sz="0" w:space="0"/>
              <w:left w:val="single" w:color="auto" w:sz="0" w:space="0"/>
              <w:right w:val="single" w:color="auto" w:sz="4" w:space="0"/>
            </w:tcBorders>
            <w:noWrap w:val="0"/>
            <w:vAlign w:val="center"/>
          </w:tcPr>
          <w:p w14:paraId="3101A27D">
            <w:pPr>
              <w:tabs>
                <w:tab w:val="left" w:pos="1985"/>
              </w:tabs>
              <w:ind w:right="-21" w:rightChars="-10"/>
              <w:rPr>
                <w:rFonts w:ascii="宋体" w:hAnsi="宋体"/>
                <w:bCs/>
                <w:color w:val="auto"/>
                <w:highlight w:val="none"/>
              </w:rPr>
            </w:pPr>
          </w:p>
        </w:tc>
        <w:tc>
          <w:tcPr>
            <w:tcW w:w="2428" w:type="dxa"/>
            <w:tcBorders>
              <w:top w:val="single" w:color="auto" w:sz="0" w:space="0"/>
              <w:left w:val="single" w:color="auto" w:sz="4" w:space="0"/>
              <w:right w:val="single" w:color="auto" w:sz="0" w:space="0"/>
            </w:tcBorders>
            <w:noWrap w:val="0"/>
            <w:vAlign w:val="center"/>
          </w:tcPr>
          <w:p w14:paraId="4E11EE64">
            <w:pPr>
              <w:tabs>
                <w:tab w:val="left" w:pos="1985"/>
              </w:tabs>
              <w:ind w:right="-21" w:rightChars="-10"/>
              <w:rPr>
                <w:rFonts w:ascii="宋体" w:hAnsi="宋体"/>
                <w:bCs/>
                <w:color w:val="auto"/>
                <w:highlight w:val="none"/>
              </w:rPr>
            </w:pPr>
          </w:p>
        </w:tc>
      </w:tr>
      <w:tr w14:paraId="51F8232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cantSplit/>
          <w:trHeight w:val="1069" w:hRule="atLeast"/>
          <w:jc w:val="center"/>
        </w:trPr>
        <w:tc>
          <w:tcPr>
            <w:tcW w:w="4262" w:type="dxa"/>
            <w:tcBorders>
              <w:left w:val="single" w:color="auto" w:sz="0" w:space="0"/>
              <w:bottom w:val="single" w:color="auto" w:sz="0" w:space="0"/>
              <w:right w:val="single" w:color="auto" w:sz="0" w:space="0"/>
            </w:tcBorders>
            <w:noWrap w:val="0"/>
            <w:vAlign w:val="center"/>
          </w:tcPr>
          <w:p w14:paraId="79B7D010">
            <w:pPr>
              <w:tabs>
                <w:tab w:val="left" w:pos="1985"/>
              </w:tabs>
              <w:ind w:right="-21" w:rightChars="-10"/>
              <w:rPr>
                <w:rFonts w:ascii="宋体" w:hAnsi="宋体"/>
                <w:bCs/>
                <w:color w:val="auto"/>
                <w:highlight w:val="none"/>
              </w:rPr>
            </w:pPr>
            <w:r>
              <w:rPr>
                <w:rFonts w:hint="eastAsia" w:ascii="宋体" w:hAnsi="宋体"/>
                <w:bCs/>
                <w:color w:val="auto"/>
                <w:highlight w:val="none"/>
              </w:rPr>
              <w:t>总价（大写）：</w:t>
            </w:r>
          </w:p>
          <w:p w14:paraId="3760543F">
            <w:pPr>
              <w:tabs>
                <w:tab w:val="left" w:pos="1985"/>
              </w:tabs>
              <w:spacing w:before="240" w:beforeLines="100"/>
              <w:ind w:right="-21" w:rightChars="-10"/>
              <w:rPr>
                <w:rFonts w:ascii="宋体" w:hAnsi="宋体"/>
                <w:bCs/>
                <w:color w:val="auto"/>
                <w:highlight w:val="none"/>
              </w:rPr>
            </w:pPr>
            <w:r>
              <w:rPr>
                <w:rFonts w:hint="eastAsia" w:ascii="宋体" w:hAnsi="宋体"/>
                <w:bCs/>
                <w:color w:val="auto"/>
                <w:highlight w:val="none"/>
              </w:rPr>
              <w:t>　　（小写）：</w:t>
            </w:r>
            <w:r>
              <w:rPr>
                <w:rFonts w:ascii="宋体" w:hAnsi="宋体" w:cs="Arial"/>
                <w:bCs/>
                <w:color w:val="auto"/>
                <w:sz w:val="28"/>
                <w:szCs w:val="28"/>
                <w:highlight w:val="none"/>
              </w:rPr>
              <w:t>¥</w:t>
            </w:r>
          </w:p>
        </w:tc>
        <w:tc>
          <w:tcPr>
            <w:tcW w:w="5115" w:type="dxa"/>
            <w:gridSpan w:val="2"/>
            <w:tcBorders>
              <w:left w:val="single" w:color="auto" w:sz="0" w:space="0"/>
              <w:bottom w:val="single" w:color="auto" w:sz="0" w:space="0"/>
              <w:right w:val="single" w:color="auto" w:sz="0" w:space="0"/>
            </w:tcBorders>
            <w:noWrap w:val="0"/>
            <w:vAlign w:val="top"/>
          </w:tcPr>
          <w:p w14:paraId="5FCAE56C">
            <w:pPr>
              <w:widowControl/>
              <w:tabs>
                <w:tab w:val="left" w:pos="1985"/>
              </w:tabs>
              <w:jc w:val="left"/>
              <w:rPr>
                <w:rFonts w:ascii="宋体" w:hAnsi="宋体"/>
                <w:bCs/>
                <w:color w:val="auto"/>
                <w:highlight w:val="none"/>
              </w:rPr>
            </w:pPr>
          </w:p>
          <w:p w14:paraId="16AFA74C">
            <w:pPr>
              <w:tabs>
                <w:tab w:val="left" w:pos="1985"/>
              </w:tabs>
              <w:spacing w:before="240" w:beforeLines="100"/>
              <w:ind w:right="-21" w:rightChars="-10"/>
              <w:rPr>
                <w:rFonts w:ascii="宋体" w:hAnsi="宋体"/>
                <w:bCs/>
                <w:color w:val="auto"/>
                <w:highlight w:val="none"/>
              </w:rPr>
            </w:pPr>
          </w:p>
        </w:tc>
      </w:tr>
    </w:tbl>
    <w:p w14:paraId="5674C8E3">
      <w:pPr>
        <w:tabs>
          <w:tab w:val="left" w:pos="1985"/>
        </w:tabs>
        <w:rPr>
          <w:rFonts w:ascii="宋体" w:hAnsi="宋体"/>
          <w:color w:val="auto"/>
          <w:highlight w:val="none"/>
        </w:rPr>
      </w:pPr>
      <w:r>
        <w:rPr>
          <w:rFonts w:hint="eastAsia" w:ascii="宋体" w:hAnsi="宋体"/>
          <w:color w:val="auto"/>
          <w:highlight w:val="none"/>
        </w:rPr>
        <w:t xml:space="preserve">附注：1. </w:t>
      </w:r>
      <w:r>
        <w:rPr>
          <w:rFonts w:hint="eastAsia" w:ascii="宋体" w:hAnsi="宋体"/>
          <w:b/>
          <w:color w:val="auto"/>
          <w:highlight w:val="none"/>
          <w:u w:val="single"/>
        </w:rPr>
        <w:t>▲此栏内总价应与“分项报价表”中合计总价相一致。</w:t>
      </w:r>
    </w:p>
    <w:p w14:paraId="085A553B">
      <w:pPr>
        <w:tabs>
          <w:tab w:val="left" w:pos="1985"/>
        </w:tabs>
        <w:ind w:left="630" w:leftChars="300"/>
        <w:rPr>
          <w:rFonts w:ascii="宋体" w:hAnsi="宋体"/>
          <w:color w:val="auto"/>
          <w:highlight w:val="none"/>
        </w:rPr>
      </w:pPr>
      <w:r>
        <w:rPr>
          <w:rFonts w:hint="eastAsia" w:ascii="宋体" w:hAnsi="宋体"/>
          <w:color w:val="auto"/>
          <w:highlight w:val="none"/>
        </w:rPr>
        <w:t xml:space="preserve">2. </w:t>
      </w:r>
      <w:r>
        <w:rPr>
          <w:rFonts w:hint="eastAsia" w:ascii="宋体" w:hAnsi="宋体"/>
          <w:b/>
          <w:color w:val="auto"/>
          <w:highlight w:val="none"/>
          <w:u w:val="single"/>
        </w:rPr>
        <w:t>▲此表不得自行增减内容，不提供此表格将被视为没有满足招标文件的实质性要求</w:t>
      </w:r>
      <w:r>
        <w:rPr>
          <w:rFonts w:hint="eastAsia" w:ascii="宋体" w:hAnsi="宋体"/>
          <w:color w:val="auto"/>
          <w:highlight w:val="none"/>
        </w:rPr>
        <w:t>。</w:t>
      </w:r>
    </w:p>
    <w:p w14:paraId="42923B5C">
      <w:pPr>
        <w:tabs>
          <w:tab w:val="left" w:pos="1985"/>
        </w:tabs>
        <w:ind w:left="630" w:leftChars="300"/>
        <w:rPr>
          <w:rFonts w:hint="eastAsia" w:ascii="宋体" w:hAnsi="宋体"/>
          <w:b/>
          <w:color w:val="auto"/>
          <w:highlight w:val="none"/>
          <w:u w:val="single"/>
        </w:rPr>
      </w:pPr>
      <w:r>
        <w:rPr>
          <w:rFonts w:ascii="宋体" w:hAnsi="宋体"/>
          <w:color w:val="auto"/>
          <w:highlight w:val="none"/>
        </w:rPr>
        <w:t>3</w:t>
      </w:r>
      <w:r>
        <w:rPr>
          <w:rFonts w:hint="eastAsia" w:ascii="宋体" w:hAnsi="宋体"/>
          <w:color w:val="auto"/>
          <w:highlight w:val="none"/>
        </w:rPr>
        <w:t xml:space="preserve">. </w:t>
      </w:r>
      <w:r>
        <w:rPr>
          <w:rFonts w:hint="eastAsia" w:ascii="宋体" w:hAnsi="宋体"/>
          <w:b/>
          <w:color w:val="auto"/>
          <w:highlight w:val="none"/>
          <w:u w:val="single"/>
        </w:rPr>
        <w:t>▲本次报价包含设备费、材料费、安装调试费、施工费、税金、运输及运输保险费、装卸费、系统集成费、验收费（含第三方验收）、搬运费、检验费、质保期内维修保护费、备品备件费、特殊工具费、技术服务费、售后服务费、培训费、政策性文件规定及合同包含的所有风险、责任等全部费用，实行固定费用总包干，投标人应根据上述因素自行考虑含入总价。</w:t>
      </w:r>
      <w:r>
        <w:rPr>
          <w:rFonts w:hint="eastAsia" w:ascii="宋体" w:hAnsi="宋体"/>
          <w:b/>
          <w:color w:val="auto"/>
          <w:highlight w:val="none"/>
          <w:u w:val="single"/>
          <w:lang w:val="en-US" w:eastAsia="zh-CN"/>
        </w:rPr>
        <w:t>4</w:t>
      </w:r>
      <w:r>
        <w:rPr>
          <w:rFonts w:hint="eastAsia" w:ascii="宋体" w:hAnsi="宋体"/>
          <w:b/>
          <w:color w:val="auto"/>
          <w:highlight w:val="none"/>
          <w:u w:val="single"/>
        </w:rPr>
        <w:t>. ▲如为</w:t>
      </w:r>
      <w:r>
        <w:rPr>
          <w:rFonts w:hint="eastAsia" w:ascii="宋体" w:hAnsi="宋体"/>
          <w:b/>
          <w:color w:val="auto"/>
          <w:highlight w:val="none"/>
          <w:u w:val="single"/>
          <w:lang w:eastAsia="zh-CN"/>
        </w:rPr>
        <w:t>联合体投标</w:t>
      </w:r>
      <w:r>
        <w:rPr>
          <w:rFonts w:hint="eastAsia" w:ascii="宋体" w:hAnsi="宋体"/>
          <w:b/>
          <w:color w:val="auto"/>
          <w:highlight w:val="none"/>
          <w:u w:val="single"/>
        </w:rPr>
        <w:t>的，联合体各方均应盖章签署，否则视为无效响应。</w:t>
      </w:r>
    </w:p>
    <w:p w14:paraId="73DCBBF0">
      <w:pPr>
        <w:pStyle w:val="47"/>
        <w:rPr>
          <w:color w:val="auto"/>
          <w:highlight w:val="none"/>
        </w:rPr>
      </w:pPr>
    </w:p>
    <w:p w14:paraId="767C63C6">
      <w:pPr>
        <w:rPr>
          <w:rFonts w:hint="eastAsia" w:ascii="宋体" w:hAnsi="宋体"/>
          <w:color w:val="auto"/>
          <w:sz w:val="24"/>
          <w:highlight w:val="none"/>
        </w:rPr>
      </w:pPr>
      <w:r>
        <w:rPr>
          <w:rFonts w:hint="eastAsia" w:ascii="宋体" w:hAnsi="宋体"/>
          <w:color w:val="auto"/>
          <w:sz w:val="24"/>
          <w:highlight w:val="none"/>
        </w:rPr>
        <w:t>投标人全称（公章或CA章）：</w:t>
      </w:r>
    </w:p>
    <w:p w14:paraId="0E9EDDE6">
      <w:pPr>
        <w:rPr>
          <w:rFonts w:ascii="宋体" w:hAnsi="宋体"/>
          <w:bCs/>
          <w:color w:val="auto"/>
          <w:sz w:val="24"/>
          <w:highlight w:val="none"/>
        </w:rPr>
      </w:pPr>
      <w:r>
        <w:rPr>
          <w:rFonts w:hint="eastAsia" w:ascii="宋体" w:hAnsi="宋体"/>
          <w:color w:val="auto"/>
          <w:sz w:val="24"/>
          <w:highlight w:val="none"/>
        </w:rPr>
        <w:t>日期：  年  月  日</w:t>
      </w:r>
    </w:p>
    <w:p w14:paraId="33322F53">
      <w:pPr>
        <w:pStyle w:val="6"/>
        <w:spacing w:line="400" w:lineRule="exact"/>
        <w:ind w:firstLine="0"/>
        <w:rPr>
          <w:rFonts w:hint="eastAsia" w:ascii="宋体" w:hAnsi="宋体"/>
          <w:color w:val="auto"/>
          <w:highlight w:val="none"/>
        </w:rPr>
      </w:pPr>
      <w:r>
        <w:rPr>
          <w:rFonts w:ascii="宋体" w:hAnsi="宋体"/>
          <w:color w:val="auto"/>
          <w:highlight w:val="none"/>
        </w:rPr>
        <w:t xml:space="preserve"> </w:t>
      </w:r>
    </w:p>
    <w:p w14:paraId="537F74C1">
      <w:pPr>
        <w:rPr>
          <w:rFonts w:hint="eastAsia" w:ascii="黑体" w:hAnsi="新宋体" w:eastAsia="黑体"/>
          <w:b/>
          <w:bCs/>
          <w:color w:val="auto"/>
          <w:sz w:val="36"/>
          <w:szCs w:val="36"/>
          <w:highlight w:val="none"/>
        </w:rPr>
      </w:pPr>
      <w:r>
        <w:rPr>
          <w:rFonts w:hint="eastAsia" w:ascii="黑体" w:hAnsi="新宋体" w:eastAsia="黑体"/>
          <w:b/>
          <w:bCs/>
          <w:color w:val="auto"/>
          <w:sz w:val="36"/>
          <w:szCs w:val="36"/>
          <w:highlight w:val="none"/>
        </w:rPr>
        <w:br w:type="page"/>
      </w:r>
    </w:p>
    <w:p w14:paraId="3EAC4B65">
      <w:pPr>
        <w:spacing w:line="400" w:lineRule="exact"/>
        <w:jc w:val="center"/>
        <w:rPr>
          <w:rFonts w:hint="eastAsia" w:ascii="黑体" w:hAnsi="新宋体" w:eastAsia="黑体" w:cs="宋体"/>
          <w:b/>
          <w:bCs/>
          <w:color w:val="auto"/>
          <w:sz w:val="36"/>
          <w:szCs w:val="36"/>
          <w:highlight w:val="none"/>
        </w:rPr>
      </w:pPr>
      <w:r>
        <w:rPr>
          <w:rFonts w:hint="eastAsia" w:ascii="黑体" w:hAnsi="新宋体" w:eastAsia="黑体" w:cs="宋体"/>
          <w:b/>
          <w:bCs/>
          <w:color w:val="auto"/>
          <w:sz w:val="36"/>
          <w:szCs w:val="36"/>
          <w:highlight w:val="none"/>
        </w:rPr>
        <w:t>（2）投标产品数量、价格表</w:t>
      </w:r>
    </w:p>
    <w:p w14:paraId="32E3A973">
      <w:pPr>
        <w:tabs>
          <w:tab w:val="left" w:pos="1985"/>
        </w:tabs>
        <w:jc w:val="center"/>
        <w:rPr>
          <w:rFonts w:ascii="宋体" w:hAnsi="宋体"/>
          <w:b/>
          <w:color w:val="auto"/>
          <w:sz w:val="36"/>
          <w:szCs w:val="36"/>
          <w:highlight w:val="none"/>
        </w:rPr>
      </w:pPr>
    </w:p>
    <w:p w14:paraId="2A03907C">
      <w:pPr>
        <w:tabs>
          <w:tab w:val="left" w:pos="1985"/>
        </w:tabs>
        <w:rPr>
          <w:rFonts w:ascii="宋体" w:hAnsi="宋体"/>
          <w:color w:val="auto"/>
          <w:highlight w:val="none"/>
        </w:rPr>
      </w:pPr>
      <w:r>
        <w:rPr>
          <w:rFonts w:hint="eastAsia" w:ascii="宋体" w:hAnsi="宋体"/>
          <w:color w:val="auto"/>
          <w:highlight w:val="none"/>
        </w:rPr>
        <w:t>项目编号：                               （价格单位：人民币元）</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9"/>
        <w:gridCol w:w="1834"/>
        <w:gridCol w:w="3301"/>
        <w:gridCol w:w="1055"/>
        <w:gridCol w:w="1055"/>
        <w:gridCol w:w="1042"/>
      </w:tblGrid>
      <w:tr w14:paraId="0B170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919" w:type="dxa"/>
            <w:noWrap w:val="0"/>
            <w:vAlign w:val="center"/>
          </w:tcPr>
          <w:p w14:paraId="5F4A3F60">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序号</w:t>
            </w:r>
          </w:p>
        </w:tc>
        <w:tc>
          <w:tcPr>
            <w:tcW w:w="1834" w:type="dxa"/>
            <w:noWrap w:val="0"/>
            <w:vAlign w:val="center"/>
          </w:tcPr>
          <w:p w14:paraId="3666E2D6">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名称</w:t>
            </w:r>
          </w:p>
        </w:tc>
        <w:tc>
          <w:tcPr>
            <w:tcW w:w="3301" w:type="dxa"/>
            <w:noWrap w:val="0"/>
            <w:vAlign w:val="center"/>
          </w:tcPr>
          <w:p w14:paraId="67CE8062">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品牌型号规格</w:t>
            </w:r>
          </w:p>
        </w:tc>
        <w:tc>
          <w:tcPr>
            <w:tcW w:w="1055" w:type="dxa"/>
            <w:noWrap w:val="0"/>
            <w:vAlign w:val="center"/>
          </w:tcPr>
          <w:p w14:paraId="2B48983F">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数量</w:t>
            </w:r>
          </w:p>
        </w:tc>
        <w:tc>
          <w:tcPr>
            <w:tcW w:w="1055" w:type="dxa"/>
            <w:noWrap w:val="0"/>
            <w:vAlign w:val="center"/>
          </w:tcPr>
          <w:p w14:paraId="65803818">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单价</w:t>
            </w:r>
          </w:p>
        </w:tc>
        <w:tc>
          <w:tcPr>
            <w:tcW w:w="1042" w:type="dxa"/>
            <w:noWrap w:val="0"/>
            <w:vAlign w:val="center"/>
          </w:tcPr>
          <w:p w14:paraId="35CAA59B">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合价</w:t>
            </w:r>
          </w:p>
        </w:tc>
      </w:tr>
      <w:tr w14:paraId="4B2A3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0" w:hRule="atLeast"/>
        </w:trPr>
        <w:tc>
          <w:tcPr>
            <w:tcW w:w="919" w:type="dxa"/>
            <w:noWrap w:val="0"/>
            <w:vAlign w:val="center"/>
          </w:tcPr>
          <w:p w14:paraId="7BC311B6">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1</w:t>
            </w:r>
          </w:p>
        </w:tc>
        <w:tc>
          <w:tcPr>
            <w:tcW w:w="1834" w:type="dxa"/>
            <w:noWrap w:val="0"/>
            <w:vAlign w:val="center"/>
          </w:tcPr>
          <w:p w14:paraId="5B1C31B0">
            <w:pPr>
              <w:ind w:right="496" w:rightChars="236"/>
              <w:jc w:val="center"/>
              <w:rPr>
                <w:rFonts w:hint="eastAsia" w:ascii="宋体" w:eastAsia="宋体"/>
                <w:b w:val="0"/>
                <w:color w:val="auto"/>
                <w:sz w:val="22"/>
                <w:szCs w:val="22"/>
                <w:highlight w:val="none"/>
              </w:rPr>
            </w:pPr>
          </w:p>
        </w:tc>
        <w:tc>
          <w:tcPr>
            <w:tcW w:w="3301" w:type="dxa"/>
            <w:noWrap w:val="0"/>
            <w:vAlign w:val="center"/>
          </w:tcPr>
          <w:p w14:paraId="695A35AA">
            <w:pPr>
              <w:jc w:val="center"/>
              <w:rPr>
                <w:rFonts w:hint="eastAsia" w:ascii="宋体" w:eastAsia="宋体"/>
                <w:b w:val="0"/>
                <w:color w:val="auto"/>
                <w:sz w:val="22"/>
                <w:szCs w:val="22"/>
                <w:highlight w:val="none"/>
              </w:rPr>
            </w:pPr>
          </w:p>
        </w:tc>
        <w:tc>
          <w:tcPr>
            <w:tcW w:w="1055" w:type="dxa"/>
            <w:noWrap w:val="0"/>
            <w:vAlign w:val="center"/>
          </w:tcPr>
          <w:p w14:paraId="6B4D68D4">
            <w:pPr>
              <w:snapToGrid w:val="0"/>
              <w:spacing w:line="400" w:lineRule="atLeast"/>
              <w:jc w:val="center"/>
              <w:rPr>
                <w:rFonts w:hint="eastAsia" w:ascii="宋体" w:eastAsia="宋体"/>
                <w:b w:val="0"/>
                <w:color w:val="auto"/>
                <w:sz w:val="22"/>
                <w:szCs w:val="22"/>
                <w:highlight w:val="none"/>
              </w:rPr>
            </w:pPr>
          </w:p>
        </w:tc>
        <w:tc>
          <w:tcPr>
            <w:tcW w:w="1055" w:type="dxa"/>
            <w:noWrap w:val="0"/>
            <w:vAlign w:val="center"/>
          </w:tcPr>
          <w:p w14:paraId="2DBCEADB">
            <w:pPr>
              <w:jc w:val="center"/>
              <w:rPr>
                <w:rFonts w:hint="eastAsia" w:ascii="宋体" w:eastAsia="宋体"/>
                <w:b w:val="0"/>
                <w:color w:val="auto"/>
                <w:sz w:val="22"/>
                <w:szCs w:val="22"/>
                <w:highlight w:val="none"/>
              </w:rPr>
            </w:pPr>
          </w:p>
        </w:tc>
        <w:tc>
          <w:tcPr>
            <w:tcW w:w="1042" w:type="dxa"/>
            <w:noWrap w:val="0"/>
            <w:vAlign w:val="center"/>
          </w:tcPr>
          <w:p w14:paraId="1CC5B58B">
            <w:pPr>
              <w:jc w:val="center"/>
              <w:rPr>
                <w:rFonts w:hint="eastAsia" w:ascii="宋体" w:eastAsia="宋体"/>
                <w:b w:val="0"/>
                <w:color w:val="auto"/>
                <w:sz w:val="22"/>
                <w:szCs w:val="22"/>
                <w:highlight w:val="none"/>
              </w:rPr>
            </w:pPr>
          </w:p>
        </w:tc>
      </w:tr>
      <w:tr w14:paraId="313C2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0" w:hRule="atLeast"/>
        </w:trPr>
        <w:tc>
          <w:tcPr>
            <w:tcW w:w="919" w:type="dxa"/>
            <w:noWrap w:val="0"/>
            <w:vAlign w:val="center"/>
          </w:tcPr>
          <w:p w14:paraId="4087C5E9">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2</w:t>
            </w:r>
          </w:p>
        </w:tc>
        <w:tc>
          <w:tcPr>
            <w:tcW w:w="1834" w:type="dxa"/>
            <w:noWrap w:val="0"/>
            <w:vAlign w:val="center"/>
          </w:tcPr>
          <w:p w14:paraId="5F1619E4">
            <w:pPr>
              <w:jc w:val="center"/>
              <w:rPr>
                <w:rFonts w:hint="eastAsia" w:ascii="宋体" w:eastAsia="宋体"/>
                <w:b w:val="0"/>
                <w:color w:val="auto"/>
                <w:sz w:val="22"/>
                <w:szCs w:val="22"/>
                <w:highlight w:val="none"/>
              </w:rPr>
            </w:pPr>
          </w:p>
        </w:tc>
        <w:tc>
          <w:tcPr>
            <w:tcW w:w="3301" w:type="dxa"/>
            <w:noWrap w:val="0"/>
            <w:vAlign w:val="center"/>
          </w:tcPr>
          <w:p w14:paraId="44085D93">
            <w:pPr>
              <w:jc w:val="center"/>
              <w:rPr>
                <w:rFonts w:hint="eastAsia" w:ascii="宋体" w:eastAsia="宋体"/>
                <w:b w:val="0"/>
                <w:color w:val="auto"/>
                <w:sz w:val="22"/>
                <w:szCs w:val="22"/>
                <w:highlight w:val="none"/>
              </w:rPr>
            </w:pPr>
          </w:p>
        </w:tc>
        <w:tc>
          <w:tcPr>
            <w:tcW w:w="1055" w:type="dxa"/>
            <w:noWrap w:val="0"/>
            <w:vAlign w:val="center"/>
          </w:tcPr>
          <w:p w14:paraId="0DA03BFB">
            <w:pPr>
              <w:snapToGrid w:val="0"/>
              <w:spacing w:line="400" w:lineRule="atLeast"/>
              <w:jc w:val="center"/>
              <w:rPr>
                <w:rFonts w:hint="eastAsia" w:ascii="宋体" w:eastAsia="宋体"/>
                <w:b w:val="0"/>
                <w:color w:val="auto"/>
                <w:sz w:val="22"/>
                <w:szCs w:val="22"/>
                <w:highlight w:val="none"/>
              </w:rPr>
            </w:pPr>
          </w:p>
        </w:tc>
        <w:tc>
          <w:tcPr>
            <w:tcW w:w="1055" w:type="dxa"/>
            <w:noWrap w:val="0"/>
            <w:vAlign w:val="center"/>
          </w:tcPr>
          <w:p w14:paraId="74CA804D">
            <w:pPr>
              <w:jc w:val="center"/>
              <w:rPr>
                <w:rFonts w:hint="eastAsia" w:ascii="宋体" w:eastAsia="宋体"/>
                <w:b w:val="0"/>
                <w:color w:val="auto"/>
                <w:sz w:val="22"/>
                <w:szCs w:val="22"/>
                <w:highlight w:val="none"/>
              </w:rPr>
            </w:pPr>
          </w:p>
        </w:tc>
        <w:tc>
          <w:tcPr>
            <w:tcW w:w="1042" w:type="dxa"/>
            <w:noWrap w:val="0"/>
            <w:vAlign w:val="center"/>
          </w:tcPr>
          <w:p w14:paraId="39C82791">
            <w:pPr>
              <w:jc w:val="center"/>
              <w:rPr>
                <w:rFonts w:hint="eastAsia" w:ascii="宋体" w:eastAsia="宋体"/>
                <w:b w:val="0"/>
                <w:color w:val="auto"/>
                <w:sz w:val="22"/>
                <w:szCs w:val="22"/>
                <w:highlight w:val="none"/>
              </w:rPr>
            </w:pPr>
          </w:p>
        </w:tc>
      </w:tr>
      <w:tr w14:paraId="75985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0" w:hRule="atLeast"/>
        </w:trPr>
        <w:tc>
          <w:tcPr>
            <w:tcW w:w="919" w:type="dxa"/>
            <w:noWrap w:val="0"/>
            <w:vAlign w:val="center"/>
          </w:tcPr>
          <w:p w14:paraId="637EDBAE">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3</w:t>
            </w:r>
          </w:p>
        </w:tc>
        <w:tc>
          <w:tcPr>
            <w:tcW w:w="1834" w:type="dxa"/>
            <w:noWrap w:val="0"/>
            <w:vAlign w:val="center"/>
          </w:tcPr>
          <w:p w14:paraId="1DFC24CE">
            <w:pPr>
              <w:jc w:val="center"/>
              <w:rPr>
                <w:rFonts w:hint="eastAsia" w:ascii="宋体" w:eastAsia="宋体"/>
                <w:b w:val="0"/>
                <w:color w:val="auto"/>
                <w:sz w:val="22"/>
                <w:szCs w:val="22"/>
                <w:highlight w:val="none"/>
              </w:rPr>
            </w:pPr>
          </w:p>
        </w:tc>
        <w:tc>
          <w:tcPr>
            <w:tcW w:w="3301" w:type="dxa"/>
            <w:noWrap w:val="0"/>
            <w:vAlign w:val="center"/>
          </w:tcPr>
          <w:p w14:paraId="31425878">
            <w:pPr>
              <w:jc w:val="center"/>
              <w:rPr>
                <w:rFonts w:hint="eastAsia" w:ascii="宋体" w:eastAsia="宋体"/>
                <w:b w:val="0"/>
                <w:color w:val="auto"/>
                <w:sz w:val="22"/>
                <w:szCs w:val="22"/>
                <w:highlight w:val="none"/>
              </w:rPr>
            </w:pPr>
          </w:p>
        </w:tc>
        <w:tc>
          <w:tcPr>
            <w:tcW w:w="1055" w:type="dxa"/>
            <w:noWrap w:val="0"/>
            <w:vAlign w:val="center"/>
          </w:tcPr>
          <w:p w14:paraId="18F11DB9">
            <w:pPr>
              <w:snapToGrid w:val="0"/>
              <w:spacing w:line="400" w:lineRule="atLeast"/>
              <w:jc w:val="center"/>
              <w:rPr>
                <w:rFonts w:hint="eastAsia" w:ascii="宋体" w:eastAsia="宋体"/>
                <w:b w:val="0"/>
                <w:color w:val="auto"/>
                <w:sz w:val="22"/>
                <w:szCs w:val="22"/>
                <w:highlight w:val="none"/>
              </w:rPr>
            </w:pPr>
          </w:p>
        </w:tc>
        <w:tc>
          <w:tcPr>
            <w:tcW w:w="1055" w:type="dxa"/>
            <w:noWrap w:val="0"/>
            <w:vAlign w:val="center"/>
          </w:tcPr>
          <w:p w14:paraId="6583BCA9">
            <w:pPr>
              <w:jc w:val="center"/>
              <w:rPr>
                <w:rFonts w:hint="eastAsia" w:ascii="宋体" w:eastAsia="宋体"/>
                <w:b w:val="0"/>
                <w:color w:val="auto"/>
                <w:sz w:val="22"/>
                <w:szCs w:val="22"/>
                <w:highlight w:val="none"/>
              </w:rPr>
            </w:pPr>
          </w:p>
        </w:tc>
        <w:tc>
          <w:tcPr>
            <w:tcW w:w="1042" w:type="dxa"/>
            <w:noWrap w:val="0"/>
            <w:vAlign w:val="center"/>
          </w:tcPr>
          <w:p w14:paraId="067712E0">
            <w:pPr>
              <w:jc w:val="center"/>
              <w:rPr>
                <w:rFonts w:hint="eastAsia" w:ascii="宋体" w:eastAsia="宋体"/>
                <w:b w:val="0"/>
                <w:color w:val="auto"/>
                <w:sz w:val="22"/>
                <w:szCs w:val="22"/>
                <w:highlight w:val="none"/>
              </w:rPr>
            </w:pPr>
          </w:p>
        </w:tc>
      </w:tr>
      <w:tr w14:paraId="39176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0" w:hRule="atLeast"/>
        </w:trPr>
        <w:tc>
          <w:tcPr>
            <w:tcW w:w="919" w:type="dxa"/>
            <w:noWrap w:val="0"/>
            <w:vAlign w:val="center"/>
          </w:tcPr>
          <w:p w14:paraId="22056289">
            <w:pPr>
              <w:jc w:val="center"/>
              <w:rPr>
                <w:rFonts w:hint="eastAsia" w:ascii="宋体" w:eastAsia="宋体"/>
                <w:b w:val="0"/>
                <w:color w:val="auto"/>
                <w:sz w:val="22"/>
                <w:szCs w:val="22"/>
                <w:highlight w:val="none"/>
              </w:rPr>
            </w:pPr>
          </w:p>
        </w:tc>
        <w:tc>
          <w:tcPr>
            <w:tcW w:w="1834" w:type="dxa"/>
            <w:noWrap w:val="0"/>
            <w:vAlign w:val="center"/>
          </w:tcPr>
          <w:p w14:paraId="58C72537">
            <w:pPr>
              <w:jc w:val="center"/>
              <w:rPr>
                <w:rFonts w:hint="eastAsia" w:ascii="宋体" w:eastAsia="宋体"/>
                <w:b w:val="0"/>
                <w:color w:val="auto"/>
                <w:sz w:val="22"/>
                <w:szCs w:val="22"/>
                <w:highlight w:val="none"/>
              </w:rPr>
            </w:pPr>
          </w:p>
        </w:tc>
        <w:tc>
          <w:tcPr>
            <w:tcW w:w="3301" w:type="dxa"/>
            <w:noWrap w:val="0"/>
            <w:vAlign w:val="center"/>
          </w:tcPr>
          <w:p w14:paraId="52D03A12">
            <w:pPr>
              <w:jc w:val="center"/>
              <w:rPr>
                <w:rFonts w:hint="eastAsia" w:ascii="宋体" w:eastAsia="宋体"/>
                <w:b w:val="0"/>
                <w:color w:val="auto"/>
                <w:sz w:val="22"/>
                <w:szCs w:val="22"/>
                <w:highlight w:val="none"/>
              </w:rPr>
            </w:pPr>
          </w:p>
        </w:tc>
        <w:tc>
          <w:tcPr>
            <w:tcW w:w="1055" w:type="dxa"/>
            <w:noWrap w:val="0"/>
            <w:vAlign w:val="center"/>
          </w:tcPr>
          <w:p w14:paraId="7474559C">
            <w:pPr>
              <w:snapToGrid w:val="0"/>
              <w:spacing w:line="400" w:lineRule="atLeast"/>
              <w:jc w:val="center"/>
              <w:rPr>
                <w:rFonts w:hint="eastAsia" w:ascii="宋体" w:eastAsia="宋体"/>
                <w:b w:val="0"/>
                <w:color w:val="auto"/>
                <w:sz w:val="22"/>
                <w:szCs w:val="22"/>
                <w:highlight w:val="none"/>
              </w:rPr>
            </w:pPr>
          </w:p>
        </w:tc>
        <w:tc>
          <w:tcPr>
            <w:tcW w:w="1055" w:type="dxa"/>
            <w:noWrap w:val="0"/>
            <w:vAlign w:val="center"/>
          </w:tcPr>
          <w:p w14:paraId="569DB2DD">
            <w:pPr>
              <w:jc w:val="center"/>
              <w:rPr>
                <w:rFonts w:hint="eastAsia" w:ascii="宋体" w:eastAsia="宋体"/>
                <w:b w:val="0"/>
                <w:color w:val="auto"/>
                <w:sz w:val="22"/>
                <w:szCs w:val="22"/>
                <w:highlight w:val="none"/>
              </w:rPr>
            </w:pPr>
          </w:p>
        </w:tc>
        <w:tc>
          <w:tcPr>
            <w:tcW w:w="1042" w:type="dxa"/>
            <w:noWrap w:val="0"/>
            <w:vAlign w:val="center"/>
          </w:tcPr>
          <w:p w14:paraId="6096FDA6">
            <w:pPr>
              <w:jc w:val="center"/>
              <w:rPr>
                <w:rFonts w:hint="eastAsia" w:ascii="宋体" w:eastAsia="宋体"/>
                <w:b w:val="0"/>
                <w:color w:val="auto"/>
                <w:sz w:val="22"/>
                <w:szCs w:val="22"/>
                <w:highlight w:val="none"/>
              </w:rPr>
            </w:pPr>
          </w:p>
        </w:tc>
      </w:tr>
      <w:tr w14:paraId="2FE32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0" w:hRule="atLeast"/>
        </w:trPr>
        <w:tc>
          <w:tcPr>
            <w:tcW w:w="919" w:type="dxa"/>
            <w:noWrap w:val="0"/>
            <w:vAlign w:val="center"/>
          </w:tcPr>
          <w:p w14:paraId="335450F4">
            <w:pPr>
              <w:jc w:val="center"/>
              <w:rPr>
                <w:rFonts w:hint="eastAsia" w:ascii="宋体" w:eastAsia="宋体"/>
                <w:b w:val="0"/>
                <w:color w:val="auto"/>
                <w:sz w:val="22"/>
                <w:szCs w:val="22"/>
                <w:highlight w:val="none"/>
              </w:rPr>
            </w:pPr>
          </w:p>
        </w:tc>
        <w:tc>
          <w:tcPr>
            <w:tcW w:w="1834" w:type="dxa"/>
            <w:noWrap w:val="0"/>
            <w:vAlign w:val="center"/>
          </w:tcPr>
          <w:p w14:paraId="2364E93C">
            <w:pPr>
              <w:jc w:val="center"/>
              <w:rPr>
                <w:rFonts w:hint="eastAsia" w:ascii="宋体" w:eastAsia="宋体"/>
                <w:b w:val="0"/>
                <w:color w:val="auto"/>
                <w:sz w:val="22"/>
                <w:szCs w:val="22"/>
                <w:highlight w:val="none"/>
              </w:rPr>
            </w:pPr>
          </w:p>
        </w:tc>
        <w:tc>
          <w:tcPr>
            <w:tcW w:w="3301" w:type="dxa"/>
            <w:noWrap w:val="0"/>
            <w:vAlign w:val="center"/>
          </w:tcPr>
          <w:p w14:paraId="03758A6D">
            <w:pPr>
              <w:jc w:val="center"/>
              <w:rPr>
                <w:rFonts w:hint="eastAsia" w:ascii="宋体" w:eastAsia="宋体"/>
                <w:b w:val="0"/>
                <w:color w:val="auto"/>
                <w:sz w:val="22"/>
                <w:szCs w:val="22"/>
                <w:highlight w:val="none"/>
              </w:rPr>
            </w:pPr>
          </w:p>
        </w:tc>
        <w:tc>
          <w:tcPr>
            <w:tcW w:w="1055" w:type="dxa"/>
            <w:noWrap w:val="0"/>
            <w:vAlign w:val="center"/>
          </w:tcPr>
          <w:p w14:paraId="21800A9A">
            <w:pPr>
              <w:snapToGrid w:val="0"/>
              <w:spacing w:line="400" w:lineRule="atLeast"/>
              <w:jc w:val="center"/>
              <w:rPr>
                <w:rFonts w:hint="eastAsia" w:ascii="宋体" w:eastAsia="宋体"/>
                <w:b w:val="0"/>
                <w:color w:val="auto"/>
                <w:sz w:val="22"/>
                <w:szCs w:val="22"/>
                <w:highlight w:val="none"/>
              </w:rPr>
            </w:pPr>
          </w:p>
        </w:tc>
        <w:tc>
          <w:tcPr>
            <w:tcW w:w="1055" w:type="dxa"/>
            <w:noWrap w:val="0"/>
            <w:vAlign w:val="center"/>
          </w:tcPr>
          <w:p w14:paraId="18D17550">
            <w:pPr>
              <w:jc w:val="center"/>
              <w:rPr>
                <w:rFonts w:hint="eastAsia" w:ascii="宋体" w:eastAsia="宋体"/>
                <w:b w:val="0"/>
                <w:color w:val="auto"/>
                <w:sz w:val="22"/>
                <w:szCs w:val="22"/>
                <w:highlight w:val="none"/>
              </w:rPr>
            </w:pPr>
          </w:p>
        </w:tc>
        <w:tc>
          <w:tcPr>
            <w:tcW w:w="1042" w:type="dxa"/>
            <w:noWrap w:val="0"/>
            <w:vAlign w:val="center"/>
          </w:tcPr>
          <w:p w14:paraId="216A1EEE">
            <w:pPr>
              <w:jc w:val="center"/>
              <w:rPr>
                <w:rFonts w:hint="eastAsia" w:ascii="宋体" w:eastAsia="宋体"/>
                <w:b w:val="0"/>
                <w:color w:val="auto"/>
                <w:sz w:val="22"/>
                <w:szCs w:val="22"/>
                <w:highlight w:val="none"/>
              </w:rPr>
            </w:pPr>
          </w:p>
        </w:tc>
      </w:tr>
      <w:tr w14:paraId="2022A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6054" w:type="dxa"/>
            <w:gridSpan w:val="3"/>
            <w:noWrap w:val="0"/>
            <w:vAlign w:val="center"/>
          </w:tcPr>
          <w:p w14:paraId="0A8F7909">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合计总价</w:t>
            </w:r>
          </w:p>
        </w:tc>
        <w:tc>
          <w:tcPr>
            <w:tcW w:w="3152" w:type="dxa"/>
            <w:gridSpan w:val="3"/>
            <w:noWrap w:val="0"/>
            <w:vAlign w:val="center"/>
          </w:tcPr>
          <w:p w14:paraId="16EF3391">
            <w:pPr>
              <w:jc w:val="center"/>
              <w:rPr>
                <w:rFonts w:hint="eastAsia" w:ascii="宋体" w:eastAsia="宋体"/>
                <w:b w:val="0"/>
                <w:color w:val="auto"/>
                <w:sz w:val="22"/>
                <w:szCs w:val="22"/>
                <w:highlight w:val="none"/>
              </w:rPr>
            </w:pPr>
          </w:p>
        </w:tc>
      </w:tr>
    </w:tbl>
    <w:p w14:paraId="64B4F8C6">
      <w:pPr>
        <w:tabs>
          <w:tab w:val="left" w:pos="1985"/>
        </w:tabs>
        <w:rPr>
          <w:rFonts w:hint="eastAsia" w:ascii="仿宋" w:hAnsi="仿宋" w:cs="仿宋"/>
          <w:color w:val="auto"/>
          <w:sz w:val="21"/>
          <w:highlight w:val="none"/>
        </w:rPr>
      </w:pPr>
      <w:r>
        <w:rPr>
          <w:rFonts w:hint="eastAsia" w:ascii="仿宋" w:hAnsi="仿宋" w:cs="仿宋"/>
          <w:color w:val="auto"/>
          <w:highlight w:val="none"/>
        </w:rPr>
        <w:t>附注：</w:t>
      </w:r>
      <w:r>
        <w:rPr>
          <w:rFonts w:hint="eastAsia" w:ascii="仿宋" w:hAnsi="仿宋" w:cs="仿宋"/>
          <w:color w:val="auto"/>
          <w:sz w:val="21"/>
          <w:highlight w:val="none"/>
        </w:rPr>
        <w:t xml:space="preserve">1. </w:t>
      </w:r>
      <w:r>
        <w:rPr>
          <w:rFonts w:hint="eastAsia" w:ascii="仿宋" w:hAnsi="仿宋" w:cs="仿宋"/>
          <w:b/>
          <w:color w:val="auto"/>
          <w:sz w:val="21"/>
          <w:highlight w:val="none"/>
          <w:u w:val="single"/>
        </w:rPr>
        <w:t>▲不提供分项报价表将视为没有实质性响应投标文件。货物名称按设备清单内容。</w:t>
      </w:r>
    </w:p>
    <w:p w14:paraId="15FB0EEF">
      <w:pPr>
        <w:tabs>
          <w:tab w:val="left" w:pos="1985"/>
        </w:tabs>
        <w:ind w:left="630" w:leftChars="300"/>
        <w:rPr>
          <w:rFonts w:hint="eastAsia" w:ascii="仿宋" w:hAnsi="仿宋" w:cs="仿宋"/>
          <w:color w:val="auto"/>
          <w:sz w:val="21"/>
          <w:highlight w:val="none"/>
        </w:rPr>
      </w:pPr>
      <w:r>
        <w:rPr>
          <w:rFonts w:hint="eastAsia" w:ascii="仿宋" w:hAnsi="仿宋" w:cs="仿宋"/>
          <w:color w:val="auto"/>
          <w:sz w:val="21"/>
          <w:highlight w:val="none"/>
        </w:rPr>
        <w:t xml:space="preserve">2. </w:t>
      </w:r>
      <w:r>
        <w:rPr>
          <w:rFonts w:hint="eastAsia" w:ascii="仿宋" w:hAnsi="仿宋" w:cs="仿宋"/>
          <w:b/>
          <w:color w:val="auto"/>
          <w:sz w:val="21"/>
          <w:highlight w:val="none"/>
          <w:u w:val="single"/>
        </w:rPr>
        <w:t>▲此表的合计价应与“开标一览表”总价相一致。</w:t>
      </w:r>
    </w:p>
    <w:p w14:paraId="18A8BE45">
      <w:pPr>
        <w:tabs>
          <w:tab w:val="left" w:pos="1985"/>
        </w:tabs>
        <w:ind w:left="630" w:leftChars="300"/>
        <w:rPr>
          <w:rFonts w:hint="eastAsia" w:ascii="仿宋" w:hAnsi="仿宋" w:cs="仿宋"/>
          <w:color w:val="auto"/>
          <w:sz w:val="21"/>
          <w:highlight w:val="none"/>
        </w:rPr>
      </w:pPr>
      <w:r>
        <w:rPr>
          <w:rFonts w:hint="eastAsia" w:ascii="仿宋" w:hAnsi="仿宋" w:cs="仿宋"/>
          <w:color w:val="auto"/>
          <w:sz w:val="21"/>
          <w:highlight w:val="none"/>
        </w:rPr>
        <w:t>3. 如果免费请在该备注栏内注明“免”，如果含在产品价格中则填“含”，如无此项内容则填“无”，不留空白。</w:t>
      </w:r>
    </w:p>
    <w:p w14:paraId="25DF72B4">
      <w:pPr>
        <w:tabs>
          <w:tab w:val="left" w:pos="1985"/>
        </w:tabs>
        <w:ind w:left="630" w:leftChars="300"/>
        <w:rPr>
          <w:rFonts w:hint="eastAsia" w:ascii="仿宋" w:hAnsi="仿宋" w:cs="仿宋"/>
          <w:color w:val="auto"/>
          <w:sz w:val="21"/>
          <w:highlight w:val="none"/>
        </w:rPr>
      </w:pPr>
      <w:r>
        <w:rPr>
          <w:rFonts w:hint="eastAsia" w:ascii="仿宋" w:hAnsi="仿宋" w:cs="仿宋"/>
          <w:color w:val="auto"/>
          <w:sz w:val="21"/>
          <w:highlight w:val="none"/>
          <w:lang w:val="en-US" w:eastAsia="zh-CN"/>
        </w:rPr>
        <w:t>4</w:t>
      </w:r>
      <w:r>
        <w:rPr>
          <w:rFonts w:hint="eastAsia" w:ascii="仿宋" w:hAnsi="仿宋" w:cs="仿宋"/>
          <w:color w:val="auto"/>
          <w:sz w:val="21"/>
          <w:highlight w:val="none"/>
        </w:rPr>
        <w:t xml:space="preserve">. </w:t>
      </w:r>
      <w:r>
        <w:rPr>
          <w:rFonts w:hint="eastAsia" w:ascii="仿宋" w:hAnsi="仿宋" w:cs="仿宋"/>
          <w:b/>
          <w:color w:val="auto"/>
          <w:sz w:val="21"/>
          <w:highlight w:val="none"/>
        </w:rPr>
        <w:t>根据《中华人民共和国政府采购法实施条例 》第四十三条规定，在中标或者成交公告的内容中</w:t>
      </w:r>
      <w:r>
        <w:rPr>
          <w:rFonts w:hint="eastAsia" w:ascii="仿宋" w:hAnsi="仿宋" w:cs="仿宋"/>
          <w:b/>
          <w:color w:val="auto"/>
          <w:sz w:val="21"/>
          <w:highlight w:val="none"/>
          <w:shd w:val="pct10" w:color="auto" w:fill="FFFFFF"/>
        </w:rPr>
        <w:t>公开本表</w:t>
      </w:r>
      <w:r>
        <w:rPr>
          <w:rFonts w:hint="eastAsia" w:ascii="仿宋" w:hAnsi="仿宋" w:cs="仿宋"/>
          <w:b/>
          <w:color w:val="auto"/>
          <w:sz w:val="21"/>
          <w:highlight w:val="none"/>
        </w:rPr>
        <w:t>，请各投标人认真填写，确保报价数据的真实性、完整性和合理性。</w:t>
      </w:r>
    </w:p>
    <w:p w14:paraId="65CC8EDD">
      <w:pPr>
        <w:tabs>
          <w:tab w:val="left" w:pos="1985"/>
        </w:tabs>
        <w:ind w:left="630" w:leftChars="300"/>
        <w:rPr>
          <w:rFonts w:hint="eastAsia" w:ascii="仿宋" w:hAnsi="仿宋" w:eastAsia="仿宋" w:cs="仿宋"/>
          <w:b/>
          <w:bCs/>
          <w:color w:val="auto"/>
          <w:sz w:val="21"/>
          <w:highlight w:val="none"/>
        </w:rPr>
      </w:pPr>
      <w:r>
        <w:rPr>
          <w:rFonts w:hint="eastAsia" w:ascii="仿宋" w:hAnsi="仿宋" w:cs="仿宋"/>
          <w:b w:val="0"/>
          <w:bCs w:val="0"/>
          <w:color w:val="auto"/>
          <w:sz w:val="21"/>
          <w:highlight w:val="none"/>
          <w:lang w:val="en-US" w:eastAsia="zh-CN"/>
        </w:rPr>
        <w:t>5</w:t>
      </w:r>
      <w:r>
        <w:rPr>
          <w:rFonts w:hint="eastAsia" w:ascii="仿宋" w:hAnsi="仿宋" w:eastAsia="仿宋" w:cs="仿宋"/>
          <w:b w:val="0"/>
          <w:bCs w:val="0"/>
          <w:color w:val="auto"/>
          <w:sz w:val="21"/>
          <w:highlight w:val="none"/>
        </w:rPr>
        <w:t>.</w:t>
      </w:r>
      <w:r>
        <w:rPr>
          <w:rFonts w:hint="eastAsia" w:ascii="仿宋" w:hAnsi="仿宋" w:eastAsia="仿宋" w:cs="仿宋"/>
          <w:b/>
          <w:bCs/>
          <w:color w:val="auto"/>
          <w:sz w:val="21"/>
          <w:highlight w:val="none"/>
          <w:u w:val="single"/>
        </w:rPr>
        <w:t>▲如为</w:t>
      </w:r>
      <w:r>
        <w:rPr>
          <w:rFonts w:hint="eastAsia" w:ascii="仿宋" w:hAnsi="仿宋" w:eastAsia="仿宋" w:cs="仿宋"/>
          <w:b/>
          <w:bCs/>
          <w:color w:val="auto"/>
          <w:sz w:val="21"/>
          <w:highlight w:val="none"/>
          <w:u w:val="single"/>
          <w:lang w:eastAsia="zh-CN"/>
        </w:rPr>
        <w:t>联合体投标</w:t>
      </w:r>
      <w:r>
        <w:rPr>
          <w:rFonts w:hint="eastAsia" w:ascii="仿宋" w:hAnsi="仿宋" w:eastAsia="仿宋" w:cs="仿宋"/>
          <w:b/>
          <w:bCs/>
          <w:color w:val="auto"/>
          <w:sz w:val="21"/>
          <w:highlight w:val="none"/>
          <w:u w:val="single"/>
        </w:rPr>
        <w:t>的，联合体各方均应盖章签署，否则视为无效响应。</w:t>
      </w:r>
    </w:p>
    <w:p w14:paraId="1A143D22">
      <w:pPr>
        <w:tabs>
          <w:tab w:val="left" w:pos="1985"/>
        </w:tabs>
        <w:rPr>
          <w:rFonts w:hint="eastAsia" w:ascii="宋体" w:hAnsi="宋体"/>
          <w:color w:val="auto"/>
          <w:highlight w:val="none"/>
        </w:rPr>
      </w:pPr>
    </w:p>
    <w:p w14:paraId="455425C3">
      <w:pPr>
        <w:tabs>
          <w:tab w:val="left" w:pos="1985"/>
        </w:tabs>
        <w:rPr>
          <w:rFonts w:hint="eastAsia" w:ascii="宋体" w:hAnsi="宋体"/>
          <w:color w:val="auto"/>
          <w:highlight w:val="none"/>
        </w:rPr>
      </w:pPr>
      <w:r>
        <w:rPr>
          <w:rFonts w:hint="eastAsia" w:ascii="宋体" w:hAnsi="宋体"/>
          <w:color w:val="auto"/>
          <w:highlight w:val="none"/>
        </w:rPr>
        <w:t>投标人全称（公章或CA章）：</w:t>
      </w:r>
    </w:p>
    <w:p w14:paraId="73ACC244">
      <w:pPr>
        <w:tabs>
          <w:tab w:val="left" w:pos="1985"/>
        </w:tabs>
        <w:rPr>
          <w:rFonts w:ascii="宋体" w:hAnsi="宋体"/>
          <w:b/>
          <w:bCs/>
          <w:color w:val="auto"/>
          <w:szCs w:val="21"/>
          <w:highlight w:val="none"/>
        </w:rPr>
      </w:pPr>
      <w:r>
        <w:rPr>
          <w:rFonts w:hint="eastAsia" w:ascii="宋体" w:hAnsi="宋体"/>
          <w:color w:val="auto"/>
          <w:highlight w:val="none"/>
        </w:rPr>
        <w:t>日期：  年  月  日</w:t>
      </w:r>
    </w:p>
    <w:p w14:paraId="26AD9C46">
      <w:pPr>
        <w:adjustRightInd w:val="0"/>
        <w:snapToGrid w:val="0"/>
        <w:spacing w:line="340" w:lineRule="exact"/>
        <w:ind w:right="-11"/>
        <w:rPr>
          <w:rFonts w:ascii="Arial" w:hAnsi="宋体" w:cs="Arial"/>
          <w:color w:val="auto"/>
          <w:szCs w:val="21"/>
          <w:highlight w:val="none"/>
        </w:rPr>
      </w:pPr>
    </w:p>
    <w:p w14:paraId="2EFC46F2">
      <w:pPr>
        <w:pStyle w:val="351"/>
        <w:keepNext w:val="0"/>
        <w:keepLines w:val="0"/>
        <w:rPr>
          <w:color w:val="auto"/>
          <w:highlight w:val="none"/>
        </w:rPr>
      </w:pPr>
    </w:p>
    <w:p w14:paraId="0401C939">
      <w:pPr>
        <w:pStyle w:val="2"/>
        <w:keepNext w:val="0"/>
        <w:keepLines w:val="0"/>
        <w:pageBreakBefore/>
        <w:widowControl/>
        <w:numPr>
          <w:ilvl w:val="0"/>
          <w:numId w:val="0"/>
        </w:numPr>
        <w:spacing w:before="100" w:beforeAutospacing="1" w:after="100" w:afterAutospacing="1" w:line="360" w:lineRule="auto"/>
        <w:jc w:val="center"/>
        <w:rPr>
          <w:rFonts w:ascii="宋体" w:hAnsi="宋体" w:cs="宋体"/>
          <w:color w:val="auto"/>
          <w:highlight w:val="none"/>
        </w:rPr>
      </w:pPr>
      <w:r>
        <w:rPr>
          <w:rFonts w:hint="eastAsia" w:ascii="宋体" w:hAnsi="宋体" w:cs="宋体"/>
          <w:color w:val="auto"/>
          <w:highlight w:val="none"/>
        </w:rPr>
        <w:t>附件</w:t>
      </w:r>
    </w:p>
    <w:p w14:paraId="38039BFF">
      <w:pPr>
        <w:spacing w:line="360" w:lineRule="auto"/>
        <w:rPr>
          <w:rFonts w:ascii="宋体" w:hAnsi="宋体"/>
          <w:color w:val="auto"/>
          <w:spacing w:val="6"/>
          <w:sz w:val="32"/>
          <w:szCs w:val="32"/>
          <w:highlight w:val="none"/>
        </w:rPr>
      </w:pPr>
      <w:r>
        <w:rPr>
          <w:rFonts w:hint="eastAsia" w:ascii="宋体" w:hAnsi="宋体"/>
          <w:color w:val="auto"/>
          <w:spacing w:val="6"/>
          <w:sz w:val="32"/>
          <w:szCs w:val="32"/>
          <w:highlight w:val="none"/>
        </w:rPr>
        <w:t>附件1：</w:t>
      </w:r>
    </w:p>
    <w:p w14:paraId="5ADA9490">
      <w:pPr>
        <w:spacing w:line="360" w:lineRule="auto"/>
        <w:jc w:val="center"/>
        <w:rPr>
          <w:rFonts w:ascii="宋体" w:hAnsi="宋体"/>
          <w:color w:val="auto"/>
          <w:spacing w:val="6"/>
          <w:sz w:val="32"/>
          <w:szCs w:val="32"/>
          <w:highlight w:val="none"/>
        </w:rPr>
      </w:pPr>
      <w:bookmarkStart w:id="402" w:name="OLE_LINK14"/>
      <w:bookmarkStart w:id="403" w:name="OLE_LINK13"/>
      <w:r>
        <w:rPr>
          <w:rFonts w:hint="eastAsia" w:ascii="宋体" w:hAnsi="宋体"/>
          <w:color w:val="auto"/>
          <w:spacing w:val="6"/>
          <w:sz w:val="32"/>
          <w:szCs w:val="32"/>
          <w:highlight w:val="none"/>
        </w:rPr>
        <w:t>残疾人福利性单位声明函</w:t>
      </w:r>
    </w:p>
    <w:bookmarkEnd w:id="402"/>
    <w:bookmarkEnd w:id="403"/>
    <w:p w14:paraId="767FA59A">
      <w:pPr>
        <w:spacing w:line="360" w:lineRule="auto"/>
        <w:rPr>
          <w:rFonts w:ascii="宋体" w:hAnsi="宋体"/>
          <w:color w:val="auto"/>
          <w:spacing w:val="6"/>
          <w:sz w:val="30"/>
          <w:szCs w:val="30"/>
          <w:highlight w:val="none"/>
        </w:rPr>
      </w:pPr>
    </w:p>
    <w:p w14:paraId="518A0C82">
      <w:pPr>
        <w:spacing w:line="360" w:lineRule="auto"/>
        <w:ind w:firstLine="482" w:firstLineChars="200"/>
        <w:rPr>
          <w:rFonts w:ascii="宋体" w:hAnsi="宋体"/>
          <w:color w:val="auto"/>
          <w:sz w:val="24"/>
          <w:highlight w:val="none"/>
        </w:rPr>
      </w:pPr>
      <w:r>
        <w:rPr>
          <w:rFonts w:hint="eastAsia" w:ascii="宋体" w:hAnsi="宋体"/>
          <w:color w:val="auto"/>
          <w:sz w:val="24"/>
          <w:highlight w:val="none"/>
        </w:rPr>
        <w:t>本单位郑重声明，根据《财政部 民政部 中国残疾人联合会关于促进残疾人就业政府采购政策的通知》（财库〔2017〕 141号）的规定，本单位为符合条件的残疾人福利性单位，且本单位参加_</w:t>
      </w:r>
      <w:r>
        <w:rPr>
          <w:rFonts w:hint="eastAsia" w:ascii="宋体" w:hAnsi="宋体"/>
          <w:color w:val="auto"/>
          <w:sz w:val="24"/>
          <w:highlight w:val="none"/>
          <w:u w:val="single"/>
        </w:rPr>
        <w:t>(采购人)</w:t>
      </w:r>
      <w:r>
        <w:rPr>
          <w:rFonts w:hint="eastAsia" w:ascii="宋体" w:hAnsi="宋体"/>
          <w:color w:val="auto"/>
          <w:sz w:val="24"/>
          <w:highlight w:val="none"/>
        </w:rPr>
        <w:t>_单位的_</w:t>
      </w:r>
      <w:r>
        <w:rPr>
          <w:rFonts w:hint="eastAsia" w:ascii="宋体" w:hAnsi="宋体"/>
          <w:color w:val="auto"/>
          <w:sz w:val="24"/>
          <w:highlight w:val="none"/>
          <w:lang w:val="en-US" w:eastAsia="zh-CN"/>
        </w:rPr>
        <w:t xml:space="preserve">   （项目名称）   </w:t>
      </w:r>
      <w:r>
        <w:rPr>
          <w:rFonts w:hint="eastAsia" w:ascii="宋体" w:hAnsi="宋体"/>
          <w:color w:val="auto"/>
          <w:sz w:val="24"/>
          <w:highlight w:val="none"/>
        </w:rPr>
        <w:t>项目采购活动提供本单位制造的货物（由本单位承担工程/提供服务），或者提供其他残疾人福利性单位制造的货物（不包括使用非残疾人福利性单位注册商标的货物）。</w:t>
      </w:r>
    </w:p>
    <w:p w14:paraId="11B5F311">
      <w:pPr>
        <w:spacing w:line="360" w:lineRule="auto"/>
        <w:ind w:firstLine="482" w:firstLineChars="200"/>
        <w:rPr>
          <w:rFonts w:ascii="宋体" w:hAnsi="宋体"/>
          <w:color w:val="auto"/>
          <w:sz w:val="24"/>
          <w:highlight w:val="none"/>
        </w:rPr>
      </w:pPr>
      <w:r>
        <w:rPr>
          <w:rFonts w:hint="eastAsia" w:ascii="宋体" w:hAnsi="宋体"/>
          <w:color w:val="auto"/>
          <w:sz w:val="24"/>
          <w:highlight w:val="none"/>
        </w:rPr>
        <w:t>本单位对上述声明的真实性负责。如有虚假，将依法承担相应责任。</w:t>
      </w:r>
    </w:p>
    <w:p w14:paraId="1A1BF48B">
      <w:pPr>
        <w:spacing w:line="360" w:lineRule="auto"/>
        <w:ind w:firstLine="482" w:firstLineChars="200"/>
        <w:rPr>
          <w:rFonts w:ascii="宋体" w:hAnsi="宋体"/>
          <w:color w:val="auto"/>
          <w:sz w:val="24"/>
          <w:highlight w:val="none"/>
        </w:rPr>
      </w:pPr>
    </w:p>
    <w:p w14:paraId="5B4195E6">
      <w:pPr>
        <w:spacing w:line="360" w:lineRule="auto"/>
        <w:ind w:firstLine="482" w:firstLineChars="200"/>
        <w:rPr>
          <w:rFonts w:ascii="宋体" w:hAnsi="宋体"/>
          <w:color w:val="auto"/>
          <w:sz w:val="24"/>
          <w:highlight w:val="none"/>
        </w:rPr>
      </w:pPr>
    </w:p>
    <w:p w14:paraId="377E2EAF">
      <w:pPr>
        <w:tabs>
          <w:tab w:val="left" w:pos="4860"/>
        </w:tabs>
        <w:spacing w:line="360" w:lineRule="auto"/>
        <w:ind w:right="1560" w:firstLine="482" w:firstLineChars="200"/>
        <w:jc w:val="center"/>
        <w:rPr>
          <w:rFonts w:ascii="宋体" w:hAnsi="宋体"/>
          <w:color w:val="auto"/>
          <w:sz w:val="24"/>
          <w:highlight w:val="none"/>
        </w:rPr>
      </w:pPr>
      <w:r>
        <w:rPr>
          <w:rFonts w:hint="eastAsia" w:ascii="宋体" w:hAnsi="宋体"/>
          <w:color w:val="auto"/>
          <w:sz w:val="24"/>
          <w:highlight w:val="none"/>
        </w:rPr>
        <w:t xml:space="preserve">               </w:t>
      </w:r>
      <w:r>
        <w:rPr>
          <w:rFonts w:hint="eastAsia" w:ascii="宋体" w:hAnsi="宋体"/>
          <w:color w:val="auto"/>
          <w:sz w:val="24"/>
          <w:highlight w:val="none"/>
          <w:lang w:val="zh-CN"/>
        </w:rPr>
        <w:t>投标人名称（电子签名）</w:t>
      </w:r>
      <w:r>
        <w:rPr>
          <w:rFonts w:hint="eastAsia" w:ascii="宋体" w:hAnsi="宋体"/>
          <w:color w:val="auto"/>
          <w:sz w:val="24"/>
          <w:highlight w:val="none"/>
        </w:rPr>
        <w:t>：</w:t>
      </w:r>
    </w:p>
    <w:p w14:paraId="0C5F7656">
      <w:pPr>
        <w:tabs>
          <w:tab w:val="left" w:pos="4860"/>
        </w:tabs>
        <w:spacing w:line="360" w:lineRule="auto"/>
        <w:ind w:right="1560" w:firstLine="482" w:firstLineChars="200"/>
        <w:jc w:val="center"/>
        <w:rPr>
          <w:rFonts w:ascii="宋体" w:hAnsi="宋体"/>
          <w:color w:val="auto"/>
          <w:sz w:val="24"/>
          <w:highlight w:val="none"/>
        </w:rPr>
      </w:pPr>
      <w:r>
        <w:rPr>
          <w:rFonts w:hint="eastAsia" w:ascii="宋体" w:hAnsi="宋体"/>
          <w:color w:val="auto"/>
          <w:sz w:val="24"/>
          <w:highlight w:val="none"/>
        </w:rPr>
        <w:t xml:space="preserve">       日  期：</w:t>
      </w:r>
    </w:p>
    <w:p w14:paraId="0D76D991">
      <w:pPr>
        <w:spacing w:line="360" w:lineRule="auto"/>
        <w:ind w:firstLine="482" w:firstLineChars="200"/>
        <w:rPr>
          <w:rFonts w:ascii="宋体" w:hAnsi="宋体"/>
          <w:color w:val="auto"/>
          <w:sz w:val="24"/>
          <w:highlight w:val="none"/>
        </w:rPr>
      </w:pPr>
    </w:p>
    <w:p w14:paraId="5BBB0434">
      <w:pPr>
        <w:spacing w:line="360" w:lineRule="auto"/>
        <w:ind w:firstLine="422" w:firstLineChars="200"/>
        <w:rPr>
          <w:rFonts w:ascii="宋体" w:hAnsi="宋体"/>
          <w:color w:val="auto"/>
          <w:highlight w:val="none"/>
        </w:rPr>
      </w:pPr>
    </w:p>
    <w:p w14:paraId="2496E490">
      <w:pPr>
        <w:spacing w:line="360" w:lineRule="auto"/>
        <w:ind w:firstLine="422" w:firstLineChars="200"/>
        <w:rPr>
          <w:rFonts w:ascii="宋体" w:hAnsi="宋体"/>
          <w:color w:val="auto"/>
          <w:highlight w:val="none"/>
        </w:rPr>
      </w:pPr>
    </w:p>
    <w:p w14:paraId="08156736">
      <w:pPr>
        <w:spacing w:line="360" w:lineRule="auto"/>
        <w:ind w:firstLine="422" w:firstLineChars="200"/>
        <w:rPr>
          <w:rFonts w:ascii="宋体" w:hAnsi="宋体"/>
          <w:color w:val="auto"/>
          <w:highlight w:val="none"/>
        </w:rPr>
      </w:pPr>
    </w:p>
    <w:p w14:paraId="721095CA">
      <w:pPr>
        <w:spacing w:line="360" w:lineRule="auto"/>
        <w:ind w:firstLine="422" w:firstLineChars="200"/>
        <w:rPr>
          <w:rFonts w:ascii="宋体" w:hAnsi="宋体"/>
          <w:color w:val="auto"/>
          <w:highlight w:val="none"/>
        </w:rPr>
      </w:pPr>
    </w:p>
    <w:p w14:paraId="193BD31C">
      <w:pPr>
        <w:spacing w:line="360" w:lineRule="auto"/>
        <w:rPr>
          <w:rFonts w:ascii="宋体" w:hAnsi="宋体"/>
          <w:color w:val="auto"/>
          <w:sz w:val="24"/>
          <w:highlight w:val="none"/>
        </w:rPr>
      </w:pPr>
    </w:p>
    <w:p w14:paraId="5A4DB054">
      <w:pPr>
        <w:spacing w:line="360" w:lineRule="auto"/>
        <w:rPr>
          <w:rFonts w:ascii="宋体" w:hAnsi="宋体"/>
          <w:color w:val="auto"/>
          <w:sz w:val="24"/>
          <w:highlight w:val="none"/>
        </w:rPr>
      </w:pPr>
    </w:p>
    <w:p w14:paraId="768E48AB">
      <w:pPr>
        <w:spacing w:line="360" w:lineRule="auto"/>
        <w:rPr>
          <w:rFonts w:ascii="宋体" w:hAnsi="宋体"/>
          <w:color w:val="auto"/>
          <w:sz w:val="24"/>
          <w:highlight w:val="none"/>
        </w:rPr>
      </w:pPr>
    </w:p>
    <w:p w14:paraId="56CF3BF5">
      <w:pPr>
        <w:spacing w:line="360" w:lineRule="auto"/>
        <w:rPr>
          <w:rFonts w:ascii="宋体" w:hAnsi="宋体"/>
          <w:color w:val="auto"/>
          <w:sz w:val="24"/>
          <w:highlight w:val="none"/>
        </w:rPr>
      </w:pPr>
    </w:p>
    <w:p w14:paraId="6A0DDF51">
      <w:pPr>
        <w:spacing w:line="360" w:lineRule="auto"/>
        <w:rPr>
          <w:rFonts w:ascii="宋体" w:hAnsi="宋体"/>
          <w:color w:val="auto"/>
          <w:sz w:val="24"/>
          <w:highlight w:val="none"/>
        </w:rPr>
      </w:pPr>
    </w:p>
    <w:p w14:paraId="5BED5331">
      <w:pPr>
        <w:spacing w:line="360" w:lineRule="auto"/>
        <w:rPr>
          <w:rFonts w:ascii="宋体" w:hAnsi="宋体"/>
          <w:color w:val="auto"/>
          <w:sz w:val="24"/>
          <w:highlight w:val="none"/>
        </w:rPr>
      </w:pPr>
    </w:p>
    <w:p w14:paraId="23486057">
      <w:pPr>
        <w:spacing w:line="360" w:lineRule="auto"/>
        <w:rPr>
          <w:rFonts w:ascii="宋体" w:hAnsi="宋体"/>
          <w:color w:val="auto"/>
          <w:sz w:val="24"/>
          <w:highlight w:val="none"/>
        </w:rPr>
      </w:pPr>
    </w:p>
    <w:p w14:paraId="32115B34">
      <w:pPr>
        <w:spacing w:line="360" w:lineRule="auto"/>
        <w:rPr>
          <w:rFonts w:ascii="宋体" w:hAnsi="宋体"/>
          <w:color w:val="auto"/>
          <w:sz w:val="24"/>
          <w:highlight w:val="none"/>
        </w:rPr>
      </w:pPr>
    </w:p>
    <w:p w14:paraId="6B7915D5">
      <w:pPr>
        <w:spacing w:line="360" w:lineRule="auto"/>
        <w:rPr>
          <w:rFonts w:ascii="宋体" w:hAnsi="宋体"/>
          <w:color w:val="auto"/>
          <w:sz w:val="24"/>
          <w:highlight w:val="none"/>
        </w:rPr>
      </w:pPr>
    </w:p>
    <w:p w14:paraId="419090F7">
      <w:pPr>
        <w:spacing w:line="360" w:lineRule="auto"/>
        <w:jc w:val="left"/>
        <w:rPr>
          <w:rFonts w:ascii="宋体" w:hAnsi="宋体"/>
          <w:color w:val="auto"/>
          <w:spacing w:val="6"/>
          <w:sz w:val="32"/>
          <w:szCs w:val="32"/>
          <w:highlight w:val="none"/>
        </w:rPr>
      </w:pPr>
      <w:r>
        <w:rPr>
          <w:rFonts w:hint="eastAsia" w:ascii="宋体" w:hAnsi="宋体"/>
          <w:color w:val="auto"/>
          <w:spacing w:val="6"/>
          <w:sz w:val="32"/>
          <w:szCs w:val="32"/>
          <w:highlight w:val="none"/>
        </w:rPr>
        <w:t>附件2：质疑函范本及制作说明</w:t>
      </w:r>
    </w:p>
    <w:p w14:paraId="575E7348">
      <w:pPr>
        <w:spacing w:line="360" w:lineRule="auto"/>
        <w:jc w:val="center"/>
        <w:rPr>
          <w:rFonts w:ascii="宋体" w:hAnsi="宋体"/>
          <w:color w:val="auto"/>
          <w:spacing w:val="6"/>
          <w:sz w:val="32"/>
          <w:szCs w:val="32"/>
          <w:highlight w:val="none"/>
        </w:rPr>
      </w:pPr>
      <w:r>
        <w:rPr>
          <w:rFonts w:hint="eastAsia" w:ascii="宋体" w:hAnsi="宋体"/>
          <w:color w:val="auto"/>
          <w:spacing w:val="6"/>
          <w:sz w:val="32"/>
          <w:szCs w:val="32"/>
          <w:highlight w:val="none"/>
        </w:rPr>
        <w:t>质疑函范本</w:t>
      </w:r>
    </w:p>
    <w:p w14:paraId="2A742792">
      <w:pPr>
        <w:snapToGrid w:val="0"/>
        <w:spacing w:before="240" w:beforeLines="100" w:line="360" w:lineRule="auto"/>
        <w:rPr>
          <w:rFonts w:ascii="宋体" w:hAnsi="宋体"/>
          <w:bCs/>
          <w:color w:val="auto"/>
          <w:sz w:val="24"/>
          <w:highlight w:val="none"/>
        </w:rPr>
      </w:pPr>
      <w:r>
        <w:rPr>
          <w:rFonts w:hint="eastAsia" w:ascii="宋体" w:hAnsi="宋体"/>
          <w:bCs/>
          <w:color w:val="auto"/>
          <w:sz w:val="24"/>
          <w:highlight w:val="none"/>
        </w:rPr>
        <w:t>一、质疑供应商基本信息</w:t>
      </w:r>
    </w:p>
    <w:p w14:paraId="1756AF9A">
      <w:pPr>
        <w:snapToGrid w:val="0"/>
        <w:spacing w:line="360" w:lineRule="auto"/>
        <w:rPr>
          <w:rFonts w:ascii="宋体" w:hAnsi="宋体"/>
          <w:color w:val="auto"/>
          <w:sz w:val="24"/>
          <w:highlight w:val="none"/>
          <w:u w:val="dotted"/>
        </w:rPr>
      </w:pPr>
      <w:r>
        <w:rPr>
          <w:rFonts w:hint="eastAsia" w:ascii="宋体" w:hAnsi="宋体"/>
          <w:color w:val="auto"/>
          <w:sz w:val="24"/>
          <w:highlight w:val="none"/>
        </w:rPr>
        <w:t>质疑供应商：</w:t>
      </w:r>
      <w:r>
        <w:rPr>
          <w:rFonts w:hint="eastAsia" w:ascii="宋体" w:hAnsi="宋体"/>
          <w:color w:val="auto"/>
          <w:sz w:val="24"/>
          <w:highlight w:val="none"/>
          <w:u w:val="dotted"/>
        </w:rPr>
        <w:t xml:space="preserve">                                        </w:t>
      </w:r>
    </w:p>
    <w:p w14:paraId="602BC240">
      <w:pPr>
        <w:snapToGrid w:val="0"/>
        <w:spacing w:line="360" w:lineRule="auto"/>
        <w:rPr>
          <w:rFonts w:ascii="宋体" w:hAnsi="宋体"/>
          <w:color w:val="auto"/>
          <w:sz w:val="24"/>
          <w:highlight w:val="none"/>
        </w:rPr>
      </w:pPr>
      <w:r>
        <w:rPr>
          <w:rFonts w:hint="eastAsia" w:ascii="宋体" w:hAnsi="宋体"/>
          <w:color w:val="auto"/>
          <w:sz w:val="24"/>
          <w:highlight w:val="none"/>
        </w:rPr>
        <w:t>地址：</w:t>
      </w:r>
      <w:r>
        <w:rPr>
          <w:rFonts w:hint="eastAsia" w:ascii="宋体" w:hAnsi="宋体"/>
          <w:color w:val="auto"/>
          <w:sz w:val="24"/>
          <w:highlight w:val="none"/>
          <w:u w:val="dotted"/>
        </w:rPr>
        <w:t xml:space="preserve">                          </w:t>
      </w:r>
      <w:r>
        <w:rPr>
          <w:rFonts w:hint="eastAsia" w:ascii="宋体" w:hAnsi="宋体"/>
          <w:color w:val="auto"/>
          <w:sz w:val="24"/>
          <w:highlight w:val="none"/>
        </w:rPr>
        <w:t>邮编：</w:t>
      </w:r>
      <w:r>
        <w:rPr>
          <w:rFonts w:hint="eastAsia" w:ascii="宋体" w:hAnsi="宋体"/>
          <w:color w:val="auto"/>
          <w:sz w:val="24"/>
          <w:highlight w:val="none"/>
          <w:u w:val="dotted"/>
        </w:rPr>
        <w:t xml:space="preserve">                                                   </w:t>
      </w:r>
    </w:p>
    <w:p w14:paraId="0CCF4163">
      <w:pPr>
        <w:snapToGrid w:val="0"/>
        <w:spacing w:line="360" w:lineRule="auto"/>
        <w:rPr>
          <w:rFonts w:ascii="宋体" w:hAnsi="宋体"/>
          <w:color w:val="auto"/>
          <w:sz w:val="24"/>
          <w:highlight w:val="none"/>
        </w:rPr>
      </w:pPr>
      <w:r>
        <w:rPr>
          <w:rFonts w:hint="eastAsia" w:ascii="宋体" w:hAnsi="宋体"/>
          <w:color w:val="auto"/>
          <w:sz w:val="24"/>
          <w:highlight w:val="none"/>
        </w:rPr>
        <w:t>联系人：</w:t>
      </w:r>
      <w:r>
        <w:rPr>
          <w:rFonts w:hint="eastAsia" w:ascii="宋体" w:hAnsi="宋体"/>
          <w:color w:val="auto"/>
          <w:sz w:val="24"/>
          <w:highlight w:val="none"/>
          <w:u w:val="dotted"/>
        </w:rPr>
        <w:t xml:space="preserve">                      </w:t>
      </w:r>
      <w:r>
        <w:rPr>
          <w:rFonts w:hint="eastAsia" w:ascii="宋体" w:hAnsi="宋体"/>
          <w:color w:val="auto"/>
          <w:sz w:val="24"/>
          <w:highlight w:val="none"/>
        </w:rPr>
        <w:t>联系电话：</w:t>
      </w:r>
      <w:r>
        <w:rPr>
          <w:rFonts w:hint="eastAsia" w:ascii="宋体" w:hAnsi="宋体"/>
          <w:color w:val="auto"/>
          <w:sz w:val="24"/>
          <w:highlight w:val="none"/>
          <w:u w:val="dotted"/>
        </w:rPr>
        <w:t xml:space="preserve">                              </w:t>
      </w:r>
    </w:p>
    <w:p w14:paraId="6AA6B73D">
      <w:pPr>
        <w:snapToGrid w:val="0"/>
        <w:spacing w:line="360" w:lineRule="auto"/>
        <w:rPr>
          <w:rFonts w:ascii="宋体" w:hAnsi="宋体"/>
          <w:color w:val="auto"/>
          <w:sz w:val="24"/>
          <w:highlight w:val="none"/>
          <w:u w:val="dotted"/>
        </w:rPr>
      </w:pPr>
      <w:r>
        <w:rPr>
          <w:rFonts w:hint="eastAsia" w:ascii="宋体" w:hAnsi="宋体"/>
          <w:color w:val="auto"/>
          <w:sz w:val="24"/>
          <w:highlight w:val="none"/>
        </w:rPr>
        <w:t>授权代表：</w:t>
      </w:r>
      <w:r>
        <w:rPr>
          <w:rFonts w:hint="eastAsia" w:ascii="宋体" w:hAnsi="宋体"/>
          <w:color w:val="auto"/>
          <w:sz w:val="24"/>
          <w:highlight w:val="none"/>
          <w:u w:val="dotted"/>
        </w:rPr>
        <w:t xml:space="preserve">                                          </w:t>
      </w:r>
    </w:p>
    <w:p w14:paraId="7337986B">
      <w:pPr>
        <w:snapToGrid w:val="0"/>
        <w:spacing w:line="360" w:lineRule="auto"/>
        <w:rPr>
          <w:rFonts w:ascii="宋体" w:hAnsi="宋体"/>
          <w:color w:val="auto"/>
          <w:sz w:val="24"/>
          <w:highlight w:val="none"/>
        </w:rPr>
      </w:pPr>
      <w:r>
        <w:rPr>
          <w:rFonts w:hint="eastAsia" w:ascii="宋体" w:hAnsi="宋体"/>
          <w:color w:val="auto"/>
          <w:sz w:val="24"/>
          <w:highlight w:val="none"/>
        </w:rPr>
        <w:t>联系电话：</w:t>
      </w:r>
      <w:r>
        <w:rPr>
          <w:rFonts w:hint="eastAsia" w:ascii="宋体" w:hAnsi="宋体"/>
          <w:color w:val="auto"/>
          <w:sz w:val="24"/>
          <w:highlight w:val="none"/>
          <w:u w:val="dotted"/>
        </w:rPr>
        <w:t xml:space="preserve">                                           </w:t>
      </w:r>
      <w:r>
        <w:rPr>
          <w:rFonts w:hint="eastAsia" w:ascii="宋体" w:hAnsi="宋体"/>
          <w:color w:val="auto"/>
          <w:sz w:val="24"/>
          <w:highlight w:val="none"/>
        </w:rPr>
        <w:t xml:space="preserve"> </w:t>
      </w:r>
    </w:p>
    <w:p w14:paraId="299EE331">
      <w:pPr>
        <w:snapToGrid w:val="0"/>
        <w:spacing w:line="360" w:lineRule="auto"/>
        <w:rPr>
          <w:rFonts w:ascii="宋体" w:hAnsi="宋体"/>
          <w:color w:val="auto"/>
          <w:sz w:val="24"/>
          <w:highlight w:val="none"/>
        </w:rPr>
      </w:pPr>
      <w:r>
        <w:rPr>
          <w:rFonts w:hint="eastAsia" w:ascii="宋体" w:hAnsi="宋体"/>
          <w:color w:val="auto"/>
          <w:sz w:val="24"/>
          <w:highlight w:val="none"/>
        </w:rPr>
        <w:t xml:space="preserve">地址： </w:t>
      </w:r>
      <w:r>
        <w:rPr>
          <w:rFonts w:hint="eastAsia" w:ascii="宋体" w:hAnsi="宋体"/>
          <w:color w:val="auto"/>
          <w:sz w:val="24"/>
          <w:highlight w:val="none"/>
          <w:u w:val="dotted"/>
        </w:rPr>
        <w:t xml:space="preserve">                        </w:t>
      </w:r>
      <w:r>
        <w:rPr>
          <w:rFonts w:hint="eastAsia" w:ascii="宋体" w:hAnsi="宋体"/>
          <w:color w:val="auto"/>
          <w:sz w:val="24"/>
          <w:highlight w:val="none"/>
        </w:rPr>
        <w:t>邮编：</w:t>
      </w:r>
      <w:r>
        <w:rPr>
          <w:rFonts w:hint="eastAsia" w:ascii="宋体" w:hAnsi="宋体"/>
          <w:color w:val="auto"/>
          <w:sz w:val="24"/>
          <w:highlight w:val="none"/>
          <w:u w:val="dotted"/>
        </w:rPr>
        <w:t xml:space="preserve">                                                </w:t>
      </w:r>
    </w:p>
    <w:p w14:paraId="04355F18">
      <w:pPr>
        <w:snapToGrid w:val="0"/>
        <w:spacing w:line="360" w:lineRule="auto"/>
        <w:rPr>
          <w:rFonts w:ascii="宋体" w:hAnsi="宋体"/>
          <w:bCs/>
          <w:color w:val="auto"/>
          <w:sz w:val="24"/>
          <w:highlight w:val="none"/>
        </w:rPr>
      </w:pPr>
      <w:r>
        <w:rPr>
          <w:rFonts w:hint="eastAsia" w:ascii="宋体" w:hAnsi="宋体"/>
          <w:bCs/>
          <w:color w:val="auto"/>
          <w:sz w:val="24"/>
          <w:highlight w:val="none"/>
        </w:rPr>
        <w:t>二、质疑项目基本情况</w:t>
      </w:r>
    </w:p>
    <w:p w14:paraId="47E69F70">
      <w:pPr>
        <w:snapToGrid w:val="0"/>
        <w:spacing w:line="360" w:lineRule="auto"/>
        <w:rPr>
          <w:rFonts w:ascii="宋体" w:hAnsi="宋体"/>
          <w:color w:val="auto"/>
          <w:sz w:val="24"/>
          <w:highlight w:val="none"/>
        </w:rPr>
      </w:pPr>
      <w:r>
        <w:rPr>
          <w:rFonts w:hint="eastAsia" w:ascii="宋体" w:hAnsi="宋体"/>
          <w:color w:val="auto"/>
          <w:sz w:val="24"/>
          <w:highlight w:val="none"/>
        </w:rPr>
        <w:t>质疑项目的名称：</w:t>
      </w:r>
      <w:r>
        <w:rPr>
          <w:rFonts w:hint="eastAsia" w:ascii="宋体" w:hAnsi="宋体"/>
          <w:color w:val="auto"/>
          <w:sz w:val="24"/>
          <w:highlight w:val="none"/>
          <w:u w:val="dotted"/>
        </w:rPr>
        <w:t xml:space="preserve">                                      </w:t>
      </w:r>
    </w:p>
    <w:p w14:paraId="7D4982EC">
      <w:pPr>
        <w:snapToGrid w:val="0"/>
        <w:spacing w:line="360" w:lineRule="auto"/>
        <w:rPr>
          <w:rFonts w:ascii="宋体" w:hAnsi="宋体"/>
          <w:color w:val="auto"/>
          <w:sz w:val="24"/>
          <w:highlight w:val="none"/>
        </w:rPr>
      </w:pPr>
      <w:r>
        <w:rPr>
          <w:rFonts w:hint="eastAsia" w:ascii="宋体" w:hAnsi="宋体"/>
          <w:color w:val="auto"/>
          <w:sz w:val="24"/>
          <w:highlight w:val="none"/>
        </w:rPr>
        <w:t>质疑项目的编号：</w:t>
      </w:r>
      <w:r>
        <w:rPr>
          <w:rFonts w:hint="eastAsia" w:ascii="宋体" w:hAnsi="宋体"/>
          <w:color w:val="auto"/>
          <w:sz w:val="24"/>
          <w:highlight w:val="none"/>
          <w:u w:val="dotted"/>
        </w:rPr>
        <w:t xml:space="preserve">               </w:t>
      </w:r>
      <w:r>
        <w:rPr>
          <w:rFonts w:hint="eastAsia" w:ascii="宋体" w:hAnsi="宋体"/>
          <w:color w:val="auto"/>
          <w:sz w:val="24"/>
          <w:highlight w:val="none"/>
        </w:rPr>
        <w:t>包号：</w:t>
      </w:r>
      <w:r>
        <w:rPr>
          <w:rFonts w:hint="eastAsia" w:ascii="宋体" w:hAnsi="宋体"/>
          <w:color w:val="auto"/>
          <w:sz w:val="24"/>
          <w:highlight w:val="none"/>
          <w:u w:val="dotted"/>
        </w:rPr>
        <w:t xml:space="preserve">                 </w:t>
      </w:r>
    </w:p>
    <w:p w14:paraId="04A99CC1">
      <w:pPr>
        <w:snapToGrid w:val="0"/>
        <w:spacing w:line="360" w:lineRule="auto"/>
        <w:rPr>
          <w:rFonts w:ascii="宋体" w:hAnsi="宋体"/>
          <w:color w:val="auto"/>
          <w:sz w:val="24"/>
          <w:highlight w:val="none"/>
          <w:u w:val="dotted"/>
        </w:rPr>
      </w:pPr>
      <w:r>
        <w:rPr>
          <w:rFonts w:hint="eastAsia" w:ascii="宋体" w:hAnsi="宋体"/>
          <w:color w:val="auto"/>
          <w:sz w:val="24"/>
          <w:highlight w:val="none"/>
        </w:rPr>
        <w:t>采购人名称：</w:t>
      </w:r>
      <w:r>
        <w:rPr>
          <w:rFonts w:hint="eastAsia" w:ascii="宋体" w:hAnsi="宋体"/>
          <w:color w:val="auto"/>
          <w:sz w:val="24"/>
          <w:highlight w:val="none"/>
          <w:u w:val="dotted"/>
        </w:rPr>
        <w:t xml:space="preserve">                                         </w:t>
      </w:r>
    </w:p>
    <w:p w14:paraId="2BAFE6D7">
      <w:pPr>
        <w:snapToGrid w:val="0"/>
        <w:spacing w:line="360" w:lineRule="auto"/>
        <w:rPr>
          <w:rFonts w:ascii="宋体" w:hAnsi="宋体"/>
          <w:color w:val="auto"/>
          <w:sz w:val="24"/>
          <w:highlight w:val="none"/>
        </w:rPr>
      </w:pPr>
      <w:r>
        <w:rPr>
          <w:rFonts w:hint="eastAsia" w:ascii="宋体" w:hAnsi="宋体"/>
          <w:color w:val="auto"/>
          <w:sz w:val="24"/>
          <w:highlight w:val="none"/>
        </w:rPr>
        <w:t>采购文件获取日期：</w:t>
      </w:r>
      <w:r>
        <w:rPr>
          <w:rFonts w:hint="eastAsia" w:ascii="宋体" w:hAnsi="宋体"/>
          <w:color w:val="auto"/>
          <w:sz w:val="24"/>
          <w:highlight w:val="none"/>
          <w:u w:val="dotted"/>
        </w:rPr>
        <w:t xml:space="preserve">                                           </w:t>
      </w:r>
    </w:p>
    <w:p w14:paraId="73B75E07">
      <w:pPr>
        <w:snapToGrid w:val="0"/>
        <w:spacing w:line="360" w:lineRule="auto"/>
        <w:rPr>
          <w:rFonts w:ascii="宋体" w:hAnsi="宋体"/>
          <w:bCs/>
          <w:color w:val="auto"/>
          <w:sz w:val="24"/>
          <w:highlight w:val="none"/>
        </w:rPr>
      </w:pPr>
      <w:r>
        <w:rPr>
          <w:rFonts w:hint="eastAsia" w:ascii="宋体" w:hAnsi="宋体"/>
          <w:bCs/>
          <w:color w:val="auto"/>
          <w:sz w:val="24"/>
          <w:highlight w:val="none"/>
        </w:rPr>
        <w:t>三、质疑事项具体内容</w:t>
      </w:r>
    </w:p>
    <w:p w14:paraId="1F872DE3">
      <w:pPr>
        <w:snapToGrid w:val="0"/>
        <w:spacing w:line="360" w:lineRule="auto"/>
        <w:rPr>
          <w:rFonts w:ascii="宋体" w:hAnsi="宋体"/>
          <w:color w:val="auto"/>
          <w:sz w:val="24"/>
          <w:highlight w:val="none"/>
          <w:u w:val="dotted"/>
        </w:rPr>
      </w:pPr>
      <w:r>
        <w:rPr>
          <w:rFonts w:hint="eastAsia" w:ascii="宋体" w:hAnsi="宋体"/>
          <w:color w:val="auto"/>
          <w:sz w:val="24"/>
          <w:highlight w:val="none"/>
        </w:rPr>
        <w:t>质疑事项1：</w:t>
      </w:r>
      <w:r>
        <w:rPr>
          <w:rFonts w:hint="eastAsia" w:ascii="宋体" w:hAnsi="宋体"/>
          <w:color w:val="auto"/>
          <w:sz w:val="24"/>
          <w:highlight w:val="none"/>
          <w:u w:val="dotted"/>
        </w:rPr>
        <w:t xml:space="preserve">                                         </w:t>
      </w:r>
    </w:p>
    <w:p w14:paraId="1209A263">
      <w:pPr>
        <w:snapToGrid w:val="0"/>
        <w:spacing w:line="360" w:lineRule="auto"/>
        <w:rPr>
          <w:rFonts w:ascii="宋体" w:hAnsi="宋体"/>
          <w:color w:val="auto"/>
          <w:sz w:val="24"/>
          <w:highlight w:val="none"/>
          <w:u w:val="dotted"/>
        </w:rPr>
      </w:pPr>
      <w:r>
        <w:rPr>
          <w:rFonts w:hint="eastAsia" w:ascii="宋体" w:hAnsi="宋体"/>
          <w:color w:val="auto"/>
          <w:sz w:val="24"/>
          <w:highlight w:val="none"/>
        </w:rPr>
        <w:t>事实依据：</w:t>
      </w:r>
      <w:r>
        <w:rPr>
          <w:rFonts w:hint="eastAsia" w:ascii="宋体" w:hAnsi="宋体"/>
          <w:color w:val="auto"/>
          <w:sz w:val="24"/>
          <w:highlight w:val="none"/>
          <w:u w:val="dotted"/>
        </w:rPr>
        <w:t xml:space="preserve">                                          </w:t>
      </w:r>
    </w:p>
    <w:p w14:paraId="0DE58D56">
      <w:pPr>
        <w:snapToGrid w:val="0"/>
        <w:spacing w:line="360" w:lineRule="auto"/>
        <w:rPr>
          <w:rFonts w:ascii="宋体" w:hAnsi="宋体"/>
          <w:color w:val="auto"/>
          <w:sz w:val="24"/>
          <w:highlight w:val="none"/>
        </w:rPr>
      </w:pPr>
      <w:r>
        <w:rPr>
          <w:rFonts w:hint="eastAsia" w:ascii="宋体" w:hAnsi="宋体"/>
          <w:color w:val="auto"/>
          <w:sz w:val="24"/>
          <w:highlight w:val="none"/>
          <w:u w:val="dotted"/>
        </w:rPr>
        <w:t xml:space="preserve">                                                       </w:t>
      </w:r>
    </w:p>
    <w:p w14:paraId="632DCF3E">
      <w:pPr>
        <w:snapToGrid w:val="0"/>
        <w:spacing w:line="360" w:lineRule="auto"/>
        <w:rPr>
          <w:rFonts w:ascii="宋体" w:hAnsi="宋体"/>
          <w:color w:val="auto"/>
          <w:sz w:val="24"/>
          <w:highlight w:val="none"/>
          <w:u w:val="dotted"/>
        </w:rPr>
      </w:pPr>
      <w:r>
        <w:rPr>
          <w:rFonts w:hint="eastAsia" w:ascii="宋体" w:hAnsi="宋体"/>
          <w:color w:val="auto"/>
          <w:sz w:val="24"/>
          <w:highlight w:val="none"/>
        </w:rPr>
        <w:t>法律依据：</w:t>
      </w:r>
      <w:r>
        <w:rPr>
          <w:rFonts w:hint="eastAsia" w:ascii="宋体" w:hAnsi="宋体"/>
          <w:color w:val="auto"/>
          <w:sz w:val="24"/>
          <w:highlight w:val="none"/>
          <w:u w:val="dotted"/>
        </w:rPr>
        <w:t xml:space="preserve">                                          </w:t>
      </w:r>
    </w:p>
    <w:p w14:paraId="7EDD2194">
      <w:pPr>
        <w:snapToGrid w:val="0"/>
        <w:spacing w:line="360" w:lineRule="auto"/>
        <w:rPr>
          <w:rFonts w:ascii="宋体" w:hAnsi="宋体"/>
          <w:color w:val="auto"/>
          <w:sz w:val="24"/>
          <w:highlight w:val="none"/>
          <w:u w:val="dotted"/>
        </w:rPr>
      </w:pPr>
      <w:r>
        <w:rPr>
          <w:rFonts w:hint="eastAsia" w:ascii="宋体" w:hAnsi="宋体"/>
          <w:color w:val="auto"/>
          <w:sz w:val="24"/>
          <w:highlight w:val="none"/>
          <w:u w:val="dotted"/>
        </w:rPr>
        <w:t xml:space="preserve">                                                     </w:t>
      </w:r>
    </w:p>
    <w:p w14:paraId="0A84DF0C">
      <w:pPr>
        <w:snapToGrid w:val="0"/>
        <w:spacing w:line="360" w:lineRule="auto"/>
        <w:rPr>
          <w:rFonts w:ascii="宋体" w:hAnsi="宋体"/>
          <w:color w:val="auto"/>
          <w:sz w:val="24"/>
          <w:highlight w:val="none"/>
          <w:u w:val="dotted"/>
        </w:rPr>
      </w:pPr>
      <w:r>
        <w:rPr>
          <w:rFonts w:hint="eastAsia" w:ascii="宋体" w:hAnsi="宋体"/>
          <w:color w:val="auto"/>
          <w:sz w:val="24"/>
          <w:highlight w:val="none"/>
        </w:rPr>
        <w:t>质疑事项2</w:t>
      </w:r>
    </w:p>
    <w:p w14:paraId="7043F180">
      <w:pPr>
        <w:snapToGrid w:val="0"/>
        <w:spacing w:line="360" w:lineRule="auto"/>
        <w:rPr>
          <w:rFonts w:ascii="宋体" w:hAnsi="宋体"/>
          <w:color w:val="auto"/>
          <w:sz w:val="24"/>
          <w:highlight w:val="none"/>
        </w:rPr>
      </w:pPr>
      <w:r>
        <w:rPr>
          <w:rFonts w:hint="eastAsia" w:ascii="宋体" w:hAnsi="宋体"/>
          <w:color w:val="auto"/>
          <w:sz w:val="24"/>
          <w:highlight w:val="none"/>
        </w:rPr>
        <w:t>……</w:t>
      </w:r>
    </w:p>
    <w:p w14:paraId="44E0510B">
      <w:pPr>
        <w:snapToGrid w:val="0"/>
        <w:spacing w:line="360" w:lineRule="auto"/>
        <w:rPr>
          <w:rFonts w:ascii="宋体" w:hAnsi="宋体"/>
          <w:bCs/>
          <w:color w:val="auto"/>
          <w:sz w:val="24"/>
          <w:highlight w:val="none"/>
        </w:rPr>
      </w:pPr>
      <w:r>
        <w:rPr>
          <w:rFonts w:hint="eastAsia" w:ascii="宋体" w:hAnsi="宋体"/>
          <w:bCs/>
          <w:color w:val="auto"/>
          <w:sz w:val="24"/>
          <w:highlight w:val="none"/>
        </w:rPr>
        <w:t>四、与质疑事项相关的质疑请求</w:t>
      </w:r>
    </w:p>
    <w:p w14:paraId="424FE606">
      <w:pPr>
        <w:snapToGrid w:val="0"/>
        <w:spacing w:line="360" w:lineRule="auto"/>
        <w:rPr>
          <w:rFonts w:ascii="宋体" w:hAnsi="宋体"/>
          <w:color w:val="auto"/>
          <w:sz w:val="24"/>
          <w:highlight w:val="none"/>
          <w:u w:val="dotted"/>
        </w:rPr>
      </w:pPr>
      <w:r>
        <w:rPr>
          <w:rFonts w:hint="eastAsia" w:ascii="宋体" w:hAnsi="宋体"/>
          <w:color w:val="auto"/>
          <w:sz w:val="24"/>
          <w:highlight w:val="none"/>
        </w:rPr>
        <w:t>请求：</w:t>
      </w:r>
      <w:r>
        <w:rPr>
          <w:rFonts w:hint="eastAsia" w:ascii="宋体" w:hAnsi="宋体"/>
          <w:color w:val="auto"/>
          <w:sz w:val="24"/>
          <w:highlight w:val="none"/>
          <w:u w:val="dotted"/>
        </w:rPr>
        <w:t xml:space="preserve">                                               </w:t>
      </w:r>
    </w:p>
    <w:p w14:paraId="3A7043F6">
      <w:pPr>
        <w:spacing w:line="360" w:lineRule="auto"/>
        <w:rPr>
          <w:rFonts w:ascii="宋体" w:hAnsi="宋体"/>
          <w:color w:val="auto"/>
          <w:sz w:val="24"/>
          <w:highlight w:val="none"/>
        </w:rPr>
      </w:pPr>
      <w:r>
        <w:rPr>
          <w:rFonts w:hint="eastAsia" w:ascii="宋体" w:hAnsi="宋体"/>
          <w:color w:val="auto"/>
          <w:sz w:val="24"/>
          <w:highlight w:val="none"/>
        </w:rPr>
        <w:t xml:space="preserve">签字(签章)：                   公章：                      </w:t>
      </w:r>
    </w:p>
    <w:p w14:paraId="17FBD9C4">
      <w:pPr>
        <w:spacing w:line="360" w:lineRule="auto"/>
        <w:rPr>
          <w:rFonts w:ascii="宋体" w:hAnsi="宋体"/>
          <w:color w:val="auto"/>
          <w:sz w:val="24"/>
          <w:highlight w:val="none"/>
        </w:rPr>
      </w:pPr>
      <w:r>
        <w:rPr>
          <w:rFonts w:hint="eastAsia" w:ascii="宋体" w:hAnsi="宋体"/>
          <w:color w:val="auto"/>
          <w:sz w:val="24"/>
          <w:highlight w:val="none"/>
        </w:rPr>
        <w:t xml:space="preserve">日期：    </w:t>
      </w:r>
    </w:p>
    <w:p w14:paraId="0196B4AD">
      <w:pPr>
        <w:spacing w:line="360" w:lineRule="auto"/>
        <w:jc w:val="center"/>
        <w:rPr>
          <w:rFonts w:ascii="宋体" w:hAnsi="宋体"/>
          <w:bCs/>
          <w:color w:val="auto"/>
          <w:sz w:val="24"/>
          <w:highlight w:val="none"/>
        </w:rPr>
      </w:pPr>
    </w:p>
    <w:p w14:paraId="4553EF1B">
      <w:pPr>
        <w:spacing w:line="360" w:lineRule="auto"/>
        <w:rPr>
          <w:rFonts w:ascii="宋体" w:hAnsi="宋体"/>
          <w:color w:val="auto"/>
          <w:sz w:val="24"/>
          <w:highlight w:val="none"/>
        </w:rPr>
      </w:pPr>
    </w:p>
    <w:p w14:paraId="34F57AB6">
      <w:pPr>
        <w:spacing w:line="360" w:lineRule="auto"/>
        <w:rPr>
          <w:rFonts w:hint="eastAsia" w:ascii="宋体" w:hAnsi="宋体"/>
          <w:color w:val="auto"/>
          <w:sz w:val="24"/>
          <w:highlight w:val="none"/>
        </w:rPr>
      </w:pPr>
    </w:p>
    <w:p w14:paraId="640584BA">
      <w:pPr>
        <w:spacing w:line="360" w:lineRule="auto"/>
        <w:rPr>
          <w:rFonts w:ascii="宋体" w:hAnsi="宋体"/>
          <w:color w:val="auto"/>
          <w:sz w:val="24"/>
          <w:highlight w:val="none"/>
        </w:rPr>
      </w:pPr>
      <w:r>
        <w:rPr>
          <w:rFonts w:hint="eastAsia" w:ascii="宋体" w:hAnsi="宋体"/>
          <w:color w:val="auto"/>
          <w:sz w:val="24"/>
          <w:highlight w:val="none"/>
        </w:rPr>
        <w:t>质疑函制作说明：</w:t>
      </w:r>
    </w:p>
    <w:p w14:paraId="01202FA1">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1.供应商提出质疑时，应提交质疑函和必要的证明材料。</w:t>
      </w:r>
    </w:p>
    <w:p w14:paraId="2A5FF3B5">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2.质疑供应商若委托代理人进行质疑的，质疑函应按要求列明“授权代表”的有关内容，并在附件中提交由质疑供应商签署的授权委托书。授权委托书应载明代理人的姓名或者名称、代理事项、具体权限、期限和相关事项。</w:t>
      </w:r>
    </w:p>
    <w:p w14:paraId="2BC752CE">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3.质疑供应商若对项目的某一分包进行质疑，质疑函中应列明具体分包号。</w:t>
      </w:r>
    </w:p>
    <w:p w14:paraId="099CBC4E">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4.质疑函的质疑事项应具体、明确，并有必要的事实依据和法律依据。</w:t>
      </w:r>
    </w:p>
    <w:p w14:paraId="5A560B7A">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5.质疑函的质疑请求应与质疑事项相关。</w:t>
      </w:r>
    </w:p>
    <w:p w14:paraId="7BF9D45F">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6.质疑供应商为自然人的，质疑函应由本人签字；质疑供应商为法人或者其他组织的，质疑函应由法定代表人、主要负责人，或者其授权代表签字或者盖章，并加盖公章。</w:t>
      </w:r>
    </w:p>
    <w:p w14:paraId="46BB7112">
      <w:pPr>
        <w:widowControl/>
        <w:spacing w:line="360" w:lineRule="auto"/>
        <w:ind w:firstLine="602" w:firstLineChars="200"/>
        <w:jc w:val="left"/>
        <w:rPr>
          <w:rFonts w:ascii="宋体" w:hAnsi="宋体"/>
          <w:color w:val="auto"/>
          <w:sz w:val="30"/>
          <w:szCs w:val="30"/>
          <w:highlight w:val="none"/>
        </w:rPr>
      </w:pPr>
    </w:p>
    <w:p w14:paraId="0309A26F">
      <w:pPr>
        <w:spacing w:line="360" w:lineRule="auto"/>
        <w:jc w:val="center"/>
        <w:rPr>
          <w:rFonts w:ascii="宋体" w:hAnsi="宋体"/>
          <w:color w:val="auto"/>
          <w:spacing w:val="6"/>
          <w:sz w:val="32"/>
          <w:szCs w:val="32"/>
          <w:highlight w:val="none"/>
        </w:rPr>
      </w:pPr>
    </w:p>
    <w:p w14:paraId="4DAADBB0">
      <w:pPr>
        <w:spacing w:line="360" w:lineRule="auto"/>
        <w:jc w:val="center"/>
        <w:rPr>
          <w:rFonts w:ascii="宋体" w:hAnsi="宋体"/>
          <w:color w:val="auto"/>
          <w:spacing w:val="6"/>
          <w:sz w:val="32"/>
          <w:szCs w:val="32"/>
          <w:highlight w:val="none"/>
        </w:rPr>
      </w:pPr>
    </w:p>
    <w:p w14:paraId="0870151B">
      <w:pPr>
        <w:spacing w:line="360" w:lineRule="auto"/>
        <w:jc w:val="center"/>
        <w:rPr>
          <w:rFonts w:ascii="宋体" w:hAnsi="宋体"/>
          <w:color w:val="auto"/>
          <w:spacing w:val="6"/>
          <w:sz w:val="32"/>
          <w:szCs w:val="32"/>
          <w:highlight w:val="none"/>
        </w:rPr>
      </w:pPr>
    </w:p>
    <w:p w14:paraId="2A876181">
      <w:pPr>
        <w:spacing w:line="360" w:lineRule="auto"/>
        <w:jc w:val="center"/>
        <w:rPr>
          <w:rFonts w:ascii="宋体" w:hAnsi="宋体"/>
          <w:color w:val="auto"/>
          <w:spacing w:val="6"/>
          <w:sz w:val="32"/>
          <w:szCs w:val="32"/>
          <w:highlight w:val="none"/>
        </w:rPr>
      </w:pPr>
    </w:p>
    <w:p w14:paraId="4BDCCF2F">
      <w:pPr>
        <w:spacing w:line="360" w:lineRule="auto"/>
        <w:jc w:val="center"/>
        <w:rPr>
          <w:rFonts w:ascii="宋体" w:hAnsi="宋体"/>
          <w:color w:val="auto"/>
          <w:spacing w:val="6"/>
          <w:sz w:val="32"/>
          <w:szCs w:val="32"/>
          <w:highlight w:val="none"/>
        </w:rPr>
      </w:pPr>
    </w:p>
    <w:p w14:paraId="4F8CCE27">
      <w:pPr>
        <w:spacing w:line="360" w:lineRule="auto"/>
        <w:jc w:val="center"/>
        <w:rPr>
          <w:rFonts w:ascii="宋体" w:hAnsi="宋体"/>
          <w:color w:val="auto"/>
          <w:spacing w:val="6"/>
          <w:sz w:val="32"/>
          <w:szCs w:val="32"/>
          <w:highlight w:val="none"/>
        </w:rPr>
      </w:pPr>
    </w:p>
    <w:p w14:paraId="4727F36B">
      <w:pPr>
        <w:spacing w:line="360" w:lineRule="auto"/>
        <w:jc w:val="center"/>
        <w:rPr>
          <w:rFonts w:ascii="宋体" w:hAnsi="宋体"/>
          <w:color w:val="auto"/>
          <w:spacing w:val="6"/>
          <w:sz w:val="32"/>
          <w:szCs w:val="32"/>
          <w:highlight w:val="none"/>
        </w:rPr>
      </w:pPr>
    </w:p>
    <w:p w14:paraId="3712719A">
      <w:pPr>
        <w:spacing w:line="360" w:lineRule="auto"/>
        <w:jc w:val="center"/>
        <w:rPr>
          <w:rFonts w:ascii="宋体" w:hAnsi="宋体"/>
          <w:color w:val="auto"/>
          <w:spacing w:val="6"/>
          <w:sz w:val="32"/>
          <w:szCs w:val="32"/>
          <w:highlight w:val="none"/>
        </w:rPr>
      </w:pPr>
    </w:p>
    <w:p w14:paraId="5AAFC0E5">
      <w:pPr>
        <w:spacing w:line="360" w:lineRule="auto"/>
        <w:jc w:val="center"/>
        <w:rPr>
          <w:rFonts w:ascii="宋体" w:hAnsi="宋体"/>
          <w:color w:val="auto"/>
          <w:spacing w:val="6"/>
          <w:sz w:val="32"/>
          <w:szCs w:val="32"/>
          <w:highlight w:val="none"/>
        </w:rPr>
      </w:pPr>
    </w:p>
    <w:p w14:paraId="463C0C64">
      <w:pPr>
        <w:spacing w:line="360" w:lineRule="auto"/>
        <w:jc w:val="center"/>
        <w:rPr>
          <w:rFonts w:ascii="宋体" w:hAnsi="宋体"/>
          <w:color w:val="auto"/>
          <w:spacing w:val="6"/>
          <w:sz w:val="32"/>
          <w:szCs w:val="32"/>
          <w:highlight w:val="none"/>
        </w:rPr>
      </w:pPr>
    </w:p>
    <w:p w14:paraId="7205719B">
      <w:pPr>
        <w:spacing w:line="360" w:lineRule="auto"/>
        <w:jc w:val="center"/>
        <w:rPr>
          <w:rFonts w:ascii="宋体" w:hAnsi="宋体"/>
          <w:color w:val="auto"/>
          <w:spacing w:val="6"/>
          <w:sz w:val="32"/>
          <w:szCs w:val="32"/>
          <w:highlight w:val="none"/>
        </w:rPr>
      </w:pPr>
    </w:p>
    <w:p w14:paraId="58478B17">
      <w:pPr>
        <w:spacing w:line="360" w:lineRule="auto"/>
        <w:jc w:val="left"/>
        <w:rPr>
          <w:rFonts w:hint="eastAsia" w:ascii="宋体" w:hAnsi="宋体"/>
          <w:color w:val="auto"/>
          <w:spacing w:val="6"/>
          <w:sz w:val="32"/>
          <w:szCs w:val="32"/>
          <w:highlight w:val="none"/>
        </w:rPr>
      </w:pPr>
    </w:p>
    <w:p w14:paraId="41A0618B">
      <w:pPr>
        <w:spacing w:line="360" w:lineRule="auto"/>
        <w:jc w:val="left"/>
        <w:rPr>
          <w:rFonts w:ascii="宋体" w:hAnsi="宋体"/>
          <w:color w:val="auto"/>
          <w:spacing w:val="6"/>
          <w:sz w:val="32"/>
          <w:szCs w:val="32"/>
          <w:highlight w:val="none"/>
        </w:rPr>
      </w:pPr>
      <w:r>
        <w:rPr>
          <w:rFonts w:hint="eastAsia" w:ascii="宋体" w:hAnsi="宋体"/>
          <w:color w:val="auto"/>
          <w:spacing w:val="6"/>
          <w:sz w:val="32"/>
          <w:szCs w:val="32"/>
          <w:highlight w:val="none"/>
        </w:rPr>
        <w:br w:type="column"/>
      </w:r>
      <w:r>
        <w:rPr>
          <w:rFonts w:hint="eastAsia" w:ascii="宋体" w:hAnsi="宋体"/>
          <w:color w:val="auto"/>
          <w:spacing w:val="6"/>
          <w:sz w:val="32"/>
          <w:szCs w:val="32"/>
          <w:highlight w:val="none"/>
        </w:rPr>
        <w:t>附件3：投诉书范本及制作说明</w:t>
      </w:r>
    </w:p>
    <w:p w14:paraId="78531CB6">
      <w:pPr>
        <w:spacing w:line="360" w:lineRule="auto"/>
        <w:jc w:val="center"/>
        <w:rPr>
          <w:rFonts w:ascii="宋体" w:hAnsi="宋体"/>
          <w:color w:val="auto"/>
          <w:sz w:val="24"/>
          <w:highlight w:val="none"/>
        </w:rPr>
      </w:pPr>
    </w:p>
    <w:p w14:paraId="0265F9E3">
      <w:pPr>
        <w:spacing w:line="360" w:lineRule="auto"/>
        <w:jc w:val="center"/>
        <w:rPr>
          <w:rFonts w:ascii="宋体" w:hAnsi="宋体"/>
          <w:color w:val="auto"/>
          <w:spacing w:val="6"/>
          <w:sz w:val="32"/>
          <w:szCs w:val="32"/>
          <w:highlight w:val="none"/>
        </w:rPr>
      </w:pPr>
      <w:r>
        <w:rPr>
          <w:rFonts w:hint="eastAsia" w:ascii="宋体" w:hAnsi="宋体"/>
          <w:color w:val="auto"/>
          <w:spacing w:val="6"/>
          <w:sz w:val="32"/>
          <w:szCs w:val="32"/>
          <w:highlight w:val="none"/>
        </w:rPr>
        <w:t>投诉书范本</w:t>
      </w:r>
    </w:p>
    <w:p w14:paraId="6B8F7AFD">
      <w:pPr>
        <w:spacing w:line="360" w:lineRule="auto"/>
        <w:rPr>
          <w:rFonts w:ascii="宋体" w:hAnsi="宋体"/>
          <w:color w:val="auto"/>
          <w:sz w:val="24"/>
          <w:highlight w:val="none"/>
        </w:rPr>
      </w:pPr>
      <w:r>
        <w:rPr>
          <w:rFonts w:hint="eastAsia" w:ascii="宋体" w:hAnsi="宋体"/>
          <w:color w:val="auto"/>
          <w:sz w:val="24"/>
          <w:highlight w:val="none"/>
        </w:rPr>
        <w:t>一、投诉相关主体基本情况</w:t>
      </w:r>
    </w:p>
    <w:p w14:paraId="38C06397">
      <w:pPr>
        <w:spacing w:line="360" w:lineRule="auto"/>
        <w:rPr>
          <w:rFonts w:ascii="宋体" w:hAnsi="宋体"/>
          <w:color w:val="auto"/>
          <w:sz w:val="24"/>
          <w:highlight w:val="none"/>
          <w:u w:val="dotted"/>
        </w:rPr>
      </w:pPr>
      <w:r>
        <w:rPr>
          <w:rFonts w:hint="eastAsia" w:ascii="宋体" w:hAnsi="宋体"/>
          <w:color w:val="auto"/>
          <w:sz w:val="24"/>
          <w:highlight w:val="none"/>
        </w:rPr>
        <w:t>投诉人：</w:t>
      </w:r>
      <w:r>
        <w:rPr>
          <w:rFonts w:hint="eastAsia" w:ascii="宋体" w:hAnsi="宋体"/>
          <w:color w:val="auto"/>
          <w:sz w:val="24"/>
          <w:highlight w:val="none"/>
          <w:u w:val="dotted"/>
        </w:rPr>
        <w:t xml:space="preserve">                                               </w:t>
      </w:r>
    </w:p>
    <w:p w14:paraId="797AFDAB">
      <w:pPr>
        <w:spacing w:line="360" w:lineRule="auto"/>
        <w:rPr>
          <w:rFonts w:ascii="宋体" w:hAnsi="宋体"/>
          <w:color w:val="auto"/>
          <w:sz w:val="24"/>
          <w:highlight w:val="none"/>
          <w:u w:val="single"/>
        </w:rPr>
      </w:pPr>
      <w:r>
        <w:rPr>
          <w:rFonts w:hint="eastAsia" w:ascii="宋体" w:hAnsi="宋体"/>
          <w:color w:val="auto"/>
          <w:sz w:val="24"/>
          <w:highlight w:val="none"/>
        </w:rPr>
        <w:t>地     址：</w:t>
      </w:r>
      <w:r>
        <w:rPr>
          <w:rFonts w:hint="eastAsia" w:ascii="宋体" w:hAnsi="宋体"/>
          <w:color w:val="auto"/>
          <w:sz w:val="24"/>
          <w:highlight w:val="none"/>
          <w:u w:val="dotted"/>
        </w:rPr>
        <w:t xml:space="preserve">                             </w:t>
      </w:r>
      <w:r>
        <w:rPr>
          <w:rFonts w:hint="eastAsia" w:ascii="宋体" w:hAnsi="宋体"/>
          <w:color w:val="auto"/>
          <w:sz w:val="24"/>
          <w:highlight w:val="none"/>
        </w:rPr>
        <w:t>邮编：</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p>
    <w:p w14:paraId="0D20EB93">
      <w:pPr>
        <w:tabs>
          <w:tab w:val="left" w:pos="6510"/>
        </w:tabs>
        <w:spacing w:line="360" w:lineRule="auto"/>
        <w:jc w:val="left"/>
        <w:rPr>
          <w:rFonts w:ascii="宋体" w:hAnsi="宋体"/>
          <w:color w:val="auto"/>
          <w:sz w:val="24"/>
          <w:highlight w:val="none"/>
        </w:rPr>
      </w:pPr>
      <w:r>
        <w:rPr>
          <w:rFonts w:hint="eastAsia" w:ascii="宋体" w:hAnsi="宋体"/>
          <w:color w:val="auto"/>
          <w:sz w:val="24"/>
          <w:highlight w:val="none"/>
        </w:rPr>
        <w:t>法定代表人/主要负责人：</w:t>
      </w:r>
      <w:r>
        <w:rPr>
          <w:rFonts w:hint="eastAsia" w:ascii="宋体" w:hAnsi="宋体"/>
          <w:color w:val="auto"/>
          <w:sz w:val="24"/>
          <w:highlight w:val="none"/>
          <w:u w:val="dotted"/>
        </w:rPr>
        <w:t xml:space="preserve">                                   </w:t>
      </w:r>
      <w:r>
        <w:rPr>
          <w:rFonts w:hint="eastAsia" w:ascii="宋体" w:hAnsi="宋体"/>
          <w:color w:val="auto"/>
          <w:sz w:val="24"/>
          <w:highlight w:val="none"/>
        </w:rPr>
        <w:t xml:space="preserve">  </w:t>
      </w:r>
    </w:p>
    <w:p w14:paraId="6514CF33">
      <w:pPr>
        <w:tabs>
          <w:tab w:val="left" w:pos="6510"/>
        </w:tabs>
        <w:spacing w:line="360" w:lineRule="auto"/>
        <w:rPr>
          <w:rFonts w:ascii="宋体" w:hAnsi="宋体"/>
          <w:color w:val="auto"/>
          <w:sz w:val="24"/>
          <w:highlight w:val="none"/>
          <w:u w:val="dotted"/>
        </w:rPr>
      </w:pPr>
      <w:r>
        <w:rPr>
          <w:rFonts w:hint="eastAsia" w:ascii="宋体" w:hAnsi="宋体"/>
          <w:color w:val="auto"/>
          <w:sz w:val="24"/>
          <w:highlight w:val="none"/>
        </w:rPr>
        <w:t>联系电话：</w:t>
      </w:r>
      <w:r>
        <w:rPr>
          <w:rFonts w:hint="eastAsia" w:ascii="宋体" w:hAnsi="宋体"/>
          <w:color w:val="auto"/>
          <w:sz w:val="24"/>
          <w:highlight w:val="none"/>
          <w:u w:val="dotted"/>
        </w:rPr>
        <w:t xml:space="preserve">                                             </w:t>
      </w:r>
    </w:p>
    <w:p w14:paraId="1271C3AF">
      <w:pPr>
        <w:spacing w:line="360" w:lineRule="auto"/>
        <w:rPr>
          <w:rFonts w:ascii="宋体" w:hAnsi="宋体"/>
          <w:color w:val="auto"/>
          <w:sz w:val="24"/>
          <w:highlight w:val="none"/>
          <w:u w:val="dotted"/>
        </w:rPr>
      </w:pPr>
      <w:r>
        <w:rPr>
          <w:rFonts w:hint="eastAsia" w:ascii="宋体" w:hAnsi="宋体"/>
          <w:color w:val="auto"/>
          <w:sz w:val="24"/>
          <w:highlight w:val="none"/>
        </w:rPr>
        <w:t>授权代表：</w:t>
      </w:r>
      <w:r>
        <w:rPr>
          <w:rFonts w:hint="eastAsia" w:ascii="宋体" w:hAnsi="宋体"/>
          <w:color w:val="auto"/>
          <w:sz w:val="24"/>
          <w:highlight w:val="none"/>
          <w:u w:val="dotted"/>
        </w:rPr>
        <w:t xml:space="preserve">             </w:t>
      </w:r>
      <w:r>
        <w:rPr>
          <w:rFonts w:hint="eastAsia" w:ascii="宋体" w:hAnsi="宋体"/>
          <w:color w:val="auto"/>
          <w:sz w:val="24"/>
          <w:highlight w:val="none"/>
        </w:rPr>
        <w:t>联系电话</w:t>
      </w:r>
      <w:r>
        <w:rPr>
          <w:rFonts w:hint="eastAsia" w:ascii="宋体" w:hAnsi="宋体"/>
          <w:color w:val="auto"/>
          <w:sz w:val="24"/>
          <w:highlight w:val="none"/>
          <w:u w:val="dotted"/>
        </w:rPr>
        <w:t xml:space="preserve">：                  </w:t>
      </w:r>
    </w:p>
    <w:p w14:paraId="5E923A9E">
      <w:pPr>
        <w:spacing w:line="360" w:lineRule="auto"/>
        <w:rPr>
          <w:rFonts w:ascii="宋体" w:hAnsi="宋体"/>
          <w:color w:val="auto"/>
          <w:sz w:val="24"/>
          <w:highlight w:val="none"/>
          <w:u w:val="dotted"/>
        </w:rPr>
      </w:pPr>
      <w:r>
        <w:rPr>
          <w:rFonts w:hint="eastAsia" w:ascii="宋体" w:hAnsi="宋体"/>
          <w:color w:val="auto"/>
          <w:sz w:val="24"/>
          <w:highlight w:val="none"/>
        </w:rPr>
        <w:t>地     址：</w:t>
      </w:r>
      <w:r>
        <w:rPr>
          <w:rFonts w:hint="eastAsia" w:ascii="宋体" w:hAnsi="宋体"/>
          <w:color w:val="auto"/>
          <w:sz w:val="24"/>
          <w:highlight w:val="none"/>
          <w:u w:val="dotted"/>
        </w:rPr>
        <w:t xml:space="preserve">                             </w:t>
      </w:r>
      <w:r>
        <w:rPr>
          <w:rFonts w:hint="eastAsia" w:ascii="宋体" w:hAnsi="宋体"/>
          <w:color w:val="auto"/>
          <w:sz w:val="24"/>
          <w:highlight w:val="none"/>
        </w:rPr>
        <w:t>邮编：</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r>
        <w:rPr>
          <w:rFonts w:hint="eastAsia" w:ascii="宋体" w:hAnsi="宋体"/>
          <w:color w:val="auto"/>
          <w:sz w:val="24"/>
          <w:highlight w:val="none"/>
          <w:u w:val="dotted"/>
        </w:rPr>
        <w:t xml:space="preserve">                   </w:t>
      </w:r>
    </w:p>
    <w:p w14:paraId="55587DF0">
      <w:pPr>
        <w:spacing w:line="360" w:lineRule="auto"/>
        <w:rPr>
          <w:rFonts w:ascii="宋体" w:hAnsi="宋体"/>
          <w:color w:val="auto"/>
          <w:sz w:val="24"/>
          <w:highlight w:val="none"/>
          <w:u w:val="single"/>
        </w:rPr>
      </w:pPr>
      <w:r>
        <w:rPr>
          <w:rFonts w:hint="eastAsia" w:ascii="宋体" w:hAnsi="宋体"/>
          <w:color w:val="auto"/>
          <w:sz w:val="24"/>
          <w:highlight w:val="none"/>
        </w:rPr>
        <w:t>被投诉人1：</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p>
    <w:p w14:paraId="630F5A85">
      <w:pPr>
        <w:spacing w:line="360" w:lineRule="auto"/>
        <w:rPr>
          <w:rFonts w:ascii="宋体" w:hAnsi="宋体"/>
          <w:color w:val="auto"/>
          <w:sz w:val="24"/>
          <w:highlight w:val="none"/>
          <w:u w:val="single"/>
        </w:rPr>
      </w:pPr>
      <w:r>
        <w:rPr>
          <w:rFonts w:hint="eastAsia" w:ascii="宋体" w:hAnsi="宋体"/>
          <w:color w:val="auto"/>
          <w:sz w:val="24"/>
          <w:highlight w:val="none"/>
        </w:rPr>
        <w:t>地     址：</w:t>
      </w:r>
      <w:r>
        <w:rPr>
          <w:rFonts w:hint="eastAsia" w:ascii="宋体" w:hAnsi="宋体"/>
          <w:color w:val="auto"/>
          <w:sz w:val="24"/>
          <w:highlight w:val="none"/>
          <w:u w:val="dotted"/>
        </w:rPr>
        <w:t xml:space="preserve">                             </w:t>
      </w:r>
      <w:r>
        <w:rPr>
          <w:rFonts w:hint="eastAsia" w:ascii="宋体" w:hAnsi="宋体"/>
          <w:color w:val="auto"/>
          <w:sz w:val="24"/>
          <w:highlight w:val="none"/>
        </w:rPr>
        <w:t>邮编：</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p>
    <w:p w14:paraId="008BAE7E">
      <w:pPr>
        <w:spacing w:line="360" w:lineRule="auto"/>
        <w:rPr>
          <w:rFonts w:ascii="宋体" w:hAnsi="宋体"/>
          <w:color w:val="auto"/>
          <w:sz w:val="24"/>
          <w:highlight w:val="none"/>
          <w:u w:val="single"/>
        </w:rPr>
      </w:pPr>
      <w:r>
        <w:rPr>
          <w:rFonts w:hint="eastAsia" w:ascii="宋体" w:hAnsi="宋体"/>
          <w:color w:val="auto"/>
          <w:sz w:val="24"/>
          <w:highlight w:val="none"/>
        </w:rPr>
        <w:t>联系人：</w:t>
      </w:r>
      <w:r>
        <w:rPr>
          <w:rFonts w:hint="eastAsia" w:ascii="宋体" w:hAnsi="宋体"/>
          <w:color w:val="auto"/>
          <w:sz w:val="24"/>
          <w:highlight w:val="none"/>
          <w:u w:val="dotted"/>
        </w:rPr>
        <w:t xml:space="preserve">               </w:t>
      </w:r>
      <w:r>
        <w:rPr>
          <w:rFonts w:hint="eastAsia" w:ascii="宋体" w:hAnsi="宋体"/>
          <w:color w:val="auto"/>
          <w:sz w:val="24"/>
          <w:highlight w:val="none"/>
        </w:rPr>
        <w:t>联系电话：</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p>
    <w:p w14:paraId="5DF92188">
      <w:pPr>
        <w:spacing w:line="360" w:lineRule="auto"/>
        <w:rPr>
          <w:rFonts w:ascii="宋体" w:hAnsi="宋体"/>
          <w:color w:val="auto"/>
          <w:sz w:val="24"/>
          <w:highlight w:val="none"/>
        </w:rPr>
      </w:pPr>
      <w:r>
        <w:rPr>
          <w:rFonts w:hint="eastAsia" w:ascii="宋体" w:hAnsi="宋体"/>
          <w:color w:val="auto"/>
          <w:sz w:val="24"/>
          <w:highlight w:val="none"/>
        </w:rPr>
        <w:t>被投诉人2</w:t>
      </w:r>
    </w:p>
    <w:p w14:paraId="7BEFE621">
      <w:pPr>
        <w:spacing w:line="360" w:lineRule="auto"/>
        <w:rPr>
          <w:rFonts w:ascii="宋体" w:hAnsi="宋体"/>
          <w:color w:val="auto"/>
          <w:sz w:val="24"/>
          <w:highlight w:val="none"/>
          <w:u w:val="dotted"/>
        </w:rPr>
      </w:pPr>
      <w:r>
        <w:rPr>
          <w:rFonts w:hint="eastAsia" w:ascii="宋体" w:hAnsi="宋体"/>
          <w:color w:val="auto"/>
          <w:sz w:val="24"/>
          <w:highlight w:val="none"/>
        </w:rPr>
        <w:t>……</w:t>
      </w:r>
    </w:p>
    <w:p w14:paraId="1E23871E">
      <w:pPr>
        <w:spacing w:line="360" w:lineRule="auto"/>
        <w:rPr>
          <w:rFonts w:ascii="宋体" w:hAnsi="宋体"/>
          <w:color w:val="auto"/>
          <w:sz w:val="24"/>
          <w:highlight w:val="none"/>
          <w:u w:val="single"/>
        </w:rPr>
      </w:pPr>
      <w:r>
        <w:rPr>
          <w:rFonts w:hint="eastAsia" w:ascii="宋体" w:hAnsi="宋体"/>
          <w:color w:val="auto"/>
          <w:sz w:val="24"/>
          <w:highlight w:val="none"/>
        </w:rPr>
        <w:t>相关供应商：</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p>
    <w:p w14:paraId="5E7AE47C">
      <w:pPr>
        <w:spacing w:line="360" w:lineRule="auto"/>
        <w:rPr>
          <w:rFonts w:ascii="宋体" w:hAnsi="宋体"/>
          <w:color w:val="auto"/>
          <w:sz w:val="24"/>
          <w:highlight w:val="none"/>
          <w:u w:val="single"/>
        </w:rPr>
      </w:pPr>
      <w:r>
        <w:rPr>
          <w:rFonts w:hint="eastAsia" w:ascii="宋体" w:hAnsi="宋体"/>
          <w:color w:val="auto"/>
          <w:sz w:val="24"/>
          <w:highlight w:val="none"/>
        </w:rPr>
        <w:t>地     址：</w:t>
      </w:r>
      <w:r>
        <w:rPr>
          <w:rFonts w:hint="eastAsia" w:ascii="宋体" w:hAnsi="宋体"/>
          <w:color w:val="auto"/>
          <w:sz w:val="24"/>
          <w:highlight w:val="none"/>
          <w:u w:val="dotted"/>
        </w:rPr>
        <w:t xml:space="preserve">                             </w:t>
      </w:r>
      <w:r>
        <w:rPr>
          <w:rFonts w:hint="eastAsia" w:ascii="宋体" w:hAnsi="宋体"/>
          <w:color w:val="auto"/>
          <w:sz w:val="24"/>
          <w:highlight w:val="none"/>
        </w:rPr>
        <w:t>邮编：</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p>
    <w:p w14:paraId="3CF318D0">
      <w:pPr>
        <w:spacing w:line="360" w:lineRule="auto"/>
        <w:rPr>
          <w:rFonts w:ascii="宋体" w:hAnsi="宋体"/>
          <w:color w:val="auto"/>
          <w:sz w:val="24"/>
          <w:highlight w:val="none"/>
          <w:u w:val="single"/>
        </w:rPr>
      </w:pPr>
      <w:r>
        <w:rPr>
          <w:rFonts w:hint="eastAsia" w:ascii="宋体" w:hAnsi="宋体"/>
          <w:color w:val="auto"/>
          <w:sz w:val="24"/>
          <w:highlight w:val="none"/>
        </w:rPr>
        <w:t>联系人：</w:t>
      </w:r>
      <w:r>
        <w:rPr>
          <w:rFonts w:hint="eastAsia" w:ascii="宋体" w:hAnsi="宋体"/>
          <w:color w:val="auto"/>
          <w:sz w:val="24"/>
          <w:highlight w:val="none"/>
          <w:u w:val="dotted"/>
        </w:rPr>
        <w:t xml:space="preserve">               </w:t>
      </w:r>
      <w:r>
        <w:rPr>
          <w:rFonts w:hint="eastAsia" w:ascii="宋体" w:hAnsi="宋体"/>
          <w:color w:val="auto"/>
          <w:sz w:val="24"/>
          <w:highlight w:val="none"/>
        </w:rPr>
        <w:t>联系电话：</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p>
    <w:p w14:paraId="3DF2F71C">
      <w:pPr>
        <w:spacing w:line="360" w:lineRule="auto"/>
        <w:rPr>
          <w:rFonts w:ascii="宋体" w:hAnsi="宋体"/>
          <w:color w:val="auto"/>
          <w:sz w:val="24"/>
          <w:highlight w:val="none"/>
        </w:rPr>
      </w:pPr>
      <w:r>
        <w:rPr>
          <w:rFonts w:hint="eastAsia" w:ascii="宋体" w:hAnsi="宋体"/>
          <w:color w:val="auto"/>
          <w:sz w:val="24"/>
          <w:highlight w:val="none"/>
        </w:rPr>
        <w:t>二、投诉项目基本情况</w:t>
      </w:r>
    </w:p>
    <w:p w14:paraId="728E8CF0">
      <w:pPr>
        <w:spacing w:line="360" w:lineRule="auto"/>
        <w:rPr>
          <w:rFonts w:ascii="宋体" w:hAnsi="宋体"/>
          <w:color w:val="auto"/>
          <w:sz w:val="24"/>
          <w:highlight w:val="none"/>
          <w:u w:val="dotted"/>
        </w:rPr>
      </w:pPr>
      <w:r>
        <w:rPr>
          <w:rFonts w:hint="eastAsia" w:ascii="宋体" w:hAnsi="宋体"/>
          <w:color w:val="auto"/>
          <w:sz w:val="24"/>
          <w:highlight w:val="none"/>
        </w:rPr>
        <w:t>采购项目名称：</w:t>
      </w:r>
      <w:r>
        <w:rPr>
          <w:rFonts w:hint="eastAsia" w:ascii="宋体" w:hAnsi="宋体"/>
          <w:color w:val="auto"/>
          <w:sz w:val="24"/>
          <w:highlight w:val="none"/>
          <w:u w:val="dotted"/>
        </w:rPr>
        <w:t xml:space="preserve">                                        </w:t>
      </w:r>
    </w:p>
    <w:p w14:paraId="26CD4D78">
      <w:pPr>
        <w:spacing w:line="360" w:lineRule="auto"/>
        <w:rPr>
          <w:rFonts w:ascii="宋体" w:hAnsi="宋体"/>
          <w:color w:val="auto"/>
          <w:sz w:val="24"/>
          <w:highlight w:val="none"/>
          <w:u w:val="single"/>
        </w:rPr>
      </w:pPr>
      <w:r>
        <w:rPr>
          <w:rFonts w:hint="eastAsia" w:ascii="宋体" w:hAnsi="宋体"/>
          <w:color w:val="auto"/>
          <w:sz w:val="24"/>
          <w:highlight w:val="none"/>
        </w:rPr>
        <w:t>采购项目编号：</w:t>
      </w:r>
      <w:r>
        <w:rPr>
          <w:rFonts w:hint="eastAsia" w:ascii="宋体" w:hAnsi="宋体"/>
          <w:color w:val="auto"/>
          <w:sz w:val="24"/>
          <w:highlight w:val="none"/>
          <w:u w:val="dotted"/>
        </w:rPr>
        <w:t xml:space="preserve">                 </w:t>
      </w:r>
      <w:r>
        <w:rPr>
          <w:rFonts w:hint="eastAsia" w:ascii="宋体" w:hAnsi="宋体"/>
          <w:color w:val="auto"/>
          <w:sz w:val="24"/>
          <w:highlight w:val="none"/>
        </w:rPr>
        <w:t>包号：</w:t>
      </w:r>
      <w:r>
        <w:rPr>
          <w:rFonts w:hint="eastAsia" w:ascii="宋体" w:hAnsi="宋体"/>
          <w:color w:val="auto"/>
          <w:sz w:val="24"/>
          <w:highlight w:val="none"/>
          <w:u w:val="dotted"/>
        </w:rPr>
        <w:t xml:space="preserve">              </w:t>
      </w:r>
    </w:p>
    <w:p w14:paraId="44392D2D">
      <w:pPr>
        <w:spacing w:line="360" w:lineRule="auto"/>
        <w:rPr>
          <w:rFonts w:ascii="宋体" w:hAnsi="宋体"/>
          <w:color w:val="auto"/>
          <w:sz w:val="24"/>
          <w:highlight w:val="none"/>
        </w:rPr>
      </w:pPr>
      <w:r>
        <w:rPr>
          <w:rFonts w:hint="eastAsia" w:ascii="宋体" w:hAnsi="宋体"/>
          <w:color w:val="auto"/>
          <w:sz w:val="24"/>
          <w:highlight w:val="none"/>
        </w:rPr>
        <w:t>采购人名称：</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p>
    <w:p w14:paraId="0886874B">
      <w:pPr>
        <w:spacing w:line="360" w:lineRule="auto"/>
        <w:rPr>
          <w:rFonts w:ascii="宋体" w:hAnsi="宋体"/>
          <w:color w:val="auto"/>
          <w:sz w:val="24"/>
          <w:highlight w:val="none"/>
          <w:u w:val="single"/>
        </w:rPr>
      </w:pPr>
      <w:r>
        <w:rPr>
          <w:rFonts w:hint="eastAsia" w:ascii="宋体" w:hAnsi="宋体"/>
          <w:color w:val="auto"/>
          <w:sz w:val="24"/>
          <w:highlight w:val="none"/>
        </w:rPr>
        <w:t>代理机构名称：</w:t>
      </w:r>
      <w:r>
        <w:rPr>
          <w:rFonts w:hint="eastAsia" w:ascii="宋体" w:hAnsi="宋体"/>
          <w:color w:val="auto"/>
          <w:sz w:val="24"/>
          <w:highlight w:val="none"/>
          <w:u w:val="dotted"/>
        </w:rPr>
        <w:t xml:space="preserve">                                         </w:t>
      </w:r>
    </w:p>
    <w:p w14:paraId="5F5870B0">
      <w:pPr>
        <w:spacing w:line="360" w:lineRule="auto"/>
        <w:rPr>
          <w:rFonts w:ascii="宋体" w:hAnsi="宋体"/>
          <w:color w:val="auto"/>
          <w:sz w:val="24"/>
          <w:highlight w:val="none"/>
          <w:u w:val="dotted"/>
        </w:rPr>
      </w:pPr>
      <w:r>
        <w:rPr>
          <w:rFonts w:hint="eastAsia" w:ascii="宋体" w:hAnsi="宋体"/>
          <w:color w:val="auto"/>
          <w:sz w:val="24"/>
          <w:highlight w:val="none"/>
        </w:rPr>
        <w:t>采购文件公告:</w:t>
      </w:r>
      <w:r>
        <w:rPr>
          <w:rFonts w:hint="eastAsia" w:ascii="宋体" w:hAnsi="宋体"/>
          <w:color w:val="auto"/>
          <w:sz w:val="24"/>
          <w:highlight w:val="none"/>
          <w:u w:val="dotted"/>
        </w:rPr>
        <w:t xml:space="preserve">是/否 </w:t>
      </w:r>
      <w:r>
        <w:rPr>
          <w:rFonts w:hint="eastAsia" w:ascii="宋体" w:hAnsi="宋体"/>
          <w:color w:val="auto"/>
          <w:sz w:val="24"/>
          <w:highlight w:val="none"/>
        </w:rPr>
        <w:t>公告期限：</w:t>
      </w:r>
      <w:r>
        <w:rPr>
          <w:rFonts w:hint="eastAsia" w:ascii="宋体" w:hAnsi="宋体"/>
          <w:color w:val="auto"/>
          <w:sz w:val="24"/>
          <w:highlight w:val="none"/>
          <w:u w:val="dotted"/>
        </w:rPr>
        <w:t xml:space="preserve">                                 </w:t>
      </w:r>
    </w:p>
    <w:p w14:paraId="6BF531E7">
      <w:pPr>
        <w:spacing w:line="360" w:lineRule="auto"/>
        <w:rPr>
          <w:rFonts w:ascii="宋体" w:hAnsi="宋体"/>
          <w:color w:val="auto"/>
          <w:sz w:val="24"/>
          <w:highlight w:val="none"/>
          <w:u w:val="single"/>
        </w:rPr>
      </w:pPr>
      <w:r>
        <w:rPr>
          <w:rFonts w:hint="eastAsia" w:ascii="宋体" w:hAnsi="宋体"/>
          <w:color w:val="auto"/>
          <w:sz w:val="24"/>
          <w:highlight w:val="none"/>
        </w:rPr>
        <w:t>采购结果公告:</w:t>
      </w:r>
      <w:r>
        <w:rPr>
          <w:rFonts w:hint="eastAsia" w:ascii="宋体" w:hAnsi="宋体"/>
          <w:color w:val="auto"/>
          <w:sz w:val="24"/>
          <w:highlight w:val="none"/>
          <w:u w:val="dotted"/>
        </w:rPr>
        <w:t xml:space="preserve">是/否 </w:t>
      </w:r>
      <w:r>
        <w:rPr>
          <w:rFonts w:hint="eastAsia" w:ascii="宋体" w:hAnsi="宋体"/>
          <w:color w:val="auto"/>
          <w:sz w:val="24"/>
          <w:highlight w:val="none"/>
        </w:rPr>
        <w:t>公告期限：</w:t>
      </w:r>
      <w:r>
        <w:rPr>
          <w:rFonts w:hint="eastAsia" w:ascii="宋体" w:hAnsi="宋体"/>
          <w:color w:val="auto"/>
          <w:sz w:val="24"/>
          <w:highlight w:val="none"/>
          <w:u w:val="dotted"/>
        </w:rPr>
        <w:t xml:space="preserve">                        </w:t>
      </w:r>
    </w:p>
    <w:p w14:paraId="397561A2">
      <w:pPr>
        <w:spacing w:line="360" w:lineRule="auto"/>
        <w:rPr>
          <w:rFonts w:ascii="宋体" w:hAnsi="宋体"/>
          <w:color w:val="auto"/>
          <w:sz w:val="24"/>
          <w:highlight w:val="none"/>
        </w:rPr>
      </w:pPr>
      <w:r>
        <w:rPr>
          <w:rFonts w:hint="eastAsia" w:ascii="宋体" w:hAnsi="宋体"/>
          <w:color w:val="auto"/>
          <w:sz w:val="24"/>
          <w:highlight w:val="none"/>
        </w:rPr>
        <w:t>三、质疑基本情况</w:t>
      </w:r>
    </w:p>
    <w:p w14:paraId="319DE115">
      <w:pPr>
        <w:spacing w:line="360" w:lineRule="auto"/>
        <w:ind w:firstLine="361" w:firstLineChars="150"/>
        <w:rPr>
          <w:rFonts w:ascii="宋体" w:hAnsi="宋体"/>
          <w:color w:val="auto"/>
          <w:sz w:val="24"/>
          <w:highlight w:val="none"/>
          <w:u w:val="dotted"/>
        </w:rPr>
      </w:pPr>
      <w:r>
        <w:rPr>
          <w:rFonts w:hint="eastAsia" w:ascii="宋体" w:hAnsi="宋体"/>
          <w:color w:val="auto"/>
          <w:sz w:val="24"/>
          <w:highlight w:val="none"/>
        </w:rPr>
        <w:t>投诉人于</w:t>
      </w:r>
      <w:r>
        <w:rPr>
          <w:rFonts w:hint="eastAsia" w:ascii="宋体" w:hAnsi="宋体"/>
          <w:color w:val="auto"/>
          <w:sz w:val="24"/>
          <w:highlight w:val="none"/>
          <w:u w:val="dotted"/>
        </w:rPr>
        <w:t xml:space="preserve">   </w:t>
      </w:r>
      <w:r>
        <w:rPr>
          <w:rFonts w:hint="eastAsia" w:ascii="宋体" w:hAnsi="宋体"/>
          <w:color w:val="auto"/>
          <w:sz w:val="24"/>
          <w:highlight w:val="none"/>
        </w:rPr>
        <w:t>年</w:t>
      </w:r>
      <w:r>
        <w:rPr>
          <w:rFonts w:hint="eastAsia" w:ascii="宋体" w:hAnsi="宋体"/>
          <w:color w:val="auto"/>
          <w:sz w:val="24"/>
          <w:highlight w:val="none"/>
          <w:u w:val="dotted"/>
        </w:rPr>
        <w:t xml:space="preserve">   </w:t>
      </w:r>
      <w:r>
        <w:rPr>
          <w:rFonts w:hint="eastAsia" w:ascii="宋体" w:hAnsi="宋体"/>
          <w:color w:val="auto"/>
          <w:sz w:val="24"/>
          <w:highlight w:val="none"/>
        </w:rPr>
        <w:t>月</w:t>
      </w:r>
      <w:r>
        <w:rPr>
          <w:rFonts w:hint="eastAsia" w:ascii="宋体" w:hAnsi="宋体"/>
          <w:color w:val="auto"/>
          <w:sz w:val="24"/>
          <w:highlight w:val="none"/>
          <w:u w:val="dotted"/>
        </w:rPr>
        <w:t xml:space="preserve">  </w:t>
      </w:r>
      <w:r>
        <w:rPr>
          <w:rFonts w:hint="eastAsia" w:ascii="宋体" w:hAnsi="宋体"/>
          <w:color w:val="auto"/>
          <w:sz w:val="24"/>
          <w:highlight w:val="none"/>
        </w:rPr>
        <w:t>日,向</w:t>
      </w:r>
      <w:r>
        <w:rPr>
          <w:rFonts w:hint="eastAsia" w:ascii="宋体" w:hAnsi="宋体"/>
          <w:color w:val="auto"/>
          <w:sz w:val="24"/>
          <w:highlight w:val="none"/>
          <w:u w:val="dotted"/>
        </w:rPr>
        <w:t xml:space="preserve">                   </w:t>
      </w:r>
      <w:r>
        <w:rPr>
          <w:rFonts w:hint="eastAsia" w:ascii="宋体" w:hAnsi="宋体"/>
          <w:color w:val="auto"/>
          <w:sz w:val="24"/>
          <w:highlight w:val="none"/>
        </w:rPr>
        <w:t>提出质疑，质疑事项为</w:t>
      </w:r>
      <w:r>
        <w:rPr>
          <w:rFonts w:hint="eastAsia" w:ascii="宋体" w:hAnsi="宋体" w:cs="宋体"/>
          <w:color w:val="auto"/>
          <w:sz w:val="24"/>
          <w:highlight w:val="none"/>
        </w:rPr>
        <w:t xml:space="preserve">：                                </w:t>
      </w:r>
    </w:p>
    <w:p w14:paraId="6279744D">
      <w:pPr>
        <w:spacing w:line="360" w:lineRule="auto"/>
        <w:rPr>
          <w:rFonts w:ascii="宋体" w:hAnsi="宋体"/>
          <w:color w:val="auto"/>
          <w:sz w:val="24"/>
          <w:highlight w:val="none"/>
          <w:u w:val="dotted"/>
        </w:rPr>
      </w:pPr>
      <w:r>
        <w:rPr>
          <w:rFonts w:hint="eastAsia" w:ascii="宋体" w:hAnsi="宋体"/>
          <w:color w:val="auto"/>
          <w:sz w:val="24"/>
          <w:highlight w:val="none"/>
          <w:u w:val="dotted"/>
        </w:rPr>
        <w:t xml:space="preserve">                                                     </w:t>
      </w:r>
      <w:r>
        <w:rPr>
          <w:rFonts w:hint="eastAsia" w:ascii="宋体" w:hAnsi="宋体"/>
          <w:color w:val="auto"/>
          <w:sz w:val="24"/>
          <w:highlight w:val="none"/>
        </w:rPr>
        <w:t xml:space="preserve">  </w:t>
      </w:r>
    </w:p>
    <w:p w14:paraId="3ACDFF81">
      <w:pPr>
        <w:spacing w:line="360" w:lineRule="auto"/>
        <w:ind w:firstLine="361" w:firstLineChars="150"/>
        <w:rPr>
          <w:rFonts w:ascii="宋体" w:hAnsi="宋体"/>
          <w:color w:val="auto"/>
          <w:sz w:val="24"/>
          <w:highlight w:val="none"/>
        </w:rPr>
      </w:pPr>
      <w:r>
        <w:rPr>
          <w:rFonts w:hint="eastAsia" w:ascii="宋体" w:hAnsi="宋体"/>
          <w:color w:val="auto"/>
          <w:sz w:val="24"/>
          <w:highlight w:val="none"/>
          <w:u w:val="dotted"/>
        </w:rPr>
        <w:t>采购人/代理机构</w:t>
      </w:r>
      <w:r>
        <w:rPr>
          <w:rFonts w:hint="eastAsia" w:ascii="宋体" w:hAnsi="宋体"/>
          <w:color w:val="auto"/>
          <w:sz w:val="24"/>
          <w:highlight w:val="none"/>
        </w:rPr>
        <w:t>于</w:t>
      </w:r>
      <w:r>
        <w:rPr>
          <w:rFonts w:hint="eastAsia" w:ascii="宋体" w:hAnsi="宋体"/>
          <w:color w:val="auto"/>
          <w:sz w:val="24"/>
          <w:highlight w:val="none"/>
          <w:u w:val="dotted"/>
        </w:rPr>
        <w:t xml:space="preserve">   </w:t>
      </w:r>
      <w:r>
        <w:rPr>
          <w:rFonts w:hint="eastAsia" w:ascii="宋体" w:hAnsi="宋体"/>
          <w:color w:val="auto"/>
          <w:sz w:val="24"/>
          <w:highlight w:val="none"/>
        </w:rPr>
        <w:t>年</w:t>
      </w:r>
      <w:r>
        <w:rPr>
          <w:rFonts w:hint="eastAsia" w:ascii="宋体" w:hAnsi="宋体"/>
          <w:color w:val="auto"/>
          <w:sz w:val="24"/>
          <w:highlight w:val="none"/>
          <w:u w:val="dotted"/>
        </w:rPr>
        <w:t xml:space="preserve">   </w:t>
      </w:r>
      <w:r>
        <w:rPr>
          <w:rFonts w:hint="eastAsia" w:ascii="宋体" w:hAnsi="宋体"/>
          <w:color w:val="auto"/>
          <w:sz w:val="24"/>
          <w:highlight w:val="none"/>
        </w:rPr>
        <w:t>月</w:t>
      </w:r>
      <w:r>
        <w:rPr>
          <w:rFonts w:hint="eastAsia" w:ascii="宋体" w:hAnsi="宋体"/>
          <w:color w:val="auto"/>
          <w:sz w:val="24"/>
          <w:highlight w:val="none"/>
          <w:u w:val="dotted"/>
        </w:rPr>
        <w:t xml:space="preserve">   </w:t>
      </w:r>
      <w:r>
        <w:rPr>
          <w:rFonts w:hint="eastAsia" w:ascii="宋体" w:hAnsi="宋体"/>
          <w:color w:val="auto"/>
          <w:sz w:val="24"/>
          <w:highlight w:val="none"/>
        </w:rPr>
        <w:t>日,就质疑事项作出了答复/没有在法定期限内作出答复。</w:t>
      </w:r>
    </w:p>
    <w:p w14:paraId="71DD21EE">
      <w:pPr>
        <w:spacing w:line="360" w:lineRule="auto"/>
        <w:rPr>
          <w:rFonts w:ascii="宋体" w:hAnsi="宋体"/>
          <w:color w:val="auto"/>
          <w:sz w:val="24"/>
          <w:highlight w:val="none"/>
        </w:rPr>
      </w:pPr>
      <w:r>
        <w:rPr>
          <w:rFonts w:hint="eastAsia" w:ascii="宋体" w:hAnsi="宋体"/>
          <w:color w:val="auto"/>
          <w:sz w:val="24"/>
          <w:highlight w:val="none"/>
        </w:rPr>
        <w:t>四、投诉事项具体内容</w:t>
      </w:r>
    </w:p>
    <w:p w14:paraId="0E359642">
      <w:pPr>
        <w:spacing w:line="360" w:lineRule="auto"/>
        <w:rPr>
          <w:rFonts w:ascii="宋体" w:hAnsi="宋体"/>
          <w:color w:val="auto"/>
          <w:sz w:val="24"/>
          <w:highlight w:val="none"/>
          <w:u w:val="single"/>
        </w:rPr>
      </w:pPr>
      <w:r>
        <w:rPr>
          <w:rFonts w:hint="eastAsia" w:ascii="宋体" w:hAnsi="宋体"/>
          <w:color w:val="auto"/>
          <w:sz w:val="24"/>
          <w:highlight w:val="none"/>
        </w:rPr>
        <w:t>投诉事项 1：</w:t>
      </w:r>
      <w:r>
        <w:rPr>
          <w:rFonts w:hint="eastAsia" w:ascii="宋体" w:hAnsi="宋体"/>
          <w:color w:val="auto"/>
          <w:sz w:val="24"/>
          <w:highlight w:val="none"/>
          <w:u w:val="dotted"/>
        </w:rPr>
        <w:t xml:space="preserve">                                       </w:t>
      </w:r>
    </w:p>
    <w:p w14:paraId="4FC5C3D6">
      <w:pPr>
        <w:spacing w:line="360" w:lineRule="auto"/>
        <w:rPr>
          <w:rFonts w:ascii="宋体" w:hAnsi="宋体"/>
          <w:color w:val="auto"/>
          <w:sz w:val="24"/>
          <w:highlight w:val="none"/>
        </w:rPr>
      </w:pPr>
      <w:r>
        <w:rPr>
          <w:rFonts w:hint="eastAsia" w:ascii="宋体" w:hAnsi="宋体"/>
          <w:color w:val="auto"/>
          <w:sz w:val="24"/>
          <w:highlight w:val="none"/>
        </w:rPr>
        <w:t>事实依据：</w:t>
      </w:r>
      <w:r>
        <w:rPr>
          <w:rFonts w:hint="eastAsia" w:ascii="宋体" w:hAnsi="宋体"/>
          <w:color w:val="auto"/>
          <w:sz w:val="24"/>
          <w:highlight w:val="none"/>
          <w:u w:val="dotted"/>
        </w:rPr>
        <w:t xml:space="preserve">                                         </w:t>
      </w:r>
    </w:p>
    <w:p w14:paraId="42B11431">
      <w:pPr>
        <w:spacing w:line="360" w:lineRule="auto"/>
        <w:rPr>
          <w:rFonts w:ascii="宋体" w:hAnsi="宋体"/>
          <w:color w:val="auto"/>
          <w:sz w:val="24"/>
          <w:highlight w:val="none"/>
          <w:u w:val="dotted"/>
        </w:rPr>
      </w:pPr>
      <w:r>
        <w:rPr>
          <w:rFonts w:hint="eastAsia" w:ascii="宋体" w:hAnsi="宋体"/>
          <w:color w:val="auto"/>
          <w:sz w:val="24"/>
          <w:highlight w:val="none"/>
          <w:u w:val="dotted"/>
        </w:rPr>
        <w:t xml:space="preserve">                                                      </w:t>
      </w:r>
    </w:p>
    <w:p w14:paraId="508869C5">
      <w:pPr>
        <w:spacing w:line="360" w:lineRule="auto"/>
        <w:rPr>
          <w:rFonts w:ascii="宋体" w:hAnsi="宋体"/>
          <w:color w:val="auto"/>
          <w:sz w:val="24"/>
          <w:highlight w:val="none"/>
          <w:u w:val="single"/>
        </w:rPr>
      </w:pPr>
      <w:r>
        <w:rPr>
          <w:rFonts w:hint="eastAsia" w:ascii="宋体" w:hAnsi="宋体"/>
          <w:color w:val="auto"/>
          <w:sz w:val="24"/>
          <w:highlight w:val="none"/>
        </w:rPr>
        <w:t>法律依据：</w:t>
      </w:r>
      <w:r>
        <w:rPr>
          <w:rFonts w:hint="eastAsia" w:ascii="宋体" w:hAnsi="宋体"/>
          <w:color w:val="auto"/>
          <w:sz w:val="24"/>
          <w:highlight w:val="none"/>
          <w:u w:val="dotted"/>
        </w:rPr>
        <w:t xml:space="preserve">                                          </w:t>
      </w:r>
    </w:p>
    <w:p w14:paraId="1398307D">
      <w:pPr>
        <w:spacing w:line="360" w:lineRule="auto"/>
        <w:rPr>
          <w:rFonts w:ascii="宋体" w:hAnsi="宋体"/>
          <w:color w:val="auto"/>
          <w:sz w:val="24"/>
          <w:highlight w:val="none"/>
          <w:u w:val="dotted"/>
        </w:rPr>
      </w:pPr>
      <w:r>
        <w:rPr>
          <w:rFonts w:hint="eastAsia" w:ascii="宋体" w:hAnsi="宋体"/>
          <w:color w:val="auto"/>
          <w:sz w:val="24"/>
          <w:highlight w:val="none"/>
          <w:u w:val="dotted"/>
        </w:rPr>
        <w:t xml:space="preserve">                                                      </w:t>
      </w:r>
    </w:p>
    <w:p w14:paraId="43BFB7BF">
      <w:pPr>
        <w:spacing w:line="360" w:lineRule="auto"/>
        <w:rPr>
          <w:rFonts w:ascii="宋体" w:hAnsi="宋体"/>
          <w:color w:val="auto"/>
          <w:sz w:val="24"/>
          <w:highlight w:val="none"/>
        </w:rPr>
      </w:pPr>
      <w:r>
        <w:rPr>
          <w:rFonts w:hint="eastAsia" w:ascii="宋体" w:hAnsi="宋体"/>
          <w:color w:val="auto"/>
          <w:sz w:val="24"/>
          <w:highlight w:val="none"/>
        </w:rPr>
        <w:t>投诉事项2</w:t>
      </w:r>
    </w:p>
    <w:p w14:paraId="2144FAD6">
      <w:pPr>
        <w:spacing w:line="360" w:lineRule="auto"/>
        <w:rPr>
          <w:rFonts w:ascii="宋体" w:hAnsi="宋体"/>
          <w:color w:val="auto"/>
          <w:sz w:val="24"/>
          <w:highlight w:val="none"/>
          <w:u w:val="dotted"/>
        </w:rPr>
      </w:pPr>
      <w:r>
        <w:rPr>
          <w:rFonts w:hint="eastAsia" w:ascii="宋体" w:hAnsi="宋体"/>
          <w:color w:val="auto"/>
          <w:sz w:val="24"/>
          <w:highlight w:val="none"/>
        </w:rPr>
        <w:t>……</w:t>
      </w:r>
    </w:p>
    <w:p w14:paraId="753336C1">
      <w:pPr>
        <w:spacing w:line="360" w:lineRule="auto"/>
        <w:rPr>
          <w:rFonts w:ascii="宋体" w:hAnsi="宋体"/>
          <w:color w:val="auto"/>
          <w:sz w:val="24"/>
          <w:highlight w:val="none"/>
        </w:rPr>
      </w:pPr>
      <w:r>
        <w:rPr>
          <w:rFonts w:hint="eastAsia" w:ascii="宋体" w:hAnsi="宋体"/>
          <w:color w:val="auto"/>
          <w:sz w:val="24"/>
          <w:highlight w:val="none"/>
        </w:rPr>
        <w:t>五、与投诉事项相关的投诉请求</w:t>
      </w:r>
    </w:p>
    <w:p w14:paraId="1F7F5675">
      <w:pPr>
        <w:spacing w:line="360" w:lineRule="auto"/>
        <w:rPr>
          <w:rFonts w:ascii="宋体" w:hAnsi="宋体"/>
          <w:color w:val="auto"/>
          <w:sz w:val="24"/>
          <w:highlight w:val="none"/>
        </w:rPr>
      </w:pPr>
      <w:r>
        <w:rPr>
          <w:rFonts w:hint="eastAsia" w:ascii="宋体" w:hAnsi="宋体"/>
          <w:color w:val="auto"/>
          <w:sz w:val="24"/>
          <w:highlight w:val="none"/>
        </w:rPr>
        <w:t>请求：</w:t>
      </w:r>
      <w:r>
        <w:rPr>
          <w:rFonts w:hint="eastAsia" w:ascii="宋体" w:hAnsi="宋体"/>
          <w:color w:val="auto"/>
          <w:sz w:val="24"/>
          <w:highlight w:val="none"/>
          <w:u w:val="dotted"/>
        </w:rPr>
        <w:t xml:space="preserve">                                              </w:t>
      </w:r>
      <w:r>
        <w:rPr>
          <w:rFonts w:hint="eastAsia" w:ascii="宋体" w:hAnsi="宋体"/>
          <w:color w:val="auto"/>
          <w:sz w:val="24"/>
          <w:highlight w:val="none"/>
        </w:rPr>
        <w:t xml:space="preserve"> </w:t>
      </w:r>
    </w:p>
    <w:p w14:paraId="72E1B75A">
      <w:pPr>
        <w:spacing w:line="360" w:lineRule="auto"/>
        <w:rPr>
          <w:rFonts w:ascii="宋体" w:hAnsi="宋体"/>
          <w:color w:val="auto"/>
          <w:sz w:val="24"/>
          <w:highlight w:val="none"/>
          <w:u w:val="single"/>
        </w:rPr>
      </w:pPr>
      <w:r>
        <w:rPr>
          <w:rFonts w:hint="eastAsia" w:ascii="宋体" w:hAnsi="宋体"/>
          <w:color w:val="auto"/>
          <w:sz w:val="24"/>
          <w:highlight w:val="none"/>
        </w:rPr>
        <w:t xml:space="preserve">                                                                                                    </w:t>
      </w:r>
    </w:p>
    <w:p w14:paraId="651A5549">
      <w:pPr>
        <w:spacing w:line="360" w:lineRule="auto"/>
        <w:rPr>
          <w:rFonts w:ascii="宋体" w:hAnsi="宋体"/>
          <w:color w:val="auto"/>
          <w:sz w:val="24"/>
          <w:highlight w:val="none"/>
        </w:rPr>
      </w:pPr>
      <w:r>
        <w:rPr>
          <w:rFonts w:hint="eastAsia" w:ascii="宋体" w:hAnsi="宋体"/>
          <w:color w:val="auto"/>
          <w:sz w:val="24"/>
          <w:highlight w:val="none"/>
        </w:rPr>
        <w:t xml:space="preserve">签字(签章)：                   公章：                      </w:t>
      </w:r>
    </w:p>
    <w:p w14:paraId="709980F1">
      <w:pPr>
        <w:spacing w:line="360" w:lineRule="auto"/>
        <w:rPr>
          <w:rFonts w:ascii="宋体" w:hAnsi="宋体"/>
          <w:color w:val="auto"/>
          <w:sz w:val="24"/>
          <w:highlight w:val="none"/>
        </w:rPr>
      </w:pPr>
      <w:r>
        <w:rPr>
          <w:rFonts w:hint="eastAsia" w:ascii="宋体" w:hAnsi="宋体"/>
          <w:color w:val="auto"/>
          <w:sz w:val="24"/>
          <w:highlight w:val="none"/>
        </w:rPr>
        <w:t xml:space="preserve">日期：    </w:t>
      </w:r>
    </w:p>
    <w:p w14:paraId="3C86D378">
      <w:pPr>
        <w:spacing w:line="360" w:lineRule="auto"/>
        <w:rPr>
          <w:rFonts w:ascii="宋体" w:hAnsi="宋体"/>
          <w:color w:val="auto"/>
          <w:sz w:val="24"/>
          <w:highlight w:val="none"/>
        </w:rPr>
      </w:pPr>
    </w:p>
    <w:p w14:paraId="549B3123">
      <w:pPr>
        <w:spacing w:line="360" w:lineRule="auto"/>
        <w:rPr>
          <w:rFonts w:ascii="宋体" w:hAnsi="宋体"/>
          <w:color w:val="auto"/>
          <w:sz w:val="24"/>
          <w:highlight w:val="none"/>
        </w:rPr>
      </w:pPr>
    </w:p>
    <w:p w14:paraId="65990009">
      <w:pPr>
        <w:spacing w:line="360" w:lineRule="auto"/>
        <w:rPr>
          <w:rFonts w:ascii="宋体" w:hAnsi="宋体"/>
          <w:color w:val="auto"/>
          <w:sz w:val="24"/>
          <w:highlight w:val="none"/>
        </w:rPr>
      </w:pPr>
      <w:r>
        <w:rPr>
          <w:rFonts w:hint="eastAsia" w:ascii="宋体" w:hAnsi="宋体"/>
          <w:color w:val="auto"/>
          <w:sz w:val="24"/>
          <w:highlight w:val="none"/>
        </w:rPr>
        <w:t>投诉书制作说明：</w:t>
      </w:r>
    </w:p>
    <w:p w14:paraId="044BA7A9">
      <w:pPr>
        <w:widowControl/>
        <w:spacing w:line="360" w:lineRule="auto"/>
        <w:ind w:firstLine="482" w:firstLineChars="200"/>
        <w:rPr>
          <w:rFonts w:ascii="宋体" w:hAnsi="宋体"/>
          <w:color w:val="auto"/>
          <w:sz w:val="24"/>
          <w:highlight w:val="none"/>
        </w:rPr>
      </w:pPr>
      <w:r>
        <w:rPr>
          <w:rFonts w:hint="eastAsia" w:ascii="宋体" w:hAnsi="宋体"/>
          <w:color w:val="auto"/>
          <w:sz w:val="24"/>
          <w:highlight w:val="none"/>
        </w:rPr>
        <w:t>1.投诉人提起投诉时，应当提交投诉书和必要的证明材料，并按照被投诉人和与投诉事项有关的供应商数量提供投诉书副本。</w:t>
      </w:r>
    </w:p>
    <w:p w14:paraId="52587568">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2.投诉人若委托代理人进行投诉的，投诉书应按照要求列明“授权代表”的有关内容，并在附件中提交由投诉人签署的授权委托书。授权委托书应当载明代理人的姓名或者名称、代理事项、具体权限、期限和相关事项。</w:t>
      </w:r>
    </w:p>
    <w:p w14:paraId="2D078C05">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3.投诉人若对项目的某一分包进行投诉，投诉书应列明具体分包号。</w:t>
      </w:r>
    </w:p>
    <w:p w14:paraId="0AE8D764">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4.投诉书应简要列明质疑事项，质疑函、质疑答复等作为附件材料提供。</w:t>
      </w:r>
    </w:p>
    <w:p w14:paraId="649AC5C5">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5.投诉书的投诉事项应具体、明确，并有必要的事实依据和法律依据。</w:t>
      </w:r>
    </w:p>
    <w:p w14:paraId="24AAB3AB">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6.投诉书的投诉请求应与投诉事项相关。</w:t>
      </w:r>
    </w:p>
    <w:p w14:paraId="765FA5A2">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7.投诉人为自然人的，投诉书应当由本人签字；投诉人为法人或者其他组织的，投诉书应当由法定代表人、主要负责人，或者其授权代表签字或者盖章，并加盖公章。</w:t>
      </w:r>
    </w:p>
    <w:p w14:paraId="5CE9702B">
      <w:pPr>
        <w:spacing w:line="360" w:lineRule="auto"/>
        <w:rPr>
          <w:rFonts w:ascii="宋体" w:hAnsi="宋体"/>
          <w:color w:val="auto"/>
          <w:sz w:val="24"/>
          <w:highlight w:val="none"/>
        </w:rPr>
      </w:pPr>
    </w:p>
    <w:p w14:paraId="43049067">
      <w:pPr>
        <w:autoSpaceDE w:val="0"/>
        <w:autoSpaceDN w:val="0"/>
        <w:jc w:val="center"/>
        <w:rPr>
          <w:rFonts w:ascii="宋体" w:hAnsi="宋体"/>
          <w:bCs/>
          <w:color w:val="auto"/>
          <w:sz w:val="32"/>
          <w:szCs w:val="32"/>
          <w:highlight w:val="none"/>
        </w:rPr>
      </w:pPr>
      <w:r>
        <w:rPr>
          <w:rFonts w:hint="eastAsia" w:ascii="宋体" w:hAnsi="宋体"/>
          <w:color w:val="auto"/>
          <w:spacing w:val="6"/>
          <w:sz w:val="32"/>
          <w:szCs w:val="32"/>
          <w:highlight w:val="none"/>
        </w:rPr>
        <w:t>附件4：</w:t>
      </w:r>
      <w:r>
        <w:rPr>
          <w:rFonts w:hint="eastAsia" w:ascii="宋体" w:hAnsi="宋体"/>
          <w:bCs/>
          <w:color w:val="auto"/>
          <w:sz w:val="32"/>
          <w:szCs w:val="32"/>
          <w:highlight w:val="none"/>
        </w:rPr>
        <w:t>业务专用章使用说明函</w:t>
      </w:r>
    </w:p>
    <w:p w14:paraId="6A25A656">
      <w:pPr>
        <w:spacing w:line="360" w:lineRule="auto"/>
        <w:rPr>
          <w:rFonts w:ascii="宋体" w:hAnsi="宋体"/>
          <w:color w:val="auto"/>
          <w:sz w:val="24"/>
          <w:highlight w:val="none"/>
          <w:u w:val="single"/>
        </w:rPr>
      </w:pPr>
    </w:p>
    <w:p w14:paraId="3A579A61">
      <w:pPr>
        <w:spacing w:line="360" w:lineRule="auto"/>
        <w:rPr>
          <w:rFonts w:ascii="宋体" w:hAnsi="宋体"/>
          <w:color w:val="auto"/>
          <w:sz w:val="24"/>
          <w:highlight w:val="none"/>
        </w:rPr>
      </w:pPr>
      <w:r>
        <w:rPr>
          <w:rFonts w:hint="eastAsia" w:ascii="宋体" w:hAnsi="宋体"/>
          <w:color w:val="auto"/>
          <w:sz w:val="24"/>
          <w:highlight w:val="none"/>
          <w:u w:val="single"/>
          <w:lang w:eastAsia="zh-CN"/>
        </w:rPr>
        <w:t>永嘉县瓯北第三小学</w:t>
      </w:r>
      <w:r>
        <w:rPr>
          <w:rFonts w:hint="eastAsia" w:ascii="宋体" w:hAnsi="宋体"/>
          <w:color w:val="auto"/>
          <w:sz w:val="24"/>
          <w:highlight w:val="none"/>
          <w:u w:val="single"/>
        </w:rPr>
        <w:t>、</w:t>
      </w:r>
      <w:r>
        <w:rPr>
          <w:rFonts w:hint="eastAsia" w:ascii="宋体" w:hAnsi="宋体"/>
          <w:color w:val="auto"/>
          <w:sz w:val="24"/>
          <w:highlight w:val="none"/>
          <w:u w:val="single"/>
          <w:lang w:eastAsia="zh-CN"/>
        </w:rPr>
        <w:t>温州国利项目管理咨询有限公司</w:t>
      </w:r>
      <w:r>
        <w:rPr>
          <w:rFonts w:hint="eastAsia" w:ascii="宋体" w:hAnsi="宋体"/>
          <w:color w:val="auto"/>
          <w:sz w:val="24"/>
          <w:highlight w:val="none"/>
          <w:u w:val="single"/>
        </w:rPr>
        <w:t>：</w:t>
      </w:r>
    </w:p>
    <w:p w14:paraId="63830DEA">
      <w:pPr>
        <w:spacing w:line="360" w:lineRule="auto"/>
        <w:ind w:firstLine="482" w:firstLineChars="200"/>
        <w:rPr>
          <w:rFonts w:ascii="宋体" w:hAnsi="宋体"/>
          <w:color w:val="auto"/>
          <w:sz w:val="24"/>
          <w:highlight w:val="none"/>
        </w:rPr>
      </w:pPr>
      <w:r>
        <w:rPr>
          <w:rFonts w:hint="eastAsia" w:ascii="宋体" w:hAnsi="宋体"/>
          <w:color w:val="auto"/>
          <w:sz w:val="24"/>
          <w:highlight w:val="none"/>
          <w:lang w:val="zh-CN"/>
        </w:rPr>
        <w:t>我方</w:t>
      </w:r>
      <w:r>
        <w:rPr>
          <w:rFonts w:hint="eastAsia" w:ascii="宋体" w:hAnsi="宋体"/>
          <w:color w:val="auto"/>
          <w:sz w:val="24"/>
          <w:highlight w:val="none"/>
          <w:u w:val="single"/>
          <w:lang w:val="zh-CN"/>
        </w:rPr>
        <w:t xml:space="preserve">                         </w:t>
      </w:r>
      <w:r>
        <w:rPr>
          <w:rFonts w:hint="eastAsia" w:ascii="宋体" w:hAnsi="宋体"/>
          <w:color w:val="auto"/>
          <w:sz w:val="24"/>
          <w:highlight w:val="none"/>
        </w:rPr>
        <w:t>(投标人全称)是中华人民共和国依法登记注册的合法企业，</w:t>
      </w:r>
      <w:r>
        <w:rPr>
          <w:rFonts w:hint="eastAsia" w:ascii="宋体" w:hAnsi="宋体"/>
          <w:bCs/>
          <w:color w:val="auto"/>
          <w:sz w:val="24"/>
          <w:highlight w:val="none"/>
        </w:rPr>
        <w:t>在参加</w:t>
      </w:r>
      <w:r>
        <w:rPr>
          <w:rFonts w:hint="eastAsia" w:ascii="宋体" w:hAnsi="宋体"/>
          <w:color w:val="auto"/>
          <w:sz w:val="24"/>
          <w:highlight w:val="none"/>
        </w:rPr>
        <w:t>你方组织的</w:t>
      </w:r>
      <w:r>
        <w:rPr>
          <w:rFonts w:hint="eastAsia" w:ascii="宋体" w:hAnsi="宋体"/>
          <w:color w:val="auto"/>
          <w:sz w:val="24"/>
          <w:highlight w:val="none"/>
          <w:lang w:eastAsia="zh-CN"/>
        </w:rPr>
        <w:t>永嘉县瓯北第三小学科学实验室设备</w:t>
      </w:r>
      <w:r>
        <w:rPr>
          <w:rFonts w:hint="eastAsia" w:ascii="宋体" w:hAnsi="宋体"/>
          <w:color w:val="auto"/>
          <w:sz w:val="24"/>
          <w:highlight w:val="none"/>
        </w:rPr>
        <w:t>项目【招标编号：】</w:t>
      </w:r>
      <w:r>
        <w:rPr>
          <w:rFonts w:hint="eastAsia" w:ascii="宋体" w:hAnsi="宋体"/>
          <w:bCs/>
          <w:color w:val="auto"/>
          <w:sz w:val="24"/>
          <w:highlight w:val="none"/>
        </w:rPr>
        <w:t>投标活动中作如下说明：</w:t>
      </w:r>
      <w:r>
        <w:rPr>
          <w:rFonts w:hint="eastAsia" w:ascii="宋体" w:hAnsi="宋体"/>
          <w:color w:val="auto"/>
          <w:sz w:val="24"/>
          <w:highlight w:val="none"/>
        </w:rPr>
        <w:t xml:space="preserve">我方所使用的“XX专用章”与法定名称章具有同等的法律效力，对使用“XX专用章”的行为予以完全承认，并愿意承担相应责任。   </w:t>
      </w:r>
    </w:p>
    <w:p w14:paraId="11078738">
      <w:pPr>
        <w:spacing w:line="360" w:lineRule="auto"/>
        <w:ind w:firstLine="482" w:firstLineChars="200"/>
        <w:rPr>
          <w:rFonts w:ascii="宋体" w:hAnsi="宋体"/>
          <w:color w:val="auto"/>
          <w:sz w:val="24"/>
          <w:highlight w:val="none"/>
        </w:rPr>
      </w:pPr>
      <w:r>
        <w:rPr>
          <w:rFonts w:hint="eastAsia" w:ascii="宋体" w:hAnsi="宋体"/>
          <w:color w:val="auto"/>
          <w:sz w:val="24"/>
          <w:highlight w:val="none"/>
        </w:rPr>
        <w:t>特此说明。</w:t>
      </w:r>
    </w:p>
    <w:p w14:paraId="359585F0">
      <w:pPr>
        <w:spacing w:line="360" w:lineRule="auto"/>
        <w:ind w:firstLine="494"/>
        <w:rPr>
          <w:rFonts w:ascii="宋体" w:hAnsi="宋体"/>
          <w:color w:val="auto"/>
          <w:sz w:val="24"/>
          <w:highlight w:val="none"/>
        </w:rPr>
      </w:pPr>
    </w:p>
    <w:p w14:paraId="632B926B">
      <w:pPr>
        <w:spacing w:line="360" w:lineRule="auto"/>
        <w:ind w:firstLine="494"/>
        <w:rPr>
          <w:rFonts w:ascii="宋体" w:hAnsi="宋体"/>
          <w:color w:val="auto"/>
          <w:sz w:val="24"/>
          <w:highlight w:val="none"/>
        </w:rPr>
      </w:pPr>
    </w:p>
    <w:p w14:paraId="0C8297B8">
      <w:pPr>
        <w:spacing w:line="360" w:lineRule="auto"/>
        <w:ind w:firstLine="494"/>
        <w:rPr>
          <w:rFonts w:ascii="宋体" w:hAnsi="宋体"/>
          <w:color w:val="auto"/>
          <w:sz w:val="24"/>
          <w:highlight w:val="none"/>
        </w:rPr>
      </w:pPr>
    </w:p>
    <w:p w14:paraId="35A534AA">
      <w:pPr>
        <w:spacing w:line="360" w:lineRule="auto"/>
        <w:ind w:firstLine="494"/>
        <w:rPr>
          <w:rFonts w:ascii="宋体" w:hAnsi="宋体"/>
          <w:color w:val="auto"/>
          <w:sz w:val="24"/>
          <w:highlight w:val="none"/>
        </w:rPr>
      </w:pPr>
    </w:p>
    <w:p w14:paraId="1B34538F">
      <w:pPr>
        <w:spacing w:line="360" w:lineRule="auto"/>
        <w:ind w:right="480" w:firstLine="4096" w:firstLineChars="1700"/>
        <w:rPr>
          <w:rFonts w:ascii="宋体" w:hAnsi="宋体"/>
          <w:color w:val="auto"/>
          <w:sz w:val="24"/>
          <w:highlight w:val="none"/>
        </w:rPr>
      </w:pPr>
      <w:r>
        <w:rPr>
          <w:rFonts w:hint="eastAsia" w:ascii="宋体" w:hAnsi="宋体"/>
          <w:color w:val="auto"/>
          <w:sz w:val="24"/>
          <w:highlight w:val="none"/>
        </w:rPr>
        <w:t>投标单位（法定名称章）：</w:t>
      </w:r>
    </w:p>
    <w:p w14:paraId="2CB08A28">
      <w:pPr>
        <w:ind w:right="1440" w:firstLine="494"/>
        <w:jc w:val="center"/>
        <w:rPr>
          <w:rFonts w:ascii="宋体" w:hAnsi="宋体"/>
          <w:color w:val="auto"/>
          <w:sz w:val="24"/>
          <w:highlight w:val="none"/>
        </w:rPr>
      </w:pPr>
      <w:r>
        <w:rPr>
          <w:rFonts w:hint="eastAsia" w:ascii="宋体" w:hAnsi="宋体"/>
          <w:color w:val="auto"/>
          <w:sz w:val="24"/>
          <w:highlight w:val="none"/>
        </w:rPr>
        <w:t xml:space="preserve">                              日期：       年     月     日</w:t>
      </w:r>
    </w:p>
    <w:p w14:paraId="75957197">
      <w:pPr>
        <w:rPr>
          <w:rFonts w:ascii="宋体" w:hAnsi="宋体"/>
          <w:color w:val="auto"/>
          <w:sz w:val="24"/>
          <w:highlight w:val="none"/>
        </w:rPr>
      </w:pPr>
      <w:r>
        <w:rPr>
          <w:rFonts w:hint="eastAsia" w:ascii="宋体" w:hAnsi="宋体"/>
          <w:bCs/>
          <w:color w:val="auto"/>
          <w:sz w:val="24"/>
          <w:highlight w:val="none"/>
        </w:rPr>
        <w:t>附：</w:t>
      </w:r>
    </w:p>
    <w:p w14:paraId="14AB17E3">
      <w:pPr>
        <w:spacing w:line="360" w:lineRule="auto"/>
        <w:rPr>
          <w:rFonts w:ascii="宋体" w:hAnsi="宋体"/>
          <w:bCs/>
          <w:color w:val="auto"/>
          <w:sz w:val="24"/>
          <w:highlight w:val="none"/>
        </w:rPr>
      </w:pPr>
      <w:r>
        <w:rPr>
          <w:rFonts w:hint="eastAsia" w:ascii="宋体" w:hAnsi="宋体"/>
          <w:bCs/>
          <w:color w:val="auto"/>
          <w:sz w:val="24"/>
          <w:highlight w:val="none"/>
        </w:rPr>
        <mc:AlternateContent>
          <mc:Choice Requires="wps">
            <w:drawing>
              <wp:anchor distT="0" distB="0" distL="114300" distR="114300" simplePos="0" relativeHeight="251660288" behindDoc="1" locked="0" layoutInCell="1" allowOverlap="1">
                <wp:simplePos x="0" y="0"/>
                <wp:positionH relativeFrom="column">
                  <wp:posOffset>3034030</wp:posOffset>
                </wp:positionH>
                <wp:positionV relativeFrom="paragraph">
                  <wp:posOffset>356235</wp:posOffset>
                </wp:positionV>
                <wp:extent cx="2704465" cy="2253615"/>
                <wp:effectExtent l="5080" t="4445" r="14605" b="8890"/>
                <wp:wrapNone/>
                <wp:docPr id="3" name="Rectangle 17"/>
                <wp:cNvGraphicFramePr/>
                <a:graphic xmlns:a="http://schemas.openxmlformats.org/drawingml/2006/main">
                  <a:graphicData uri="http://schemas.microsoft.com/office/word/2010/wordprocessingShape">
                    <wps:wsp>
                      <wps:cNvSpPr>
                        <a:spLocks noChangeArrowheads="1"/>
                      </wps:cNvSpPr>
                      <wps:spPr bwMode="auto">
                        <a:xfrm>
                          <a:off x="0" y="0"/>
                          <a:ext cx="2704465" cy="2253615"/>
                        </a:xfrm>
                        <a:prstGeom prst="rect">
                          <a:avLst/>
                        </a:prstGeom>
                        <a:solidFill>
                          <a:srgbClr val="FFFFFF"/>
                        </a:solidFill>
                        <a:ln w="9525">
                          <a:solidFill>
                            <a:srgbClr val="000000"/>
                          </a:solidFill>
                          <a:miter lim="200000"/>
                        </a:ln>
                        <a:effectLst/>
                      </wps:spPr>
                      <wps:bodyPr rot="0" vert="horz" wrap="square" lIns="91440" tIns="45720" rIns="91440" bIns="45720" anchor="t" anchorCtr="0" upright="1">
                        <a:noAutofit/>
                      </wps:bodyPr>
                    </wps:wsp>
                  </a:graphicData>
                </a:graphic>
              </wp:anchor>
            </w:drawing>
          </mc:Choice>
          <mc:Fallback>
            <w:pict>
              <v:rect id="Rectangle 17" o:spid="_x0000_s1026" o:spt="1" style="position:absolute;left:0pt;margin-left:238.9pt;margin-top:28.05pt;height:177.45pt;width:212.95pt;z-index:-251656192;mso-width-relative:page;mso-height-relative:page;" fillcolor="#FFFFFF" filled="t" stroked="t" coordsize="21600,21600" o:gfxdata="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WQDz/YAAAACgEAAA8AAAAAAAAAAQAgAAAAIgAAAGRycy9kb3ducmV2LnhtbFBL&#10;AQIUABQAAAAIAIdO4kDcfgGMLwIAAIIEAAAOAAAAAAAAAAEAIAAAACcBAABkcnMvZTJvRG9jLnht&#10;bFBLBQYAAAAABgAGAFkBAADIBQAAAAA=&#10;">
                <v:fill on="t" focussize="0,0"/>
                <v:stroke color="#000000" miterlimit="2" joinstyle="miter"/>
                <v:imagedata o:title=""/>
                <o:lock v:ext="edit" aspectratio="f"/>
              </v:rect>
            </w:pict>
          </mc:Fallback>
        </mc:AlternateContent>
      </w:r>
      <w:r>
        <w:rPr>
          <w:rFonts w:hint="eastAsia" w:ascii="宋体" w:hAnsi="宋体"/>
          <w:bCs/>
          <w:color w:val="auto"/>
          <w:sz w:val="24"/>
          <w:highlight w:val="none"/>
        </w:rPr>
        <mc:AlternateContent>
          <mc:Choice Requires="wps">
            <w:drawing>
              <wp:anchor distT="0" distB="0" distL="114300" distR="114300" simplePos="0" relativeHeight="251661312" behindDoc="1" locked="0" layoutInCell="1" allowOverlap="1">
                <wp:simplePos x="0" y="0"/>
                <wp:positionH relativeFrom="column">
                  <wp:posOffset>-91440</wp:posOffset>
                </wp:positionH>
                <wp:positionV relativeFrom="paragraph">
                  <wp:posOffset>384810</wp:posOffset>
                </wp:positionV>
                <wp:extent cx="2647950" cy="2253615"/>
                <wp:effectExtent l="5080" t="4445" r="13970" b="8890"/>
                <wp:wrapNone/>
                <wp:docPr id="4" name="Rectangle 16"/>
                <wp:cNvGraphicFramePr/>
                <a:graphic xmlns:a="http://schemas.openxmlformats.org/drawingml/2006/main">
                  <a:graphicData uri="http://schemas.microsoft.com/office/word/2010/wordprocessingShape">
                    <wps:wsp>
                      <wps:cNvSpPr>
                        <a:spLocks noChangeArrowheads="1"/>
                      </wps:cNvSpPr>
                      <wps:spPr bwMode="auto">
                        <a:xfrm>
                          <a:off x="0" y="0"/>
                          <a:ext cx="2647950" cy="2253615"/>
                        </a:xfrm>
                        <a:prstGeom prst="rect">
                          <a:avLst/>
                        </a:prstGeom>
                        <a:solidFill>
                          <a:srgbClr val="FFFFFF"/>
                        </a:solidFill>
                        <a:ln w="9525">
                          <a:solidFill>
                            <a:srgbClr val="000000"/>
                          </a:solidFill>
                          <a:miter lim="200000"/>
                        </a:ln>
                        <a:effectLst/>
                      </wps:spPr>
                      <wps:bodyPr rot="0" vert="horz" wrap="square" lIns="91440" tIns="45720" rIns="91440" bIns="45720" anchor="t" anchorCtr="0" upright="1">
                        <a:noAutofit/>
                      </wps:bodyPr>
                    </wps:wsp>
                  </a:graphicData>
                </a:graphic>
              </wp:anchor>
            </w:drawing>
          </mc:Choice>
          <mc:Fallback>
            <w:pict>
              <v:rect id="Rectangle 16" o:spid="_x0000_s1026" o:spt="1" style="position:absolute;left:0pt;margin-left:-7.2pt;margin-top:30.3pt;height:177.45pt;width:208.5pt;z-index:-251655168;mso-width-relative:page;mso-height-relative:page;" fillcolor="#FFFFFF" filled="t" stroked="t" coordsize="21600,21600" o:gfxdata="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mMR6bYAAAACgEAAA8AAAAAAAAAAQAgAAAAIgAAAGRycy9kb3ducmV2LnhtbFBL&#10;AQIUABQAAAAIAIdO4kBNZyw0LwIAAIIEAAAOAAAAAAAAAAEAIAAAACcBAABkcnMvZTJvRG9jLnht&#10;bFBLBQYAAAAABgAGAFkBAADIBQAAAAA=&#10;">
                <v:fill on="t" focussize="0,0"/>
                <v:stroke color="#000000" miterlimit="2" joinstyle="miter"/>
                <v:imagedata o:title=""/>
                <o:lock v:ext="edit" aspectratio="f"/>
              </v:rect>
            </w:pict>
          </mc:Fallback>
        </mc:AlternateContent>
      </w:r>
      <w:r>
        <w:rPr>
          <w:rFonts w:hint="eastAsia" w:ascii="宋体" w:hAnsi="宋体"/>
          <w:color w:val="auto"/>
          <w:sz w:val="24"/>
          <w:highlight w:val="none"/>
        </w:rPr>
        <w:t>投标单位法定名称章（印模）                投标单位“XX专用章”（印模）</w:t>
      </w:r>
    </w:p>
    <w:p w14:paraId="63FF5078">
      <w:pPr>
        <w:autoSpaceDE w:val="0"/>
        <w:autoSpaceDN w:val="0"/>
        <w:jc w:val="center"/>
        <w:rPr>
          <w:rFonts w:ascii="宋体" w:hAnsi="宋体"/>
          <w:color w:val="auto"/>
          <w:spacing w:val="6"/>
          <w:sz w:val="32"/>
          <w:szCs w:val="32"/>
          <w:highlight w:val="none"/>
        </w:rPr>
      </w:pPr>
    </w:p>
    <w:p w14:paraId="43990C23">
      <w:pPr>
        <w:autoSpaceDE w:val="0"/>
        <w:autoSpaceDN w:val="0"/>
        <w:jc w:val="center"/>
        <w:rPr>
          <w:rFonts w:ascii="宋体" w:hAnsi="宋体"/>
          <w:color w:val="auto"/>
          <w:spacing w:val="6"/>
          <w:sz w:val="32"/>
          <w:szCs w:val="32"/>
          <w:highlight w:val="none"/>
        </w:rPr>
      </w:pPr>
    </w:p>
    <w:p w14:paraId="14915CF3">
      <w:pPr>
        <w:autoSpaceDE w:val="0"/>
        <w:autoSpaceDN w:val="0"/>
        <w:jc w:val="center"/>
        <w:rPr>
          <w:rFonts w:ascii="宋体" w:hAnsi="宋体"/>
          <w:color w:val="auto"/>
          <w:spacing w:val="6"/>
          <w:sz w:val="32"/>
          <w:szCs w:val="32"/>
          <w:highlight w:val="none"/>
        </w:rPr>
      </w:pPr>
    </w:p>
    <w:p w14:paraId="04F050FB">
      <w:pPr>
        <w:autoSpaceDE w:val="0"/>
        <w:autoSpaceDN w:val="0"/>
        <w:jc w:val="center"/>
        <w:rPr>
          <w:rFonts w:ascii="宋体" w:hAnsi="宋体"/>
          <w:color w:val="auto"/>
          <w:spacing w:val="6"/>
          <w:sz w:val="32"/>
          <w:szCs w:val="32"/>
          <w:highlight w:val="none"/>
        </w:rPr>
      </w:pPr>
    </w:p>
    <w:p w14:paraId="77952377">
      <w:pPr>
        <w:autoSpaceDE w:val="0"/>
        <w:autoSpaceDN w:val="0"/>
        <w:jc w:val="center"/>
        <w:rPr>
          <w:rFonts w:ascii="宋体" w:hAnsi="宋体"/>
          <w:color w:val="auto"/>
          <w:spacing w:val="6"/>
          <w:sz w:val="32"/>
          <w:szCs w:val="32"/>
          <w:highlight w:val="none"/>
        </w:rPr>
      </w:pPr>
    </w:p>
    <w:p w14:paraId="284D450C">
      <w:pPr>
        <w:autoSpaceDE w:val="0"/>
        <w:autoSpaceDN w:val="0"/>
        <w:jc w:val="center"/>
        <w:rPr>
          <w:rFonts w:ascii="宋体" w:hAnsi="宋体"/>
          <w:color w:val="auto"/>
          <w:spacing w:val="6"/>
          <w:sz w:val="32"/>
          <w:szCs w:val="32"/>
          <w:highlight w:val="none"/>
        </w:rPr>
      </w:pPr>
    </w:p>
    <w:p w14:paraId="2DBF7A9D">
      <w:pPr>
        <w:autoSpaceDE w:val="0"/>
        <w:autoSpaceDN w:val="0"/>
        <w:jc w:val="center"/>
        <w:rPr>
          <w:rFonts w:ascii="宋体" w:hAnsi="宋体"/>
          <w:color w:val="auto"/>
          <w:spacing w:val="6"/>
          <w:sz w:val="32"/>
          <w:szCs w:val="32"/>
          <w:highlight w:val="none"/>
        </w:rPr>
      </w:pPr>
    </w:p>
    <w:p w14:paraId="548714E7">
      <w:pPr>
        <w:autoSpaceDE w:val="0"/>
        <w:autoSpaceDN w:val="0"/>
        <w:jc w:val="center"/>
        <w:rPr>
          <w:rFonts w:ascii="宋体" w:hAnsi="宋体"/>
          <w:color w:val="auto"/>
          <w:spacing w:val="6"/>
          <w:sz w:val="32"/>
          <w:szCs w:val="32"/>
          <w:highlight w:val="none"/>
        </w:rPr>
      </w:pPr>
    </w:p>
    <w:p w14:paraId="6EBAF637">
      <w:pPr>
        <w:autoSpaceDE w:val="0"/>
        <w:autoSpaceDN w:val="0"/>
        <w:jc w:val="center"/>
        <w:rPr>
          <w:rFonts w:ascii="宋体" w:hAnsi="宋体"/>
          <w:color w:val="auto"/>
          <w:spacing w:val="6"/>
          <w:sz w:val="32"/>
          <w:szCs w:val="32"/>
          <w:highlight w:val="none"/>
        </w:rPr>
      </w:pPr>
    </w:p>
    <w:p w14:paraId="20831D36">
      <w:pPr>
        <w:autoSpaceDE w:val="0"/>
        <w:autoSpaceDN w:val="0"/>
        <w:jc w:val="center"/>
        <w:rPr>
          <w:rFonts w:ascii="宋体" w:hAnsi="宋体"/>
          <w:color w:val="auto"/>
          <w:spacing w:val="6"/>
          <w:sz w:val="32"/>
          <w:szCs w:val="32"/>
          <w:highlight w:val="none"/>
        </w:rPr>
      </w:pPr>
    </w:p>
    <w:p w14:paraId="45E862D4">
      <w:pPr>
        <w:autoSpaceDE w:val="0"/>
        <w:autoSpaceDN w:val="0"/>
        <w:jc w:val="center"/>
        <w:rPr>
          <w:rFonts w:hint="eastAsia" w:ascii="宋体" w:hAnsi="宋体"/>
          <w:color w:val="auto"/>
          <w:spacing w:val="6"/>
          <w:sz w:val="32"/>
          <w:szCs w:val="32"/>
          <w:highlight w:val="none"/>
        </w:rPr>
      </w:pPr>
    </w:p>
    <w:p w14:paraId="72EA7831">
      <w:pPr>
        <w:autoSpaceDE w:val="0"/>
        <w:autoSpaceDN w:val="0"/>
        <w:jc w:val="center"/>
        <w:rPr>
          <w:rFonts w:hint="eastAsia" w:ascii="宋体" w:hAnsi="宋体"/>
          <w:color w:val="auto"/>
          <w:spacing w:val="6"/>
          <w:sz w:val="32"/>
          <w:szCs w:val="32"/>
          <w:highlight w:val="none"/>
        </w:rPr>
      </w:pPr>
    </w:p>
    <w:p w14:paraId="5BE35B66">
      <w:pPr>
        <w:autoSpaceDE w:val="0"/>
        <w:autoSpaceDN w:val="0"/>
        <w:jc w:val="center"/>
        <w:rPr>
          <w:rFonts w:hint="eastAsia" w:ascii="宋体" w:hAnsi="宋体"/>
          <w:color w:val="auto"/>
          <w:spacing w:val="6"/>
          <w:sz w:val="32"/>
          <w:szCs w:val="32"/>
          <w:highlight w:val="none"/>
        </w:rPr>
      </w:pPr>
    </w:p>
    <w:p w14:paraId="745D6265">
      <w:pPr>
        <w:autoSpaceDE w:val="0"/>
        <w:autoSpaceDN w:val="0"/>
        <w:jc w:val="center"/>
        <w:rPr>
          <w:rFonts w:hint="eastAsia" w:ascii="宋体" w:hAnsi="宋体"/>
          <w:color w:val="auto"/>
          <w:spacing w:val="6"/>
          <w:sz w:val="32"/>
          <w:szCs w:val="32"/>
          <w:highlight w:val="none"/>
        </w:rPr>
      </w:pPr>
    </w:p>
    <w:p w14:paraId="41444A8C">
      <w:pPr>
        <w:autoSpaceDE w:val="0"/>
        <w:autoSpaceDN w:val="0"/>
        <w:jc w:val="center"/>
        <w:rPr>
          <w:rFonts w:hint="eastAsia" w:ascii="宋体" w:hAnsi="宋体"/>
          <w:color w:val="auto"/>
          <w:spacing w:val="6"/>
          <w:sz w:val="32"/>
          <w:szCs w:val="32"/>
          <w:highlight w:val="none"/>
        </w:rPr>
      </w:pPr>
    </w:p>
    <w:p w14:paraId="3A949523">
      <w:pPr>
        <w:autoSpaceDE w:val="0"/>
        <w:autoSpaceDN w:val="0"/>
        <w:jc w:val="center"/>
        <w:rPr>
          <w:rFonts w:hint="eastAsia" w:ascii="宋体" w:hAnsi="宋体"/>
          <w:color w:val="auto"/>
          <w:spacing w:val="6"/>
          <w:sz w:val="32"/>
          <w:szCs w:val="32"/>
          <w:highlight w:val="none"/>
        </w:rPr>
      </w:pPr>
    </w:p>
    <w:p w14:paraId="42F09FEB">
      <w:pPr>
        <w:autoSpaceDE w:val="0"/>
        <w:autoSpaceDN w:val="0"/>
        <w:jc w:val="center"/>
        <w:rPr>
          <w:rFonts w:ascii="宋体" w:hAnsi="宋体"/>
          <w:color w:val="auto"/>
          <w:sz w:val="32"/>
          <w:szCs w:val="32"/>
          <w:highlight w:val="none"/>
          <w:lang w:val="zh-CN"/>
        </w:rPr>
      </w:pPr>
      <w:r>
        <w:rPr>
          <w:rFonts w:hint="eastAsia" w:ascii="宋体" w:hAnsi="宋体"/>
          <w:color w:val="auto"/>
          <w:spacing w:val="6"/>
          <w:sz w:val="32"/>
          <w:szCs w:val="32"/>
          <w:highlight w:val="none"/>
        </w:rPr>
        <w:t>附件</w:t>
      </w:r>
      <w:r>
        <w:rPr>
          <w:rFonts w:ascii="宋体" w:hAnsi="宋体"/>
          <w:color w:val="auto"/>
          <w:spacing w:val="6"/>
          <w:sz w:val="32"/>
          <w:szCs w:val="32"/>
          <w:highlight w:val="none"/>
        </w:rPr>
        <w:t>5</w:t>
      </w:r>
      <w:r>
        <w:rPr>
          <w:rFonts w:hint="eastAsia" w:ascii="宋体" w:hAnsi="宋体"/>
          <w:color w:val="auto"/>
          <w:spacing w:val="6"/>
          <w:sz w:val="32"/>
          <w:szCs w:val="32"/>
          <w:highlight w:val="none"/>
        </w:rPr>
        <w:t>：</w:t>
      </w:r>
      <w:r>
        <w:rPr>
          <w:rFonts w:hint="eastAsia" w:ascii="宋体" w:hAnsi="宋体"/>
          <w:color w:val="auto"/>
          <w:sz w:val="32"/>
          <w:szCs w:val="32"/>
          <w:highlight w:val="none"/>
          <w:lang w:val="zh-CN"/>
        </w:rPr>
        <w:t>联合协议</w:t>
      </w:r>
    </w:p>
    <w:p w14:paraId="1BA4ECBC">
      <w:pPr>
        <w:widowControl/>
        <w:spacing w:line="360" w:lineRule="auto"/>
        <w:ind w:firstLine="480" w:firstLineChars="200"/>
        <w:jc w:val="left"/>
        <w:rPr>
          <w:rFonts w:ascii="宋体" w:hAnsi="宋体"/>
          <w:b w:val="0"/>
          <w:bCs/>
          <w:color w:val="auto"/>
          <w:sz w:val="24"/>
          <w:highlight w:val="none"/>
        </w:rPr>
      </w:pPr>
      <w:r>
        <w:rPr>
          <w:rFonts w:hint="eastAsia" w:ascii="宋体" w:hAnsi="宋体"/>
          <w:b w:val="0"/>
          <w:bCs/>
          <w:color w:val="auto"/>
          <w:sz w:val="24"/>
          <w:highlight w:val="none"/>
        </w:rPr>
        <w:t>（以联合体形式投标的，提供联合协议；本项目不接受联合体投标或者投标人不以联合体形式投标的，则不需要提供）</w:t>
      </w:r>
    </w:p>
    <w:p w14:paraId="5CF91160">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u w:val="single"/>
        </w:rPr>
        <w:t>（联合体所有成员名称）</w:t>
      </w:r>
      <w:r>
        <w:rPr>
          <w:rFonts w:hint="eastAsia" w:ascii="宋体" w:hAnsi="宋体"/>
          <w:b w:val="0"/>
          <w:bCs/>
          <w:color w:val="auto"/>
          <w:sz w:val="24"/>
          <w:highlight w:val="none"/>
        </w:rPr>
        <w:t>自愿</w:t>
      </w:r>
      <w:r>
        <w:rPr>
          <w:rFonts w:hint="eastAsia" w:ascii="宋体" w:hAnsi="宋体"/>
          <w:b w:val="0"/>
          <w:bCs/>
          <w:color w:val="auto"/>
          <w:sz w:val="24"/>
          <w:highlight w:val="none"/>
          <w:lang w:val="zh-CN"/>
        </w:rPr>
        <w:t>组成一个联合体，以一个投标人的身份</w:t>
      </w:r>
      <w:r>
        <w:rPr>
          <w:rFonts w:hint="eastAsia" w:ascii="宋体" w:hAnsi="宋体"/>
          <w:b w:val="0"/>
          <w:bCs/>
          <w:color w:val="auto"/>
          <w:sz w:val="24"/>
          <w:highlight w:val="none"/>
        </w:rPr>
        <w:t>参加</w:t>
      </w:r>
      <w:r>
        <w:rPr>
          <w:rFonts w:hint="eastAsia" w:ascii="宋体" w:hAnsi="宋体"/>
          <w:b w:val="0"/>
          <w:bCs/>
          <w:color w:val="auto"/>
          <w:sz w:val="24"/>
          <w:highlight w:val="none"/>
          <w:lang w:eastAsia="zh-CN"/>
        </w:rPr>
        <w:t>永嘉县瓯北第三小学科学实验室设备</w:t>
      </w:r>
      <w:r>
        <w:rPr>
          <w:rFonts w:hint="eastAsia" w:ascii="宋体" w:hAnsi="宋体"/>
          <w:b w:val="0"/>
          <w:bCs/>
          <w:color w:val="auto"/>
          <w:sz w:val="24"/>
          <w:highlight w:val="none"/>
        </w:rPr>
        <w:t>项目【招标编号：】</w:t>
      </w:r>
      <w:r>
        <w:rPr>
          <w:rFonts w:hint="eastAsia" w:ascii="宋体" w:hAnsi="宋体"/>
          <w:b w:val="0"/>
          <w:bCs/>
          <w:color w:val="auto"/>
          <w:sz w:val="24"/>
          <w:highlight w:val="none"/>
          <w:lang w:val="zh-CN"/>
        </w:rPr>
        <w:t xml:space="preserve">投标。 </w:t>
      </w:r>
    </w:p>
    <w:p w14:paraId="06D7282A">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一、各方一致决定，</w:t>
      </w:r>
      <w:r>
        <w:rPr>
          <w:rFonts w:hint="eastAsia" w:ascii="宋体" w:hAnsi="宋体"/>
          <w:b w:val="0"/>
          <w:bCs/>
          <w:color w:val="auto"/>
          <w:sz w:val="24"/>
          <w:highlight w:val="none"/>
          <w:u w:val="single"/>
        </w:rPr>
        <w:t>（某联合体成员名称）</w:t>
      </w:r>
      <w:r>
        <w:rPr>
          <w:rFonts w:hint="eastAsia" w:ascii="宋体" w:hAnsi="宋体"/>
          <w:b w:val="0"/>
          <w:bCs/>
          <w:color w:val="auto"/>
          <w:sz w:val="24"/>
          <w:highlight w:val="none"/>
        </w:rPr>
        <w:t>为联合体</w:t>
      </w:r>
      <w:r>
        <w:rPr>
          <w:rFonts w:hint="eastAsia" w:ascii="宋体" w:hAnsi="宋体"/>
          <w:b w:val="0"/>
          <w:bCs/>
          <w:color w:val="auto"/>
          <w:sz w:val="24"/>
          <w:highlight w:val="none"/>
          <w:lang w:val="zh-CN"/>
        </w:rPr>
        <w:t>牵头人</w:t>
      </w:r>
      <w:r>
        <w:rPr>
          <w:rFonts w:hint="eastAsia" w:ascii="宋体" w:hAnsi="宋体"/>
          <w:b w:val="0"/>
          <w:bCs/>
          <w:color w:val="auto"/>
          <w:sz w:val="24"/>
          <w:highlight w:val="none"/>
        </w:rPr>
        <w:t>，代表所有联合体成员负责投标和合同实施阶段的主办、协调工作</w:t>
      </w:r>
      <w:r>
        <w:rPr>
          <w:rFonts w:hint="eastAsia" w:ascii="宋体" w:hAnsi="宋体"/>
          <w:b w:val="0"/>
          <w:bCs/>
          <w:color w:val="auto"/>
          <w:sz w:val="24"/>
          <w:highlight w:val="none"/>
          <w:lang w:val="zh-CN"/>
        </w:rPr>
        <w:t>。</w:t>
      </w:r>
    </w:p>
    <w:p w14:paraId="5CB7503D">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二、</w:t>
      </w:r>
      <w:r>
        <w:rPr>
          <w:rFonts w:hint="eastAsia" w:ascii="宋体" w:hAnsi="宋体"/>
          <w:b w:val="0"/>
          <w:bCs/>
          <w:color w:val="auto"/>
          <w:sz w:val="24"/>
          <w:highlight w:val="none"/>
        </w:rPr>
        <w:t>所有联合体成员各方签署授权书，授权书载明的</w:t>
      </w:r>
      <w:r>
        <w:rPr>
          <w:rFonts w:hint="eastAsia" w:ascii="宋体" w:hAnsi="宋体"/>
          <w:b w:val="0"/>
          <w:bCs/>
          <w:color w:val="auto"/>
          <w:sz w:val="24"/>
          <w:highlight w:val="none"/>
          <w:lang w:val="zh-CN"/>
        </w:rPr>
        <w:t>授权代表根据招标文件规定及投标内容而对采购人、采购代理机构所作的任何合法承诺，包括书面澄清及相应等均对联合投标各方产生约束力。</w:t>
      </w:r>
    </w:p>
    <w:p w14:paraId="626C4F66">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三、本次联合投标中，分工如下：</w:t>
      </w:r>
    </w:p>
    <w:p w14:paraId="07DEA9B1">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u w:val="single"/>
        </w:rPr>
        <w:t>（联合体成员1）</w:t>
      </w:r>
      <w:r>
        <w:rPr>
          <w:rFonts w:hint="eastAsia" w:ascii="宋体" w:hAnsi="宋体"/>
          <w:b w:val="0"/>
          <w:bCs/>
          <w:color w:val="auto"/>
          <w:sz w:val="24"/>
          <w:highlight w:val="none"/>
          <w:lang w:val="zh-CN"/>
        </w:rPr>
        <w:t>承担的工作和义务为：</w:t>
      </w:r>
      <w:r>
        <w:rPr>
          <w:rFonts w:hint="eastAsia" w:ascii="宋体" w:hAnsi="宋体"/>
          <w:b w:val="0"/>
          <w:bCs/>
          <w:color w:val="auto"/>
          <w:highlight w:val="none"/>
          <w:u w:val="single"/>
        </w:rPr>
        <w:t xml:space="preserve">             </w:t>
      </w:r>
      <w:r>
        <w:rPr>
          <w:rFonts w:hint="eastAsia" w:ascii="宋体" w:hAnsi="宋体"/>
          <w:b w:val="0"/>
          <w:bCs/>
          <w:color w:val="auto"/>
          <w:sz w:val="24"/>
          <w:highlight w:val="none"/>
          <w:lang w:val="zh-CN"/>
        </w:rPr>
        <w:t>；</w:t>
      </w:r>
    </w:p>
    <w:p w14:paraId="57CED858">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u w:val="single"/>
        </w:rPr>
        <w:t>（联合体成员</w:t>
      </w:r>
      <w:r>
        <w:rPr>
          <w:rFonts w:ascii="宋体" w:hAnsi="宋体"/>
          <w:b w:val="0"/>
          <w:bCs/>
          <w:color w:val="auto"/>
          <w:sz w:val="24"/>
          <w:highlight w:val="none"/>
          <w:u w:val="single"/>
        </w:rPr>
        <w:t>2</w:t>
      </w:r>
      <w:r>
        <w:rPr>
          <w:rFonts w:hint="eastAsia" w:ascii="宋体" w:hAnsi="宋体"/>
          <w:b w:val="0"/>
          <w:bCs/>
          <w:color w:val="auto"/>
          <w:sz w:val="24"/>
          <w:highlight w:val="none"/>
          <w:u w:val="single"/>
        </w:rPr>
        <w:t>）</w:t>
      </w:r>
      <w:r>
        <w:rPr>
          <w:rFonts w:hint="eastAsia" w:ascii="宋体" w:hAnsi="宋体"/>
          <w:b w:val="0"/>
          <w:bCs/>
          <w:color w:val="auto"/>
          <w:sz w:val="24"/>
          <w:highlight w:val="none"/>
          <w:lang w:val="zh-CN"/>
        </w:rPr>
        <w:t>承担的工作和义务为：</w:t>
      </w:r>
      <w:r>
        <w:rPr>
          <w:rFonts w:hint="eastAsia" w:ascii="宋体" w:hAnsi="宋体"/>
          <w:b w:val="0"/>
          <w:bCs/>
          <w:color w:val="auto"/>
          <w:highlight w:val="none"/>
          <w:u w:val="single"/>
        </w:rPr>
        <w:t xml:space="preserve">             </w:t>
      </w:r>
      <w:r>
        <w:rPr>
          <w:rFonts w:hint="eastAsia" w:ascii="宋体" w:hAnsi="宋体"/>
          <w:b w:val="0"/>
          <w:bCs/>
          <w:color w:val="auto"/>
          <w:sz w:val="24"/>
          <w:highlight w:val="none"/>
          <w:lang w:val="zh-CN"/>
        </w:rPr>
        <w:t>；</w:t>
      </w:r>
    </w:p>
    <w:p w14:paraId="71127519">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w:t>
      </w:r>
    </w:p>
    <w:p w14:paraId="0F431C54">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四、联合体成员中小企业合同份额。</w:t>
      </w:r>
    </w:p>
    <w:p w14:paraId="6845E814">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1、</w:t>
      </w:r>
      <w:r>
        <w:rPr>
          <w:rFonts w:hint="eastAsia" w:ascii="宋体" w:hAnsi="宋体"/>
          <w:b w:val="0"/>
          <w:bCs/>
          <w:color w:val="auto"/>
          <w:sz w:val="24"/>
          <w:highlight w:val="none"/>
          <w:u w:val="single"/>
        </w:rPr>
        <w:t>（</w:t>
      </w:r>
      <w:bookmarkStart w:id="404" w:name="_Hlk101131882"/>
      <w:r>
        <w:rPr>
          <w:rFonts w:hint="eastAsia" w:ascii="宋体" w:hAnsi="宋体"/>
          <w:b w:val="0"/>
          <w:bCs/>
          <w:color w:val="auto"/>
          <w:sz w:val="24"/>
          <w:highlight w:val="none"/>
          <w:u w:val="single"/>
        </w:rPr>
        <w:t>联合体成员X</w:t>
      </w:r>
      <w:r>
        <w:rPr>
          <w:rFonts w:ascii="宋体" w:hAnsi="宋体"/>
          <w:b w:val="0"/>
          <w:bCs/>
          <w:color w:val="auto"/>
          <w:sz w:val="24"/>
          <w:highlight w:val="none"/>
          <w:u w:val="single"/>
        </w:rPr>
        <w:t>,</w:t>
      </w:r>
      <w:r>
        <w:rPr>
          <w:rFonts w:hint="eastAsia" w:ascii="宋体" w:hAnsi="宋体"/>
          <w:b w:val="0"/>
          <w:bCs/>
          <w:color w:val="auto"/>
          <w:sz w:val="24"/>
          <w:highlight w:val="none"/>
          <w:u w:val="single"/>
        </w:rPr>
        <w:t>……</w:t>
      </w:r>
      <w:bookmarkEnd w:id="404"/>
      <w:r>
        <w:rPr>
          <w:rFonts w:hint="eastAsia" w:ascii="宋体" w:hAnsi="宋体"/>
          <w:b w:val="0"/>
          <w:bCs/>
          <w:color w:val="auto"/>
          <w:sz w:val="24"/>
          <w:highlight w:val="none"/>
          <w:u w:val="single"/>
        </w:rPr>
        <w:t>）</w:t>
      </w:r>
      <w:r>
        <w:rPr>
          <w:rFonts w:hint="eastAsia" w:ascii="宋体" w:hAnsi="宋体"/>
          <w:b w:val="0"/>
          <w:bCs/>
          <w:color w:val="auto"/>
          <w:sz w:val="24"/>
          <w:highlight w:val="none"/>
        </w:rPr>
        <w:t>提供的服务由小微企业承接，其合同份额占到合同总金额</w:t>
      </w:r>
      <w:r>
        <w:rPr>
          <w:rFonts w:hint="eastAsia" w:ascii="宋体" w:hAnsi="宋体"/>
          <w:b w:val="0"/>
          <w:bCs/>
          <w:color w:val="auto"/>
          <w:sz w:val="24"/>
          <w:highlight w:val="none"/>
          <w:u w:val="single"/>
        </w:rPr>
        <w:t xml:space="preserve">     </w:t>
      </w:r>
      <w:r>
        <w:rPr>
          <w:rFonts w:hint="eastAsia" w:ascii="宋体" w:hAnsi="宋体"/>
          <w:b w:val="0"/>
          <w:bCs/>
          <w:color w:val="auto"/>
          <w:sz w:val="24"/>
          <w:highlight w:val="none"/>
        </w:rPr>
        <w:t>%以上</w:t>
      </w:r>
      <w:r>
        <w:rPr>
          <w:rFonts w:hint="eastAsia" w:ascii="宋体" w:hAnsi="宋体"/>
          <w:b w:val="0"/>
          <w:bCs/>
          <w:color w:val="auto"/>
          <w:sz w:val="24"/>
          <w:highlight w:val="none"/>
          <w:lang w:val="zh-CN"/>
        </w:rPr>
        <w:t>。（</w:t>
      </w:r>
      <w:bookmarkStart w:id="405" w:name="_Hlk101133598"/>
      <w:r>
        <w:rPr>
          <w:rFonts w:hint="eastAsia" w:ascii="宋体" w:hAnsi="宋体"/>
          <w:b w:val="0"/>
          <w:bCs/>
          <w:color w:val="auto"/>
          <w:sz w:val="24"/>
          <w:highlight w:val="none"/>
          <w:lang w:val="zh-CN"/>
        </w:rPr>
        <w:t>未预留份额专门面向中小企业采购的采购项目，以及预留份额中的非预留部分采购包，接受联合体投标的，联合协议约定小微企业的合同份额占到合同总金额30%以上的，对联合体报价按评标标准确定的比例给予扣除。供应商</w:t>
      </w:r>
      <w:r>
        <w:rPr>
          <w:rFonts w:hint="eastAsia" w:ascii="宋体" w:hAnsi="宋体"/>
          <w:b w:val="0"/>
          <w:bCs/>
          <w:color w:val="auto"/>
          <w:sz w:val="24"/>
          <w:highlight w:val="none"/>
        </w:rPr>
        <w:t>拟享受以上价格扣除政策的，填写有关内容。</w:t>
      </w:r>
      <w:bookmarkEnd w:id="405"/>
      <w:r>
        <w:rPr>
          <w:rFonts w:hint="eastAsia" w:ascii="宋体" w:hAnsi="宋体"/>
          <w:b w:val="0"/>
          <w:bCs/>
          <w:color w:val="auto"/>
          <w:sz w:val="24"/>
          <w:highlight w:val="none"/>
          <w:lang w:val="zh-CN"/>
        </w:rPr>
        <w:t>）</w:t>
      </w:r>
    </w:p>
    <w:p w14:paraId="12E88AAA">
      <w:pPr>
        <w:spacing w:line="360" w:lineRule="auto"/>
        <w:ind w:firstLine="480" w:firstLineChars="200"/>
        <w:rPr>
          <w:rFonts w:ascii="宋体" w:hAnsi="宋体"/>
          <w:b w:val="0"/>
          <w:bCs/>
          <w:color w:val="auto"/>
          <w:sz w:val="24"/>
          <w:highlight w:val="none"/>
          <w:lang w:val="zh-CN"/>
        </w:rPr>
      </w:pPr>
      <w:r>
        <w:rPr>
          <w:rFonts w:hint="eastAsia" w:ascii="宋体" w:hAnsi="宋体"/>
          <w:b w:val="0"/>
          <w:bCs/>
          <w:color w:val="auto"/>
          <w:sz w:val="24"/>
          <w:highlight w:val="none"/>
        </w:rPr>
        <w:t>2、</w:t>
      </w:r>
      <w:bookmarkStart w:id="406" w:name="_Hlk101133173"/>
      <w:r>
        <w:rPr>
          <w:rFonts w:hint="eastAsia" w:ascii="宋体" w:hAnsi="宋体"/>
          <w:b w:val="0"/>
          <w:bCs/>
          <w:color w:val="auto"/>
          <w:sz w:val="24"/>
          <w:highlight w:val="none"/>
        </w:rPr>
        <w:t>中小企业合同金额达到</w:t>
      </w:r>
      <w:r>
        <w:rPr>
          <w:rFonts w:hint="eastAsia" w:ascii="宋体" w:hAnsi="宋体"/>
          <w:b w:val="0"/>
          <w:bCs/>
          <w:color w:val="auto"/>
          <w:sz w:val="24"/>
          <w:highlight w:val="none"/>
          <w:u w:val="single"/>
        </w:rPr>
        <w:t xml:space="preserve">  </w:t>
      </w:r>
      <w:r>
        <w:rPr>
          <w:rFonts w:hint="eastAsia" w:ascii="宋体" w:hAnsi="宋体"/>
          <w:b w:val="0"/>
          <w:bCs/>
          <w:color w:val="auto"/>
          <w:sz w:val="24"/>
          <w:highlight w:val="none"/>
        </w:rPr>
        <w:t>%，小微企业合同金额达到</w:t>
      </w:r>
      <w:r>
        <w:rPr>
          <w:rFonts w:hint="eastAsia" w:ascii="宋体" w:hAnsi="宋体"/>
          <w:b w:val="0"/>
          <w:bCs/>
          <w:color w:val="auto"/>
          <w:sz w:val="24"/>
          <w:highlight w:val="none"/>
          <w:u w:val="single"/>
        </w:rPr>
        <w:t xml:space="preserve"> </w:t>
      </w:r>
      <w:r>
        <w:rPr>
          <w:rFonts w:hint="eastAsia" w:ascii="宋体" w:hAnsi="宋体"/>
          <w:b w:val="0"/>
          <w:bCs/>
          <w:color w:val="auto"/>
          <w:sz w:val="24"/>
          <w:highlight w:val="none"/>
        </w:rPr>
        <w:t>%</w:t>
      </w:r>
      <w:r>
        <w:rPr>
          <w:rFonts w:hint="eastAsia" w:ascii="宋体" w:hAnsi="宋体"/>
          <w:b w:val="0"/>
          <w:bCs/>
          <w:color w:val="auto"/>
          <w:sz w:val="24"/>
          <w:highlight w:val="none"/>
          <w:lang w:val="zh-CN"/>
        </w:rPr>
        <w:t>。（</w:t>
      </w:r>
      <w:r>
        <w:rPr>
          <w:rFonts w:hint="eastAsia" w:ascii="宋体" w:hAnsi="宋体"/>
          <w:b w:val="0"/>
          <w:bCs/>
          <w:color w:val="auto"/>
          <w:sz w:val="24"/>
          <w:highlight w:val="none"/>
        </w:rPr>
        <w:t>要求以联合体形式参加的项目或采购包，供应商按招标文件第一部分招标公告申请人的资格要求中规定的联合协议中中小企业、小微企业合同金额应当达到的比例要求填写。</w:t>
      </w:r>
      <w:r>
        <w:rPr>
          <w:rFonts w:hint="eastAsia" w:ascii="宋体" w:hAnsi="宋体"/>
          <w:b w:val="0"/>
          <w:bCs/>
          <w:color w:val="auto"/>
          <w:sz w:val="24"/>
          <w:highlight w:val="none"/>
          <w:lang w:val="zh-CN"/>
        </w:rPr>
        <w:t>）</w:t>
      </w:r>
      <w:bookmarkEnd w:id="406"/>
    </w:p>
    <w:p w14:paraId="67763841">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五、如果中标，</w:t>
      </w:r>
      <w:r>
        <w:rPr>
          <w:rFonts w:hint="eastAsia" w:ascii="宋体" w:hAnsi="宋体"/>
          <w:b w:val="0"/>
          <w:bCs/>
          <w:color w:val="auto"/>
          <w:sz w:val="24"/>
          <w:highlight w:val="none"/>
        </w:rPr>
        <w:t>联合体各成员方共同与采购人签订合同，并就采购合同约定的事项对采购人承担连带责任。</w:t>
      </w:r>
    </w:p>
    <w:p w14:paraId="178DB117">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六、有关本次联合投标的其他事宜：</w:t>
      </w:r>
    </w:p>
    <w:p w14:paraId="28A6E386">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1、联合体各方不再单独参加或者与其他供应商另外组成联合体参加同一合同项下的政府采购活动。</w:t>
      </w:r>
    </w:p>
    <w:p w14:paraId="6D695812">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2、联合体中有同类资质的各方按照联合体分工承担相同工作的，按照资质等级较低的供应商确定资质等级。</w:t>
      </w:r>
    </w:p>
    <w:p w14:paraId="4B357A46">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3、本协议提交采购人、采购代理机构后，联合体各方不得以任何形式对上述内容进行修改或撤销。</w:t>
      </w:r>
    </w:p>
    <w:p w14:paraId="73868FD7">
      <w:pPr>
        <w:snapToGrid w:val="0"/>
        <w:spacing w:line="360" w:lineRule="auto"/>
        <w:ind w:firstLine="5040" w:firstLineChars="2100"/>
        <w:rPr>
          <w:rFonts w:ascii="宋体" w:hAnsi="宋体"/>
          <w:b w:val="0"/>
          <w:bCs/>
          <w:color w:val="auto"/>
          <w:sz w:val="24"/>
          <w:highlight w:val="none"/>
          <w:lang w:val="zh-CN"/>
        </w:rPr>
      </w:pPr>
      <w:r>
        <w:rPr>
          <w:rFonts w:hint="eastAsia" w:ascii="宋体" w:hAnsi="宋体"/>
          <w:b w:val="0"/>
          <w:bCs/>
          <w:color w:val="auto"/>
          <w:sz w:val="24"/>
          <w:highlight w:val="none"/>
          <w:lang w:val="zh-CN"/>
        </w:rPr>
        <w:t>联合体成员名称(电子签名/公章)：</w:t>
      </w:r>
    </w:p>
    <w:p w14:paraId="4B5299A1">
      <w:pPr>
        <w:snapToGrid w:val="0"/>
        <w:spacing w:line="360" w:lineRule="auto"/>
        <w:ind w:firstLine="5040" w:firstLineChars="2100"/>
        <w:rPr>
          <w:rFonts w:ascii="宋体" w:hAnsi="宋体"/>
          <w:b w:val="0"/>
          <w:bCs/>
          <w:color w:val="auto"/>
          <w:sz w:val="24"/>
          <w:highlight w:val="none"/>
          <w:lang w:val="zh-CN"/>
        </w:rPr>
      </w:pPr>
      <w:r>
        <w:rPr>
          <w:rFonts w:hint="eastAsia" w:ascii="宋体" w:hAnsi="宋体"/>
          <w:b w:val="0"/>
          <w:bCs/>
          <w:color w:val="auto"/>
          <w:sz w:val="24"/>
          <w:highlight w:val="none"/>
          <w:lang w:val="zh-CN"/>
        </w:rPr>
        <w:t>联合体成员名称(电子签名/公章)：</w:t>
      </w:r>
    </w:p>
    <w:p w14:paraId="60B9FE30">
      <w:pPr>
        <w:snapToGrid w:val="0"/>
        <w:spacing w:line="360" w:lineRule="auto"/>
        <w:ind w:right="960"/>
        <w:jc w:val="center"/>
        <w:rPr>
          <w:rFonts w:ascii="宋体" w:hAnsi="宋体"/>
          <w:b w:val="0"/>
          <w:bCs/>
          <w:color w:val="auto"/>
          <w:sz w:val="24"/>
          <w:highlight w:val="none"/>
          <w:lang w:val="zh-CN"/>
        </w:rPr>
      </w:pPr>
      <w:r>
        <w:rPr>
          <w:rFonts w:hint="eastAsia" w:ascii="宋体" w:hAnsi="宋体"/>
          <w:b w:val="0"/>
          <w:bCs/>
          <w:color w:val="auto"/>
          <w:sz w:val="24"/>
          <w:highlight w:val="none"/>
          <w:lang w:val="zh-CN"/>
        </w:rPr>
        <w:t xml:space="preserve">                   ……</w:t>
      </w:r>
    </w:p>
    <w:p w14:paraId="1F4D67A3">
      <w:pPr>
        <w:snapToGrid w:val="0"/>
        <w:spacing w:line="360" w:lineRule="auto"/>
        <w:jc w:val="right"/>
        <w:rPr>
          <w:rFonts w:ascii="宋体" w:hAnsi="宋体"/>
          <w:b w:val="0"/>
          <w:bCs/>
          <w:color w:val="auto"/>
          <w:sz w:val="24"/>
          <w:highlight w:val="none"/>
          <w:lang w:val="zh-CN"/>
        </w:rPr>
      </w:pPr>
      <w:r>
        <w:rPr>
          <w:rFonts w:hint="eastAsia" w:ascii="宋体" w:hAnsi="宋体"/>
          <w:b w:val="0"/>
          <w:bCs/>
          <w:color w:val="auto"/>
          <w:sz w:val="24"/>
          <w:highlight w:val="none"/>
          <w:lang w:val="zh-CN"/>
        </w:rPr>
        <w:t>日期：  年  月   日</w:t>
      </w:r>
    </w:p>
    <w:p w14:paraId="73084E52">
      <w:pPr>
        <w:spacing w:line="360" w:lineRule="auto"/>
        <w:ind w:right="420"/>
        <w:rPr>
          <w:rFonts w:ascii="宋体" w:hAnsi="宋体"/>
          <w:b w:val="0"/>
          <w:bCs/>
          <w:color w:val="auto"/>
          <w:sz w:val="24"/>
          <w:highlight w:val="none"/>
        </w:rPr>
      </w:pPr>
      <w:r>
        <w:rPr>
          <w:rFonts w:hint="eastAsia" w:ascii="宋体" w:hAnsi="宋体"/>
          <w:b w:val="0"/>
          <w:bCs/>
          <w:color w:val="auto"/>
          <w:sz w:val="24"/>
          <w:highlight w:val="none"/>
        </w:rPr>
        <w:t>注：按本格式和要求提供。</w:t>
      </w:r>
    </w:p>
    <w:p w14:paraId="5752F05E">
      <w:pPr>
        <w:autoSpaceDE w:val="0"/>
        <w:autoSpaceDN w:val="0"/>
        <w:jc w:val="center"/>
        <w:rPr>
          <w:rFonts w:ascii="宋体" w:hAnsi="宋体"/>
          <w:color w:val="auto"/>
          <w:spacing w:val="6"/>
          <w:sz w:val="32"/>
          <w:szCs w:val="32"/>
          <w:highlight w:val="none"/>
        </w:rPr>
      </w:pPr>
    </w:p>
    <w:p w14:paraId="1298F338">
      <w:pPr>
        <w:autoSpaceDE w:val="0"/>
        <w:autoSpaceDN w:val="0"/>
        <w:jc w:val="center"/>
        <w:rPr>
          <w:rFonts w:ascii="宋体" w:hAnsi="宋体"/>
          <w:color w:val="auto"/>
          <w:spacing w:val="6"/>
          <w:sz w:val="32"/>
          <w:szCs w:val="32"/>
          <w:highlight w:val="none"/>
        </w:rPr>
      </w:pPr>
    </w:p>
    <w:p w14:paraId="575E0407">
      <w:pPr>
        <w:autoSpaceDE w:val="0"/>
        <w:autoSpaceDN w:val="0"/>
        <w:jc w:val="center"/>
        <w:rPr>
          <w:rFonts w:ascii="宋体" w:hAnsi="宋体"/>
          <w:color w:val="auto"/>
          <w:spacing w:val="6"/>
          <w:sz w:val="32"/>
          <w:szCs w:val="32"/>
          <w:highlight w:val="none"/>
        </w:rPr>
      </w:pPr>
    </w:p>
    <w:p w14:paraId="17EC07EB">
      <w:pPr>
        <w:autoSpaceDE w:val="0"/>
        <w:autoSpaceDN w:val="0"/>
        <w:jc w:val="center"/>
        <w:rPr>
          <w:rFonts w:ascii="宋体" w:hAnsi="宋体"/>
          <w:color w:val="auto"/>
          <w:spacing w:val="6"/>
          <w:sz w:val="32"/>
          <w:szCs w:val="32"/>
          <w:highlight w:val="none"/>
        </w:rPr>
      </w:pPr>
    </w:p>
    <w:p w14:paraId="15757A09">
      <w:pPr>
        <w:autoSpaceDE w:val="0"/>
        <w:autoSpaceDN w:val="0"/>
        <w:jc w:val="center"/>
        <w:rPr>
          <w:rFonts w:ascii="宋体" w:hAnsi="宋体"/>
          <w:color w:val="auto"/>
          <w:spacing w:val="6"/>
          <w:sz w:val="32"/>
          <w:szCs w:val="32"/>
          <w:highlight w:val="none"/>
        </w:rPr>
      </w:pPr>
    </w:p>
    <w:p w14:paraId="051D28D2">
      <w:pPr>
        <w:autoSpaceDE w:val="0"/>
        <w:autoSpaceDN w:val="0"/>
        <w:jc w:val="center"/>
        <w:rPr>
          <w:rFonts w:ascii="宋体" w:hAnsi="宋体"/>
          <w:color w:val="auto"/>
          <w:spacing w:val="6"/>
          <w:sz w:val="32"/>
          <w:szCs w:val="32"/>
          <w:highlight w:val="none"/>
        </w:rPr>
      </w:pPr>
    </w:p>
    <w:p w14:paraId="19B17B1F">
      <w:pPr>
        <w:autoSpaceDE w:val="0"/>
        <w:autoSpaceDN w:val="0"/>
        <w:jc w:val="center"/>
        <w:rPr>
          <w:rFonts w:ascii="宋体" w:hAnsi="宋体"/>
          <w:color w:val="auto"/>
          <w:spacing w:val="6"/>
          <w:sz w:val="32"/>
          <w:szCs w:val="32"/>
          <w:highlight w:val="none"/>
        </w:rPr>
      </w:pPr>
    </w:p>
    <w:p w14:paraId="1F97D1EF">
      <w:pPr>
        <w:autoSpaceDE w:val="0"/>
        <w:autoSpaceDN w:val="0"/>
        <w:jc w:val="center"/>
        <w:rPr>
          <w:rFonts w:ascii="宋体" w:hAnsi="宋体"/>
          <w:color w:val="auto"/>
          <w:spacing w:val="6"/>
          <w:sz w:val="32"/>
          <w:szCs w:val="32"/>
          <w:highlight w:val="none"/>
        </w:rPr>
      </w:pPr>
    </w:p>
    <w:p w14:paraId="6F616072">
      <w:pPr>
        <w:autoSpaceDE w:val="0"/>
        <w:autoSpaceDN w:val="0"/>
        <w:jc w:val="center"/>
        <w:rPr>
          <w:rFonts w:ascii="宋体" w:hAnsi="宋体"/>
          <w:color w:val="auto"/>
          <w:spacing w:val="6"/>
          <w:sz w:val="32"/>
          <w:szCs w:val="32"/>
          <w:highlight w:val="none"/>
        </w:rPr>
      </w:pPr>
    </w:p>
    <w:p w14:paraId="72810F44">
      <w:pPr>
        <w:autoSpaceDE w:val="0"/>
        <w:autoSpaceDN w:val="0"/>
        <w:jc w:val="center"/>
        <w:rPr>
          <w:rFonts w:ascii="宋体" w:hAnsi="宋体"/>
          <w:color w:val="auto"/>
          <w:spacing w:val="6"/>
          <w:sz w:val="32"/>
          <w:szCs w:val="32"/>
          <w:highlight w:val="none"/>
        </w:rPr>
      </w:pPr>
    </w:p>
    <w:p w14:paraId="521763B8">
      <w:pPr>
        <w:autoSpaceDE w:val="0"/>
        <w:autoSpaceDN w:val="0"/>
        <w:jc w:val="center"/>
        <w:rPr>
          <w:rFonts w:ascii="宋体" w:hAnsi="宋体"/>
          <w:color w:val="auto"/>
          <w:spacing w:val="6"/>
          <w:sz w:val="32"/>
          <w:szCs w:val="32"/>
          <w:highlight w:val="none"/>
        </w:rPr>
      </w:pPr>
    </w:p>
    <w:p w14:paraId="5F5B4AF4">
      <w:pPr>
        <w:autoSpaceDE w:val="0"/>
        <w:autoSpaceDN w:val="0"/>
        <w:jc w:val="center"/>
        <w:rPr>
          <w:rFonts w:ascii="宋体" w:hAnsi="宋体"/>
          <w:color w:val="auto"/>
          <w:spacing w:val="6"/>
          <w:sz w:val="32"/>
          <w:szCs w:val="32"/>
          <w:highlight w:val="none"/>
        </w:rPr>
      </w:pPr>
    </w:p>
    <w:p w14:paraId="459B217C">
      <w:pPr>
        <w:autoSpaceDE w:val="0"/>
        <w:autoSpaceDN w:val="0"/>
        <w:jc w:val="center"/>
        <w:rPr>
          <w:rFonts w:ascii="宋体" w:hAnsi="宋体"/>
          <w:color w:val="auto"/>
          <w:spacing w:val="6"/>
          <w:sz w:val="32"/>
          <w:szCs w:val="32"/>
          <w:highlight w:val="none"/>
        </w:rPr>
      </w:pPr>
    </w:p>
    <w:p w14:paraId="3ED729B9">
      <w:pPr>
        <w:autoSpaceDE w:val="0"/>
        <w:autoSpaceDN w:val="0"/>
        <w:jc w:val="center"/>
        <w:rPr>
          <w:rFonts w:ascii="宋体" w:hAnsi="宋体"/>
          <w:color w:val="auto"/>
          <w:spacing w:val="6"/>
          <w:sz w:val="32"/>
          <w:szCs w:val="32"/>
          <w:highlight w:val="none"/>
        </w:rPr>
      </w:pPr>
    </w:p>
    <w:p w14:paraId="224A15CD">
      <w:pPr>
        <w:autoSpaceDE w:val="0"/>
        <w:autoSpaceDN w:val="0"/>
        <w:jc w:val="center"/>
        <w:rPr>
          <w:rFonts w:ascii="宋体" w:hAnsi="宋体"/>
          <w:color w:val="auto"/>
          <w:spacing w:val="6"/>
          <w:sz w:val="32"/>
          <w:szCs w:val="32"/>
          <w:highlight w:val="none"/>
        </w:rPr>
      </w:pPr>
    </w:p>
    <w:p w14:paraId="7188F13A">
      <w:pPr>
        <w:autoSpaceDE w:val="0"/>
        <w:autoSpaceDN w:val="0"/>
        <w:jc w:val="center"/>
        <w:rPr>
          <w:rFonts w:ascii="宋体" w:hAnsi="宋体"/>
          <w:color w:val="auto"/>
          <w:spacing w:val="6"/>
          <w:sz w:val="32"/>
          <w:szCs w:val="32"/>
          <w:highlight w:val="none"/>
        </w:rPr>
      </w:pPr>
    </w:p>
    <w:p w14:paraId="7C341DFC">
      <w:pPr>
        <w:autoSpaceDE w:val="0"/>
        <w:autoSpaceDN w:val="0"/>
        <w:jc w:val="center"/>
        <w:rPr>
          <w:rFonts w:ascii="宋体" w:hAnsi="宋体"/>
          <w:color w:val="auto"/>
          <w:spacing w:val="6"/>
          <w:sz w:val="32"/>
          <w:szCs w:val="32"/>
          <w:highlight w:val="none"/>
        </w:rPr>
      </w:pPr>
    </w:p>
    <w:p w14:paraId="6BB4B88D">
      <w:pPr>
        <w:autoSpaceDE w:val="0"/>
        <w:autoSpaceDN w:val="0"/>
        <w:jc w:val="center"/>
        <w:rPr>
          <w:rFonts w:ascii="宋体" w:hAnsi="宋体"/>
          <w:color w:val="auto"/>
          <w:spacing w:val="6"/>
          <w:sz w:val="32"/>
          <w:szCs w:val="32"/>
          <w:highlight w:val="none"/>
        </w:rPr>
      </w:pPr>
    </w:p>
    <w:p w14:paraId="283CEB13">
      <w:pPr>
        <w:autoSpaceDE w:val="0"/>
        <w:autoSpaceDN w:val="0"/>
        <w:jc w:val="center"/>
        <w:rPr>
          <w:rFonts w:ascii="宋体" w:hAnsi="宋体"/>
          <w:color w:val="auto"/>
          <w:spacing w:val="6"/>
          <w:sz w:val="32"/>
          <w:szCs w:val="32"/>
          <w:highlight w:val="none"/>
        </w:rPr>
      </w:pPr>
    </w:p>
    <w:p w14:paraId="2D138525">
      <w:pPr>
        <w:autoSpaceDE w:val="0"/>
        <w:autoSpaceDN w:val="0"/>
        <w:jc w:val="center"/>
        <w:rPr>
          <w:rFonts w:ascii="宋体" w:hAnsi="宋体"/>
          <w:color w:val="auto"/>
          <w:spacing w:val="6"/>
          <w:sz w:val="32"/>
          <w:szCs w:val="32"/>
          <w:highlight w:val="none"/>
        </w:rPr>
      </w:pPr>
    </w:p>
    <w:p w14:paraId="6D5FC2CC">
      <w:pPr>
        <w:autoSpaceDE w:val="0"/>
        <w:autoSpaceDN w:val="0"/>
        <w:jc w:val="center"/>
        <w:rPr>
          <w:rFonts w:ascii="宋体" w:hAnsi="宋体"/>
          <w:color w:val="auto"/>
          <w:spacing w:val="6"/>
          <w:sz w:val="32"/>
          <w:szCs w:val="32"/>
          <w:highlight w:val="none"/>
        </w:rPr>
      </w:pPr>
    </w:p>
    <w:p w14:paraId="6613342A">
      <w:pPr>
        <w:autoSpaceDE w:val="0"/>
        <w:autoSpaceDN w:val="0"/>
        <w:jc w:val="center"/>
        <w:rPr>
          <w:rFonts w:ascii="宋体" w:hAnsi="宋体"/>
          <w:color w:val="auto"/>
          <w:spacing w:val="6"/>
          <w:sz w:val="32"/>
          <w:szCs w:val="32"/>
          <w:highlight w:val="none"/>
        </w:rPr>
      </w:pPr>
    </w:p>
    <w:p w14:paraId="5C45FAA2">
      <w:pPr>
        <w:autoSpaceDE w:val="0"/>
        <w:autoSpaceDN w:val="0"/>
        <w:jc w:val="center"/>
        <w:rPr>
          <w:rFonts w:ascii="宋体" w:hAnsi="宋体"/>
          <w:color w:val="auto"/>
          <w:spacing w:val="6"/>
          <w:sz w:val="32"/>
          <w:szCs w:val="32"/>
          <w:highlight w:val="none"/>
        </w:rPr>
      </w:pPr>
    </w:p>
    <w:p w14:paraId="3F889D7C">
      <w:pPr>
        <w:widowControl/>
        <w:jc w:val="left"/>
        <w:rPr>
          <w:rFonts w:ascii="宋体" w:hAnsi="宋体"/>
          <w:color w:val="auto"/>
          <w:spacing w:val="6"/>
          <w:sz w:val="32"/>
          <w:szCs w:val="32"/>
          <w:highlight w:val="none"/>
        </w:rPr>
      </w:pPr>
    </w:p>
    <w:p w14:paraId="5E646DFA">
      <w:pPr>
        <w:snapToGrid w:val="0"/>
        <w:spacing w:line="360" w:lineRule="auto"/>
        <w:jc w:val="center"/>
        <w:rPr>
          <w:rFonts w:hint="eastAsia" w:ascii="宋体" w:hAnsi="宋体"/>
          <w:color w:val="auto"/>
          <w:spacing w:val="6"/>
          <w:sz w:val="32"/>
          <w:szCs w:val="32"/>
          <w:highlight w:val="none"/>
        </w:rPr>
      </w:pPr>
    </w:p>
    <w:p w14:paraId="579FAB3A">
      <w:pPr>
        <w:snapToGrid w:val="0"/>
        <w:spacing w:line="360" w:lineRule="auto"/>
        <w:jc w:val="center"/>
        <w:rPr>
          <w:rFonts w:ascii="宋体" w:hAnsi="宋体"/>
          <w:color w:val="auto"/>
          <w:sz w:val="32"/>
          <w:szCs w:val="32"/>
          <w:highlight w:val="none"/>
        </w:rPr>
      </w:pPr>
      <w:r>
        <w:rPr>
          <w:rFonts w:hint="eastAsia" w:ascii="宋体" w:hAnsi="宋体"/>
          <w:color w:val="auto"/>
          <w:spacing w:val="6"/>
          <w:sz w:val="32"/>
          <w:szCs w:val="32"/>
          <w:highlight w:val="none"/>
        </w:rPr>
        <w:t>附件</w:t>
      </w:r>
      <w:r>
        <w:rPr>
          <w:rFonts w:ascii="宋体" w:hAnsi="宋体"/>
          <w:color w:val="auto"/>
          <w:spacing w:val="6"/>
          <w:sz w:val="32"/>
          <w:szCs w:val="32"/>
          <w:highlight w:val="none"/>
        </w:rPr>
        <w:t>6</w:t>
      </w:r>
      <w:r>
        <w:rPr>
          <w:rFonts w:hint="eastAsia" w:ascii="宋体" w:hAnsi="宋体"/>
          <w:color w:val="auto"/>
          <w:spacing w:val="6"/>
          <w:sz w:val="32"/>
          <w:szCs w:val="32"/>
          <w:highlight w:val="none"/>
        </w:rPr>
        <w:t>：</w:t>
      </w:r>
      <w:r>
        <w:rPr>
          <w:rFonts w:hint="eastAsia" w:ascii="宋体" w:hAnsi="宋体"/>
          <w:color w:val="auto"/>
          <w:sz w:val="32"/>
          <w:szCs w:val="32"/>
          <w:highlight w:val="none"/>
        </w:rPr>
        <w:t>分包意向协议</w:t>
      </w:r>
    </w:p>
    <w:p w14:paraId="57F70C98">
      <w:pPr>
        <w:widowControl/>
        <w:spacing w:line="360" w:lineRule="auto"/>
        <w:ind w:firstLine="120" w:firstLineChars="50"/>
        <w:jc w:val="left"/>
        <w:rPr>
          <w:rFonts w:ascii="宋体" w:hAnsi="宋体"/>
          <w:b w:val="0"/>
          <w:bCs/>
          <w:color w:val="auto"/>
          <w:sz w:val="24"/>
          <w:highlight w:val="none"/>
        </w:rPr>
      </w:pPr>
      <w:r>
        <w:rPr>
          <w:rFonts w:hint="eastAsia" w:ascii="宋体" w:hAnsi="宋体"/>
          <w:b w:val="0"/>
          <w:bCs/>
          <w:color w:val="auto"/>
          <w:sz w:val="24"/>
          <w:highlight w:val="none"/>
        </w:rPr>
        <w:t>（中标后以分包方式履行合同的，提供分包意向协议；采购人不同意分包或者投标人中标后不以分包方式履行合同的，则不需要提供。）</w:t>
      </w:r>
    </w:p>
    <w:p w14:paraId="35AB7798">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u w:val="single"/>
        </w:rPr>
        <w:t>（投标人名称）</w:t>
      </w:r>
      <w:r>
        <w:rPr>
          <w:rFonts w:hint="eastAsia" w:ascii="宋体" w:hAnsi="宋体"/>
          <w:b w:val="0"/>
          <w:bCs/>
          <w:color w:val="auto"/>
          <w:sz w:val="24"/>
          <w:highlight w:val="none"/>
          <w:lang w:val="zh-CN"/>
        </w:rPr>
        <w:t>若成为</w:t>
      </w:r>
      <w:r>
        <w:rPr>
          <w:rFonts w:hint="eastAsia" w:ascii="宋体" w:hAnsi="宋体"/>
          <w:b w:val="0"/>
          <w:bCs/>
          <w:color w:val="auto"/>
          <w:sz w:val="24"/>
          <w:highlight w:val="none"/>
          <w:lang w:eastAsia="zh-CN"/>
        </w:rPr>
        <w:t>永嘉县瓯北第三小学科学实验室设备</w:t>
      </w:r>
      <w:r>
        <w:rPr>
          <w:rFonts w:hint="eastAsia" w:ascii="宋体" w:hAnsi="宋体"/>
          <w:b w:val="0"/>
          <w:bCs/>
          <w:color w:val="auto"/>
          <w:sz w:val="24"/>
          <w:highlight w:val="none"/>
        </w:rPr>
        <w:t>项目【招标编号：】</w:t>
      </w:r>
      <w:r>
        <w:rPr>
          <w:rFonts w:hint="eastAsia" w:ascii="宋体" w:hAnsi="宋体"/>
          <w:b w:val="0"/>
          <w:bCs/>
          <w:color w:val="auto"/>
          <w:sz w:val="24"/>
          <w:highlight w:val="none"/>
          <w:lang w:val="zh-CN"/>
        </w:rPr>
        <w:t>的中标供应商，将依法采取分包方式履行合同。</w:t>
      </w:r>
      <w:r>
        <w:rPr>
          <w:rFonts w:hint="eastAsia" w:ascii="宋体" w:hAnsi="宋体"/>
          <w:b w:val="0"/>
          <w:bCs/>
          <w:color w:val="auto"/>
          <w:sz w:val="24"/>
          <w:highlight w:val="none"/>
          <w:u w:val="single"/>
        </w:rPr>
        <w:t>（投标人名称）</w:t>
      </w:r>
      <w:r>
        <w:rPr>
          <w:rFonts w:hint="eastAsia" w:ascii="宋体" w:hAnsi="宋体"/>
          <w:b w:val="0"/>
          <w:bCs/>
          <w:color w:val="auto"/>
          <w:sz w:val="24"/>
          <w:highlight w:val="none"/>
        </w:rPr>
        <w:t>与</w:t>
      </w:r>
      <w:r>
        <w:rPr>
          <w:rFonts w:hint="eastAsia" w:ascii="宋体" w:hAnsi="宋体"/>
          <w:b w:val="0"/>
          <w:bCs/>
          <w:color w:val="auto"/>
          <w:sz w:val="24"/>
          <w:highlight w:val="none"/>
          <w:u w:val="single"/>
        </w:rPr>
        <w:t>（所有分包供应商名称）</w:t>
      </w:r>
      <w:r>
        <w:rPr>
          <w:rFonts w:hint="eastAsia" w:ascii="宋体" w:hAnsi="宋体"/>
          <w:b w:val="0"/>
          <w:bCs/>
          <w:color w:val="auto"/>
          <w:sz w:val="24"/>
          <w:highlight w:val="none"/>
        </w:rPr>
        <w:t>达成分包意向协议</w:t>
      </w:r>
      <w:r>
        <w:rPr>
          <w:rFonts w:hint="eastAsia" w:ascii="宋体" w:hAnsi="宋体"/>
          <w:b w:val="0"/>
          <w:bCs/>
          <w:color w:val="auto"/>
          <w:sz w:val="24"/>
          <w:highlight w:val="none"/>
          <w:lang w:val="zh-CN"/>
        </w:rPr>
        <w:t xml:space="preserve">。 </w:t>
      </w:r>
    </w:p>
    <w:p w14:paraId="4AD21B57">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一、分包标的及数量</w:t>
      </w:r>
    </w:p>
    <w:p w14:paraId="083D08C2">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u w:val="single"/>
        </w:rPr>
        <w:t>（投标人名称）</w:t>
      </w:r>
      <w:r>
        <w:rPr>
          <w:rFonts w:hint="eastAsia" w:ascii="宋体" w:hAnsi="宋体"/>
          <w:b w:val="0"/>
          <w:bCs/>
          <w:color w:val="auto"/>
          <w:sz w:val="24"/>
          <w:highlight w:val="none"/>
          <w:lang w:val="zh-CN"/>
        </w:rPr>
        <w:t>将</w:t>
      </w:r>
      <w:r>
        <w:rPr>
          <w:rFonts w:hint="eastAsia" w:ascii="宋体" w:hAnsi="宋体"/>
          <w:b w:val="0"/>
          <w:bCs/>
          <w:color w:val="auto"/>
          <w:highlight w:val="none"/>
          <w:u w:val="single"/>
        </w:rPr>
        <w:t xml:space="preserve">  </w:t>
      </w:r>
      <w:r>
        <w:rPr>
          <w:rFonts w:ascii="宋体" w:hAnsi="宋体"/>
          <w:b w:val="0"/>
          <w:bCs/>
          <w:color w:val="auto"/>
          <w:sz w:val="24"/>
          <w:highlight w:val="none"/>
          <w:u w:val="single"/>
        </w:rPr>
        <w:t xml:space="preserve"> XX工作内容   </w:t>
      </w:r>
      <w:r>
        <w:rPr>
          <w:rFonts w:hint="eastAsia" w:ascii="宋体" w:hAnsi="宋体"/>
          <w:b w:val="0"/>
          <w:bCs/>
          <w:color w:val="auto"/>
          <w:sz w:val="24"/>
          <w:highlight w:val="none"/>
        </w:rPr>
        <w:t>分包给</w:t>
      </w:r>
      <w:r>
        <w:rPr>
          <w:rFonts w:hint="eastAsia" w:ascii="宋体" w:hAnsi="宋体"/>
          <w:b w:val="0"/>
          <w:bCs/>
          <w:color w:val="auto"/>
          <w:sz w:val="24"/>
          <w:highlight w:val="none"/>
          <w:u w:val="single"/>
        </w:rPr>
        <w:t>（分包供应商1名称）</w:t>
      </w:r>
      <w:r>
        <w:rPr>
          <w:rFonts w:hint="eastAsia" w:ascii="宋体" w:hAnsi="宋体"/>
          <w:b w:val="0"/>
          <w:bCs/>
          <w:color w:val="auto"/>
          <w:sz w:val="24"/>
          <w:highlight w:val="none"/>
          <w:lang w:val="zh-CN"/>
        </w:rPr>
        <w:t>，</w:t>
      </w:r>
      <w:r>
        <w:rPr>
          <w:rFonts w:hint="eastAsia" w:ascii="宋体" w:hAnsi="宋体"/>
          <w:b w:val="0"/>
          <w:bCs/>
          <w:color w:val="auto"/>
          <w:sz w:val="24"/>
          <w:highlight w:val="none"/>
          <w:u w:val="single"/>
        </w:rPr>
        <w:t>（分包供应商2名称），</w:t>
      </w:r>
      <w:r>
        <w:rPr>
          <w:rFonts w:hint="eastAsia" w:ascii="宋体" w:hAnsi="宋体"/>
          <w:b w:val="0"/>
          <w:bCs/>
          <w:color w:val="auto"/>
          <w:sz w:val="24"/>
          <w:highlight w:val="none"/>
          <w:lang w:val="zh-CN"/>
        </w:rPr>
        <w:t>具备承</w:t>
      </w:r>
      <w:r>
        <w:rPr>
          <w:rFonts w:hint="eastAsia" w:ascii="宋体" w:hAnsi="宋体"/>
          <w:b w:val="0"/>
          <w:bCs/>
          <w:color w:val="auto"/>
          <w:sz w:val="24"/>
          <w:highlight w:val="none"/>
        </w:rPr>
        <w:t>担</w:t>
      </w:r>
      <w:r>
        <w:rPr>
          <w:rFonts w:hint="eastAsia" w:ascii="宋体" w:hAnsi="宋体"/>
          <w:b w:val="0"/>
          <w:bCs/>
          <w:color w:val="auto"/>
          <w:sz w:val="24"/>
          <w:highlight w:val="none"/>
          <w:u w:val="single"/>
          <w:lang w:val="zh-CN"/>
        </w:rPr>
        <w:t>XX工作内容</w:t>
      </w:r>
      <w:r>
        <w:rPr>
          <w:rFonts w:hint="eastAsia" w:ascii="宋体" w:hAnsi="宋体"/>
          <w:b w:val="0"/>
          <w:bCs/>
          <w:color w:val="auto"/>
          <w:sz w:val="24"/>
          <w:highlight w:val="none"/>
          <w:lang w:val="zh-CN"/>
        </w:rPr>
        <w:t>相应资质条件且不得再次分包；</w:t>
      </w:r>
    </w:p>
    <w:p w14:paraId="30CBC85B">
      <w:pPr>
        <w:pStyle w:val="3"/>
        <w:tabs>
          <w:tab w:val="left" w:pos="432"/>
          <w:tab w:val="clear" w:pos="576"/>
        </w:tabs>
        <w:ind w:left="664" w:leftChars="316" w:firstLine="288" w:firstLineChars="95"/>
        <w:rPr>
          <w:rFonts w:ascii="宋体" w:hAnsi="宋体" w:eastAsia="宋体" w:cs="宋体"/>
          <w:b w:val="0"/>
          <w:bCs/>
          <w:color w:val="auto"/>
          <w:sz w:val="24"/>
          <w:szCs w:val="24"/>
          <w:highlight w:val="none"/>
        </w:rPr>
      </w:pPr>
      <w:r>
        <w:rPr>
          <w:rFonts w:hint="eastAsia" w:ascii="宋体" w:hAnsi="宋体" w:eastAsia="宋体" w:cs="宋体"/>
          <w:b w:val="0"/>
          <w:bCs/>
          <w:color w:val="auto"/>
          <w:sz w:val="24"/>
          <w:szCs w:val="24"/>
          <w:highlight w:val="none"/>
        </w:rPr>
        <w:t>……</w:t>
      </w:r>
    </w:p>
    <w:p w14:paraId="1570BFC9">
      <w:pPr>
        <w:rPr>
          <w:b w:val="0"/>
          <w:bCs/>
          <w:color w:val="auto"/>
          <w:highlight w:val="none"/>
        </w:rPr>
      </w:pPr>
      <w:r>
        <w:rPr>
          <w:rFonts w:hint="eastAsia"/>
          <w:b w:val="0"/>
          <w:bCs/>
          <w:color w:val="auto"/>
          <w:highlight w:val="none"/>
          <w:lang w:val="zh-CN"/>
        </w:rPr>
        <w:t xml:space="preserve"> </w:t>
      </w:r>
    </w:p>
    <w:p w14:paraId="300C52C5">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二、分包供应商中小企业合同份额</w:t>
      </w:r>
    </w:p>
    <w:p w14:paraId="3A76183E">
      <w:pPr>
        <w:snapToGrid w:val="0"/>
        <w:spacing w:line="360" w:lineRule="auto"/>
        <w:ind w:firstLine="576"/>
        <w:rPr>
          <w:rFonts w:ascii="宋体" w:hAnsi="宋体"/>
          <w:b w:val="0"/>
          <w:bCs/>
          <w:color w:val="auto"/>
          <w:sz w:val="24"/>
          <w:highlight w:val="none"/>
          <w:lang w:val="zh-CN"/>
        </w:rPr>
      </w:pPr>
      <w:r>
        <w:rPr>
          <w:rFonts w:ascii="宋体" w:hAnsi="宋体"/>
          <w:b w:val="0"/>
          <w:bCs/>
          <w:color w:val="auto"/>
          <w:sz w:val="24"/>
          <w:highlight w:val="none"/>
        </w:rPr>
        <w:t>1、</w:t>
      </w:r>
      <w:r>
        <w:rPr>
          <w:rFonts w:hint="eastAsia" w:ascii="宋体" w:hAnsi="宋体"/>
          <w:b w:val="0"/>
          <w:bCs/>
          <w:color w:val="auto"/>
          <w:sz w:val="24"/>
          <w:highlight w:val="none"/>
          <w:u w:val="single"/>
        </w:rPr>
        <w:t>（分包供应商X</w:t>
      </w:r>
      <w:r>
        <w:rPr>
          <w:rFonts w:ascii="宋体" w:hAnsi="宋体"/>
          <w:b w:val="0"/>
          <w:bCs/>
          <w:color w:val="auto"/>
          <w:sz w:val="24"/>
          <w:highlight w:val="none"/>
          <w:u w:val="single"/>
        </w:rPr>
        <w:t>,</w:t>
      </w:r>
      <w:r>
        <w:rPr>
          <w:rFonts w:hint="eastAsia" w:ascii="宋体" w:hAnsi="宋体"/>
          <w:b w:val="0"/>
          <w:bCs/>
          <w:color w:val="auto"/>
          <w:sz w:val="24"/>
          <w:highlight w:val="none"/>
          <w:u w:val="single"/>
        </w:rPr>
        <w:t>……）提供的</w:t>
      </w:r>
      <w:r>
        <w:rPr>
          <w:rFonts w:hint="eastAsia" w:ascii="宋体" w:hAnsi="宋体"/>
          <w:b w:val="0"/>
          <w:bCs/>
          <w:color w:val="auto"/>
          <w:sz w:val="24"/>
          <w:highlight w:val="none"/>
          <w:u w:val="single"/>
          <w:lang w:eastAsia="zh-CN"/>
        </w:rPr>
        <w:t>货物</w:t>
      </w:r>
      <w:r>
        <w:rPr>
          <w:rFonts w:hint="eastAsia" w:ascii="宋体" w:hAnsi="宋体"/>
          <w:b w:val="0"/>
          <w:bCs/>
          <w:color w:val="auto"/>
          <w:sz w:val="24"/>
          <w:highlight w:val="none"/>
          <w:u w:val="single"/>
        </w:rPr>
        <w:t>全部由小微企业承接，</w:t>
      </w:r>
      <w:r>
        <w:rPr>
          <w:rFonts w:hint="eastAsia" w:ascii="宋体" w:hAnsi="宋体"/>
          <w:b w:val="0"/>
          <w:bCs/>
          <w:color w:val="auto"/>
          <w:sz w:val="24"/>
          <w:highlight w:val="none"/>
        </w:rPr>
        <w:t>其合同份额占到合同总金额</w:t>
      </w:r>
      <w:r>
        <w:rPr>
          <w:rFonts w:hint="eastAsia" w:ascii="宋体" w:hAnsi="宋体"/>
          <w:b w:val="0"/>
          <w:bCs/>
          <w:color w:val="auto"/>
          <w:sz w:val="24"/>
          <w:highlight w:val="none"/>
          <w:u w:val="single"/>
        </w:rPr>
        <w:t xml:space="preserve">     </w:t>
      </w:r>
      <w:r>
        <w:rPr>
          <w:rFonts w:hint="eastAsia" w:ascii="宋体" w:hAnsi="宋体"/>
          <w:b w:val="0"/>
          <w:bCs/>
          <w:color w:val="auto"/>
          <w:sz w:val="24"/>
          <w:highlight w:val="none"/>
        </w:rPr>
        <w:t>%以上</w:t>
      </w:r>
      <w:r>
        <w:rPr>
          <w:rFonts w:hint="eastAsia" w:ascii="宋体" w:hAnsi="宋体"/>
          <w:b w:val="0"/>
          <w:bCs/>
          <w:color w:val="auto"/>
          <w:highlight w:val="none"/>
        </w:rPr>
        <w:t>。</w:t>
      </w:r>
      <w:r>
        <w:rPr>
          <w:rFonts w:hint="eastAsia" w:ascii="宋体" w:hAnsi="宋体"/>
          <w:b w:val="0"/>
          <w:bCs/>
          <w:color w:val="auto"/>
          <w:sz w:val="24"/>
          <w:highlight w:val="none"/>
          <w:lang w:val="zh-CN"/>
        </w:rPr>
        <w:t>（未预留份额专门面向中小企业采购的采购项目，以及预留份额中的非预留部分采购包，允许分包的，分包意向协议约定小微企业的合同份额占到合同总金额30%以上的，对大中型企业的报价按评标标准确定的比例给予扣除。供应商</w:t>
      </w:r>
      <w:r>
        <w:rPr>
          <w:rFonts w:hint="eastAsia" w:ascii="宋体" w:hAnsi="宋体"/>
          <w:b w:val="0"/>
          <w:bCs/>
          <w:color w:val="auto"/>
          <w:sz w:val="24"/>
          <w:highlight w:val="none"/>
        </w:rPr>
        <w:t>拟享受以上价格扣除政策的，填写有关内容。</w:t>
      </w:r>
      <w:r>
        <w:rPr>
          <w:rFonts w:hint="eastAsia" w:ascii="宋体" w:hAnsi="宋体"/>
          <w:b w:val="0"/>
          <w:bCs/>
          <w:color w:val="auto"/>
          <w:sz w:val="24"/>
          <w:highlight w:val="none"/>
          <w:lang w:val="zh-CN"/>
        </w:rPr>
        <w:t>）</w:t>
      </w:r>
    </w:p>
    <w:p w14:paraId="0F6B2F26">
      <w:pPr>
        <w:spacing w:line="360" w:lineRule="auto"/>
        <w:ind w:firstLine="480" w:firstLineChars="200"/>
        <w:rPr>
          <w:rFonts w:ascii="宋体" w:hAnsi="宋体"/>
          <w:b w:val="0"/>
          <w:bCs/>
          <w:color w:val="auto"/>
          <w:sz w:val="24"/>
          <w:highlight w:val="none"/>
          <w:lang w:val="zh-CN"/>
        </w:rPr>
      </w:pPr>
      <w:r>
        <w:rPr>
          <w:rFonts w:hint="eastAsia" w:ascii="宋体" w:hAnsi="宋体"/>
          <w:b w:val="0"/>
          <w:bCs/>
          <w:color w:val="auto"/>
          <w:sz w:val="24"/>
          <w:highlight w:val="none"/>
        </w:rPr>
        <w:t>2、中小企业合同金额达到</w:t>
      </w:r>
      <w:r>
        <w:rPr>
          <w:rFonts w:hint="eastAsia" w:ascii="宋体" w:hAnsi="宋体"/>
          <w:b w:val="0"/>
          <w:bCs/>
          <w:color w:val="auto"/>
          <w:sz w:val="24"/>
          <w:highlight w:val="none"/>
          <w:u w:val="single"/>
        </w:rPr>
        <w:t xml:space="preserve">  </w:t>
      </w:r>
      <w:r>
        <w:rPr>
          <w:rFonts w:hint="eastAsia" w:ascii="宋体" w:hAnsi="宋体"/>
          <w:b w:val="0"/>
          <w:bCs/>
          <w:color w:val="auto"/>
          <w:sz w:val="24"/>
          <w:highlight w:val="none"/>
        </w:rPr>
        <w:t>%，小微企业合同金额达到</w:t>
      </w:r>
      <w:r>
        <w:rPr>
          <w:rFonts w:hint="eastAsia" w:ascii="宋体" w:hAnsi="宋体"/>
          <w:b w:val="0"/>
          <w:bCs/>
          <w:color w:val="auto"/>
          <w:sz w:val="24"/>
          <w:highlight w:val="none"/>
          <w:u w:val="single"/>
        </w:rPr>
        <w:t xml:space="preserve"> </w:t>
      </w:r>
      <w:r>
        <w:rPr>
          <w:rFonts w:hint="eastAsia" w:ascii="宋体" w:hAnsi="宋体"/>
          <w:b w:val="0"/>
          <w:bCs/>
          <w:color w:val="auto"/>
          <w:sz w:val="24"/>
          <w:highlight w:val="none"/>
        </w:rPr>
        <w:t>%</w:t>
      </w:r>
      <w:r>
        <w:rPr>
          <w:rFonts w:hint="eastAsia" w:ascii="宋体" w:hAnsi="宋体"/>
          <w:b w:val="0"/>
          <w:bCs/>
          <w:color w:val="auto"/>
          <w:sz w:val="24"/>
          <w:highlight w:val="none"/>
          <w:lang w:val="zh-CN"/>
        </w:rPr>
        <w:t>。（</w:t>
      </w:r>
      <w:r>
        <w:rPr>
          <w:rFonts w:hint="eastAsia" w:ascii="宋体" w:hAnsi="宋体"/>
          <w:b w:val="0"/>
          <w:bCs/>
          <w:color w:val="auto"/>
          <w:sz w:val="24"/>
          <w:highlight w:val="none"/>
        </w:rPr>
        <w:t>要求合同分包形式参加的项目或采购包，供应商按招标文件第一部分招标公告申请人的资格要求中规定的</w:t>
      </w:r>
      <w:r>
        <w:rPr>
          <w:rFonts w:hint="eastAsia" w:ascii="宋体" w:hAnsi="宋体"/>
          <w:b w:val="0"/>
          <w:bCs/>
          <w:color w:val="auto"/>
          <w:sz w:val="24"/>
          <w:highlight w:val="none"/>
          <w:lang w:val="zh-CN"/>
        </w:rPr>
        <w:t>分包意向协议</w:t>
      </w:r>
      <w:r>
        <w:rPr>
          <w:rFonts w:hint="eastAsia" w:ascii="宋体" w:hAnsi="宋体"/>
          <w:b w:val="0"/>
          <w:bCs/>
          <w:color w:val="auto"/>
          <w:sz w:val="24"/>
          <w:highlight w:val="none"/>
        </w:rPr>
        <w:t>中中小企业、小微企业合同金额应当达到的比例要求填写。</w:t>
      </w:r>
      <w:r>
        <w:rPr>
          <w:rFonts w:hint="eastAsia" w:ascii="宋体" w:hAnsi="宋体"/>
          <w:b w:val="0"/>
          <w:bCs/>
          <w:color w:val="auto"/>
          <w:sz w:val="24"/>
          <w:highlight w:val="none"/>
          <w:lang w:val="zh-CN"/>
        </w:rPr>
        <w:t>）</w:t>
      </w:r>
    </w:p>
    <w:p w14:paraId="2D600764">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三、分包工作履行期限、地点、方式</w:t>
      </w:r>
    </w:p>
    <w:p w14:paraId="5709A95A">
      <w:pPr>
        <w:snapToGrid w:val="0"/>
        <w:spacing w:line="360" w:lineRule="auto"/>
        <w:ind w:firstLine="576"/>
        <w:rPr>
          <w:rFonts w:ascii="宋体" w:hAnsi="宋体"/>
          <w:b w:val="0"/>
          <w:bCs/>
          <w:color w:val="auto"/>
          <w:highlight w:val="none"/>
          <w:u w:val="single"/>
        </w:rPr>
      </w:pPr>
      <w:r>
        <w:rPr>
          <w:rFonts w:hint="eastAsia" w:ascii="宋体" w:hAnsi="宋体"/>
          <w:b w:val="0"/>
          <w:bCs/>
          <w:color w:val="auto"/>
          <w:highlight w:val="none"/>
          <w:u w:val="single"/>
        </w:rPr>
        <w:t xml:space="preserve">                                                                                  </w:t>
      </w:r>
    </w:p>
    <w:p w14:paraId="3F50665A">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四、质量</w:t>
      </w:r>
    </w:p>
    <w:p w14:paraId="6000D059">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highlight w:val="none"/>
          <w:u w:val="single"/>
        </w:rPr>
        <w:t xml:space="preserve">                                                                                       </w:t>
      </w:r>
    </w:p>
    <w:p w14:paraId="0BA8EBD7">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五、价款或者报酬</w:t>
      </w:r>
    </w:p>
    <w:p w14:paraId="548E70D9">
      <w:pPr>
        <w:snapToGrid w:val="0"/>
        <w:spacing w:line="360" w:lineRule="auto"/>
        <w:ind w:left="573" w:leftChars="273"/>
        <w:rPr>
          <w:rFonts w:ascii="宋体" w:hAnsi="宋体"/>
          <w:b w:val="0"/>
          <w:bCs/>
          <w:color w:val="auto"/>
          <w:sz w:val="24"/>
          <w:highlight w:val="none"/>
          <w:lang w:val="zh-CN"/>
        </w:rPr>
      </w:pPr>
      <w:r>
        <w:rPr>
          <w:rFonts w:hint="eastAsia" w:ascii="宋体" w:hAnsi="宋体"/>
          <w:b w:val="0"/>
          <w:bCs/>
          <w:color w:val="auto"/>
          <w:highlight w:val="none"/>
          <w:u w:val="single"/>
        </w:rPr>
        <w:t xml:space="preserve">                                                                                     </w:t>
      </w:r>
    </w:p>
    <w:p w14:paraId="606D438B">
      <w:pPr>
        <w:snapToGrid w:val="0"/>
        <w:spacing w:line="360" w:lineRule="auto"/>
        <w:ind w:left="573" w:leftChars="273"/>
        <w:rPr>
          <w:rFonts w:ascii="宋体" w:hAnsi="宋体"/>
          <w:b w:val="0"/>
          <w:bCs/>
          <w:color w:val="auto"/>
          <w:sz w:val="24"/>
          <w:highlight w:val="none"/>
          <w:lang w:val="zh-CN"/>
        </w:rPr>
      </w:pPr>
      <w:r>
        <w:rPr>
          <w:rFonts w:hint="eastAsia" w:ascii="宋体" w:hAnsi="宋体"/>
          <w:b w:val="0"/>
          <w:bCs/>
          <w:color w:val="auto"/>
          <w:sz w:val="24"/>
          <w:highlight w:val="none"/>
          <w:lang w:val="zh-CN"/>
        </w:rPr>
        <w:t>六、违约责任</w:t>
      </w:r>
    </w:p>
    <w:p w14:paraId="0F279F02">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highlight w:val="none"/>
          <w:u w:val="single"/>
        </w:rPr>
        <w:t xml:space="preserve">                                                                                     </w:t>
      </w:r>
    </w:p>
    <w:p w14:paraId="44C246DD">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七、争议解决的办法</w:t>
      </w:r>
    </w:p>
    <w:p w14:paraId="61C28D38">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highlight w:val="none"/>
          <w:u w:val="single"/>
        </w:rPr>
        <w:t xml:space="preserve">                                                                                  </w:t>
      </w:r>
    </w:p>
    <w:p w14:paraId="20D4D433">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八、其他</w:t>
      </w:r>
    </w:p>
    <w:p w14:paraId="09864370">
      <w:pPr>
        <w:spacing w:line="360" w:lineRule="auto"/>
        <w:ind w:firstLine="480" w:firstLineChars="200"/>
        <w:rPr>
          <w:rFonts w:hint="eastAsia" w:ascii="宋体" w:hAnsi="宋体"/>
          <w:b w:val="0"/>
          <w:bCs/>
          <w:color w:val="auto"/>
          <w:sz w:val="24"/>
          <w:highlight w:val="none"/>
          <w:lang w:val="zh-CN"/>
        </w:rPr>
      </w:pPr>
      <w:r>
        <w:rPr>
          <w:rFonts w:hint="eastAsia" w:ascii="宋体" w:hAnsi="宋体"/>
          <w:b w:val="0"/>
          <w:bCs/>
          <w:color w:val="auto"/>
          <w:sz w:val="24"/>
          <w:highlight w:val="none"/>
        </w:rPr>
        <w:t>中小企业合同金额达到</w:t>
      </w:r>
      <w:r>
        <w:rPr>
          <w:rFonts w:hint="eastAsia" w:ascii="宋体" w:hAnsi="宋体"/>
          <w:b w:val="0"/>
          <w:bCs/>
          <w:color w:val="auto"/>
          <w:sz w:val="24"/>
          <w:highlight w:val="none"/>
          <w:u w:val="single"/>
        </w:rPr>
        <w:t xml:space="preserve">  </w:t>
      </w:r>
      <w:r>
        <w:rPr>
          <w:rFonts w:hint="eastAsia" w:ascii="宋体" w:hAnsi="宋体"/>
          <w:b w:val="0"/>
          <w:bCs/>
          <w:color w:val="auto"/>
          <w:sz w:val="24"/>
          <w:highlight w:val="none"/>
        </w:rPr>
        <w:t>%，小微企业合同金额达到</w:t>
      </w:r>
      <w:r>
        <w:rPr>
          <w:rFonts w:hint="eastAsia" w:ascii="宋体" w:hAnsi="宋体"/>
          <w:b w:val="0"/>
          <w:bCs/>
          <w:color w:val="auto"/>
          <w:sz w:val="24"/>
          <w:highlight w:val="none"/>
          <w:u w:val="single"/>
        </w:rPr>
        <w:t xml:space="preserve"> </w:t>
      </w:r>
      <w:r>
        <w:rPr>
          <w:rFonts w:hint="eastAsia" w:ascii="宋体" w:hAnsi="宋体"/>
          <w:b w:val="0"/>
          <w:bCs/>
          <w:color w:val="auto"/>
          <w:sz w:val="24"/>
          <w:highlight w:val="none"/>
        </w:rPr>
        <w:t>%</w:t>
      </w:r>
      <w:r>
        <w:rPr>
          <w:rFonts w:hint="eastAsia" w:ascii="宋体" w:hAnsi="宋体"/>
          <w:b w:val="0"/>
          <w:bCs/>
          <w:color w:val="auto"/>
          <w:sz w:val="24"/>
          <w:highlight w:val="none"/>
          <w:lang w:val="zh-CN"/>
        </w:rPr>
        <w:t xml:space="preserve">  。  </w:t>
      </w:r>
    </w:p>
    <w:p w14:paraId="4853AC8B">
      <w:pPr>
        <w:spacing w:line="360" w:lineRule="auto"/>
        <w:ind w:firstLine="480" w:firstLineChars="200"/>
        <w:rPr>
          <w:rFonts w:ascii="宋体" w:hAnsi="宋体"/>
          <w:b w:val="0"/>
          <w:bCs/>
          <w:color w:val="auto"/>
          <w:sz w:val="24"/>
          <w:highlight w:val="none"/>
          <w:lang w:val="zh-CN"/>
        </w:rPr>
      </w:pPr>
      <w:r>
        <w:rPr>
          <w:rFonts w:hint="eastAsia" w:ascii="宋体" w:hAnsi="宋体"/>
          <w:b w:val="0"/>
          <w:bCs/>
          <w:color w:val="auto"/>
          <w:sz w:val="24"/>
          <w:highlight w:val="none"/>
          <w:lang w:val="zh-CN"/>
        </w:rPr>
        <w:t xml:space="preserve">                                         投标人名称(电子签名)：</w:t>
      </w:r>
    </w:p>
    <w:p w14:paraId="571F8946">
      <w:pPr>
        <w:snapToGrid w:val="0"/>
        <w:spacing w:line="360" w:lineRule="auto"/>
        <w:jc w:val="right"/>
        <w:rPr>
          <w:rFonts w:ascii="宋体" w:hAnsi="宋体"/>
          <w:b w:val="0"/>
          <w:bCs/>
          <w:color w:val="auto"/>
          <w:sz w:val="24"/>
          <w:highlight w:val="none"/>
          <w:lang w:val="zh-CN"/>
        </w:rPr>
      </w:pPr>
      <w:r>
        <w:rPr>
          <w:rFonts w:hint="eastAsia" w:ascii="宋体" w:hAnsi="宋体"/>
          <w:b w:val="0"/>
          <w:bCs/>
          <w:color w:val="auto"/>
          <w:sz w:val="24"/>
          <w:highlight w:val="none"/>
          <w:lang w:val="zh-CN"/>
        </w:rPr>
        <w:t>分包供应商名称(电子签名/公章)：</w:t>
      </w:r>
    </w:p>
    <w:p w14:paraId="7C12C88D">
      <w:pPr>
        <w:snapToGrid w:val="0"/>
        <w:spacing w:line="360" w:lineRule="auto"/>
        <w:ind w:firstLine="5760" w:firstLineChars="2400"/>
        <w:rPr>
          <w:rFonts w:ascii="宋体" w:hAnsi="宋体"/>
          <w:b w:val="0"/>
          <w:bCs/>
          <w:color w:val="auto"/>
          <w:highlight w:val="none"/>
        </w:rPr>
      </w:pPr>
      <w:r>
        <w:rPr>
          <w:rFonts w:hint="eastAsia" w:ascii="宋体" w:hAnsi="宋体"/>
          <w:b w:val="0"/>
          <w:bCs/>
          <w:color w:val="auto"/>
          <w:sz w:val="24"/>
          <w:highlight w:val="none"/>
          <w:lang w:val="zh-CN"/>
        </w:rPr>
        <w:t>……</w:t>
      </w:r>
    </w:p>
    <w:p w14:paraId="0F1F65DD">
      <w:pPr>
        <w:snapToGrid w:val="0"/>
        <w:spacing w:line="360" w:lineRule="auto"/>
        <w:ind w:left="5758" w:leftChars="342" w:hanging="5040" w:hangingChars="2100"/>
        <w:rPr>
          <w:rFonts w:ascii="宋体" w:hAnsi="宋体"/>
          <w:b w:val="0"/>
          <w:bCs/>
          <w:color w:val="auto"/>
          <w:sz w:val="24"/>
          <w:highlight w:val="none"/>
          <w:lang w:val="zh-CN"/>
        </w:rPr>
      </w:pPr>
      <w:r>
        <w:rPr>
          <w:rFonts w:hint="eastAsia" w:ascii="宋体" w:hAnsi="宋体"/>
          <w:b w:val="0"/>
          <w:bCs/>
          <w:color w:val="auto"/>
          <w:sz w:val="24"/>
          <w:highlight w:val="none"/>
          <w:lang w:val="zh-CN"/>
        </w:rPr>
        <w:t xml:space="preserve">                                        日期：  年  月   日</w:t>
      </w:r>
    </w:p>
    <w:p w14:paraId="04AB721D">
      <w:pPr>
        <w:spacing w:line="360" w:lineRule="auto"/>
        <w:ind w:right="420"/>
        <w:rPr>
          <w:rFonts w:ascii="宋体" w:hAnsi="宋体"/>
          <w:b w:val="0"/>
          <w:bCs/>
          <w:color w:val="auto"/>
          <w:sz w:val="24"/>
          <w:highlight w:val="none"/>
        </w:rPr>
      </w:pPr>
      <w:r>
        <w:rPr>
          <w:rFonts w:hint="eastAsia" w:ascii="宋体" w:hAnsi="宋体"/>
          <w:b w:val="0"/>
          <w:bCs/>
          <w:color w:val="auto"/>
          <w:sz w:val="24"/>
          <w:highlight w:val="none"/>
        </w:rPr>
        <w:t>注：按本格式和要求提供。</w:t>
      </w:r>
    </w:p>
    <w:p w14:paraId="6B1E795E">
      <w:pPr>
        <w:autoSpaceDE w:val="0"/>
        <w:autoSpaceDN w:val="0"/>
        <w:jc w:val="center"/>
        <w:rPr>
          <w:rFonts w:ascii="宋体" w:hAnsi="宋体"/>
          <w:color w:val="auto"/>
          <w:spacing w:val="6"/>
          <w:sz w:val="32"/>
          <w:szCs w:val="32"/>
          <w:highlight w:val="none"/>
        </w:rPr>
      </w:pPr>
    </w:p>
    <w:p w14:paraId="3E07B96E">
      <w:pPr>
        <w:autoSpaceDE w:val="0"/>
        <w:autoSpaceDN w:val="0"/>
        <w:jc w:val="center"/>
        <w:rPr>
          <w:rFonts w:ascii="宋体" w:hAnsi="宋体"/>
          <w:color w:val="auto"/>
          <w:spacing w:val="6"/>
          <w:sz w:val="32"/>
          <w:szCs w:val="32"/>
          <w:highlight w:val="none"/>
        </w:rPr>
      </w:pPr>
    </w:p>
    <w:p w14:paraId="7B90CF6A">
      <w:pPr>
        <w:autoSpaceDE w:val="0"/>
        <w:autoSpaceDN w:val="0"/>
        <w:jc w:val="center"/>
        <w:rPr>
          <w:rFonts w:ascii="宋体" w:hAnsi="宋体"/>
          <w:color w:val="auto"/>
          <w:spacing w:val="6"/>
          <w:sz w:val="32"/>
          <w:szCs w:val="32"/>
          <w:highlight w:val="none"/>
        </w:rPr>
      </w:pPr>
    </w:p>
    <w:p w14:paraId="7A960F73">
      <w:pPr>
        <w:autoSpaceDE w:val="0"/>
        <w:autoSpaceDN w:val="0"/>
        <w:jc w:val="center"/>
        <w:rPr>
          <w:rFonts w:ascii="宋体" w:hAnsi="宋体"/>
          <w:color w:val="auto"/>
          <w:spacing w:val="6"/>
          <w:sz w:val="32"/>
          <w:szCs w:val="32"/>
          <w:highlight w:val="none"/>
        </w:rPr>
      </w:pPr>
    </w:p>
    <w:p w14:paraId="2EF4718E">
      <w:pPr>
        <w:autoSpaceDE w:val="0"/>
        <w:autoSpaceDN w:val="0"/>
        <w:jc w:val="center"/>
        <w:rPr>
          <w:rFonts w:ascii="宋体" w:hAnsi="宋体"/>
          <w:color w:val="auto"/>
          <w:spacing w:val="6"/>
          <w:sz w:val="32"/>
          <w:szCs w:val="32"/>
          <w:highlight w:val="none"/>
        </w:rPr>
      </w:pPr>
    </w:p>
    <w:p w14:paraId="32CED722">
      <w:pPr>
        <w:autoSpaceDE w:val="0"/>
        <w:autoSpaceDN w:val="0"/>
        <w:jc w:val="center"/>
        <w:rPr>
          <w:rFonts w:ascii="宋体" w:hAnsi="宋体"/>
          <w:color w:val="auto"/>
          <w:spacing w:val="6"/>
          <w:sz w:val="32"/>
          <w:szCs w:val="32"/>
          <w:highlight w:val="none"/>
        </w:rPr>
      </w:pPr>
    </w:p>
    <w:p w14:paraId="488B7EB6">
      <w:pPr>
        <w:autoSpaceDE w:val="0"/>
        <w:autoSpaceDN w:val="0"/>
        <w:jc w:val="center"/>
        <w:rPr>
          <w:rFonts w:ascii="宋体" w:hAnsi="宋体"/>
          <w:color w:val="auto"/>
          <w:spacing w:val="6"/>
          <w:sz w:val="32"/>
          <w:szCs w:val="32"/>
          <w:highlight w:val="none"/>
        </w:rPr>
      </w:pPr>
    </w:p>
    <w:p w14:paraId="5E3FC2C7">
      <w:pPr>
        <w:autoSpaceDE w:val="0"/>
        <w:autoSpaceDN w:val="0"/>
        <w:jc w:val="center"/>
        <w:rPr>
          <w:rFonts w:ascii="宋体" w:hAnsi="宋体"/>
          <w:color w:val="auto"/>
          <w:spacing w:val="6"/>
          <w:sz w:val="32"/>
          <w:szCs w:val="32"/>
          <w:highlight w:val="none"/>
        </w:rPr>
      </w:pPr>
    </w:p>
    <w:p w14:paraId="039B7ED7">
      <w:pPr>
        <w:autoSpaceDE w:val="0"/>
        <w:autoSpaceDN w:val="0"/>
        <w:jc w:val="center"/>
        <w:rPr>
          <w:rFonts w:ascii="宋体" w:hAnsi="宋体"/>
          <w:color w:val="auto"/>
          <w:spacing w:val="6"/>
          <w:sz w:val="32"/>
          <w:szCs w:val="32"/>
          <w:highlight w:val="none"/>
        </w:rPr>
      </w:pPr>
    </w:p>
    <w:p w14:paraId="4F329BDF">
      <w:pPr>
        <w:autoSpaceDE w:val="0"/>
        <w:autoSpaceDN w:val="0"/>
        <w:jc w:val="center"/>
        <w:rPr>
          <w:rFonts w:ascii="宋体" w:hAnsi="宋体"/>
          <w:color w:val="auto"/>
          <w:spacing w:val="6"/>
          <w:sz w:val="32"/>
          <w:szCs w:val="32"/>
          <w:highlight w:val="none"/>
        </w:rPr>
      </w:pPr>
    </w:p>
    <w:p w14:paraId="4BB4BF3D">
      <w:pPr>
        <w:autoSpaceDE w:val="0"/>
        <w:autoSpaceDN w:val="0"/>
        <w:jc w:val="center"/>
        <w:rPr>
          <w:rFonts w:ascii="宋体" w:hAnsi="宋体"/>
          <w:color w:val="auto"/>
          <w:spacing w:val="6"/>
          <w:sz w:val="32"/>
          <w:szCs w:val="32"/>
          <w:highlight w:val="none"/>
        </w:rPr>
      </w:pPr>
    </w:p>
    <w:p w14:paraId="6206961F">
      <w:pPr>
        <w:autoSpaceDE w:val="0"/>
        <w:autoSpaceDN w:val="0"/>
        <w:jc w:val="center"/>
        <w:rPr>
          <w:rFonts w:ascii="宋体" w:hAnsi="宋体"/>
          <w:color w:val="auto"/>
          <w:spacing w:val="6"/>
          <w:sz w:val="32"/>
          <w:szCs w:val="32"/>
          <w:highlight w:val="none"/>
        </w:rPr>
      </w:pPr>
    </w:p>
    <w:p w14:paraId="7CCF335C">
      <w:pPr>
        <w:autoSpaceDE w:val="0"/>
        <w:autoSpaceDN w:val="0"/>
        <w:jc w:val="center"/>
        <w:rPr>
          <w:rFonts w:ascii="宋体" w:hAnsi="宋体"/>
          <w:color w:val="auto"/>
          <w:spacing w:val="6"/>
          <w:sz w:val="32"/>
          <w:szCs w:val="32"/>
          <w:highlight w:val="none"/>
        </w:rPr>
      </w:pPr>
    </w:p>
    <w:p w14:paraId="7648D37F">
      <w:pPr>
        <w:autoSpaceDE w:val="0"/>
        <w:autoSpaceDN w:val="0"/>
        <w:jc w:val="center"/>
        <w:rPr>
          <w:rFonts w:ascii="宋体" w:hAnsi="宋体"/>
          <w:color w:val="auto"/>
          <w:spacing w:val="6"/>
          <w:sz w:val="32"/>
          <w:szCs w:val="32"/>
          <w:highlight w:val="none"/>
        </w:rPr>
      </w:pPr>
    </w:p>
    <w:p w14:paraId="3E823E41">
      <w:pPr>
        <w:autoSpaceDE w:val="0"/>
        <w:autoSpaceDN w:val="0"/>
        <w:jc w:val="center"/>
        <w:rPr>
          <w:rFonts w:ascii="宋体" w:hAnsi="宋体"/>
          <w:color w:val="auto"/>
          <w:spacing w:val="6"/>
          <w:sz w:val="32"/>
          <w:szCs w:val="32"/>
          <w:highlight w:val="none"/>
        </w:rPr>
      </w:pPr>
    </w:p>
    <w:p w14:paraId="70AC10A8">
      <w:pPr>
        <w:autoSpaceDE w:val="0"/>
        <w:autoSpaceDN w:val="0"/>
        <w:jc w:val="center"/>
        <w:rPr>
          <w:rFonts w:ascii="宋体" w:hAnsi="宋体"/>
          <w:color w:val="auto"/>
          <w:spacing w:val="6"/>
          <w:sz w:val="32"/>
          <w:szCs w:val="32"/>
          <w:highlight w:val="none"/>
        </w:rPr>
      </w:pPr>
    </w:p>
    <w:p w14:paraId="6FA0B9D6">
      <w:pPr>
        <w:autoSpaceDE w:val="0"/>
        <w:autoSpaceDN w:val="0"/>
        <w:jc w:val="center"/>
        <w:rPr>
          <w:rFonts w:ascii="宋体" w:hAnsi="宋体"/>
          <w:color w:val="auto"/>
          <w:spacing w:val="6"/>
          <w:sz w:val="32"/>
          <w:szCs w:val="32"/>
          <w:highlight w:val="none"/>
        </w:rPr>
      </w:pPr>
    </w:p>
    <w:p w14:paraId="4E840A0B">
      <w:pPr>
        <w:autoSpaceDE w:val="0"/>
        <w:autoSpaceDN w:val="0"/>
        <w:jc w:val="center"/>
        <w:rPr>
          <w:rFonts w:ascii="宋体" w:hAnsi="宋体"/>
          <w:color w:val="auto"/>
          <w:spacing w:val="6"/>
          <w:sz w:val="32"/>
          <w:szCs w:val="32"/>
          <w:highlight w:val="none"/>
        </w:rPr>
      </w:pPr>
    </w:p>
    <w:p w14:paraId="07F9ADD8">
      <w:pPr>
        <w:autoSpaceDE w:val="0"/>
        <w:autoSpaceDN w:val="0"/>
        <w:jc w:val="center"/>
        <w:rPr>
          <w:rFonts w:ascii="宋体" w:hAnsi="宋体"/>
          <w:color w:val="auto"/>
          <w:spacing w:val="6"/>
          <w:sz w:val="32"/>
          <w:szCs w:val="32"/>
          <w:highlight w:val="none"/>
        </w:rPr>
      </w:pPr>
    </w:p>
    <w:p w14:paraId="4F3D4350">
      <w:pPr>
        <w:autoSpaceDE w:val="0"/>
        <w:autoSpaceDN w:val="0"/>
        <w:jc w:val="center"/>
        <w:rPr>
          <w:rFonts w:ascii="宋体" w:hAnsi="宋体"/>
          <w:color w:val="auto"/>
          <w:spacing w:val="6"/>
          <w:sz w:val="32"/>
          <w:szCs w:val="32"/>
          <w:highlight w:val="none"/>
        </w:rPr>
      </w:pPr>
    </w:p>
    <w:p w14:paraId="1A8C7074">
      <w:pPr>
        <w:autoSpaceDE w:val="0"/>
        <w:autoSpaceDN w:val="0"/>
        <w:jc w:val="center"/>
        <w:rPr>
          <w:rFonts w:ascii="宋体" w:hAnsi="宋体"/>
          <w:color w:val="auto"/>
          <w:spacing w:val="6"/>
          <w:sz w:val="32"/>
          <w:szCs w:val="32"/>
          <w:highlight w:val="none"/>
        </w:rPr>
      </w:pPr>
    </w:p>
    <w:p w14:paraId="3BD7DD32">
      <w:pPr>
        <w:autoSpaceDE w:val="0"/>
        <w:autoSpaceDN w:val="0"/>
        <w:jc w:val="center"/>
        <w:rPr>
          <w:rFonts w:ascii="宋体" w:hAnsi="宋体"/>
          <w:color w:val="auto"/>
          <w:spacing w:val="6"/>
          <w:sz w:val="32"/>
          <w:szCs w:val="32"/>
          <w:highlight w:val="none"/>
        </w:rPr>
      </w:pPr>
    </w:p>
    <w:p w14:paraId="525C453E">
      <w:pPr>
        <w:autoSpaceDE w:val="0"/>
        <w:autoSpaceDN w:val="0"/>
        <w:jc w:val="center"/>
        <w:rPr>
          <w:rFonts w:ascii="宋体" w:hAnsi="宋体"/>
          <w:color w:val="auto"/>
          <w:spacing w:val="6"/>
          <w:sz w:val="32"/>
          <w:szCs w:val="32"/>
          <w:highlight w:val="none"/>
        </w:rPr>
      </w:pPr>
    </w:p>
    <w:p w14:paraId="0C58045B">
      <w:pPr>
        <w:spacing w:line="360" w:lineRule="auto"/>
        <w:jc w:val="left"/>
        <w:outlineLvl w:val="0"/>
        <w:rPr>
          <w:rFonts w:hint="eastAsia" w:ascii="宋体" w:hAnsi="宋体"/>
          <w:color w:val="auto"/>
          <w:sz w:val="36"/>
          <w:szCs w:val="20"/>
          <w:highlight w:val="none"/>
        </w:rPr>
      </w:pPr>
    </w:p>
    <w:p w14:paraId="600F668B">
      <w:pPr>
        <w:spacing w:line="360" w:lineRule="auto"/>
        <w:jc w:val="left"/>
        <w:outlineLvl w:val="0"/>
        <w:rPr>
          <w:rFonts w:ascii="宋体" w:hAnsi="宋体"/>
          <w:color w:val="auto"/>
          <w:sz w:val="36"/>
          <w:szCs w:val="20"/>
          <w:highlight w:val="none"/>
        </w:rPr>
      </w:pPr>
      <w:r>
        <w:rPr>
          <w:rFonts w:hint="eastAsia" w:ascii="宋体" w:hAnsi="宋体"/>
          <w:color w:val="auto"/>
          <w:sz w:val="36"/>
          <w:szCs w:val="20"/>
          <w:highlight w:val="none"/>
        </w:rPr>
        <w:t>附件</w:t>
      </w:r>
      <w:r>
        <w:rPr>
          <w:rFonts w:ascii="宋体" w:hAnsi="宋体"/>
          <w:color w:val="auto"/>
          <w:sz w:val="36"/>
          <w:szCs w:val="20"/>
          <w:highlight w:val="none"/>
        </w:rPr>
        <w:t>7</w:t>
      </w:r>
      <w:r>
        <w:rPr>
          <w:rFonts w:hint="eastAsia" w:ascii="宋体" w:hAnsi="宋体"/>
          <w:color w:val="auto"/>
          <w:sz w:val="36"/>
          <w:szCs w:val="20"/>
          <w:highlight w:val="none"/>
        </w:rPr>
        <w:t>：中小企业声明函</w:t>
      </w:r>
    </w:p>
    <w:p w14:paraId="7091F1D3">
      <w:pPr>
        <w:spacing w:line="360" w:lineRule="auto"/>
        <w:jc w:val="center"/>
        <w:rPr>
          <w:rFonts w:ascii="宋体" w:hAnsi="宋体"/>
          <w:color w:val="auto"/>
          <w:sz w:val="24"/>
          <w:highlight w:val="none"/>
          <w:u w:val="single"/>
        </w:rPr>
      </w:pPr>
    </w:p>
    <w:p w14:paraId="266AB2CE">
      <w:pPr>
        <w:spacing w:line="360" w:lineRule="auto"/>
        <w:jc w:val="center"/>
        <w:rPr>
          <w:rFonts w:hint="eastAsia" w:ascii="宋体" w:hAnsi="宋体"/>
          <w:b w:val="0"/>
          <w:bCs/>
          <w:color w:val="auto"/>
          <w:sz w:val="32"/>
          <w:szCs w:val="32"/>
          <w:highlight w:val="none"/>
        </w:rPr>
      </w:pPr>
      <w:r>
        <w:rPr>
          <w:rFonts w:hint="eastAsia" w:ascii="宋体" w:hAnsi="宋体"/>
          <w:b w:val="0"/>
          <w:bCs/>
          <w:color w:val="auto"/>
          <w:sz w:val="32"/>
          <w:szCs w:val="32"/>
          <w:highlight w:val="none"/>
        </w:rPr>
        <w:t>中小企业声明函（</w:t>
      </w:r>
      <w:r>
        <w:rPr>
          <w:rFonts w:hint="eastAsia" w:ascii="宋体" w:hAnsi="宋体"/>
          <w:b w:val="0"/>
          <w:bCs/>
          <w:color w:val="auto"/>
          <w:sz w:val="32"/>
          <w:szCs w:val="32"/>
          <w:highlight w:val="none"/>
          <w:lang w:eastAsia="zh-CN"/>
        </w:rPr>
        <w:t>货物</w:t>
      </w:r>
      <w:r>
        <w:rPr>
          <w:rFonts w:hint="eastAsia" w:ascii="宋体" w:hAnsi="宋体"/>
          <w:b w:val="0"/>
          <w:bCs/>
          <w:color w:val="auto"/>
          <w:sz w:val="32"/>
          <w:szCs w:val="32"/>
          <w:highlight w:val="none"/>
        </w:rPr>
        <w:t>）</w:t>
      </w:r>
    </w:p>
    <w:p w14:paraId="191F715C">
      <w:pPr>
        <w:pStyle w:val="22"/>
        <w:rPr>
          <w:b w:val="0"/>
          <w:bCs/>
          <w:color w:val="auto"/>
          <w:highlight w:val="none"/>
        </w:rPr>
      </w:pPr>
    </w:p>
    <w:p w14:paraId="106D0569">
      <w:pPr>
        <w:spacing w:line="360" w:lineRule="auto"/>
        <w:ind w:right="420" w:firstLine="480" w:firstLineChars="200"/>
        <w:rPr>
          <w:rFonts w:hint="eastAsia" w:ascii="宋体" w:hAnsi="宋体" w:eastAsia="仿宋" w:cs="宋体"/>
          <w:b w:val="0"/>
          <w:bCs/>
          <w:color w:val="auto"/>
          <w:sz w:val="24"/>
          <w:highlight w:val="none"/>
          <w:lang w:eastAsia="zh-CN"/>
        </w:rPr>
      </w:pPr>
      <w:r>
        <w:rPr>
          <w:rFonts w:hint="eastAsia" w:ascii="宋体" w:hAnsi="宋体" w:eastAsia="仿宋" w:cs="宋体"/>
          <w:b w:val="0"/>
          <w:bCs/>
          <w:color w:val="auto"/>
          <w:sz w:val="24"/>
          <w:highlight w:val="none"/>
          <w:lang w:eastAsia="zh-CN"/>
        </w:rPr>
        <w:t>本公司（联合体）郑重声明，根据《政府采购促进中小企业发展管理办法》（财库﹝2020﹞46 号）的规定，本公司 （联合体）参加</w:t>
      </w:r>
      <w:r>
        <w:rPr>
          <w:rFonts w:hint="eastAsia" w:ascii="宋体" w:hAnsi="宋体" w:cs="宋体"/>
          <w:b w:val="0"/>
          <w:bCs/>
          <w:color w:val="auto"/>
          <w:sz w:val="24"/>
          <w:highlight w:val="none"/>
          <w:u w:val="single"/>
          <w:lang w:val="en-US" w:eastAsia="zh-CN"/>
        </w:rPr>
        <w:t>永嘉县瓯北第三小学</w:t>
      </w:r>
      <w:r>
        <w:rPr>
          <w:rFonts w:hint="eastAsia" w:ascii="宋体" w:hAnsi="宋体" w:eastAsia="仿宋" w:cs="宋体"/>
          <w:b w:val="0"/>
          <w:bCs/>
          <w:color w:val="auto"/>
          <w:sz w:val="24"/>
          <w:highlight w:val="none"/>
          <w:lang w:eastAsia="zh-CN"/>
        </w:rPr>
        <w:t>的</w:t>
      </w:r>
      <w:r>
        <w:rPr>
          <w:rFonts w:hint="eastAsia" w:ascii="宋体" w:hAnsi="宋体" w:cs="宋体"/>
          <w:b w:val="0"/>
          <w:bCs/>
          <w:color w:val="auto"/>
          <w:sz w:val="24"/>
          <w:highlight w:val="none"/>
          <w:u w:val="single"/>
          <w:lang w:val="en-US" w:eastAsia="zh-CN"/>
        </w:rPr>
        <w:t>永嘉县瓯北第三小学科学实验室设备</w:t>
      </w:r>
      <w:r>
        <w:rPr>
          <w:rFonts w:hint="eastAsia" w:ascii="宋体" w:hAnsi="宋体" w:eastAsia="仿宋" w:cs="宋体"/>
          <w:b w:val="0"/>
          <w:bCs/>
          <w:color w:val="auto"/>
          <w:sz w:val="24"/>
          <w:highlight w:val="none"/>
          <w:lang w:eastAsia="zh-CN"/>
        </w:rPr>
        <w:t>采购活动，提供的货物全部由符合政策要求的中小企业制造。相关企业 （含联合体中的中小企业、签订分包意向协议的中小企业） 的具体情况如下：</w:t>
      </w:r>
    </w:p>
    <w:p w14:paraId="3DB2E4DE">
      <w:pPr>
        <w:spacing w:line="360" w:lineRule="auto"/>
        <w:ind w:right="420" w:firstLine="480" w:firstLineChars="200"/>
        <w:rPr>
          <w:rFonts w:hint="eastAsia" w:ascii="宋体" w:hAnsi="宋体" w:eastAsia="仿宋" w:cs="宋体"/>
          <w:b w:val="0"/>
          <w:bCs/>
          <w:color w:val="auto"/>
          <w:sz w:val="24"/>
          <w:highlight w:val="none"/>
          <w:lang w:eastAsia="zh-CN"/>
        </w:rPr>
      </w:pPr>
      <w:r>
        <w:rPr>
          <w:rFonts w:hint="eastAsia" w:ascii="宋体" w:hAnsi="宋体" w:eastAsia="仿宋" w:cs="宋体"/>
          <w:b w:val="0"/>
          <w:bCs/>
          <w:color w:val="auto"/>
          <w:sz w:val="24"/>
          <w:highlight w:val="none"/>
          <w:lang w:eastAsia="zh-CN"/>
        </w:rPr>
        <w:t xml:space="preserve">1. </w:t>
      </w:r>
      <w:r>
        <w:rPr>
          <w:rFonts w:hint="eastAsia" w:ascii="宋体" w:hAnsi="宋体" w:eastAsia="仿宋" w:cs="宋体"/>
          <w:b w:val="0"/>
          <w:bCs/>
          <w:color w:val="auto"/>
          <w:sz w:val="24"/>
          <w:highlight w:val="none"/>
          <w:u w:val="single"/>
          <w:lang w:eastAsia="zh-CN"/>
        </w:rPr>
        <w:t xml:space="preserve">（标的名称） </w:t>
      </w:r>
      <w:r>
        <w:rPr>
          <w:rFonts w:hint="eastAsia" w:ascii="宋体" w:hAnsi="宋体" w:eastAsia="仿宋" w:cs="宋体"/>
          <w:b w:val="0"/>
          <w:bCs/>
          <w:color w:val="auto"/>
          <w:sz w:val="24"/>
          <w:highlight w:val="none"/>
          <w:lang w:eastAsia="zh-CN"/>
        </w:rPr>
        <w:t>，属于</w:t>
      </w:r>
      <w:r>
        <w:rPr>
          <w:rFonts w:hint="eastAsia" w:ascii="宋体" w:hAnsi="宋体" w:eastAsia="仿宋" w:cs="宋体"/>
          <w:b w:val="0"/>
          <w:bCs/>
          <w:color w:val="auto"/>
          <w:sz w:val="24"/>
          <w:highlight w:val="none"/>
          <w:u w:val="single"/>
          <w:lang w:eastAsia="zh-CN"/>
        </w:rPr>
        <w:t xml:space="preserve">（采购文件中明确的所属行业） </w:t>
      </w:r>
      <w:r>
        <w:rPr>
          <w:rFonts w:hint="eastAsia" w:ascii="宋体" w:hAnsi="宋体" w:eastAsia="仿宋" w:cs="宋体"/>
          <w:b w:val="0"/>
          <w:bCs/>
          <w:color w:val="auto"/>
          <w:sz w:val="24"/>
          <w:highlight w:val="none"/>
          <w:lang w:eastAsia="zh-CN"/>
        </w:rPr>
        <w:t>行业；制造商为</w:t>
      </w:r>
      <w:r>
        <w:rPr>
          <w:rFonts w:hint="eastAsia" w:ascii="宋体" w:hAnsi="宋体" w:eastAsia="仿宋" w:cs="宋体"/>
          <w:b w:val="0"/>
          <w:bCs/>
          <w:color w:val="auto"/>
          <w:sz w:val="24"/>
          <w:highlight w:val="none"/>
          <w:u w:val="single"/>
          <w:lang w:eastAsia="zh-CN"/>
        </w:rPr>
        <w:t>（企业名称）</w:t>
      </w:r>
      <w:r>
        <w:rPr>
          <w:rFonts w:hint="eastAsia" w:ascii="宋体" w:hAnsi="宋体" w:eastAsia="仿宋" w:cs="宋体"/>
          <w:b w:val="0"/>
          <w:bCs/>
          <w:color w:val="auto"/>
          <w:sz w:val="24"/>
          <w:highlight w:val="none"/>
          <w:lang w:eastAsia="zh-CN"/>
        </w:rPr>
        <w:t>，从业人员</w:t>
      </w:r>
      <w:r>
        <w:rPr>
          <w:rFonts w:hint="eastAsia" w:ascii="宋体" w:hAnsi="宋体" w:eastAsia="仿宋" w:cs="宋体"/>
          <w:b w:val="0"/>
          <w:bCs/>
          <w:color w:val="auto"/>
          <w:sz w:val="24"/>
          <w:highlight w:val="none"/>
          <w:u w:val="single"/>
          <w:lang w:eastAsia="zh-CN"/>
        </w:rPr>
        <w:t xml:space="preserve">      </w:t>
      </w:r>
      <w:r>
        <w:rPr>
          <w:rFonts w:hint="eastAsia" w:ascii="宋体" w:hAnsi="宋体" w:eastAsia="仿宋" w:cs="宋体"/>
          <w:b w:val="0"/>
          <w:bCs/>
          <w:color w:val="auto"/>
          <w:sz w:val="24"/>
          <w:highlight w:val="none"/>
          <w:lang w:eastAsia="zh-CN"/>
        </w:rPr>
        <w:t>人，营业收入为</w:t>
      </w:r>
      <w:r>
        <w:rPr>
          <w:rFonts w:hint="eastAsia" w:ascii="宋体" w:hAnsi="宋体" w:eastAsia="仿宋" w:cs="宋体"/>
          <w:b w:val="0"/>
          <w:bCs/>
          <w:color w:val="auto"/>
          <w:sz w:val="24"/>
          <w:highlight w:val="none"/>
          <w:u w:val="single"/>
          <w:lang w:eastAsia="zh-CN"/>
        </w:rPr>
        <w:t xml:space="preserve">      </w:t>
      </w:r>
      <w:r>
        <w:rPr>
          <w:rFonts w:hint="eastAsia" w:ascii="宋体" w:hAnsi="宋体" w:eastAsia="仿宋" w:cs="宋体"/>
          <w:b w:val="0"/>
          <w:bCs/>
          <w:color w:val="auto"/>
          <w:sz w:val="24"/>
          <w:highlight w:val="none"/>
          <w:lang w:eastAsia="zh-CN"/>
        </w:rPr>
        <w:t>万元，</w:t>
      </w:r>
      <w:r>
        <w:rPr>
          <w:rFonts w:hint="eastAsia" w:ascii="宋体" w:hAnsi="宋体" w:eastAsia="仿宋" w:cs="宋体"/>
          <w:b w:val="0"/>
          <w:bCs/>
          <w:color w:val="auto"/>
          <w:sz w:val="24"/>
          <w:highlight w:val="none"/>
          <w:u w:val="none"/>
          <w:lang w:eastAsia="zh-CN"/>
        </w:rPr>
        <w:t>资产总额为</w:t>
      </w:r>
      <w:r>
        <w:rPr>
          <w:rFonts w:hint="eastAsia" w:ascii="宋体" w:hAnsi="宋体" w:eastAsia="仿宋" w:cs="宋体"/>
          <w:b w:val="0"/>
          <w:bCs/>
          <w:color w:val="auto"/>
          <w:sz w:val="24"/>
          <w:highlight w:val="none"/>
          <w:u w:val="single"/>
          <w:lang w:eastAsia="zh-CN"/>
        </w:rPr>
        <w:t xml:space="preserve"> </w:t>
      </w:r>
      <w:r>
        <w:rPr>
          <w:rFonts w:ascii="宋体" w:eastAsia="宋体"/>
          <w:b w:val="0"/>
          <w:bCs/>
          <w:color w:val="auto"/>
          <w:sz w:val="22"/>
          <w:szCs w:val="22"/>
          <w:highlight w:val="none"/>
          <w:u w:val="single"/>
        </w:rPr>
        <w:t xml:space="preserve">       </w:t>
      </w:r>
      <w:r>
        <w:rPr>
          <w:rFonts w:hint="eastAsia" w:ascii="宋体" w:hAnsi="宋体" w:eastAsia="仿宋" w:cs="宋体"/>
          <w:b w:val="0"/>
          <w:bCs/>
          <w:color w:val="auto"/>
          <w:sz w:val="24"/>
          <w:highlight w:val="none"/>
          <w:u w:val="none"/>
          <w:lang w:eastAsia="zh-CN"/>
        </w:rPr>
        <w:t>万元，属</w:t>
      </w:r>
      <w:r>
        <w:rPr>
          <w:rFonts w:hint="eastAsia" w:ascii="宋体" w:hAnsi="宋体" w:eastAsia="仿宋" w:cs="宋体"/>
          <w:b w:val="0"/>
          <w:bCs/>
          <w:color w:val="auto"/>
          <w:sz w:val="24"/>
          <w:highlight w:val="none"/>
          <w:lang w:eastAsia="zh-CN"/>
        </w:rPr>
        <w:t>于</w:t>
      </w:r>
      <w:r>
        <w:rPr>
          <w:rFonts w:hint="eastAsia" w:ascii="宋体" w:hAnsi="宋体" w:eastAsia="仿宋" w:cs="宋体"/>
          <w:b w:val="0"/>
          <w:bCs/>
          <w:color w:val="auto"/>
          <w:sz w:val="24"/>
          <w:highlight w:val="none"/>
          <w:u w:val="none"/>
          <w:lang w:eastAsia="zh-CN"/>
        </w:rPr>
        <w:t>（中型企业、小型企业、微型企业）</w:t>
      </w:r>
      <w:r>
        <w:rPr>
          <w:rFonts w:hint="eastAsia" w:ascii="宋体" w:hAnsi="宋体" w:eastAsia="仿宋" w:cs="宋体"/>
          <w:b w:val="0"/>
          <w:bCs/>
          <w:color w:val="auto"/>
          <w:sz w:val="24"/>
          <w:highlight w:val="none"/>
          <w:lang w:eastAsia="zh-CN"/>
        </w:rPr>
        <w:t>；</w:t>
      </w:r>
    </w:p>
    <w:p w14:paraId="6346C998">
      <w:pPr>
        <w:spacing w:line="360" w:lineRule="auto"/>
        <w:ind w:right="420" w:firstLine="480" w:firstLineChars="200"/>
        <w:rPr>
          <w:rFonts w:hint="eastAsia" w:ascii="宋体" w:hAnsi="宋体" w:eastAsia="仿宋" w:cs="宋体"/>
          <w:b w:val="0"/>
          <w:bCs/>
          <w:color w:val="auto"/>
          <w:sz w:val="24"/>
          <w:highlight w:val="none"/>
          <w:lang w:eastAsia="zh-CN"/>
        </w:rPr>
      </w:pPr>
      <w:r>
        <w:rPr>
          <w:rFonts w:hint="eastAsia" w:ascii="宋体" w:hAnsi="宋体" w:eastAsia="仿宋" w:cs="宋体"/>
          <w:b w:val="0"/>
          <w:bCs/>
          <w:color w:val="auto"/>
          <w:sz w:val="24"/>
          <w:highlight w:val="none"/>
          <w:lang w:eastAsia="zh-CN"/>
        </w:rPr>
        <w:t xml:space="preserve">以上企业，不属于大企业的分支机构，不存在控股股东 为大企业的情形，也不存在与大企业的负责人为同一人的情 形。 本企业对上述声明内容的真实性负责。如有虚假，将依 法承担相应责任。 </w:t>
      </w:r>
    </w:p>
    <w:p w14:paraId="6FAD296D">
      <w:pPr>
        <w:spacing w:line="360" w:lineRule="auto"/>
        <w:ind w:firstLine="480" w:firstLineChars="200"/>
        <w:jc w:val="left"/>
        <w:rPr>
          <w:rFonts w:ascii="宋体" w:hAnsi="宋体"/>
          <w:b w:val="0"/>
          <w:bCs/>
          <w:color w:val="auto"/>
          <w:sz w:val="24"/>
          <w:highlight w:val="none"/>
        </w:rPr>
      </w:pPr>
    </w:p>
    <w:p w14:paraId="3D6EDB99">
      <w:pPr>
        <w:spacing w:line="360" w:lineRule="auto"/>
        <w:ind w:right="1760"/>
        <w:jc w:val="right"/>
        <w:rPr>
          <w:rFonts w:ascii="宋体" w:hAnsi="宋体"/>
          <w:b w:val="0"/>
          <w:bCs/>
          <w:color w:val="auto"/>
          <w:sz w:val="24"/>
          <w:highlight w:val="none"/>
        </w:rPr>
      </w:pPr>
      <w:r>
        <w:rPr>
          <w:rFonts w:hint="eastAsia" w:ascii="宋体" w:hAnsi="宋体"/>
          <w:b w:val="0"/>
          <w:bCs/>
          <w:color w:val="auto"/>
          <w:sz w:val="24"/>
          <w:highlight w:val="none"/>
        </w:rPr>
        <w:t>投标人名称（电子签名）：</w:t>
      </w:r>
    </w:p>
    <w:p w14:paraId="0F3B5902">
      <w:pPr>
        <w:spacing w:line="360" w:lineRule="auto"/>
        <w:ind w:right="1120" w:firstLine="4680" w:firstLineChars="1950"/>
        <w:rPr>
          <w:rFonts w:ascii="宋体" w:hAnsi="宋体"/>
          <w:b w:val="0"/>
          <w:bCs/>
          <w:color w:val="auto"/>
          <w:sz w:val="24"/>
          <w:highlight w:val="none"/>
        </w:rPr>
      </w:pPr>
      <w:r>
        <w:rPr>
          <w:rFonts w:hint="eastAsia" w:ascii="宋体" w:hAnsi="宋体"/>
          <w:b w:val="0"/>
          <w:bCs/>
          <w:color w:val="auto"/>
          <w:sz w:val="24"/>
          <w:highlight w:val="none"/>
        </w:rPr>
        <w:t>日 期：</w:t>
      </w:r>
    </w:p>
    <w:p w14:paraId="2405CACE">
      <w:pPr>
        <w:spacing w:line="360" w:lineRule="auto"/>
        <w:ind w:firstLine="308" w:firstLineChars="147"/>
        <w:jc w:val="left"/>
        <w:rPr>
          <w:rFonts w:ascii="宋体" w:hAnsi="宋体"/>
          <w:b w:val="0"/>
          <w:bCs/>
          <w:color w:val="auto"/>
          <w:highlight w:val="none"/>
        </w:rPr>
      </w:pPr>
      <w:r>
        <w:rPr>
          <w:rFonts w:hint="eastAsia" w:ascii="宋体" w:hAnsi="宋体"/>
          <w:b w:val="0"/>
          <w:bCs/>
          <w:color w:val="auto"/>
          <w:highlight w:val="none"/>
        </w:rPr>
        <w:t>从业人员、营业收入、资产总额填报上一年度数据，无上一年度数据的新成立企业可不填报。</w:t>
      </w:r>
    </w:p>
    <w:p w14:paraId="6A68FB63">
      <w:pPr>
        <w:spacing w:line="360" w:lineRule="auto"/>
        <w:ind w:right="420"/>
        <w:rPr>
          <w:rFonts w:ascii="宋体" w:hAnsi="宋体"/>
          <w:b w:val="0"/>
          <w:bCs/>
          <w:color w:val="auto"/>
          <w:sz w:val="24"/>
          <w:highlight w:val="none"/>
        </w:rPr>
      </w:pPr>
    </w:p>
    <w:p w14:paraId="064E7091">
      <w:pPr>
        <w:spacing w:line="360" w:lineRule="auto"/>
        <w:ind w:right="420"/>
        <w:rPr>
          <w:rFonts w:ascii="宋体" w:hAnsi="宋体"/>
          <w:b w:val="0"/>
          <w:bCs/>
          <w:color w:val="auto"/>
          <w:sz w:val="24"/>
          <w:highlight w:val="none"/>
        </w:rPr>
      </w:pPr>
      <w:r>
        <w:rPr>
          <w:rFonts w:hint="eastAsia" w:ascii="宋体" w:hAnsi="宋体"/>
          <w:b w:val="0"/>
          <w:bCs/>
          <w:color w:val="auto"/>
          <w:sz w:val="24"/>
          <w:highlight w:val="none"/>
        </w:rPr>
        <w:t xml:space="preserve">   注：</w:t>
      </w:r>
    </w:p>
    <w:p w14:paraId="78B831D2">
      <w:pPr>
        <w:spacing w:line="360" w:lineRule="auto"/>
        <w:ind w:right="420" w:firstLine="480" w:firstLineChars="200"/>
        <w:rPr>
          <w:rFonts w:ascii="宋体" w:hAnsi="宋体"/>
          <w:b w:val="0"/>
          <w:bCs/>
          <w:color w:val="auto"/>
          <w:sz w:val="24"/>
          <w:highlight w:val="none"/>
        </w:rPr>
      </w:pPr>
      <w:r>
        <w:rPr>
          <w:rFonts w:hint="eastAsia" w:ascii="宋体" w:hAnsi="宋体"/>
          <w:b w:val="0"/>
          <w:bCs/>
          <w:color w:val="auto"/>
          <w:sz w:val="24"/>
          <w:highlight w:val="none"/>
        </w:rPr>
        <w:t>1、填写要求：①“标的名称”、“采购文件中明确的所属行业”依据招标文件第二部分投标人须知前附表中“采购标的及其对应的中小企业划分标准所属行业”的指引逐一填写，不得缺漏；②从业人员、营业收入、资产总额填报上一年度数据，无上一年度数据的新成立企业可不填报；③中型企业、小型企业、微型企业等3种企业类型，结合以上数据，依据《中小企业划型标准规定》（工信部联企业〔2011〕300号）确定；④投标人提供的《中小企业声明函》与实际情况不符的或者未按以上要求填写的，中小企业声明函无效，不享受中小企业扶持政策。声明内容不实的，属于提供虚假材料谋取中标、成交的，依法承担法律责任。</w:t>
      </w:r>
    </w:p>
    <w:p w14:paraId="1E94ECD7">
      <w:pPr>
        <w:spacing w:line="360" w:lineRule="auto"/>
        <w:ind w:right="420" w:firstLine="480" w:firstLineChars="200"/>
        <w:rPr>
          <w:rFonts w:hint="eastAsia" w:ascii="宋体" w:hAnsi="宋体" w:eastAsia="仿宋" w:cs="宋体"/>
          <w:b w:val="0"/>
          <w:bCs/>
          <w:color w:val="auto"/>
          <w:sz w:val="24"/>
          <w:highlight w:val="none"/>
          <w:lang w:eastAsia="zh-CN"/>
        </w:rPr>
      </w:pPr>
      <w:r>
        <w:rPr>
          <w:rFonts w:hint="eastAsia" w:ascii="宋体" w:hAnsi="宋体" w:cs="宋体"/>
          <w:b w:val="0"/>
          <w:bCs/>
          <w:color w:val="auto"/>
          <w:sz w:val="24"/>
          <w:highlight w:val="none"/>
        </w:rPr>
        <w:t>2、符合《关于促进残疾人就业政府采购政策的通知》（财库〔2017〕141号）规定的条件并提供《残疾人福利性单位声明函》（附件1）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和微型企业</w:t>
      </w:r>
      <w:r>
        <w:rPr>
          <w:rFonts w:hint="eastAsia" w:ascii="宋体" w:hAnsi="宋体" w:cs="宋体"/>
          <w:b w:val="0"/>
          <w:bCs/>
          <w:color w:val="auto"/>
          <w:sz w:val="24"/>
          <w:highlight w:val="none"/>
          <w:lang w:eastAsia="zh-CN"/>
        </w:rPr>
        <w:t>。</w:t>
      </w:r>
    </w:p>
    <w:bookmarkEnd w:id="397"/>
    <w:bookmarkEnd w:id="398"/>
    <w:bookmarkEnd w:id="399"/>
    <w:bookmarkEnd w:id="400"/>
    <w:p w14:paraId="4478DB11">
      <w:pPr>
        <w:spacing w:line="360" w:lineRule="auto"/>
        <w:ind w:right="420" w:firstLine="482" w:firstLineChars="200"/>
        <w:rPr>
          <w:rFonts w:hint="eastAsia" w:ascii="宋体" w:hAnsi="宋体" w:cs="宋体"/>
          <w:color w:val="auto"/>
          <w:sz w:val="24"/>
          <w:highlight w:val="none"/>
        </w:rPr>
      </w:pPr>
    </w:p>
    <w:sectPr>
      <w:headerReference r:id="rId10" w:type="default"/>
      <w:footerReference r:id="rId11" w:type="default"/>
      <w:pgSz w:w="11906" w:h="16838"/>
      <w:pgMar w:top="1463" w:right="1304" w:bottom="1531" w:left="1417" w:header="850" w:footer="992" w:gutter="0"/>
      <w:pgBorders>
        <w:top w:val="none" w:sz="0" w:space="0"/>
        <w:left w:val="none" w:sz="0" w:space="0"/>
        <w:bottom w:val="none" w:sz="0" w:space="0"/>
        <w:right w:val="none" w:sz="0" w:space="0"/>
      </w:pgBorders>
      <w:cols w:space="0" w:num="1"/>
      <w:titlePg/>
      <w:rtlGutter w:val="0"/>
      <w:docGrid w:linePitch="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TimesNewRomanPSMT">
    <w:altName w:val="Times New Roman"/>
    <w:panose1 w:val="00000000000000000000"/>
    <w:charset w:val="00"/>
    <w:family w:val="auto"/>
    <w:pitch w:val="default"/>
    <w:sig w:usb0="00000000" w:usb1="00000000" w:usb2="00000000" w:usb3="00000000" w:csb0="00040001"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Arial Unicode MS">
    <w:altName w:val="宋体"/>
    <w:panose1 w:val="020B0604020202020204"/>
    <w:charset w:val="86"/>
    <w:family w:val="swiss"/>
    <w:pitch w:val="default"/>
    <w:sig w:usb0="00000000" w:usb1="00000000" w:usb2="0000007F" w:usb3="00000000" w:csb0="203F01FF" w:csb1="DFFF0000"/>
  </w:font>
  <w:font w:name="MS Mincho">
    <w:altName w:val="Yu Gothic UI"/>
    <w:panose1 w:val="02020609040205080304"/>
    <w:charset w:val="80"/>
    <w:family w:val="modern"/>
    <w:pitch w:val="default"/>
    <w:sig w:usb0="00000000" w:usb1="00000000" w:usb2="00000012" w:usb3="00000000" w:csb0="4002009F" w:csb1="DFD70000"/>
  </w:font>
  <w:font w:name="Yu Gothic UI">
    <w:panose1 w:val="020B0500000000000000"/>
    <w:charset w:val="80"/>
    <w:family w:val="swiss"/>
    <w:pitch w:val="default"/>
    <w:sig w:usb0="E00002FF" w:usb1="2AC7FDFF" w:usb2="00000016" w:usb3="00000000" w:csb0="2002009F" w:csb1="00000000"/>
  </w:font>
  <w:font w:name="Century">
    <w:panose1 w:val="02040604050505020304"/>
    <w:charset w:val="00"/>
    <w:family w:val="roman"/>
    <w:pitch w:val="default"/>
    <w:sig w:usb0="00000287" w:usb1="00000000" w:usb2="00000000" w:usb3="00000000" w:csb0="2000009F" w:csb1="DFD70000"/>
  </w:font>
  <w:font w:name="Tahoma">
    <w:panose1 w:val="020B0604030504040204"/>
    <w:charset w:val="00"/>
    <w:family w:val="swiss"/>
    <w:pitch w:val="default"/>
    <w:sig w:usb0="E1002EFF" w:usb1="C000605B" w:usb2="00000029" w:usb3="00000000" w:csb0="200101FF" w:csb1="20280000"/>
  </w:font>
  <w:font w:name="MS PMincho">
    <w:altName w:val="Yu Gothic UI"/>
    <w:panose1 w:val="02020600040205080304"/>
    <w:charset w:val="80"/>
    <w:family w:val="roman"/>
    <w:pitch w:val="default"/>
    <w:sig w:usb0="00000000" w:usb1="00000000" w:usb2="00000012" w:usb3="00000000" w:csb0="4002009F" w:csb1="DFD70000"/>
  </w:font>
  <w:font w:name="Helvetica">
    <w:altName w:val="Arial"/>
    <w:panose1 w:val="020B0604020202020204"/>
    <w:charset w:val="00"/>
    <w:family w:val="swiss"/>
    <w:pitch w:val="default"/>
    <w:sig w:usb0="00000000" w:usb1="00000000" w:usb2="00000009" w:usb3="00000000" w:csb0="000001FF" w:csb1="00000000"/>
  </w:font>
  <w:font w:name="华文细黑">
    <w:panose1 w:val="02010600040101010101"/>
    <w:charset w:val="86"/>
    <w:family w:val="auto"/>
    <w:pitch w:val="default"/>
    <w:sig w:usb0="00000287" w:usb1="080F0000" w:usb2="00000000" w:usb3="00000000" w:csb0="0004009F" w:csb1="DFD70000"/>
  </w:font>
  <w:font w:name="微软雅黑">
    <w:panose1 w:val="020B0503020204020204"/>
    <w:charset w:val="86"/>
    <w:family w:val="swiss"/>
    <w:pitch w:val="default"/>
    <w:sig w:usb0="80000287" w:usb1="2ACF3C50" w:usb2="00000016" w:usb3="00000000" w:csb0="0004001F" w:csb1="00000000"/>
  </w:font>
  <w:font w:name="MS Gothic">
    <w:panose1 w:val="020B0609070205080204"/>
    <w:charset w:val="80"/>
    <w:family w:val="modern"/>
    <w:pitch w:val="default"/>
    <w:sig w:usb0="E00002FF" w:usb1="6AC7FDFB" w:usb2="08000012" w:usb3="00000000" w:csb0="4002009F" w:csb1="DFD70000"/>
  </w:font>
  <w:font w:name="Times">
    <w:altName w:val="Times New Roman"/>
    <w:panose1 w:val="02020603050405020304"/>
    <w:charset w:val="00"/>
    <w:family w:val="roman"/>
    <w:pitch w:val="default"/>
    <w:sig w:usb0="00000000" w:usb1="00000000" w:usb2="00000009" w:usb3="00000000" w:csb0="000001FF" w:csb1="00000000"/>
  </w:font>
  <w:font w:name="楷体">
    <w:panose1 w:val="02010609060101010101"/>
    <w:charset w:val="86"/>
    <w:family w:val="modern"/>
    <w:pitch w:val="default"/>
    <w:sig w:usb0="800002BF" w:usb1="38CF7CFA" w:usb2="00000016" w:usb3="00000000" w:csb0="00040001" w:csb1="00000000"/>
  </w:font>
  <w:font w:name="TT-JTCウインS4P">
    <w:altName w:val="Yu Gothic"/>
    <w:panose1 w:val="00000000000000000000"/>
    <w:charset w:val="80"/>
    <w:family w:val="auto"/>
    <w:pitch w:val="default"/>
    <w:sig w:usb0="00000000" w:usb1="00000000" w:usb2="00000010" w:usb3="00000000" w:csb0="00020000" w:csb1="00000000"/>
  </w:font>
  <w:font w:name="Yu Gothic">
    <w:panose1 w:val="020B0400000000000000"/>
    <w:charset w:val="80"/>
    <w:family w:val="auto"/>
    <w:pitch w:val="default"/>
    <w:sig w:usb0="E00002FF" w:usb1="2AC7FDFF" w:usb2="00000016" w:usb3="00000000" w:csb0="2002009F" w:csb1="00000000"/>
  </w:font>
  <w:font w:name="High Tower Text">
    <w:altName w:val="Palatino Linotype"/>
    <w:panose1 w:val="02040502050506030303"/>
    <w:charset w:val="00"/>
    <w:family w:val="roman"/>
    <w:pitch w:val="default"/>
    <w:sig w:usb0="00000000" w:usb1="00000000" w:usb2="00000000" w:usb3="00000000" w:csb0="20000001" w:csb1="00000000"/>
  </w:font>
  <w:font w:name="Palatino Linotype">
    <w:panose1 w:val="02040502050505030304"/>
    <w:charset w:val="00"/>
    <w:family w:val="auto"/>
    <w:pitch w:val="default"/>
    <w:sig w:usb0="E0000287" w:usb1="40000013" w:usb2="00000000" w:usb3="00000000" w:csb0="2000019F" w:csb1="00000000"/>
  </w:font>
  <w:font w:name="???|CS?o｡ﾀ?">
    <w:altName w:val="MS PGothic"/>
    <w:panose1 w:val="00000000000000000000"/>
    <w:charset w:val="80"/>
    <w:family w:val="modern"/>
    <w:pitch w:val="default"/>
    <w:sig w:usb0="00000000" w:usb1="00000000" w:usb2="00000010" w:usb3="00000000" w:csb0="00020000" w:csb1="00000000"/>
  </w:font>
  <w:font w:name="MS PGothic">
    <w:panose1 w:val="020B0600070205080204"/>
    <w:charset w:val="80"/>
    <w:family w:val="auto"/>
    <w:pitch w:val="default"/>
    <w:sig w:usb0="E00002FF" w:usb1="6AC7FDFB" w:usb2="08000012" w:usb3="00000000" w:csb0="4002009F" w:csb1="DFD70000"/>
  </w:font>
  <w:font w:name="Arial (W1)">
    <w:altName w:val="Arial"/>
    <w:panose1 w:val="00000000000000000000"/>
    <w:charset w:val="00"/>
    <w:family w:val="auto"/>
    <w:pitch w:val="default"/>
    <w:sig w:usb0="00000000" w:usb1="00000000" w:usb2="00000008" w:usb3="00000000" w:csb0="000001FF" w:csb1="00000000"/>
  </w:font>
  <w:font w:name="Wingdings 2">
    <w:panose1 w:val="05020102010507070707"/>
    <w:charset w:val="02"/>
    <w:family w:val="roman"/>
    <w:pitch w:val="default"/>
    <w:sig w:usb0="00000000" w:usb1="00000000" w:usb2="00000000" w:usb3="00000000" w:csb0="80000000" w:csb1="00000000"/>
  </w:font>
  <w:font w:name="新宋体">
    <w:panose1 w:val="02010609030101010101"/>
    <w:charset w:val="86"/>
    <w:family w:val="modern"/>
    <w:pitch w:val="default"/>
    <w:sig w:usb0="000002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132330">
    <w:pPr>
      <w:pStyle w:val="33"/>
      <w:framePr w:wrap="around" w:vAnchor="text" w:hAnchor="page" w:x="5695" w:y="1"/>
      <w:rPr>
        <w:rFonts w:ascii="宋体" w:hAnsi="宋体" w:eastAsia="宋体" w:cs="宋体"/>
      </w:rPr>
    </w:pPr>
    <w:r>
      <w:rPr>
        <w:rFonts w:ascii="宋体" w:hAnsi="宋体" w:eastAsia="宋体" w:cs="宋体"/>
      </w:rPr>
      <w:fldChar w:fldCharType="begin"/>
    </w:r>
    <w:r>
      <w:rPr>
        <w:rFonts w:ascii="宋体" w:hAnsi="宋体" w:eastAsia="宋体" w:cs="宋体"/>
      </w:rPr>
      <w:instrText xml:space="preserve"> PAGE \* Arabic </w:instrText>
    </w:r>
    <w:r>
      <w:rPr>
        <w:rFonts w:ascii="宋体" w:hAnsi="宋体" w:eastAsia="宋体" w:cs="宋体"/>
      </w:rPr>
      <w:fldChar w:fldCharType="separate"/>
    </w:r>
    <w:r>
      <w:rPr>
        <w:rFonts w:ascii="宋体" w:hAnsi="宋体" w:eastAsia="宋体" w:cs="宋体"/>
      </w:rPr>
      <w:t>13</w:t>
    </w:r>
    <w:r>
      <w:rPr>
        <w:rFonts w:ascii="宋体" w:hAnsi="宋体" w:eastAsia="宋体" w:cs="宋体"/>
      </w:rPr>
      <w:fldChar w:fldCharType="end"/>
    </w:r>
  </w:p>
  <w:p w14:paraId="2E9EBF83">
    <w:pPr>
      <w:pStyle w:val="33"/>
      <w:tabs>
        <w:tab w:val="right" w:pos="8276"/>
        <w:tab w:val="clear" w:pos="8306"/>
      </w:tabs>
      <w:ind w:right="720"/>
      <w:jc w:val="right"/>
    </w:pPr>
    <w:r>
      <w:rPr>
        <w:rFonts w:hint="eastAsia"/>
      </w:rPr>
      <w:t xml:space="preserve">                                                </w:t>
    </w:r>
    <w:r>
      <w:tab/>
    </w:r>
    <w:r>
      <w:rPr>
        <w:rFonts w:hint="eastAsia"/>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49E7D5">
    <w:pPr>
      <w:pStyle w:val="33"/>
      <w:jc w:val="right"/>
      <w:rPr>
        <w:rFonts w:ascii="宋体" w:hAnsi="宋体" w:eastAsia="宋体" w:cs="宋体"/>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BA986D">
    <w:pPr>
      <w:pStyle w:val="33"/>
      <w:jc w:val="center"/>
      <w:rPr>
        <w:rFonts w:eastAsia="仿宋_GB2312"/>
      </w:rPr>
    </w:pPr>
    <w:r>
      <w:rPr>
        <w:rFonts w:hint="eastAsia" w:eastAsia="仿宋_GB2312"/>
      </w:rPr>
      <w:t xml:space="preserve">第 </w:t>
    </w:r>
    <w:r>
      <w:rPr>
        <w:rFonts w:hint="eastAsia" w:eastAsia="仿宋_GB2312"/>
      </w:rPr>
      <w:fldChar w:fldCharType="begin"/>
    </w:r>
    <w:r>
      <w:rPr>
        <w:rFonts w:hint="eastAsia" w:eastAsia="仿宋_GB2312"/>
      </w:rPr>
      <w:instrText xml:space="preserve"> PAGE </w:instrText>
    </w:r>
    <w:r>
      <w:rPr>
        <w:rFonts w:hint="eastAsia" w:eastAsia="仿宋_GB2312"/>
      </w:rPr>
      <w:fldChar w:fldCharType="separate"/>
    </w:r>
    <w:r>
      <w:rPr>
        <w:rFonts w:eastAsia="仿宋_GB2312"/>
      </w:rPr>
      <w:t>17</w:t>
    </w:r>
    <w:r>
      <w:rPr>
        <w:rFonts w:hint="eastAsia" w:eastAsia="仿宋_GB2312"/>
      </w:rPr>
      <w:fldChar w:fldCharType="end"/>
    </w:r>
    <w:r>
      <w:rPr>
        <w:rFonts w:hint="eastAsia" w:eastAsia="仿宋_GB2312"/>
      </w:rPr>
      <w:t xml:space="preserve"> 页 共 </w:t>
    </w:r>
    <w:r>
      <w:rPr>
        <w:rFonts w:hint="eastAsia" w:eastAsia="仿宋_GB2312"/>
      </w:rPr>
      <w:fldChar w:fldCharType="begin"/>
    </w:r>
    <w:r>
      <w:rPr>
        <w:rFonts w:hint="eastAsia" w:eastAsia="仿宋_GB2312"/>
      </w:rPr>
      <w:instrText xml:space="preserve"> NUMPAGES </w:instrText>
    </w:r>
    <w:r>
      <w:rPr>
        <w:rFonts w:hint="eastAsia" w:eastAsia="仿宋_GB2312"/>
      </w:rPr>
      <w:fldChar w:fldCharType="separate"/>
    </w:r>
    <w:r>
      <w:rPr>
        <w:rFonts w:eastAsia="仿宋_GB2312"/>
      </w:rPr>
      <w:t>79</w:t>
    </w:r>
    <w:r>
      <w:rPr>
        <w:rFonts w:hint="eastAsia" w:eastAsia="仿宋_GB2312"/>
      </w:rPr>
      <w:fldChar w:fldCharType="end"/>
    </w:r>
    <w:r>
      <w:rPr>
        <w:rFonts w:hint="eastAsia" w:eastAsia="仿宋_GB2312"/>
      </w:rPr>
      <w:t xml:space="preserve"> 页</w:t>
    </w:r>
  </w:p>
  <w:p w14:paraId="7783BCEC">
    <w:pPr>
      <w:rPr>
        <w:rFonts w:eastAsia="仿宋_GB231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309124">
    <w:pPr>
      <w:pStyle w:val="33"/>
      <w:jc w:val="center"/>
      <w:rPr>
        <w:rFonts w:eastAsia="仿宋_GB2312"/>
      </w:rPr>
    </w:pPr>
    <w:r>
      <w:rPr>
        <w:rFonts w:hint="eastAsia" w:eastAsia="仿宋_GB2312"/>
      </w:rPr>
      <w:t xml:space="preserve">第 </w:t>
    </w:r>
    <w:r>
      <w:rPr>
        <w:rFonts w:hint="eastAsia" w:eastAsia="仿宋_GB2312"/>
      </w:rPr>
      <w:fldChar w:fldCharType="begin"/>
    </w:r>
    <w:r>
      <w:rPr>
        <w:rFonts w:hint="eastAsia" w:eastAsia="仿宋_GB2312"/>
      </w:rPr>
      <w:instrText xml:space="preserve"> PAGE </w:instrText>
    </w:r>
    <w:r>
      <w:rPr>
        <w:rFonts w:hint="eastAsia" w:eastAsia="仿宋_GB2312"/>
      </w:rPr>
      <w:fldChar w:fldCharType="separate"/>
    </w:r>
    <w:r>
      <w:rPr>
        <w:rFonts w:eastAsia="仿宋_GB2312"/>
      </w:rPr>
      <w:t>2</w:t>
    </w:r>
    <w:r>
      <w:rPr>
        <w:rFonts w:hint="eastAsia" w:eastAsia="仿宋_GB2312"/>
      </w:rPr>
      <w:fldChar w:fldCharType="end"/>
    </w:r>
    <w:r>
      <w:rPr>
        <w:rFonts w:hint="eastAsia" w:eastAsia="仿宋_GB2312"/>
      </w:rPr>
      <w:t xml:space="preserve"> 页 共 </w:t>
    </w:r>
    <w:r>
      <w:rPr>
        <w:rFonts w:hint="eastAsia" w:eastAsia="仿宋_GB2312"/>
      </w:rPr>
      <w:fldChar w:fldCharType="begin"/>
    </w:r>
    <w:r>
      <w:rPr>
        <w:rFonts w:hint="eastAsia" w:eastAsia="仿宋_GB2312"/>
      </w:rPr>
      <w:instrText xml:space="preserve"> NUMPAGES </w:instrText>
    </w:r>
    <w:r>
      <w:rPr>
        <w:rFonts w:hint="eastAsia" w:eastAsia="仿宋_GB2312"/>
      </w:rPr>
      <w:fldChar w:fldCharType="separate"/>
    </w:r>
    <w:r>
      <w:rPr>
        <w:rFonts w:eastAsia="仿宋_GB2312"/>
      </w:rPr>
      <w:t>79</w:t>
    </w:r>
    <w:r>
      <w:rPr>
        <w:rFonts w:hint="eastAsia" w:eastAsia="仿宋_GB2312"/>
      </w:rPr>
      <w:fldChar w:fldCharType="end"/>
    </w:r>
    <w:r>
      <w:rPr>
        <w:rFonts w:hint="eastAsia" w:eastAsia="仿宋_GB2312"/>
      </w:rPr>
      <w:t xml:space="preserve"> 页</w:t>
    </w:r>
  </w:p>
  <w:p w14:paraId="1DB2EF8C">
    <w:pPr>
      <w:rPr>
        <w:rFonts w:eastAsia="仿宋_GB231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E2DE47">
    <w:pPr>
      <w:pStyle w:val="33"/>
      <w:framePr w:wrap="around" w:vAnchor="text" w:hAnchor="page" w:x="5785" w:y="1"/>
      <w:jc w:val="center"/>
      <w:rPr>
        <w:rFonts w:ascii="宋体" w:hAnsi="宋体" w:eastAsia="宋体" w:cs="宋体"/>
      </w:rPr>
    </w:pPr>
    <w:r>
      <w:rPr>
        <w:rFonts w:ascii="宋体" w:hAnsi="宋体" w:eastAsia="宋体" w:cs="宋体"/>
      </w:rPr>
      <w:fldChar w:fldCharType="begin"/>
    </w:r>
    <w:r>
      <w:rPr>
        <w:rFonts w:ascii="宋体" w:hAnsi="宋体" w:eastAsia="宋体" w:cs="宋体"/>
      </w:rPr>
      <w:instrText xml:space="preserve"> PAGE \* Arabic </w:instrText>
    </w:r>
    <w:r>
      <w:rPr>
        <w:rFonts w:ascii="宋体" w:hAnsi="宋体" w:eastAsia="宋体" w:cs="宋体"/>
      </w:rPr>
      <w:fldChar w:fldCharType="separate"/>
    </w:r>
    <w:r>
      <w:rPr>
        <w:rFonts w:ascii="宋体" w:hAnsi="宋体" w:eastAsia="宋体" w:cs="宋体"/>
      </w:rPr>
      <w:t>79</w:t>
    </w:r>
    <w:r>
      <w:rPr>
        <w:rFonts w:ascii="宋体" w:hAnsi="宋体" w:eastAsia="宋体" w:cs="宋体"/>
      </w:rPr>
      <w:fldChar w:fldCharType="end"/>
    </w:r>
  </w:p>
  <w:p w14:paraId="3A2C76A6">
    <w:pPr>
      <w:pStyle w:val="33"/>
      <w:jc w:val="right"/>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1D6109">
    <w:pPr>
      <w:pStyle w:val="34"/>
      <w:jc w:val="both"/>
      <w:rPr>
        <w:rFonts w:ascii="宋体" w:hAnsi="宋体" w:eastAsia="宋体" w:cs="宋体"/>
        <w:b w:val="0"/>
      </w:rPr>
    </w:pPr>
    <w:r>
      <w:rPr>
        <w:rFonts w:ascii="宋体" w:hAnsi="宋体" w:eastAsia="宋体" w:cs="宋体"/>
        <w:b w:val="0"/>
      </w:rPr>
      <w:t>永嘉县政府采购招标文件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DAF10">
    <w:pPr>
      <w:pStyle w:val="34"/>
      <w:jc w:val="both"/>
      <w:rPr>
        <w:rFonts w:eastAsia="仿宋_GB2312"/>
        <w:i/>
        <w:u w:val="single"/>
      </w:rPr>
    </w:pPr>
    <w:r>
      <w:rPr>
        <w:rFonts w:hint="eastAsia"/>
      </w:rPr>
      <w:t>永嘉县</w:t>
    </w:r>
    <w:r>
      <w:t>政府采购公开招标文件</w:t>
    </w:r>
  </w:p>
  <w:p w14:paraId="6E9C81B2">
    <w:pPr>
      <w:rPr>
        <w:rFonts w:eastAsia="仿宋_GB2312"/>
        <w:i/>
        <w:sz w:val="18"/>
        <w:u w:val="single"/>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5BE752">
    <w:pPr>
      <w:pStyle w:val="34"/>
      <w:jc w:val="both"/>
    </w:pPr>
    <w:r>
      <w:rPr>
        <w:rFonts w:hint="eastAsia"/>
      </w:rPr>
      <w:t>永嘉县</w:t>
    </w:r>
    <w:r>
      <w:t>政府采购公开招标文件</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A69543">
    <w:pPr>
      <w:pStyle w:val="34"/>
      <w:jc w:val="both"/>
      <w:rPr>
        <w:rFonts w:ascii="宋体" w:hAnsi="宋体" w:eastAsia="宋体" w:cs="宋体"/>
        <w:b w:val="0"/>
      </w:rPr>
    </w:pPr>
    <w:r>
      <w:rPr>
        <w:rFonts w:ascii="宋体" w:hAnsi="宋体" w:eastAsia="宋体" w:cs="宋体"/>
        <w:b w:val="0"/>
      </w:rPr>
      <w:t>永嘉县政府采购招标文件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E995C8"/>
    <w:multiLevelType w:val="singleLevel"/>
    <w:tmpl w:val="99E995C8"/>
    <w:lvl w:ilvl="0" w:tentative="0">
      <w:start w:val="1"/>
      <w:numFmt w:val="decimal"/>
      <w:suff w:val="space"/>
      <w:lvlText w:val="%1."/>
      <w:lvlJc w:val="left"/>
    </w:lvl>
  </w:abstractNum>
  <w:abstractNum w:abstractNumId="1">
    <w:nsid w:val="00000016"/>
    <w:multiLevelType w:val="multilevel"/>
    <w:tmpl w:val="00000016"/>
    <w:lvl w:ilvl="0" w:tentative="0">
      <w:start w:val="1"/>
      <w:numFmt w:val="decimal"/>
      <w:lvlText w:val="%1."/>
      <w:lvlJc w:val="left"/>
      <w:pPr>
        <w:tabs>
          <w:tab w:val="left" w:pos="720"/>
        </w:tabs>
        <w:ind w:left="720" w:hanging="720"/>
      </w:pPr>
      <w:rPr>
        <w:rFonts w:hint="default"/>
      </w:rPr>
    </w:lvl>
    <w:lvl w:ilvl="1" w:tentative="0">
      <w:start w:val="1"/>
      <w:numFmt w:val="decimal"/>
      <w:lvlText w:val="%2."/>
      <w:lvlJc w:val="left"/>
      <w:pPr>
        <w:tabs>
          <w:tab w:val="left" w:pos="720"/>
        </w:tabs>
        <w:ind w:left="720" w:hanging="720"/>
      </w:pPr>
      <w:rPr>
        <w:rFonts w:hint="default" w:ascii="Arial (W1)" w:hAnsi="Arial (W1)"/>
        <w:b/>
        <w:i w:val="0"/>
        <w:sz w:val="28"/>
      </w:rPr>
    </w:lvl>
    <w:lvl w:ilvl="2" w:tentative="0">
      <w:start w:val="1"/>
      <w:numFmt w:val="decimal"/>
      <w:lvlText w:val="%1.%3."/>
      <w:lvlJc w:val="left"/>
      <w:pPr>
        <w:tabs>
          <w:tab w:val="left" w:pos="720"/>
        </w:tabs>
        <w:ind w:left="720" w:hanging="720"/>
      </w:pPr>
      <w:rPr>
        <w:rFonts w:hint="default"/>
      </w:rPr>
    </w:lvl>
    <w:lvl w:ilvl="3" w:tentative="0">
      <w:start w:val="1"/>
      <w:numFmt w:val="decimal"/>
      <w:lvlText w:val="%1.%3.%4."/>
      <w:lvlJc w:val="left"/>
      <w:pPr>
        <w:tabs>
          <w:tab w:val="left" w:pos="1728"/>
        </w:tabs>
        <w:ind w:left="1728" w:hanging="648"/>
      </w:pPr>
      <w:rPr>
        <w:rFonts w:hint="default"/>
      </w:rPr>
    </w:lvl>
    <w:lvl w:ilvl="4" w:tentative="0">
      <w:start w:val="1"/>
      <w:numFmt w:val="decimal"/>
      <w:lvlText w:val="%1.%2.%3.%4.%5."/>
      <w:lvlJc w:val="left"/>
      <w:pPr>
        <w:tabs>
          <w:tab w:val="left" w:pos="2520"/>
        </w:tabs>
        <w:ind w:left="2232" w:hanging="792"/>
      </w:pPr>
      <w:rPr>
        <w:rFonts w:hint="default"/>
      </w:rPr>
    </w:lvl>
    <w:lvl w:ilvl="5" w:tentative="0">
      <w:start w:val="1"/>
      <w:numFmt w:val="decimal"/>
      <w:lvlText w:val="%1.%2.%3.%4.%5.%6."/>
      <w:lvlJc w:val="left"/>
      <w:pPr>
        <w:tabs>
          <w:tab w:val="left" w:pos="3240"/>
        </w:tabs>
        <w:ind w:left="2736" w:hanging="936"/>
      </w:pPr>
      <w:rPr>
        <w:rFonts w:hint="default"/>
      </w:rPr>
    </w:lvl>
    <w:lvl w:ilvl="6" w:tentative="0">
      <w:start w:val="1"/>
      <w:numFmt w:val="decimal"/>
      <w:lvlText w:val="%1.%2.%3.%4.%5.%6.%7."/>
      <w:lvlJc w:val="left"/>
      <w:pPr>
        <w:tabs>
          <w:tab w:val="left" w:pos="3600"/>
        </w:tabs>
        <w:ind w:left="3240" w:hanging="1080"/>
      </w:pPr>
      <w:rPr>
        <w:rFonts w:hint="default"/>
      </w:rPr>
    </w:lvl>
    <w:lvl w:ilvl="7" w:tentative="0">
      <w:start w:val="1"/>
      <w:numFmt w:val="decimal"/>
      <w:lvlText w:val="%1.%2.%3.%4.%5.%6.%7.%8."/>
      <w:lvlJc w:val="left"/>
      <w:pPr>
        <w:tabs>
          <w:tab w:val="left" w:pos="4320"/>
        </w:tabs>
        <w:ind w:left="3744" w:hanging="1224"/>
      </w:pPr>
      <w:rPr>
        <w:rFonts w:hint="default"/>
      </w:rPr>
    </w:lvl>
    <w:lvl w:ilvl="8" w:tentative="0">
      <w:start w:val="1"/>
      <w:numFmt w:val="decimal"/>
      <w:lvlText w:val="%1.%2.%3.%4.%5.%6.%7.%8.%9."/>
      <w:lvlJc w:val="left"/>
      <w:pPr>
        <w:tabs>
          <w:tab w:val="left" w:pos="5040"/>
        </w:tabs>
        <w:ind w:left="4320" w:hanging="1440"/>
      </w:pPr>
      <w:rPr>
        <w:rFonts w:hint="default"/>
      </w:rPr>
    </w:lvl>
  </w:abstractNum>
  <w:abstractNum w:abstractNumId="2">
    <w:nsid w:val="2072BF9F"/>
    <w:multiLevelType w:val="singleLevel"/>
    <w:tmpl w:val="2072BF9F"/>
    <w:lvl w:ilvl="0" w:tentative="0">
      <w:start w:val="1"/>
      <w:numFmt w:val="decimal"/>
      <w:lvlText w:val="%1."/>
      <w:lvlJc w:val="left"/>
      <w:pPr>
        <w:ind w:left="425" w:hanging="425"/>
      </w:pPr>
      <w:rPr>
        <w:rFonts w:hint="default"/>
      </w:rPr>
    </w:lvl>
  </w:abstractNum>
  <w:abstractNum w:abstractNumId="3">
    <w:nsid w:val="5670062F"/>
    <w:multiLevelType w:val="singleLevel"/>
    <w:tmpl w:val="5670062F"/>
    <w:lvl w:ilvl="0" w:tentative="0">
      <w:start w:val="1"/>
      <w:numFmt w:val="decimal"/>
      <w:pStyle w:val="13"/>
      <w:lvlText w:val="%1."/>
      <w:lvlJc w:val="left"/>
      <w:pPr>
        <w:tabs>
          <w:tab w:val="left" w:pos="360"/>
        </w:tabs>
        <w:ind w:left="360" w:hanging="360"/>
      </w:pPr>
    </w:lvl>
  </w:abstractNum>
  <w:abstractNum w:abstractNumId="4">
    <w:nsid w:val="5E9D67D1"/>
    <w:multiLevelType w:val="multilevel"/>
    <w:tmpl w:val="5E9D67D1"/>
    <w:lvl w:ilvl="0" w:tentative="0">
      <w:start w:val="1"/>
      <w:numFmt w:val="decimal"/>
      <w:pStyle w:val="210"/>
      <w:lvlText w:val="%1."/>
      <w:lvlJc w:val="left"/>
      <w:rPr>
        <w:rFonts w:ascii="Arial" w:hAnsi="Arial"/>
        <w:b/>
        <w:i w:val="0"/>
        <w:sz w:val="21"/>
      </w:rPr>
    </w:lvl>
    <w:lvl w:ilvl="1" w:tentative="0">
      <w:start w:val="1"/>
      <w:numFmt w:val="decimal"/>
      <w:pStyle w:val="190"/>
      <w:lvlText w:val="%1.%2"/>
      <w:lvlJc w:val="left"/>
      <w:rPr>
        <w:rFonts w:ascii="Arial" w:hAnsi="Arial"/>
        <w:b w:val="0"/>
        <w:i w:val="0"/>
        <w:sz w:val="21"/>
      </w:rPr>
    </w:lvl>
    <w:lvl w:ilvl="2" w:tentative="0">
      <w:start w:val="1"/>
      <w:numFmt w:val="decimal"/>
      <w:pStyle w:val="244"/>
      <w:lvlText w:val="%1.%2.%3"/>
      <w:lvlJc w:val="left"/>
    </w:lvl>
    <w:lvl w:ilvl="3" w:tentative="0">
      <w:start w:val="1"/>
      <w:numFmt w:val="decimal"/>
      <w:lvlText w:val="%1.%2.%3.%4"/>
      <w:lvlJc w:val="left"/>
    </w:lvl>
    <w:lvl w:ilvl="4" w:tentative="0">
      <w:start w:val="1"/>
      <w:numFmt w:val="decimal"/>
      <w:lvlText w:val="%1.%2.%3.%4.%5"/>
      <w:lvlJc w:val="left"/>
    </w:lvl>
    <w:lvl w:ilvl="5" w:tentative="0">
      <w:start w:val="1"/>
      <w:numFmt w:val="decimal"/>
      <w:lvlText w:val="%1.%2.%3.%4.%5.%6"/>
      <w:lvlJc w:val="left"/>
    </w:lvl>
    <w:lvl w:ilvl="6" w:tentative="0">
      <w:start w:val="1"/>
      <w:numFmt w:val="decimal"/>
      <w:lvlText w:val="%1.%2.%3.%4.%5.%6.%7"/>
      <w:lvlJc w:val="left"/>
    </w:lvl>
    <w:lvl w:ilvl="7" w:tentative="0">
      <w:start w:val="1"/>
      <w:numFmt w:val="decimal"/>
      <w:lvlText w:val="%1.%2.%3.%4.%5.%6.%7.%8"/>
      <w:lvlJc w:val="left"/>
    </w:lvl>
    <w:lvl w:ilvl="8" w:tentative="0">
      <w:start w:val="1"/>
      <w:numFmt w:val="decimal"/>
      <w:lvlText w:val="%1.%2.%3.%4.%5.%6.%7.%8.%9"/>
      <w:lvlJc w:val="left"/>
    </w:lvl>
  </w:abstractNum>
  <w:abstractNum w:abstractNumId="5">
    <w:nsid w:val="5E9D67D2"/>
    <w:multiLevelType w:val="multilevel"/>
    <w:tmpl w:val="5E9D67D2"/>
    <w:lvl w:ilvl="0" w:tentative="0">
      <w:start w:val="1"/>
      <w:numFmt w:val="decimal"/>
      <w:pStyle w:val="2"/>
      <w:lvlText w:val="%1"/>
      <w:lvlJc w:val="left"/>
    </w:lvl>
    <w:lvl w:ilvl="1" w:tentative="0">
      <w:start w:val="1"/>
      <w:numFmt w:val="decimal"/>
      <w:pStyle w:val="3"/>
      <w:lvlText w:val="%1.%2"/>
      <w:lvlJc w:val="left"/>
    </w:lvl>
    <w:lvl w:ilvl="2" w:tentative="0">
      <w:start w:val="1"/>
      <w:numFmt w:val="decimal"/>
      <w:pStyle w:val="4"/>
      <w:lvlText w:val="%1.%2.%3"/>
      <w:lvlJc w:val="left"/>
    </w:lvl>
    <w:lvl w:ilvl="3" w:tentative="0">
      <w:start w:val="1"/>
      <w:numFmt w:val="decimal"/>
      <w:pStyle w:val="5"/>
      <w:lvlText w:val="%1.%2.%3.%4"/>
      <w:lvlJc w:val="left"/>
    </w:lvl>
    <w:lvl w:ilvl="4" w:tentative="0">
      <w:start w:val="1"/>
      <w:numFmt w:val="decimal"/>
      <w:pStyle w:val="7"/>
      <w:lvlText w:val="%1.%2.%3.%4.%5"/>
      <w:lvlJc w:val="left"/>
    </w:lvl>
    <w:lvl w:ilvl="5" w:tentative="0">
      <w:start w:val="1"/>
      <w:numFmt w:val="decimal"/>
      <w:pStyle w:val="8"/>
      <w:lvlText w:val="%1.%2.%3.%4.%5.%6"/>
      <w:lvlJc w:val="left"/>
    </w:lvl>
    <w:lvl w:ilvl="6" w:tentative="0">
      <w:start w:val="1"/>
      <w:numFmt w:val="decimal"/>
      <w:pStyle w:val="9"/>
      <w:lvlText w:val="%1.%2.%3.%4.%5.%6.%7"/>
      <w:lvlJc w:val="left"/>
    </w:lvl>
    <w:lvl w:ilvl="7" w:tentative="0">
      <w:start w:val="1"/>
      <w:numFmt w:val="decimal"/>
      <w:pStyle w:val="10"/>
      <w:lvlText w:val="%1.%2.%3.%4.%5.%6.%7.%8"/>
      <w:lvlJc w:val="left"/>
    </w:lvl>
    <w:lvl w:ilvl="8" w:tentative="0">
      <w:start w:val="1"/>
      <w:numFmt w:val="decimal"/>
      <w:pStyle w:val="11"/>
      <w:lvlText w:val="%1.%2.%3.%4.%5.%6.%7.%8.%9"/>
      <w:lvlJc w:val="left"/>
    </w:lvl>
  </w:abstractNum>
  <w:abstractNum w:abstractNumId="6">
    <w:nsid w:val="5E9D67D3"/>
    <w:multiLevelType w:val="multilevel"/>
    <w:tmpl w:val="5E9D67D3"/>
    <w:lvl w:ilvl="0" w:tentative="0">
      <w:start w:val="1"/>
      <w:numFmt w:val="bullet"/>
      <w:pStyle w:val="284"/>
      <w:lvlText w:val=""/>
      <w:lvlJc w:val="left"/>
      <w:rPr>
        <w:rFonts w:ascii="Wingdings" w:hAnsi="Wingdings"/>
      </w:rPr>
    </w:lvl>
    <w:lvl w:ilvl="1" w:tentative="0">
      <w:start w:val="1"/>
      <w:numFmt w:val="bullet"/>
      <w:lvlText w:val=""/>
      <w:lvlJc w:val="left"/>
      <w:rPr>
        <w:rFonts w:ascii="Wingdings" w:hAnsi="Wingdings"/>
      </w:rPr>
    </w:lvl>
    <w:lvl w:ilvl="2" w:tentative="0">
      <w:start w:val="1"/>
      <w:numFmt w:val="bullet"/>
      <w:lvlText w:val=""/>
      <w:lvlJc w:val="left"/>
      <w:rPr>
        <w:rFonts w:ascii="Wingdings" w:hAnsi="Wingdings"/>
      </w:rPr>
    </w:lvl>
    <w:lvl w:ilvl="3" w:tentative="0">
      <w:start w:val="1"/>
      <w:numFmt w:val="bullet"/>
      <w:lvlText w:val=""/>
      <w:lvlJc w:val="left"/>
      <w:rPr>
        <w:rFonts w:ascii="Wingdings" w:hAnsi="Wingdings"/>
      </w:rPr>
    </w:lvl>
    <w:lvl w:ilvl="4" w:tentative="0">
      <w:start w:val="1"/>
      <w:numFmt w:val="bullet"/>
      <w:lvlText w:val=""/>
      <w:lvlJc w:val="left"/>
      <w:rPr>
        <w:rFonts w:ascii="Wingdings" w:hAnsi="Wingdings"/>
      </w:rPr>
    </w:lvl>
    <w:lvl w:ilvl="5" w:tentative="0">
      <w:start w:val="1"/>
      <w:numFmt w:val="bullet"/>
      <w:lvlText w:val=""/>
      <w:lvlJc w:val="left"/>
      <w:rPr>
        <w:rFonts w:ascii="Wingdings" w:hAnsi="Wingdings"/>
      </w:rPr>
    </w:lvl>
    <w:lvl w:ilvl="6" w:tentative="0">
      <w:start w:val="1"/>
      <w:numFmt w:val="bullet"/>
      <w:lvlText w:val=""/>
      <w:lvlJc w:val="left"/>
      <w:rPr>
        <w:rFonts w:ascii="Wingdings" w:hAnsi="Wingdings"/>
      </w:rPr>
    </w:lvl>
    <w:lvl w:ilvl="7" w:tentative="0">
      <w:start w:val="1"/>
      <w:numFmt w:val="bullet"/>
      <w:lvlText w:val=""/>
      <w:lvlJc w:val="left"/>
      <w:rPr>
        <w:rFonts w:ascii="Wingdings" w:hAnsi="Wingdings"/>
      </w:rPr>
    </w:lvl>
    <w:lvl w:ilvl="8" w:tentative="0">
      <w:start w:val="1"/>
      <w:numFmt w:val="bullet"/>
      <w:lvlText w:val=""/>
      <w:lvlJc w:val="left"/>
      <w:rPr>
        <w:rFonts w:ascii="Wingdings" w:hAnsi="Wingdings"/>
      </w:rPr>
    </w:lvl>
  </w:abstractNum>
  <w:abstractNum w:abstractNumId="7">
    <w:nsid w:val="5E9D67D5"/>
    <w:multiLevelType w:val="multilevel"/>
    <w:tmpl w:val="5E9D67D5"/>
    <w:lvl w:ilvl="0" w:tentative="0">
      <w:start w:val="1"/>
      <w:numFmt w:val="decimal"/>
      <w:lvlText w:val="%1."/>
      <w:lvlJc w:val="left"/>
    </w:lvl>
    <w:lvl w:ilvl="1" w:tentative="0">
      <w:start w:val="1"/>
      <w:numFmt w:val="decimal"/>
      <w:pStyle w:val="231"/>
      <w:lvlText w:val="%1.%2"/>
      <w:lvlJc w:val="left"/>
      <w:rPr>
        <w:rFonts w:ascii="Arial" w:hAnsi="Arial"/>
        <w:b w:val="0"/>
        <w:i w:val="0"/>
      </w:rPr>
    </w:lvl>
    <w:lvl w:ilvl="2" w:tentative="0">
      <w:start w:val="1"/>
      <w:numFmt w:val="decimal"/>
      <w:lvlText w:val="(%3)"/>
      <w:lvlJc w:val="left"/>
      <w:rPr>
        <w:rFonts w:ascii="Arial" w:hAnsi="Arial"/>
        <w:b w:val="0"/>
        <w:i w:val="0"/>
        <w:sz w:val="28"/>
      </w:rPr>
    </w:lvl>
    <w:lvl w:ilvl="3" w:tentative="0">
      <w:start w:val="1"/>
      <w:numFmt w:val="lowerLetter"/>
      <w:suff w:val="space"/>
      <w:lvlText w:val="(%4)"/>
      <w:lvlJc w:val="left"/>
      <w:rPr>
        <w:rFonts w:ascii="Arial" w:hAnsi="Arial"/>
        <w:b w:val="0"/>
        <w:i w:val="0"/>
      </w:rPr>
    </w:lvl>
    <w:lvl w:ilvl="4" w:tentative="0">
      <w:start w:val="1"/>
      <w:numFmt w:val="decimal"/>
      <w:lvlText w:val="（%5）"/>
      <w:lvlJc w:val="left"/>
      <w:rPr>
        <w:rFonts w:ascii="MS Gothic" w:hAnsi="MS Gothic"/>
        <w:b w:val="0"/>
        <w:i w:val="0"/>
        <w:sz w:val="20"/>
      </w:rPr>
    </w:lvl>
    <w:lvl w:ilvl="5" w:tentative="0">
      <w:start w:val="1"/>
      <w:numFmt w:val="lowerLetter"/>
      <w:lvlText w:val="（%6）"/>
      <w:lvlJc w:val="left"/>
      <w:rPr>
        <w:rFonts w:ascii="MS Gothic" w:hAnsi="MS Gothic"/>
        <w:b w:val="0"/>
        <w:i w:val="0"/>
        <w:sz w:val="20"/>
      </w:rPr>
    </w:lvl>
    <w:lvl w:ilvl="6" w:tentative="0">
      <w:start w:val="1"/>
      <w:numFmt w:val="bullet"/>
      <w:lvlText w:val=""/>
      <w:lvlJc w:val="left"/>
      <w:rPr>
        <w:rFonts w:ascii="Symbol" w:hAnsi="Symbol"/>
        <w:color w:val="000000"/>
      </w:rPr>
    </w:lvl>
    <w:lvl w:ilvl="7" w:tentative="0">
      <w:start w:val="1"/>
      <w:numFmt w:val="decimal"/>
      <w:lvlText w:val="%8"/>
      <w:lvlJc w:val="left"/>
      <w:rPr>
        <w:rFonts w:ascii="TT-JTCウインS4P" w:hAnsi="TT-JTCウインS4P"/>
        <w:b/>
        <w:i w:val="0"/>
        <w:sz w:val="20"/>
      </w:rPr>
    </w:lvl>
    <w:lvl w:ilvl="8" w:tentative="0">
      <w:start w:val="1"/>
      <w:numFmt w:val="none"/>
      <w:lvlText w:val=""/>
      <w:lvlJc w:val="left"/>
    </w:lvl>
  </w:abstractNum>
  <w:num w:numId="1">
    <w:abstractNumId w:val="5"/>
  </w:num>
  <w:num w:numId="2">
    <w:abstractNumId w:val="3"/>
  </w:num>
  <w:num w:numId="3">
    <w:abstractNumId w:val="4"/>
  </w:num>
  <w:num w:numId="4">
    <w:abstractNumId w:val="7"/>
  </w:num>
  <w:num w:numId="5">
    <w:abstractNumId w:val="6"/>
  </w:num>
  <w:num w:numId="6">
    <w:abstractNumId w:val="1"/>
  </w:num>
  <w:num w:numId="7">
    <w:abstractNumId w:val="2"/>
  </w:num>
  <w:num w:numId="8">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yu xufan">
    <w15:presenceInfo w15:providerId="None" w15:userId="yu xufa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gutterAtTop/>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425"/>
  <w:drawingGridHorizontalSpacing w:val="0"/>
  <w:drawingGridVerticalSpacing w:val="0"/>
  <w:displayHorizontalDrawingGridEvery w:val="1"/>
  <w:displayVerticalDrawingGridEvery w:val="1"/>
  <w:doNotUseMarginsForDrawingGridOrigin w:val="1"/>
  <w:drawingGridHorizontalOrigin w:val="0"/>
  <w:drawingGridVerticalOrigin w:val="0"/>
  <w:noPunctuationKerning w:val="1"/>
  <w:characterSpacingControl w:val="doNotCompress"/>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Y0OThhNWFlOWYxMGU0YmI1YWNiMWNiZTM1OGZmZWQifQ=="/>
  </w:docVars>
  <w:rsids>
    <w:rsidRoot w:val="00A122FB"/>
    <w:rsid w:val="0000095E"/>
    <w:rsid w:val="00002BEB"/>
    <w:rsid w:val="00006DC9"/>
    <w:rsid w:val="00016CB0"/>
    <w:rsid w:val="000259F1"/>
    <w:rsid w:val="000430B2"/>
    <w:rsid w:val="00050F0E"/>
    <w:rsid w:val="00054840"/>
    <w:rsid w:val="00056E34"/>
    <w:rsid w:val="00066E2B"/>
    <w:rsid w:val="000749E3"/>
    <w:rsid w:val="00075CD5"/>
    <w:rsid w:val="00077FE1"/>
    <w:rsid w:val="00081DE1"/>
    <w:rsid w:val="000827C1"/>
    <w:rsid w:val="00087EDD"/>
    <w:rsid w:val="00096531"/>
    <w:rsid w:val="000A3DD8"/>
    <w:rsid w:val="000A4A25"/>
    <w:rsid w:val="000B0C34"/>
    <w:rsid w:val="000D4458"/>
    <w:rsid w:val="000E2F26"/>
    <w:rsid w:val="000E7AAF"/>
    <w:rsid w:val="000F3186"/>
    <w:rsid w:val="000F6C1B"/>
    <w:rsid w:val="001266C6"/>
    <w:rsid w:val="00136BCC"/>
    <w:rsid w:val="001414D2"/>
    <w:rsid w:val="00181E03"/>
    <w:rsid w:val="001A1E22"/>
    <w:rsid w:val="001A3B07"/>
    <w:rsid w:val="001B1210"/>
    <w:rsid w:val="001B1E57"/>
    <w:rsid w:val="001D0C20"/>
    <w:rsid w:val="001E3A3C"/>
    <w:rsid w:val="001F089B"/>
    <w:rsid w:val="001F12E0"/>
    <w:rsid w:val="002026AF"/>
    <w:rsid w:val="00222521"/>
    <w:rsid w:val="00224F42"/>
    <w:rsid w:val="0024125C"/>
    <w:rsid w:val="00242556"/>
    <w:rsid w:val="002441BD"/>
    <w:rsid w:val="00247096"/>
    <w:rsid w:val="0025382A"/>
    <w:rsid w:val="002546C1"/>
    <w:rsid w:val="00262D11"/>
    <w:rsid w:val="00265F71"/>
    <w:rsid w:val="00267103"/>
    <w:rsid w:val="002823F6"/>
    <w:rsid w:val="00282D7C"/>
    <w:rsid w:val="00287435"/>
    <w:rsid w:val="00292B5D"/>
    <w:rsid w:val="00294E2B"/>
    <w:rsid w:val="002B3D63"/>
    <w:rsid w:val="002B6923"/>
    <w:rsid w:val="002B6D3B"/>
    <w:rsid w:val="002C35F8"/>
    <w:rsid w:val="002C38D8"/>
    <w:rsid w:val="002C4449"/>
    <w:rsid w:val="002C667D"/>
    <w:rsid w:val="002F462D"/>
    <w:rsid w:val="0030072A"/>
    <w:rsid w:val="00300D9A"/>
    <w:rsid w:val="003213D7"/>
    <w:rsid w:val="00331633"/>
    <w:rsid w:val="00332572"/>
    <w:rsid w:val="00335E86"/>
    <w:rsid w:val="0034667C"/>
    <w:rsid w:val="00360669"/>
    <w:rsid w:val="00375D94"/>
    <w:rsid w:val="0038035F"/>
    <w:rsid w:val="003A04D3"/>
    <w:rsid w:val="003A0C50"/>
    <w:rsid w:val="003A4536"/>
    <w:rsid w:val="003B003C"/>
    <w:rsid w:val="003B1236"/>
    <w:rsid w:val="003B7167"/>
    <w:rsid w:val="003C0BDA"/>
    <w:rsid w:val="003D0007"/>
    <w:rsid w:val="003F1227"/>
    <w:rsid w:val="00404FDD"/>
    <w:rsid w:val="00411170"/>
    <w:rsid w:val="00413694"/>
    <w:rsid w:val="004146E3"/>
    <w:rsid w:val="00424D04"/>
    <w:rsid w:val="00443ED8"/>
    <w:rsid w:val="00447B8F"/>
    <w:rsid w:val="004522DD"/>
    <w:rsid w:val="00461739"/>
    <w:rsid w:val="004853D4"/>
    <w:rsid w:val="004A0A51"/>
    <w:rsid w:val="004A1C14"/>
    <w:rsid w:val="004B586F"/>
    <w:rsid w:val="004D2600"/>
    <w:rsid w:val="004E508D"/>
    <w:rsid w:val="004F0586"/>
    <w:rsid w:val="00512B60"/>
    <w:rsid w:val="00527D0A"/>
    <w:rsid w:val="00551CD6"/>
    <w:rsid w:val="005531F2"/>
    <w:rsid w:val="00563E11"/>
    <w:rsid w:val="0056467F"/>
    <w:rsid w:val="0057369A"/>
    <w:rsid w:val="00592795"/>
    <w:rsid w:val="00593D3C"/>
    <w:rsid w:val="00594CE5"/>
    <w:rsid w:val="005A070C"/>
    <w:rsid w:val="005A7580"/>
    <w:rsid w:val="005B4E23"/>
    <w:rsid w:val="005D031D"/>
    <w:rsid w:val="00610B5C"/>
    <w:rsid w:val="00611DFB"/>
    <w:rsid w:val="006156E6"/>
    <w:rsid w:val="00627E6B"/>
    <w:rsid w:val="00633741"/>
    <w:rsid w:val="006340D4"/>
    <w:rsid w:val="00637C47"/>
    <w:rsid w:val="006562EE"/>
    <w:rsid w:val="00683BC3"/>
    <w:rsid w:val="00687637"/>
    <w:rsid w:val="00697515"/>
    <w:rsid w:val="006A1224"/>
    <w:rsid w:val="006A4060"/>
    <w:rsid w:val="006B5B56"/>
    <w:rsid w:val="006B75B5"/>
    <w:rsid w:val="006C77E2"/>
    <w:rsid w:val="006D23D8"/>
    <w:rsid w:val="006D3D03"/>
    <w:rsid w:val="006E21D7"/>
    <w:rsid w:val="006F0DEE"/>
    <w:rsid w:val="006F4C8D"/>
    <w:rsid w:val="006F51FA"/>
    <w:rsid w:val="00712E0A"/>
    <w:rsid w:val="0071577B"/>
    <w:rsid w:val="007176E7"/>
    <w:rsid w:val="00725CBD"/>
    <w:rsid w:val="00726104"/>
    <w:rsid w:val="00747849"/>
    <w:rsid w:val="00750DC6"/>
    <w:rsid w:val="00752CBA"/>
    <w:rsid w:val="00781465"/>
    <w:rsid w:val="00785693"/>
    <w:rsid w:val="00795734"/>
    <w:rsid w:val="007B14AC"/>
    <w:rsid w:val="007B690E"/>
    <w:rsid w:val="007D1887"/>
    <w:rsid w:val="007D588D"/>
    <w:rsid w:val="007D7CB6"/>
    <w:rsid w:val="007D7F31"/>
    <w:rsid w:val="007E003F"/>
    <w:rsid w:val="007E583C"/>
    <w:rsid w:val="007E7293"/>
    <w:rsid w:val="007F3220"/>
    <w:rsid w:val="00815699"/>
    <w:rsid w:val="00815C33"/>
    <w:rsid w:val="00821295"/>
    <w:rsid w:val="00832E10"/>
    <w:rsid w:val="00833C80"/>
    <w:rsid w:val="00836F60"/>
    <w:rsid w:val="00856DDE"/>
    <w:rsid w:val="008656CE"/>
    <w:rsid w:val="008910C5"/>
    <w:rsid w:val="008910EA"/>
    <w:rsid w:val="00896B53"/>
    <w:rsid w:val="008A1A82"/>
    <w:rsid w:val="008B36C1"/>
    <w:rsid w:val="008C417A"/>
    <w:rsid w:val="008D084C"/>
    <w:rsid w:val="008D44A4"/>
    <w:rsid w:val="008E5EC9"/>
    <w:rsid w:val="008F0E0A"/>
    <w:rsid w:val="008F7DFF"/>
    <w:rsid w:val="009028D3"/>
    <w:rsid w:val="009034B4"/>
    <w:rsid w:val="00907FA3"/>
    <w:rsid w:val="009215A5"/>
    <w:rsid w:val="0093289A"/>
    <w:rsid w:val="00933E2F"/>
    <w:rsid w:val="00951285"/>
    <w:rsid w:val="00952504"/>
    <w:rsid w:val="00957A66"/>
    <w:rsid w:val="009626FE"/>
    <w:rsid w:val="00967F34"/>
    <w:rsid w:val="00967FC4"/>
    <w:rsid w:val="00972591"/>
    <w:rsid w:val="009758E0"/>
    <w:rsid w:val="0098206D"/>
    <w:rsid w:val="009A63F7"/>
    <w:rsid w:val="009B03A6"/>
    <w:rsid w:val="009B09F7"/>
    <w:rsid w:val="009B62EF"/>
    <w:rsid w:val="009B6352"/>
    <w:rsid w:val="009C5CFC"/>
    <w:rsid w:val="009D300A"/>
    <w:rsid w:val="009D6A71"/>
    <w:rsid w:val="009E6B02"/>
    <w:rsid w:val="00A0736C"/>
    <w:rsid w:val="00A122FB"/>
    <w:rsid w:val="00A45AED"/>
    <w:rsid w:val="00A711B0"/>
    <w:rsid w:val="00A73502"/>
    <w:rsid w:val="00A74FF0"/>
    <w:rsid w:val="00A8131C"/>
    <w:rsid w:val="00A81394"/>
    <w:rsid w:val="00A84B04"/>
    <w:rsid w:val="00A86370"/>
    <w:rsid w:val="00A86697"/>
    <w:rsid w:val="00A87935"/>
    <w:rsid w:val="00A97E20"/>
    <w:rsid w:val="00AA6BFB"/>
    <w:rsid w:val="00AB7760"/>
    <w:rsid w:val="00AC3DA2"/>
    <w:rsid w:val="00AC5AC1"/>
    <w:rsid w:val="00AC672B"/>
    <w:rsid w:val="00AC69C9"/>
    <w:rsid w:val="00AC7DA6"/>
    <w:rsid w:val="00AD1C54"/>
    <w:rsid w:val="00AD4F17"/>
    <w:rsid w:val="00AF0408"/>
    <w:rsid w:val="00AF3294"/>
    <w:rsid w:val="00B00FE3"/>
    <w:rsid w:val="00B23B69"/>
    <w:rsid w:val="00B3045C"/>
    <w:rsid w:val="00B3441C"/>
    <w:rsid w:val="00B51557"/>
    <w:rsid w:val="00B52372"/>
    <w:rsid w:val="00B5357F"/>
    <w:rsid w:val="00B7325A"/>
    <w:rsid w:val="00B74CA6"/>
    <w:rsid w:val="00B76E53"/>
    <w:rsid w:val="00B96BAD"/>
    <w:rsid w:val="00BA1637"/>
    <w:rsid w:val="00BA3966"/>
    <w:rsid w:val="00BA7C59"/>
    <w:rsid w:val="00BB437A"/>
    <w:rsid w:val="00BB76C6"/>
    <w:rsid w:val="00BC0E9E"/>
    <w:rsid w:val="00BD5A5B"/>
    <w:rsid w:val="00BD5BD0"/>
    <w:rsid w:val="00BE5A62"/>
    <w:rsid w:val="00BE6DE7"/>
    <w:rsid w:val="00BF1B3F"/>
    <w:rsid w:val="00BF2B93"/>
    <w:rsid w:val="00C001B6"/>
    <w:rsid w:val="00C12BBE"/>
    <w:rsid w:val="00C131D3"/>
    <w:rsid w:val="00C13458"/>
    <w:rsid w:val="00C22AA1"/>
    <w:rsid w:val="00C256E9"/>
    <w:rsid w:val="00C27BC7"/>
    <w:rsid w:val="00C36B5B"/>
    <w:rsid w:val="00C41393"/>
    <w:rsid w:val="00C443C7"/>
    <w:rsid w:val="00C55110"/>
    <w:rsid w:val="00C5681F"/>
    <w:rsid w:val="00C62B68"/>
    <w:rsid w:val="00C74C7D"/>
    <w:rsid w:val="00C85BF2"/>
    <w:rsid w:val="00C87BC6"/>
    <w:rsid w:val="00C97D4B"/>
    <w:rsid w:val="00CB6980"/>
    <w:rsid w:val="00CC14A4"/>
    <w:rsid w:val="00CC2391"/>
    <w:rsid w:val="00CC7745"/>
    <w:rsid w:val="00D02013"/>
    <w:rsid w:val="00D123C0"/>
    <w:rsid w:val="00D12587"/>
    <w:rsid w:val="00D12AA1"/>
    <w:rsid w:val="00D2088E"/>
    <w:rsid w:val="00D321FA"/>
    <w:rsid w:val="00D5404F"/>
    <w:rsid w:val="00D54F98"/>
    <w:rsid w:val="00D63E52"/>
    <w:rsid w:val="00D720C8"/>
    <w:rsid w:val="00D735CB"/>
    <w:rsid w:val="00D835D2"/>
    <w:rsid w:val="00D85E55"/>
    <w:rsid w:val="00D85EF4"/>
    <w:rsid w:val="00D97B31"/>
    <w:rsid w:val="00DA2A34"/>
    <w:rsid w:val="00DA5230"/>
    <w:rsid w:val="00DA5C84"/>
    <w:rsid w:val="00DA7070"/>
    <w:rsid w:val="00DC6BBD"/>
    <w:rsid w:val="00DC7CF4"/>
    <w:rsid w:val="00DD2EF9"/>
    <w:rsid w:val="00DE7046"/>
    <w:rsid w:val="00E029AB"/>
    <w:rsid w:val="00E04F72"/>
    <w:rsid w:val="00E11F75"/>
    <w:rsid w:val="00E12B02"/>
    <w:rsid w:val="00E2529F"/>
    <w:rsid w:val="00E30083"/>
    <w:rsid w:val="00E635A3"/>
    <w:rsid w:val="00E83891"/>
    <w:rsid w:val="00E91DAD"/>
    <w:rsid w:val="00EA4E28"/>
    <w:rsid w:val="00EA68BA"/>
    <w:rsid w:val="00EB658B"/>
    <w:rsid w:val="00EC7B9A"/>
    <w:rsid w:val="00EF4187"/>
    <w:rsid w:val="00EF65C5"/>
    <w:rsid w:val="00EF6BBE"/>
    <w:rsid w:val="00F00CE5"/>
    <w:rsid w:val="00F078DE"/>
    <w:rsid w:val="00F16CD4"/>
    <w:rsid w:val="00F17AA1"/>
    <w:rsid w:val="00F26704"/>
    <w:rsid w:val="00F33679"/>
    <w:rsid w:val="00F457EA"/>
    <w:rsid w:val="00F47843"/>
    <w:rsid w:val="00F5327A"/>
    <w:rsid w:val="00F63836"/>
    <w:rsid w:val="00F65E03"/>
    <w:rsid w:val="00F701FA"/>
    <w:rsid w:val="00F70DA6"/>
    <w:rsid w:val="00F74E14"/>
    <w:rsid w:val="00F805FB"/>
    <w:rsid w:val="00FA34CC"/>
    <w:rsid w:val="00FB379B"/>
    <w:rsid w:val="00FC3534"/>
    <w:rsid w:val="00FC396E"/>
    <w:rsid w:val="00FC490D"/>
    <w:rsid w:val="00FC56A0"/>
    <w:rsid w:val="00FD744F"/>
    <w:rsid w:val="00FE200D"/>
    <w:rsid w:val="00FE5D85"/>
    <w:rsid w:val="00FF1E5B"/>
    <w:rsid w:val="01040B71"/>
    <w:rsid w:val="015B3238"/>
    <w:rsid w:val="015E0632"/>
    <w:rsid w:val="01876B2E"/>
    <w:rsid w:val="01D34903"/>
    <w:rsid w:val="01E036F5"/>
    <w:rsid w:val="01F12967"/>
    <w:rsid w:val="02054F52"/>
    <w:rsid w:val="02147D64"/>
    <w:rsid w:val="02750329"/>
    <w:rsid w:val="02B02EDD"/>
    <w:rsid w:val="02E1151B"/>
    <w:rsid w:val="02E64D83"/>
    <w:rsid w:val="032849AF"/>
    <w:rsid w:val="032C7141"/>
    <w:rsid w:val="032D4760"/>
    <w:rsid w:val="03343D40"/>
    <w:rsid w:val="034467F9"/>
    <w:rsid w:val="034F75B1"/>
    <w:rsid w:val="035148F2"/>
    <w:rsid w:val="038F541B"/>
    <w:rsid w:val="03AA5DB1"/>
    <w:rsid w:val="03D41080"/>
    <w:rsid w:val="03D42E2E"/>
    <w:rsid w:val="03EB29A6"/>
    <w:rsid w:val="04762137"/>
    <w:rsid w:val="047D1717"/>
    <w:rsid w:val="04831DD7"/>
    <w:rsid w:val="0488622B"/>
    <w:rsid w:val="04AB0822"/>
    <w:rsid w:val="04B213C1"/>
    <w:rsid w:val="052878D5"/>
    <w:rsid w:val="05324903"/>
    <w:rsid w:val="053E4A03"/>
    <w:rsid w:val="054A124B"/>
    <w:rsid w:val="05616943"/>
    <w:rsid w:val="056F1060"/>
    <w:rsid w:val="0589315C"/>
    <w:rsid w:val="05A625A8"/>
    <w:rsid w:val="05DC421B"/>
    <w:rsid w:val="061D6D0E"/>
    <w:rsid w:val="063B7C65"/>
    <w:rsid w:val="06446C56"/>
    <w:rsid w:val="067A5F0E"/>
    <w:rsid w:val="069B5E85"/>
    <w:rsid w:val="06A00E09"/>
    <w:rsid w:val="06A1309C"/>
    <w:rsid w:val="06B17456"/>
    <w:rsid w:val="06BF7DC5"/>
    <w:rsid w:val="070B300A"/>
    <w:rsid w:val="07155C37"/>
    <w:rsid w:val="073430AF"/>
    <w:rsid w:val="076B018E"/>
    <w:rsid w:val="07746E01"/>
    <w:rsid w:val="077D0817"/>
    <w:rsid w:val="07926B92"/>
    <w:rsid w:val="07B34FD2"/>
    <w:rsid w:val="07B54D24"/>
    <w:rsid w:val="08065580"/>
    <w:rsid w:val="083F7E50"/>
    <w:rsid w:val="08563D51"/>
    <w:rsid w:val="087E0481"/>
    <w:rsid w:val="089111B2"/>
    <w:rsid w:val="08984E49"/>
    <w:rsid w:val="089F72BD"/>
    <w:rsid w:val="08A53DA3"/>
    <w:rsid w:val="08B1198F"/>
    <w:rsid w:val="08B1661A"/>
    <w:rsid w:val="08B576D2"/>
    <w:rsid w:val="08BF40AC"/>
    <w:rsid w:val="08CE0793"/>
    <w:rsid w:val="08DB6A0C"/>
    <w:rsid w:val="08E00D6F"/>
    <w:rsid w:val="08F77D6D"/>
    <w:rsid w:val="08F875BE"/>
    <w:rsid w:val="09151F1E"/>
    <w:rsid w:val="09167A44"/>
    <w:rsid w:val="09297778"/>
    <w:rsid w:val="0972465A"/>
    <w:rsid w:val="098B21E0"/>
    <w:rsid w:val="09A63B85"/>
    <w:rsid w:val="09B45C76"/>
    <w:rsid w:val="09BD4792"/>
    <w:rsid w:val="09CE5266"/>
    <w:rsid w:val="09E50133"/>
    <w:rsid w:val="09EA33AB"/>
    <w:rsid w:val="0A12645E"/>
    <w:rsid w:val="0A23066B"/>
    <w:rsid w:val="0A2F0DBE"/>
    <w:rsid w:val="0A344626"/>
    <w:rsid w:val="0A36039E"/>
    <w:rsid w:val="0A391C3C"/>
    <w:rsid w:val="0A3D797F"/>
    <w:rsid w:val="0ABD461B"/>
    <w:rsid w:val="0AC31790"/>
    <w:rsid w:val="0B0E30C9"/>
    <w:rsid w:val="0B662F05"/>
    <w:rsid w:val="0B7A250D"/>
    <w:rsid w:val="0B7F7B23"/>
    <w:rsid w:val="0BAE076D"/>
    <w:rsid w:val="0BBC48D3"/>
    <w:rsid w:val="0BC563C4"/>
    <w:rsid w:val="0BD866C8"/>
    <w:rsid w:val="0BDA2FAB"/>
    <w:rsid w:val="0C0544CC"/>
    <w:rsid w:val="0C0821B6"/>
    <w:rsid w:val="0C2C60BB"/>
    <w:rsid w:val="0C493644"/>
    <w:rsid w:val="0C7342EF"/>
    <w:rsid w:val="0C7D0AB2"/>
    <w:rsid w:val="0C821A72"/>
    <w:rsid w:val="0C9D13CD"/>
    <w:rsid w:val="0CA11E28"/>
    <w:rsid w:val="0CDF2F6F"/>
    <w:rsid w:val="0D0C48DC"/>
    <w:rsid w:val="0D1424ED"/>
    <w:rsid w:val="0D410831"/>
    <w:rsid w:val="0D500E66"/>
    <w:rsid w:val="0D687DF1"/>
    <w:rsid w:val="0D814026"/>
    <w:rsid w:val="0D8D4B60"/>
    <w:rsid w:val="0E101A00"/>
    <w:rsid w:val="0E280A37"/>
    <w:rsid w:val="0EC0360C"/>
    <w:rsid w:val="0EE30338"/>
    <w:rsid w:val="0F017011"/>
    <w:rsid w:val="0F2E7896"/>
    <w:rsid w:val="0F731ECA"/>
    <w:rsid w:val="0F786D63"/>
    <w:rsid w:val="0F9C0CC1"/>
    <w:rsid w:val="0FAE6C29"/>
    <w:rsid w:val="0FC14EC7"/>
    <w:rsid w:val="107B4D5D"/>
    <w:rsid w:val="10855BDB"/>
    <w:rsid w:val="10AF4694"/>
    <w:rsid w:val="10B244F7"/>
    <w:rsid w:val="10DE3FDE"/>
    <w:rsid w:val="1129344D"/>
    <w:rsid w:val="11AE0E73"/>
    <w:rsid w:val="11BF336F"/>
    <w:rsid w:val="120B0362"/>
    <w:rsid w:val="12612BDC"/>
    <w:rsid w:val="128B3251"/>
    <w:rsid w:val="128B7240"/>
    <w:rsid w:val="129A15E0"/>
    <w:rsid w:val="132E5734"/>
    <w:rsid w:val="13474D18"/>
    <w:rsid w:val="136A10B9"/>
    <w:rsid w:val="136C2D19"/>
    <w:rsid w:val="13877EBC"/>
    <w:rsid w:val="13AE71F7"/>
    <w:rsid w:val="13AF4D1D"/>
    <w:rsid w:val="13C133CE"/>
    <w:rsid w:val="13EE3A98"/>
    <w:rsid w:val="13F43E5A"/>
    <w:rsid w:val="13F539F5"/>
    <w:rsid w:val="14215C1B"/>
    <w:rsid w:val="14411E19"/>
    <w:rsid w:val="1457788F"/>
    <w:rsid w:val="145B17C5"/>
    <w:rsid w:val="14772CB8"/>
    <w:rsid w:val="148314D6"/>
    <w:rsid w:val="148A328F"/>
    <w:rsid w:val="14A16D5C"/>
    <w:rsid w:val="14C15521"/>
    <w:rsid w:val="14C4737F"/>
    <w:rsid w:val="14CF266B"/>
    <w:rsid w:val="15A9411A"/>
    <w:rsid w:val="15AD5D0A"/>
    <w:rsid w:val="15B91E9C"/>
    <w:rsid w:val="15D65B60"/>
    <w:rsid w:val="16024336"/>
    <w:rsid w:val="160F6030"/>
    <w:rsid w:val="16290DB7"/>
    <w:rsid w:val="162B4B2F"/>
    <w:rsid w:val="166A355B"/>
    <w:rsid w:val="16B05487"/>
    <w:rsid w:val="16B36C00"/>
    <w:rsid w:val="16FB1A93"/>
    <w:rsid w:val="170535D2"/>
    <w:rsid w:val="17101F77"/>
    <w:rsid w:val="1713667F"/>
    <w:rsid w:val="1765087C"/>
    <w:rsid w:val="179B7A92"/>
    <w:rsid w:val="17AC5733"/>
    <w:rsid w:val="17C44BE8"/>
    <w:rsid w:val="17E4768B"/>
    <w:rsid w:val="17EA27C8"/>
    <w:rsid w:val="181F5D81"/>
    <w:rsid w:val="18441ED8"/>
    <w:rsid w:val="184F405F"/>
    <w:rsid w:val="18694035"/>
    <w:rsid w:val="18723DE3"/>
    <w:rsid w:val="18876269"/>
    <w:rsid w:val="19006747"/>
    <w:rsid w:val="19502EC2"/>
    <w:rsid w:val="19656C21"/>
    <w:rsid w:val="19704F4F"/>
    <w:rsid w:val="19A215AC"/>
    <w:rsid w:val="19B94E89"/>
    <w:rsid w:val="19BC501E"/>
    <w:rsid w:val="19D43730"/>
    <w:rsid w:val="19D61256"/>
    <w:rsid w:val="19D80D9E"/>
    <w:rsid w:val="19E03E83"/>
    <w:rsid w:val="19F14BCD"/>
    <w:rsid w:val="19F4747A"/>
    <w:rsid w:val="19F82A2B"/>
    <w:rsid w:val="19FA13E8"/>
    <w:rsid w:val="1A0C2EC9"/>
    <w:rsid w:val="1A3348FA"/>
    <w:rsid w:val="1A387F78"/>
    <w:rsid w:val="1A632593"/>
    <w:rsid w:val="1A740AA9"/>
    <w:rsid w:val="1A7E682E"/>
    <w:rsid w:val="1A904DFC"/>
    <w:rsid w:val="1AAD2D1B"/>
    <w:rsid w:val="1AB95CB1"/>
    <w:rsid w:val="1ABA0BB2"/>
    <w:rsid w:val="1AD03EF7"/>
    <w:rsid w:val="1AEA253D"/>
    <w:rsid w:val="1B201E0F"/>
    <w:rsid w:val="1B2045D5"/>
    <w:rsid w:val="1B3501FE"/>
    <w:rsid w:val="1B7D015E"/>
    <w:rsid w:val="1B8151F1"/>
    <w:rsid w:val="1B866CAC"/>
    <w:rsid w:val="1B9969DF"/>
    <w:rsid w:val="1B9F4204"/>
    <w:rsid w:val="1C096717"/>
    <w:rsid w:val="1C4A5F2B"/>
    <w:rsid w:val="1C956AE4"/>
    <w:rsid w:val="1C9F0AEB"/>
    <w:rsid w:val="1CA76EDA"/>
    <w:rsid w:val="1CED758C"/>
    <w:rsid w:val="1CEE056A"/>
    <w:rsid w:val="1D0F659E"/>
    <w:rsid w:val="1D513D0A"/>
    <w:rsid w:val="1D7B40A7"/>
    <w:rsid w:val="1D8C0A7C"/>
    <w:rsid w:val="1D95610F"/>
    <w:rsid w:val="1DC13FCB"/>
    <w:rsid w:val="1DFC3255"/>
    <w:rsid w:val="1E021CD3"/>
    <w:rsid w:val="1E0A3BC4"/>
    <w:rsid w:val="1E0C3498"/>
    <w:rsid w:val="1E116D00"/>
    <w:rsid w:val="1E1B026F"/>
    <w:rsid w:val="1E8155B3"/>
    <w:rsid w:val="1E831280"/>
    <w:rsid w:val="1E923588"/>
    <w:rsid w:val="1E934CC5"/>
    <w:rsid w:val="1EAE454F"/>
    <w:rsid w:val="1EC51899"/>
    <w:rsid w:val="1ECE2E43"/>
    <w:rsid w:val="1EE7180F"/>
    <w:rsid w:val="1EFF124F"/>
    <w:rsid w:val="1F1D16D5"/>
    <w:rsid w:val="1F3A4035"/>
    <w:rsid w:val="1FD44489"/>
    <w:rsid w:val="20285078"/>
    <w:rsid w:val="208C303E"/>
    <w:rsid w:val="20B35492"/>
    <w:rsid w:val="20D14525"/>
    <w:rsid w:val="210466A8"/>
    <w:rsid w:val="21272798"/>
    <w:rsid w:val="21574F50"/>
    <w:rsid w:val="21661CAF"/>
    <w:rsid w:val="216A7D56"/>
    <w:rsid w:val="21DC54CD"/>
    <w:rsid w:val="21E46B07"/>
    <w:rsid w:val="221768AF"/>
    <w:rsid w:val="221A34A8"/>
    <w:rsid w:val="221B014E"/>
    <w:rsid w:val="22370462"/>
    <w:rsid w:val="225C42C2"/>
    <w:rsid w:val="2272326C"/>
    <w:rsid w:val="227B0BEC"/>
    <w:rsid w:val="22C84821"/>
    <w:rsid w:val="22E36792"/>
    <w:rsid w:val="22EE5862"/>
    <w:rsid w:val="22F31CFA"/>
    <w:rsid w:val="23076924"/>
    <w:rsid w:val="23241284"/>
    <w:rsid w:val="233174FD"/>
    <w:rsid w:val="2342795C"/>
    <w:rsid w:val="23751A7B"/>
    <w:rsid w:val="23A128D5"/>
    <w:rsid w:val="23AE7020"/>
    <w:rsid w:val="23BF2D5B"/>
    <w:rsid w:val="23D27A11"/>
    <w:rsid w:val="23ED4805"/>
    <w:rsid w:val="23F81FF8"/>
    <w:rsid w:val="243F3E9B"/>
    <w:rsid w:val="246A0F18"/>
    <w:rsid w:val="24861804"/>
    <w:rsid w:val="24954595"/>
    <w:rsid w:val="24AC3086"/>
    <w:rsid w:val="2503311B"/>
    <w:rsid w:val="250334EE"/>
    <w:rsid w:val="25070E5D"/>
    <w:rsid w:val="250E3F9A"/>
    <w:rsid w:val="258129BE"/>
    <w:rsid w:val="25CB25F0"/>
    <w:rsid w:val="25D36A53"/>
    <w:rsid w:val="25E1520A"/>
    <w:rsid w:val="25EB6779"/>
    <w:rsid w:val="25FD67D6"/>
    <w:rsid w:val="26176E7E"/>
    <w:rsid w:val="26327920"/>
    <w:rsid w:val="26600D4A"/>
    <w:rsid w:val="26730E23"/>
    <w:rsid w:val="267442D0"/>
    <w:rsid w:val="267B221B"/>
    <w:rsid w:val="268A58A2"/>
    <w:rsid w:val="26AD0802"/>
    <w:rsid w:val="26C37006"/>
    <w:rsid w:val="270513CC"/>
    <w:rsid w:val="270F359D"/>
    <w:rsid w:val="27221F7E"/>
    <w:rsid w:val="272D6D84"/>
    <w:rsid w:val="27391076"/>
    <w:rsid w:val="27FB4CF2"/>
    <w:rsid w:val="28103356"/>
    <w:rsid w:val="283D6944"/>
    <w:rsid w:val="285443B9"/>
    <w:rsid w:val="28667C49"/>
    <w:rsid w:val="28AF435B"/>
    <w:rsid w:val="28C11323"/>
    <w:rsid w:val="28CC16CA"/>
    <w:rsid w:val="28DF19FA"/>
    <w:rsid w:val="291F3C34"/>
    <w:rsid w:val="293F1222"/>
    <w:rsid w:val="29881C0F"/>
    <w:rsid w:val="2A04596B"/>
    <w:rsid w:val="2A3D22FB"/>
    <w:rsid w:val="2A497822"/>
    <w:rsid w:val="2A73664D"/>
    <w:rsid w:val="2A9A7EB2"/>
    <w:rsid w:val="2ABD3CB4"/>
    <w:rsid w:val="2AC57020"/>
    <w:rsid w:val="2ADD1FA0"/>
    <w:rsid w:val="2AFE056C"/>
    <w:rsid w:val="2B010E5E"/>
    <w:rsid w:val="2B960845"/>
    <w:rsid w:val="2B9B40AD"/>
    <w:rsid w:val="2BB86A0D"/>
    <w:rsid w:val="2BD17ACF"/>
    <w:rsid w:val="2C0E26FA"/>
    <w:rsid w:val="2C2E6F54"/>
    <w:rsid w:val="2C7072E8"/>
    <w:rsid w:val="2C792640"/>
    <w:rsid w:val="2C797F91"/>
    <w:rsid w:val="2C9C70CB"/>
    <w:rsid w:val="2C9D7F8E"/>
    <w:rsid w:val="2CCB4F7E"/>
    <w:rsid w:val="2CD31625"/>
    <w:rsid w:val="2CF03F85"/>
    <w:rsid w:val="2D0D0939"/>
    <w:rsid w:val="2D213A0E"/>
    <w:rsid w:val="2D597D7C"/>
    <w:rsid w:val="2D6A3D37"/>
    <w:rsid w:val="2D71156A"/>
    <w:rsid w:val="2D822752"/>
    <w:rsid w:val="2DA02D5E"/>
    <w:rsid w:val="2DAC4350"/>
    <w:rsid w:val="2DAE1252"/>
    <w:rsid w:val="2DB80F46"/>
    <w:rsid w:val="2DD45655"/>
    <w:rsid w:val="2DF33D2D"/>
    <w:rsid w:val="2E057F04"/>
    <w:rsid w:val="2E11657D"/>
    <w:rsid w:val="2E183DA3"/>
    <w:rsid w:val="2E225AB4"/>
    <w:rsid w:val="2E255EB0"/>
    <w:rsid w:val="2E3B56D4"/>
    <w:rsid w:val="2E7035CF"/>
    <w:rsid w:val="2E765FAE"/>
    <w:rsid w:val="2E7A21D6"/>
    <w:rsid w:val="2F4B7B98"/>
    <w:rsid w:val="2F6A6270"/>
    <w:rsid w:val="2F6C4F7B"/>
    <w:rsid w:val="2F762E67"/>
    <w:rsid w:val="2FB67FF8"/>
    <w:rsid w:val="2FB96693"/>
    <w:rsid w:val="2FD951A4"/>
    <w:rsid w:val="2FF95846"/>
    <w:rsid w:val="3007569A"/>
    <w:rsid w:val="30136908"/>
    <w:rsid w:val="301A2A2E"/>
    <w:rsid w:val="30270FA0"/>
    <w:rsid w:val="302A1EA4"/>
    <w:rsid w:val="305E539D"/>
    <w:rsid w:val="30893B21"/>
    <w:rsid w:val="3093560C"/>
    <w:rsid w:val="30A00792"/>
    <w:rsid w:val="30B67293"/>
    <w:rsid w:val="30D37E45"/>
    <w:rsid w:val="3103697D"/>
    <w:rsid w:val="31475859"/>
    <w:rsid w:val="315B3E96"/>
    <w:rsid w:val="31C3435E"/>
    <w:rsid w:val="31CF1D4D"/>
    <w:rsid w:val="31F543CC"/>
    <w:rsid w:val="31F821B8"/>
    <w:rsid w:val="324E00CB"/>
    <w:rsid w:val="325154C6"/>
    <w:rsid w:val="328C6A77"/>
    <w:rsid w:val="32AA0B39"/>
    <w:rsid w:val="32DF1635"/>
    <w:rsid w:val="32F4748B"/>
    <w:rsid w:val="32FA3DAF"/>
    <w:rsid w:val="330B1B18"/>
    <w:rsid w:val="33264BA4"/>
    <w:rsid w:val="334F2D62"/>
    <w:rsid w:val="336D4581"/>
    <w:rsid w:val="337E678E"/>
    <w:rsid w:val="33C64B8F"/>
    <w:rsid w:val="33EF1E9C"/>
    <w:rsid w:val="34234D03"/>
    <w:rsid w:val="34332B26"/>
    <w:rsid w:val="344A041F"/>
    <w:rsid w:val="34673188"/>
    <w:rsid w:val="34695359"/>
    <w:rsid w:val="34A55FF1"/>
    <w:rsid w:val="34B971B8"/>
    <w:rsid w:val="34E2089F"/>
    <w:rsid w:val="35325A82"/>
    <w:rsid w:val="3542559A"/>
    <w:rsid w:val="35823D41"/>
    <w:rsid w:val="35A65B28"/>
    <w:rsid w:val="35B25386"/>
    <w:rsid w:val="3604680D"/>
    <w:rsid w:val="362A675A"/>
    <w:rsid w:val="36341386"/>
    <w:rsid w:val="369E0EF6"/>
    <w:rsid w:val="36A71C80"/>
    <w:rsid w:val="36AC716F"/>
    <w:rsid w:val="36CB5D42"/>
    <w:rsid w:val="36FC6348"/>
    <w:rsid w:val="372238D5"/>
    <w:rsid w:val="372B4B9D"/>
    <w:rsid w:val="377D6D5D"/>
    <w:rsid w:val="378403BF"/>
    <w:rsid w:val="37846422"/>
    <w:rsid w:val="37D52517"/>
    <w:rsid w:val="38966964"/>
    <w:rsid w:val="389A1934"/>
    <w:rsid w:val="38A90138"/>
    <w:rsid w:val="38DE3606"/>
    <w:rsid w:val="390E0492"/>
    <w:rsid w:val="394E09B1"/>
    <w:rsid w:val="39694258"/>
    <w:rsid w:val="396E3B23"/>
    <w:rsid w:val="39A04098"/>
    <w:rsid w:val="39B2654C"/>
    <w:rsid w:val="39C43A60"/>
    <w:rsid w:val="39D32C64"/>
    <w:rsid w:val="39DE2890"/>
    <w:rsid w:val="39E51549"/>
    <w:rsid w:val="39E71596"/>
    <w:rsid w:val="39F817D8"/>
    <w:rsid w:val="39FA4695"/>
    <w:rsid w:val="39FC021C"/>
    <w:rsid w:val="3A0B3372"/>
    <w:rsid w:val="3A322EC1"/>
    <w:rsid w:val="3A324A06"/>
    <w:rsid w:val="3AB1300E"/>
    <w:rsid w:val="3AE01ADD"/>
    <w:rsid w:val="3AEA295B"/>
    <w:rsid w:val="3B0C28D2"/>
    <w:rsid w:val="3B324532"/>
    <w:rsid w:val="3B36794F"/>
    <w:rsid w:val="3B3D2A8B"/>
    <w:rsid w:val="3B716AF2"/>
    <w:rsid w:val="3B994E02"/>
    <w:rsid w:val="3BB05953"/>
    <w:rsid w:val="3BED44B1"/>
    <w:rsid w:val="3C0273B0"/>
    <w:rsid w:val="3C065573"/>
    <w:rsid w:val="3C0A24F8"/>
    <w:rsid w:val="3C143AC8"/>
    <w:rsid w:val="3C152F81"/>
    <w:rsid w:val="3C157564"/>
    <w:rsid w:val="3C28373B"/>
    <w:rsid w:val="3C3E7B73"/>
    <w:rsid w:val="3C4B4F3A"/>
    <w:rsid w:val="3C97441D"/>
    <w:rsid w:val="3CA14835"/>
    <w:rsid w:val="3CD00D17"/>
    <w:rsid w:val="3CD11C6D"/>
    <w:rsid w:val="3CE138EA"/>
    <w:rsid w:val="3D22577D"/>
    <w:rsid w:val="3D5A0FB9"/>
    <w:rsid w:val="3D5D5666"/>
    <w:rsid w:val="3D6C58AA"/>
    <w:rsid w:val="3D7A162C"/>
    <w:rsid w:val="3D7B789B"/>
    <w:rsid w:val="3D9372DA"/>
    <w:rsid w:val="3DCA3444"/>
    <w:rsid w:val="3E0C5409"/>
    <w:rsid w:val="3E1201FF"/>
    <w:rsid w:val="3E3362E1"/>
    <w:rsid w:val="3E342D70"/>
    <w:rsid w:val="3E495BEB"/>
    <w:rsid w:val="3E5325C6"/>
    <w:rsid w:val="3E636CAD"/>
    <w:rsid w:val="3ED951C1"/>
    <w:rsid w:val="3EFF60E8"/>
    <w:rsid w:val="3F1263CD"/>
    <w:rsid w:val="3FA24385"/>
    <w:rsid w:val="401802B7"/>
    <w:rsid w:val="402406BD"/>
    <w:rsid w:val="402A312E"/>
    <w:rsid w:val="40624D42"/>
    <w:rsid w:val="40EA5463"/>
    <w:rsid w:val="413606A8"/>
    <w:rsid w:val="4151103E"/>
    <w:rsid w:val="4153125A"/>
    <w:rsid w:val="41580C8F"/>
    <w:rsid w:val="4182744A"/>
    <w:rsid w:val="41870F04"/>
    <w:rsid w:val="41A1116B"/>
    <w:rsid w:val="41B4781F"/>
    <w:rsid w:val="41B63F58"/>
    <w:rsid w:val="41DB1250"/>
    <w:rsid w:val="420C58CB"/>
    <w:rsid w:val="42154492"/>
    <w:rsid w:val="42156790"/>
    <w:rsid w:val="423C5F98"/>
    <w:rsid w:val="423F533B"/>
    <w:rsid w:val="42433347"/>
    <w:rsid w:val="42807029"/>
    <w:rsid w:val="4291262A"/>
    <w:rsid w:val="429C453B"/>
    <w:rsid w:val="42ED35DE"/>
    <w:rsid w:val="42EE127C"/>
    <w:rsid w:val="432F4C06"/>
    <w:rsid w:val="4347427B"/>
    <w:rsid w:val="43481EDA"/>
    <w:rsid w:val="43707776"/>
    <w:rsid w:val="4387343D"/>
    <w:rsid w:val="43875B7F"/>
    <w:rsid w:val="43884BB5"/>
    <w:rsid w:val="43916F78"/>
    <w:rsid w:val="43923EC3"/>
    <w:rsid w:val="439E2535"/>
    <w:rsid w:val="43AF4742"/>
    <w:rsid w:val="43DF5027"/>
    <w:rsid w:val="43E04E11"/>
    <w:rsid w:val="43E77A38"/>
    <w:rsid w:val="43FB681B"/>
    <w:rsid w:val="43FE2A69"/>
    <w:rsid w:val="447845E4"/>
    <w:rsid w:val="4496320C"/>
    <w:rsid w:val="44CB492E"/>
    <w:rsid w:val="45296C02"/>
    <w:rsid w:val="45473CFA"/>
    <w:rsid w:val="454C6E13"/>
    <w:rsid w:val="455E3D2A"/>
    <w:rsid w:val="459D79AD"/>
    <w:rsid w:val="45CA7611"/>
    <w:rsid w:val="45E2155D"/>
    <w:rsid w:val="45F823D0"/>
    <w:rsid w:val="46115240"/>
    <w:rsid w:val="461D7226"/>
    <w:rsid w:val="46560EA5"/>
    <w:rsid w:val="46783C01"/>
    <w:rsid w:val="467E2429"/>
    <w:rsid w:val="467F21AA"/>
    <w:rsid w:val="46BE663B"/>
    <w:rsid w:val="46D544C0"/>
    <w:rsid w:val="46D732ED"/>
    <w:rsid w:val="47061A14"/>
    <w:rsid w:val="473C61E9"/>
    <w:rsid w:val="475F3D89"/>
    <w:rsid w:val="47916A89"/>
    <w:rsid w:val="47975C19"/>
    <w:rsid w:val="480F3ECB"/>
    <w:rsid w:val="480F755D"/>
    <w:rsid w:val="48315726"/>
    <w:rsid w:val="483671E0"/>
    <w:rsid w:val="483B0352"/>
    <w:rsid w:val="484B42A6"/>
    <w:rsid w:val="48AE4FC8"/>
    <w:rsid w:val="48D33AC3"/>
    <w:rsid w:val="48F938F2"/>
    <w:rsid w:val="490B36AF"/>
    <w:rsid w:val="49170DBF"/>
    <w:rsid w:val="49185C54"/>
    <w:rsid w:val="49270F3E"/>
    <w:rsid w:val="4929171E"/>
    <w:rsid w:val="49331971"/>
    <w:rsid w:val="493E3CBD"/>
    <w:rsid w:val="49496A9F"/>
    <w:rsid w:val="49975A5C"/>
    <w:rsid w:val="49CC1717"/>
    <w:rsid w:val="49E860C6"/>
    <w:rsid w:val="4A743FEF"/>
    <w:rsid w:val="4AE93BBA"/>
    <w:rsid w:val="4AEE5B50"/>
    <w:rsid w:val="4B2063EC"/>
    <w:rsid w:val="4B723F05"/>
    <w:rsid w:val="4B77612B"/>
    <w:rsid w:val="4B9A5CD8"/>
    <w:rsid w:val="4BB050FB"/>
    <w:rsid w:val="4BB60742"/>
    <w:rsid w:val="4BC82350"/>
    <w:rsid w:val="4BCE3FFA"/>
    <w:rsid w:val="4BD22BB8"/>
    <w:rsid w:val="4C26756B"/>
    <w:rsid w:val="4C3D713E"/>
    <w:rsid w:val="4C585E1D"/>
    <w:rsid w:val="4C746529"/>
    <w:rsid w:val="4C8A5D4C"/>
    <w:rsid w:val="4CC15C80"/>
    <w:rsid w:val="4D0A1810"/>
    <w:rsid w:val="4D3349CE"/>
    <w:rsid w:val="4D5B603E"/>
    <w:rsid w:val="4DC85C8F"/>
    <w:rsid w:val="4DDF5C24"/>
    <w:rsid w:val="4DE76471"/>
    <w:rsid w:val="4E2D2E33"/>
    <w:rsid w:val="4E683E6B"/>
    <w:rsid w:val="4E7947CB"/>
    <w:rsid w:val="4EB475BB"/>
    <w:rsid w:val="4EC07803"/>
    <w:rsid w:val="4EE31744"/>
    <w:rsid w:val="4EF57585"/>
    <w:rsid w:val="4F043B94"/>
    <w:rsid w:val="4F0B05F9"/>
    <w:rsid w:val="4F3124AF"/>
    <w:rsid w:val="4F3F4BCC"/>
    <w:rsid w:val="4F500189"/>
    <w:rsid w:val="4F534E96"/>
    <w:rsid w:val="4F700283"/>
    <w:rsid w:val="4F8151E4"/>
    <w:rsid w:val="4FAF10EE"/>
    <w:rsid w:val="4FC4490E"/>
    <w:rsid w:val="4FE95CD7"/>
    <w:rsid w:val="501716A5"/>
    <w:rsid w:val="501F4A33"/>
    <w:rsid w:val="504D3625"/>
    <w:rsid w:val="50795EA0"/>
    <w:rsid w:val="513127F4"/>
    <w:rsid w:val="5172089B"/>
    <w:rsid w:val="51782617"/>
    <w:rsid w:val="51875DD0"/>
    <w:rsid w:val="519B3CA3"/>
    <w:rsid w:val="51C15D6C"/>
    <w:rsid w:val="51E97071"/>
    <w:rsid w:val="521B16FB"/>
    <w:rsid w:val="52707792"/>
    <w:rsid w:val="527F3531"/>
    <w:rsid w:val="529E6A79"/>
    <w:rsid w:val="52A73C68"/>
    <w:rsid w:val="52CF44B9"/>
    <w:rsid w:val="530A0926"/>
    <w:rsid w:val="53262735"/>
    <w:rsid w:val="53746E0E"/>
    <w:rsid w:val="537A592B"/>
    <w:rsid w:val="539E05AC"/>
    <w:rsid w:val="53C71634"/>
    <w:rsid w:val="53D6638C"/>
    <w:rsid w:val="53DB0C3B"/>
    <w:rsid w:val="53DD2C05"/>
    <w:rsid w:val="5472334E"/>
    <w:rsid w:val="54AD75D1"/>
    <w:rsid w:val="54EA3D52"/>
    <w:rsid w:val="54EB3100"/>
    <w:rsid w:val="5523289A"/>
    <w:rsid w:val="5527238A"/>
    <w:rsid w:val="55292895"/>
    <w:rsid w:val="552A3C28"/>
    <w:rsid w:val="55894DF3"/>
    <w:rsid w:val="55AC6D33"/>
    <w:rsid w:val="55B25A2A"/>
    <w:rsid w:val="55B64302"/>
    <w:rsid w:val="55BF0815"/>
    <w:rsid w:val="55D433DF"/>
    <w:rsid w:val="55E2629A"/>
    <w:rsid w:val="566C3A58"/>
    <w:rsid w:val="567F7FA4"/>
    <w:rsid w:val="568B73E6"/>
    <w:rsid w:val="569240FE"/>
    <w:rsid w:val="569B0893"/>
    <w:rsid w:val="56AD4B11"/>
    <w:rsid w:val="56B539C6"/>
    <w:rsid w:val="56C67981"/>
    <w:rsid w:val="56DF0AEE"/>
    <w:rsid w:val="572052E3"/>
    <w:rsid w:val="57473E26"/>
    <w:rsid w:val="574B7714"/>
    <w:rsid w:val="575925A3"/>
    <w:rsid w:val="577B3079"/>
    <w:rsid w:val="57866E8C"/>
    <w:rsid w:val="57B27F05"/>
    <w:rsid w:val="580F6E23"/>
    <w:rsid w:val="582E1C82"/>
    <w:rsid w:val="583744FC"/>
    <w:rsid w:val="58403763"/>
    <w:rsid w:val="584E5E80"/>
    <w:rsid w:val="58975CF3"/>
    <w:rsid w:val="58A13AA3"/>
    <w:rsid w:val="58A41C96"/>
    <w:rsid w:val="58B959EF"/>
    <w:rsid w:val="58D60F05"/>
    <w:rsid w:val="59076C06"/>
    <w:rsid w:val="590A11E6"/>
    <w:rsid w:val="596F4300"/>
    <w:rsid w:val="5981049D"/>
    <w:rsid w:val="59C04B5B"/>
    <w:rsid w:val="5A573496"/>
    <w:rsid w:val="5A5C5EFD"/>
    <w:rsid w:val="5A797016"/>
    <w:rsid w:val="5A7D466C"/>
    <w:rsid w:val="5A9C46CB"/>
    <w:rsid w:val="5AAA71D6"/>
    <w:rsid w:val="5AE81A34"/>
    <w:rsid w:val="5B0A0784"/>
    <w:rsid w:val="5B2829B8"/>
    <w:rsid w:val="5B2D07F7"/>
    <w:rsid w:val="5B5D7396"/>
    <w:rsid w:val="5B8231B8"/>
    <w:rsid w:val="5BD20503"/>
    <w:rsid w:val="5BE74621"/>
    <w:rsid w:val="5BF73AB3"/>
    <w:rsid w:val="5C10432B"/>
    <w:rsid w:val="5C390BF5"/>
    <w:rsid w:val="5C393ED0"/>
    <w:rsid w:val="5C58551F"/>
    <w:rsid w:val="5C5F2292"/>
    <w:rsid w:val="5C673110"/>
    <w:rsid w:val="5C797243"/>
    <w:rsid w:val="5C9A5B38"/>
    <w:rsid w:val="5C9B540C"/>
    <w:rsid w:val="5D0D455B"/>
    <w:rsid w:val="5D0F2126"/>
    <w:rsid w:val="5D121B72"/>
    <w:rsid w:val="5D126C08"/>
    <w:rsid w:val="5D402C3D"/>
    <w:rsid w:val="5D406AFF"/>
    <w:rsid w:val="5D850596"/>
    <w:rsid w:val="5DE40636"/>
    <w:rsid w:val="5DF67521"/>
    <w:rsid w:val="5E1355CA"/>
    <w:rsid w:val="5E2B59CF"/>
    <w:rsid w:val="5E2D7ECC"/>
    <w:rsid w:val="5E33704A"/>
    <w:rsid w:val="5E374FC6"/>
    <w:rsid w:val="5E3E6996"/>
    <w:rsid w:val="5E856373"/>
    <w:rsid w:val="5E8821E4"/>
    <w:rsid w:val="5E8D444C"/>
    <w:rsid w:val="5EF86B45"/>
    <w:rsid w:val="5EFB03E4"/>
    <w:rsid w:val="5F08270F"/>
    <w:rsid w:val="5FA36AB1"/>
    <w:rsid w:val="5FA56CCD"/>
    <w:rsid w:val="5FD57F6C"/>
    <w:rsid w:val="5FF612D7"/>
    <w:rsid w:val="5FF732A1"/>
    <w:rsid w:val="600F05EB"/>
    <w:rsid w:val="60156139"/>
    <w:rsid w:val="602118F6"/>
    <w:rsid w:val="60251BBC"/>
    <w:rsid w:val="607A74C0"/>
    <w:rsid w:val="608763D3"/>
    <w:rsid w:val="60B116A2"/>
    <w:rsid w:val="60C95941"/>
    <w:rsid w:val="60D76A6A"/>
    <w:rsid w:val="60E15A12"/>
    <w:rsid w:val="60E62130"/>
    <w:rsid w:val="60FC203D"/>
    <w:rsid w:val="610C3A4C"/>
    <w:rsid w:val="61442516"/>
    <w:rsid w:val="614E3129"/>
    <w:rsid w:val="61516710"/>
    <w:rsid w:val="61706E67"/>
    <w:rsid w:val="617A7CE6"/>
    <w:rsid w:val="61B10FB0"/>
    <w:rsid w:val="61CB62CF"/>
    <w:rsid w:val="61D9617E"/>
    <w:rsid w:val="61E64557"/>
    <w:rsid w:val="61FA7331"/>
    <w:rsid w:val="622C65E7"/>
    <w:rsid w:val="623954AB"/>
    <w:rsid w:val="625105FF"/>
    <w:rsid w:val="62650996"/>
    <w:rsid w:val="6293072F"/>
    <w:rsid w:val="62960EC2"/>
    <w:rsid w:val="62AF6E33"/>
    <w:rsid w:val="62B74C3D"/>
    <w:rsid w:val="62B965EC"/>
    <w:rsid w:val="62BB5D6D"/>
    <w:rsid w:val="62C76F5B"/>
    <w:rsid w:val="62D70D01"/>
    <w:rsid w:val="62DF265D"/>
    <w:rsid w:val="631E1D28"/>
    <w:rsid w:val="63464323"/>
    <w:rsid w:val="63465396"/>
    <w:rsid w:val="634E4F86"/>
    <w:rsid w:val="6384309D"/>
    <w:rsid w:val="63A4104A"/>
    <w:rsid w:val="63AB2522"/>
    <w:rsid w:val="63ED59DC"/>
    <w:rsid w:val="63EF5AA0"/>
    <w:rsid w:val="640970FF"/>
    <w:rsid w:val="6418569E"/>
    <w:rsid w:val="642240B5"/>
    <w:rsid w:val="64270646"/>
    <w:rsid w:val="64283D97"/>
    <w:rsid w:val="64587ED5"/>
    <w:rsid w:val="647E5D3F"/>
    <w:rsid w:val="64836EB1"/>
    <w:rsid w:val="6498366F"/>
    <w:rsid w:val="64AC1FC5"/>
    <w:rsid w:val="64BE2D8D"/>
    <w:rsid w:val="64C5396E"/>
    <w:rsid w:val="64F8164D"/>
    <w:rsid w:val="655F3B55"/>
    <w:rsid w:val="65747322"/>
    <w:rsid w:val="65796A56"/>
    <w:rsid w:val="657F1D6E"/>
    <w:rsid w:val="659375C8"/>
    <w:rsid w:val="65AE7FBF"/>
    <w:rsid w:val="65F105EB"/>
    <w:rsid w:val="660B1854"/>
    <w:rsid w:val="665E1984"/>
    <w:rsid w:val="666D606B"/>
    <w:rsid w:val="668D4017"/>
    <w:rsid w:val="669E7FD2"/>
    <w:rsid w:val="66AC7689"/>
    <w:rsid w:val="66B44E61"/>
    <w:rsid w:val="66B660E5"/>
    <w:rsid w:val="66BA6A08"/>
    <w:rsid w:val="67087681"/>
    <w:rsid w:val="670F6A60"/>
    <w:rsid w:val="671604B0"/>
    <w:rsid w:val="67376C31"/>
    <w:rsid w:val="67403EAC"/>
    <w:rsid w:val="675D1C3B"/>
    <w:rsid w:val="67654997"/>
    <w:rsid w:val="67690DE9"/>
    <w:rsid w:val="678828EC"/>
    <w:rsid w:val="678C0773"/>
    <w:rsid w:val="67C17CF8"/>
    <w:rsid w:val="68106CAE"/>
    <w:rsid w:val="681F0F4B"/>
    <w:rsid w:val="6827556C"/>
    <w:rsid w:val="684B418A"/>
    <w:rsid w:val="68660FC4"/>
    <w:rsid w:val="687A05CB"/>
    <w:rsid w:val="689F14E3"/>
    <w:rsid w:val="68A90F60"/>
    <w:rsid w:val="68D02062"/>
    <w:rsid w:val="68E123BD"/>
    <w:rsid w:val="68EA39A3"/>
    <w:rsid w:val="68FD6016"/>
    <w:rsid w:val="69015FB3"/>
    <w:rsid w:val="692D388F"/>
    <w:rsid w:val="69676DA1"/>
    <w:rsid w:val="69B40327"/>
    <w:rsid w:val="69B95123"/>
    <w:rsid w:val="69BD2E65"/>
    <w:rsid w:val="69E97952"/>
    <w:rsid w:val="69F452AF"/>
    <w:rsid w:val="6A024D1C"/>
    <w:rsid w:val="6A070584"/>
    <w:rsid w:val="6A394484"/>
    <w:rsid w:val="6A7774B8"/>
    <w:rsid w:val="6A885221"/>
    <w:rsid w:val="6A8D0A8A"/>
    <w:rsid w:val="6AB1576D"/>
    <w:rsid w:val="6AD379C8"/>
    <w:rsid w:val="6AE255AE"/>
    <w:rsid w:val="6AE319AF"/>
    <w:rsid w:val="6AEC0C86"/>
    <w:rsid w:val="6AF24D91"/>
    <w:rsid w:val="6B1A7A7F"/>
    <w:rsid w:val="6B1E5B86"/>
    <w:rsid w:val="6B511AB7"/>
    <w:rsid w:val="6BE302C7"/>
    <w:rsid w:val="6BEC358E"/>
    <w:rsid w:val="6BFA214F"/>
    <w:rsid w:val="6C040DBF"/>
    <w:rsid w:val="6C172D01"/>
    <w:rsid w:val="6C1C5DB2"/>
    <w:rsid w:val="6C1D7BEB"/>
    <w:rsid w:val="6C384A25"/>
    <w:rsid w:val="6C427652"/>
    <w:rsid w:val="6CBA18DE"/>
    <w:rsid w:val="6CBF4248"/>
    <w:rsid w:val="6CF15D4A"/>
    <w:rsid w:val="6CF442A2"/>
    <w:rsid w:val="6CFA3B3F"/>
    <w:rsid w:val="6D0019E7"/>
    <w:rsid w:val="6D196605"/>
    <w:rsid w:val="6D1C42B3"/>
    <w:rsid w:val="6D31064D"/>
    <w:rsid w:val="6D97577B"/>
    <w:rsid w:val="6DC07DE3"/>
    <w:rsid w:val="6DC31EE1"/>
    <w:rsid w:val="6DC5678C"/>
    <w:rsid w:val="6DE95E70"/>
    <w:rsid w:val="6E144E4E"/>
    <w:rsid w:val="6E182D60"/>
    <w:rsid w:val="6E3A4A84"/>
    <w:rsid w:val="6E3F209B"/>
    <w:rsid w:val="6E5233E1"/>
    <w:rsid w:val="6E7F06E9"/>
    <w:rsid w:val="6E820DA9"/>
    <w:rsid w:val="6EF74724"/>
    <w:rsid w:val="6F0118F3"/>
    <w:rsid w:val="6F04688A"/>
    <w:rsid w:val="6F420F77"/>
    <w:rsid w:val="6F46487D"/>
    <w:rsid w:val="6F9959A4"/>
    <w:rsid w:val="6FA128E1"/>
    <w:rsid w:val="70293003"/>
    <w:rsid w:val="704F215A"/>
    <w:rsid w:val="70625701"/>
    <w:rsid w:val="70765B1C"/>
    <w:rsid w:val="709A64E9"/>
    <w:rsid w:val="709B37D5"/>
    <w:rsid w:val="70EF0119"/>
    <w:rsid w:val="70F353BF"/>
    <w:rsid w:val="70FF1FB5"/>
    <w:rsid w:val="71033854"/>
    <w:rsid w:val="71187C36"/>
    <w:rsid w:val="711E7FBB"/>
    <w:rsid w:val="7121017E"/>
    <w:rsid w:val="713C4FB8"/>
    <w:rsid w:val="713F546E"/>
    <w:rsid w:val="719E7794"/>
    <w:rsid w:val="71C41B3D"/>
    <w:rsid w:val="72111FA0"/>
    <w:rsid w:val="722C0B88"/>
    <w:rsid w:val="724477B4"/>
    <w:rsid w:val="729D1A86"/>
    <w:rsid w:val="73092C77"/>
    <w:rsid w:val="73217FC1"/>
    <w:rsid w:val="73443DB7"/>
    <w:rsid w:val="73862665"/>
    <w:rsid w:val="738B6E7C"/>
    <w:rsid w:val="73DD12E8"/>
    <w:rsid w:val="73F46F5C"/>
    <w:rsid w:val="73FC4B12"/>
    <w:rsid w:val="7400407A"/>
    <w:rsid w:val="742B59BE"/>
    <w:rsid w:val="74312CAF"/>
    <w:rsid w:val="743F677E"/>
    <w:rsid w:val="74730B34"/>
    <w:rsid w:val="74B61393"/>
    <w:rsid w:val="74C1160F"/>
    <w:rsid w:val="74CC1C4F"/>
    <w:rsid w:val="75232716"/>
    <w:rsid w:val="75344CDB"/>
    <w:rsid w:val="756706C5"/>
    <w:rsid w:val="75736ACE"/>
    <w:rsid w:val="759061E5"/>
    <w:rsid w:val="7593726C"/>
    <w:rsid w:val="75E17F6F"/>
    <w:rsid w:val="75EF631E"/>
    <w:rsid w:val="760B4F58"/>
    <w:rsid w:val="762B6E81"/>
    <w:rsid w:val="76354CDC"/>
    <w:rsid w:val="7645188B"/>
    <w:rsid w:val="76A21419"/>
    <w:rsid w:val="76BD52CE"/>
    <w:rsid w:val="76BD6253"/>
    <w:rsid w:val="76CF22A0"/>
    <w:rsid w:val="76DB1691"/>
    <w:rsid w:val="770A5210"/>
    <w:rsid w:val="77161E37"/>
    <w:rsid w:val="77514BED"/>
    <w:rsid w:val="77865218"/>
    <w:rsid w:val="77974CF6"/>
    <w:rsid w:val="77A64F39"/>
    <w:rsid w:val="77CE25CB"/>
    <w:rsid w:val="77D4682C"/>
    <w:rsid w:val="77EB6DF0"/>
    <w:rsid w:val="77F04406"/>
    <w:rsid w:val="786A381F"/>
    <w:rsid w:val="787416C0"/>
    <w:rsid w:val="78A43B6E"/>
    <w:rsid w:val="79037AFB"/>
    <w:rsid w:val="79117C80"/>
    <w:rsid w:val="792627D5"/>
    <w:rsid w:val="793069E0"/>
    <w:rsid w:val="7931117A"/>
    <w:rsid w:val="794013BD"/>
    <w:rsid w:val="794B223C"/>
    <w:rsid w:val="7A464DDD"/>
    <w:rsid w:val="7A8D3EC2"/>
    <w:rsid w:val="7A962B7B"/>
    <w:rsid w:val="7A9A490C"/>
    <w:rsid w:val="7B030FB1"/>
    <w:rsid w:val="7B1D19B6"/>
    <w:rsid w:val="7B3100A6"/>
    <w:rsid w:val="7B3A4DA7"/>
    <w:rsid w:val="7B5C1A7F"/>
    <w:rsid w:val="7B6969A9"/>
    <w:rsid w:val="7BAD4856"/>
    <w:rsid w:val="7BC10593"/>
    <w:rsid w:val="7BCB1412"/>
    <w:rsid w:val="7C224D9B"/>
    <w:rsid w:val="7C224DAA"/>
    <w:rsid w:val="7C347B06"/>
    <w:rsid w:val="7C792DE1"/>
    <w:rsid w:val="7CA3544B"/>
    <w:rsid w:val="7CA81753"/>
    <w:rsid w:val="7CB225D2"/>
    <w:rsid w:val="7CBF72E5"/>
    <w:rsid w:val="7D050953"/>
    <w:rsid w:val="7D20753B"/>
    <w:rsid w:val="7D24527D"/>
    <w:rsid w:val="7D2F4375"/>
    <w:rsid w:val="7D366731"/>
    <w:rsid w:val="7D6038A3"/>
    <w:rsid w:val="7D6933FE"/>
    <w:rsid w:val="7D6C09D3"/>
    <w:rsid w:val="7D747887"/>
    <w:rsid w:val="7D7E23EE"/>
    <w:rsid w:val="7D831878"/>
    <w:rsid w:val="7DA41F1A"/>
    <w:rsid w:val="7DA43CC8"/>
    <w:rsid w:val="7DCC63B2"/>
    <w:rsid w:val="7E4D25B2"/>
    <w:rsid w:val="7E7933A7"/>
    <w:rsid w:val="7F840255"/>
    <w:rsid w:val="7F8C0EB8"/>
    <w:rsid w:val="7F9C00E0"/>
    <w:rsid w:val="7F9F508F"/>
    <w:rsid w:val="7FA91A6A"/>
    <w:rsid w:val="7FD95939"/>
    <w:rsid w:val="7FEC5DFB"/>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v:stroke weight="1.25pt" color="#739CC3"/>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9"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qFormat="1" w:unhideWhenUsed="0" w:uiPriority="0" w:semiHidden="0" w:name="index 7"/>
    <w:lsdException w:uiPriority="99" w:name="index 8"/>
    <w:lsdException w:uiPriority="99" w:name="index 9"/>
    <w:lsdException w:qFormat="1" w:unhideWhenUsed="0" w:uiPriority="39"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iPriority="99" w:name="List Number"/>
    <w:lsdException w:qFormat="1"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qFormat="1" w:unhideWhenUsed="0" w:uiPriority="0" w:semiHidden="0"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iPriority="99"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qFormat="1" w:uiPriority="99" w:semiHidden="0"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semiHidden="0"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仿宋_GB2312" w:hAnsi="仿宋_GB2312" w:eastAsia="仿宋" w:cs="宋体"/>
      <w:b/>
      <w:color w:val="000000"/>
      <w:sz w:val="21"/>
      <w:szCs w:val="21"/>
      <w:lang w:val="en-US" w:eastAsia="zh-CN" w:bidi="ar-SA"/>
    </w:rPr>
  </w:style>
  <w:style w:type="paragraph" w:styleId="2">
    <w:name w:val="heading 1"/>
    <w:basedOn w:val="1"/>
    <w:next w:val="1"/>
    <w:qFormat/>
    <w:uiPriority w:val="0"/>
    <w:pPr>
      <w:keepNext/>
      <w:keepLines/>
      <w:numPr>
        <w:ilvl w:val="0"/>
        <w:numId w:val="1"/>
      </w:numPr>
      <w:tabs>
        <w:tab w:val="left" w:pos="432"/>
      </w:tabs>
      <w:spacing w:before="340" w:line="576" w:lineRule="auto"/>
      <w:ind w:left="432" w:hanging="432"/>
      <w:outlineLvl w:val="0"/>
    </w:pPr>
    <w:rPr>
      <w:rFonts w:ascii="Arial" w:hAnsi="Arial" w:eastAsia="黑体" w:cs="Calibri"/>
      <w:b w:val="0"/>
      <w:spacing w:val="34"/>
      <w:sz w:val="36"/>
      <w:szCs w:val="44"/>
    </w:rPr>
  </w:style>
  <w:style w:type="paragraph" w:styleId="3">
    <w:name w:val="heading 2"/>
    <w:basedOn w:val="1"/>
    <w:next w:val="1"/>
    <w:qFormat/>
    <w:uiPriority w:val="0"/>
    <w:pPr>
      <w:keepNext/>
      <w:keepLines/>
      <w:numPr>
        <w:ilvl w:val="1"/>
        <w:numId w:val="1"/>
      </w:numPr>
      <w:tabs>
        <w:tab w:val="left" w:pos="576"/>
      </w:tabs>
      <w:spacing w:before="260" w:line="413" w:lineRule="auto"/>
      <w:ind w:left="576" w:hanging="576"/>
      <w:outlineLvl w:val="1"/>
    </w:pPr>
    <w:rPr>
      <w:rFonts w:ascii="Arial" w:hAnsi="Arial" w:eastAsia="黑体" w:cs="Calibri"/>
      <w:b w:val="0"/>
      <w:spacing w:val="32"/>
      <w:sz w:val="32"/>
      <w:szCs w:val="32"/>
    </w:rPr>
  </w:style>
  <w:style w:type="paragraph" w:styleId="4">
    <w:name w:val="heading 3"/>
    <w:basedOn w:val="1"/>
    <w:next w:val="1"/>
    <w:qFormat/>
    <w:uiPriority w:val="0"/>
    <w:pPr>
      <w:keepNext/>
      <w:keepLines/>
      <w:numPr>
        <w:ilvl w:val="2"/>
        <w:numId w:val="1"/>
      </w:numPr>
      <w:tabs>
        <w:tab w:val="left" w:pos="720"/>
      </w:tabs>
      <w:spacing w:before="260" w:line="413" w:lineRule="auto"/>
      <w:ind w:left="720" w:hanging="720"/>
      <w:outlineLvl w:val="2"/>
    </w:pPr>
    <w:rPr>
      <w:rFonts w:ascii="Arial" w:hAnsi="Arial" w:eastAsia="黑体" w:cs="Calibri"/>
      <w:b w:val="0"/>
      <w:spacing w:val="31"/>
      <w:sz w:val="30"/>
      <w:szCs w:val="32"/>
    </w:rPr>
  </w:style>
  <w:style w:type="paragraph" w:styleId="5">
    <w:name w:val="heading 4"/>
    <w:basedOn w:val="1"/>
    <w:next w:val="6"/>
    <w:qFormat/>
    <w:uiPriority w:val="0"/>
    <w:pPr>
      <w:keepNext/>
      <w:keepLines/>
      <w:numPr>
        <w:ilvl w:val="3"/>
        <w:numId w:val="1"/>
      </w:numPr>
      <w:tabs>
        <w:tab w:val="left" w:pos="1079"/>
      </w:tabs>
      <w:spacing w:before="280" w:line="377" w:lineRule="auto"/>
      <w:ind w:left="1077" w:hanging="1077"/>
      <w:outlineLvl w:val="3"/>
    </w:pPr>
    <w:rPr>
      <w:rFonts w:ascii="Arial" w:hAnsi="Arial" w:eastAsia="黑体" w:cs="Calibri"/>
      <w:b w:val="0"/>
      <w:spacing w:val="18"/>
      <w:sz w:val="28"/>
      <w:szCs w:val="28"/>
    </w:rPr>
  </w:style>
  <w:style w:type="paragraph" w:styleId="7">
    <w:name w:val="heading 5"/>
    <w:basedOn w:val="1"/>
    <w:next w:val="1"/>
    <w:qFormat/>
    <w:uiPriority w:val="9"/>
    <w:pPr>
      <w:keepNext/>
      <w:keepLines/>
      <w:numPr>
        <w:ilvl w:val="4"/>
        <w:numId w:val="1"/>
      </w:numPr>
      <w:tabs>
        <w:tab w:val="left" w:pos="1260"/>
      </w:tabs>
      <w:spacing w:before="280" w:line="377" w:lineRule="auto"/>
      <w:ind w:left="1259" w:hanging="1259"/>
      <w:outlineLvl w:val="4"/>
    </w:pPr>
    <w:rPr>
      <w:rFonts w:ascii="Arial" w:hAnsi="Arial" w:eastAsia="黑体" w:cs="Calibri"/>
      <w:b w:val="0"/>
      <w:spacing w:val="18"/>
      <w:sz w:val="28"/>
      <w:szCs w:val="28"/>
    </w:rPr>
  </w:style>
  <w:style w:type="paragraph" w:styleId="8">
    <w:name w:val="heading 6"/>
    <w:basedOn w:val="1"/>
    <w:next w:val="6"/>
    <w:qFormat/>
    <w:uiPriority w:val="0"/>
    <w:pPr>
      <w:keepNext/>
      <w:keepLines/>
      <w:numPr>
        <w:ilvl w:val="5"/>
        <w:numId w:val="1"/>
      </w:numPr>
      <w:tabs>
        <w:tab w:val="left" w:pos="1428"/>
      </w:tabs>
      <w:spacing w:before="240" w:line="317" w:lineRule="auto"/>
      <w:ind w:left="550" w:hanging="550"/>
      <w:outlineLvl w:val="5"/>
    </w:pPr>
    <w:rPr>
      <w:rFonts w:ascii="Arial" w:hAnsi="Arial" w:eastAsia="黑体" w:cs="Calibri"/>
      <w:b w:val="0"/>
      <w:spacing w:val="15"/>
      <w:sz w:val="24"/>
    </w:rPr>
  </w:style>
  <w:style w:type="paragraph" w:styleId="9">
    <w:name w:val="heading 7"/>
    <w:basedOn w:val="1"/>
    <w:next w:val="6"/>
    <w:qFormat/>
    <w:uiPriority w:val="0"/>
    <w:pPr>
      <w:keepNext/>
      <w:keepLines/>
      <w:numPr>
        <w:ilvl w:val="6"/>
        <w:numId w:val="1"/>
      </w:numPr>
      <w:tabs>
        <w:tab w:val="left" w:pos="1638"/>
      </w:tabs>
      <w:spacing w:before="240" w:line="317" w:lineRule="auto"/>
      <w:ind w:left="1633" w:hanging="1633"/>
      <w:outlineLvl w:val="6"/>
    </w:pPr>
    <w:rPr>
      <w:rFonts w:ascii="Arial" w:hAnsi="Arial" w:eastAsia="黑体" w:cs="Calibri"/>
      <w:b w:val="0"/>
      <w:sz w:val="24"/>
    </w:rPr>
  </w:style>
  <w:style w:type="paragraph" w:styleId="10">
    <w:name w:val="heading 8"/>
    <w:basedOn w:val="1"/>
    <w:next w:val="6"/>
    <w:qFormat/>
    <w:uiPriority w:val="0"/>
    <w:pPr>
      <w:keepNext/>
      <w:keepLines/>
      <w:numPr>
        <w:ilvl w:val="7"/>
        <w:numId w:val="1"/>
      </w:numPr>
      <w:tabs>
        <w:tab w:val="left" w:pos="1800"/>
      </w:tabs>
      <w:spacing w:before="240" w:line="317" w:lineRule="auto"/>
      <w:ind w:left="1797" w:hanging="1797"/>
      <w:outlineLvl w:val="7"/>
    </w:pPr>
    <w:rPr>
      <w:rFonts w:ascii="Arial" w:hAnsi="Arial" w:eastAsia="黑体" w:cs="Calibri"/>
      <w:sz w:val="24"/>
    </w:rPr>
  </w:style>
  <w:style w:type="paragraph" w:styleId="11">
    <w:name w:val="heading 9"/>
    <w:basedOn w:val="1"/>
    <w:next w:val="6"/>
    <w:qFormat/>
    <w:uiPriority w:val="0"/>
    <w:pPr>
      <w:keepNext/>
      <w:keepLines/>
      <w:numPr>
        <w:ilvl w:val="8"/>
        <w:numId w:val="1"/>
      </w:numPr>
      <w:tabs>
        <w:tab w:val="left" w:pos="1980"/>
      </w:tabs>
      <w:spacing w:before="240" w:line="317" w:lineRule="auto"/>
      <w:ind w:left="1979" w:hanging="1979"/>
      <w:outlineLvl w:val="8"/>
    </w:pPr>
    <w:rPr>
      <w:rFonts w:ascii="Arial" w:hAnsi="Arial" w:eastAsia="黑体" w:cs="Calibri"/>
    </w:rPr>
  </w:style>
  <w:style w:type="character" w:default="1" w:styleId="50">
    <w:name w:val="Default Paragraph Font"/>
    <w:qFormat/>
    <w:uiPriority w:val="0"/>
  </w:style>
  <w:style w:type="table" w:default="1" w:styleId="48">
    <w:name w:val="Normal Table"/>
    <w:unhideWhenUsed/>
    <w:qFormat/>
    <w:uiPriority w:val="99"/>
    <w:tblPr>
      <w:tblCellMar>
        <w:top w:w="0" w:type="dxa"/>
        <w:left w:w="108" w:type="dxa"/>
        <w:bottom w:w="0" w:type="dxa"/>
        <w:right w:w="108" w:type="dxa"/>
      </w:tblCellMar>
    </w:tblPr>
  </w:style>
  <w:style w:type="paragraph" w:styleId="6">
    <w:name w:val="Normal Indent"/>
    <w:basedOn w:val="1"/>
    <w:next w:val="1"/>
    <w:qFormat/>
    <w:uiPriority w:val="0"/>
    <w:pPr>
      <w:ind w:firstLine="420"/>
    </w:pPr>
  </w:style>
  <w:style w:type="paragraph" w:styleId="12">
    <w:name w:val="toc 7"/>
    <w:basedOn w:val="1"/>
    <w:next w:val="1"/>
    <w:qFormat/>
    <w:uiPriority w:val="0"/>
    <w:pPr>
      <w:ind w:left="1050"/>
      <w:jc w:val="left"/>
    </w:pPr>
    <w:rPr>
      <w:rFonts w:ascii="Calibri" w:hAnsi="Calibri" w:eastAsia="宋体" w:cs="Calibri"/>
      <w:b w:val="0"/>
      <w:kern w:val="1"/>
      <w:sz w:val="20"/>
      <w:szCs w:val="20"/>
    </w:rPr>
  </w:style>
  <w:style w:type="paragraph" w:styleId="13">
    <w:name w:val="List Number"/>
    <w:basedOn w:val="1"/>
    <w:next w:val="14"/>
    <w:semiHidden/>
    <w:unhideWhenUsed/>
    <w:qFormat/>
    <w:uiPriority w:val="99"/>
    <w:pPr>
      <w:numPr>
        <w:ilvl w:val="0"/>
        <w:numId w:val="2"/>
      </w:numPr>
    </w:pPr>
  </w:style>
  <w:style w:type="paragraph" w:styleId="14">
    <w:name w:val="Balloon Text"/>
    <w:basedOn w:val="1"/>
    <w:next w:val="15"/>
    <w:qFormat/>
    <w:uiPriority w:val="0"/>
    <w:rPr>
      <w:rFonts w:cs="Times New Roman"/>
      <w:sz w:val="18"/>
      <w:szCs w:val="18"/>
    </w:rPr>
  </w:style>
  <w:style w:type="paragraph" w:styleId="15">
    <w:name w:val="toc 8"/>
    <w:basedOn w:val="1"/>
    <w:next w:val="1"/>
    <w:qFormat/>
    <w:uiPriority w:val="0"/>
    <w:pPr>
      <w:ind w:left="1260"/>
      <w:jc w:val="left"/>
    </w:pPr>
    <w:rPr>
      <w:rFonts w:ascii="Calibri" w:hAnsi="Calibri" w:eastAsia="宋体" w:cs="Calibri"/>
      <w:b w:val="0"/>
      <w:kern w:val="1"/>
      <w:sz w:val="20"/>
      <w:szCs w:val="20"/>
    </w:rPr>
  </w:style>
  <w:style w:type="paragraph" w:styleId="16">
    <w:name w:val="caption"/>
    <w:basedOn w:val="1"/>
    <w:next w:val="1"/>
    <w:qFormat/>
    <w:uiPriority w:val="0"/>
    <w:rPr>
      <w:rFonts w:ascii="Arial" w:hAnsi="Arial" w:eastAsia="黑体" w:cs="Arial"/>
      <w:b w:val="0"/>
      <w:kern w:val="1"/>
      <w:sz w:val="20"/>
      <w:szCs w:val="20"/>
    </w:rPr>
  </w:style>
  <w:style w:type="paragraph" w:styleId="17">
    <w:name w:val="List Bullet"/>
    <w:basedOn w:val="1"/>
    <w:qFormat/>
    <w:uiPriority w:val="0"/>
    <w:pPr>
      <w:spacing w:line="360" w:lineRule="auto"/>
    </w:pPr>
    <w:rPr>
      <w:rFonts w:ascii="宋体" w:hAnsi="宋体" w:eastAsia="宋体" w:cs="Times New Roman"/>
      <w:b w:val="0"/>
      <w:kern w:val="1"/>
      <w:sz w:val="20"/>
      <w:szCs w:val="20"/>
    </w:rPr>
  </w:style>
  <w:style w:type="paragraph" w:styleId="18">
    <w:name w:val="Document Map"/>
    <w:basedOn w:val="1"/>
    <w:qFormat/>
    <w:uiPriority w:val="0"/>
    <w:pPr>
      <w:shd w:val="clear" w:color="000000" w:fill="00007F"/>
    </w:pPr>
    <w:rPr>
      <w:rFonts w:ascii="Times New Roman" w:hAnsi="Times New Roman" w:eastAsia="宋体" w:cs="Times New Roman"/>
      <w:b w:val="0"/>
      <w:kern w:val="1"/>
      <w:szCs w:val="24"/>
    </w:rPr>
  </w:style>
  <w:style w:type="paragraph" w:styleId="19">
    <w:name w:val="toa heading"/>
    <w:basedOn w:val="1"/>
    <w:next w:val="1"/>
    <w:qFormat/>
    <w:uiPriority w:val="0"/>
    <w:pPr>
      <w:spacing w:before="120"/>
    </w:pPr>
    <w:rPr>
      <w:rFonts w:ascii="Arial" w:hAnsi="Arial" w:cs="Arial"/>
      <w:sz w:val="24"/>
    </w:rPr>
  </w:style>
  <w:style w:type="paragraph" w:styleId="20">
    <w:name w:val="annotation text"/>
    <w:basedOn w:val="1"/>
    <w:qFormat/>
    <w:uiPriority w:val="0"/>
    <w:pPr>
      <w:widowControl/>
      <w:spacing w:line="240" w:lineRule="atLeast"/>
      <w:jc w:val="left"/>
    </w:pPr>
    <w:rPr>
      <w:rFonts w:ascii="Arial" w:hAnsi="Arial" w:eastAsia="宋体" w:cs="Times New Roman"/>
      <w:b w:val="0"/>
      <w:sz w:val="20"/>
    </w:rPr>
  </w:style>
  <w:style w:type="paragraph" w:styleId="21">
    <w:name w:val="Body Text 3"/>
    <w:basedOn w:val="1"/>
    <w:qFormat/>
    <w:uiPriority w:val="0"/>
    <w:pPr>
      <w:spacing w:after="120"/>
    </w:pPr>
    <w:rPr>
      <w:rFonts w:ascii="Times New Roman" w:hAnsi="Times New Roman" w:eastAsia="宋体" w:cs="Times New Roman"/>
      <w:b w:val="0"/>
      <w:kern w:val="1"/>
      <w:sz w:val="16"/>
      <w:szCs w:val="16"/>
    </w:rPr>
  </w:style>
  <w:style w:type="paragraph" w:styleId="22">
    <w:name w:val="Body Text"/>
    <w:basedOn w:val="1"/>
    <w:next w:val="23"/>
    <w:qFormat/>
    <w:uiPriority w:val="0"/>
    <w:pPr>
      <w:spacing w:after="120"/>
    </w:pPr>
    <w:rPr>
      <w:rFonts w:ascii="Times New Roman" w:hAnsi="Times New Roman" w:eastAsia="宋体" w:cs="Times New Roman"/>
      <w:b w:val="0"/>
      <w:kern w:val="1"/>
      <w:szCs w:val="24"/>
    </w:rPr>
  </w:style>
  <w:style w:type="paragraph" w:styleId="23">
    <w:name w:val="Body Text First Indent"/>
    <w:basedOn w:val="22"/>
    <w:next w:val="1"/>
    <w:qFormat/>
    <w:uiPriority w:val="0"/>
    <w:pPr>
      <w:ind w:firstLine="420"/>
    </w:pPr>
    <w:rPr>
      <w:rFonts w:ascii="仿宋_GB2312" w:hAnsi="仿宋_GB2312" w:eastAsia="仿宋" w:cs="宋体"/>
      <w:b/>
      <w:szCs w:val="21"/>
    </w:rPr>
  </w:style>
  <w:style w:type="paragraph" w:styleId="24">
    <w:name w:val="Body Text Indent"/>
    <w:basedOn w:val="1"/>
    <w:next w:val="13"/>
    <w:link w:val="60"/>
    <w:qFormat/>
    <w:uiPriority w:val="0"/>
    <w:pPr>
      <w:spacing w:after="120"/>
      <w:ind w:left="420"/>
    </w:pPr>
    <w:rPr>
      <w:rFonts w:ascii="Times New Roman" w:hAnsi="Times New Roman" w:eastAsia="宋体" w:cs="Times New Roman"/>
      <w:b w:val="0"/>
      <w:kern w:val="1"/>
      <w:szCs w:val="24"/>
    </w:rPr>
  </w:style>
  <w:style w:type="paragraph" w:styleId="25">
    <w:name w:val="List Number 3"/>
    <w:basedOn w:val="1"/>
    <w:qFormat/>
    <w:uiPriority w:val="0"/>
    <w:pPr>
      <w:widowControl/>
      <w:tabs>
        <w:tab w:val="left" w:pos="2260"/>
      </w:tabs>
      <w:ind w:left="2260" w:hanging="340"/>
      <w:jc w:val="left"/>
    </w:pPr>
    <w:rPr>
      <w:rFonts w:ascii="Times New Roman" w:hAnsi="Times New Roman" w:eastAsia="宋体" w:cs="Times New Roman"/>
      <w:b w:val="0"/>
      <w:sz w:val="24"/>
      <w:szCs w:val="20"/>
    </w:rPr>
  </w:style>
  <w:style w:type="paragraph" w:styleId="26">
    <w:name w:val="List 2"/>
    <w:basedOn w:val="1"/>
    <w:qFormat/>
    <w:uiPriority w:val="0"/>
    <w:pPr>
      <w:ind w:left="840" w:hanging="420"/>
    </w:pPr>
    <w:rPr>
      <w:rFonts w:ascii="Times New Roman" w:hAnsi="Times New Roman" w:eastAsia="宋体" w:cs="Times New Roman"/>
      <w:b w:val="0"/>
      <w:kern w:val="1"/>
      <w:szCs w:val="20"/>
    </w:rPr>
  </w:style>
  <w:style w:type="paragraph" w:styleId="27">
    <w:name w:val="toc 5"/>
    <w:basedOn w:val="1"/>
    <w:next w:val="1"/>
    <w:qFormat/>
    <w:uiPriority w:val="0"/>
    <w:pPr>
      <w:ind w:left="630"/>
      <w:jc w:val="left"/>
    </w:pPr>
    <w:rPr>
      <w:rFonts w:ascii="Calibri" w:hAnsi="Calibri" w:eastAsia="宋体" w:cs="Calibri"/>
      <w:b w:val="0"/>
      <w:kern w:val="1"/>
      <w:sz w:val="20"/>
      <w:szCs w:val="20"/>
    </w:rPr>
  </w:style>
  <w:style w:type="paragraph" w:styleId="28">
    <w:name w:val="toc 3"/>
    <w:basedOn w:val="1"/>
    <w:next w:val="1"/>
    <w:qFormat/>
    <w:uiPriority w:val="0"/>
    <w:pPr>
      <w:tabs>
        <w:tab w:val="right" w:leader="dot" w:pos="8987"/>
      </w:tabs>
      <w:spacing w:line="400" w:lineRule="atLeast"/>
    </w:pPr>
    <w:rPr>
      <w:rFonts w:ascii="Times New Roman" w:hAnsi="Times New Roman" w:cs="Times New Roman"/>
      <w:sz w:val="28"/>
      <w:szCs w:val="28"/>
    </w:rPr>
  </w:style>
  <w:style w:type="paragraph" w:styleId="29">
    <w:name w:val="Plain Text"/>
    <w:basedOn w:val="1"/>
    <w:next w:val="30"/>
    <w:link w:val="61"/>
    <w:qFormat/>
    <w:uiPriority w:val="0"/>
    <w:rPr>
      <w:rFonts w:ascii="宋体" w:hAnsi="宋体" w:cs="Times New Roman"/>
      <w:szCs w:val="20"/>
    </w:rPr>
  </w:style>
  <w:style w:type="paragraph" w:styleId="30">
    <w:name w:val="index 7"/>
    <w:basedOn w:val="1"/>
    <w:next w:val="1"/>
    <w:qFormat/>
    <w:uiPriority w:val="0"/>
    <w:pPr>
      <w:ind w:left="1200" w:leftChars="1200"/>
    </w:pPr>
    <w:rPr>
      <w:kern w:val="2"/>
      <w:szCs w:val="24"/>
    </w:rPr>
  </w:style>
  <w:style w:type="paragraph" w:styleId="31">
    <w:name w:val="Date"/>
    <w:basedOn w:val="1"/>
    <w:next w:val="1"/>
    <w:link w:val="62"/>
    <w:qFormat/>
    <w:uiPriority w:val="0"/>
    <w:pPr>
      <w:ind w:left="100"/>
    </w:pPr>
    <w:rPr>
      <w:rFonts w:cs="Times New Roman"/>
      <w:sz w:val="24"/>
    </w:rPr>
  </w:style>
  <w:style w:type="paragraph" w:styleId="32">
    <w:name w:val="Body Text Indent 2"/>
    <w:basedOn w:val="1"/>
    <w:qFormat/>
    <w:uiPriority w:val="0"/>
    <w:pPr>
      <w:widowControl/>
      <w:spacing w:line="480" w:lineRule="atLeast"/>
      <w:ind w:firstLine="480"/>
    </w:pPr>
    <w:rPr>
      <w:rFonts w:ascii="宋体" w:hAnsi="宋体" w:cs="Times New Roman"/>
      <w:sz w:val="24"/>
      <w:szCs w:val="20"/>
    </w:rPr>
  </w:style>
  <w:style w:type="paragraph" w:styleId="33">
    <w:name w:val="footer"/>
    <w:basedOn w:val="1"/>
    <w:qFormat/>
    <w:uiPriority w:val="0"/>
    <w:pPr>
      <w:tabs>
        <w:tab w:val="center" w:pos="4153"/>
        <w:tab w:val="right" w:pos="8306"/>
      </w:tabs>
      <w:jc w:val="left"/>
    </w:pPr>
    <w:rPr>
      <w:rFonts w:cs="Times New Roman"/>
      <w:sz w:val="18"/>
      <w:szCs w:val="18"/>
    </w:rPr>
  </w:style>
  <w:style w:type="paragraph" w:styleId="34">
    <w:name w:val="header"/>
    <w:basedOn w:val="1"/>
    <w:qFormat/>
    <w:uiPriority w:val="0"/>
    <w:pPr>
      <w:pBdr>
        <w:bottom w:val="single" w:color="000000" w:sz="6" w:space="1"/>
      </w:pBdr>
      <w:tabs>
        <w:tab w:val="center" w:pos="4153"/>
        <w:tab w:val="right" w:pos="8306"/>
      </w:tabs>
      <w:jc w:val="center"/>
    </w:pPr>
    <w:rPr>
      <w:rFonts w:cs="Times New Roman"/>
      <w:sz w:val="18"/>
      <w:szCs w:val="18"/>
    </w:rPr>
  </w:style>
  <w:style w:type="paragraph" w:styleId="35">
    <w:name w:val="toc 1"/>
    <w:basedOn w:val="1"/>
    <w:next w:val="1"/>
    <w:qFormat/>
    <w:uiPriority w:val="39"/>
    <w:pPr>
      <w:spacing w:line="360" w:lineRule="atLeast"/>
    </w:pPr>
    <w:rPr>
      <w:rFonts w:ascii="宋体" w:hAnsi="宋体" w:eastAsia="宋体" w:cs="Times New Roman"/>
      <w:kern w:val="1"/>
      <w:sz w:val="22"/>
      <w:szCs w:val="22"/>
    </w:rPr>
  </w:style>
  <w:style w:type="paragraph" w:styleId="36">
    <w:name w:val="toc 4"/>
    <w:basedOn w:val="1"/>
    <w:next w:val="1"/>
    <w:qFormat/>
    <w:uiPriority w:val="0"/>
    <w:pPr>
      <w:ind w:left="420"/>
      <w:jc w:val="left"/>
    </w:pPr>
    <w:rPr>
      <w:rFonts w:ascii="Calibri" w:hAnsi="Calibri" w:eastAsia="宋体" w:cs="Calibri"/>
      <w:b w:val="0"/>
      <w:kern w:val="1"/>
      <w:sz w:val="20"/>
      <w:szCs w:val="20"/>
    </w:rPr>
  </w:style>
  <w:style w:type="paragraph" w:styleId="37">
    <w:name w:val="List"/>
    <w:basedOn w:val="1"/>
    <w:qFormat/>
    <w:uiPriority w:val="0"/>
    <w:pPr>
      <w:ind w:left="420" w:hanging="420"/>
    </w:pPr>
    <w:rPr>
      <w:rFonts w:ascii="Times New Roman" w:hAnsi="Times New Roman" w:eastAsia="宋体" w:cs="Times New Roman"/>
      <w:b w:val="0"/>
      <w:kern w:val="1"/>
      <w:szCs w:val="20"/>
    </w:rPr>
  </w:style>
  <w:style w:type="paragraph" w:styleId="38">
    <w:name w:val="toc 6"/>
    <w:basedOn w:val="1"/>
    <w:next w:val="1"/>
    <w:qFormat/>
    <w:uiPriority w:val="0"/>
    <w:pPr>
      <w:ind w:left="840"/>
      <w:jc w:val="left"/>
    </w:pPr>
    <w:rPr>
      <w:rFonts w:ascii="Calibri" w:hAnsi="Calibri" w:eastAsia="宋体" w:cs="Calibri"/>
      <w:b w:val="0"/>
      <w:kern w:val="1"/>
      <w:sz w:val="20"/>
      <w:szCs w:val="20"/>
    </w:rPr>
  </w:style>
  <w:style w:type="paragraph" w:styleId="39">
    <w:name w:val="Body Text Indent 3"/>
    <w:basedOn w:val="1"/>
    <w:qFormat/>
    <w:uiPriority w:val="0"/>
    <w:pPr>
      <w:spacing w:after="120"/>
      <w:ind w:left="420"/>
    </w:pPr>
    <w:rPr>
      <w:rFonts w:cs="Times New Roman"/>
      <w:sz w:val="16"/>
      <w:szCs w:val="16"/>
    </w:rPr>
  </w:style>
  <w:style w:type="paragraph" w:styleId="40">
    <w:name w:val="toc 2"/>
    <w:basedOn w:val="1"/>
    <w:next w:val="1"/>
    <w:qFormat/>
    <w:uiPriority w:val="0"/>
    <w:pPr>
      <w:tabs>
        <w:tab w:val="left" w:pos="630"/>
        <w:tab w:val="right" w:leader="dot" w:pos="8302"/>
      </w:tabs>
      <w:spacing w:line="520" w:lineRule="exact"/>
      <w:jc w:val="left"/>
    </w:pPr>
    <w:rPr>
      <w:rFonts w:ascii="Calibri" w:hAnsi="Calibri" w:eastAsia="宋体" w:cs="Calibri"/>
      <w:kern w:val="1"/>
      <w:sz w:val="20"/>
      <w:szCs w:val="20"/>
    </w:rPr>
  </w:style>
  <w:style w:type="paragraph" w:styleId="41">
    <w:name w:val="toc 9"/>
    <w:basedOn w:val="1"/>
    <w:next w:val="1"/>
    <w:qFormat/>
    <w:uiPriority w:val="0"/>
    <w:pPr>
      <w:ind w:left="1470"/>
      <w:jc w:val="left"/>
    </w:pPr>
    <w:rPr>
      <w:rFonts w:ascii="Calibri" w:hAnsi="Calibri" w:eastAsia="宋体" w:cs="Calibri"/>
      <w:b w:val="0"/>
      <w:kern w:val="1"/>
      <w:sz w:val="20"/>
      <w:szCs w:val="20"/>
    </w:rPr>
  </w:style>
  <w:style w:type="paragraph" w:styleId="42">
    <w:name w:val="Body Text 2"/>
    <w:basedOn w:val="1"/>
    <w:qFormat/>
    <w:uiPriority w:val="0"/>
    <w:pPr>
      <w:spacing w:after="120" w:line="480" w:lineRule="auto"/>
    </w:pPr>
    <w:rPr>
      <w:rFonts w:ascii="Times New Roman" w:hAnsi="Times New Roman" w:eastAsia="宋体" w:cs="Times New Roman"/>
      <w:b w:val="0"/>
      <w:kern w:val="1"/>
      <w:szCs w:val="24"/>
    </w:rPr>
  </w:style>
  <w:style w:type="paragraph" w:styleId="43">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8996"/>
        <w:tab w:val="left" w:pos="11908"/>
        <w:tab w:val="left" w:pos="12824"/>
        <w:tab w:val="left" w:pos="13740"/>
        <w:tab w:val="left" w:pos="14656"/>
      </w:tabs>
      <w:jc w:val="left"/>
    </w:pPr>
    <w:rPr>
      <w:rFonts w:ascii="Arial" w:hAnsi="Arial" w:eastAsia="宋体" w:cs="Times New Roman"/>
      <w:b w:val="0"/>
      <w:sz w:val="24"/>
      <w:szCs w:val="24"/>
    </w:rPr>
  </w:style>
  <w:style w:type="paragraph" w:styleId="44">
    <w:name w:val="Normal (Web)"/>
    <w:basedOn w:val="1"/>
    <w:qFormat/>
    <w:uiPriority w:val="0"/>
    <w:pPr>
      <w:widowControl/>
      <w:jc w:val="left"/>
    </w:pPr>
    <w:rPr>
      <w:rFonts w:ascii="Times New Roman" w:hAnsi="Times New Roman" w:eastAsia="宋体" w:cs="Times New Roman"/>
      <w:b w:val="0"/>
      <w:sz w:val="24"/>
      <w:szCs w:val="24"/>
    </w:rPr>
  </w:style>
  <w:style w:type="paragraph" w:styleId="45">
    <w:name w:val="Title"/>
    <w:basedOn w:val="1"/>
    <w:next w:val="1"/>
    <w:link w:val="63"/>
    <w:qFormat/>
    <w:uiPriority w:val="10"/>
    <w:pPr>
      <w:spacing w:before="240" w:after="60"/>
      <w:jc w:val="center"/>
      <w:outlineLvl w:val="0"/>
    </w:pPr>
    <w:rPr>
      <w:rFonts w:ascii="Arial" w:hAnsi="Arial" w:eastAsia="等线" w:cs="Times New Roman"/>
      <w:bCs/>
      <w:sz w:val="32"/>
      <w:szCs w:val="32"/>
    </w:rPr>
  </w:style>
  <w:style w:type="paragraph" w:styleId="46">
    <w:name w:val="annotation subject"/>
    <w:basedOn w:val="20"/>
    <w:next w:val="20"/>
    <w:qFormat/>
    <w:uiPriority w:val="0"/>
    <w:pPr>
      <w:widowControl w:val="0"/>
      <w:spacing w:line="240" w:lineRule="auto"/>
    </w:pPr>
    <w:rPr>
      <w:rFonts w:ascii="仿宋_GB2312" w:hAnsi="仿宋_GB2312" w:eastAsia="仿宋" w:cs="宋体"/>
      <w:b/>
      <w:sz w:val="21"/>
    </w:rPr>
  </w:style>
  <w:style w:type="paragraph" w:styleId="47">
    <w:name w:val="Body Text First Indent 2"/>
    <w:basedOn w:val="24"/>
    <w:link w:val="64"/>
    <w:unhideWhenUsed/>
    <w:qFormat/>
    <w:uiPriority w:val="99"/>
    <w:pPr>
      <w:ind w:leftChars="200" w:firstLine="420" w:firstLineChars="200"/>
    </w:pPr>
    <w:rPr>
      <w:rFonts w:ascii="仿宋_GB2312" w:hAnsi="仿宋_GB2312" w:eastAsia="仿宋"/>
      <w:b/>
      <w:szCs w:val="21"/>
    </w:rPr>
  </w:style>
  <w:style w:type="table" w:styleId="49">
    <w:name w:val="Table Grid"/>
    <w:basedOn w:val="48"/>
    <w:qFormat/>
    <w:uiPriority w:val="39"/>
    <w:pPr>
      <w:widowControl w:val="0"/>
      <w:jc w:val="both"/>
    </w:pPr>
    <w:rPr>
      <w:rFonts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1">
    <w:name w:val="Strong"/>
    <w:qFormat/>
    <w:uiPriority w:val="22"/>
    <w:rPr>
      <w:b/>
    </w:rPr>
  </w:style>
  <w:style w:type="character" w:styleId="52">
    <w:name w:val="page number"/>
    <w:qFormat/>
    <w:uiPriority w:val="0"/>
  </w:style>
  <w:style w:type="character" w:styleId="53">
    <w:name w:val="FollowedHyperlink"/>
    <w:qFormat/>
    <w:uiPriority w:val="0"/>
    <w:rPr>
      <w:color w:val="7F007F"/>
      <w:u w:val="single"/>
    </w:rPr>
  </w:style>
  <w:style w:type="character" w:styleId="54">
    <w:name w:val="Emphasis"/>
    <w:qFormat/>
    <w:uiPriority w:val="0"/>
    <w:rPr>
      <w:color w:val="F73131"/>
    </w:rPr>
  </w:style>
  <w:style w:type="character" w:styleId="55">
    <w:name w:val="Hyperlink"/>
    <w:qFormat/>
    <w:uiPriority w:val="99"/>
    <w:rPr>
      <w:color w:val="0000FF"/>
      <w:u w:val="none"/>
    </w:rPr>
  </w:style>
  <w:style w:type="character" w:styleId="56">
    <w:name w:val="annotation reference"/>
    <w:qFormat/>
    <w:uiPriority w:val="0"/>
    <w:rPr>
      <w:sz w:val="21"/>
      <w:szCs w:val="21"/>
    </w:rPr>
  </w:style>
  <w:style w:type="character" w:styleId="57">
    <w:name w:val="HTML Cite"/>
    <w:unhideWhenUsed/>
    <w:qFormat/>
    <w:uiPriority w:val="99"/>
    <w:rPr>
      <w:color w:val="008000"/>
    </w:rPr>
  </w:style>
  <w:style w:type="paragraph" w:customStyle="1" w:styleId="58">
    <w:name w:val="首行缩进"/>
    <w:basedOn w:val="1"/>
    <w:qFormat/>
    <w:uiPriority w:val="0"/>
    <w:pPr>
      <w:spacing w:line="360" w:lineRule="auto"/>
      <w:ind w:firstLine="480" w:firstLineChars="200"/>
    </w:pPr>
    <w:rPr>
      <w:sz w:val="24"/>
      <w:lang w:val="zh-CN"/>
    </w:rPr>
  </w:style>
  <w:style w:type="paragraph" w:customStyle="1" w:styleId="59">
    <w:name w:val="表格文字"/>
    <w:basedOn w:val="1"/>
    <w:next w:val="22"/>
    <w:qFormat/>
    <w:uiPriority w:val="0"/>
    <w:pPr>
      <w:adjustRightInd w:val="0"/>
      <w:spacing w:line="420" w:lineRule="atLeast"/>
      <w:jc w:val="left"/>
      <w:textAlignment w:val="baseline"/>
    </w:pPr>
    <w:rPr>
      <w:rFonts w:ascii="Times New Roman" w:hAnsi="Times New Roman" w:eastAsia="宋体"/>
      <w:b w:val="0"/>
      <w:color w:val="auto"/>
      <w:kern w:val="2"/>
      <w:szCs w:val="24"/>
    </w:rPr>
  </w:style>
  <w:style w:type="character" w:customStyle="1" w:styleId="60">
    <w:name w:val="正文文本缩进 Char"/>
    <w:link w:val="24"/>
    <w:qFormat/>
    <w:uiPriority w:val="0"/>
    <w:rPr>
      <w:rFonts w:eastAsia="宋体"/>
      <w:color w:val="000000"/>
      <w:kern w:val="1"/>
      <w:sz w:val="21"/>
      <w:szCs w:val="24"/>
    </w:rPr>
  </w:style>
  <w:style w:type="character" w:customStyle="1" w:styleId="61">
    <w:name w:val="纯文本 Char"/>
    <w:link w:val="29"/>
    <w:qFormat/>
    <w:uiPriority w:val="0"/>
    <w:rPr>
      <w:rFonts w:ascii="宋体" w:hAnsi="宋体" w:eastAsia="仿宋" w:cs="Courier New"/>
      <w:b/>
      <w:color w:val="000000"/>
      <w:sz w:val="21"/>
    </w:rPr>
  </w:style>
  <w:style w:type="character" w:customStyle="1" w:styleId="62">
    <w:name w:val="日期 Char"/>
    <w:link w:val="31"/>
    <w:qFormat/>
    <w:uiPriority w:val="0"/>
    <w:rPr>
      <w:rFonts w:ascii="仿宋_GB2312" w:hAnsi="仿宋_GB2312" w:eastAsia="仿宋"/>
      <w:b/>
      <w:color w:val="000000"/>
      <w:sz w:val="24"/>
      <w:szCs w:val="21"/>
    </w:rPr>
  </w:style>
  <w:style w:type="character" w:customStyle="1" w:styleId="63">
    <w:name w:val="标题 Char2"/>
    <w:link w:val="45"/>
    <w:qFormat/>
    <w:uiPriority w:val="0"/>
    <w:rPr>
      <w:rFonts w:ascii="Arial" w:hAnsi="Arial" w:cs="Arial"/>
      <w:b/>
      <w:bCs/>
      <w:color w:val="000000"/>
      <w:sz w:val="32"/>
      <w:szCs w:val="32"/>
    </w:rPr>
  </w:style>
  <w:style w:type="character" w:customStyle="1" w:styleId="64">
    <w:name w:val="正文首行缩进 2 Char"/>
    <w:link w:val="47"/>
    <w:semiHidden/>
    <w:qFormat/>
    <w:uiPriority w:val="99"/>
    <w:rPr>
      <w:rFonts w:ascii="仿宋_GB2312" w:hAnsi="仿宋_GB2312" w:eastAsia="仿宋" w:cs="宋体"/>
      <w:b/>
      <w:color w:val="000000"/>
      <w:kern w:val="1"/>
      <w:sz w:val="21"/>
      <w:szCs w:val="21"/>
    </w:rPr>
  </w:style>
  <w:style w:type="character" w:customStyle="1" w:styleId="65">
    <w:name w:val="++标题2 Char"/>
    <w:qFormat/>
    <w:uiPriority w:val="0"/>
    <w:rPr>
      <w:rFonts w:eastAsia="宋体" w:cs="Arial"/>
      <w:b/>
      <w:sz w:val="28"/>
      <w:szCs w:val="28"/>
      <w:lang w:val="en-US" w:eastAsia="zh-CN" w:bidi="ar-SA"/>
    </w:rPr>
  </w:style>
  <w:style w:type="character" w:customStyle="1" w:styleId="66">
    <w:name w:val="无间隔 Char"/>
    <w:qFormat/>
    <w:uiPriority w:val="0"/>
    <w:rPr>
      <w:rFonts w:ascii="Calibri" w:hAnsi="Calibri"/>
      <w:kern w:val="1"/>
      <w:sz w:val="21"/>
      <w:szCs w:val="22"/>
    </w:rPr>
  </w:style>
  <w:style w:type="character" w:customStyle="1" w:styleId="67">
    <w:name w:val="15"/>
    <w:qFormat/>
    <w:uiPriority w:val="0"/>
    <w:rPr>
      <w:rFonts w:ascii="TimesNewRomanPSMT" w:hAnsi="TimesNewRomanPSMT"/>
      <w:color w:val="000000"/>
      <w:sz w:val="24"/>
      <w:szCs w:val="24"/>
    </w:rPr>
  </w:style>
  <w:style w:type="character" w:customStyle="1" w:styleId="68">
    <w:name w:val="font21"/>
    <w:basedOn w:val="50"/>
    <w:qFormat/>
    <w:uiPriority w:val="0"/>
    <w:rPr>
      <w:rFonts w:ascii="宋体" w:hAnsi="宋体" w:eastAsia="宋体"/>
      <w:color w:val="000000"/>
      <w:sz w:val="22"/>
      <w:szCs w:val="22"/>
      <w:u w:val="none"/>
    </w:rPr>
  </w:style>
  <w:style w:type="character" w:customStyle="1" w:styleId="69">
    <w:name w:val="列出段落 Char"/>
    <w:qFormat/>
    <w:uiPriority w:val="0"/>
    <w:rPr>
      <w:rFonts w:ascii="Calibri" w:hAnsi="Calibri" w:eastAsia="宋体"/>
      <w:kern w:val="1"/>
      <w:sz w:val="21"/>
      <w:szCs w:val="22"/>
      <w:lang w:val="en-US" w:eastAsia="zh-CN" w:bidi="ar-SA"/>
    </w:rPr>
  </w:style>
  <w:style w:type="character" w:customStyle="1" w:styleId="70">
    <w:name w:val="Footer Char"/>
    <w:qFormat/>
    <w:uiPriority w:val="0"/>
    <w:rPr>
      <w:rFonts w:ascii="等线" w:hAnsi="等线" w:eastAsia="等线"/>
      <w:kern w:val="1"/>
      <w:sz w:val="18"/>
      <w:szCs w:val="18"/>
      <w:lang w:val="en-US" w:eastAsia="zh-CN" w:bidi="ar-SA"/>
    </w:rPr>
  </w:style>
  <w:style w:type="character" w:customStyle="1" w:styleId="71">
    <w:name w:val="标题 Char1"/>
    <w:qFormat/>
    <w:uiPriority w:val="0"/>
    <w:rPr>
      <w:rFonts w:ascii="Cambria" w:hAnsi="Cambria" w:eastAsia="宋体" w:cs="Times New Roman"/>
      <w:b/>
      <w:sz w:val="32"/>
      <w:szCs w:val="32"/>
    </w:rPr>
  </w:style>
  <w:style w:type="character" w:customStyle="1" w:styleId="72">
    <w:name w:val="16"/>
    <w:qFormat/>
    <w:uiPriority w:val="0"/>
    <w:rPr>
      <w:rFonts w:ascii="仿宋" w:hAnsi="仿宋" w:eastAsia="仿宋"/>
      <w:color w:val="000000"/>
      <w:sz w:val="24"/>
      <w:szCs w:val="24"/>
    </w:rPr>
  </w:style>
  <w:style w:type="character" w:customStyle="1" w:styleId="73">
    <w:name w:val="普通文字 Char Char2"/>
    <w:qFormat/>
    <w:uiPriority w:val="0"/>
    <w:rPr>
      <w:rFonts w:ascii="宋体" w:hAnsi="宋体" w:eastAsia="仿宋"/>
      <w:kern w:val="1"/>
      <w:sz w:val="30"/>
      <w:lang w:val="en-US" w:eastAsia="zh-CN"/>
    </w:rPr>
  </w:style>
  <w:style w:type="character" w:customStyle="1" w:styleId="74">
    <w:name w:val="标题 8 字符"/>
    <w:qFormat/>
    <w:uiPriority w:val="0"/>
    <w:rPr>
      <w:rFonts w:ascii="Arial" w:hAnsi="Arial" w:eastAsia="黑体"/>
      <w:b/>
      <w:color w:val="000000"/>
      <w:sz w:val="24"/>
      <w:szCs w:val="21"/>
    </w:rPr>
  </w:style>
  <w:style w:type="character" w:customStyle="1" w:styleId="75">
    <w:name w:val="Plain Text Char"/>
    <w:qFormat/>
    <w:uiPriority w:val="0"/>
    <w:rPr>
      <w:rFonts w:ascii="宋体" w:hAnsi="宋体" w:eastAsia="仿宋"/>
      <w:b/>
      <w:color w:val="000000"/>
      <w:lang w:bidi="ar-SA"/>
    </w:rPr>
  </w:style>
  <w:style w:type="character" w:customStyle="1" w:styleId="76">
    <w:name w:val="font31"/>
    <w:basedOn w:val="50"/>
    <w:qFormat/>
    <w:uiPriority w:val="0"/>
    <w:rPr>
      <w:rFonts w:hint="eastAsia" w:ascii="宋体" w:hAnsi="宋体" w:eastAsia="宋体" w:cs="宋体"/>
      <w:color w:val="000000"/>
      <w:sz w:val="22"/>
      <w:szCs w:val="22"/>
      <w:u w:val="none"/>
    </w:rPr>
  </w:style>
  <w:style w:type="character" w:customStyle="1" w:styleId="77">
    <w:name w:val=" Char Char1"/>
    <w:qFormat/>
    <w:uiPriority w:val="0"/>
    <w:rPr>
      <w:rFonts w:ascii="宋体" w:hAnsi="宋体" w:eastAsia="仿宋" w:cs="宋体"/>
      <w:b/>
      <w:color w:val="000000"/>
      <w:sz w:val="21"/>
      <w:lang w:val="en-US" w:eastAsia="zh-CN" w:bidi="ar-SA"/>
    </w:rPr>
  </w:style>
  <w:style w:type="character" w:customStyle="1" w:styleId="78">
    <w:name w:val="批注主题 字符"/>
    <w:qFormat/>
    <w:uiPriority w:val="0"/>
    <w:rPr>
      <w:rFonts w:ascii="仿宋_GB2312" w:hAnsi="仿宋_GB2312" w:eastAsia="仿宋" w:cs="宋体"/>
      <w:b/>
      <w:color w:val="000000"/>
      <w:sz w:val="21"/>
      <w:szCs w:val="21"/>
    </w:rPr>
  </w:style>
  <w:style w:type="character" w:customStyle="1" w:styleId="79">
    <w:name w:val="正文文本 3 字符"/>
    <w:qFormat/>
    <w:uiPriority w:val="0"/>
    <w:rPr>
      <w:kern w:val="1"/>
      <w:sz w:val="16"/>
      <w:szCs w:val="16"/>
    </w:rPr>
  </w:style>
  <w:style w:type="character" w:customStyle="1" w:styleId="80">
    <w:name w:val="标题 2 字符"/>
    <w:qFormat/>
    <w:uiPriority w:val="0"/>
    <w:rPr>
      <w:rFonts w:ascii="Arial" w:hAnsi="Arial" w:eastAsia="黑体"/>
      <w:color w:val="000000"/>
      <w:spacing w:val="20"/>
      <w:sz w:val="32"/>
      <w:szCs w:val="32"/>
    </w:rPr>
  </w:style>
  <w:style w:type="character" w:customStyle="1" w:styleId="81">
    <w:name w:val="标题 Char"/>
    <w:qFormat/>
    <w:uiPriority w:val="0"/>
    <w:rPr>
      <w:rFonts w:ascii="Arial" w:hAnsi="Arial" w:cs="Arial"/>
      <w:b/>
      <w:bCs/>
      <w:color w:val="000000"/>
      <w:sz w:val="32"/>
      <w:szCs w:val="32"/>
    </w:rPr>
  </w:style>
  <w:style w:type="character" w:customStyle="1" w:styleId="82">
    <w:name w:val="未处理的提及"/>
    <w:unhideWhenUsed/>
    <w:qFormat/>
    <w:uiPriority w:val="99"/>
    <w:rPr>
      <w:color w:val="605E5C"/>
      <w:shd w:val="clear" w:color="auto" w:fill="E1DFDD"/>
    </w:rPr>
  </w:style>
  <w:style w:type="character" w:customStyle="1" w:styleId="83">
    <w:name w:val="标题 5 字符"/>
    <w:qFormat/>
    <w:uiPriority w:val="0"/>
    <w:rPr>
      <w:rFonts w:ascii="Arial" w:hAnsi="Arial" w:eastAsia="黑体"/>
      <w:color w:val="000000"/>
      <w:spacing w:val="10"/>
      <w:sz w:val="28"/>
      <w:szCs w:val="28"/>
    </w:rPr>
  </w:style>
  <w:style w:type="character" w:customStyle="1" w:styleId="84">
    <w:name w:val="正文文本 字符"/>
    <w:qFormat/>
    <w:uiPriority w:val="0"/>
    <w:rPr>
      <w:kern w:val="1"/>
      <w:sz w:val="21"/>
      <w:szCs w:val="24"/>
    </w:rPr>
  </w:style>
  <w:style w:type="character" w:customStyle="1" w:styleId="85">
    <w:name w:val="bigtitle1"/>
    <w:qFormat/>
    <w:uiPriority w:val="0"/>
    <w:rPr>
      <w:sz w:val="28"/>
      <w:szCs w:val="28"/>
    </w:rPr>
  </w:style>
  <w:style w:type="character" w:customStyle="1" w:styleId="86">
    <w:name w:val="纯文本 字符1"/>
    <w:qFormat/>
    <w:uiPriority w:val="0"/>
    <w:rPr>
      <w:rFonts w:ascii="宋体" w:hAnsi="宋体" w:eastAsia="仿宋" w:cs="宋体"/>
      <w:b/>
      <w:color w:val="000000"/>
      <w:sz w:val="21"/>
      <w:lang w:val="en-US" w:eastAsia="zh-CN" w:bidi="ar-SA"/>
    </w:rPr>
  </w:style>
  <w:style w:type="character" w:customStyle="1" w:styleId="87">
    <w:name w:val="批注文字 Char1"/>
    <w:qFormat/>
    <w:uiPriority w:val="0"/>
    <w:rPr>
      <w:kern w:val="1"/>
      <w:sz w:val="21"/>
      <w:szCs w:val="24"/>
    </w:rPr>
  </w:style>
  <w:style w:type="character" w:customStyle="1" w:styleId="88">
    <w:name w:val="1.1.1类表 Char Char"/>
    <w:qFormat/>
    <w:uiPriority w:val="0"/>
    <w:rPr>
      <w:rFonts w:ascii="宋体" w:hAnsi="宋体"/>
      <w:b/>
      <w:sz w:val="28"/>
      <w:szCs w:val="28"/>
    </w:rPr>
  </w:style>
  <w:style w:type="character" w:customStyle="1" w:styleId="89">
    <w:name w:val="font11"/>
    <w:basedOn w:val="50"/>
    <w:qFormat/>
    <w:uiPriority w:val="0"/>
    <w:rPr>
      <w:rFonts w:ascii="Arial" w:hAnsi="Arial" w:cs="Arial"/>
      <w:color w:val="000000"/>
      <w:sz w:val="22"/>
      <w:szCs w:val="22"/>
      <w:u w:val="none"/>
    </w:rPr>
  </w:style>
  <w:style w:type="character" w:customStyle="1" w:styleId="90">
    <w:name w:val="10"/>
    <w:qFormat/>
    <w:uiPriority w:val="0"/>
    <w:rPr>
      <w:rFonts w:ascii="Calibri" w:hAnsi="Calibri" w:cs="Calibri"/>
    </w:rPr>
  </w:style>
  <w:style w:type="character" w:customStyle="1" w:styleId="91">
    <w:name w:val="ca-11"/>
    <w:qFormat/>
    <w:uiPriority w:val="0"/>
    <w:rPr>
      <w:rFonts w:ascii="宋体" w:hAnsi="宋体" w:eastAsia="宋体"/>
      <w:sz w:val="18"/>
      <w:szCs w:val="18"/>
    </w:rPr>
  </w:style>
  <w:style w:type="character" w:customStyle="1" w:styleId="92">
    <w:name w:val="正文缩进 字符"/>
    <w:qFormat/>
    <w:uiPriority w:val="0"/>
    <w:rPr>
      <w:rFonts w:ascii="仿宋_GB2312" w:hAnsi="仿宋_GB2312" w:eastAsia="仿宋" w:cs="宋体"/>
      <w:b/>
      <w:color w:val="000000"/>
      <w:sz w:val="21"/>
      <w:szCs w:val="21"/>
      <w:lang w:val="en-US" w:eastAsia="zh-CN" w:bidi="ar-SA"/>
    </w:rPr>
  </w:style>
  <w:style w:type="character" w:customStyle="1" w:styleId="93">
    <w:name w:val="标题 9 字符"/>
    <w:qFormat/>
    <w:uiPriority w:val="0"/>
    <w:rPr>
      <w:rFonts w:ascii="Arial" w:hAnsi="Arial" w:eastAsia="黑体"/>
      <w:b/>
      <w:color w:val="000000"/>
      <w:sz w:val="21"/>
      <w:szCs w:val="21"/>
    </w:rPr>
  </w:style>
  <w:style w:type="character" w:customStyle="1" w:styleId="94">
    <w:name w:val="正文1 Char Char"/>
    <w:qFormat/>
    <w:uiPriority w:val="0"/>
    <w:rPr>
      <w:rFonts w:ascii="Calibri" w:hAnsi="Calibri"/>
      <w:kern w:val="1"/>
      <w:sz w:val="21"/>
      <w:szCs w:val="22"/>
    </w:rPr>
  </w:style>
  <w:style w:type="character" w:customStyle="1" w:styleId="95">
    <w:name w:val=" Char Char Char"/>
    <w:qFormat/>
    <w:uiPriority w:val="0"/>
    <w:rPr>
      <w:rFonts w:ascii="宋体" w:hAnsi="宋体" w:eastAsia="仿宋"/>
      <w:b/>
      <w:color w:val="000000"/>
      <w:sz w:val="21"/>
      <w:lang w:val="en-US" w:eastAsia="zh-CN"/>
    </w:rPr>
  </w:style>
  <w:style w:type="character" w:customStyle="1" w:styleId="96">
    <w:name w:val="正文（绿盟科技） Char Char"/>
    <w:qFormat/>
    <w:uiPriority w:val="0"/>
    <w:rPr>
      <w:rFonts w:ascii="Arial" w:hAnsi="Arial"/>
      <w:sz w:val="21"/>
      <w:szCs w:val="21"/>
      <w:lang w:val="en-US" w:eastAsia="zh-CN" w:bidi="ar-SA"/>
    </w:rPr>
  </w:style>
  <w:style w:type="character" w:customStyle="1" w:styleId="97">
    <w:name w:val="普通文字 Char Char1"/>
    <w:qFormat/>
    <w:uiPriority w:val="0"/>
    <w:rPr>
      <w:rFonts w:ascii="宋体" w:hAnsi="宋体" w:eastAsia="仿宋" w:cs="宋体"/>
      <w:b/>
      <w:color w:val="000000"/>
      <w:sz w:val="21"/>
      <w:lang w:val="en-US" w:eastAsia="zh-CN" w:bidi="ar-SA"/>
    </w:rPr>
  </w:style>
  <w:style w:type="character" w:customStyle="1" w:styleId="98">
    <w:name w:val="标题 3 字符"/>
    <w:qFormat/>
    <w:uiPriority w:val="0"/>
    <w:rPr>
      <w:rFonts w:ascii="Arial" w:hAnsi="Arial" w:eastAsia="黑体"/>
      <w:color w:val="000000"/>
      <w:spacing w:val="20"/>
      <w:sz w:val="30"/>
      <w:szCs w:val="32"/>
    </w:rPr>
  </w:style>
  <w:style w:type="character" w:customStyle="1" w:styleId="99">
    <w:name w:val="标题 7 字符"/>
    <w:qFormat/>
    <w:uiPriority w:val="0"/>
    <w:rPr>
      <w:rFonts w:ascii="Arial" w:hAnsi="Arial" w:eastAsia="黑体"/>
      <w:color w:val="000000"/>
      <w:sz w:val="24"/>
      <w:szCs w:val="21"/>
    </w:rPr>
  </w:style>
  <w:style w:type="character" w:customStyle="1" w:styleId="100">
    <w:name w:val="批注文字 字符"/>
    <w:qFormat/>
    <w:uiPriority w:val="0"/>
    <w:rPr>
      <w:rFonts w:ascii="Arial" w:hAnsi="Arial"/>
      <w:szCs w:val="21"/>
    </w:rPr>
  </w:style>
  <w:style w:type="character" w:customStyle="1" w:styleId="101">
    <w:name w:val="批注主题 Char1"/>
    <w:qFormat/>
    <w:uiPriority w:val="0"/>
    <w:rPr>
      <w:rFonts w:ascii="Times New Roman" w:hAnsi="Times New Roman" w:eastAsia="宋体" w:cs="Times New Roman"/>
      <w:b/>
      <w:szCs w:val="24"/>
    </w:rPr>
  </w:style>
  <w:style w:type="character" w:customStyle="1" w:styleId="102">
    <w:name w:val="文字 Char"/>
    <w:qFormat/>
    <w:uiPriority w:val="0"/>
    <w:rPr>
      <w:rFonts w:ascii="宋体" w:hAnsi="宋体"/>
      <w:sz w:val="28"/>
    </w:rPr>
  </w:style>
  <w:style w:type="character" w:customStyle="1" w:styleId="103">
    <w:name w:val="正文首行缩进 字符"/>
    <w:qFormat/>
    <w:uiPriority w:val="0"/>
    <w:rPr>
      <w:rFonts w:ascii="仿宋_GB2312" w:hAnsi="仿宋_GB2312" w:eastAsia="仿宋" w:cs="宋体"/>
      <w:b/>
      <w:color w:val="000000"/>
      <w:kern w:val="1"/>
      <w:sz w:val="21"/>
      <w:szCs w:val="21"/>
    </w:rPr>
  </w:style>
  <w:style w:type="character" w:customStyle="1" w:styleId="104">
    <w:name w:val="标题 字符1"/>
    <w:qFormat/>
    <w:uiPriority w:val="10"/>
    <w:rPr>
      <w:rFonts w:ascii="等线 Light" w:hAnsi="等线 Light" w:eastAsia="宋体" w:cs="Times New Roman"/>
      <w:b/>
      <w:bCs/>
      <w:color w:val="000000"/>
      <w:sz w:val="32"/>
      <w:szCs w:val="32"/>
    </w:rPr>
  </w:style>
  <w:style w:type="character" w:customStyle="1" w:styleId="105">
    <w:name w:val="正文文本缩进 字符"/>
    <w:qFormat/>
    <w:uiPriority w:val="0"/>
    <w:rPr>
      <w:rFonts w:eastAsia="宋体"/>
      <w:kern w:val="1"/>
      <w:sz w:val="21"/>
      <w:szCs w:val="24"/>
      <w:lang w:val="en-US" w:eastAsia="zh-CN" w:bidi="ar-SA"/>
    </w:rPr>
  </w:style>
  <w:style w:type="character" w:customStyle="1" w:styleId="106">
    <w:name w:val="纯文本 字符"/>
    <w:qFormat/>
    <w:uiPriority w:val="99"/>
    <w:rPr>
      <w:rFonts w:ascii="宋体" w:hAnsi="宋体" w:eastAsia="仿宋"/>
      <w:b/>
      <w:color w:val="000000"/>
      <w:sz w:val="21"/>
      <w:lang w:val="en-US" w:eastAsia="zh-CN" w:bidi="ar-SA"/>
    </w:rPr>
  </w:style>
  <w:style w:type="character" w:customStyle="1" w:styleId="107">
    <w:name w:val="apple-converted-space"/>
    <w:qFormat/>
    <w:uiPriority w:val="0"/>
  </w:style>
  <w:style w:type="character" w:customStyle="1" w:styleId="108">
    <w:name w:val="GW-正文 Char"/>
    <w:qFormat/>
    <w:uiPriority w:val="0"/>
    <w:rPr>
      <w:rFonts w:eastAsia="仿宋"/>
      <w:kern w:val="1"/>
      <w:sz w:val="24"/>
      <w:szCs w:val="24"/>
    </w:rPr>
  </w:style>
  <w:style w:type="character" w:customStyle="1" w:styleId="109">
    <w:name w:val="标题 4 字符"/>
    <w:qFormat/>
    <w:uiPriority w:val="0"/>
    <w:rPr>
      <w:rFonts w:ascii="Arial" w:hAnsi="Arial" w:eastAsia="黑体"/>
      <w:color w:val="000000"/>
      <w:spacing w:val="10"/>
      <w:sz w:val="28"/>
      <w:szCs w:val="28"/>
    </w:rPr>
  </w:style>
  <w:style w:type="character" w:customStyle="1" w:styleId="110">
    <w:name w:val="Header Char"/>
    <w:qFormat/>
    <w:uiPriority w:val="0"/>
    <w:rPr>
      <w:rFonts w:ascii="等线" w:hAnsi="等线" w:eastAsia="等线"/>
      <w:kern w:val="1"/>
      <w:sz w:val="18"/>
      <w:szCs w:val="18"/>
      <w:lang w:val="en-US" w:eastAsia="zh-CN" w:bidi="ar-SA"/>
    </w:rPr>
  </w:style>
  <w:style w:type="character" w:customStyle="1" w:styleId="111">
    <w:name w:val="正文文本缩进 2 字符"/>
    <w:qFormat/>
    <w:uiPriority w:val="0"/>
    <w:rPr>
      <w:rFonts w:ascii="宋体" w:hAnsi="宋体" w:eastAsia="仿宋" w:cs="宋体"/>
      <w:b/>
      <w:color w:val="000000"/>
      <w:sz w:val="24"/>
    </w:rPr>
  </w:style>
  <w:style w:type="character" w:customStyle="1" w:styleId="112">
    <w:name w:val="apple-style-span"/>
    <w:qFormat/>
    <w:uiPriority w:val="0"/>
  </w:style>
  <w:style w:type="character" w:customStyle="1" w:styleId="113">
    <w:name w:val="标题 1 字符"/>
    <w:qFormat/>
    <w:uiPriority w:val="0"/>
    <w:rPr>
      <w:rFonts w:ascii="Arial" w:hAnsi="Arial" w:eastAsia="黑体"/>
      <w:color w:val="000000"/>
      <w:spacing w:val="21"/>
      <w:kern w:val="0"/>
      <w:sz w:val="36"/>
      <w:szCs w:val="44"/>
    </w:rPr>
  </w:style>
  <w:style w:type="character" w:customStyle="1" w:styleId="114">
    <w:name w:val="正文文本缩进 3 字符"/>
    <w:qFormat/>
    <w:uiPriority w:val="0"/>
    <w:rPr>
      <w:rFonts w:ascii="仿宋_GB2312" w:hAnsi="仿宋_GB2312" w:eastAsia="仿宋" w:cs="宋体"/>
      <w:b/>
      <w:color w:val="000000"/>
      <w:sz w:val="16"/>
      <w:szCs w:val="16"/>
    </w:rPr>
  </w:style>
  <w:style w:type="character" w:customStyle="1" w:styleId="115">
    <w:name w:val="NormalCharacter"/>
    <w:qFormat/>
    <w:uiPriority w:val="0"/>
  </w:style>
  <w:style w:type="character" w:customStyle="1" w:styleId="116">
    <w:name w:val="节 Char"/>
    <w:qFormat/>
    <w:uiPriority w:val="0"/>
    <w:rPr>
      <w:rFonts w:ascii="Arial" w:hAnsi="Arial" w:eastAsia="黑体"/>
      <w:b/>
      <w:kern w:val="1"/>
      <w:sz w:val="32"/>
      <w:szCs w:val="32"/>
      <w:lang w:val="en-US" w:eastAsia="zh-CN" w:bidi="ar-SA"/>
    </w:rPr>
  </w:style>
  <w:style w:type="character" w:customStyle="1" w:styleId="117">
    <w:name w:val="标题 6 字符"/>
    <w:qFormat/>
    <w:uiPriority w:val="0"/>
    <w:rPr>
      <w:rFonts w:ascii="Arial" w:hAnsi="Arial" w:eastAsia="黑体"/>
      <w:color w:val="000000"/>
      <w:spacing w:val="10"/>
      <w:sz w:val="24"/>
      <w:szCs w:val="21"/>
    </w:rPr>
  </w:style>
  <w:style w:type="character" w:customStyle="1" w:styleId="118">
    <w:name w:val="标题 字符"/>
    <w:qFormat/>
    <w:uiPriority w:val="0"/>
    <w:rPr>
      <w:rFonts w:ascii="Arial" w:hAnsi="Arial" w:cs="Arial"/>
      <w:b/>
      <w:color w:val="000000"/>
      <w:sz w:val="32"/>
      <w:szCs w:val="32"/>
    </w:rPr>
  </w:style>
  <w:style w:type="character" w:customStyle="1" w:styleId="119">
    <w:name w:val="Texte Char Char"/>
    <w:qFormat/>
    <w:uiPriority w:val="0"/>
    <w:rPr>
      <w:rFonts w:ascii="宋体" w:hAnsi="宋体" w:eastAsia="仿宋" w:cs="宋体"/>
      <w:b/>
      <w:color w:val="000000"/>
      <w:sz w:val="21"/>
      <w:lang w:val="en-US" w:eastAsia="zh-CN" w:bidi="ar-SA"/>
    </w:rPr>
  </w:style>
  <w:style w:type="character" w:customStyle="1" w:styleId="120">
    <w:name w:val="样式 标题 1 + Arial Char"/>
    <w:qFormat/>
    <w:uiPriority w:val="0"/>
    <w:rPr>
      <w:rFonts w:ascii="Arial" w:hAnsi="Arial"/>
      <w:b/>
      <w:kern w:val="1"/>
      <w:sz w:val="32"/>
      <w:szCs w:val="44"/>
    </w:rPr>
  </w:style>
  <w:style w:type="character" w:customStyle="1" w:styleId="121">
    <w:name w:val="+正文 Char4"/>
    <w:qFormat/>
    <w:uiPriority w:val="0"/>
    <w:rPr>
      <w:sz w:val="24"/>
      <w:szCs w:val="28"/>
    </w:rPr>
  </w:style>
  <w:style w:type="character" w:customStyle="1" w:styleId="122">
    <w:name w:val="纯文本 Char1"/>
    <w:qFormat/>
    <w:uiPriority w:val="0"/>
    <w:rPr>
      <w:rFonts w:ascii="宋体" w:hAnsi="宋体" w:eastAsia="仿宋" w:cs="宋体"/>
      <w:b/>
      <w:color w:val="000000"/>
      <w:sz w:val="21"/>
      <w:lang w:val="en-US" w:eastAsia="zh-CN" w:bidi="ar-SA"/>
    </w:rPr>
  </w:style>
  <w:style w:type="character" w:customStyle="1" w:styleId="123">
    <w:name w:val="HTML 预设格式 字符"/>
    <w:qFormat/>
    <w:uiPriority w:val="0"/>
    <w:rPr>
      <w:rFonts w:ascii="Arial" w:hAnsi="Arial" w:cs="Arial"/>
      <w:sz w:val="24"/>
      <w:szCs w:val="24"/>
    </w:rPr>
  </w:style>
  <w:style w:type="character" w:customStyle="1" w:styleId="124">
    <w:name w:val="++标题3 Char"/>
    <w:qFormat/>
    <w:uiPriority w:val="0"/>
    <w:rPr>
      <w:rFonts w:ascii="宋体" w:hAnsi="宋体" w:eastAsia="宋体" w:cs="Arial"/>
      <w:color w:val="000000"/>
      <w:sz w:val="24"/>
      <w:szCs w:val="24"/>
      <w:lang w:val="en-US" w:eastAsia="zh-CN" w:bidi="ar-SA"/>
    </w:rPr>
  </w:style>
  <w:style w:type="character" w:customStyle="1" w:styleId="125">
    <w:name w:val="Char Char13"/>
    <w:qFormat/>
    <w:uiPriority w:val="0"/>
    <w:rPr>
      <w:rFonts w:eastAsia="宋体"/>
      <w:kern w:val="1"/>
      <w:sz w:val="18"/>
      <w:szCs w:val="18"/>
      <w:lang w:val="en-US" w:eastAsia="zh-CN" w:bidi="ar-SA"/>
    </w:rPr>
  </w:style>
  <w:style w:type="character" w:customStyle="1" w:styleId="126">
    <w:name w:val="日期 字符"/>
    <w:qFormat/>
    <w:uiPriority w:val="0"/>
    <w:rPr>
      <w:rFonts w:ascii="仿宋_GB2312" w:hAnsi="仿宋_GB2312" w:eastAsia="仿宋" w:cs="宋体"/>
      <w:b/>
      <w:color w:val="000000"/>
      <w:sz w:val="24"/>
      <w:szCs w:val="21"/>
    </w:rPr>
  </w:style>
  <w:style w:type="character" w:customStyle="1" w:styleId="127">
    <w:name w:val="批注框文本 字符"/>
    <w:qFormat/>
    <w:uiPriority w:val="0"/>
    <w:rPr>
      <w:rFonts w:ascii="仿宋_GB2312" w:hAnsi="仿宋_GB2312" w:eastAsia="仿宋" w:cs="宋体"/>
      <w:b/>
      <w:color w:val="000000"/>
      <w:sz w:val="18"/>
      <w:szCs w:val="18"/>
    </w:rPr>
  </w:style>
  <w:style w:type="character" w:customStyle="1" w:styleId="128">
    <w:name w:val="页脚 字符"/>
    <w:qFormat/>
    <w:uiPriority w:val="0"/>
    <w:rPr>
      <w:rFonts w:ascii="仿宋_GB2312" w:hAnsi="仿宋_GB2312" w:eastAsia="仿宋" w:cs="宋体"/>
      <w:b/>
      <w:color w:val="000000"/>
      <w:sz w:val="18"/>
      <w:szCs w:val="18"/>
    </w:rPr>
  </w:style>
  <w:style w:type="character" w:customStyle="1" w:styleId="129">
    <w:name w:val="页眉 字符"/>
    <w:qFormat/>
    <w:uiPriority w:val="0"/>
    <w:rPr>
      <w:rFonts w:ascii="仿宋_GB2312" w:hAnsi="仿宋_GB2312" w:eastAsia="仿宋" w:cs="宋体"/>
      <w:b/>
      <w:color w:val="000000"/>
      <w:sz w:val="18"/>
      <w:szCs w:val="18"/>
    </w:rPr>
  </w:style>
  <w:style w:type="character" w:customStyle="1" w:styleId="130">
    <w:name w:val="textcolor1"/>
    <w:qFormat/>
    <w:uiPriority w:val="0"/>
    <w:rPr>
      <w:color w:val="FF6600"/>
    </w:rPr>
  </w:style>
  <w:style w:type="character" w:customStyle="1" w:styleId="131">
    <w:name w:val="文档结构图 字符"/>
    <w:qFormat/>
    <w:uiPriority w:val="0"/>
    <w:rPr>
      <w:kern w:val="1"/>
      <w:sz w:val="21"/>
      <w:szCs w:val="24"/>
      <w:shd w:val="clear" w:color="auto" w:fill="00007F"/>
    </w:rPr>
  </w:style>
  <w:style w:type="character" w:customStyle="1" w:styleId="132">
    <w:name w:val="unnamed51"/>
    <w:qFormat/>
    <w:uiPriority w:val="0"/>
    <w:rPr>
      <w:sz w:val="22"/>
      <w:szCs w:val="22"/>
    </w:rPr>
  </w:style>
  <w:style w:type="character" w:customStyle="1" w:styleId="133">
    <w:name w:val="正文文本 2 字符"/>
    <w:qFormat/>
    <w:uiPriority w:val="0"/>
    <w:rPr>
      <w:kern w:val="1"/>
      <w:sz w:val="21"/>
      <w:szCs w:val="24"/>
    </w:rPr>
  </w:style>
  <w:style w:type="character" w:customStyle="1" w:styleId="134">
    <w:name w:val="正文01 Char"/>
    <w:qFormat/>
    <w:uiPriority w:val="0"/>
    <w:rPr>
      <w:rFonts w:ascii="Arial" w:hAnsi="Arial"/>
      <w:color w:val="000000"/>
      <w:kern w:val="1"/>
      <w:sz w:val="24"/>
      <w:szCs w:val="24"/>
    </w:rPr>
  </w:style>
  <w:style w:type="paragraph" w:customStyle="1" w:styleId="135">
    <w:name w:val="GP正文(首行缩进)"/>
    <w:basedOn w:val="1"/>
    <w:qFormat/>
    <w:uiPriority w:val="0"/>
    <w:pPr>
      <w:spacing w:line="360" w:lineRule="auto"/>
      <w:ind w:firstLine="200"/>
      <w:jc w:val="left"/>
    </w:pPr>
    <w:rPr>
      <w:rFonts w:ascii="Times New Roman" w:hAnsi="Times New Roman" w:eastAsia="宋体" w:cs="Times New Roman"/>
      <w:b w:val="0"/>
      <w:sz w:val="24"/>
      <w:szCs w:val="20"/>
    </w:rPr>
  </w:style>
  <w:style w:type="paragraph" w:customStyle="1" w:styleId="136">
    <w:name w:val=" Char Char1 Char Char Char Char Char Char"/>
    <w:basedOn w:val="1"/>
    <w:qFormat/>
    <w:uiPriority w:val="0"/>
    <w:pPr>
      <w:widowControl/>
      <w:spacing w:after="160" w:line="240" w:lineRule="exact"/>
      <w:jc w:val="left"/>
    </w:pPr>
    <w:rPr>
      <w:rFonts w:ascii="Verdana" w:hAnsi="Verdana" w:cs="Times New Roman"/>
      <w:b w:val="0"/>
      <w:sz w:val="24"/>
      <w:szCs w:val="20"/>
      <w:lang w:eastAsia="en-US"/>
    </w:rPr>
  </w:style>
  <w:style w:type="paragraph" w:customStyle="1" w:styleId="137">
    <w:name w:val="Table Paragraph"/>
    <w:basedOn w:val="1"/>
    <w:qFormat/>
    <w:uiPriority w:val="1"/>
    <w:pPr>
      <w:jc w:val="left"/>
    </w:pPr>
    <w:rPr>
      <w:rFonts w:ascii="Calibri" w:hAnsi="Calibri" w:eastAsia="Times New Roman" w:cs="Times New Roman"/>
      <w:b w:val="0"/>
      <w:color w:val="auto"/>
      <w:sz w:val="22"/>
      <w:szCs w:val="22"/>
      <w:lang w:eastAsia="en-US"/>
    </w:rPr>
  </w:style>
  <w:style w:type="paragraph" w:customStyle="1" w:styleId="138">
    <w:name w:val="++标题1"/>
    <w:basedOn w:val="2"/>
    <w:qFormat/>
    <w:uiPriority w:val="0"/>
    <w:pPr>
      <w:numPr>
        <w:ilvl w:val="0"/>
        <w:numId w:val="0"/>
      </w:numPr>
      <w:spacing w:line="360" w:lineRule="auto"/>
      <w:ind w:left="0" w:firstLine="0"/>
      <w:jc w:val="center"/>
      <w:outlineLvl w:val="1"/>
    </w:pPr>
    <w:rPr>
      <w:rFonts w:ascii="Times New Roman" w:hAnsi="Times New Roman" w:cs="Times New Roman"/>
      <w:b/>
      <w:spacing w:val="0"/>
      <w:sz w:val="32"/>
      <w:szCs w:val="32"/>
    </w:rPr>
  </w:style>
  <w:style w:type="paragraph" w:customStyle="1" w:styleId="139">
    <w:name w:val="xl77"/>
    <w:basedOn w:val="1"/>
    <w:qFormat/>
    <w:uiPriority w:val="0"/>
    <w:pPr>
      <w:widowControl/>
      <w:pBdr>
        <w:left w:val="single" w:color="000000" w:sz="4" w:space="0"/>
        <w:bottom w:val="single" w:color="000000" w:sz="4" w:space="0"/>
        <w:right w:val="single" w:color="000000" w:sz="4" w:space="0"/>
      </w:pBdr>
      <w:spacing w:before="100" w:beforeAutospacing="1" w:after="100" w:afterAutospacing="1"/>
      <w:jc w:val="center"/>
    </w:pPr>
    <w:rPr>
      <w:rFonts w:ascii="Arial Unicode MS" w:hAnsi="Arial Unicode MS" w:eastAsia="宋体" w:cs="Times New Roman"/>
      <w:sz w:val="28"/>
      <w:szCs w:val="28"/>
    </w:rPr>
  </w:style>
  <w:style w:type="paragraph" w:customStyle="1" w:styleId="140">
    <w:name w:val="xl3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Unicode MS" w:hAnsi="Arial Unicode MS" w:eastAsia="宋体" w:cs="Times New Roman"/>
      <w:b w:val="0"/>
      <w:sz w:val="18"/>
      <w:szCs w:val="18"/>
    </w:rPr>
  </w:style>
  <w:style w:type="paragraph" w:customStyle="1" w:styleId="141">
    <w:name w:val="++标题3"/>
    <w:basedOn w:val="4"/>
    <w:qFormat/>
    <w:uiPriority w:val="0"/>
    <w:pPr>
      <w:keepLines w:val="0"/>
      <w:numPr>
        <w:ilvl w:val="0"/>
        <w:numId w:val="0"/>
      </w:numPr>
      <w:spacing w:before="0" w:line="360" w:lineRule="auto"/>
      <w:ind w:left="0" w:firstLine="0"/>
    </w:pPr>
    <w:rPr>
      <w:rFonts w:ascii="宋体" w:hAnsi="宋体" w:eastAsia="宋体" w:cs="Arial"/>
      <w:spacing w:val="0"/>
      <w:sz w:val="24"/>
      <w:szCs w:val="24"/>
    </w:rPr>
  </w:style>
  <w:style w:type="paragraph" w:customStyle="1" w:styleId="142">
    <w:name w:val="font8"/>
    <w:basedOn w:val="1"/>
    <w:qFormat/>
    <w:uiPriority w:val="0"/>
    <w:pPr>
      <w:widowControl/>
      <w:spacing w:before="100" w:beforeAutospacing="1" w:after="100" w:afterAutospacing="1"/>
      <w:jc w:val="left"/>
    </w:pPr>
    <w:rPr>
      <w:rFonts w:ascii="Arial" w:hAnsi="Arial" w:eastAsia="宋体" w:cs="Arial"/>
      <w:b w:val="0"/>
      <w:sz w:val="20"/>
      <w:szCs w:val="20"/>
    </w:rPr>
  </w:style>
  <w:style w:type="paragraph" w:customStyle="1" w:styleId="143">
    <w:name w:val="xl2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Unicode MS" w:hAnsi="Arial Unicode MS" w:eastAsia="宋体" w:cs="Times New Roman"/>
      <w:b w:val="0"/>
      <w:sz w:val="18"/>
      <w:szCs w:val="18"/>
    </w:rPr>
  </w:style>
  <w:style w:type="paragraph" w:customStyle="1" w:styleId="144">
    <w:name w:val="font14"/>
    <w:basedOn w:val="1"/>
    <w:qFormat/>
    <w:uiPriority w:val="0"/>
    <w:pPr>
      <w:widowControl/>
      <w:spacing w:before="100" w:beforeAutospacing="1" w:after="100" w:afterAutospacing="1"/>
      <w:jc w:val="left"/>
    </w:pPr>
    <w:rPr>
      <w:rFonts w:ascii="宋体" w:hAnsi="宋体" w:eastAsia="宋体"/>
      <w:b w:val="0"/>
      <w:sz w:val="20"/>
      <w:szCs w:val="20"/>
    </w:rPr>
  </w:style>
  <w:style w:type="paragraph" w:customStyle="1" w:styleId="145">
    <w:name w:val="xl22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146">
    <w:name w:val="List Paragraph2"/>
    <w:basedOn w:val="1"/>
    <w:qFormat/>
    <w:uiPriority w:val="0"/>
    <w:pPr>
      <w:ind w:firstLine="420"/>
    </w:pPr>
    <w:rPr>
      <w:rFonts w:cs="仿宋"/>
    </w:rPr>
  </w:style>
  <w:style w:type="paragraph" w:customStyle="1" w:styleId="147">
    <w:name w:val="xl44"/>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rFonts w:ascii="Times New Roman" w:hAnsi="Times New Roman" w:eastAsia="宋体" w:cs="Times New Roman"/>
      <w:b w:val="0"/>
      <w:sz w:val="24"/>
      <w:szCs w:val="24"/>
    </w:rPr>
  </w:style>
  <w:style w:type="paragraph" w:customStyle="1" w:styleId="148">
    <w:name w:val="xl6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仿宋" w:hAnsi="仿宋" w:cs="仿宋"/>
      <w:b w:val="0"/>
      <w:sz w:val="24"/>
      <w:szCs w:val="24"/>
    </w:rPr>
  </w:style>
  <w:style w:type="paragraph" w:customStyle="1" w:styleId="149">
    <w:name w:val="条文レベル1"/>
    <w:next w:val="1"/>
    <w:qFormat/>
    <w:uiPriority w:val="0"/>
    <w:pPr>
      <w:tabs>
        <w:tab w:val="left" w:pos="2187"/>
      </w:tabs>
      <w:spacing w:before="60" w:line="280" w:lineRule="exact"/>
      <w:ind w:left="2187" w:right="1276" w:hanging="567"/>
      <w:outlineLvl w:val="4"/>
    </w:pPr>
    <w:rPr>
      <w:rFonts w:ascii="MS Mincho" w:hAnsi="MS Mincho" w:eastAsia="Yu Gothic UI" w:cs="MS Mincho"/>
      <w:color w:val="000000"/>
      <w:lang w:val="en-US" w:eastAsia="ja-JP" w:bidi="ar-SA"/>
    </w:rPr>
  </w:style>
  <w:style w:type="paragraph" w:customStyle="1" w:styleId="150">
    <w:name w:val="Char14 Char Char Char"/>
    <w:basedOn w:val="1"/>
    <w:qFormat/>
    <w:uiPriority w:val="0"/>
    <w:rPr>
      <w:rFonts w:ascii="Times New Roman" w:hAnsi="Times New Roman" w:eastAsia="宋体" w:cs="Times New Roman"/>
      <w:b w:val="0"/>
      <w:kern w:val="1"/>
      <w:szCs w:val="20"/>
    </w:rPr>
  </w:style>
  <w:style w:type="paragraph" w:customStyle="1" w:styleId="151">
    <w:name w:val="xl8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仿宋" w:hAnsi="仿宋" w:cs="仿宋"/>
      <w:b w:val="0"/>
      <w:sz w:val="20"/>
      <w:szCs w:val="20"/>
    </w:rPr>
  </w:style>
  <w:style w:type="paragraph" w:customStyle="1" w:styleId="152">
    <w:name w:val="页脚页码（绿盟科技）"/>
    <w:basedOn w:val="33"/>
    <w:qFormat/>
    <w:uiPriority w:val="0"/>
    <w:pPr>
      <w:jc w:val="center"/>
    </w:pPr>
    <w:rPr>
      <w:rFonts w:ascii="Times New Roman" w:hAnsi="Times New Roman" w:eastAsia="宋体"/>
      <w:b w:val="0"/>
      <w:szCs w:val="20"/>
    </w:rPr>
  </w:style>
  <w:style w:type="paragraph" w:customStyle="1" w:styleId="153">
    <w:name w:val="操作ステップ説明"/>
    <w:basedOn w:val="1"/>
    <w:qFormat/>
    <w:uiPriority w:val="0"/>
    <w:pPr>
      <w:widowControl/>
      <w:spacing w:line="340" w:lineRule="exact"/>
      <w:ind w:left="1559" w:right="-57"/>
      <w:jc w:val="left"/>
    </w:pPr>
    <w:rPr>
      <w:rFonts w:ascii="Century" w:hAnsi="Century" w:eastAsia="宋体" w:cs="Times New Roman"/>
      <w:b w:val="0"/>
      <w:kern w:val="1"/>
      <w:sz w:val="20"/>
      <w:szCs w:val="24"/>
    </w:rPr>
  </w:style>
  <w:style w:type="paragraph" w:customStyle="1" w:styleId="154">
    <w:name w:val="GW-正文"/>
    <w:basedOn w:val="1"/>
    <w:qFormat/>
    <w:uiPriority w:val="0"/>
    <w:pPr>
      <w:spacing w:line="360" w:lineRule="auto"/>
      <w:ind w:firstLine="200"/>
      <w:contextualSpacing/>
    </w:pPr>
    <w:rPr>
      <w:rFonts w:ascii="Times New Roman" w:hAnsi="Times New Roman" w:cs="Times New Roman"/>
      <w:b w:val="0"/>
      <w:kern w:val="1"/>
      <w:sz w:val="24"/>
      <w:szCs w:val="24"/>
    </w:rPr>
  </w:style>
  <w:style w:type="paragraph" w:customStyle="1" w:styleId="155">
    <w:name w:val="xl2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Times New Roman" w:hAnsi="Times New Roman" w:eastAsia="宋体" w:cs="Times New Roman"/>
      <w:b w:val="0"/>
      <w:sz w:val="18"/>
      <w:szCs w:val="18"/>
    </w:rPr>
  </w:style>
  <w:style w:type="paragraph" w:customStyle="1" w:styleId="156">
    <w:name w:val="纯文本2"/>
    <w:basedOn w:val="157"/>
    <w:qFormat/>
    <w:uiPriority w:val="0"/>
    <w:pPr>
      <w:widowControl/>
      <w:jc w:val="left"/>
    </w:pPr>
    <w:rPr>
      <w:rFonts w:ascii="宋体" w:hAnsi="Courier New"/>
    </w:rPr>
  </w:style>
  <w:style w:type="paragraph" w:customStyle="1" w:styleId="157">
    <w:name w:val="正文5"/>
    <w:qFormat/>
    <w:uiPriority w:val="0"/>
    <w:pPr>
      <w:widowControl w:val="0"/>
      <w:jc w:val="both"/>
    </w:pPr>
    <w:rPr>
      <w:rFonts w:hint="eastAsia" w:ascii="Times New Roman" w:hAnsi="Times New Roman" w:eastAsia="宋体" w:cs="Times New Roman"/>
      <w:kern w:val="2"/>
      <w:sz w:val="21"/>
      <w:lang w:val="en-US" w:eastAsia="zh-CN" w:bidi="ar-SA"/>
    </w:rPr>
  </w:style>
  <w:style w:type="paragraph" w:customStyle="1" w:styleId="158">
    <w:name w:val="font13"/>
    <w:basedOn w:val="1"/>
    <w:qFormat/>
    <w:uiPriority w:val="0"/>
    <w:pPr>
      <w:widowControl/>
      <w:spacing w:before="100" w:beforeAutospacing="1" w:after="100" w:afterAutospacing="1"/>
      <w:jc w:val="left"/>
    </w:pPr>
    <w:rPr>
      <w:rFonts w:ascii="宋体" w:hAnsi="宋体" w:eastAsia="宋体"/>
      <w:sz w:val="24"/>
      <w:szCs w:val="24"/>
    </w:rPr>
  </w:style>
  <w:style w:type="paragraph" w:customStyle="1" w:styleId="159">
    <w:name w:val="xl20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160">
    <w:name w:val="xl3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Unicode MS" w:hAnsi="Arial Unicode MS" w:eastAsia="宋体" w:cs="Times New Roman"/>
      <w:b w:val="0"/>
      <w:sz w:val="18"/>
      <w:szCs w:val="18"/>
    </w:rPr>
  </w:style>
  <w:style w:type="paragraph" w:customStyle="1" w:styleId="161">
    <w:name w:val="xl68"/>
    <w:basedOn w:val="1"/>
    <w:qFormat/>
    <w:uiPriority w:val="0"/>
    <w:pPr>
      <w:widowControl/>
      <w:spacing w:before="100" w:beforeAutospacing="1" w:after="100" w:afterAutospacing="1"/>
      <w:jc w:val="left"/>
    </w:pPr>
    <w:rPr>
      <w:rFonts w:ascii="仿宋" w:hAnsi="仿宋" w:cs="仿宋"/>
      <w:b w:val="0"/>
      <w:sz w:val="24"/>
      <w:szCs w:val="24"/>
    </w:rPr>
  </w:style>
  <w:style w:type="paragraph" w:customStyle="1" w:styleId="162">
    <w:name w:val="Char Char Char"/>
    <w:basedOn w:val="1"/>
    <w:qFormat/>
    <w:uiPriority w:val="0"/>
    <w:rPr>
      <w:rFonts w:ascii="Times New Roman" w:hAnsi="Times New Roman" w:eastAsia="宋体" w:cs="Times New Roman"/>
      <w:b w:val="0"/>
      <w:kern w:val="1"/>
      <w:szCs w:val="24"/>
    </w:rPr>
  </w:style>
  <w:style w:type="paragraph" w:customStyle="1" w:styleId="163">
    <w:name w:val="font10"/>
    <w:basedOn w:val="1"/>
    <w:qFormat/>
    <w:uiPriority w:val="0"/>
    <w:pPr>
      <w:widowControl/>
      <w:spacing w:before="100" w:beforeAutospacing="1" w:after="100" w:afterAutospacing="1"/>
      <w:jc w:val="left"/>
    </w:pPr>
    <w:rPr>
      <w:rFonts w:ascii="Arial" w:hAnsi="Arial" w:eastAsia="宋体" w:cs="Arial"/>
      <w:b w:val="0"/>
      <w:sz w:val="20"/>
      <w:szCs w:val="20"/>
    </w:rPr>
  </w:style>
  <w:style w:type="paragraph" w:customStyle="1" w:styleId="164">
    <w:name w:val=" Char Char1 Char Char Char Char Char Char Char Char Char Char"/>
    <w:basedOn w:val="1"/>
    <w:qFormat/>
    <w:uiPriority w:val="0"/>
    <w:rPr>
      <w:rFonts w:ascii="Tahoma" w:hAnsi="Tahoma" w:cs="Tahoma"/>
      <w:sz w:val="24"/>
      <w:szCs w:val="20"/>
    </w:rPr>
  </w:style>
  <w:style w:type="paragraph" w:customStyle="1" w:styleId="165">
    <w:name w:val="作表９ポ"/>
    <w:basedOn w:val="1"/>
    <w:qFormat/>
    <w:uiPriority w:val="0"/>
    <w:pPr>
      <w:spacing w:line="260" w:lineRule="exact"/>
    </w:pPr>
    <w:rPr>
      <w:rFonts w:ascii="MS PMincho" w:hAnsi="MS PMincho" w:eastAsia="Yu Gothic UI" w:cs="Times New Roman"/>
      <w:b w:val="0"/>
      <w:sz w:val="18"/>
      <w:szCs w:val="20"/>
      <w:lang w:eastAsia="ja-JP"/>
    </w:rPr>
  </w:style>
  <w:style w:type="paragraph" w:customStyle="1" w:styleId="166">
    <w:name w:val="xl21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167">
    <w:name w:val="No Spacing*"/>
    <w:basedOn w:val="1"/>
    <w:qFormat/>
    <w:uiPriority w:val="0"/>
    <w:rPr>
      <w:rFonts w:ascii="Calibri" w:hAnsi="Calibri" w:eastAsia="宋体" w:cs="Times New Roman"/>
      <w:b w:val="0"/>
      <w:kern w:val="1"/>
      <w:szCs w:val="22"/>
    </w:rPr>
  </w:style>
  <w:style w:type="paragraph" w:customStyle="1" w:styleId="168">
    <w:name w:val="xl66"/>
    <w:basedOn w:val="1"/>
    <w:qFormat/>
    <w:uiPriority w:val="0"/>
    <w:pPr>
      <w:widowControl/>
      <w:spacing w:before="100" w:beforeAutospacing="1" w:after="100" w:afterAutospacing="1"/>
      <w:jc w:val="center"/>
    </w:pPr>
    <w:rPr>
      <w:rFonts w:ascii="仿宋" w:hAnsi="仿宋" w:cs="仿宋"/>
      <w:b w:val="0"/>
      <w:sz w:val="24"/>
      <w:szCs w:val="24"/>
    </w:rPr>
  </w:style>
  <w:style w:type="paragraph" w:customStyle="1" w:styleId="169">
    <w:name w:val="Body Text(ch)"/>
    <w:basedOn w:val="1"/>
    <w:next w:val="22"/>
    <w:qFormat/>
    <w:uiPriority w:val="0"/>
    <w:pPr>
      <w:spacing w:line="500" w:lineRule="exact"/>
      <w:jc w:val="center"/>
    </w:pPr>
    <w:rPr>
      <w:rFonts w:ascii="Times New Roman" w:hAnsi="Times New Roman" w:eastAsia="宋体" w:cs="Times New Roman"/>
      <w:b w:val="0"/>
      <w:kern w:val="1"/>
      <w:szCs w:val="24"/>
    </w:rPr>
  </w:style>
  <w:style w:type="paragraph" w:customStyle="1" w:styleId="170">
    <w:name w:val="xl30"/>
    <w:basedOn w:val="1"/>
    <w:qFormat/>
    <w:uiPriority w:val="0"/>
    <w:pPr>
      <w:widowControl/>
      <w:spacing w:before="100" w:beforeAutospacing="1" w:after="100" w:afterAutospacing="1"/>
      <w:jc w:val="left"/>
    </w:pPr>
    <w:rPr>
      <w:rFonts w:ascii="Arial Unicode MS" w:hAnsi="Arial Unicode MS" w:eastAsia="宋体" w:cs="Times New Roman"/>
      <w:b w:val="0"/>
      <w:sz w:val="18"/>
      <w:szCs w:val="18"/>
    </w:rPr>
  </w:style>
  <w:style w:type="paragraph" w:customStyle="1" w:styleId="171">
    <w:name w:val="+标题2"/>
    <w:basedOn w:val="3"/>
    <w:qFormat/>
    <w:uiPriority w:val="0"/>
    <w:pPr>
      <w:numPr>
        <w:ilvl w:val="0"/>
        <w:numId w:val="0"/>
      </w:numPr>
      <w:spacing w:before="120" w:line="360" w:lineRule="auto"/>
      <w:ind w:left="0" w:firstLine="0"/>
    </w:pPr>
    <w:rPr>
      <w:rFonts w:ascii="Times New Roman" w:hAnsi="Times New Roman" w:eastAsia="宋体" w:cs="Times New Roman"/>
      <w:b/>
      <w:spacing w:val="0"/>
      <w:kern w:val="1"/>
      <w:sz w:val="24"/>
      <w:szCs w:val="28"/>
    </w:rPr>
  </w:style>
  <w:style w:type="paragraph" w:customStyle="1" w:styleId="172">
    <w:name w:val="Blockquote"/>
    <w:basedOn w:val="1"/>
    <w:qFormat/>
    <w:uiPriority w:val="0"/>
    <w:pPr>
      <w:spacing w:before="100" w:after="100"/>
      <w:ind w:left="360" w:right="360"/>
      <w:jc w:val="left"/>
    </w:pPr>
    <w:rPr>
      <w:rFonts w:ascii="Times New Roman" w:hAnsi="Times New Roman" w:eastAsia="宋体" w:cs="Times New Roman"/>
      <w:b w:val="0"/>
      <w:sz w:val="24"/>
      <w:szCs w:val="20"/>
    </w:rPr>
  </w:style>
  <w:style w:type="paragraph" w:customStyle="1" w:styleId="173">
    <w:name w:val="Char Char5 Char1"/>
    <w:basedOn w:val="1"/>
    <w:qFormat/>
    <w:uiPriority w:val="0"/>
    <w:rPr>
      <w:rFonts w:ascii="Times New Roman" w:hAnsi="Times New Roman" w:eastAsia="宋体" w:cs="Times New Roman"/>
      <w:b w:val="0"/>
      <w:kern w:val="1"/>
      <w:szCs w:val="20"/>
    </w:rPr>
  </w:style>
  <w:style w:type="paragraph" w:customStyle="1" w:styleId="174">
    <w:name w:val="paragraph"/>
    <w:basedOn w:val="1"/>
    <w:qFormat/>
    <w:uiPriority w:val="0"/>
    <w:pPr>
      <w:widowControl/>
      <w:spacing w:before="60" w:after="60"/>
      <w:jc w:val="left"/>
    </w:pPr>
    <w:rPr>
      <w:rFonts w:ascii="Times New Roman" w:hAnsi="Times New Roman" w:eastAsia="宋体" w:cs="Times New Roman"/>
      <w:b w:val="0"/>
      <w:sz w:val="24"/>
      <w:szCs w:val="20"/>
      <w:lang w:eastAsia="en-US"/>
    </w:rPr>
  </w:style>
  <w:style w:type="paragraph" w:customStyle="1" w:styleId="175">
    <w:name w:val="正文1"/>
    <w:basedOn w:val="1"/>
    <w:qFormat/>
    <w:uiPriority w:val="0"/>
    <w:pPr>
      <w:spacing w:line="360" w:lineRule="atLeast"/>
      <w:jc w:val="left"/>
    </w:pPr>
    <w:rPr>
      <w:rFonts w:ascii="宋体" w:hAnsi="宋体" w:eastAsia="宋体" w:cs="Times New Roman"/>
      <w:b w:val="0"/>
      <w:sz w:val="24"/>
      <w:szCs w:val="20"/>
    </w:rPr>
  </w:style>
  <w:style w:type="paragraph" w:customStyle="1" w:styleId="176">
    <w:name w:val="Char3"/>
    <w:basedOn w:val="1"/>
    <w:qFormat/>
    <w:uiPriority w:val="0"/>
    <w:rPr>
      <w:rFonts w:ascii="Times New Roman" w:hAnsi="Times New Roman" w:eastAsia="宋体" w:cs="Times New Roman"/>
      <w:b w:val="0"/>
      <w:kern w:val="1"/>
      <w:szCs w:val="24"/>
    </w:rPr>
  </w:style>
  <w:style w:type="paragraph" w:customStyle="1" w:styleId="177">
    <w:name w:val="1.1.1类表"/>
    <w:basedOn w:val="1"/>
    <w:qFormat/>
    <w:uiPriority w:val="0"/>
    <w:pPr>
      <w:keepNext/>
      <w:keepLines/>
      <w:tabs>
        <w:tab w:val="left" w:pos="1430"/>
      </w:tabs>
      <w:spacing w:before="120" w:after="120" w:line="360" w:lineRule="auto"/>
      <w:ind w:left="1430" w:hanging="720"/>
      <w:outlineLvl w:val="2"/>
    </w:pPr>
    <w:rPr>
      <w:rFonts w:ascii="宋体" w:hAnsi="宋体" w:eastAsia="宋体" w:cs="Times New Roman"/>
      <w:sz w:val="28"/>
      <w:szCs w:val="28"/>
    </w:rPr>
  </w:style>
  <w:style w:type="paragraph" w:customStyle="1" w:styleId="178">
    <w:name w:val="5"/>
    <w:basedOn w:val="1"/>
    <w:next w:val="29"/>
    <w:qFormat/>
    <w:uiPriority w:val="0"/>
    <w:rPr>
      <w:rFonts w:ascii="宋体" w:hAnsi="宋体" w:eastAsia="宋体" w:cs="Times New Roman"/>
      <w:b w:val="0"/>
      <w:kern w:val="1"/>
      <w:szCs w:val="20"/>
    </w:rPr>
  </w:style>
  <w:style w:type="paragraph" w:customStyle="1" w:styleId="179">
    <w:name w:val="xl22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180">
    <w:name w:val="条文レベル2"/>
    <w:basedOn w:val="149"/>
    <w:qFormat/>
    <w:uiPriority w:val="0"/>
    <w:pPr>
      <w:outlineLvl w:val="5"/>
    </w:pPr>
  </w:style>
  <w:style w:type="paragraph" w:customStyle="1" w:styleId="181">
    <w:name w:val="Tabelle Wartung"/>
    <w:qFormat/>
    <w:uiPriority w:val="0"/>
    <w:pPr>
      <w:tabs>
        <w:tab w:val="left" w:pos="4536"/>
      </w:tabs>
      <w:spacing w:before="120"/>
      <w:ind w:left="4536" w:hanging="3969"/>
    </w:pPr>
    <w:rPr>
      <w:rFonts w:ascii="Helvetica" w:hAnsi="Helvetica" w:eastAsia="宋体" w:cs="Arial"/>
      <w:color w:val="000000"/>
      <w:sz w:val="22"/>
      <w:lang w:val="de-DE" w:eastAsia="zh-CN" w:bidi="ar-SA"/>
    </w:rPr>
  </w:style>
  <w:style w:type="paragraph" w:customStyle="1" w:styleId="182">
    <w:name w:val="页脚左端（绿盟科技）"/>
    <w:basedOn w:val="183"/>
    <w:qFormat/>
    <w:uiPriority w:val="0"/>
    <w:pPr>
      <w:tabs>
        <w:tab w:val="center" w:pos="4153"/>
        <w:tab w:val="right" w:pos="8306"/>
      </w:tabs>
    </w:pPr>
  </w:style>
  <w:style w:type="paragraph" w:customStyle="1" w:styleId="183">
    <w:name w:val="页脚右端（绿盟科技）"/>
    <w:basedOn w:val="33"/>
    <w:qFormat/>
    <w:uiPriority w:val="0"/>
    <w:pPr>
      <w:pBdr>
        <w:top w:val="single" w:color="000000" w:sz="4" w:space="4"/>
      </w:pBdr>
      <w:spacing w:before="100" w:beforeAutospacing="1"/>
    </w:pPr>
    <w:rPr>
      <w:rFonts w:ascii="Times New Roman" w:hAnsi="Times New Roman" w:eastAsia="宋体"/>
      <w:szCs w:val="20"/>
    </w:rPr>
  </w:style>
  <w:style w:type="paragraph" w:customStyle="1" w:styleId="184">
    <w:name w:val="xl85"/>
    <w:basedOn w:val="1"/>
    <w:qFormat/>
    <w:uiPriority w:val="0"/>
    <w:pPr>
      <w:widowControl/>
      <w:spacing w:before="100" w:beforeAutospacing="1" w:after="100" w:afterAutospacing="1"/>
      <w:jc w:val="center"/>
    </w:pPr>
    <w:rPr>
      <w:rFonts w:ascii="仿宋" w:hAnsi="仿宋" w:cs="仿宋"/>
      <w:sz w:val="20"/>
      <w:szCs w:val="20"/>
    </w:rPr>
  </w:style>
  <w:style w:type="paragraph" w:styleId="185">
    <w:name w:val="List Paragraph"/>
    <w:basedOn w:val="1"/>
    <w:qFormat/>
    <w:uiPriority w:val="34"/>
    <w:pPr>
      <w:ind w:firstLine="420" w:firstLineChars="200"/>
    </w:pPr>
    <w:rPr>
      <w:rFonts w:ascii="Times New Roman" w:hAnsi="Times New Roman" w:eastAsia="宋体" w:cs="Times New Roman"/>
      <w:b w:val="0"/>
      <w:color w:val="auto"/>
      <w:kern w:val="2"/>
      <w:szCs w:val="24"/>
    </w:rPr>
  </w:style>
  <w:style w:type="paragraph" w:customStyle="1" w:styleId="186">
    <w:name w:val=" Char1 Char Char Char"/>
    <w:basedOn w:val="1"/>
    <w:qFormat/>
    <w:uiPriority w:val="0"/>
    <w:rPr>
      <w:rFonts w:cs="Times New Roman"/>
      <w:kern w:val="1"/>
      <w:sz w:val="32"/>
      <w:szCs w:val="32"/>
    </w:rPr>
  </w:style>
  <w:style w:type="paragraph" w:customStyle="1" w:styleId="187">
    <w:name w:val="xl4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Times New Roman" w:hAnsi="Times New Roman" w:eastAsia="宋体" w:cs="Times New Roman"/>
      <w:b w:val="0"/>
      <w:sz w:val="24"/>
      <w:szCs w:val="24"/>
    </w:rPr>
  </w:style>
  <w:style w:type="paragraph" w:customStyle="1" w:styleId="188">
    <w:name w:val="xl24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eastAsia="宋体"/>
      <w:b w:val="0"/>
      <w:sz w:val="20"/>
      <w:szCs w:val="20"/>
    </w:rPr>
  </w:style>
  <w:style w:type="paragraph" w:customStyle="1" w:styleId="189">
    <w:name w:val="xl2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Unicode MS" w:hAnsi="Arial Unicode MS" w:eastAsia="宋体" w:cs="Times New Roman"/>
      <w:b w:val="0"/>
      <w:sz w:val="18"/>
      <w:szCs w:val="18"/>
    </w:rPr>
  </w:style>
  <w:style w:type="paragraph" w:customStyle="1" w:styleId="190">
    <w:name w:val="GP标题2"/>
    <w:basedOn w:val="1"/>
    <w:next w:val="135"/>
    <w:qFormat/>
    <w:uiPriority w:val="0"/>
    <w:pPr>
      <w:numPr>
        <w:ilvl w:val="1"/>
        <w:numId w:val="3"/>
      </w:numPr>
      <w:tabs>
        <w:tab w:val="left" w:pos="840"/>
      </w:tabs>
      <w:spacing w:line="360" w:lineRule="auto"/>
      <w:ind w:left="567" w:hanging="567"/>
      <w:jc w:val="left"/>
      <w:outlineLvl w:val="1"/>
    </w:pPr>
    <w:rPr>
      <w:rFonts w:ascii="华文细黑" w:hAnsi="华文细黑" w:eastAsia="微软雅黑" w:cs="Times New Roman"/>
      <w:sz w:val="32"/>
      <w:szCs w:val="20"/>
    </w:rPr>
  </w:style>
  <w:style w:type="paragraph" w:customStyle="1" w:styleId="191">
    <w:name w:val="reader-word-layer"/>
    <w:basedOn w:val="1"/>
    <w:qFormat/>
    <w:uiPriority w:val="0"/>
    <w:pPr>
      <w:widowControl/>
      <w:spacing w:before="100" w:beforeAutospacing="1" w:after="100" w:afterAutospacing="1"/>
      <w:jc w:val="left"/>
    </w:pPr>
    <w:rPr>
      <w:rFonts w:ascii="宋体" w:hAnsi="宋体" w:eastAsia="宋体"/>
      <w:b w:val="0"/>
      <w:sz w:val="24"/>
      <w:szCs w:val="24"/>
    </w:rPr>
  </w:style>
  <w:style w:type="paragraph" w:customStyle="1" w:styleId="192">
    <w:name w:val="タイトル-L4-目"/>
    <w:basedOn w:val="1"/>
    <w:qFormat/>
    <w:uiPriority w:val="0"/>
    <w:pPr>
      <w:keepNext/>
      <w:keepLines/>
      <w:widowControl/>
      <w:spacing w:before="480" w:after="10"/>
      <w:ind w:left="720" w:right="1276" w:hanging="663"/>
      <w:jc w:val="left"/>
      <w:outlineLvl w:val="3"/>
    </w:pPr>
    <w:rPr>
      <w:rFonts w:ascii="Arial" w:hAnsi="Arial" w:eastAsia="MS Gothic" w:cs="Times New Roman"/>
      <w:b w:val="0"/>
      <w:kern w:val="1"/>
      <w:sz w:val="24"/>
      <w:szCs w:val="24"/>
    </w:rPr>
  </w:style>
  <w:style w:type="paragraph" w:customStyle="1" w:styleId="193">
    <w:name w:val="xl3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Unicode MS" w:hAnsi="Arial Unicode MS" w:eastAsia="宋体" w:cs="Times New Roman"/>
      <w:b w:val="0"/>
      <w:sz w:val="18"/>
      <w:szCs w:val="18"/>
    </w:rPr>
  </w:style>
  <w:style w:type="paragraph" w:customStyle="1" w:styleId="194">
    <w:name w:val="Char Char Char1"/>
    <w:basedOn w:val="1"/>
    <w:qFormat/>
    <w:uiPriority w:val="0"/>
    <w:rPr>
      <w:rFonts w:ascii="Times New Roman" w:hAnsi="Times New Roman" w:eastAsia="宋体" w:cs="Times New Roman"/>
      <w:b w:val="0"/>
      <w:kern w:val="1"/>
      <w:szCs w:val="20"/>
    </w:rPr>
  </w:style>
  <w:style w:type="paragraph" w:customStyle="1" w:styleId="195">
    <w:name w:val="xl24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eastAsia="宋体"/>
      <w:sz w:val="24"/>
      <w:szCs w:val="24"/>
    </w:rPr>
  </w:style>
  <w:style w:type="paragraph" w:customStyle="1" w:styleId="196">
    <w:name w:val="小点说明"/>
    <w:basedOn w:val="1"/>
    <w:qFormat/>
    <w:uiPriority w:val="0"/>
    <w:pPr>
      <w:tabs>
        <w:tab w:val="left" w:pos="0"/>
      </w:tabs>
      <w:spacing w:line="340" w:lineRule="atLeast"/>
    </w:pPr>
    <w:rPr>
      <w:rFonts w:ascii="宋体" w:hAnsi="宋体" w:eastAsia="宋体" w:cs="Times New Roman"/>
      <w:b w:val="0"/>
      <w:szCs w:val="24"/>
      <w:lang w:val="eu-ES"/>
    </w:rPr>
  </w:style>
  <w:style w:type="paragraph" w:customStyle="1" w:styleId="197">
    <w:name w:val="正文－恩普"/>
    <w:basedOn w:val="6"/>
    <w:qFormat/>
    <w:uiPriority w:val="0"/>
    <w:pPr>
      <w:widowControl/>
      <w:spacing w:before="100" w:beforeAutospacing="1" w:afterAutospacing="1" w:line="360" w:lineRule="auto"/>
      <w:ind w:firstLine="480"/>
      <w:jc w:val="left"/>
    </w:pPr>
    <w:rPr>
      <w:sz w:val="24"/>
      <w:szCs w:val="20"/>
    </w:rPr>
  </w:style>
  <w:style w:type="paragraph" w:customStyle="1" w:styleId="198">
    <w:name w:val="Cnv-2:cell"/>
    <w:qFormat/>
    <w:uiPriority w:val="0"/>
    <w:pPr>
      <w:tabs>
        <w:tab w:val="left" w:pos="0"/>
        <w:tab w:val="left" w:pos="720"/>
        <w:tab w:val="left" w:pos="1440"/>
        <w:tab w:val="left" w:pos="2160"/>
      </w:tabs>
      <w:spacing w:line="222" w:lineRule="atLeast"/>
      <w:jc w:val="both"/>
    </w:pPr>
    <w:rPr>
      <w:rFonts w:ascii="Times" w:hAnsi="Times" w:eastAsia="宋体" w:cs="Times"/>
      <w:color w:val="000000"/>
      <w:lang w:val="en-US" w:eastAsia="en-US" w:bidi="ar-SA"/>
    </w:rPr>
  </w:style>
  <w:style w:type="paragraph" w:customStyle="1" w:styleId="199">
    <w:name w:val="xl22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200">
    <w:name w:val="xl24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201">
    <w:name w:val="xl6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Calibri" w:hAnsi="Calibri" w:eastAsia="宋体" w:cs="Calibri"/>
      <w:b w:val="0"/>
      <w:sz w:val="20"/>
      <w:szCs w:val="20"/>
    </w:rPr>
  </w:style>
  <w:style w:type="paragraph" w:customStyle="1" w:styleId="202">
    <w:name w:val=" Char2"/>
    <w:basedOn w:val="1"/>
    <w:qFormat/>
    <w:uiPriority w:val="0"/>
    <w:rPr>
      <w:b w:val="0"/>
      <w:sz w:val="32"/>
      <w:szCs w:val="32"/>
    </w:rPr>
  </w:style>
  <w:style w:type="paragraph" w:customStyle="1" w:styleId="203">
    <w:name w:val="xl22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204">
    <w:name w:val="xl7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仿宋" w:hAnsi="仿宋" w:cs="仿宋"/>
      <w:b w:val="0"/>
      <w:sz w:val="20"/>
      <w:szCs w:val="20"/>
    </w:rPr>
  </w:style>
  <w:style w:type="paragraph" w:customStyle="1" w:styleId="205">
    <w:name w:val="南通方案正文"/>
    <w:basedOn w:val="1"/>
    <w:qFormat/>
    <w:uiPriority w:val="0"/>
    <w:pPr>
      <w:spacing w:line="360" w:lineRule="auto"/>
      <w:ind w:firstLine="480"/>
    </w:pPr>
    <w:rPr>
      <w:rFonts w:ascii="Times New Roman" w:hAnsi="Times New Roman" w:eastAsia="宋体" w:cs="Times New Roman"/>
      <w:b w:val="0"/>
      <w:kern w:val="1"/>
      <w:sz w:val="24"/>
      <w:szCs w:val="20"/>
    </w:rPr>
  </w:style>
  <w:style w:type="paragraph" w:customStyle="1" w:styleId="206">
    <w:name w:val="xl8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仿宋" w:hAnsi="仿宋" w:cs="仿宋"/>
      <w:sz w:val="20"/>
      <w:szCs w:val="20"/>
    </w:rPr>
  </w:style>
  <w:style w:type="paragraph" w:customStyle="1" w:styleId="207">
    <w:name w:val="xl31"/>
    <w:basedOn w:val="1"/>
    <w:qFormat/>
    <w:uiPriority w:val="0"/>
    <w:pPr>
      <w:widowControl/>
      <w:spacing w:before="100" w:beforeAutospacing="1" w:after="100" w:afterAutospacing="1"/>
      <w:jc w:val="left"/>
    </w:pPr>
    <w:rPr>
      <w:rFonts w:ascii="Arial Unicode MS" w:hAnsi="Arial Unicode MS" w:eastAsia="宋体" w:cs="Times New Roman"/>
      <w:b w:val="0"/>
      <w:sz w:val="24"/>
      <w:szCs w:val="24"/>
    </w:rPr>
  </w:style>
  <w:style w:type="paragraph" w:customStyle="1" w:styleId="208">
    <w:name w:val="xl23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209">
    <w:name w:val="样式 标题 1 + Arial"/>
    <w:basedOn w:val="2"/>
    <w:qFormat/>
    <w:uiPriority w:val="0"/>
    <w:pPr>
      <w:numPr>
        <w:ilvl w:val="0"/>
        <w:numId w:val="0"/>
      </w:numPr>
      <w:spacing w:before="0" w:line="360" w:lineRule="auto"/>
      <w:ind w:left="0" w:firstLine="0"/>
      <w:jc w:val="center"/>
    </w:pPr>
    <w:rPr>
      <w:rFonts w:eastAsia="宋体" w:cs="Times New Roman"/>
      <w:b/>
      <w:spacing w:val="0"/>
      <w:kern w:val="1"/>
      <w:sz w:val="32"/>
    </w:rPr>
  </w:style>
  <w:style w:type="paragraph" w:customStyle="1" w:styleId="210">
    <w:name w:val="GP标题1"/>
    <w:basedOn w:val="1"/>
    <w:next w:val="135"/>
    <w:qFormat/>
    <w:uiPriority w:val="0"/>
    <w:pPr>
      <w:numPr>
        <w:ilvl w:val="0"/>
        <w:numId w:val="3"/>
      </w:numPr>
      <w:tabs>
        <w:tab w:val="left" w:pos="397"/>
      </w:tabs>
      <w:spacing w:line="360" w:lineRule="auto"/>
      <w:ind w:left="567" w:hanging="567"/>
      <w:jc w:val="center"/>
      <w:outlineLvl w:val="0"/>
    </w:pPr>
    <w:rPr>
      <w:rFonts w:ascii="黑体" w:hAnsi="黑体" w:eastAsia="黑体" w:cs="Times New Roman"/>
      <w:sz w:val="36"/>
      <w:szCs w:val="20"/>
    </w:rPr>
  </w:style>
  <w:style w:type="paragraph" w:customStyle="1" w:styleId="211">
    <w:name w:val="xl23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212">
    <w:name w:val="xl7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仿宋" w:hAnsi="仿宋" w:cs="仿宋"/>
      <w:b w:val="0"/>
      <w:sz w:val="20"/>
      <w:szCs w:val="20"/>
    </w:rPr>
  </w:style>
  <w:style w:type="paragraph" w:customStyle="1" w:styleId="213">
    <w:name w:val="Char1 Char Char Char Char Char"/>
    <w:basedOn w:val="1"/>
    <w:qFormat/>
    <w:uiPriority w:val="0"/>
    <w:rPr>
      <w:rFonts w:ascii="Times New Roman" w:hAnsi="Times New Roman" w:eastAsia="宋体" w:cs="Times New Roman"/>
      <w:b w:val="0"/>
      <w:szCs w:val="20"/>
    </w:rPr>
  </w:style>
  <w:style w:type="paragraph" w:customStyle="1" w:styleId="214">
    <w:name w:val="xl3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Unicode MS" w:hAnsi="Arial Unicode MS" w:eastAsia="宋体" w:cs="Times New Roman"/>
      <w:b w:val="0"/>
      <w:sz w:val="18"/>
      <w:szCs w:val="18"/>
    </w:rPr>
  </w:style>
  <w:style w:type="paragraph" w:customStyle="1" w:styleId="215">
    <w:name w:val="列出段落1"/>
    <w:basedOn w:val="1"/>
    <w:qFormat/>
    <w:uiPriority w:val="0"/>
    <w:pPr>
      <w:ind w:firstLine="420"/>
    </w:pPr>
    <w:rPr>
      <w:rFonts w:ascii="Calibri" w:hAnsi="Calibri" w:eastAsia="宋体" w:cs="Times New Roman"/>
      <w:b w:val="0"/>
      <w:kern w:val="1"/>
      <w:szCs w:val="22"/>
    </w:rPr>
  </w:style>
  <w:style w:type="paragraph" w:customStyle="1" w:styleId="216">
    <w:name w:val="font5"/>
    <w:basedOn w:val="1"/>
    <w:qFormat/>
    <w:uiPriority w:val="0"/>
    <w:pPr>
      <w:widowControl/>
      <w:spacing w:before="100" w:beforeAutospacing="1" w:after="100" w:afterAutospacing="1"/>
      <w:jc w:val="left"/>
    </w:pPr>
    <w:rPr>
      <w:rFonts w:ascii="Times New Roman" w:hAnsi="Times New Roman" w:eastAsia="宋体" w:cs="Times New Roman"/>
      <w:b w:val="0"/>
      <w:sz w:val="20"/>
      <w:szCs w:val="20"/>
    </w:rPr>
  </w:style>
  <w:style w:type="paragraph" w:customStyle="1" w:styleId="217">
    <w:name w:val="正文文本 21"/>
    <w:basedOn w:val="1"/>
    <w:qFormat/>
    <w:uiPriority w:val="0"/>
    <w:pPr>
      <w:spacing w:line="360" w:lineRule="atLeast"/>
      <w:ind w:firstLine="525"/>
    </w:pPr>
    <w:rPr>
      <w:rFonts w:ascii="宋体" w:hAnsi="宋体" w:eastAsia="宋体" w:cs="Times New Roman"/>
      <w:b w:val="0"/>
      <w:sz w:val="28"/>
      <w:szCs w:val="20"/>
    </w:rPr>
  </w:style>
  <w:style w:type="paragraph" w:customStyle="1" w:styleId="218">
    <w:name w:val="List Paragraph*"/>
    <w:basedOn w:val="1"/>
    <w:qFormat/>
    <w:uiPriority w:val="0"/>
    <w:pPr>
      <w:ind w:firstLine="420"/>
    </w:pPr>
    <w:rPr>
      <w:rFonts w:ascii="Calibri" w:hAnsi="Calibri" w:eastAsia="宋体" w:cs="Times New Roman"/>
      <w:b w:val="0"/>
      <w:kern w:val="1"/>
      <w:szCs w:val="22"/>
    </w:rPr>
  </w:style>
  <w:style w:type="paragraph" w:customStyle="1" w:styleId="219">
    <w:name w:val="正文段"/>
    <w:basedOn w:val="1"/>
    <w:qFormat/>
    <w:uiPriority w:val="0"/>
    <w:pPr>
      <w:widowControl/>
      <w:ind w:firstLine="200"/>
    </w:pPr>
    <w:rPr>
      <w:rFonts w:ascii="Times New Roman" w:hAnsi="Times New Roman" w:eastAsia="宋体" w:cs="Times New Roman"/>
      <w:b w:val="0"/>
      <w:sz w:val="24"/>
      <w:szCs w:val="20"/>
    </w:rPr>
  </w:style>
  <w:style w:type="paragraph" w:customStyle="1" w:styleId="220">
    <w:name w:val="默认段落字体 Para Char Char Char Char"/>
    <w:basedOn w:val="1"/>
    <w:qFormat/>
    <w:uiPriority w:val="0"/>
  </w:style>
  <w:style w:type="paragraph" w:customStyle="1" w:styleId="221">
    <w:name w:val="xl23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222">
    <w:name w:val="xl7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仿宋" w:hAnsi="仿宋" w:cs="仿宋"/>
      <w:sz w:val="24"/>
      <w:szCs w:val="24"/>
      <w:u w:val="single"/>
    </w:rPr>
  </w:style>
  <w:style w:type="paragraph" w:customStyle="1" w:styleId="223">
    <w:name w:val="标题 2h2sect"/>
    <w:next w:val="1"/>
    <w:qFormat/>
    <w:uiPriority w:val="0"/>
    <w:pPr>
      <w:tabs>
        <w:tab w:val="left" w:pos="425"/>
      </w:tabs>
      <w:spacing w:before="120" w:after="120" w:line="360" w:lineRule="auto"/>
      <w:ind w:left="425" w:hanging="425"/>
    </w:pPr>
    <w:rPr>
      <w:rFonts w:ascii="Calibri" w:hAnsi="Calibri" w:eastAsia="宋体" w:cs="宋体"/>
      <w:b/>
      <w:color w:val="000000"/>
      <w:kern w:val="1"/>
      <w:sz w:val="30"/>
      <w:szCs w:val="30"/>
      <w:lang w:val="en-US" w:eastAsia="zh-CN" w:bidi="ar-SA"/>
    </w:rPr>
  </w:style>
  <w:style w:type="paragraph" w:customStyle="1" w:styleId="224">
    <w:name w:val="xl24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225">
    <w:name w:val="タイトル-L3-項"/>
    <w:basedOn w:val="1"/>
    <w:next w:val="22"/>
    <w:qFormat/>
    <w:uiPriority w:val="0"/>
    <w:pPr>
      <w:keepNext/>
      <w:keepLines/>
      <w:widowControl/>
      <w:tabs>
        <w:tab w:val="left" w:pos="948"/>
      </w:tabs>
      <w:spacing w:before="120" w:after="10"/>
      <w:ind w:left="948" w:right="85" w:hanging="720"/>
      <w:jc w:val="left"/>
      <w:outlineLvl w:val="2"/>
    </w:pPr>
    <w:rPr>
      <w:rFonts w:ascii="Arial" w:hAnsi="Arial" w:eastAsia="MS Gothic" w:cs="Times New Roman"/>
      <w:b w:val="0"/>
      <w:kern w:val="1"/>
      <w:sz w:val="28"/>
      <w:szCs w:val="24"/>
    </w:rPr>
  </w:style>
  <w:style w:type="paragraph" w:customStyle="1" w:styleId="226">
    <w:name w:val="xl7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仿宋" w:hAnsi="仿宋" w:cs="仿宋"/>
      <w:sz w:val="24"/>
      <w:szCs w:val="24"/>
      <w:u w:val="single"/>
    </w:rPr>
  </w:style>
  <w:style w:type="paragraph" w:customStyle="1" w:styleId="227">
    <w:name w:val="表内文字"/>
    <w:basedOn w:val="1"/>
    <w:qFormat/>
    <w:uiPriority w:val="0"/>
    <w:pPr>
      <w:spacing w:line="500" w:lineRule="atLeast"/>
      <w:jc w:val="center"/>
    </w:pPr>
    <w:rPr>
      <w:rFonts w:ascii="Arial" w:hAnsi="Arial" w:eastAsia="楷体" w:cs="Arial"/>
      <w:b w:val="0"/>
      <w:kern w:val="1"/>
      <w:sz w:val="28"/>
      <w:szCs w:val="24"/>
    </w:rPr>
  </w:style>
  <w:style w:type="paragraph" w:customStyle="1" w:styleId="228">
    <w:name w:val="タイトル-L2-節"/>
    <w:basedOn w:val="1"/>
    <w:next w:val="22"/>
    <w:qFormat/>
    <w:uiPriority w:val="0"/>
    <w:pPr>
      <w:keepNext/>
      <w:keepLines/>
      <w:widowControl/>
      <w:tabs>
        <w:tab w:val="left" w:pos="720"/>
      </w:tabs>
      <w:spacing w:before="480" w:after="10" w:line="360" w:lineRule="atLeast"/>
      <w:ind w:right="1276"/>
      <w:jc w:val="left"/>
      <w:outlineLvl w:val="1"/>
    </w:pPr>
    <w:rPr>
      <w:rFonts w:ascii="Arial" w:hAnsi="Arial" w:eastAsia="MS Gothic" w:cs="Times New Roman"/>
      <w:b w:val="0"/>
      <w:kern w:val="1"/>
      <w:sz w:val="32"/>
      <w:szCs w:val="24"/>
    </w:rPr>
  </w:style>
  <w:style w:type="paragraph" w:customStyle="1" w:styleId="229">
    <w:name w:val="xl23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230">
    <w:name w:val="xl4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Unicode MS" w:hAnsi="Arial Unicode MS" w:eastAsia="宋体" w:cs="Arial Unicode MS"/>
      <w:b w:val="0"/>
      <w:sz w:val="24"/>
      <w:szCs w:val="24"/>
    </w:rPr>
  </w:style>
  <w:style w:type="paragraph" w:customStyle="1" w:styleId="231">
    <w:name w:val="タイトル-L1‐章"/>
    <w:basedOn w:val="1"/>
    <w:next w:val="228"/>
    <w:qFormat/>
    <w:uiPriority w:val="0"/>
    <w:pPr>
      <w:keepNext/>
      <w:pageBreakBefore/>
      <w:widowControl/>
      <w:numPr>
        <w:ilvl w:val="1"/>
        <w:numId w:val="4"/>
      </w:numPr>
      <w:pBdr>
        <w:top w:val="single" w:color="000000" w:sz="2" w:space="4"/>
        <w:left w:val="single" w:color="000000" w:sz="2" w:space="0"/>
        <w:bottom w:val="single" w:color="000000" w:sz="2" w:space="0"/>
        <w:right w:val="single" w:color="000000" w:sz="2" w:space="0"/>
      </w:pBdr>
      <w:tabs>
        <w:tab w:val="left" w:pos="720"/>
      </w:tabs>
      <w:spacing w:line="520" w:lineRule="exact"/>
      <w:jc w:val="center"/>
      <w:outlineLvl w:val="0"/>
    </w:pPr>
    <w:rPr>
      <w:rFonts w:ascii="MS Gothic" w:hAnsi="MS Gothic" w:eastAsia="MS Gothic" w:cs="Times New Roman"/>
      <w:kern w:val="1"/>
      <w:sz w:val="40"/>
      <w:szCs w:val="24"/>
    </w:rPr>
  </w:style>
  <w:style w:type="paragraph" w:customStyle="1" w:styleId="232">
    <w:name w:val="Default"/>
    <w:qFormat/>
    <w:uiPriority w:val="99"/>
    <w:pPr>
      <w:widowControl w:val="0"/>
    </w:pPr>
    <w:rPr>
      <w:rFonts w:ascii="宋体" w:hAnsi="宋体" w:eastAsia="宋体" w:cs="宋体"/>
      <w:color w:val="000000"/>
      <w:sz w:val="24"/>
      <w:szCs w:val="24"/>
      <w:lang w:val="en-US" w:eastAsia="zh-CN" w:bidi="ar-SA"/>
    </w:rPr>
  </w:style>
  <w:style w:type="paragraph" w:customStyle="1" w:styleId="233">
    <w:name w:val=" Char"/>
    <w:basedOn w:val="1"/>
    <w:qFormat/>
    <w:uiPriority w:val="0"/>
    <w:rPr>
      <w:rFonts w:ascii="Times New Roman" w:hAnsi="Times New Roman" w:eastAsia="宋体" w:cs="Times New Roman"/>
      <w:b w:val="0"/>
      <w:kern w:val="1"/>
      <w:szCs w:val="20"/>
    </w:rPr>
  </w:style>
  <w:style w:type="paragraph" w:customStyle="1" w:styleId="234">
    <w:name w:val="font0"/>
    <w:basedOn w:val="1"/>
    <w:qFormat/>
    <w:uiPriority w:val="0"/>
    <w:pPr>
      <w:widowControl/>
      <w:spacing w:before="100" w:beforeAutospacing="1" w:after="100" w:afterAutospacing="1"/>
      <w:jc w:val="left"/>
    </w:pPr>
    <w:rPr>
      <w:rFonts w:ascii="Arial" w:hAnsi="Arial" w:eastAsia="宋体" w:cs="Arial"/>
      <w:b w:val="0"/>
      <w:sz w:val="20"/>
      <w:szCs w:val="20"/>
    </w:rPr>
  </w:style>
  <w:style w:type="paragraph" w:customStyle="1" w:styleId="235">
    <w:name w:val="xl207"/>
    <w:basedOn w:val="1"/>
    <w:qFormat/>
    <w:uiPriority w:val="0"/>
    <w:pPr>
      <w:widowControl/>
      <w:spacing w:before="100" w:beforeAutospacing="1" w:after="100" w:afterAutospacing="1"/>
      <w:jc w:val="center"/>
    </w:pPr>
    <w:rPr>
      <w:rFonts w:ascii="宋体" w:hAnsi="宋体" w:eastAsia="宋体"/>
      <w:b w:val="0"/>
      <w:sz w:val="24"/>
      <w:szCs w:val="24"/>
    </w:rPr>
  </w:style>
  <w:style w:type="paragraph" w:customStyle="1" w:styleId="236">
    <w:name w:val="Char4"/>
    <w:basedOn w:val="1"/>
    <w:qFormat/>
    <w:uiPriority w:val="0"/>
    <w:pPr>
      <w:widowControl/>
      <w:spacing w:after="160" w:line="240" w:lineRule="exact"/>
      <w:jc w:val="left"/>
    </w:pPr>
    <w:rPr>
      <w:rFonts w:ascii="Verdana" w:hAnsi="Verdana" w:cs="Times New Roman"/>
      <w:b w:val="0"/>
      <w:sz w:val="24"/>
      <w:szCs w:val="20"/>
      <w:lang w:eastAsia="en-US"/>
    </w:rPr>
  </w:style>
  <w:style w:type="paragraph" w:customStyle="1" w:styleId="237">
    <w:name w:val="List Paragraph1"/>
    <w:basedOn w:val="1"/>
    <w:qFormat/>
    <w:uiPriority w:val="0"/>
    <w:pPr>
      <w:widowControl/>
      <w:spacing w:line="300" w:lineRule="auto"/>
      <w:ind w:firstLine="420"/>
    </w:pPr>
    <w:rPr>
      <w:rFonts w:ascii="Arial" w:hAnsi="Arial" w:eastAsia="宋体" w:cs="Times New Roman"/>
      <w:b w:val="0"/>
      <w:sz w:val="18"/>
      <w:szCs w:val="20"/>
    </w:rPr>
  </w:style>
  <w:style w:type="paragraph" w:customStyle="1" w:styleId="238">
    <w:name w:val="xl7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仿宋" w:hAnsi="仿宋" w:cs="仿宋"/>
      <w:b w:val="0"/>
      <w:sz w:val="20"/>
      <w:szCs w:val="20"/>
    </w:rPr>
  </w:style>
  <w:style w:type="paragraph" w:customStyle="1" w:styleId="239">
    <w:name w:val="Char"/>
    <w:basedOn w:val="1"/>
    <w:qFormat/>
    <w:uiPriority w:val="0"/>
    <w:rPr>
      <w:rFonts w:cs="Times New Roman"/>
      <w:kern w:val="1"/>
      <w:sz w:val="32"/>
      <w:szCs w:val="32"/>
    </w:rPr>
  </w:style>
  <w:style w:type="paragraph" w:customStyle="1" w:styleId="240">
    <w:name w:val="正文 1.5 倍行距"/>
    <w:basedOn w:val="1"/>
    <w:qFormat/>
    <w:uiPriority w:val="0"/>
    <w:pPr>
      <w:spacing w:line="360" w:lineRule="auto"/>
      <w:ind w:firstLine="480"/>
    </w:pPr>
    <w:rPr>
      <w:rFonts w:ascii="Times New Roman" w:hAnsi="Times New Roman" w:eastAsia="宋体" w:cs="Times New Roman"/>
      <w:b w:val="0"/>
      <w:sz w:val="24"/>
      <w:szCs w:val="20"/>
    </w:rPr>
  </w:style>
  <w:style w:type="paragraph" w:customStyle="1" w:styleId="241">
    <w:name w:val="font12"/>
    <w:basedOn w:val="1"/>
    <w:qFormat/>
    <w:uiPriority w:val="0"/>
    <w:pPr>
      <w:widowControl/>
      <w:spacing w:before="100" w:beforeAutospacing="1" w:after="100" w:afterAutospacing="1"/>
      <w:jc w:val="left"/>
    </w:pPr>
    <w:rPr>
      <w:rFonts w:ascii="宋体" w:hAnsi="宋体" w:eastAsia="宋体"/>
      <w:b w:val="0"/>
      <w:sz w:val="18"/>
      <w:szCs w:val="18"/>
    </w:rPr>
  </w:style>
  <w:style w:type="paragraph" w:customStyle="1" w:styleId="242">
    <w:name w:val="xl24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sz w:val="24"/>
      <w:szCs w:val="24"/>
    </w:rPr>
  </w:style>
  <w:style w:type="paragraph" w:customStyle="1" w:styleId="243">
    <w:name w:val="xl7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仿宋" w:hAnsi="仿宋" w:cs="仿宋"/>
      <w:b w:val="0"/>
      <w:color w:val="FF0000"/>
      <w:sz w:val="20"/>
      <w:szCs w:val="20"/>
    </w:rPr>
  </w:style>
  <w:style w:type="paragraph" w:customStyle="1" w:styleId="244">
    <w:name w:val="GP标题3"/>
    <w:basedOn w:val="1"/>
    <w:next w:val="135"/>
    <w:qFormat/>
    <w:uiPriority w:val="0"/>
    <w:pPr>
      <w:numPr>
        <w:ilvl w:val="2"/>
        <w:numId w:val="3"/>
      </w:numPr>
      <w:tabs>
        <w:tab w:val="left" w:pos="1260"/>
      </w:tabs>
      <w:spacing w:line="360" w:lineRule="auto"/>
      <w:ind w:left="420" w:hanging="420"/>
      <w:jc w:val="left"/>
      <w:outlineLvl w:val="2"/>
    </w:pPr>
    <w:rPr>
      <w:rFonts w:ascii="华文细黑" w:hAnsi="华文细黑" w:eastAsia="微软雅黑" w:cs="Times New Roman"/>
      <w:sz w:val="30"/>
      <w:szCs w:val="20"/>
    </w:rPr>
  </w:style>
  <w:style w:type="paragraph" w:customStyle="1" w:styleId="245">
    <w:name w:val="xl8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仿宋" w:hAnsi="仿宋" w:cs="仿宋"/>
      <w:color w:val="FF0000"/>
      <w:sz w:val="20"/>
      <w:szCs w:val="20"/>
    </w:rPr>
  </w:style>
  <w:style w:type="paragraph" w:customStyle="1" w:styleId="246">
    <w:name w:val="xl8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仿宋" w:hAnsi="仿宋" w:cs="仿宋"/>
      <w:b w:val="0"/>
      <w:color w:val="FF0000"/>
      <w:sz w:val="20"/>
      <w:szCs w:val="20"/>
    </w:rPr>
  </w:style>
  <w:style w:type="paragraph" w:customStyle="1" w:styleId="247">
    <w:name w:val="Char Char"/>
    <w:basedOn w:val="1"/>
    <w:qFormat/>
    <w:uiPriority w:val="0"/>
    <w:rPr>
      <w:rFonts w:ascii="Tahoma" w:hAnsi="Tahoma" w:eastAsia="宋体" w:cs="Times New Roman"/>
      <w:b w:val="0"/>
      <w:kern w:val="1"/>
      <w:sz w:val="24"/>
      <w:szCs w:val="20"/>
    </w:rPr>
  </w:style>
  <w:style w:type="paragraph" w:customStyle="1" w:styleId="248">
    <w:name w:val="文字"/>
    <w:basedOn w:val="1"/>
    <w:qFormat/>
    <w:uiPriority w:val="0"/>
    <w:pPr>
      <w:tabs>
        <w:tab w:val="left" w:pos="8520"/>
      </w:tabs>
      <w:spacing w:line="312" w:lineRule="auto"/>
      <w:ind w:right="-210" w:firstLine="556"/>
    </w:pPr>
    <w:rPr>
      <w:rFonts w:ascii="宋体" w:hAnsi="宋体" w:eastAsia="宋体" w:cs="Times New Roman"/>
      <w:b w:val="0"/>
      <w:sz w:val="28"/>
      <w:szCs w:val="20"/>
    </w:rPr>
  </w:style>
  <w:style w:type="paragraph" w:customStyle="1" w:styleId="249">
    <w:name w:val="xl21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250">
    <w:name w:val="正文01"/>
    <w:basedOn w:val="1"/>
    <w:qFormat/>
    <w:uiPriority w:val="0"/>
    <w:pPr>
      <w:spacing w:before="60" w:line="460" w:lineRule="exact"/>
      <w:ind w:firstLine="200"/>
    </w:pPr>
    <w:rPr>
      <w:rFonts w:ascii="Arial" w:hAnsi="Arial" w:eastAsia="宋体" w:cs="Times New Roman"/>
      <w:b w:val="0"/>
      <w:kern w:val="1"/>
      <w:sz w:val="24"/>
      <w:szCs w:val="24"/>
    </w:rPr>
  </w:style>
  <w:style w:type="paragraph" w:customStyle="1" w:styleId="251">
    <w:name w:val="font9"/>
    <w:basedOn w:val="1"/>
    <w:qFormat/>
    <w:uiPriority w:val="0"/>
    <w:pPr>
      <w:widowControl/>
      <w:spacing w:before="100" w:beforeAutospacing="1" w:after="100" w:afterAutospacing="1"/>
      <w:jc w:val="left"/>
    </w:pPr>
    <w:rPr>
      <w:rFonts w:ascii="Arial" w:hAnsi="Arial" w:eastAsia="宋体" w:cs="Arial"/>
      <w:b w:val="0"/>
      <w:sz w:val="20"/>
      <w:szCs w:val="20"/>
    </w:rPr>
  </w:style>
  <w:style w:type="paragraph" w:customStyle="1" w:styleId="252">
    <w:name w:val="xl23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253">
    <w:name w:val="_Style 248"/>
    <w:basedOn w:val="2"/>
    <w:next w:val="1"/>
    <w:qFormat/>
    <w:uiPriority w:val="0"/>
    <w:pPr>
      <w:widowControl/>
      <w:numPr>
        <w:ilvl w:val="0"/>
        <w:numId w:val="0"/>
      </w:numPr>
      <w:spacing w:before="480" w:line="276" w:lineRule="auto"/>
      <w:ind w:left="0" w:firstLine="0"/>
      <w:jc w:val="left"/>
      <w:outlineLvl w:val="9"/>
    </w:pPr>
    <w:rPr>
      <w:rFonts w:ascii="Cambria" w:hAnsi="Cambria" w:eastAsia="宋体" w:cs="Cambria"/>
      <w:b/>
      <w:color w:val="365F91"/>
      <w:spacing w:val="0"/>
      <w:sz w:val="28"/>
      <w:szCs w:val="28"/>
    </w:rPr>
  </w:style>
  <w:style w:type="paragraph" w:customStyle="1" w:styleId="254">
    <w:name w:val=" Char Char Char Char"/>
    <w:basedOn w:val="1"/>
    <w:qFormat/>
    <w:uiPriority w:val="0"/>
    <w:pPr>
      <w:widowControl/>
      <w:spacing w:after="160" w:line="240" w:lineRule="exact"/>
      <w:jc w:val="left"/>
    </w:pPr>
    <w:rPr>
      <w:rFonts w:ascii="Verdana" w:hAnsi="Verdana" w:eastAsia="宋体" w:cs="Times New Roman"/>
      <w:b w:val="0"/>
      <w:sz w:val="20"/>
      <w:szCs w:val="20"/>
      <w:lang w:eastAsia="en-US"/>
    </w:rPr>
  </w:style>
  <w:style w:type="paragraph" w:customStyle="1" w:styleId="255">
    <w:name w:val="xl20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256">
    <w:name w:val="Char2"/>
    <w:basedOn w:val="1"/>
    <w:qFormat/>
    <w:uiPriority w:val="0"/>
    <w:rPr>
      <w:rFonts w:cs="Times New Roman"/>
      <w:kern w:val="1"/>
      <w:sz w:val="32"/>
      <w:szCs w:val="32"/>
    </w:rPr>
  </w:style>
  <w:style w:type="paragraph" w:customStyle="1" w:styleId="257">
    <w:name w:val="pa-2"/>
    <w:basedOn w:val="1"/>
    <w:qFormat/>
    <w:uiPriority w:val="0"/>
    <w:pPr>
      <w:widowControl/>
      <w:spacing w:line="240" w:lineRule="atLeast"/>
      <w:ind w:firstLine="440"/>
    </w:pPr>
    <w:rPr>
      <w:rFonts w:ascii="宋体" w:hAnsi="宋体" w:eastAsia="宋体"/>
      <w:b w:val="0"/>
      <w:sz w:val="24"/>
      <w:szCs w:val="24"/>
    </w:rPr>
  </w:style>
  <w:style w:type="paragraph" w:customStyle="1" w:styleId="258">
    <w:name w:val="Bullets"/>
    <w:basedOn w:val="1"/>
    <w:qFormat/>
    <w:uiPriority w:val="0"/>
    <w:pPr>
      <w:widowControl/>
      <w:tabs>
        <w:tab w:val="left" w:pos="360"/>
        <w:tab w:val="left" w:pos="720"/>
      </w:tabs>
      <w:spacing w:after="160" w:line="320" w:lineRule="atLeast"/>
      <w:ind w:left="720" w:hanging="360"/>
      <w:jc w:val="left"/>
    </w:pPr>
    <w:rPr>
      <w:rFonts w:ascii="High Tower Text" w:hAnsi="High Tower Text" w:eastAsia="Times New Roman" w:cs="Times New Roman"/>
      <w:b w:val="0"/>
      <w:sz w:val="24"/>
      <w:szCs w:val="20"/>
      <w:lang w:eastAsia="en-US"/>
    </w:rPr>
  </w:style>
  <w:style w:type="paragraph" w:customStyle="1" w:styleId="259">
    <w:name w:val="Char1"/>
    <w:basedOn w:val="1"/>
    <w:qFormat/>
    <w:uiPriority w:val="0"/>
    <w:rPr>
      <w:rFonts w:ascii="Tahoma" w:hAnsi="Tahoma" w:eastAsia="宋体" w:cs="Times New Roman"/>
      <w:b w:val="0"/>
      <w:kern w:val="1"/>
      <w:sz w:val="24"/>
      <w:szCs w:val="20"/>
    </w:rPr>
  </w:style>
  <w:style w:type="paragraph" w:customStyle="1" w:styleId="260">
    <w:name w:val="xl6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仿宋" w:hAnsi="仿宋" w:cs="仿宋"/>
      <w:sz w:val="24"/>
      <w:szCs w:val="24"/>
    </w:rPr>
  </w:style>
  <w:style w:type="paragraph" w:customStyle="1" w:styleId="261">
    <w:name w:val="正文_13"/>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62">
    <w:name w:val="xl8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仿宋" w:hAnsi="仿宋" w:cs="仿宋"/>
      <w:b w:val="0"/>
      <w:color w:val="FF0000"/>
      <w:sz w:val="20"/>
      <w:szCs w:val="20"/>
    </w:rPr>
  </w:style>
  <w:style w:type="paragraph" w:customStyle="1" w:styleId="263">
    <w:name w:val="WPS Plain"/>
    <w:qFormat/>
    <w:uiPriority w:val="0"/>
    <w:rPr>
      <w:rFonts w:ascii="Calibri" w:hAnsi="Calibri" w:eastAsia="宋体" w:cs="Calibri"/>
      <w:color w:val="000000"/>
      <w:kern w:val="1"/>
      <w:sz w:val="21"/>
      <w:szCs w:val="22"/>
      <w:lang w:val="en-US" w:eastAsia="zh-CN" w:bidi="ar-SA"/>
    </w:rPr>
  </w:style>
  <w:style w:type="paragraph" w:customStyle="1" w:styleId="264">
    <w:name w:val="PM_Tabelle Text Ende"/>
    <w:basedOn w:val="1"/>
    <w:next w:val="1"/>
    <w:qFormat/>
    <w:uiPriority w:val="0"/>
    <w:pPr>
      <w:jc w:val="left"/>
    </w:pPr>
    <w:rPr>
      <w:rFonts w:ascii="Arial" w:hAnsi="Arial" w:eastAsia="宋体" w:cs="Times New Roman"/>
      <w:b w:val="0"/>
      <w:sz w:val="24"/>
      <w:szCs w:val="24"/>
    </w:rPr>
  </w:style>
  <w:style w:type="paragraph" w:customStyle="1" w:styleId="265">
    <w:name w:val="xl38"/>
    <w:basedOn w:val="1"/>
    <w:qFormat/>
    <w:uiPriority w:val="0"/>
    <w:pPr>
      <w:widowControl/>
      <w:spacing w:before="100" w:beforeAutospacing="1" w:after="100" w:afterAutospacing="1"/>
      <w:jc w:val="center"/>
    </w:pPr>
    <w:rPr>
      <w:rFonts w:ascii="Arial Unicode MS" w:hAnsi="Arial Unicode MS" w:eastAsia="宋体" w:cs="Arial Unicode MS"/>
      <w:b w:val="0"/>
      <w:sz w:val="24"/>
      <w:szCs w:val="24"/>
    </w:rPr>
  </w:style>
  <w:style w:type="paragraph" w:customStyle="1" w:styleId="266">
    <w:name w:val="xl24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b w:val="0"/>
      <w:sz w:val="20"/>
      <w:szCs w:val="20"/>
    </w:rPr>
  </w:style>
  <w:style w:type="paragraph" w:customStyle="1" w:styleId="267">
    <w:name w:val="xl79"/>
    <w:basedOn w:val="1"/>
    <w:qFormat/>
    <w:uiPriority w:val="0"/>
    <w:pPr>
      <w:widowControl/>
      <w:pBdr>
        <w:top w:val="single" w:color="000000" w:sz="4" w:space="0"/>
        <w:bottom w:val="single" w:color="000000" w:sz="4" w:space="0"/>
        <w:right w:val="single" w:color="000000" w:sz="4" w:space="0"/>
      </w:pBdr>
      <w:spacing w:before="100" w:beforeAutospacing="1" w:after="100" w:afterAutospacing="1"/>
      <w:jc w:val="center"/>
    </w:pPr>
    <w:rPr>
      <w:rFonts w:ascii="仿宋" w:hAnsi="仿宋" w:cs="仿宋"/>
      <w:b w:val="0"/>
      <w:sz w:val="20"/>
      <w:szCs w:val="20"/>
    </w:rPr>
  </w:style>
  <w:style w:type="paragraph" w:customStyle="1" w:styleId="268">
    <w:name w:val="操作ステップ"/>
    <w:basedOn w:val="1"/>
    <w:next w:val="153"/>
    <w:qFormat/>
    <w:uiPriority w:val="0"/>
    <w:pPr>
      <w:tabs>
        <w:tab w:val="left" w:pos="1984"/>
      </w:tabs>
      <w:spacing w:line="340" w:lineRule="exact"/>
      <w:ind w:left="1984" w:right="-62" w:hanging="283"/>
      <w:jc w:val="left"/>
      <w:outlineLvl w:val="7"/>
    </w:pPr>
    <w:rPr>
      <w:rFonts w:ascii="Century" w:hAnsi="Century" w:eastAsia="宋体" w:cs="Times New Roman"/>
      <w:b w:val="0"/>
      <w:kern w:val="1"/>
      <w:sz w:val="20"/>
      <w:szCs w:val="24"/>
    </w:rPr>
  </w:style>
  <w:style w:type="paragraph" w:customStyle="1" w:styleId="269">
    <w:name w:val="xl3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Times New Roman" w:hAnsi="Times New Roman" w:eastAsia="宋体" w:cs="Times New Roman"/>
      <w:b w:val="0"/>
      <w:sz w:val="24"/>
      <w:szCs w:val="24"/>
    </w:rPr>
  </w:style>
  <w:style w:type="paragraph" w:customStyle="1" w:styleId="270">
    <w:name w:val="xl27"/>
    <w:basedOn w:val="1"/>
    <w:qFormat/>
    <w:uiPriority w:val="0"/>
    <w:pPr>
      <w:widowControl/>
      <w:spacing w:before="100" w:beforeAutospacing="1" w:after="100" w:afterAutospacing="1"/>
      <w:jc w:val="center"/>
    </w:pPr>
    <w:rPr>
      <w:rFonts w:ascii="黑体" w:hAnsi="黑体" w:eastAsia="黑体" w:cs="Times New Roman"/>
      <w:b w:val="0"/>
      <w:sz w:val="36"/>
      <w:szCs w:val="36"/>
    </w:rPr>
  </w:style>
  <w:style w:type="paragraph" w:customStyle="1" w:styleId="271">
    <w:name w:val="+正文"/>
    <w:basedOn w:val="1"/>
    <w:qFormat/>
    <w:uiPriority w:val="0"/>
    <w:pPr>
      <w:spacing w:line="360" w:lineRule="auto"/>
      <w:ind w:firstLine="200"/>
    </w:pPr>
    <w:rPr>
      <w:rFonts w:ascii="Times New Roman" w:hAnsi="Times New Roman" w:eastAsia="宋体" w:cs="Times New Roman"/>
      <w:b w:val="0"/>
      <w:sz w:val="24"/>
      <w:szCs w:val="28"/>
    </w:rPr>
  </w:style>
  <w:style w:type="paragraph" w:customStyle="1" w:styleId="272">
    <w:name w:val="xl240"/>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left"/>
    </w:pPr>
    <w:rPr>
      <w:rFonts w:ascii="Arial" w:hAnsi="Arial" w:eastAsia="宋体" w:cs="Arial"/>
      <w:b w:val="0"/>
      <w:sz w:val="20"/>
      <w:szCs w:val="20"/>
    </w:rPr>
  </w:style>
  <w:style w:type="paragraph" w:customStyle="1" w:styleId="273">
    <w:name w:val="xl3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Unicode MS" w:hAnsi="Arial Unicode MS" w:eastAsia="宋体" w:cs="Times New Roman"/>
      <w:b w:val="0"/>
      <w:sz w:val="18"/>
      <w:szCs w:val="18"/>
    </w:rPr>
  </w:style>
  <w:style w:type="paragraph" w:customStyle="1" w:styleId="274">
    <w:name w:val="xl7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仿宋" w:hAnsi="仿宋" w:cs="仿宋"/>
      <w:b w:val="0"/>
      <w:sz w:val="20"/>
      <w:szCs w:val="20"/>
    </w:rPr>
  </w:style>
  <w:style w:type="paragraph" w:customStyle="1" w:styleId="275">
    <w:name w:val="样式 标题 3h3H3sect1.2.3HeadCHeading 3 - oldMapH31Level 3 To..."/>
    <w:basedOn w:val="4"/>
    <w:next w:val="276"/>
    <w:qFormat/>
    <w:uiPriority w:val="0"/>
    <w:pPr>
      <w:widowControl/>
      <w:numPr>
        <w:ilvl w:val="0"/>
        <w:numId w:val="0"/>
      </w:numPr>
      <w:tabs>
        <w:tab w:val="left" w:pos="851"/>
      </w:tabs>
      <w:spacing w:before="120" w:line="360" w:lineRule="auto"/>
      <w:ind w:left="0" w:firstLine="0"/>
      <w:jc w:val="left"/>
    </w:pPr>
    <w:rPr>
      <w:rFonts w:ascii="Tahoma" w:hAnsi="Tahoma" w:cs="Tahoma"/>
      <w:b/>
      <w:spacing w:val="0"/>
      <w:sz w:val="24"/>
      <w:szCs w:val="24"/>
    </w:rPr>
  </w:style>
  <w:style w:type="paragraph" w:customStyle="1" w:styleId="276">
    <w:name w:val="样式 正文缩进特点表正文正文非缩进正文（首行缩进两字） + Tahoma 两端对齐"/>
    <w:basedOn w:val="6"/>
    <w:qFormat/>
    <w:uiPriority w:val="0"/>
    <w:pPr>
      <w:spacing w:line="360" w:lineRule="auto"/>
      <w:ind w:firstLine="510"/>
    </w:pPr>
    <w:rPr>
      <w:rFonts w:ascii="Tahoma" w:hAnsi="Tahoma" w:eastAsia="宋体" w:cs="Tahoma"/>
      <w:b w:val="0"/>
      <w:kern w:val="1"/>
      <w:sz w:val="24"/>
      <w:szCs w:val="24"/>
    </w:rPr>
  </w:style>
  <w:style w:type="paragraph" w:customStyle="1" w:styleId="277">
    <w:name w:val="Char Char2 Char"/>
    <w:basedOn w:val="1"/>
    <w:qFormat/>
    <w:uiPriority w:val="0"/>
    <w:pPr>
      <w:keepNext/>
      <w:keepLines/>
      <w:pageBreakBefore/>
      <w:tabs>
        <w:tab w:val="left" w:pos="845"/>
      </w:tabs>
      <w:ind w:left="845" w:hanging="420"/>
    </w:pPr>
    <w:rPr>
      <w:rFonts w:ascii="Tahoma" w:hAnsi="Tahoma" w:eastAsia="宋体" w:cs="Times New Roman"/>
      <w:b w:val="0"/>
      <w:kern w:val="1"/>
      <w:sz w:val="24"/>
      <w:szCs w:val="20"/>
    </w:rPr>
  </w:style>
  <w:style w:type="paragraph" w:customStyle="1" w:styleId="278">
    <w:name w:val="xl22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279">
    <w:name w:val="[Normal]"/>
    <w:qFormat/>
    <w:uiPriority w:val="0"/>
    <w:rPr>
      <w:rFonts w:ascii="宋体" w:hAnsi="宋体" w:eastAsia="宋体" w:cs="Times New Roman"/>
      <w:sz w:val="24"/>
      <w:szCs w:val="22"/>
      <w:lang w:val="zh-CN" w:eastAsia="zh-CN" w:bidi="ar-SA"/>
    </w:rPr>
  </w:style>
  <w:style w:type="paragraph" w:customStyle="1" w:styleId="280">
    <w:name w:val="font6"/>
    <w:basedOn w:val="1"/>
    <w:qFormat/>
    <w:uiPriority w:val="0"/>
    <w:pPr>
      <w:widowControl/>
      <w:spacing w:before="100" w:beforeAutospacing="1" w:after="100" w:afterAutospacing="1"/>
      <w:jc w:val="left"/>
    </w:pPr>
    <w:rPr>
      <w:rFonts w:ascii="宋体" w:hAnsi="宋体" w:eastAsia="宋体"/>
      <w:b w:val="0"/>
      <w:sz w:val="20"/>
      <w:szCs w:val="20"/>
    </w:rPr>
  </w:style>
  <w:style w:type="paragraph" w:customStyle="1" w:styleId="281">
    <w:name w:val="xl21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282">
    <w:name w:val="indent 5"/>
    <w:basedOn w:val="232"/>
    <w:next w:val="232"/>
    <w:qFormat/>
    <w:uiPriority w:val="0"/>
    <w:pPr>
      <w:spacing w:before="60" w:after="60"/>
    </w:pPr>
    <w:rPr>
      <w:rFonts w:ascii="Times New Roman" w:hAnsi="Times New Roman" w:cs="Times New Roman"/>
    </w:rPr>
  </w:style>
  <w:style w:type="paragraph" w:customStyle="1" w:styleId="283">
    <w:name w:val="条文レベル3-個条書き"/>
    <w:basedOn w:val="180"/>
    <w:qFormat/>
    <w:uiPriority w:val="0"/>
    <w:pPr>
      <w:tabs>
        <w:tab w:val="left" w:pos="5954"/>
      </w:tabs>
      <w:outlineLvl w:val="6"/>
    </w:pPr>
  </w:style>
  <w:style w:type="paragraph" w:customStyle="1" w:styleId="284">
    <w:name w:val="Style Heading 1H1Heading 0R1H11h1Level 1 Topic HeadingSectio..."/>
    <w:basedOn w:val="2"/>
    <w:next w:val="276"/>
    <w:qFormat/>
    <w:uiPriority w:val="0"/>
    <w:pPr>
      <w:pageBreakBefore/>
      <w:widowControl/>
      <w:numPr>
        <w:ilvl w:val="0"/>
        <w:numId w:val="5"/>
      </w:numPr>
      <w:tabs>
        <w:tab w:val="left" w:pos="900"/>
      </w:tabs>
      <w:spacing w:before="120" w:line="360" w:lineRule="auto"/>
      <w:ind w:left="900" w:hanging="420"/>
      <w:jc w:val="left"/>
    </w:pPr>
    <w:rPr>
      <w:rFonts w:ascii="宋体" w:hAnsi="宋体" w:cs="宋体"/>
      <w:b/>
      <w:spacing w:val="0"/>
      <w:kern w:val="1"/>
      <w:sz w:val="32"/>
      <w:szCs w:val="32"/>
    </w:rPr>
  </w:style>
  <w:style w:type="paragraph" w:customStyle="1" w:styleId="285">
    <w:name w:val="xl231"/>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left"/>
    </w:pPr>
    <w:rPr>
      <w:rFonts w:ascii="Arial" w:hAnsi="Arial" w:eastAsia="宋体" w:cs="Arial"/>
      <w:b w:val="0"/>
      <w:sz w:val="20"/>
      <w:szCs w:val="20"/>
    </w:rPr>
  </w:style>
  <w:style w:type="paragraph" w:customStyle="1" w:styleId="286">
    <w:name w:val="列出段落2"/>
    <w:basedOn w:val="1"/>
    <w:qFormat/>
    <w:uiPriority w:val="0"/>
    <w:pPr>
      <w:ind w:firstLine="420"/>
    </w:pPr>
    <w:rPr>
      <w:rFonts w:ascii="Calibri" w:hAnsi="Calibri" w:eastAsia="宋体" w:cs="Times New Roman"/>
      <w:b w:val="0"/>
      <w:kern w:val="1"/>
    </w:rPr>
  </w:style>
  <w:style w:type="paragraph" w:customStyle="1" w:styleId="287">
    <w:name w:val="xl21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288">
    <w:name w:val="xl43"/>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left"/>
    </w:pPr>
    <w:rPr>
      <w:rFonts w:ascii="Times New Roman" w:hAnsi="Times New Roman" w:eastAsia="宋体" w:cs="Times New Roman"/>
      <w:b w:val="0"/>
      <w:sz w:val="24"/>
      <w:szCs w:val="24"/>
    </w:rPr>
  </w:style>
  <w:style w:type="paragraph" w:customStyle="1" w:styleId="289">
    <w:name w:val="Char1 Char Char Char"/>
    <w:basedOn w:val="1"/>
    <w:qFormat/>
    <w:uiPriority w:val="0"/>
    <w:rPr>
      <w:rFonts w:ascii="Times New Roman" w:hAnsi="Times New Roman" w:eastAsia="宋体" w:cs="Times New Roman"/>
      <w:b w:val="0"/>
      <w:kern w:val="1"/>
      <w:szCs w:val="24"/>
    </w:rPr>
  </w:style>
  <w:style w:type="paragraph" w:customStyle="1" w:styleId="290">
    <w:name w:val=" Char Char8 Char Char Char Char"/>
    <w:basedOn w:val="1"/>
    <w:qFormat/>
    <w:uiPriority w:val="0"/>
  </w:style>
  <w:style w:type="paragraph" w:customStyle="1" w:styleId="291">
    <w:name w:val="_Style 561"/>
    <w:basedOn w:val="18"/>
    <w:qFormat/>
    <w:uiPriority w:val="0"/>
  </w:style>
  <w:style w:type="paragraph" w:customStyle="1" w:styleId="292">
    <w:name w:val="缺省文本"/>
    <w:basedOn w:val="1"/>
    <w:qFormat/>
    <w:uiPriority w:val="0"/>
    <w:pPr>
      <w:jc w:val="left"/>
    </w:pPr>
    <w:rPr>
      <w:rFonts w:ascii="Times New Roman" w:hAnsi="Times New Roman" w:eastAsia="宋体" w:cs="Times New Roman"/>
      <w:b w:val="0"/>
      <w:sz w:val="24"/>
      <w:szCs w:val="20"/>
    </w:rPr>
  </w:style>
  <w:style w:type="paragraph" w:customStyle="1" w:styleId="293">
    <w:name w:val="正文（绿盟科技）"/>
    <w:qFormat/>
    <w:uiPriority w:val="0"/>
    <w:pPr>
      <w:spacing w:line="300" w:lineRule="auto"/>
    </w:pPr>
    <w:rPr>
      <w:rFonts w:ascii="Arial" w:hAnsi="Arial" w:eastAsia="宋体" w:cs="Arial"/>
      <w:color w:val="000000"/>
      <w:sz w:val="21"/>
      <w:szCs w:val="21"/>
      <w:lang w:val="en-US" w:eastAsia="zh-CN" w:bidi="ar-SA"/>
    </w:rPr>
  </w:style>
  <w:style w:type="paragraph" w:customStyle="1" w:styleId="294">
    <w:name w:val="dkk表組"/>
    <w:basedOn w:val="1"/>
    <w:qFormat/>
    <w:uiPriority w:val="0"/>
    <w:pPr>
      <w:spacing w:after="40" w:line="320" w:lineRule="exact"/>
    </w:pPr>
    <w:rPr>
      <w:rFonts w:ascii="Times New Roman" w:hAnsi="Times New Roman" w:eastAsia="宋体" w:cs="Times New Roman"/>
      <w:b w:val="0"/>
      <w:kern w:val="1"/>
      <w:sz w:val="18"/>
      <w:szCs w:val="24"/>
    </w:rPr>
  </w:style>
  <w:style w:type="paragraph" w:customStyle="1" w:styleId="295">
    <w:name w:val="++标题2"/>
    <w:basedOn w:val="3"/>
    <w:qFormat/>
    <w:uiPriority w:val="0"/>
    <w:pPr>
      <w:keepLines w:val="0"/>
      <w:numPr>
        <w:ilvl w:val="0"/>
        <w:numId w:val="0"/>
      </w:numPr>
      <w:spacing w:line="240" w:lineRule="auto"/>
      <w:ind w:left="0" w:firstLine="0"/>
    </w:pPr>
    <w:rPr>
      <w:rFonts w:ascii="宋体" w:hAnsi="宋体" w:eastAsia="宋体" w:cs="Arial"/>
      <w:spacing w:val="0"/>
      <w:sz w:val="24"/>
      <w:szCs w:val="24"/>
    </w:rPr>
  </w:style>
  <w:style w:type="paragraph" w:customStyle="1" w:styleId="296">
    <w:name w:val="Item List in Table"/>
    <w:basedOn w:val="1"/>
    <w:qFormat/>
    <w:uiPriority w:val="0"/>
    <w:pPr>
      <w:widowControl/>
      <w:spacing w:before="80" w:after="80" w:line="240" w:lineRule="atLeast"/>
      <w:ind w:left="284" w:hanging="284"/>
      <w:jc w:val="left"/>
    </w:pPr>
    <w:rPr>
      <w:rFonts w:ascii="Times New Roman" w:hAnsi="Times New Roman" w:eastAsia="宋体" w:cs="Arial"/>
      <w:b w:val="0"/>
    </w:rPr>
  </w:style>
  <w:style w:type="paragraph" w:customStyle="1" w:styleId="297">
    <w:name w:val="PM_Tabelle Text"/>
    <w:basedOn w:val="1"/>
    <w:next w:val="1"/>
    <w:qFormat/>
    <w:uiPriority w:val="0"/>
    <w:pPr>
      <w:jc w:val="left"/>
    </w:pPr>
    <w:rPr>
      <w:rFonts w:ascii="Arial" w:hAnsi="Arial" w:eastAsia="宋体" w:cs="Times New Roman"/>
      <w:b w:val="0"/>
      <w:sz w:val="24"/>
      <w:szCs w:val="24"/>
    </w:rPr>
  </w:style>
  <w:style w:type="paragraph" w:customStyle="1" w:styleId="298">
    <w:name w:val="Char Char3 Char Char"/>
    <w:basedOn w:val="1"/>
    <w:qFormat/>
    <w:uiPriority w:val="0"/>
    <w:rPr>
      <w:rFonts w:ascii="Times New Roman" w:hAnsi="Times New Roman" w:eastAsia="宋体" w:cs="Times New Roman"/>
      <w:b w:val="0"/>
      <w:kern w:val="1"/>
      <w:szCs w:val="24"/>
    </w:rPr>
  </w:style>
  <w:style w:type="paragraph" w:customStyle="1" w:styleId="299">
    <w:name w:val="默认段落字体 Para Char Char Char Char Char Char Char"/>
    <w:basedOn w:val="1"/>
    <w:qFormat/>
    <w:uiPriority w:val="0"/>
    <w:pPr>
      <w:spacing w:line="360" w:lineRule="auto"/>
    </w:pPr>
    <w:rPr>
      <w:rFonts w:ascii="Tahoma" w:hAnsi="Tahoma" w:eastAsia="宋体" w:cs="Times New Roman"/>
      <w:b w:val="0"/>
      <w:sz w:val="24"/>
      <w:szCs w:val="20"/>
    </w:rPr>
  </w:style>
  <w:style w:type="paragraph" w:customStyle="1" w:styleId="300">
    <w:name w:val="xl22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301">
    <w:name w:val="xl224"/>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rFonts w:ascii="Arial" w:hAnsi="Arial" w:eastAsia="宋体" w:cs="Arial"/>
      <w:b w:val="0"/>
      <w:sz w:val="20"/>
      <w:szCs w:val="20"/>
    </w:rPr>
  </w:style>
  <w:style w:type="paragraph" w:customStyle="1" w:styleId="302">
    <w:name w:val="xl22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03">
    <w:name w:val="xl21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04">
    <w:name w:val="正文缩进2"/>
    <w:basedOn w:val="1"/>
    <w:qFormat/>
    <w:uiPriority w:val="0"/>
    <w:pPr>
      <w:spacing w:before="60"/>
      <w:ind w:firstLine="476"/>
    </w:pPr>
    <w:rPr>
      <w:rFonts w:ascii="Times New Roman" w:hAnsi="Times New Roman" w:eastAsia="宋体" w:cs="Times New Roman"/>
      <w:b w:val="0"/>
      <w:kern w:val="1"/>
      <w:sz w:val="24"/>
      <w:szCs w:val="20"/>
    </w:rPr>
  </w:style>
  <w:style w:type="paragraph" w:customStyle="1" w:styleId="305">
    <w:name w:val="xl21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06">
    <w:name w:val="Char Char5 Char"/>
    <w:basedOn w:val="1"/>
    <w:qFormat/>
    <w:uiPriority w:val="0"/>
    <w:rPr>
      <w:rFonts w:ascii="Times New Roman" w:hAnsi="Times New Roman" w:eastAsia="宋体" w:cs="Times New Roman"/>
      <w:b w:val="0"/>
      <w:kern w:val="1"/>
      <w:szCs w:val="20"/>
    </w:rPr>
  </w:style>
  <w:style w:type="paragraph" w:customStyle="1" w:styleId="307">
    <w:name w:val="xl23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308">
    <w:name w:val="xl3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Unicode MS" w:hAnsi="Arial Unicode MS" w:eastAsia="宋体" w:cs="Times New Roman"/>
      <w:b w:val="0"/>
      <w:sz w:val="18"/>
      <w:szCs w:val="18"/>
    </w:rPr>
  </w:style>
  <w:style w:type="paragraph" w:customStyle="1" w:styleId="309">
    <w:name w:val="表格正文"/>
    <w:basedOn w:val="1"/>
    <w:qFormat/>
    <w:uiPriority w:val="0"/>
    <w:pPr>
      <w:spacing w:before="60" w:after="60"/>
      <w:jc w:val="center"/>
    </w:pPr>
    <w:rPr>
      <w:rFonts w:ascii="Times New Roman" w:hAnsi="Times New Roman" w:eastAsia="宋体" w:cs="Times New Roman"/>
      <w:b w:val="0"/>
      <w:sz w:val="24"/>
      <w:szCs w:val="20"/>
    </w:rPr>
  </w:style>
  <w:style w:type="paragraph" w:customStyle="1" w:styleId="310">
    <w:name w:val="xl7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仿宋" w:hAnsi="仿宋" w:cs="仿宋"/>
      <w:sz w:val="20"/>
      <w:szCs w:val="20"/>
    </w:rPr>
  </w:style>
  <w:style w:type="paragraph" w:customStyle="1" w:styleId="311">
    <w:name w:val="p0"/>
    <w:basedOn w:val="1"/>
    <w:qFormat/>
    <w:uiPriority w:val="0"/>
    <w:pPr>
      <w:widowControl/>
    </w:pPr>
  </w:style>
  <w:style w:type="paragraph" w:customStyle="1" w:styleId="312">
    <w:name w:val="Normal Paragraph"/>
    <w:qFormat/>
    <w:uiPriority w:val="0"/>
    <w:pPr>
      <w:spacing w:before="120"/>
      <w:ind w:left="1800"/>
    </w:pPr>
    <w:rPr>
      <w:rFonts w:ascii="宋体" w:hAnsi="宋体" w:eastAsia="宋体" w:cs="Calibri"/>
      <w:color w:val="000000"/>
      <w:lang w:val="en-US" w:eastAsia="zh-CN" w:bidi="ar-SA"/>
    </w:rPr>
  </w:style>
  <w:style w:type="paragraph" w:customStyle="1" w:styleId="313">
    <w:name w:val="xl45"/>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left"/>
    </w:pPr>
    <w:rPr>
      <w:rFonts w:ascii="Arial Unicode MS" w:hAnsi="Arial Unicode MS" w:eastAsia="宋体" w:cs="Arial Unicode MS"/>
      <w:b w:val="0"/>
      <w:sz w:val="24"/>
      <w:szCs w:val="24"/>
    </w:rPr>
  </w:style>
  <w:style w:type="paragraph" w:customStyle="1" w:styleId="314">
    <w:name w:val="xl23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15">
    <w:name w:val=" Char Char7 Char"/>
    <w:basedOn w:val="1"/>
    <w:qFormat/>
    <w:uiPriority w:val="0"/>
    <w:pPr>
      <w:tabs>
        <w:tab w:val="left" w:pos="425"/>
      </w:tabs>
      <w:ind w:left="420" w:firstLine="270"/>
    </w:pPr>
    <w:rPr>
      <w:rFonts w:ascii="宋体" w:hAnsi="宋体" w:eastAsia="宋体" w:cs="Arial"/>
      <w:b w:val="0"/>
      <w:color w:val="5E5E5E"/>
    </w:rPr>
  </w:style>
  <w:style w:type="paragraph" w:customStyle="1" w:styleId="316">
    <w:name w:val="xl22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317">
    <w:name w:val="Char Char3"/>
    <w:basedOn w:val="1"/>
    <w:qFormat/>
    <w:uiPriority w:val="0"/>
    <w:rPr>
      <w:rFonts w:ascii="Times New Roman" w:hAnsi="Times New Roman" w:eastAsia="宋体" w:cs="Times New Roman"/>
      <w:b w:val="0"/>
      <w:kern w:val="1"/>
      <w:szCs w:val="24"/>
    </w:rPr>
  </w:style>
  <w:style w:type="paragraph" w:customStyle="1" w:styleId="318">
    <w:name w:val="xl24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b w:val="0"/>
      <w:sz w:val="20"/>
      <w:szCs w:val="20"/>
    </w:rPr>
  </w:style>
  <w:style w:type="paragraph" w:customStyle="1" w:styleId="319">
    <w:name w:val="xl21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20">
    <w:name w:val="xl28"/>
    <w:basedOn w:val="1"/>
    <w:qFormat/>
    <w:uiPriority w:val="0"/>
    <w:pPr>
      <w:widowControl/>
      <w:spacing w:before="100" w:beforeAutospacing="1" w:after="100" w:afterAutospacing="1"/>
      <w:jc w:val="center"/>
    </w:pPr>
    <w:rPr>
      <w:rFonts w:ascii="黑体" w:hAnsi="黑体" w:eastAsia="黑体" w:cs="Times New Roman"/>
      <w:b w:val="0"/>
      <w:sz w:val="32"/>
      <w:szCs w:val="32"/>
    </w:rPr>
  </w:style>
  <w:style w:type="paragraph" w:customStyle="1" w:styleId="321">
    <w:name w:val="xl29"/>
    <w:basedOn w:val="1"/>
    <w:qFormat/>
    <w:uiPriority w:val="0"/>
    <w:pPr>
      <w:widowControl/>
      <w:spacing w:before="100" w:beforeAutospacing="1" w:after="100" w:afterAutospacing="1"/>
      <w:jc w:val="left"/>
    </w:pPr>
    <w:rPr>
      <w:rFonts w:ascii="Arial Unicode MS" w:hAnsi="Arial Unicode MS" w:eastAsia="宋体" w:cs="Times New Roman"/>
      <w:b w:val="0"/>
      <w:sz w:val="18"/>
      <w:szCs w:val="18"/>
    </w:rPr>
  </w:style>
  <w:style w:type="paragraph" w:customStyle="1" w:styleId="322">
    <w:name w:val="font7"/>
    <w:basedOn w:val="1"/>
    <w:qFormat/>
    <w:uiPriority w:val="0"/>
    <w:pPr>
      <w:widowControl/>
      <w:spacing w:before="100" w:beforeAutospacing="1" w:after="100" w:afterAutospacing="1"/>
      <w:jc w:val="left"/>
    </w:pPr>
    <w:rPr>
      <w:rFonts w:ascii="宋体" w:hAnsi="宋体" w:eastAsia="宋体"/>
      <w:b w:val="0"/>
      <w:sz w:val="22"/>
      <w:szCs w:val="22"/>
    </w:rPr>
  </w:style>
  <w:style w:type="paragraph" w:customStyle="1" w:styleId="323">
    <w:name w:val="xl21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324">
    <w:name w:val="-正文 Char"/>
    <w:basedOn w:val="1"/>
    <w:qFormat/>
    <w:uiPriority w:val="0"/>
    <w:pPr>
      <w:widowControl/>
      <w:spacing w:line="360" w:lineRule="auto"/>
      <w:ind w:firstLine="200"/>
      <w:jc w:val="left"/>
    </w:pPr>
    <w:rPr>
      <w:rFonts w:ascii="Arial" w:hAnsi="Arial" w:eastAsia="宋体" w:cs="Times New Roman"/>
      <w:b w:val="0"/>
      <w:sz w:val="24"/>
      <w:szCs w:val="24"/>
    </w:rPr>
  </w:style>
  <w:style w:type="paragraph" w:customStyle="1" w:styleId="325">
    <w:name w:val="列出段落3"/>
    <w:basedOn w:val="1"/>
    <w:qFormat/>
    <w:uiPriority w:val="0"/>
    <w:pPr>
      <w:ind w:firstLine="420"/>
    </w:pPr>
    <w:rPr>
      <w:rFonts w:ascii="Times New Roman" w:hAnsi="Times New Roman" w:eastAsia="宋体" w:cs="Times New Roman"/>
      <w:b w:val="0"/>
      <w:kern w:val="1"/>
    </w:rPr>
  </w:style>
  <w:style w:type="paragraph" w:customStyle="1" w:styleId="326">
    <w:name w:val="xl21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27">
    <w:name w:val="xl4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Unicode MS" w:hAnsi="Arial Unicode MS" w:eastAsia="宋体" w:cs="Arial Unicode MS"/>
      <w:b w:val="0"/>
      <w:sz w:val="24"/>
      <w:szCs w:val="24"/>
    </w:rPr>
  </w:style>
  <w:style w:type="paragraph" w:customStyle="1" w:styleId="328">
    <w:name w:val="xl24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29">
    <w:name w:val="列出段落111"/>
    <w:basedOn w:val="1"/>
    <w:qFormat/>
    <w:uiPriority w:val="0"/>
    <w:pPr>
      <w:ind w:firstLine="420"/>
    </w:pPr>
    <w:rPr>
      <w:rFonts w:ascii="Calibri" w:hAnsi="Calibri" w:eastAsia="宋体" w:cs="Times New Roman"/>
      <w:b w:val="0"/>
      <w:kern w:val="1"/>
    </w:rPr>
  </w:style>
  <w:style w:type="paragraph" w:customStyle="1" w:styleId="330">
    <w:name w:val="正文1 Char"/>
    <w:basedOn w:val="1"/>
    <w:qFormat/>
    <w:uiPriority w:val="0"/>
    <w:pPr>
      <w:spacing w:line="360" w:lineRule="auto"/>
      <w:ind w:firstLine="480"/>
    </w:pPr>
    <w:rPr>
      <w:rFonts w:ascii="Calibri" w:hAnsi="Calibri" w:eastAsia="宋体" w:cs="Times New Roman"/>
      <w:b w:val="0"/>
      <w:kern w:val="1"/>
      <w:szCs w:val="22"/>
    </w:rPr>
  </w:style>
  <w:style w:type="paragraph" w:customStyle="1" w:styleId="331">
    <w:name w:val="xl23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4"/>
      <w:szCs w:val="24"/>
    </w:rPr>
  </w:style>
  <w:style w:type="paragraph" w:customStyle="1" w:styleId="332">
    <w:name w:val="xl22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33">
    <w:name w:val="PlainText"/>
    <w:basedOn w:val="1"/>
    <w:next w:val="31"/>
    <w:qFormat/>
    <w:uiPriority w:val="0"/>
    <w:pPr>
      <w:jc w:val="both"/>
      <w:textAlignment w:val="baseline"/>
    </w:pPr>
    <w:rPr>
      <w:rFonts w:ascii="宋体" w:hAnsi="Courier New" w:eastAsia="仿宋_GB2312" w:cs="宋体"/>
      <w:color w:val="000000"/>
      <w:sz w:val="21"/>
      <w:szCs w:val="20"/>
      <w:lang w:val="en-US" w:eastAsia="zh-CN" w:bidi="ar-SA"/>
    </w:rPr>
  </w:style>
  <w:style w:type="paragraph" w:customStyle="1" w:styleId="334">
    <w:name w:val="列出段落11"/>
    <w:basedOn w:val="1"/>
    <w:qFormat/>
    <w:uiPriority w:val="0"/>
    <w:pPr>
      <w:ind w:firstLine="420"/>
    </w:pPr>
    <w:rPr>
      <w:rFonts w:ascii="Calibri" w:hAnsi="Calibri" w:eastAsia="宋体" w:cs="Times New Roman"/>
      <w:b w:val="0"/>
      <w:kern w:val="1"/>
    </w:rPr>
  </w:style>
  <w:style w:type="paragraph" w:customStyle="1" w:styleId="335">
    <w:name w:val="xl21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36">
    <w:name w:val="xl232"/>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rFonts w:ascii="Arial" w:hAnsi="Arial" w:eastAsia="宋体" w:cs="Arial"/>
      <w:b w:val="0"/>
      <w:sz w:val="20"/>
      <w:szCs w:val="20"/>
    </w:rPr>
  </w:style>
  <w:style w:type="paragraph" w:customStyle="1" w:styleId="337">
    <w:name w:val="trs_edito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338">
    <w:name w:val="正文2"/>
    <w:basedOn w:val="1"/>
    <w:qFormat/>
    <w:uiPriority w:val="0"/>
    <w:pPr>
      <w:spacing w:before="156" w:line="360" w:lineRule="auto"/>
      <w:ind w:firstLine="510" w:firstLineChars="200"/>
    </w:pPr>
    <w:rPr>
      <w:sz w:val="24"/>
      <w:szCs w:val="20"/>
    </w:rPr>
  </w:style>
  <w:style w:type="paragraph" w:customStyle="1" w:styleId="339">
    <w:name w:val="Plain Text"/>
    <w:basedOn w:val="1"/>
    <w:qFormat/>
    <w:uiPriority w:val="0"/>
    <w:rPr>
      <w:rFonts w:ascii="宋体" w:hAnsi="Courier New" w:cs="Times New Roman"/>
      <w:kern w:val="0"/>
      <w:sz w:val="20"/>
      <w:szCs w:val="20"/>
    </w:rPr>
  </w:style>
  <w:style w:type="paragraph" w:customStyle="1" w:styleId="340">
    <w:name w:val="正文缩进1"/>
    <w:basedOn w:val="1"/>
    <w:next w:val="24"/>
    <w:qFormat/>
    <w:uiPriority w:val="0"/>
    <w:pPr>
      <w:autoSpaceDE w:val="0"/>
      <w:autoSpaceDN w:val="0"/>
      <w:snapToGrid w:val="0"/>
      <w:spacing w:after="120" w:line="360" w:lineRule="auto"/>
      <w:ind w:left="420" w:leftChars="200" w:firstLine="480" w:firstLineChars="200"/>
    </w:pPr>
    <w:rPr>
      <w:sz w:val="24"/>
      <w:szCs w:val="21"/>
    </w:rPr>
  </w:style>
  <w:style w:type="paragraph" w:customStyle="1" w:styleId="341">
    <w:name w:val="索引 11"/>
    <w:basedOn w:val="1"/>
    <w:next w:val="1"/>
    <w:qFormat/>
    <w:uiPriority w:val="99"/>
    <w:pPr>
      <w:adjustRightInd/>
      <w:spacing w:line="360" w:lineRule="auto"/>
    </w:pPr>
    <w:rPr>
      <w:rFonts w:ascii="仿宋_GB2312" w:eastAsia="仿宋_GB2312"/>
      <w:sz w:val="24"/>
      <w:szCs w:val="20"/>
    </w:rPr>
  </w:style>
  <w:style w:type="paragraph" w:customStyle="1" w:styleId="342">
    <w:name w:val="text-tag"/>
    <w:basedOn w:val="1"/>
    <w:semiHidden/>
    <w:qFormat/>
    <w:uiPriority w:val="99"/>
    <w:pPr>
      <w:widowControl/>
      <w:adjustRightInd/>
      <w:spacing w:before="100" w:beforeAutospacing="1" w:after="100" w:afterAutospacing="1"/>
      <w:jc w:val="left"/>
    </w:pPr>
    <w:rPr>
      <w:rFonts w:ascii="宋体" w:hAnsi="宋体" w:cs="宋体"/>
      <w:kern w:val="0"/>
      <w:sz w:val="24"/>
    </w:rPr>
  </w:style>
  <w:style w:type="paragraph" w:customStyle="1" w:styleId="343">
    <w:name w:val="纯文本1"/>
    <w:basedOn w:val="1"/>
    <w:qFormat/>
    <w:uiPriority w:val="0"/>
    <w:pPr>
      <w:adjustRightInd/>
    </w:pPr>
    <w:rPr>
      <w:rFonts w:ascii="宋体" w:hAnsi="Courier New"/>
      <w:kern w:val="0"/>
      <w:sz w:val="20"/>
      <w:szCs w:val="20"/>
    </w:rPr>
  </w:style>
  <w:style w:type="character" w:customStyle="1" w:styleId="344">
    <w:name w:val="c-icon25"/>
    <w:qFormat/>
    <w:uiPriority w:val="0"/>
  </w:style>
  <w:style w:type="character" w:customStyle="1" w:styleId="345">
    <w:name w:val="hover27"/>
    <w:qFormat/>
    <w:uiPriority w:val="0"/>
    <w:rPr>
      <w:color w:val="315EFB"/>
    </w:rPr>
  </w:style>
  <w:style w:type="character" w:customStyle="1" w:styleId="346">
    <w:name w:val="hover28"/>
    <w:qFormat/>
    <w:uiPriority w:val="0"/>
  </w:style>
  <w:style w:type="character" w:customStyle="1" w:styleId="347">
    <w:name w:val="hover29"/>
    <w:qFormat/>
    <w:uiPriority w:val="0"/>
    <w:rPr>
      <w:color w:val="315EFB"/>
    </w:rPr>
  </w:style>
  <w:style w:type="paragraph" w:customStyle="1" w:styleId="348">
    <w:name w:val="纯文本_0_0"/>
    <w:basedOn w:val="349"/>
    <w:qFormat/>
    <w:uiPriority w:val="0"/>
    <w:rPr>
      <w:rFonts w:ascii="宋体" w:hAnsi="Courier New"/>
      <w:szCs w:val="21"/>
    </w:rPr>
  </w:style>
  <w:style w:type="paragraph" w:customStyle="1" w:styleId="349">
    <w:name w:val="正文_1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50">
    <w:name w:val="部分1"/>
    <w:basedOn w:val="1"/>
    <w:qFormat/>
    <w:uiPriority w:val="0"/>
    <w:pPr>
      <w:keepNext/>
      <w:pageBreakBefore/>
      <w:tabs>
        <w:tab w:val="left" w:pos="720"/>
      </w:tabs>
      <w:spacing w:line="360" w:lineRule="auto"/>
      <w:jc w:val="center"/>
      <w:outlineLvl w:val="0"/>
    </w:pPr>
    <w:rPr>
      <w:rFonts w:eastAsia="黑体"/>
      <w:kern w:val="44"/>
      <w:sz w:val="36"/>
      <w:szCs w:val="20"/>
    </w:rPr>
  </w:style>
  <w:style w:type="paragraph" w:customStyle="1" w:styleId="351">
    <w:name w:val="标题3 附件1"/>
    <w:basedOn w:val="1"/>
    <w:qFormat/>
    <w:uiPriority w:val="0"/>
    <w:pPr>
      <w:keepNext/>
      <w:keepLines/>
      <w:spacing w:before="340" w:after="330" w:line="360" w:lineRule="exact"/>
      <w:jc w:val="left"/>
      <w:outlineLvl w:val="2"/>
    </w:pPr>
    <w:rPr>
      <w:bCs/>
      <w:kern w:val="44"/>
      <w:szCs w:val="21"/>
    </w:rPr>
  </w:style>
  <w:style w:type="paragraph" w:customStyle="1" w:styleId="352">
    <w:name w:val="样式1"/>
    <w:basedOn w:val="34"/>
    <w:qFormat/>
    <w:uiPriority w:val="0"/>
    <w:pPr>
      <w:adjustRightInd w:val="0"/>
      <w:snapToGrid w:val="0"/>
      <w:spacing w:line="500" w:lineRule="atLeast"/>
    </w:pPr>
    <w:rPr>
      <w:rFonts w:ascii="Tahoma" w:hAnsi="Arial Unicode MS" w:eastAsia="Tahoma" w:cs="???|CS?o｡ﾀ?"/>
      <w:b w:val="0"/>
      <w:sz w:val="30"/>
      <w:szCs w:val="30"/>
    </w:rPr>
  </w:style>
  <w:style w:type="character" w:customStyle="1" w:styleId="353">
    <w:name w:val="font01"/>
    <w:basedOn w:val="50"/>
    <w:qFormat/>
    <w:uiPriority w:val="0"/>
    <w:rPr>
      <w:rFonts w:ascii="宋体" w:hAnsi="宋体" w:eastAsia="宋体" w:cs="宋体"/>
      <w:color w:val="000000"/>
      <w:sz w:val="22"/>
      <w:szCs w:val="22"/>
      <w:u w:val="none"/>
    </w:rPr>
  </w:style>
  <w:style w:type="character" w:customStyle="1" w:styleId="354">
    <w:name w:val="font41"/>
    <w:basedOn w:val="50"/>
    <w:qFormat/>
    <w:uiPriority w:val="0"/>
    <w:rPr>
      <w:rFonts w:ascii="Calibri" w:hAnsi="Calibri" w:cs="Calibri"/>
      <w:color w:val="000000"/>
      <w:sz w:val="22"/>
      <w:szCs w:val="22"/>
      <w:u w:val="none"/>
    </w:rPr>
  </w:style>
  <w:style w:type="character" w:customStyle="1" w:styleId="355">
    <w:name w:val="font51"/>
    <w:basedOn w:val="50"/>
    <w:qFormat/>
    <w:uiPriority w:val="0"/>
    <w:rPr>
      <w:rFonts w:ascii="Arial" w:hAnsi="Arial" w:cs="Arial"/>
      <w:color w:val="000000"/>
      <w:sz w:val="20"/>
      <w:szCs w:val="20"/>
      <w:u w:val="none"/>
    </w:rPr>
  </w:style>
  <w:style w:type="character" w:customStyle="1" w:styleId="356">
    <w:name w:val="font61"/>
    <w:basedOn w:val="50"/>
    <w:qFormat/>
    <w:uiPriority w:val="0"/>
    <w:rPr>
      <w:rFonts w:hint="eastAsia" w:ascii="微软雅黑" w:hAnsi="微软雅黑" w:eastAsia="微软雅黑" w:cs="微软雅黑"/>
      <w:b/>
      <w:bCs/>
      <w:color w:val="000000"/>
      <w:sz w:val="20"/>
      <w:szCs w:val="20"/>
      <w:u w:val="none"/>
    </w:rPr>
  </w:style>
  <w:style w:type="character" w:customStyle="1" w:styleId="357">
    <w:name w:val="font71"/>
    <w:basedOn w:val="50"/>
    <w:qFormat/>
    <w:uiPriority w:val="0"/>
    <w:rPr>
      <w:rFonts w:hint="eastAsia" w:ascii="微软雅黑" w:hAnsi="微软雅黑" w:eastAsia="微软雅黑" w:cs="微软雅黑"/>
      <w:color w:val="000000"/>
      <w:sz w:val="20"/>
      <w:szCs w:val="20"/>
      <w:u w:val="none"/>
    </w:rPr>
  </w:style>
  <w:style w:type="paragraph" w:customStyle="1" w:styleId="358">
    <w:name w:val="无间隔1"/>
    <w:basedOn w:val="1"/>
    <w:autoRedefine/>
    <w:qFormat/>
    <w:uiPriority w:val="0"/>
    <w:pPr>
      <w:spacing w:line="400" w:lineRule="exact"/>
    </w:pPr>
    <w:rPr>
      <w:sz w:val="24"/>
    </w:rPr>
  </w:style>
  <w:style w:type="character" w:customStyle="1" w:styleId="359">
    <w:name w:val="font81"/>
    <w:basedOn w:val="50"/>
    <w:qFormat/>
    <w:uiPriority w:val="0"/>
    <w:rPr>
      <w:rFonts w:hint="eastAsia"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87.png"/><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png"/><Relationship Id="rId9" Type="http://schemas.openxmlformats.org/officeDocument/2006/relationships/footer" Target="footer4.xml"/><Relationship Id="rId89" Type="http://schemas.openxmlformats.org/officeDocument/2006/relationships/image" Target="media/image77.png"/><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png"/><Relationship Id="rId84" Type="http://schemas.openxmlformats.org/officeDocument/2006/relationships/image" Target="media/image72.png"/><Relationship Id="rId83" Type="http://schemas.openxmlformats.org/officeDocument/2006/relationships/image" Target="media/image71.png"/><Relationship Id="rId82" Type="http://schemas.openxmlformats.org/officeDocument/2006/relationships/image" Target="media/image70.png"/><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footer" Target="footer3.xml"/><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header" Target="header3.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header" Target="header2.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2.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1.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7" Type="http://schemas.microsoft.com/office/2011/relationships/people" Target="people.xml"/><Relationship Id="rId156" Type="http://schemas.openxmlformats.org/officeDocument/2006/relationships/fontTable" Target="fontTable.xml"/><Relationship Id="rId155" Type="http://schemas.openxmlformats.org/officeDocument/2006/relationships/numbering" Target="numbering.xml"/><Relationship Id="rId154" Type="http://schemas.openxmlformats.org/officeDocument/2006/relationships/customXml" Target="../customXml/item1.xml"/><Relationship Id="rId153" Type="http://schemas.openxmlformats.org/officeDocument/2006/relationships/image" Target="media/image141.png"/><Relationship Id="rId152" Type="http://schemas.openxmlformats.org/officeDocument/2006/relationships/image" Target="media/image140.png"/><Relationship Id="rId151" Type="http://schemas.openxmlformats.org/officeDocument/2006/relationships/image" Target="media/image139.png"/><Relationship Id="rId150" Type="http://schemas.openxmlformats.org/officeDocument/2006/relationships/image" Target="media/image138.png"/><Relationship Id="rId15" Type="http://schemas.openxmlformats.org/officeDocument/2006/relationships/image" Target="media/image3.png"/><Relationship Id="rId149" Type="http://schemas.openxmlformats.org/officeDocument/2006/relationships/image" Target="media/image137.png"/><Relationship Id="rId148" Type="http://schemas.openxmlformats.org/officeDocument/2006/relationships/image" Target="media/image136.png"/><Relationship Id="rId147" Type="http://schemas.openxmlformats.org/officeDocument/2006/relationships/image" Target="media/image135.png"/><Relationship Id="rId146" Type="http://schemas.openxmlformats.org/officeDocument/2006/relationships/image" Target="media/image134.png"/><Relationship Id="rId145" Type="http://schemas.openxmlformats.org/officeDocument/2006/relationships/image" Target="media/image133.png"/><Relationship Id="rId144" Type="http://schemas.openxmlformats.org/officeDocument/2006/relationships/image" Target="media/image132.png"/><Relationship Id="rId143" Type="http://schemas.openxmlformats.org/officeDocument/2006/relationships/image" Target="media/image131.png"/><Relationship Id="rId142" Type="http://schemas.openxmlformats.org/officeDocument/2006/relationships/image" Target="media/image130.png"/><Relationship Id="rId141" Type="http://schemas.openxmlformats.org/officeDocument/2006/relationships/image" Target="media/image129.png"/><Relationship Id="rId140" Type="http://schemas.openxmlformats.org/officeDocument/2006/relationships/image" Target="media/image128.png"/><Relationship Id="rId14" Type="http://schemas.openxmlformats.org/officeDocument/2006/relationships/image" Target="media/image2.png"/><Relationship Id="rId139" Type="http://schemas.openxmlformats.org/officeDocument/2006/relationships/image" Target="media/image127.png"/><Relationship Id="rId138" Type="http://schemas.openxmlformats.org/officeDocument/2006/relationships/image" Target="media/image126.png"/><Relationship Id="rId137" Type="http://schemas.openxmlformats.org/officeDocument/2006/relationships/image" Target="media/image125.png"/><Relationship Id="rId136" Type="http://schemas.openxmlformats.org/officeDocument/2006/relationships/image" Target="media/image124.png"/><Relationship Id="rId135" Type="http://schemas.openxmlformats.org/officeDocument/2006/relationships/image" Target="media/image123.png"/><Relationship Id="rId134" Type="http://schemas.openxmlformats.org/officeDocument/2006/relationships/image" Target="media/image122.png"/><Relationship Id="rId133" Type="http://schemas.openxmlformats.org/officeDocument/2006/relationships/image" Target="media/image121.png"/><Relationship Id="rId132" Type="http://schemas.openxmlformats.org/officeDocument/2006/relationships/image" Target="media/image120.png"/><Relationship Id="rId131" Type="http://schemas.openxmlformats.org/officeDocument/2006/relationships/image" Target="media/image119.png"/><Relationship Id="rId130" Type="http://schemas.openxmlformats.org/officeDocument/2006/relationships/image" Target="media/image118.png"/><Relationship Id="rId13" Type="http://schemas.openxmlformats.org/officeDocument/2006/relationships/image" Target="media/image1.png"/><Relationship Id="rId129" Type="http://schemas.openxmlformats.org/officeDocument/2006/relationships/image" Target="media/image117.png"/><Relationship Id="rId128" Type="http://schemas.openxmlformats.org/officeDocument/2006/relationships/image" Target="media/image116.png"/><Relationship Id="rId127" Type="http://schemas.openxmlformats.org/officeDocument/2006/relationships/image" Target="media/image115.png"/><Relationship Id="rId126" Type="http://schemas.openxmlformats.org/officeDocument/2006/relationships/image" Target="media/image114.png"/><Relationship Id="rId125" Type="http://schemas.openxmlformats.org/officeDocument/2006/relationships/image" Target="media/image113.png"/><Relationship Id="rId124" Type="http://schemas.openxmlformats.org/officeDocument/2006/relationships/image" Target="media/image112.png"/><Relationship Id="rId123" Type="http://schemas.openxmlformats.org/officeDocument/2006/relationships/image" Target="media/image111.png"/><Relationship Id="rId122" Type="http://schemas.openxmlformats.org/officeDocument/2006/relationships/image" Target="media/image110.png"/><Relationship Id="rId121" Type="http://schemas.openxmlformats.org/officeDocument/2006/relationships/image" Target="media/image109.png"/><Relationship Id="rId120" Type="http://schemas.openxmlformats.org/officeDocument/2006/relationships/image" Target="media/image108.png"/><Relationship Id="rId12" Type="http://schemas.openxmlformats.org/officeDocument/2006/relationships/theme" Target="theme/theme1.xml"/><Relationship Id="rId119" Type="http://schemas.openxmlformats.org/officeDocument/2006/relationships/image" Target="media/image107.png"/><Relationship Id="rId118" Type="http://schemas.openxmlformats.org/officeDocument/2006/relationships/image" Target="media/image106.png"/><Relationship Id="rId117" Type="http://schemas.openxmlformats.org/officeDocument/2006/relationships/image" Target="media/image105.png"/><Relationship Id="rId116" Type="http://schemas.openxmlformats.org/officeDocument/2006/relationships/image" Target="media/image104.png"/><Relationship Id="rId115" Type="http://schemas.openxmlformats.org/officeDocument/2006/relationships/image" Target="media/image103.png"/><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footer" Target="footer5.xml"/><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88.png"/><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105</Pages>
  <Words>311</Words>
  <Characters>318</Characters>
  <Lines>396</Lines>
  <Paragraphs>111</Paragraphs>
  <TotalTime>1</TotalTime>
  <ScaleCrop>false</ScaleCrop>
  <LinksUpToDate>false</LinksUpToDate>
  <CharactersWithSpaces>365</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2020-04-28T08:47:00Z</dcterms:created>
  <dc:creator>微软用户</dc:creator>
  <cp:lastModifiedBy>凡</cp:lastModifiedBy>
  <cp:lastPrinted>2020-03-20T08:33:00Z</cp:lastPrinted>
  <dcterms:modified xsi:type="dcterms:W3CDTF">2025-07-14T02:50:33Z</dcterms:modified>
  <dc:title>永嘉县政府采购中心</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EDACC62801F940F7AC12A6F638DFD282_13</vt:lpwstr>
  </property>
  <property fmtid="{D5CDD505-2E9C-101B-9397-08002B2CF9AE}" pid="4" name="KSOTemplateDocerSaveRecord">
    <vt:lpwstr>eyJoZGlkIjoiYTY0OThhNWFlOWYxMGU0YmI1YWNiMWNiZTM1OGZmZWQiLCJ1c2VySWQiOiIyODcxNDg2ODYifQ==</vt:lpwstr>
  </property>
</Properties>
</file>